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BCBF" w14:textId="5DA8C017" w:rsidR="008C3A32" w:rsidRPr="00D160FB" w:rsidRDefault="008C3A32" w:rsidP="008C3A32">
      <w:pPr>
        <w:pStyle w:val="Nadpis1"/>
        <w:rPr>
          <w:lang w:val="en-GB"/>
        </w:rPr>
      </w:pPr>
      <w:bookmarkStart w:id="0" w:name="_Toc114134047"/>
      <w:bookmarkStart w:id="1" w:name="_Toc114134048"/>
      <w:bookmarkStart w:id="2" w:name="_Toc97736119"/>
      <w:bookmarkStart w:id="3" w:name="_Toc74643859"/>
      <w:bookmarkStart w:id="4" w:name="_Toc90395915"/>
      <w:bookmarkStart w:id="5" w:name="_Toc98245446"/>
      <w:bookmarkStart w:id="6" w:name="_Toc74643860"/>
      <w:bookmarkStart w:id="7" w:name="_Toc132874246"/>
      <w:r w:rsidRPr="00D160FB">
        <w:rPr>
          <w:lang w:val="en-GB"/>
        </w:rPr>
        <w:t>2. </w:t>
      </w:r>
      <w:r w:rsidR="00B10258" w:rsidRPr="00D160FB">
        <w:rPr>
          <w:lang w:val="en-GB"/>
        </w:rPr>
        <w:t>Overall Economic Performance</w:t>
      </w:r>
      <w:bookmarkEnd w:id="7"/>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8C3A32" w:rsidRPr="00D160FB" w14:paraId="5933BC0A" w14:textId="77777777" w:rsidTr="001937F8">
        <w:trPr>
          <w:trHeight w:val="145"/>
        </w:trPr>
        <w:tc>
          <w:tcPr>
            <w:tcW w:w="1806" w:type="dxa"/>
            <w:shd w:val="clear" w:color="auto" w:fill="auto"/>
            <w:tcMar>
              <w:left w:w="0" w:type="dxa"/>
            </w:tcMar>
          </w:tcPr>
          <w:p w14:paraId="0973E3BA" w14:textId="7006BD1F" w:rsidR="008C3A32" w:rsidRPr="00D160FB" w:rsidRDefault="0048499C" w:rsidP="00163868">
            <w:pPr>
              <w:pStyle w:val="Marginlie"/>
              <w:rPr>
                <w:lang w:val="en-GB"/>
              </w:rPr>
            </w:pPr>
            <w:r w:rsidRPr="00D160FB">
              <w:rPr>
                <w:lang w:val="en-GB"/>
              </w:rPr>
              <w:t>The Czech economy narrowly maintained its year-on-year growth in Q</w:t>
            </w:r>
            <w:r w:rsidR="008C3A32" w:rsidRPr="00D160FB">
              <w:rPr>
                <w:lang w:val="en-GB"/>
              </w:rPr>
              <w:t>4</w:t>
            </w:r>
            <w:r w:rsidRPr="00D160FB">
              <w:rPr>
                <w:lang w:val="en-GB"/>
              </w:rPr>
              <w:t xml:space="preserve">, quarter-on-quarter however it fell for the second time in a row. </w:t>
            </w:r>
          </w:p>
        </w:tc>
        <w:tc>
          <w:tcPr>
            <w:tcW w:w="223" w:type="dxa"/>
            <w:shd w:val="clear" w:color="auto" w:fill="auto"/>
            <w:tcMar>
              <w:left w:w="0" w:type="dxa"/>
            </w:tcMar>
          </w:tcPr>
          <w:p w14:paraId="3DF3FF42" w14:textId="77777777" w:rsidR="008C3A32" w:rsidRPr="00D160FB" w:rsidRDefault="008C3A32" w:rsidP="00163868">
            <w:pPr>
              <w:pStyle w:val="Textpoznpodarou"/>
              <w:jc w:val="both"/>
              <w:rPr>
                <w:spacing w:val="-4"/>
                <w:lang w:val="en-GB"/>
              </w:rPr>
            </w:pPr>
          </w:p>
        </w:tc>
        <w:tc>
          <w:tcPr>
            <w:tcW w:w="7610" w:type="dxa"/>
            <w:shd w:val="clear" w:color="auto" w:fill="auto"/>
            <w:tcMar>
              <w:left w:w="0" w:type="dxa"/>
            </w:tcMar>
          </w:tcPr>
          <w:p w14:paraId="549452A7" w14:textId="37851F9C" w:rsidR="008C3A32" w:rsidRPr="00D160FB" w:rsidRDefault="0048499C" w:rsidP="00D160FB">
            <w:pPr>
              <w:rPr>
                <w:spacing w:val="-2"/>
                <w:lang w:val="en-GB"/>
              </w:rPr>
            </w:pPr>
            <w:r w:rsidRPr="00D160FB">
              <w:rPr>
                <w:spacing w:val="-2"/>
                <w:lang w:val="en-GB"/>
              </w:rPr>
              <w:t xml:space="preserve">The Gross domestic product </w:t>
            </w:r>
            <w:r w:rsidR="008C3A32" w:rsidRPr="00D160FB">
              <w:rPr>
                <w:spacing w:val="-2"/>
                <w:lang w:val="en-GB"/>
              </w:rPr>
              <w:t>(</w:t>
            </w:r>
            <w:r w:rsidRPr="00D160FB">
              <w:rPr>
                <w:spacing w:val="-2"/>
                <w:lang w:val="en-GB"/>
              </w:rPr>
              <w:t>GDP</w:t>
            </w:r>
            <w:r w:rsidR="008C3A32" w:rsidRPr="00D160FB">
              <w:rPr>
                <w:spacing w:val="-2"/>
                <w:lang w:val="en-GB"/>
              </w:rPr>
              <w:t>)</w:t>
            </w:r>
            <w:r w:rsidRPr="00D160FB">
              <w:rPr>
                <w:spacing w:val="-2"/>
                <w:lang w:val="en-GB"/>
              </w:rPr>
              <w:t xml:space="preserve"> </w:t>
            </w:r>
            <w:r w:rsidR="002D1543" w:rsidRPr="00D160FB">
              <w:rPr>
                <w:spacing w:val="-2"/>
                <w:lang w:val="en-GB"/>
              </w:rPr>
              <w:t xml:space="preserve">increased by </w:t>
            </w:r>
            <w:r w:rsidR="008C3A32" w:rsidRPr="00D160FB">
              <w:rPr>
                <w:spacing w:val="-2"/>
                <w:lang w:val="en-GB"/>
              </w:rPr>
              <w:t>2</w:t>
            </w:r>
            <w:r w:rsidR="002D1543" w:rsidRPr="00D160FB">
              <w:rPr>
                <w:spacing w:val="-2"/>
                <w:lang w:val="en-GB"/>
              </w:rPr>
              <w:t>.</w:t>
            </w:r>
            <w:r w:rsidR="008C3A32" w:rsidRPr="00D160FB">
              <w:rPr>
                <w:spacing w:val="-2"/>
                <w:lang w:val="en-GB"/>
              </w:rPr>
              <w:t>4%</w:t>
            </w:r>
            <w:r w:rsidR="008C3A32" w:rsidRPr="00D160FB">
              <w:rPr>
                <w:rStyle w:val="Znakapoznpodarou"/>
                <w:rFonts w:cs="Arial"/>
                <w:spacing w:val="-2"/>
                <w:lang w:val="en-GB"/>
              </w:rPr>
              <w:footnoteReference w:id="1"/>
            </w:r>
            <w:r w:rsidR="002D1543" w:rsidRPr="00D160FB">
              <w:rPr>
                <w:spacing w:val="-2"/>
                <w:lang w:val="en-GB"/>
              </w:rPr>
              <w:t xml:space="preserve"> in year 2022</w:t>
            </w:r>
            <w:r w:rsidR="008C3A32" w:rsidRPr="00D160FB">
              <w:rPr>
                <w:spacing w:val="-2"/>
                <w:lang w:val="en-GB"/>
              </w:rPr>
              <w:t xml:space="preserve">, </w:t>
            </w:r>
            <w:r w:rsidRPr="00D160FB">
              <w:rPr>
                <w:spacing w:val="-2"/>
                <w:lang w:val="en-GB"/>
              </w:rPr>
              <w:t xml:space="preserve">which represented a slowdown of the dynamics compared to year </w:t>
            </w:r>
            <w:r w:rsidR="008C3A32" w:rsidRPr="00D160FB">
              <w:rPr>
                <w:spacing w:val="-2"/>
                <w:lang w:val="en-GB"/>
              </w:rPr>
              <w:t xml:space="preserve">2021. </w:t>
            </w:r>
            <w:r w:rsidR="002D1543" w:rsidRPr="00D160FB">
              <w:rPr>
                <w:spacing w:val="-2"/>
                <w:lang w:val="en-GB"/>
              </w:rPr>
              <w:t xml:space="preserve">The gross capital formation and the foreign demand supported the GDP growth </w:t>
            </w:r>
            <w:r w:rsidR="003F7D98" w:rsidRPr="00D160FB">
              <w:rPr>
                <w:spacing w:val="-2"/>
                <w:lang w:val="en-GB"/>
              </w:rPr>
              <w:t xml:space="preserve">the most </w:t>
            </w:r>
            <w:r w:rsidR="002D1543" w:rsidRPr="00D160FB">
              <w:rPr>
                <w:spacing w:val="-2"/>
                <w:lang w:val="en-GB"/>
              </w:rPr>
              <w:t xml:space="preserve">last year. In contrast, the domestic consumption hindered the economic growth. </w:t>
            </w:r>
            <w:r w:rsidR="00D27384" w:rsidRPr="00D160FB">
              <w:rPr>
                <w:spacing w:val="-2"/>
                <w:lang w:val="en-GB"/>
              </w:rPr>
              <w:t xml:space="preserve">Because especially households reduced their expenditures in the environment of the sharp price growth. The real GDP level </w:t>
            </w:r>
            <w:r w:rsidR="008C3A32" w:rsidRPr="00D160FB">
              <w:rPr>
                <w:spacing w:val="-2"/>
                <w:lang w:val="en-GB"/>
              </w:rPr>
              <w:t>(</w:t>
            </w:r>
            <w:r w:rsidR="00D27384" w:rsidRPr="00D160FB">
              <w:rPr>
                <w:spacing w:val="-2"/>
                <w:lang w:val="en-GB"/>
              </w:rPr>
              <w:t xml:space="preserve">expressed in prices of year </w:t>
            </w:r>
            <w:r w:rsidR="008C3A32" w:rsidRPr="00D160FB">
              <w:rPr>
                <w:spacing w:val="-2"/>
                <w:lang w:val="en-GB"/>
              </w:rPr>
              <w:t xml:space="preserve">2015) </w:t>
            </w:r>
            <w:r w:rsidR="00D27384" w:rsidRPr="00D160FB">
              <w:rPr>
                <w:spacing w:val="-2"/>
                <w:lang w:val="en-GB"/>
              </w:rPr>
              <w:t xml:space="preserve">slightly overtook the pre-pandemic year </w:t>
            </w:r>
            <w:r w:rsidR="008C3A32" w:rsidRPr="00D160FB">
              <w:rPr>
                <w:spacing w:val="-2"/>
                <w:lang w:val="en-GB"/>
              </w:rPr>
              <w:t>2019</w:t>
            </w:r>
            <w:r w:rsidR="00D27384" w:rsidRPr="00D160FB">
              <w:rPr>
                <w:spacing w:val="-2"/>
                <w:lang w:val="en-GB"/>
              </w:rPr>
              <w:t xml:space="preserve"> last year</w:t>
            </w:r>
            <w:r w:rsidR="008C3A32" w:rsidRPr="00D160FB">
              <w:rPr>
                <w:spacing w:val="-2"/>
                <w:lang w:val="en-GB"/>
              </w:rPr>
              <w:t xml:space="preserve">. </w:t>
            </w:r>
            <w:r w:rsidR="00EA60E9" w:rsidRPr="00D160FB">
              <w:rPr>
                <w:spacing w:val="-2"/>
                <w:lang w:val="en-GB"/>
              </w:rPr>
              <w:t xml:space="preserve">The year-on-year GDP dynamics gradually slowed down </w:t>
            </w:r>
            <w:r w:rsidR="00846130" w:rsidRPr="00D160FB">
              <w:rPr>
                <w:spacing w:val="-2"/>
                <w:lang w:val="en-GB"/>
              </w:rPr>
              <w:t xml:space="preserve">during the year 2022 </w:t>
            </w:r>
            <w:r w:rsidR="008C3A32" w:rsidRPr="00D160FB">
              <w:rPr>
                <w:spacing w:val="-2"/>
                <w:lang w:val="en-GB"/>
              </w:rPr>
              <w:t>(</w:t>
            </w:r>
            <w:r w:rsidR="00846130" w:rsidRPr="00D160FB">
              <w:rPr>
                <w:spacing w:val="-2"/>
                <w:lang w:val="en-GB"/>
              </w:rPr>
              <w:t xml:space="preserve">additions </w:t>
            </w:r>
            <w:r w:rsidR="008C3A32" w:rsidRPr="00D160FB">
              <w:rPr>
                <w:spacing w:val="-2"/>
                <w:lang w:val="en-GB"/>
              </w:rPr>
              <w:t>4</w:t>
            </w:r>
            <w:r w:rsidR="00846130" w:rsidRPr="00D160FB">
              <w:rPr>
                <w:spacing w:val="-2"/>
                <w:lang w:val="en-GB"/>
              </w:rPr>
              <w:t>.</w:t>
            </w:r>
            <w:r w:rsidR="008C3A32" w:rsidRPr="00D160FB">
              <w:rPr>
                <w:spacing w:val="-2"/>
                <w:lang w:val="en-GB"/>
              </w:rPr>
              <w:t>7%, 3</w:t>
            </w:r>
            <w:r w:rsidR="00846130" w:rsidRPr="00D160FB">
              <w:rPr>
                <w:spacing w:val="-2"/>
                <w:lang w:val="en-GB"/>
              </w:rPr>
              <w:t>.</w:t>
            </w:r>
            <w:r w:rsidR="008C3A32" w:rsidRPr="00D160FB">
              <w:rPr>
                <w:spacing w:val="-2"/>
                <w:lang w:val="en-GB"/>
              </w:rPr>
              <w:t>5% a</w:t>
            </w:r>
            <w:r w:rsidR="00846130" w:rsidRPr="00D160FB">
              <w:rPr>
                <w:spacing w:val="-2"/>
                <w:lang w:val="en-GB"/>
              </w:rPr>
              <w:t>nd</w:t>
            </w:r>
            <w:r w:rsidR="008C3A32" w:rsidRPr="00D160FB">
              <w:rPr>
                <w:spacing w:val="-2"/>
                <w:lang w:val="en-GB"/>
              </w:rPr>
              <w:t xml:space="preserve"> 1</w:t>
            </w:r>
            <w:r w:rsidR="00846130" w:rsidRPr="00D160FB">
              <w:rPr>
                <w:spacing w:val="-2"/>
                <w:lang w:val="en-GB"/>
              </w:rPr>
              <w:t>.</w:t>
            </w:r>
            <w:r w:rsidR="008C3A32" w:rsidRPr="00D160FB">
              <w:rPr>
                <w:spacing w:val="-2"/>
                <w:lang w:val="en-GB"/>
              </w:rPr>
              <w:t xml:space="preserve">5% </w:t>
            </w:r>
            <w:r w:rsidR="00846130" w:rsidRPr="00D160FB">
              <w:rPr>
                <w:spacing w:val="-2"/>
                <w:lang w:val="en-GB"/>
              </w:rPr>
              <w:t xml:space="preserve">in </w:t>
            </w:r>
            <w:r w:rsidR="002B0987" w:rsidRPr="00D160FB">
              <w:rPr>
                <w:spacing w:val="-2"/>
                <w:lang w:val="en-GB"/>
              </w:rPr>
              <w:t>Q</w:t>
            </w:r>
            <w:r w:rsidR="008C3A32" w:rsidRPr="00D160FB">
              <w:rPr>
                <w:spacing w:val="-2"/>
                <w:lang w:val="en-GB"/>
              </w:rPr>
              <w:t xml:space="preserve">1, </w:t>
            </w:r>
            <w:r w:rsidR="002B0987" w:rsidRPr="00D160FB">
              <w:rPr>
                <w:spacing w:val="-2"/>
                <w:lang w:val="en-GB"/>
              </w:rPr>
              <w:t>Q</w:t>
            </w:r>
            <w:r w:rsidR="008C3A32" w:rsidRPr="00D160FB">
              <w:rPr>
                <w:spacing w:val="-2"/>
                <w:lang w:val="en-GB"/>
              </w:rPr>
              <w:t>2</w:t>
            </w:r>
            <w:r w:rsidR="00EA60E9" w:rsidRPr="00D160FB">
              <w:rPr>
                <w:spacing w:val="-2"/>
                <w:lang w:val="en-GB"/>
              </w:rPr>
              <w:t xml:space="preserve"> a</w:t>
            </w:r>
            <w:r w:rsidR="00846130" w:rsidRPr="00D160FB">
              <w:rPr>
                <w:spacing w:val="-2"/>
                <w:lang w:val="en-GB"/>
              </w:rPr>
              <w:t>nd Q</w:t>
            </w:r>
            <w:r w:rsidR="008C3A32" w:rsidRPr="00D160FB">
              <w:rPr>
                <w:spacing w:val="-2"/>
                <w:lang w:val="en-GB"/>
              </w:rPr>
              <w:t>3) a</w:t>
            </w:r>
            <w:r w:rsidR="00D27384" w:rsidRPr="00D160FB">
              <w:rPr>
                <w:spacing w:val="-2"/>
                <w:lang w:val="en-GB"/>
              </w:rPr>
              <w:t>nd the economy stagnated year-on-year in Q</w:t>
            </w:r>
            <w:r w:rsidR="008C3A32" w:rsidRPr="00D160FB">
              <w:rPr>
                <w:spacing w:val="-2"/>
                <w:lang w:val="en-GB"/>
              </w:rPr>
              <w:t>4</w:t>
            </w:r>
            <w:r w:rsidR="00D27384" w:rsidRPr="00D160FB">
              <w:rPr>
                <w:spacing w:val="-2"/>
                <w:lang w:val="en-GB"/>
              </w:rPr>
              <w:t xml:space="preserve"> </w:t>
            </w:r>
            <w:r w:rsidR="008C3A32" w:rsidRPr="00D160FB">
              <w:rPr>
                <w:spacing w:val="-2"/>
                <w:lang w:val="en-GB"/>
              </w:rPr>
              <w:t>(0</w:t>
            </w:r>
            <w:r w:rsidR="00D27384" w:rsidRPr="00D160FB">
              <w:rPr>
                <w:spacing w:val="-2"/>
                <w:lang w:val="en-GB"/>
              </w:rPr>
              <w:t>.</w:t>
            </w:r>
            <w:r w:rsidR="008C3A32" w:rsidRPr="00D160FB">
              <w:rPr>
                <w:spacing w:val="-2"/>
                <w:lang w:val="en-GB"/>
              </w:rPr>
              <w:t xml:space="preserve">2%). </w:t>
            </w:r>
            <w:r w:rsidR="00D27384" w:rsidRPr="00D160FB">
              <w:rPr>
                <w:spacing w:val="-2"/>
                <w:lang w:val="en-GB"/>
              </w:rPr>
              <w:t>Compared to Q</w:t>
            </w:r>
            <w:r w:rsidR="008C3A32" w:rsidRPr="00D160FB">
              <w:rPr>
                <w:spacing w:val="-2"/>
                <w:lang w:val="en-GB"/>
              </w:rPr>
              <w:t>3</w:t>
            </w:r>
            <w:r w:rsidR="00D27384" w:rsidRPr="00D160FB">
              <w:rPr>
                <w:spacing w:val="-2"/>
                <w:lang w:val="en-GB"/>
              </w:rPr>
              <w:t xml:space="preserve"> the GDP decreased by </w:t>
            </w:r>
            <w:r w:rsidR="008C3A32" w:rsidRPr="00D160FB">
              <w:rPr>
                <w:spacing w:val="-2"/>
                <w:lang w:val="en-GB"/>
              </w:rPr>
              <w:t>0</w:t>
            </w:r>
            <w:r w:rsidR="00D27384" w:rsidRPr="00D160FB">
              <w:rPr>
                <w:spacing w:val="-2"/>
                <w:lang w:val="en-GB"/>
              </w:rPr>
              <w:t>.</w:t>
            </w:r>
            <w:r w:rsidR="008C3A32" w:rsidRPr="00D160FB">
              <w:rPr>
                <w:spacing w:val="-2"/>
                <w:lang w:val="en-GB"/>
              </w:rPr>
              <w:t xml:space="preserve">4%, </w:t>
            </w:r>
            <w:r w:rsidR="003F3216" w:rsidRPr="00D160FB">
              <w:rPr>
                <w:spacing w:val="-2"/>
                <w:lang w:val="en-GB"/>
              </w:rPr>
              <w:t>which was the second decrease in a row</w:t>
            </w:r>
            <w:r w:rsidR="008C3A32" w:rsidRPr="00D160FB">
              <w:rPr>
                <w:spacing w:val="-2"/>
                <w:lang w:val="en-GB"/>
              </w:rPr>
              <w:t>.</w:t>
            </w:r>
            <w:r w:rsidR="003F3216" w:rsidRPr="00D160FB">
              <w:rPr>
                <w:spacing w:val="-2"/>
                <w:lang w:val="en-GB"/>
              </w:rPr>
              <w:t xml:space="preserve"> The year-on-year GDP growth was based on the favourable development of the foreign demand at</w:t>
            </w:r>
            <w:r w:rsidR="008C3A32" w:rsidRPr="00D160FB">
              <w:rPr>
                <w:spacing w:val="-2"/>
                <w:lang w:val="en-GB"/>
              </w:rPr>
              <w:t xml:space="preserve"> </w:t>
            </w:r>
            <w:r w:rsidR="003F3216" w:rsidRPr="00D160FB">
              <w:rPr>
                <w:spacing w:val="-2"/>
                <w:lang w:val="en-GB"/>
              </w:rPr>
              <w:t>the end of the year</w:t>
            </w:r>
            <w:r w:rsidR="008C3A32" w:rsidRPr="00D160FB">
              <w:rPr>
                <w:spacing w:val="-2"/>
                <w:lang w:val="en-GB"/>
              </w:rPr>
              <w:t xml:space="preserve">. </w:t>
            </w:r>
            <w:r w:rsidR="00693D9B" w:rsidRPr="00D160FB">
              <w:rPr>
                <w:spacing w:val="-2"/>
                <w:lang w:val="en-GB"/>
              </w:rPr>
              <w:t xml:space="preserve">The addition </w:t>
            </w:r>
            <w:r w:rsidR="003F7D98">
              <w:rPr>
                <w:spacing w:val="-2"/>
                <w:lang w:val="en-GB"/>
              </w:rPr>
              <w:t>of</w:t>
            </w:r>
            <w:r w:rsidR="00693D9B" w:rsidRPr="00D160FB">
              <w:rPr>
                <w:spacing w:val="-2"/>
                <w:lang w:val="en-GB"/>
              </w:rPr>
              <w:t xml:space="preserve"> the capital </w:t>
            </w:r>
            <w:r w:rsidR="003F7D98">
              <w:rPr>
                <w:spacing w:val="-2"/>
                <w:lang w:val="en-GB"/>
              </w:rPr>
              <w:t>expenditures</w:t>
            </w:r>
            <w:r w:rsidR="00693D9B" w:rsidRPr="00D160FB">
              <w:rPr>
                <w:spacing w:val="-2"/>
                <w:lang w:val="en-GB"/>
              </w:rPr>
              <w:t xml:space="preserve"> however weakened and the domestic consumption strongly hindered the year-on-year GDP increase</w:t>
            </w:r>
            <w:r w:rsidR="008C3A32" w:rsidRPr="00D160FB">
              <w:rPr>
                <w:spacing w:val="-2"/>
                <w:lang w:val="en-GB"/>
              </w:rPr>
              <w:t xml:space="preserve">. </w:t>
            </w:r>
            <w:r w:rsidR="00693D9B" w:rsidRPr="00D160FB">
              <w:rPr>
                <w:spacing w:val="-2"/>
                <w:lang w:val="en-GB"/>
              </w:rPr>
              <w:t>The foreign demand also positively affected the quarter-on-quarter GDP dynamics,</w:t>
            </w:r>
            <w:r w:rsidR="008C3A32" w:rsidRPr="00D160FB">
              <w:rPr>
                <w:spacing w:val="-2"/>
                <w:lang w:val="en-GB"/>
              </w:rPr>
              <w:t xml:space="preserve"> </w:t>
            </w:r>
            <w:r w:rsidR="002D1543" w:rsidRPr="00D160FB">
              <w:rPr>
                <w:spacing w:val="-2"/>
                <w:lang w:val="en-GB"/>
              </w:rPr>
              <w:t>but the consumption as well as the capital expenditures were falling.</w:t>
            </w:r>
            <w:r w:rsidR="008C3A32" w:rsidRPr="00D160FB">
              <w:rPr>
                <w:spacing w:val="-2"/>
                <w:lang w:val="en-GB"/>
              </w:rPr>
              <w:t xml:space="preserve">   </w:t>
            </w:r>
          </w:p>
        </w:tc>
      </w:tr>
      <w:tr w:rsidR="008C3A32" w:rsidRPr="00D160FB" w14:paraId="69859CBE" w14:textId="77777777" w:rsidTr="001937F8">
        <w:trPr>
          <w:trHeight w:val="170"/>
        </w:trPr>
        <w:tc>
          <w:tcPr>
            <w:tcW w:w="1806" w:type="dxa"/>
            <w:vMerge w:val="restart"/>
            <w:shd w:val="clear" w:color="auto" w:fill="auto"/>
            <w:tcMar>
              <w:left w:w="0" w:type="dxa"/>
            </w:tcMar>
          </w:tcPr>
          <w:p w14:paraId="773D6F76" w14:textId="77777777" w:rsidR="008C3A32" w:rsidRPr="00D160FB" w:rsidRDefault="008C3A32" w:rsidP="00163868">
            <w:pPr>
              <w:pStyle w:val="Marginlie"/>
              <w:rPr>
                <w:lang w:val="en-GB"/>
              </w:rPr>
            </w:pPr>
          </w:p>
        </w:tc>
        <w:tc>
          <w:tcPr>
            <w:tcW w:w="223" w:type="dxa"/>
            <w:vMerge w:val="restart"/>
            <w:shd w:val="clear" w:color="auto" w:fill="auto"/>
            <w:tcMar>
              <w:left w:w="0" w:type="dxa"/>
            </w:tcMar>
          </w:tcPr>
          <w:p w14:paraId="0AE9F316" w14:textId="77777777" w:rsidR="008C3A32" w:rsidRPr="00D160FB" w:rsidRDefault="008C3A32" w:rsidP="00163868">
            <w:pPr>
              <w:pStyle w:val="Textpoznpodarou"/>
              <w:jc w:val="both"/>
              <w:rPr>
                <w:spacing w:val="-4"/>
                <w:lang w:val="en-GB"/>
              </w:rPr>
            </w:pPr>
          </w:p>
        </w:tc>
        <w:tc>
          <w:tcPr>
            <w:tcW w:w="7610" w:type="dxa"/>
            <w:shd w:val="clear" w:color="auto" w:fill="auto"/>
            <w:tcMar>
              <w:left w:w="0" w:type="dxa"/>
            </w:tcMar>
          </w:tcPr>
          <w:p w14:paraId="4C1F5827" w14:textId="331CF269" w:rsidR="008C3A32" w:rsidRPr="00D160FB" w:rsidRDefault="0048499C" w:rsidP="00163868">
            <w:pPr>
              <w:spacing w:after="0"/>
              <w:rPr>
                <w:b/>
                <w:szCs w:val="20"/>
                <w:lang w:val="en-GB"/>
              </w:rPr>
            </w:pPr>
            <w:r w:rsidRPr="00D160FB">
              <w:rPr>
                <w:rFonts w:cs="Arial"/>
                <w:b/>
                <w:bCs/>
                <w:color w:val="000000"/>
                <w:szCs w:val="20"/>
                <w:lang w:val="en-GB"/>
              </w:rPr>
              <w:t xml:space="preserve">Chart </w:t>
            </w:r>
            <w:r w:rsidR="008C3A32" w:rsidRPr="00D160FB">
              <w:rPr>
                <w:rFonts w:cs="Arial"/>
                <w:b/>
                <w:bCs/>
                <w:color w:val="000000"/>
                <w:szCs w:val="20"/>
                <w:lang w:val="en-GB"/>
              </w:rPr>
              <w:t xml:space="preserve">1 </w:t>
            </w:r>
            <w:r w:rsidR="001F0A74" w:rsidRPr="00D160FB">
              <w:rPr>
                <w:rFonts w:cs="Arial"/>
                <w:b/>
                <w:bCs/>
                <w:color w:val="000000"/>
                <w:szCs w:val="20"/>
                <w:lang w:val="en-GB"/>
              </w:rPr>
              <w:t>GDP</w:t>
            </w:r>
            <w:r w:rsidR="008C3A32" w:rsidRPr="00D160FB">
              <w:rPr>
                <w:rFonts w:cs="Arial"/>
                <w:b/>
                <w:szCs w:val="20"/>
                <w:lang w:val="en-GB" w:eastAsia="en-US"/>
              </w:rPr>
              <w:t xml:space="preserve"> </w:t>
            </w:r>
            <w:r w:rsidR="008C3A32" w:rsidRPr="00D160FB">
              <w:rPr>
                <w:rFonts w:cs="Arial"/>
                <w:bCs/>
                <w:szCs w:val="20"/>
                <w:lang w:val="en-GB" w:eastAsia="en-US"/>
              </w:rPr>
              <w:t>(</w:t>
            </w:r>
            <w:r w:rsidR="001F0A74" w:rsidRPr="00D160FB">
              <w:rPr>
                <w:rFonts w:cs="Arial"/>
                <w:bCs/>
                <w:szCs w:val="20"/>
                <w:lang w:val="en-GB" w:eastAsia="en-US"/>
              </w:rPr>
              <w:t>volume indices, adjusted for seasonal and calendar effects, in %</w:t>
            </w:r>
            <w:r w:rsidR="008C3A32" w:rsidRPr="00D160FB">
              <w:rPr>
                <w:rFonts w:cs="Arial"/>
                <w:bCs/>
                <w:szCs w:val="20"/>
                <w:lang w:val="en-GB" w:eastAsia="en-US"/>
              </w:rPr>
              <w:t>)</w:t>
            </w:r>
          </w:p>
        </w:tc>
      </w:tr>
      <w:tr w:rsidR="008C3A32" w:rsidRPr="00D160FB" w14:paraId="69E60004" w14:textId="77777777" w:rsidTr="001937F8">
        <w:tblPrEx>
          <w:tblCellMar>
            <w:left w:w="70" w:type="dxa"/>
            <w:right w:w="70" w:type="dxa"/>
          </w:tblCellMar>
        </w:tblPrEx>
        <w:trPr>
          <w:trHeight w:val="170"/>
        </w:trPr>
        <w:tc>
          <w:tcPr>
            <w:tcW w:w="1806" w:type="dxa"/>
            <w:vMerge/>
          </w:tcPr>
          <w:p w14:paraId="45DB174A" w14:textId="77777777" w:rsidR="008C3A32" w:rsidRPr="00D160FB" w:rsidRDefault="008C3A32" w:rsidP="00163868">
            <w:pPr>
              <w:pStyle w:val="Marginlie"/>
              <w:rPr>
                <w:lang w:val="en-GB"/>
              </w:rPr>
            </w:pPr>
          </w:p>
        </w:tc>
        <w:tc>
          <w:tcPr>
            <w:tcW w:w="223" w:type="dxa"/>
            <w:vMerge/>
          </w:tcPr>
          <w:p w14:paraId="01194BCD" w14:textId="77777777" w:rsidR="008C3A32" w:rsidRPr="00D160FB" w:rsidRDefault="008C3A32" w:rsidP="00163868">
            <w:pPr>
              <w:pStyle w:val="Textpoznpodarou"/>
              <w:jc w:val="both"/>
              <w:rPr>
                <w:spacing w:val="-4"/>
                <w:lang w:val="en-GB"/>
              </w:rPr>
            </w:pPr>
          </w:p>
        </w:tc>
        <w:tc>
          <w:tcPr>
            <w:tcW w:w="7610" w:type="dxa"/>
            <w:shd w:val="clear" w:color="auto" w:fill="auto"/>
          </w:tcPr>
          <w:p w14:paraId="427DA9C0" w14:textId="5ED25632" w:rsidR="008C3A32" w:rsidRPr="00D160FB" w:rsidRDefault="001937F8" w:rsidP="00163868">
            <w:pPr>
              <w:spacing w:after="0"/>
              <w:rPr>
                <w:lang w:val="en-GB"/>
              </w:rPr>
            </w:pPr>
            <w:r>
              <w:rPr>
                <w:noProof/>
              </w:rPr>
              <w:drawing>
                <wp:inline distT="0" distB="0" distL="0" distR="0" wp14:anchorId="4641A43D" wp14:editId="5F469D76">
                  <wp:extent cx="4743950" cy="3353175"/>
                  <wp:effectExtent l="0" t="0" r="0" b="0"/>
                  <wp:docPr id="1348784300" name="Graf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8C3A32" w:rsidRPr="00D160FB" w14:paraId="0B9F6C7E" w14:textId="77777777" w:rsidTr="001937F8">
        <w:trPr>
          <w:trHeight w:val="170"/>
        </w:trPr>
        <w:tc>
          <w:tcPr>
            <w:tcW w:w="1806" w:type="dxa"/>
            <w:vMerge/>
            <w:tcMar>
              <w:left w:w="0" w:type="dxa"/>
            </w:tcMar>
          </w:tcPr>
          <w:p w14:paraId="379B99E2" w14:textId="77777777" w:rsidR="008C3A32" w:rsidRPr="00D160FB" w:rsidRDefault="008C3A32" w:rsidP="00163868">
            <w:pPr>
              <w:pStyle w:val="Marginlie"/>
              <w:rPr>
                <w:lang w:val="en-GB"/>
              </w:rPr>
            </w:pPr>
          </w:p>
        </w:tc>
        <w:tc>
          <w:tcPr>
            <w:tcW w:w="223" w:type="dxa"/>
            <w:vMerge/>
            <w:tcMar>
              <w:left w:w="0" w:type="dxa"/>
            </w:tcMar>
          </w:tcPr>
          <w:p w14:paraId="676B3350" w14:textId="77777777" w:rsidR="008C3A32" w:rsidRPr="00D160FB" w:rsidRDefault="008C3A32" w:rsidP="00163868">
            <w:pPr>
              <w:pStyle w:val="Textpoznpodarou"/>
              <w:jc w:val="both"/>
              <w:rPr>
                <w:spacing w:val="-4"/>
                <w:lang w:val="en-GB"/>
              </w:rPr>
            </w:pPr>
          </w:p>
        </w:tc>
        <w:tc>
          <w:tcPr>
            <w:tcW w:w="7610" w:type="dxa"/>
            <w:shd w:val="clear" w:color="auto" w:fill="auto"/>
            <w:tcMar>
              <w:left w:w="0" w:type="dxa"/>
            </w:tcMar>
          </w:tcPr>
          <w:p w14:paraId="169C7774" w14:textId="51E3FF97" w:rsidR="00693F29" w:rsidRPr="00D160FB" w:rsidRDefault="00693F29" w:rsidP="001F0A74">
            <w:pPr>
              <w:spacing w:after="220"/>
              <w:rPr>
                <w:sz w:val="14"/>
                <w:szCs w:val="14"/>
                <w:lang w:val="en-GB"/>
              </w:rPr>
            </w:pPr>
            <w:r w:rsidRPr="00D160FB">
              <w:rPr>
                <w:sz w:val="14"/>
                <w:szCs w:val="14"/>
                <w:lang w:val="en-GB"/>
              </w:rPr>
              <w:t>Source</w:t>
            </w:r>
            <w:r w:rsidR="008C3A32" w:rsidRPr="00D160FB">
              <w:rPr>
                <w:sz w:val="14"/>
                <w:szCs w:val="14"/>
                <w:lang w:val="en-GB"/>
              </w:rPr>
              <w:t xml:space="preserve">: </w:t>
            </w:r>
            <w:r w:rsidRPr="00D160FB">
              <w:rPr>
                <w:sz w:val="14"/>
                <w:szCs w:val="14"/>
                <w:lang w:val="en-GB"/>
              </w:rPr>
              <w:t>CZSO</w:t>
            </w:r>
            <w:r w:rsidR="008C3A32" w:rsidRPr="00D160FB">
              <w:rPr>
                <w:sz w:val="14"/>
                <w:szCs w:val="14"/>
                <w:lang w:val="en-GB"/>
              </w:rPr>
              <w:t>, Eurostat</w:t>
            </w:r>
          </w:p>
        </w:tc>
      </w:tr>
      <w:tr w:rsidR="001937F8" w:rsidRPr="00D160FB" w14:paraId="0FD1942D" w14:textId="77777777" w:rsidTr="001937F8">
        <w:trPr>
          <w:trHeight w:val="145"/>
        </w:trPr>
        <w:tc>
          <w:tcPr>
            <w:tcW w:w="1806" w:type="dxa"/>
            <w:shd w:val="clear" w:color="auto" w:fill="auto"/>
            <w:tcMar>
              <w:left w:w="0" w:type="dxa"/>
            </w:tcMar>
          </w:tcPr>
          <w:p w14:paraId="5BCDE240" w14:textId="0AB071CE" w:rsidR="001937F8" w:rsidRPr="00D160FB" w:rsidRDefault="001937F8" w:rsidP="001937F8">
            <w:pPr>
              <w:pStyle w:val="Marginlie"/>
              <w:rPr>
                <w:lang w:val="en-GB"/>
              </w:rPr>
            </w:pPr>
            <w:r w:rsidRPr="00D160FB">
              <w:rPr>
                <w:lang w:val="en-GB"/>
              </w:rPr>
              <w:t xml:space="preserve">The economic growth also slowed down in the EU last year. </w:t>
            </w:r>
          </w:p>
        </w:tc>
        <w:tc>
          <w:tcPr>
            <w:tcW w:w="223" w:type="dxa"/>
            <w:shd w:val="clear" w:color="auto" w:fill="auto"/>
            <w:tcMar>
              <w:left w:w="0" w:type="dxa"/>
            </w:tcMar>
          </w:tcPr>
          <w:p w14:paraId="046D9535"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7B01D191" w14:textId="4B942F1A" w:rsidR="001937F8" w:rsidRPr="00D160FB" w:rsidRDefault="001937F8" w:rsidP="001937F8">
            <w:pPr>
              <w:rPr>
                <w:spacing w:val="-2"/>
                <w:lang w:val="en-GB"/>
              </w:rPr>
            </w:pPr>
            <w:r w:rsidRPr="00D160FB">
              <w:rPr>
                <w:lang w:val="en-GB"/>
              </w:rPr>
              <w:t>The year-on-year GDP growth slowed down in the European Union during the whole year 2022 and reached 1.7%</w:t>
            </w:r>
            <w:r w:rsidRPr="00D160FB">
              <w:rPr>
                <w:rStyle w:val="Znakapoznpodarou"/>
                <w:lang w:val="en-GB"/>
              </w:rPr>
              <w:footnoteReference w:id="2"/>
            </w:r>
            <w:r w:rsidRPr="00D160FB">
              <w:rPr>
                <w:lang w:val="en-GB"/>
              </w:rPr>
              <w:t xml:space="preserve"> in Q4. The quarter-on-quarter dynamics also gradually stifled during the year and it fell by 0.1% compared to Q3 in the Union. Colling down of both consumption and capital expenditures was apparent in the EU</w:t>
            </w:r>
            <w:r w:rsidR="003F7D98">
              <w:rPr>
                <w:lang w:val="en-GB"/>
              </w:rPr>
              <w:t xml:space="preserve"> countries</w:t>
            </w:r>
            <w:r w:rsidRPr="00D160FB">
              <w:rPr>
                <w:lang w:val="en-GB"/>
              </w:rPr>
              <w:t xml:space="preserve"> towards the end of the year. The GDP grew the strongest in Ireland (13.1%), Greece (5.2%) and in Romania (4.9%) year-on-year in Q4. On the contrary, the economies of Estonia (−4.4%), Lithuania (−0.4%) and Sweden (−0.1%) registered decrease compared to the same period of year 2021. Apart from the CR (0.2%), the GDP remained close to year-on-year stagnation also in Finland (0.1%). The GDP in Greece (1.4%), Malta (1.2%) and Cyprus (1.1%) had the largest increase compared to Q3. The GDP slumped the most quarter-on-quarter in Poland (−2.4%) and it was also lower in Estonia (−1.6%), in </w:t>
            </w:r>
            <w:r w:rsidRPr="00D160FB">
              <w:rPr>
                <w:lang w:val="en-GB"/>
              </w:rPr>
              <w:lastRenderedPageBreak/>
              <w:t xml:space="preserve">Finland (−0.6%), Sweden (−0.5%), Lithuania (−0.5%), Hungary (−0.4%), Germany (−0.4%), the Czech Republic (−0.4%) and Italy (−0.1%).     </w:t>
            </w:r>
          </w:p>
        </w:tc>
      </w:tr>
      <w:tr w:rsidR="001937F8" w:rsidRPr="00D160FB" w14:paraId="0B5086D5" w14:textId="77777777" w:rsidTr="001937F8">
        <w:trPr>
          <w:trHeight w:val="145"/>
        </w:trPr>
        <w:tc>
          <w:tcPr>
            <w:tcW w:w="1806" w:type="dxa"/>
            <w:shd w:val="clear" w:color="auto" w:fill="auto"/>
            <w:tcMar>
              <w:left w:w="0" w:type="dxa"/>
            </w:tcMar>
          </w:tcPr>
          <w:p w14:paraId="7E11DEF5" w14:textId="4F41142A" w:rsidR="001937F8" w:rsidRPr="00D160FB" w:rsidRDefault="001937F8" w:rsidP="001937F8">
            <w:pPr>
              <w:pStyle w:val="Marginlie"/>
              <w:rPr>
                <w:lang w:val="en-GB"/>
              </w:rPr>
            </w:pPr>
            <w:r w:rsidRPr="00D160FB">
              <w:rPr>
                <w:lang w:val="en-GB"/>
              </w:rPr>
              <w:lastRenderedPageBreak/>
              <w:t xml:space="preserve">Wages and salaries plummeted in real terms last year. </w:t>
            </w:r>
          </w:p>
        </w:tc>
        <w:tc>
          <w:tcPr>
            <w:tcW w:w="223" w:type="dxa"/>
            <w:shd w:val="clear" w:color="auto" w:fill="auto"/>
            <w:tcMar>
              <w:left w:w="0" w:type="dxa"/>
            </w:tcMar>
          </w:tcPr>
          <w:p w14:paraId="0EA35E42"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2C63CA31" w14:textId="40D1D6B7" w:rsidR="001937F8" w:rsidRPr="00D160FB" w:rsidRDefault="001937F8" w:rsidP="001937F8">
            <w:pPr>
              <w:rPr>
                <w:lang w:val="en-GB"/>
              </w:rPr>
            </w:pPr>
            <w:r w:rsidRPr="00D160FB">
              <w:rPr>
                <w:spacing w:val="-2"/>
                <w:lang w:val="en-GB"/>
              </w:rPr>
              <w:t>The total volume of wages and salaries expanded by 8.8% given the growth of the total employment by 1.7%</w:t>
            </w:r>
            <w:r w:rsidRPr="00D160FB">
              <w:rPr>
                <w:rStyle w:val="Znakapoznpodarou"/>
                <w:spacing w:val="-2"/>
                <w:lang w:val="en-GB"/>
              </w:rPr>
              <w:footnoteReference w:id="3"/>
            </w:r>
            <w:r w:rsidRPr="00D160FB">
              <w:rPr>
                <w:spacing w:val="-2"/>
                <w:lang w:val="en-GB"/>
              </w:rPr>
              <w:t xml:space="preserve"> in year 2022. The nominal addition to wages and salaries thus accelerated in comparison to year 2021 and it was also higher than in the pre-pandemic year 2019. Considering the sharp price hike however the household earnings dropped in real terms. Wages and salaries reduced by 6.4%</w:t>
            </w:r>
            <w:r w:rsidRPr="00D160FB">
              <w:rPr>
                <w:rStyle w:val="Znakapoznpodarou"/>
                <w:spacing w:val="-2"/>
                <w:lang w:val="en-GB"/>
              </w:rPr>
              <w:footnoteReference w:id="4"/>
            </w:r>
            <w:r w:rsidRPr="00D160FB">
              <w:rPr>
                <w:spacing w:val="-2"/>
                <w:lang w:val="en-GB"/>
              </w:rPr>
              <w:t xml:space="preserve"> in real terms last year. Real estate activities recorded the highest increase of the volume of wages and salaries last year (19.5% given the employment growth of 4.3%), which continued in the sharp hike from year 2021. Further strengthening of growth was further observed for branches strongly hit by the pandemic slump. It was the case of trade, transportation, accommodation and food service (growth of wages and salaries by 16.1% given the simultaneous increase of employment by 2.1%) and of other activities</w:t>
            </w:r>
            <w:r w:rsidRPr="00D160FB">
              <w:rPr>
                <w:rStyle w:val="Znakapoznpodarou"/>
                <w:spacing w:val="-2"/>
                <w:lang w:val="en-GB"/>
              </w:rPr>
              <w:footnoteReference w:id="5"/>
            </w:r>
            <w:r w:rsidRPr="00D160FB">
              <w:rPr>
                <w:spacing w:val="-2"/>
                <w:lang w:val="en-GB"/>
              </w:rPr>
              <w:t xml:space="preserve"> (wages and salaries by 14.9%, employment by 0.7%). The strengthening of the dynamics of wages and salaries accompanied by significant increase of employment affected information and communication (13.3% given the employment growth of 3.9%) and construction (10.5%, employment rose by 3.4%). The volume of paid out wages and salaries grew at an above average pace in professional, scientific, technical and administrative activities (9.6%, employment was higher by 1.1%) and also in financial and insurance activities (9.6%, employment grew by 0.5%). The growth of wages and salaries was below average in manufacturing (8.7%, employment growth 0.7%), agriculture, forestry and fishing (7.8%, employment 0.4%) and branches with the predominance of the government sector</w:t>
            </w:r>
            <w:r w:rsidR="005E3854" w:rsidRPr="00D160FB">
              <w:rPr>
                <w:rStyle w:val="Znakapoznpodarou"/>
                <w:spacing w:val="-2"/>
                <w:lang w:val="en-GB"/>
              </w:rPr>
              <w:footnoteReference w:id="6"/>
            </w:r>
            <w:r w:rsidRPr="00D160FB">
              <w:rPr>
                <w:spacing w:val="-2"/>
                <w:lang w:val="en-GB"/>
              </w:rPr>
              <w:t xml:space="preserve"> (1.0%, employment grew by 2.3%) last year. </w:t>
            </w:r>
          </w:p>
        </w:tc>
      </w:tr>
      <w:tr w:rsidR="001937F8" w:rsidRPr="00D160FB" w14:paraId="0193F77F" w14:textId="77777777" w:rsidTr="001937F8">
        <w:trPr>
          <w:trHeight w:val="145"/>
        </w:trPr>
        <w:tc>
          <w:tcPr>
            <w:tcW w:w="1806" w:type="dxa"/>
            <w:shd w:val="clear" w:color="auto" w:fill="auto"/>
            <w:tcMar>
              <w:left w:w="0" w:type="dxa"/>
            </w:tcMar>
          </w:tcPr>
          <w:p w14:paraId="2B51425E" w14:textId="378091ED" w:rsidR="001937F8" w:rsidRPr="00D160FB" w:rsidRDefault="001937F8" w:rsidP="001937F8">
            <w:pPr>
              <w:pStyle w:val="Marginlie"/>
              <w:rPr>
                <w:lang w:val="en-GB"/>
              </w:rPr>
            </w:pPr>
            <w:r w:rsidRPr="00D160FB">
              <w:rPr>
                <w:lang w:val="en-GB"/>
              </w:rPr>
              <w:t xml:space="preserve">Pressure on the growth of nominal wages and salaries was apparent at the end of the year. </w:t>
            </w:r>
          </w:p>
        </w:tc>
        <w:tc>
          <w:tcPr>
            <w:tcW w:w="223" w:type="dxa"/>
            <w:shd w:val="clear" w:color="auto" w:fill="auto"/>
            <w:tcMar>
              <w:left w:w="0" w:type="dxa"/>
            </w:tcMar>
          </w:tcPr>
          <w:p w14:paraId="676BD155"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2E4AAB22" w14:textId="025C7689" w:rsidR="001937F8" w:rsidRPr="00D160FB" w:rsidRDefault="001937F8" w:rsidP="001937F8">
            <w:pPr>
              <w:rPr>
                <w:lang w:val="en-GB"/>
              </w:rPr>
            </w:pPr>
            <w:r w:rsidRPr="00D160FB">
              <w:rPr>
                <w:spacing w:val="-2"/>
                <w:lang w:val="en-GB"/>
              </w:rPr>
              <w:t>In Q4, the year-on-year growth of the volume of paid out wages and salaries slightly accelerated to 8.0%. The wages and salaries rose by 2.2% quarter-on-quarter. The year-on-year growth of employment slowed down to 1.3% and the employment fell by 0.4% quarter-on-quarter. The pressure on the growth of wages thus continued in the high-inflation environment despite the total economic slowdown. The wages and salaries however dived by 8.5% in real terms year-on-year. The wages and salaries grew the most in the real estate area year-on-year in Q4 (18.7% given the employment growth of 2.1%). The notable growth for information and communication continued (13.9% with the employment growth of 5.5%). The year-on-year increase was above average in case of financial and insurance activities (10.8%, employment grew by 0.7%), trade, transportation, accommodation and food service (10.3% given the simultaneous increase of employment by 0.8%), construction (9.8%, employment was higher by 3.2%), manufacturing (9.6%, employment of 0.4%), in professional, scientific, technical and administrative activities (9.6%, employment was higher by 1.6%) and in agriculture, forestry and fishing (8.5%, employment decreased by 2.0% year-on-year). In contrast the wages and salaries in branches with the predominant government sector (1.4% given the employment growth of 2.7%) and other activities (5.8%, employment fell by 1.8%) lagged behind the average growth.</w:t>
            </w:r>
          </w:p>
        </w:tc>
      </w:tr>
      <w:tr w:rsidR="001937F8" w:rsidRPr="00D160FB" w14:paraId="73F9BB65" w14:textId="77777777" w:rsidTr="001937F8">
        <w:trPr>
          <w:trHeight w:val="145"/>
        </w:trPr>
        <w:tc>
          <w:tcPr>
            <w:tcW w:w="1806" w:type="dxa"/>
            <w:shd w:val="clear" w:color="auto" w:fill="auto"/>
            <w:tcMar>
              <w:left w:w="0" w:type="dxa"/>
            </w:tcMar>
          </w:tcPr>
          <w:p w14:paraId="248A62D5" w14:textId="72FB2C0F" w:rsidR="001937F8" w:rsidRPr="00D160FB" w:rsidRDefault="001937F8" w:rsidP="001937F8">
            <w:pPr>
              <w:pStyle w:val="Marginlie"/>
              <w:rPr>
                <w:lang w:val="en-GB"/>
              </w:rPr>
            </w:pPr>
            <w:r w:rsidRPr="00D160FB">
              <w:rPr>
                <w:lang w:val="en-GB"/>
              </w:rPr>
              <w:t xml:space="preserve">Wages and salaries rose in all branches quarter-on-quarter. </w:t>
            </w:r>
          </w:p>
        </w:tc>
        <w:tc>
          <w:tcPr>
            <w:tcW w:w="223" w:type="dxa"/>
            <w:shd w:val="clear" w:color="auto" w:fill="auto"/>
            <w:tcMar>
              <w:left w:w="0" w:type="dxa"/>
            </w:tcMar>
          </w:tcPr>
          <w:p w14:paraId="6BFE58D9"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17A36F83" w14:textId="17061642" w:rsidR="001937F8" w:rsidRPr="00D160FB" w:rsidRDefault="001937F8" w:rsidP="001937F8">
            <w:pPr>
              <w:rPr>
                <w:spacing w:val="-2"/>
                <w:lang w:val="en-GB"/>
              </w:rPr>
            </w:pPr>
            <w:r w:rsidRPr="00D160FB">
              <w:rPr>
                <w:spacing w:val="-2"/>
                <w:lang w:val="en-GB"/>
              </w:rPr>
              <w:t xml:space="preserve">The strengthening of the quarter-on-quarter dynamics of wages and salaries affected the majority of branches in Q4. The earnings rose the most in financial and insurance activities (6.2%), in professional, scientific, technical and administrative activities (5.0%), real estate activities (4.8%), other activities (4.2%), agriculture, forestry and fishing (4.0%) and information and communication (3.0%) quarter-on-quarter. The increase was milder </w:t>
            </w:r>
            <w:r w:rsidRPr="00D160FB">
              <w:rPr>
                <w:spacing w:val="-2"/>
                <w:lang w:val="en-GB"/>
              </w:rPr>
              <w:lastRenderedPageBreak/>
              <w:t xml:space="preserve">in division trade, transportation, accommodation and food service (2.5%), construction (2.1%) and in manufacturing (1.9%). Wages and salaries stagnated in branches with the predominant government sector (0.1%).  </w:t>
            </w:r>
          </w:p>
        </w:tc>
      </w:tr>
      <w:tr w:rsidR="001937F8" w:rsidRPr="00D160FB" w14:paraId="127E68C8" w14:textId="77777777" w:rsidTr="001937F8">
        <w:trPr>
          <w:trHeight w:val="145"/>
        </w:trPr>
        <w:tc>
          <w:tcPr>
            <w:tcW w:w="1806" w:type="dxa"/>
            <w:shd w:val="clear" w:color="auto" w:fill="auto"/>
            <w:tcMar>
              <w:left w:w="0" w:type="dxa"/>
            </w:tcMar>
          </w:tcPr>
          <w:p w14:paraId="4E97047B" w14:textId="6650B1BC" w:rsidR="001937F8" w:rsidRPr="00D160FB" w:rsidRDefault="001937F8" w:rsidP="001937F8">
            <w:pPr>
              <w:pStyle w:val="Marginlie"/>
              <w:rPr>
                <w:lang w:val="en-GB"/>
              </w:rPr>
            </w:pPr>
            <w:r w:rsidRPr="00D160FB">
              <w:rPr>
                <w:lang w:val="en-GB"/>
              </w:rPr>
              <w:lastRenderedPageBreak/>
              <w:t xml:space="preserve">The household consumption plunged. </w:t>
            </w:r>
          </w:p>
        </w:tc>
        <w:tc>
          <w:tcPr>
            <w:tcW w:w="223" w:type="dxa"/>
            <w:shd w:val="clear" w:color="auto" w:fill="auto"/>
            <w:tcMar>
              <w:left w:w="0" w:type="dxa"/>
            </w:tcMar>
          </w:tcPr>
          <w:p w14:paraId="1293C704"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4A46A03F" w14:textId="7536C523" w:rsidR="001937F8" w:rsidRPr="00D160FB" w:rsidRDefault="001937F8" w:rsidP="001937F8">
            <w:pPr>
              <w:rPr>
                <w:spacing w:val="-2"/>
                <w:lang w:val="en-GB"/>
              </w:rPr>
            </w:pPr>
            <w:r w:rsidRPr="00D160FB">
              <w:rPr>
                <w:spacing w:val="-2"/>
                <w:lang w:val="en-GB"/>
              </w:rPr>
              <w:t>Domestic consumption decreased by 0.4% in year 2022. The real level of consumption (in prices of year 2019) thus still did not overtake the year 2019 following the pandemic slump in year 2020. The reduction of expenditures of households (−0.9%), who faced an unprecedented slump of real earnings was definitely the reason of the last year’s decrease. The real level of the household consumption even lagged behind the year 2018. Consumption of the government sector was on the contrary higher by 0.7%. Expenditures on the final consumption worked in the direction of the GDP decrease 0.5 p. p.</w:t>
            </w:r>
            <w:r w:rsidRPr="00D160FB">
              <w:rPr>
                <w:rStyle w:val="Znakapoznpodarou"/>
                <w:spacing w:val="-2"/>
                <w:lang w:val="en-GB"/>
              </w:rPr>
              <w:footnoteReference w:id="7"/>
            </w:r>
            <w:r w:rsidRPr="00D160FB">
              <w:rPr>
                <w:spacing w:val="-2"/>
                <w:lang w:val="en-GB"/>
              </w:rPr>
              <w:t xml:space="preserve">. </w:t>
            </w:r>
            <w:r>
              <w:rPr>
                <w:spacing w:val="-2"/>
                <w:lang w:val="en-GB"/>
              </w:rPr>
              <w:t>T</w:t>
            </w:r>
            <w:r w:rsidRPr="00D160FB">
              <w:rPr>
                <w:spacing w:val="-2"/>
                <w:lang w:val="en-GB"/>
              </w:rPr>
              <w:t xml:space="preserve">he consumption fell year-on-year for the second time in a row in Q4 2022 itself, specifically by 3.4%. In that the household consumption slumped by 5.5%, while the government institutions experienced a mild increase of 0.9%. Quarter-on-quarter, the consumption shrank by 0.6%, for the fifth time in a row. For households the decrease deepened to 2.8% compared to Q3, on the contrary the government institutions recorded a marked increase by 3.9%. </w:t>
            </w:r>
          </w:p>
        </w:tc>
      </w:tr>
      <w:tr w:rsidR="001937F8" w:rsidRPr="00D160FB" w14:paraId="0E6466F5" w14:textId="77777777" w:rsidTr="001937F8">
        <w:trPr>
          <w:trHeight w:val="154"/>
        </w:trPr>
        <w:tc>
          <w:tcPr>
            <w:tcW w:w="1806" w:type="dxa"/>
            <w:vMerge w:val="restart"/>
            <w:shd w:val="clear" w:color="auto" w:fill="auto"/>
            <w:tcMar>
              <w:left w:w="0" w:type="dxa"/>
            </w:tcMar>
          </w:tcPr>
          <w:p w14:paraId="1686769C" w14:textId="77777777" w:rsidR="001937F8" w:rsidRPr="00D160FB" w:rsidRDefault="001937F8" w:rsidP="001937F8">
            <w:pPr>
              <w:pStyle w:val="Marginlie"/>
              <w:rPr>
                <w:lang w:val="en-GB"/>
              </w:rPr>
            </w:pPr>
          </w:p>
        </w:tc>
        <w:tc>
          <w:tcPr>
            <w:tcW w:w="223" w:type="dxa"/>
            <w:vMerge w:val="restart"/>
            <w:shd w:val="clear" w:color="auto" w:fill="auto"/>
            <w:tcMar>
              <w:left w:w="0" w:type="dxa"/>
            </w:tcMar>
          </w:tcPr>
          <w:p w14:paraId="3F80E9C2"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4F947BF6" w14:textId="5EFD3169" w:rsidR="001937F8" w:rsidRPr="00D160FB" w:rsidRDefault="001937F8" w:rsidP="001937F8">
            <w:pPr>
              <w:spacing w:after="0"/>
              <w:rPr>
                <w:lang w:val="en-GB"/>
              </w:rPr>
            </w:pPr>
            <w:r w:rsidRPr="00D160FB">
              <w:rPr>
                <w:b/>
                <w:szCs w:val="20"/>
                <w:lang w:val="en-GB"/>
              </w:rPr>
              <w:t>Chart 2 Contribution of expenditure items to real GDP change</w:t>
            </w:r>
            <w:r w:rsidRPr="00D160FB">
              <w:rPr>
                <w:rFonts w:cs="Arial"/>
                <w:b/>
                <w:szCs w:val="20"/>
                <w:lang w:val="en-GB" w:eastAsia="en-US"/>
              </w:rPr>
              <w:t xml:space="preserve">* </w:t>
            </w:r>
            <w:r w:rsidRPr="00D160FB">
              <w:rPr>
                <w:rFonts w:cs="Arial"/>
                <w:bCs/>
                <w:szCs w:val="20"/>
                <w:lang w:val="en-GB" w:eastAsia="en-US"/>
              </w:rPr>
              <w:t>(volume indices, year-on-year growth, contributions in p.p., GDP in %)</w:t>
            </w:r>
          </w:p>
        </w:tc>
      </w:tr>
      <w:tr w:rsidR="001937F8" w:rsidRPr="00D160FB" w14:paraId="60D37CA8" w14:textId="77777777" w:rsidTr="001937F8">
        <w:tblPrEx>
          <w:tblCellMar>
            <w:left w:w="70" w:type="dxa"/>
            <w:right w:w="70" w:type="dxa"/>
          </w:tblCellMar>
        </w:tblPrEx>
        <w:trPr>
          <w:trHeight w:val="154"/>
        </w:trPr>
        <w:tc>
          <w:tcPr>
            <w:tcW w:w="1806" w:type="dxa"/>
            <w:vMerge/>
          </w:tcPr>
          <w:p w14:paraId="3CCE8FA2" w14:textId="77777777" w:rsidR="001937F8" w:rsidRPr="00D160FB" w:rsidRDefault="001937F8" w:rsidP="001937F8">
            <w:pPr>
              <w:pStyle w:val="Marginlie"/>
              <w:rPr>
                <w:lang w:val="en-GB"/>
              </w:rPr>
            </w:pPr>
          </w:p>
        </w:tc>
        <w:tc>
          <w:tcPr>
            <w:tcW w:w="223" w:type="dxa"/>
            <w:vMerge/>
          </w:tcPr>
          <w:p w14:paraId="5B691064" w14:textId="77777777" w:rsidR="001937F8" w:rsidRPr="00D160FB" w:rsidRDefault="001937F8" w:rsidP="001937F8">
            <w:pPr>
              <w:pStyle w:val="Textpoznpodarou"/>
              <w:jc w:val="both"/>
              <w:rPr>
                <w:spacing w:val="-4"/>
                <w:lang w:val="en-GB"/>
              </w:rPr>
            </w:pPr>
          </w:p>
        </w:tc>
        <w:tc>
          <w:tcPr>
            <w:tcW w:w="7610" w:type="dxa"/>
            <w:shd w:val="clear" w:color="auto" w:fill="auto"/>
          </w:tcPr>
          <w:p w14:paraId="68A6C4A9" w14:textId="39FFC22B" w:rsidR="001937F8" w:rsidRPr="00D160FB" w:rsidRDefault="001937F8" w:rsidP="001937F8">
            <w:pPr>
              <w:spacing w:after="0"/>
              <w:rPr>
                <w:lang w:val="en-GB"/>
              </w:rPr>
            </w:pPr>
            <w:r>
              <w:rPr>
                <w:noProof/>
              </w:rPr>
              <w:drawing>
                <wp:inline distT="0" distB="0" distL="0" distR="0" wp14:anchorId="23C8D100" wp14:editId="6A06BD9F">
                  <wp:extent cx="4743950" cy="3286500"/>
                  <wp:effectExtent l="0" t="0" r="0" b="0"/>
                  <wp:docPr id="1561255586" name="Graf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1937F8" w:rsidRPr="00D160FB" w14:paraId="1170B150" w14:textId="77777777" w:rsidTr="001937F8">
        <w:trPr>
          <w:trHeight w:val="154"/>
        </w:trPr>
        <w:tc>
          <w:tcPr>
            <w:tcW w:w="1806" w:type="dxa"/>
            <w:vMerge/>
            <w:tcMar>
              <w:left w:w="0" w:type="dxa"/>
            </w:tcMar>
          </w:tcPr>
          <w:p w14:paraId="2C621D23" w14:textId="77777777" w:rsidR="001937F8" w:rsidRPr="00D160FB" w:rsidRDefault="001937F8" w:rsidP="001937F8">
            <w:pPr>
              <w:pStyle w:val="Marginlie"/>
              <w:rPr>
                <w:lang w:val="en-GB"/>
              </w:rPr>
            </w:pPr>
          </w:p>
        </w:tc>
        <w:tc>
          <w:tcPr>
            <w:tcW w:w="223" w:type="dxa"/>
            <w:vMerge/>
            <w:tcMar>
              <w:left w:w="0" w:type="dxa"/>
            </w:tcMar>
          </w:tcPr>
          <w:p w14:paraId="4B0494F7"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09D3ABFD" w14:textId="38A144FC" w:rsidR="001937F8" w:rsidRPr="00D160FB" w:rsidRDefault="001937F8" w:rsidP="001937F8">
            <w:pPr>
              <w:spacing w:after="0"/>
              <w:rPr>
                <w:sz w:val="14"/>
                <w:szCs w:val="14"/>
                <w:lang w:val="en-GB"/>
              </w:rPr>
            </w:pPr>
            <w:r w:rsidRPr="00D160FB">
              <w:rPr>
                <w:sz w:val="14"/>
                <w:szCs w:val="14"/>
                <w:lang w:val="en-GB"/>
              </w:rPr>
              <w:t>Source: CZSO</w:t>
            </w:r>
          </w:p>
          <w:p w14:paraId="1879BDBD" w14:textId="4B0FDBF9" w:rsidR="001937F8" w:rsidRPr="001937F8" w:rsidRDefault="001937F8" w:rsidP="001937F8">
            <w:pPr>
              <w:rPr>
                <w:sz w:val="14"/>
                <w:szCs w:val="14"/>
                <w:lang w:val="en-GB"/>
              </w:rPr>
            </w:pPr>
            <w:r w:rsidRPr="00D160FB">
              <w:rPr>
                <w:sz w:val="14"/>
                <w:szCs w:val="14"/>
                <w:lang w:val="en-GB"/>
              </w:rPr>
              <w:t>*</w:t>
            </w:r>
            <w:r w:rsidR="002D6630">
              <w:rPr>
                <w:sz w:val="14"/>
                <w:szCs w:val="14"/>
                <w:lang w:val="en-GB"/>
              </w:rPr>
              <w:t xml:space="preserve"> </w:t>
            </w:r>
            <w:r w:rsidRPr="00D160FB">
              <w:rPr>
                <w:sz w:val="14"/>
                <w:szCs w:val="14"/>
                <w:lang w:val="en-GB"/>
              </w:rPr>
              <w:t>after exclusion of imports for final use</w:t>
            </w:r>
          </w:p>
        </w:tc>
      </w:tr>
      <w:tr w:rsidR="001937F8" w:rsidRPr="00D160FB" w14:paraId="31E2C4F9" w14:textId="77777777" w:rsidTr="001937F8">
        <w:trPr>
          <w:trHeight w:val="145"/>
        </w:trPr>
        <w:tc>
          <w:tcPr>
            <w:tcW w:w="1806" w:type="dxa"/>
            <w:shd w:val="clear" w:color="auto" w:fill="auto"/>
            <w:tcMar>
              <w:left w:w="0" w:type="dxa"/>
            </w:tcMar>
          </w:tcPr>
          <w:p w14:paraId="2B4EFFA3" w14:textId="6853711F" w:rsidR="001937F8" w:rsidRPr="00D160FB" w:rsidRDefault="001937F8" w:rsidP="001937F8">
            <w:pPr>
              <w:pStyle w:val="Marginlie"/>
              <w:rPr>
                <w:lang w:val="en-GB"/>
              </w:rPr>
            </w:pPr>
            <w:r w:rsidRPr="00D160FB">
              <w:rPr>
                <w:lang w:val="en-GB"/>
              </w:rPr>
              <w:t xml:space="preserve">Consumption of services maintained a year-on-year growth. </w:t>
            </w:r>
          </w:p>
        </w:tc>
        <w:tc>
          <w:tcPr>
            <w:tcW w:w="223" w:type="dxa"/>
            <w:shd w:val="clear" w:color="auto" w:fill="auto"/>
            <w:tcMar>
              <w:left w:w="0" w:type="dxa"/>
            </w:tcMar>
          </w:tcPr>
          <w:p w14:paraId="10B1E530"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13B2152B" w14:textId="72F26AB1" w:rsidR="001937F8" w:rsidRPr="00D160FB" w:rsidRDefault="001937F8" w:rsidP="001937F8">
            <w:pPr>
              <w:rPr>
                <w:spacing w:val="-2"/>
                <w:lang w:val="en-GB"/>
              </w:rPr>
            </w:pPr>
            <w:r w:rsidRPr="00D160FB">
              <w:rPr>
                <w:spacing w:val="-2"/>
                <w:lang w:val="en-GB"/>
              </w:rPr>
              <w:t>With regard to durability</w:t>
            </w:r>
            <w:r w:rsidRPr="00D160FB">
              <w:rPr>
                <w:rStyle w:val="Znakapoznpodarou"/>
                <w:lang w:val="en-GB"/>
              </w:rPr>
              <w:footnoteReference w:id="8"/>
            </w:r>
            <w:r w:rsidRPr="00D160FB">
              <w:rPr>
                <w:spacing w:val="-2"/>
                <w:lang w:val="en-GB"/>
              </w:rPr>
              <w:t xml:space="preserve"> the demand for durable goods dropped the most last year (−10.4%). It corresponds to the usual behaviour of consumers, who limit expenditures in just these areas in periods of uncertainty. However, the consumption of non-durable goods recorded the second largest decrease (−5.6%), which is very atypical and points to the restriction of expenditures in the area of essential goods, such as for instance food. Consumption of medium-term durability goods was lower by 1.6%. On the contrary, the increase of consumption strengthened to 7.1% for services last year. The expenditures on durable items lowered year-on-year by 16.4%, medium-term durability goods by 13.2% and short-term durability goods by 7.9% in Q4. Consumption of services </w:t>
            </w:r>
            <w:r w:rsidRPr="00D160FB">
              <w:rPr>
                <w:spacing w:val="-2"/>
                <w:lang w:val="en-GB"/>
              </w:rPr>
              <w:lastRenderedPageBreak/>
              <w:t>maintained year-on-year growth throughout the whole year and it went up by 2.7% in Q4. Compared to Q3, only the consumption of non-durable goods was falling (−3.6%), while the slump was deepening. The consumption of services (2.3%) and further durable goods (1.7%) grew the most quarter-on-quarter. The medium-term consumption recorded stagnation (0.3%) following a series of four deep slumps.</w:t>
            </w:r>
          </w:p>
        </w:tc>
      </w:tr>
      <w:tr w:rsidR="001937F8" w:rsidRPr="00D160FB" w14:paraId="5C5F7992" w14:textId="77777777" w:rsidTr="001937F8">
        <w:trPr>
          <w:trHeight w:val="145"/>
        </w:trPr>
        <w:tc>
          <w:tcPr>
            <w:tcW w:w="1806" w:type="dxa"/>
            <w:shd w:val="clear" w:color="auto" w:fill="auto"/>
            <w:tcMar>
              <w:left w:w="0" w:type="dxa"/>
            </w:tcMar>
          </w:tcPr>
          <w:p w14:paraId="63AB60B1" w14:textId="0B9DF1FE" w:rsidR="001937F8" w:rsidRPr="00D160FB" w:rsidRDefault="001937F8" w:rsidP="001937F8">
            <w:pPr>
              <w:pStyle w:val="Marginlie"/>
              <w:rPr>
                <w:lang w:val="en-GB"/>
              </w:rPr>
            </w:pPr>
            <w:r w:rsidRPr="00D160FB">
              <w:rPr>
                <w:lang w:val="en-GB"/>
              </w:rPr>
              <w:lastRenderedPageBreak/>
              <w:t xml:space="preserve">Investment went up last year. </w:t>
            </w:r>
          </w:p>
        </w:tc>
        <w:tc>
          <w:tcPr>
            <w:tcW w:w="223" w:type="dxa"/>
            <w:shd w:val="clear" w:color="auto" w:fill="auto"/>
            <w:tcMar>
              <w:left w:w="0" w:type="dxa"/>
            </w:tcMar>
          </w:tcPr>
          <w:p w14:paraId="40A95725"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3B80EF0C" w14:textId="6C31797A" w:rsidR="001937F8" w:rsidRPr="00D160FB" w:rsidRDefault="001937F8" w:rsidP="001937F8">
            <w:pPr>
              <w:rPr>
                <w:lang w:val="en-GB"/>
              </w:rPr>
            </w:pPr>
            <w:r w:rsidRPr="00D160FB">
              <w:rPr>
                <w:spacing w:val="-2"/>
                <w:lang w:val="en-GB"/>
              </w:rPr>
              <w:t>Expenditures on gross capital formation went up by 8.4% in real terms last year. In that expenditures on gross fixed capital formation (investment) were higher by 6.2%. In addition the inventory stock was also growing</w:t>
            </w:r>
            <w:r w:rsidRPr="00D160FB">
              <w:rPr>
                <w:rStyle w:val="Znakapoznpodarou"/>
                <w:lang w:val="en-GB"/>
              </w:rPr>
              <w:footnoteReference w:id="9"/>
            </w:r>
            <w:r w:rsidRPr="00D160FB">
              <w:rPr>
                <w:spacing w:val="-2"/>
                <w:lang w:val="en-GB"/>
              </w:rPr>
              <w:t xml:space="preserve"> – while it represented mainly the unfinished products in industry in year 2021, the natural gas supplies also had an effect last year. The gross capital formation added to the last year’s GDP growth 2.3 p.p., in that fixed capital 1.4 p.p. Year-on-year growth of the expenditures on gross capital formation gradually weakened during the year – the addition reached 2.6% in Q4. In that however investment expanded by 4.6%. Quarter-on-quarter however, the gross capital formation reduced by 1.3% (second decrease in a row). Investment activity fell quarter-on-quarter for the first time since Q1, specifically by 1.1%.       </w:t>
            </w:r>
          </w:p>
        </w:tc>
      </w:tr>
      <w:tr w:rsidR="001937F8" w:rsidRPr="00D160FB" w14:paraId="1D0DFB42" w14:textId="77777777" w:rsidTr="001937F8">
        <w:trPr>
          <w:trHeight w:val="145"/>
        </w:trPr>
        <w:tc>
          <w:tcPr>
            <w:tcW w:w="1806" w:type="dxa"/>
            <w:shd w:val="clear" w:color="auto" w:fill="auto"/>
            <w:tcMar>
              <w:left w:w="0" w:type="dxa"/>
            </w:tcMar>
          </w:tcPr>
          <w:p w14:paraId="55C7CA8D" w14:textId="06E49807" w:rsidR="001937F8" w:rsidRPr="00D160FB" w:rsidRDefault="001937F8" w:rsidP="001937F8">
            <w:pPr>
              <w:pStyle w:val="Marginlie"/>
              <w:rPr>
                <w:lang w:val="en-GB"/>
              </w:rPr>
            </w:pPr>
            <w:r w:rsidRPr="00D160FB">
              <w:rPr>
                <w:lang w:val="en-GB"/>
              </w:rPr>
              <w:t xml:space="preserve">Investment into housing were falling. </w:t>
            </w:r>
          </w:p>
        </w:tc>
        <w:tc>
          <w:tcPr>
            <w:tcW w:w="223" w:type="dxa"/>
            <w:shd w:val="clear" w:color="auto" w:fill="auto"/>
            <w:tcMar>
              <w:left w:w="0" w:type="dxa"/>
            </w:tcMar>
          </w:tcPr>
          <w:p w14:paraId="6CB26E5E"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1441029D" w14:textId="49A8E4E2" w:rsidR="001937F8" w:rsidRPr="00D160FB" w:rsidRDefault="001937F8" w:rsidP="001937F8">
            <w:pPr>
              <w:rPr>
                <w:lang w:val="en-GB"/>
              </w:rPr>
            </w:pPr>
            <w:r w:rsidRPr="00D160FB">
              <w:rPr>
                <w:spacing w:val="-2"/>
                <w:lang w:val="en-GB"/>
              </w:rPr>
              <w:t>Type classification of gross fixed capital formation documents the concerns of households and downswing of the real estate market associated with the increase of the interest rates and worsened accessibility of mortgages. Because investment into housing decreased by 1.2% last year. On the other hand investment into transport equipment (14.9%), other buildings and structures (8.9%), intellectual property products (6.3%) as well as ICT and other machinery and equipment (5.9%) grew. Year-on-year development in Q4 resembled the year-round development – only investment into housing fell by 4.7%, but growth of the other investment items continues. Expenditures on intellectual property products were thus year-on-year by 9.7% higher, on ICT and other machinery and equipment by 7.6%, on other buildings and structures by 4.7% and on transport equipment by 2.6%. The quarter-on-quarter dynamics however shows that investment into other buildings and structures (−7.3%) as well as transport equipment (−4.</w:t>
            </w:r>
            <w:r>
              <w:rPr>
                <w:spacing w:val="-2"/>
                <w:lang w:val="en-GB"/>
              </w:rPr>
              <w:t>0</w:t>
            </w:r>
            <w:r w:rsidRPr="00D160FB">
              <w:rPr>
                <w:spacing w:val="-2"/>
                <w:lang w:val="en-GB"/>
              </w:rPr>
              <w:t>%) considerably slowed down towards the end of the year. Expenditures on housing were slightly lower (−0.7%). Investment into the intellectual property products (5.5%) and ICT and other machinery and equipment (0.6%) in contrast grew quarter-on-quarter.</w:t>
            </w:r>
          </w:p>
        </w:tc>
      </w:tr>
      <w:tr w:rsidR="001937F8" w:rsidRPr="00D160FB" w14:paraId="648559DB" w14:textId="77777777" w:rsidTr="001937F8">
        <w:trPr>
          <w:trHeight w:val="145"/>
        </w:trPr>
        <w:tc>
          <w:tcPr>
            <w:tcW w:w="1806" w:type="dxa"/>
            <w:shd w:val="clear" w:color="auto" w:fill="auto"/>
            <w:tcMar>
              <w:left w:w="0" w:type="dxa"/>
            </w:tcMar>
          </w:tcPr>
          <w:p w14:paraId="3C6CCB9F" w14:textId="4B42BDDB" w:rsidR="001937F8" w:rsidRPr="00D160FB" w:rsidRDefault="001937F8" w:rsidP="001937F8">
            <w:pPr>
              <w:pStyle w:val="Marginlie"/>
              <w:rPr>
                <w:lang w:val="en-GB"/>
              </w:rPr>
            </w:pPr>
            <w:r w:rsidRPr="00D160FB">
              <w:rPr>
                <w:lang w:val="en-GB"/>
              </w:rPr>
              <w:t xml:space="preserve">Foreign demand contributed to the GDP growth last year. </w:t>
            </w:r>
          </w:p>
        </w:tc>
        <w:tc>
          <w:tcPr>
            <w:tcW w:w="223" w:type="dxa"/>
            <w:shd w:val="clear" w:color="auto" w:fill="auto"/>
            <w:tcMar>
              <w:left w:w="0" w:type="dxa"/>
            </w:tcMar>
          </w:tcPr>
          <w:p w14:paraId="34CC78E4"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23468C69" w14:textId="659C6AAA" w:rsidR="001937F8" w:rsidRPr="00D160FB" w:rsidRDefault="001937F8" w:rsidP="001937F8">
            <w:pPr>
              <w:rPr>
                <w:lang w:val="en-GB"/>
              </w:rPr>
            </w:pPr>
            <w:r w:rsidRPr="00D160FB">
              <w:rPr>
                <w:lang w:val="en-GB"/>
              </w:rPr>
              <w:t>Export of goods and services expanded by 5.7%</w:t>
            </w:r>
            <w:r w:rsidRPr="00D160FB">
              <w:rPr>
                <w:rStyle w:val="Znakapoznpodarou"/>
                <w:lang w:val="en-GB"/>
              </w:rPr>
              <w:footnoteReference w:id="10"/>
            </w:r>
            <w:r w:rsidRPr="00D160FB">
              <w:rPr>
                <w:lang w:val="en-GB"/>
              </w:rPr>
              <w:t xml:space="preserve"> in real terms in year 2022. In that the export of goods rose by 3.8%, while services recorded a significant increase of 16.7%. Import was also by 5</w:t>
            </w:r>
            <w:r w:rsidR="002D6630">
              <w:rPr>
                <w:lang w:val="en-GB"/>
              </w:rPr>
              <w:t>.</w:t>
            </w:r>
            <w:r w:rsidRPr="00D160FB">
              <w:rPr>
                <w:lang w:val="en-GB"/>
              </w:rPr>
              <w:t>7% higher in real terms last year. Addition to import of goods was moderate (2.6%), but services managed to be catching up the pandemic slump (26.9%). Foreign demand had a positive effect on the real GDP growth last year (contribution 0.6 p.p.). Total balance of foreign trade with goods and services in current prices deteriorated by 187.6 CZK bn last year and fell into the 8.3 bn deficit, the first since the year 2003. Mainly the trade with goods stood behind this development (total deficit 100.4 CZK bn, worsening by 170.6 bn), but the balance of trade with services also developed in the adverse direction (worsening of surplus by 17.0 CZK bn to 92.1 bn). Steep rise of the prices of oil and natural gas as well as other materials, which further transferred to prices of other goods, played a key role in the dramatic worsening.</w:t>
            </w:r>
          </w:p>
        </w:tc>
      </w:tr>
      <w:tr w:rsidR="001937F8" w:rsidRPr="00D160FB" w14:paraId="6956BC7C" w14:textId="77777777" w:rsidTr="001937F8">
        <w:trPr>
          <w:trHeight w:val="145"/>
        </w:trPr>
        <w:tc>
          <w:tcPr>
            <w:tcW w:w="1806" w:type="dxa"/>
            <w:shd w:val="clear" w:color="auto" w:fill="auto"/>
            <w:tcMar>
              <w:left w:w="0" w:type="dxa"/>
            </w:tcMar>
          </w:tcPr>
          <w:p w14:paraId="6AD50BDC" w14:textId="14576869" w:rsidR="001937F8" w:rsidRPr="00D160FB" w:rsidRDefault="001937F8" w:rsidP="001937F8">
            <w:pPr>
              <w:pStyle w:val="Marginlie"/>
              <w:rPr>
                <w:lang w:val="en-GB"/>
              </w:rPr>
            </w:pPr>
            <w:r w:rsidRPr="00D160FB">
              <w:rPr>
                <w:lang w:val="en-GB"/>
              </w:rPr>
              <w:t xml:space="preserve">Foreign trade balance worsened year-on-year. </w:t>
            </w:r>
          </w:p>
        </w:tc>
        <w:tc>
          <w:tcPr>
            <w:tcW w:w="223" w:type="dxa"/>
            <w:shd w:val="clear" w:color="auto" w:fill="auto"/>
            <w:tcMar>
              <w:left w:w="0" w:type="dxa"/>
            </w:tcMar>
          </w:tcPr>
          <w:p w14:paraId="0A34E6F1"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2A8C744F" w14:textId="73C6CA4D" w:rsidR="001937F8" w:rsidRPr="00D160FB" w:rsidRDefault="001937F8" w:rsidP="001937F8">
            <w:pPr>
              <w:rPr>
                <w:lang w:val="en-GB"/>
              </w:rPr>
            </w:pPr>
            <w:r w:rsidRPr="00D160FB">
              <w:rPr>
                <w:lang w:val="en-GB"/>
              </w:rPr>
              <w:t>The export of goods and services increased by 9.7% in real terms year-on-year in Q4. In that, the export of goods grew by 8.2% and services by 18.</w:t>
            </w:r>
            <w:r>
              <w:rPr>
                <w:lang w:val="en-GB"/>
              </w:rPr>
              <w:t>4</w:t>
            </w:r>
            <w:r w:rsidRPr="00D160FB">
              <w:rPr>
                <w:lang w:val="en-GB"/>
              </w:rPr>
              <w:t xml:space="preserve">%. The strong year-on-year real growth was also connected to the weak comparative basis from the second </w:t>
            </w:r>
            <w:r w:rsidRPr="00D160FB">
              <w:rPr>
                <w:lang w:val="en-GB"/>
              </w:rPr>
              <w:lastRenderedPageBreak/>
              <w:t xml:space="preserve">half of year 2021, when the culminating shortage of components complicated situation to exporters. Import increased by 7.6% year-on-year in Q4. Import of goods was by 3.7% in real terms, services featured a sharp jump of 33.3%. Foreign demand had a favourable effect on the year-on-year growth of GDP in Q4, the increase attained 2.4 p.p. Quarter-on-quarter, the export of goods and services rose by 0.5% in Q4 – it fell by 0.8% for goods, while services prospered (growth of 7.5%). Import stagnated quarter-on-quarter – import of goods fell by 1.5%, on the contrary the addition reached 8.1% for services. Total balance of foreign trade with goods and services in current prices deteriorated by 4.9 CZK bn year-on-year in Q4, it however remained in surplus (11.1 bn). Balance of trade with goods ended in deficit 4.4 CZK bn (year-on-year improvement of 10.6 bn). In case of services, the positive balance worsened by 15.6 CZK bn to 15.4 bn.      </w:t>
            </w:r>
          </w:p>
        </w:tc>
      </w:tr>
      <w:tr w:rsidR="001937F8" w:rsidRPr="00D160FB" w14:paraId="064D4BEB" w14:textId="77777777" w:rsidTr="001937F8">
        <w:trPr>
          <w:trHeight w:val="145"/>
        </w:trPr>
        <w:tc>
          <w:tcPr>
            <w:tcW w:w="1806" w:type="dxa"/>
            <w:shd w:val="clear" w:color="auto" w:fill="auto"/>
            <w:tcMar>
              <w:left w:w="0" w:type="dxa"/>
            </w:tcMar>
          </w:tcPr>
          <w:p w14:paraId="3F89CD52" w14:textId="4569B9EE" w:rsidR="001937F8" w:rsidRPr="00D160FB" w:rsidRDefault="001937F8" w:rsidP="001937F8">
            <w:pPr>
              <w:pStyle w:val="Marginlie"/>
              <w:rPr>
                <w:lang w:val="en-GB"/>
              </w:rPr>
            </w:pPr>
            <w:r w:rsidRPr="00D160FB">
              <w:rPr>
                <w:lang w:val="en-GB"/>
              </w:rPr>
              <w:lastRenderedPageBreak/>
              <w:t xml:space="preserve">Gross value added grew mostly thanks to services last year. </w:t>
            </w:r>
          </w:p>
        </w:tc>
        <w:tc>
          <w:tcPr>
            <w:tcW w:w="223" w:type="dxa"/>
            <w:shd w:val="clear" w:color="auto" w:fill="auto"/>
            <w:tcMar>
              <w:left w:w="0" w:type="dxa"/>
            </w:tcMar>
          </w:tcPr>
          <w:p w14:paraId="24968853"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3DF8A135" w14:textId="00027AC5" w:rsidR="001937F8" w:rsidRPr="00D160FB" w:rsidRDefault="001937F8" w:rsidP="001937F8">
            <w:pPr>
              <w:rPr>
                <w:lang w:val="en-GB"/>
              </w:rPr>
            </w:pPr>
            <w:r w:rsidRPr="00D160FB">
              <w:rPr>
                <w:lang w:val="en-GB"/>
              </w:rPr>
              <w:t xml:space="preserve">The Gross value added (GVA) increased by 2.5% in year 2022. Mainly services contributed to growth, while various difficulties persisted in industry – disruption of supplies of components or the raised prices of energies and materials. The GVA increased the most in other activities (9.5%), where the increase was affected by the low comparative bases of the first half of the year 2021. Growth was considerable in information and communication (5.0%), professional, scientific, technical and administrative activities (3.6%) and in division trade, transportation, accommodation and food service (3.4%). Gross value added grew also in manufacturing (2.9%), industry as a whole grew slower (1.6%). Real estate activities also increased last year (2.9%) following two previous falls. GVA increase in construction (1.9%), financial and insurance activities (1.6%) and branches with the dominant government institutions (1.2%) was mild. Only agriculture, forestry and fishing recorded decrease (−2.4%).    </w:t>
            </w:r>
          </w:p>
        </w:tc>
      </w:tr>
      <w:tr w:rsidR="001937F8" w:rsidRPr="00D160FB" w14:paraId="6245C10A" w14:textId="77777777" w:rsidTr="001937F8">
        <w:trPr>
          <w:trHeight w:val="142"/>
        </w:trPr>
        <w:tc>
          <w:tcPr>
            <w:tcW w:w="1806" w:type="dxa"/>
            <w:vMerge w:val="restart"/>
            <w:shd w:val="clear" w:color="auto" w:fill="auto"/>
            <w:tcMar>
              <w:left w:w="0" w:type="dxa"/>
            </w:tcMar>
          </w:tcPr>
          <w:p w14:paraId="38E1E5EA" w14:textId="77777777" w:rsidR="001937F8" w:rsidRPr="00D160FB" w:rsidRDefault="001937F8" w:rsidP="001937F8">
            <w:pPr>
              <w:pStyle w:val="Marginlie"/>
              <w:rPr>
                <w:lang w:val="en-GB"/>
              </w:rPr>
            </w:pPr>
          </w:p>
        </w:tc>
        <w:tc>
          <w:tcPr>
            <w:tcW w:w="223" w:type="dxa"/>
            <w:vMerge w:val="restart"/>
            <w:shd w:val="clear" w:color="auto" w:fill="auto"/>
            <w:tcMar>
              <w:left w:w="0" w:type="dxa"/>
            </w:tcMar>
          </w:tcPr>
          <w:p w14:paraId="4D3E0E49"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60B6DCE9" w14:textId="04F00EB7" w:rsidR="001937F8" w:rsidRPr="00D160FB" w:rsidRDefault="001937F8" w:rsidP="001937F8">
            <w:pPr>
              <w:spacing w:after="0"/>
              <w:rPr>
                <w:lang w:val="en-GB"/>
              </w:rPr>
            </w:pPr>
            <w:r w:rsidRPr="00D160FB">
              <w:rPr>
                <w:b/>
                <w:szCs w:val="20"/>
                <w:lang w:val="en-GB"/>
              </w:rPr>
              <w:t>Chart 3 Contributions</w:t>
            </w:r>
            <w:r w:rsidRPr="00D160FB">
              <w:rPr>
                <w:b/>
                <w:szCs w:val="20"/>
                <w:lang w:val="en-GB" w:eastAsia="en-US"/>
              </w:rPr>
              <w:t xml:space="preserve"> of branches to real change in GVA</w:t>
            </w:r>
            <w:r w:rsidRPr="00D160FB">
              <w:rPr>
                <w:rFonts w:cs="Arial"/>
                <w:b/>
                <w:szCs w:val="20"/>
                <w:lang w:val="en-GB" w:eastAsia="en-US"/>
              </w:rPr>
              <w:t xml:space="preserve"> </w:t>
            </w:r>
            <w:r w:rsidRPr="00D160FB">
              <w:rPr>
                <w:rFonts w:cs="Arial"/>
                <w:bCs/>
                <w:szCs w:val="20"/>
                <w:lang w:val="en-GB" w:eastAsia="en-US"/>
              </w:rPr>
              <w:t>(volume indices, year-on-year contributions in p.p., GVA in %)</w:t>
            </w:r>
            <w:r w:rsidRPr="00D160FB">
              <w:rPr>
                <w:rFonts w:cs="Arial"/>
                <w:szCs w:val="20"/>
                <w:lang w:val="en-GB" w:eastAsia="en-US"/>
              </w:rPr>
              <w:t xml:space="preserve"> </w:t>
            </w:r>
          </w:p>
        </w:tc>
      </w:tr>
      <w:tr w:rsidR="001937F8" w:rsidRPr="00D160FB" w14:paraId="51A633BC" w14:textId="77777777" w:rsidTr="001937F8">
        <w:trPr>
          <w:trHeight w:val="142"/>
        </w:trPr>
        <w:tc>
          <w:tcPr>
            <w:tcW w:w="1806" w:type="dxa"/>
            <w:vMerge/>
            <w:shd w:val="clear" w:color="auto" w:fill="auto"/>
            <w:tcMar>
              <w:left w:w="0" w:type="dxa"/>
            </w:tcMar>
          </w:tcPr>
          <w:p w14:paraId="0B95347C" w14:textId="77777777" w:rsidR="001937F8" w:rsidRPr="00D160FB" w:rsidRDefault="001937F8" w:rsidP="001937F8">
            <w:pPr>
              <w:pStyle w:val="Marginlie"/>
              <w:rPr>
                <w:lang w:val="en-GB"/>
              </w:rPr>
            </w:pPr>
          </w:p>
        </w:tc>
        <w:tc>
          <w:tcPr>
            <w:tcW w:w="223" w:type="dxa"/>
            <w:vMerge/>
            <w:shd w:val="clear" w:color="auto" w:fill="auto"/>
            <w:tcMar>
              <w:left w:w="0" w:type="dxa"/>
            </w:tcMar>
          </w:tcPr>
          <w:p w14:paraId="760B2A1F"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255BE67E" w14:textId="08714432" w:rsidR="001937F8" w:rsidRPr="00D160FB" w:rsidRDefault="001937F8" w:rsidP="001937F8">
            <w:pPr>
              <w:spacing w:after="0"/>
              <w:rPr>
                <w:lang w:val="en-GB"/>
              </w:rPr>
            </w:pPr>
            <w:r>
              <w:rPr>
                <w:noProof/>
              </w:rPr>
              <w:drawing>
                <wp:inline distT="0" distB="0" distL="0" distR="0" wp14:anchorId="7C51F11A" wp14:editId="6E9B6276">
                  <wp:extent cx="4731250" cy="3315075"/>
                  <wp:effectExtent l="0" t="0" r="0" b="0"/>
                  <wp:docPr id="2018448021" name="Graf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1937F8" w:rsidRPr="00D160FB" w14:paraId="5B61CAFF" w14:textId="77777777" w:rsidTr="001937F8">
        <w:trPr>
          <w:trHeight w:val="142"/>
        </w:trPr>
        <w:tc>
          <w:tcPr>
            <w:tcW w:w="1806" w:type="dxa"/>
            <w:vMerge/>
            <w:shd w:val="clear" w:color="auto" w:fill="auto"/>
            <w:tcMar>
              <w:left w:w="0" w:type="dxa"/>
            </w:tcMar>
          </w:tcPr>
          <w:p w14:paraId="701B8378" w14:textId="77777777" w:rsidR="001937F8" w:rsidRPr="00D160FB" w:rsidRDefault="001937F8" w:rsidP="001937F8">
            <w:pPr>
              <w:pStyle w:val="Marginlie"/>
              <w:rPr>
                <w:lang w:val="en-GB"/>
              </w:rPr>
            </w:pPr>
          </w:p>
        </w:tc>
        <w:tc>
          <w:tcPr>
            <w:tcW w:w="223" w:type="dxa"/>
            <w:vMerge/>
            <w:shd w:val="clear" w:color="auto" w:fill="auto"/>
            <w:tcMar>
              <w:left w:w="0" w:type="dxa"/>
            </w:tcMar>
          </w:tcPr>
          <w:p w14:paraId="6A8F7A11"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1D4AD889" w14:textId="5A1D37FC" w:rsidR="001937F8" w:rsidRPr="00D160FB" w:rsidRDefault="001937F8" w:rsidP="001937F8">
            <w:pPr>
              <w:rPr>
                <w:lang w:val="en-GB"/>
              </w:rPr>
            </w:pPr>
            <w:r w:rsidRPr="00D160FB">
              <w:rPr>
                <w:sz w:val="14"/>
                <w:szCs w:val="14"/>
                <w:lang w:val="en-GB"/>
              </w:rPr>
              <w:t>Source: CZSO</w:t>
            </w:r>
          </w:p>
        </w:tc>
      </w:tr>
      <w:tr w:rsidR="001937F8" w:rsidRPr="00D160FB" w14:paraId="5A9C6CF8" w14:textId="77777777" w:rsidTr="001937F8">
        <w:trPr>
          <w:trHeight w:val="60"/>
        </w:trPr>
        <w:tc>
          <w:tcPr>
            <w:tcW w:w="1806" w:type="dxa"/>
            <w:shd w:val="clear" w:color="auto" w:fill="auto"/>
            <w:tcMar>
              <w:left w:w="0" w:type="dxa"/>
            </w:tcMar>
          </w:tcPr>
          <w:p w14:paraId="7888A773" w14:textId="16A78B04" w:rsidR="001937F8" w:rsidRPr="00D160FB" w:rsidRDefault="001937F8" w:rsidP="001937F8">
            <w:pPr>
              <w:pStyle w:val="Marginlie"/>
              <w:rPr>
                <w:lang w:val="en-GB"/>
              </w:rPr>
            </w:pPr>
            <w:r w:rsidRPr="00D160FB">
              <w:rPr>
                <w:lang w:val="en-GB"/>
              </w:rPr>
              <w:t xml:space="preserve">GVA growth in manufacturing notably revived at the end of the year. </w:t>
            </w:r>
          </w:p>
        </w:tc>
        <w:tc>
          <w:tcPr>
            <w:tcW w:w="223" w:type="dxa"/>
            <w:shd w:val="clear" w:color="auto" w:fill="auto"/>
            <w:tcMar>
              <w:left w:w="0" w:type="dxa"/>
            </w:tcMar>
          </w:tcPr>
          <w:p w14:paraId="2D8CDA8B" w14:textId="77777777" w:rsidR="001937F8" w:rsidRPr="00D160FB" w:rsidRDefault="001937F8" w:rsidP="001937F8">
            <w:pPr>
              <w:pStyle w:val="Textpoznpodarou"/>
              <w:jc w:val="both"/>
              <w:rPr>
                <w:spacing w:val="-4"/>
                <w:lang w:val="en-GB"/>
              </w:rPr>
            </w:pPr>
          </w:p>
        </w:tc>
        <w:tc>
          <w:tcPr>
            <w:tcW w:w="7610" w:type="dxa"/>
            <w:shd w:val="clear" w:color="auto" w:fill="auto"/>
            <w:tcMar>
              <w:left w:w="0" w:type="dxa"/>
            </w:tcMar>
          </w:tcPr>
          <w:p w14:paraId="0FA8D267" w14:textId="348CD406" w:rsidR="001937F8" w:rsidRPr="00D160FB" w:rsidRDefault="001937F8" w:rsidP="001937F8">
            <w:pPr>
              <w:rPr>
                <w:szCs w:val="20"/>
                <w:lang w:val="en-GB"/>
              </w:rPr>
            </w:pPr>
            <w:r w:rsidRPr="00D160FB">
              <w:rPr>
                <w:lang w:val="en-GB"/>
              </w:rPr>
              <w:t xml:space="preserve">The GVA increased by 1.0% year-on-year in Q4 and it increased by 0.3% quarter-on-quarter. Relatively substantial difference between the dynamics of GDP and GVA in Q4 was caused by the real decrease of collected taxes on products, which was connected to the slump of household consumption. Increased subsidies also had an effect in the </w:t>
            </w:r>
            <w:r w:rsidRPr="00D160FB">
              <w:rPr>
                <w:lang w:val="en-GB"/>
              </w:rPr>
              <w:lastRenderedPageBreak/>
              <w:t>similar direction. The GVA grew the most in manufacturing (6.0%), in real estate areas (5.1%), in other activities (2.7%) and in information and communication (2.5%) year-on-year in Q4. GVA grew only modestly in branches with the dominant government sector (0.7%) and in financial and insurance activities (0.6%) year-on-year. Division trade, accommodation and food service (−2.9%), construction (−2.8%), agriculture, forestry and fishing (−1.4%) and professional, scientific and administrative activities (−0.2%) recorded a year-on-year GVA decrease. GVA in financial and insurance activities (3.6%), real estate activities (2.4%), manufacturing (1.6%) and in branches with the dominant government sector (1.2%) achieved the largest GVA increase compared to Q3. Construction (0.9%) and agriculture, forestry and fishing (0.8%) also experienced a revival. Other activities slightly grew (0.3%). GVA was falling quarter-on-quarter in information and communication (−1.4%) for the first time since Q2 2020 and it was also lower in division trade, transportation, accommodation and food service (−0.3%).</w:t>
            </w:r>
          </w:p>
        </w:tc>
      </w:tr>
      <w:bookmarkEnd w:id="0"/>
      <w:bookmarkEnd w:id="1"/>
      <w:bookmarkEnd w:id="2"/>
      <w:bookmarkEnd w:id="3"/>
      <w:bookmarkEnd w:id="4"/>
      <w:bookmarkEnd w:id="5"/>
      <w:bookmarkEnd w:id="6"/>
    </w:tbl>
    <w:p w14:paraId="6D687C14" w14:textId="3DB28A8F" w:rsidR="001C3855" w:rsidRPr="00D160FB" w:rsidRDefault="001C3855" w:rsidP="00C15537">
      <w:pPr>
        <w:pStyle w:val="Nadpis11"/>
        <w:rPr>
          <w:sz w:val="2"/>
          <w:szCs w:val="2"/>
          <w:lang w:val="en-GB"/>
        </w:rPr>
      </w:pPr>
    </w:p>
    <w:sectPr w:rsidR="001C3855" w:rsidRPr="00D160FB" w:rsidSect="00302429">
      <w:headerReference w:type="even" r:id="rId15"/>
      <w:headerReference w:type="default" r:id="rId16"/>
      <w:footerReference w:type="even" r:id="rId17"/>
      <w:footerReference w:type="default" r:id="rId18"/>
      <w:pgSz w:w="11906" w:h="16838" w:code="9"/>
      <w:pgMar w:top="1134" w:right="1134" w:bottom="1418" w:left="1134" w:header="680" w:footer="737"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133C" w14:textId="77777777" w:rsidR="00E37C1C" w:rsidRDefault="00E37C1C" w:rsidP="00E71A58">
      <w:r>
        <w:separator/>
      </w:r>
    </w:p>
  </w:endnote>
  <w:endnote w:type="continuationSeparator" w:id="0">
    <w:p w14:paraId="1942F10C" w14:textId="77777777" w:rsidR="00E37C1C" w:rsidRDefault="00E37C1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B6C8" w14:textId="4780870B" w:rsidR="00E37C1C" w:rsidRPr="00932443" w:rsidRDefault="00E37C1C"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BB354D">
      <w:rPr>
        <w:szCs w:val="16"/>
      </w:rPr>
      <w:t>52</w:t>
    </w:r>
    <w:r w:rsidRPr="00932443">
      <w:rPr>
        <w:szCs w:val="16"/>
      </w:rPr>
      <w:fldChar w:fldCharType="end"/>
    </w:r>
    <w:r w:rsidRPr="00932443">
      <w:rPr>
        <w:szCs w:val="16"/>
      </w:rPr>
      <w:tab/>
    </w:r>
    <w:r>
      <w:rPr>
        <w:szCs w:val="16"/>
      </w:rPr>
      <w:t>year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FAF" w14:textId="5D38B351" w:rsidR="00E37C1C" w:rsidRPr="00932443" w:rsidRDefault="00E37C1C" w:rsidP="00FA6CB6">
    <w:pPr>
      <w:pStyle w:val="Zpat"/>
      <w:rPr>
        <w:szCs w:val="16"/>
      </w:rPr>
    </w:pPr>
    <w:r>
      <w:rPr>
        <w:lang w:eastAsia="cs-CZ"/>
      </w:rPr>
      <w:drawing>
        <wp:anchor distT="0" distB="0" distL="114300" distR="114300" simplePos="0" relativeHeight="251670016" behindDoc="0" locked="0" layoutInCell="1" allowOverlap="1" wp14:anchorId="12E9288F" wp14:editId="581FC53F">
          <wp:simplePos x="0" y="0"/>
          <wp:positionH relativeFrom="margin">
            <wp:align>left</wp:align>
          </wp:positionH>
          <wp:positionV relativeFrom="paragraph">
            <wp:posOffset>-66675</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CB6">
      <w:rPr>
        <w:szCs w:val="16"/>
      </w:rPr>
      <w:tab/>
    </w:r>
    <w:r>
      <w:rPr>
        <w:szCs w:val="16"/>
      </w:rPr>
      <w:t>year 2022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BB354D">
      <w:rPr>
        <w:rStyle w:val="ZpatChar"/>
        <w:szCs w:val="16"/>
      </w:rPr>
      <w:t>51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A97B" w14:textId="77777777" w:rsidR="00E37C1C" w:rsidRDefault="00E37C1C" w:rsidP="00A21B4D">
      <w:pPr>
        <w:spacing w:after="0"/>
      </w:pPr>
      <w:r>
        <w:separator/>
      </w:r>
    </w:p>
  </w:footnote>
  <w:footnote w:type="continuationSeparator" w:id="0">
    <w:p w14:paraId="5E251132" w14:textId="77777777" w:rsidR="00E37C1C" w:rsidRDefault="00E37C1C" w:rsidP="00E71A58">
      <w:r>
        <w:continuationSeparator/>
      </w:r>
    </w:p>
  </w:footnote>
  <w:footnote w:id="1">
    <w:p w14:paraId="59991990" w14:textId="7DD237B8" w:rsidR="00E37C1C" w:rsidRPr="000348AF" w:rsidRDefault="00E37C1C" w:rsidP="00693F29">
      <w:pPr>
        <w:pStyle w:val="Textpoznpodarou"/>
        <w:jc w:val="both"/>
        <w:rPr>
          <w:sz w:val="16"/>
          <w:szCs w:val="16"/>
        </w:rPr>
      </w:pPr>
      <w:r w:rsidRPr="000348AF">
        <w:rPr>
          <w:rStyle w:val="Znakapoznpodarou"/>
          <w:sz w:val="16"/>
          <w:szCs w:val="16"/>
        </w:rPr>
        <w:footnoteRef/>
      </w:r>
      <w:r w:rsidRPr="000348AF">
        <w:rPr>
          <w:sz w:val="16"/>
          <w:szCs w:val="16"/>
        </w:rPr>
        <w:t xml:space="preserve"> </w:t>
      </w:r>
      <w:r w:rsidRPr="00CE719A">
        <w:rPr>
          <w:sz w:val="16"/>
          <w:szCs w:val="16"/>
          <w:lang w:val="en-GB"/>
        </w:rPr>
        <w:t>The development of the GDP, gross value added and their components is expressed with the help of the volume indices (</w:t>
      </w:r>
      <w:proofErr w:type="gramStart"/>
      <w:r w:rsidRPr="00CE719A">
        <w:rPr>
          <w:sz w:val="16"/>
          <w:szCs w:val="16"/>
          <w:lang w:val="en-GB"/>
        </w:rPr>
        <w:t>i.e.</w:t>
      </w:r>
      <w:proofErr w:type="gramEnd"/>
      <w:r w:rsidRPr="00CE719A">
        <w:rPr>
          <w:sz w:val="16"/>
          <w:szCs w:val="16"/>
          <w:lang w:val="en-GB"/>
        </w:rPr>
        <w:t xml:space="preserve"> adjusted for changes in prices) and adjusted for seasonal and calendar effects. Data are valid as of </w:t>
      </w:r>
      <w:r>
        <w:rPr>
          <w:sz w:val="16"/>
          <w:szCs w:val="16"/>
          <w:lang w:val="en-GB"/>
        </w:rPr>
        <w:t>3rd</w:t>
      </w:r>
      <w:r w:rsidRPr="00CE719A">
        <w:rPr>
          <w:sz w:val="16"/>
          <w:szCs w:val="16"/>
          <w:lang w:val="en-GB"/>
        </w:rPr>
        <w:t xml:space="preserve"> </w:t>
      </w:r>
      <w:r>
        <w:rPr>
          <w:sz w:val="16"/>
          <w:szCs w:val="16"/>
          <w:lang w:val="en-GB"/>
        </w:rPr>
        <w:t xml:space="preserve">March </w:t>
      </w:r>
      <w:r w:rsidRPr="00CE719A">
        <w:rPr>
          <w:sz w:val="16"/>
          <w:szCs w:val="16"/>
          <w:lang w:val="en-GB"/>
        </w:rPr>
        <w:t>202</w:t>
      </w:r>
      <w:r>
        <w:rPr>
          <w:sz w:val="16"/>
          <w:szCs w:val="16"/>
          <w:lang w:val="en-GB"/>
        </w:rPr>
        <w:t>3</w:t>
      </w:r>
      <w:r w:rsidRPr="00CE719A">
        <w:rPr>
          <w:sz w:val="16"/>
          <w:szCs w:val="16"/>
          <w:lang w:val="en-GB"/>
        </w:rPr>
        <w:t>.</w:t>
      </w:r>
    </w:p>
  </w:footnote>
  <w:footnote w:id="2">
    <w:p w14:paraId="69B6BB68" w14:textId="77777777" w:rsidR="00E37C1C" w:rsidRPr="001E74E3" w:rsidRDefault="00E37C1C" w:rsidP="00693F29">
      <w:pPr>
        <w:pStyle w:val="Textpoznpodarou"/>
        <w:jc w:val="both"/>
        <w:rPr>
          <w:sz w:val="16"/>
          <w:szCs w:val="16"/>
        </w:rPr>
      </w:pPr>
      <w:r w:rsidRPr="001E74E3">
        <w:rPr>
          <w:rStyle w:val="Znakapoznpodarou"/>
          <w:sz w:val="16"/>
          <w:szCs w:val="16"/>
        </w:rPr>
        <w:footnoteRef/>
      </w:r>
      <w:r w:rsidRPr="001E74E3">
        <w:rPr>
          <w:sz w:val="16"/>
          <w:szCs w:val="16"/>
        </w:rPr>
        <w:t xml:space="preserve"> </w:t>
      </w:r>
      <w:r w:rsidRPr="009D3F73">
        <w:rPr>
          <w:sz w:val="16"/>
          <w:szCs w:val="16"/>
          <w:lang w:val="en-GB"/>
        </w:rPr>
        <w:t xml:space="preserve">Data </w:t>
      </w:r>
      <w:r>
        <w:rPr>
          <w:sz w:val="16"/>
          <w:szCs w:val="16"/>
          <w:lang w:val="en-GB"/>
        </w:rPr>
        <w:t xml:space="preserve">for Luxembourg were not available. </w:t>
      </w:r>
    </w:p>
  </w:footnote>
  <w:footnote w:id="3">
    <w:p w14:paraId="1A5023D1" w14:textId="00029B5B" w:rsidR="00E37C1C" w:rsidRPr="00FD125F" w:rsidRDefault="00E37C1C" w:rsidP="00125D17">
      <w:pPr>
        <w:pStyle w:val="Textpoznpodarou"/>
        <w:jc w:val="both"/>
        <w:rPr>
          <w:lang w:val="en-GB"/>
        </w:rPr>
      </w:pPr>
      <w:r w:rsidRPr="009C6EA8">
        <w:rPr>
          <w:rStyle w:val="Znakapoznpodarou"/>
          <w:sz w:val="16"/>
          <w:szCs w:val="16"/>
        </w:rPr>
        <w:footnoteRef/>
      </w:r>
      <w:r w:rsidRPr="009C6EA8">
        <w:rPr>
          <w:sz w:val="16"/>
          <w:szCs w:val="16"/>
        </w:rPr>
        <w:t xml:space="preserve"> </w:t>
      </w:r>
      <w:r w:rsidRPr="00FD125F">
        <w:rPr>
          <w:sz w:val="16"/>
          <w:szCs w:val="16"/>
          <w:lang w:val="en-GB"/>
        </w:rPr>
        <w:t xml:space="preserve">Employment data in the national accounts conception (persons), figure seasonally adjusted.  </w:t>
      </w:r>
    </w:p>
  </w:footnote>
  <w:footnote w:id="4">
    <w:p w14:paraId="0F7ACE03" w14:textId="706F0AE9" w:rsidR="00E37C1C" w:rsidRPr="00FD125F" w:rsidRDefault="00E37C1C" w:rsidP="00125D17">
      <w:pPr>
        <w:pStyle w:val="Textpoznpodarou"/>
        <w:jc w:val="both"/>
        <w:rPr>
          <w:sz w:val="16"/>
          <w:szCs w:val="16"/>
          <w:lang w:val="en-GB"/>
        </w:rPr>
      </w:pPr>
      <w:r w:rsidRPr="00FD125F">
        <w:rPr>
          <w:rStyle w:val="Znakapoznpodarou"/>
          <w:sz w:val="16"/>
          <w:szCs w:val="16"/>
          <w:lang w:val="en-GB"/>
        </w:rPr>
        <w:footnoteRef/>
      </w:r>
      <w:r w:rsidRPr="00FD125F">
        <w:rPr>
          <w:sz w:val="16"/>
          <w:szCs w:val="16"/>
          <w:lang w:val="en-GB"/>
        </w:rPr>
        <w:t xml:space="preserve"> Converted into the real expression using the deflator of household consumption.</w:t>
      </w:r>
    </w:p>
  </w:footnote>
  <w:footnote w:id="5">
    <w:p w14:paraId="753E0EB2" w14:textId="64CF8798" w:rsidR="00E37C1C" w:rsidRPr="00FD125F" w:rsidRDefault="00E37C1C" w:rsidP="00125D17">
      <w:pPr>
        <w:pStyle w:val="Textpoznpodarou"/>
        <w:jc w:val="both"/>
        <w:rPr>
          <w:sz w:val="16"/>
          <w:szCs w:val="16"/>
          <w:lang w:val="en-GB"/>
        </w:rPr>
      </w:pPr>
      <w:r w:rsidRPr="00FD125F">
        <w:rPr>
          <w:rStyle w:val="Znakapoznpodarou"/>
          <w:sz w:val="16"/>
          <w:szCs w:val="16"/>
          <w:lang w:val="en-GB"/>
        </w:rPr>
        <w:footnoteRef/>
      </w:r>
      <w:r w:rsidRPr="00FD125F">
        <w:rPr>
          <w:sz w:val="16"/>
          <w:szCs w:val="16"/>
          <w:lang w:val="en-GB"/>
        </w:rPr>
        <w:t xml:space="preserve"> T</w:t>
      </w:r>
      <w:r>
        <w:rPr>
          <w:sz w:val="16"/>
          <w:szCs w:val="16"/>
          <w:lang w:val="en-GB"/>
        </w:rPr>
        <w:t xml:space="preserve">his section includes activities of organisations uniting persons for the purpose of advancing their common interests, repairs of computers and personal and household goods and number of other personal services </w:t>
      </w:r>
      <w:r w:rsidRPr="00FD125F">
        <w:rPr>
          <w:sz w:val="16"/>
          <w:szCs w:val="16"/>
          <w:lang w:val="en-GB"/>
        </w:rPr>
        <w:t>(</w:t>
      </w:r>
      <w:r>
        <w:rPr>
          <w:sz w:val="16"/>
          <w:szCs w:val="16"/>
          <w:lang w:val="en-GB"/>
        </w:rPr>
        <w:t>hairdressing and other beauty treatment etc.</w:t>
      </w:r>
      <w:r w:rsidRPr="00FD125F">
        <w:rPr>
          <w:sz w:val="16"/>
          <w:szCs w:val="16"/>
          <w:lang w:val="en-GB"/>
        </w:rPr>
        <w:t>).</w:t>
      </w:r>
    </w:p>
  </w:footnote>
  <w:footnote w:id="6">
    <w:p w14:paraId="4D26F1E3" w14:textId="77777777" w:rsidR="00E37C1C" w:rsidRPr="00FD125F" w:rsidRDefault="00E37C1C" w:rsidP="005E3854">
      <w:pPr>
        <w:pStyle w:val="Textpoznpodarou"/>
        <w:jc w:val="both"/>
        <w:rPr>
          <w:sz w:val="16"/>
          <w:szCs w:val="16"/>
          <w:lang w:val="en-GB"/>
        </w:rPr>
      </w:pPr>
      <w:r w:rsidRPr="00FD125F">
        <w:rPr>
          <w:rStyle w:val="Znakapoznpodarou"/>
          <w:sz w:val="16"/>
          <w:szCs w:val="16"/>
          <w:lang w:val="en-GB"/>
        </w:rPr>
        <w:footnoteRef/>
      </w:r>
      <w:r w:rsidRPr="00FD125F">
        <w:rPr>
          <w:sz w:val="16"/>
          <w:szCs w:val="16"/>
          <w:lang w:val="en-GB"/>
        </w:rPr>
        <w:t xml:space="preserve"> Public administration, education, health and social work. </w:t>
      </w:r>
    </w:p>
  </w:footnote>
  <w:footnote w:id="7">
    <w:p w14:paraId="2AB60143" w14:textId="0D8870FE" w:rsidR="00E37C1C" w:rsidRPr="009C6EA8" w:rsidRDefault="00E37C1C" w:rsidP="008C3A32">
      <w:pPr>
        <w:pStyle w:val="Textpoznpodarou"/>
        <w:rPr>
          <w:sz w:val="16"/>
          <w:szCs w:val="16"/>
        </w:rPr>
      </w:pPr>
      <w:r w:rsidRPr="009C6EA8">
        <w:rPr>
          <w:rStyle w:val="Znakapoznpodarou"/>
          <w:sz w:val="16"/>
          <w:szCs w:val="16"/>
        </w:rPr>
        <w:footnoteRef/>
      </w:r>
      <w:r w:rsidRPr="009C6EA8">
        <w:rPr>
          <w:sz w:val="16"/>
          <w:szCs w:val="16"/>
        </w:rPr>
        <w:t xml:space="preserve"> </w:t>
      </w:r>
      <w:r w:rsidRPr="001C0409">
        <w:rPr>
          <w:sz w:val="16"/>
          <w:szCs w:val="16"/>
          <w:lang w:val="en-GB"/>
        </w:rPr>
        <w:t>Additions to the GDP change after exclusion of imports for final use.</w:t>
      </w:r>
    </w:p>
  </w:footnote>
  <w:footnote w:id="8">
    <w:p w14:paraId="235B4381" w14:textId="402C0123" w:rsidR="00E37C1C" w:rsidRPr="000456B6" w:rsidRDefault="00E37C1C" w:rsidP="000456B6">
      <w:pPr>
        <w:pStyle w:val="Textpoznpodarou"/>
        <w:jc w:val="both"/>
        <w:rPr>
          <w:sz w:val="16"/>
          <w:szCs w:val="16"/>
          <w:lang w:val="en-GB"/>
        </w:rPr>
      </w:pPr>
      <w:r w:rsidRPr="00954992">
        <w:rPr>
          <w:rStyle w:val="Znakapoznpodarou"/>
          <w:sz w:val="16"/>
          <w:szCs w:val="16"/>
        </w:rPr>
        <w:footnoteRef/>
      </w:r>
      <w:r w:rsidRPr="00954992">
        <w:rPr>
          <w:sz w:val="16"/>
          <w:szCs w:val="16"/>
        </w:rPr>
        <w:t xml:space="preserve"> </w:t>
      </w:r>
      <w:r w:rsidRPr="000456B6">
        <w:rPr>
          <w:sz w:val="16"/>
          <w:szCs w:val="16"/>
          <w:lang w:val="en-GB"/>
        </w:rPr>
        <w:t>Data regarding consumption based on durability are in domestic conception.</w:t>
      </w:r>
    </w:p>
  </w:footnote>
  <w:footnote w:id="9">
    <w:p w14:paraId="7F396F5F" w14:textId="1A27475A" w:rsidR="00E37C1C" w:rsidRPr="004831F6" w:rsidRDefault="00E37C1C" w:rsidP="000456B6">
      <w:pPr>
        <w:pStyle w:val="Textpoznpodarou"/>
        <w:jc w:val="both"/>
        <w:rPr>
          <w:sz w:val="16"/>
          <w:szCs w:val="16"/>
        </w:rPr>
      </w:pPr>
      <w:r w:rsidRPr="000456B6">
        <w:rPr>
          <w:rStyle w:val="Znakapoznpodarou"/>
          <w:sz w:val="16"/>
          <w:szCs w:val="16"/>
          <w:lang w:val="en-GB"/>
        </w:rPr>
        <w:footnoteRef/>
      </w:r>
      <w:r w:rsidRPr="000456B6">
        <w:rPr>
          <w:sz w:val="16"/>
          <w:szCs w:val="16"/>
          <w:lang w:val="en-GB"/>
        </w:rPr>
        <w:t xml:space="preserve"> Change of inventories (in current prices and seasonally adjusted) attained 392.4 CZK bn last year and 104.9 bn in Q4 itself. The indicator in constant prices grew in total last year due to the development in H1. The change of the inventory stock was slightly </w:t>
      </w:r>
      <w:proofErr w:type="gramStart"/>
      <w:r w:rsidRPr="000456B6">
        <w:rPr>
          <w:sz w:val="16"/>
          <w:szCs w:val="16"/>
          <w:lang w:val="en-GB"/>
        </w:rPr>
        <w:t>lower  in</w:t>
      </w:r>
      <w:proofErr w:type="gramEnd"/>
      <w:r w:rsidRPr="000456B6">
        <w:rPr>
          <w:sz w:val="16"/>
          <w:szCs w:val="16"/>
          <w:lang w:val="en-GB"/>
        </w:rPr>
        <w:t xml:space="preserve"> real terms year-on-year in Q4 2022.</w:t>
      </w:r>
      <w:r>
        <w:rPr>
          <w:sz w:val="16"/>
          <w:szCs w:val="16"/>
        </w:rPr>
        <w:t xml:space="preserve"> </w:t>
      </w:r>
    </w:p>
  </w:footnote>
  <w:footnote w:id="10">
    <w:p w14:paraId="5972829A" w14:textId="16ED2D9E" w:rsidR="00E37C1C" w:rsidRPr="00167B30" w:rsidRDefault="00E37C1C" w:rsidP="008C3A32">
      <w:pPr>
        <w:pStyle w:val="Textpoznpodarou"/>
        <w:rPr>
          <w:sz w:val="16"/>
          <w:szCs w:val="16"/>
        </w:rPr>
      </w:pPr>
      <w:r w:rsidRPr="00167B30">
        <w:rPr>
          <w:rStyle w:val="Znakapoznpodarou"/>
          <w:sz w:val="16"/>
          <w:szCs w:val="16"/>
        </w:rPr>
        <w:footnoteRef/>
      </w:r>
      <w:r w:rsidRPr="00167B30">
        <w:rPr>
          <w:sz w:val="16"/>
          <w:szCs w:val="16"/>
        </w:rPr>
        <w:t xml:space="preserve"> </w:t>
      </w:r>
      <w:r w:rsidRPr="00A00EFF">
        <w:rPr>
          <w:sz w:val="16"/>
          <w:szCs w:val="16"/>
          <w:lang w:val="en-GB"/>
        </w:rPr>
        <w:t>According to the methodology of quarterly national accounts (</w:t>
      </w:r>
      <w:r>
        <w:rPr>
          <w:sz w:val="16"/>
          <w:szCs w:val="16"/>
          <w:lang w:val="en-GB"/>
        </w:rPr>
        <w:t xml:space="preserve">export and import </w:t>
      </w:r>
      <w:r w:rsidRPr="00A00EFF">
        <w:rPr>
          <w:sz w:val="16"/>
          <w:szCs w:val="16"/>
          <w:lang w:val="en-GB"/>
        </w:rPr>
        <w:t>in FOB/FOB prices).</w:t>
      </w:r>
      <w:r>
        <w:rPr>
          <w:sz w:val="16"/>
          <w:szCs w:val="16"/>
          <w:lang w:val="en-GB"/>
        </w:rPr>
        <w:t xml:space="preserve"> Foreign trade balance in current prices and after seasonal adjustment.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A67" w14:textId="6899CCC7" w:rsidR="00E37C1C" w:rsidRPr="00262B30" w:rsidRDefault="00E37C1C" w:rsidP="00937AE2">
    <w:pPr>
      <w:pStyle w:val="Zhlav"/>
      <w:rPr>
        <w:lang w:val="en-GB"/>
      </w:rPr>
    </w:pPr>
    <w:r w:rsidRPr="00262B30">
      <w:rPr>
        <w:lang w:val="en-GB"/>
      </w:rPr>
      <w:t>The Czech Economy Development</w:t>
    </w:r>
  </w:p>
  <w:p w14:paraId="3E881AB3" w14:textId="77777777" w:rsidR="00E37C1C" w:rsidRPr="006F5416" w:rsidRDefault="00E37C1C"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D3DB" w14:textId="407F6A42" w:rsidR="00E37C1C" w:rsidRPr="00262B30" w:rsidRDefault="00E37C1C" w:rsidP="00937AE2">
    <w:pPr>
      <w:pStyle w:val="Zhlav"/>
      <w:rPr>
        <w:lang w:val="en-GB"/>
      </w:rPr>
    </w:pPr>
    <w:r w:rsidRPr="00262B30">
      <w:rPr>
        <w:lang w:val="en-GB"/>
      </w:rPr>
      <w:t>The Czech Economy Development</w:t>
    </w:r>
  </w:p>
  <w:p w14:paraId="57266714" w14:textId="77777777" w:rsidR="00E37C1C" w:rsidRPr="006F5416" w:rsidRDefault="00E37C1C"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28220310">
    <w:abstractNumId w:val="25"/>
  </w:num>
  <w:num w:numId="2" w16cid:durableId="670375540">
    <w:abstractNumId w:val="8"/>
  </w:num>
  <w:num w:numId="3" w16cid:durableId="2098867897">
    <w:abstractNumId w:val="3"/>
  </w:num>
  <w:num w:numId="4" w16cid:durableId="549193360">
    <w:abstractNumId w:val="2"/>
  </w:num>
  <w:num w:numId="5" w16cid:durableId="52126910">
    <w:abstractNumId w:val="1"/>
  </w:num>
  <w:num w:numId="6" w16cid:durableId="775442807">
    <w:abstractNumId w:val="0"/>
  </w:num>
  <w:num w:numId="7" w16cid:durableId="1384719231">
    <w:abstractNumId w:val="9"/>
  </w:num>
  <w:num w:numId="8" w16cid:durableId="697119485">
    <w:abstractNumId w:val="7"/>
  </w:num>
  <w:num w:numId="9" w16cid:durableId="1001153288">
    <w:abstractNumId w:val="6"/>
  </w:num>
  <w:num w:numId="10" w16cid:durableId="1909488694">
    <w:abstractNumId w:val="5"/>
  </w:num>
  <w:num w:numId="11" w16cid:durableId="281041759">
    <w:abstractNumId w:val="4"/>
  </w:num>
  <w:num w:numId="12" w16cid:durableId="1726367254">
    <w:abstractNumId w:val="15"/>
  </w:num>
  <w:num w:numId="13" w16cid:durableId="2116559951">
    <w:abstractNumId w:val="27"/>
  </w:num>
  <w:num w:numId="14" w16cid:durableId="1395474044">
    <w:abstractNumId w:val="14"/>
  </w:num>
  <w:num w:numId="15" w16cid:durableId="493961053">
    <w:abstractNumId w:val="20"/>
  </w:num>
  <w:num w:numId="16" w16cid:durableId="1286352367">
    <w:abstractNumId w:val="16"/>
  </w:num>
  <w:num w:numId="17" w16cid:durableId="2053066444">
    <w:abstractNumId w:val="28"/>
  </w:num>
  <w:num w:numId="18" w16cid:durableId="112795144">
    <w:abstractNumId w:val="21"/>
  </w:num>
  <w:num w:numId="19" w16cid:durableId="1327130238">
    <w:abstractNumId w:val="29"/>
  </w:num>
  <w:num w:numId="20" w16cid:durableId="452403738">
    <w:abstractNumId w:val="30"/>
  </w:num>
  <w:num w:numId="21" w16cid:durableId="732393256">
    <w:abstractNumId w:val="26"/>
  </w:num>
  <w:num w:numId="22" w16cid:durableId="921135234">
    <w:abstractNumId w:val="19"/>
  </w:num>
  <w:num w:numId="23" w16cid:durableId="1274216490">
    <w:abstractNumId w:val="17"/>
  </w:num>
  <w:num w:numId="24" w16cid:durableId="2004888184">
    <w:abstractNumId w:val="18"/>
  </w:num>
  <w:num w:numId="25" w16cid:durableId="390660536">
    <w:abstractNumId w:val="13"/>
  </w:num>
  <w:num w:numId="26" w16cid:durableId="914241952">
    <w:abstractNumId w:val="23"/>
  </w:num>
  <w:num w:numId="27" w16cid:durableId="1594585796">
    <w:abstractNumId w:val="22"/>
  </w:num>
  <w:num w:numId="28" w16cid:durableId="1499076826">
    <w:abstractNumId w:val="10"/>
  </w:num>
  <w:num w:numId="29" w16cid:durableId="30349636">
    <w:abstractNumId w:val="30"/>
  </w:num>
  <w:num w:numId="30" w16cid:durableId="1851409715">
    <w:abstractNumId w:val="24"/>
  </w:num>
  <w:num w:numId="31" w16cid:durableId="1620143949">
    <w:abstractNumId w:val="12"/>
  </w:num>
  <w:num w:numId="32" w16cid:durableId="1643804339">
    <w:abstractNumId w:val="31"/>
  </w:num>
  <w:num w:numId="33" w16cid:durableId="1401948313">
    <w:abstractNumId w:val="30"/>
  </w:num>
  <w:num w:numId="34" w16cid:durableId="11355621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994"/>
    <w:rsid w:val="00000B55"/>
    <w:rsid w:val="00001065"/>
    <w:rsid w:val="0000209D"/>
    <w:rsid w:val="000021B8"/>
    <w:rsid w:val="00002566"/>
    <w:rsid w:val="0000370A"/>
    <w:rsid w:val="00003849"/>
    <w:rsid w:val="00003F5C"/>
    <w:rsid w:val="000044CE"/>
    <w:rsid w:val="00004D5A"/>
    <w:rsid w:val="00005219"/>
    <w:rsid w:val="000056D5"/>
    <w:rsid w:val="00005D9E"/>
    <w:rsid w:val="000063D5"/>
    <w:rsid w:val="00006625"/>
    <w:rsid w:val="00006ABD"/>
    <w:rsid w:val="00006B67"/>
    <w:rsid w:val="00006C0B"/>
    <w:rsid w:val="00006D54"/>
    <w:rsid w:val="00006DE8"/>
    <w:rsid w:val="000073A0"/>
    <w:rsid w:val="0000767A"/>
    <w:rsid w:val="00007ABE"/>
    <w:rsid w:val="00010256"/>
    <w:rsid w:val="000103BB"/>
    <w:rsid w:val="00010702"/>
    <w:rsid w:val="00010A2C"/>
    <w:rsid w:val="0001128E"/>
    <w:rsid w:val="00011912"/>
    <w:rsid w:val="00011D8A"/>
    <w:rsid w:val="00011FC2"/>
    <w:rsid w:val="000129B7"/>
    <w:rsid w:val="00012C8A"/>
    <w:rsid w:val="0001387D"/>
    <w:rsid w:val="00014ED0"/>
    <w:rsid w:val="00016420"/>
    <w:rsid w:val="00016BDB"/>
    <w:rsid w:val="00017B01"/>
    <w:rsid w:val="000200BE"/>
    <w:rsid w:val="000200D8"/>
    <w:rsid w:val="000205D1"/>
    <w:rsid w:val="00020F22"/>
    <w:rsid w:val="00021623"/>
    <w:rsid w:val="0002195D"/>
    <w:rsid w:val="00021F9B"/>
    <w:rsid w:val="000228AE"/>
    <w:rsid w:val="000233D1"/>
    <w:rsid w:val="000234D6"/>
    <w:rsid w:val="00023D29"/>
    <w:rsid w:val="00024348"/>
    <w:rsid w:val="00024DC3"/>
    <w:rsid w:val="00025428"/>
    <w:rsid w:val="00026109"/>
    <w:rsid w:val="0002622B"/>
    <w:rsid w:val="00026389"/>
    <w:rsid w:val="00026608"/>
    <w:rsid w:val="0002669F"/>
    <w:rsid w:val="000279E5"/>
    <w:rsid w:val="000305E0"/>
    <w:rsid w:val="0003092C"/>
    <w:rsid w:val="00030B13"/>
    <w:rsid w:val="00031AE0"/>
    <w:rsid w:val="00031BB2"/>
    <w:rsid w:val="00031EAB"/>
    <w:rsid w:val="000322EF"/>
    <w:rsid w:val="000330D2"/>
    <w:rsid w:val="00033FCD"/>
    <w:rsid w:val="000348AF"/>
    <w:rsid w:val="00034B70"/>
    <w:rsid w:val="00034DF7"/>
    <w:rsid w:val="00034E68"/>
    <w:rsid w:val="000350C8"/>
    <w:rsid w:val="000351A6"/>
    <w:rsid w:val="00036195"/>
    <w:rsid w:val="000374B2"/>
    <w:rsid w:val="000376C0"/>
    <w:rsid w:val="0003779B"/>
    <w:rsid w:val="00040088"/>
    <w:rsid w:val="000403A7"/>
    <w:rsid w:val="00040632"/>
    <w:rsid w:val="0004096E"/>
    <w:rsid w:val="000411B1"/>
    <w:rsid w:val="00041266"/>
    <w:rsid w:val="00041AFC"/>
    <w:rsid w:val="00041CEC"/>
    <w:rsid w:val="00041D02"/>
    <w:rsid w:val="00041DC8"/>
    <w:rsid w:val="00042596"/>
    <w:rsid w:val="00042A4A"/>
    <w:rsid w:val="00042C5F"/>
    <w:rsid w:val="00044183"/>
    <w:rsid w:val="0004431D"/>
    <w:rsid w:val="00044AAC"/>
    <w:rsid w:val="000456B6"/>
    <w:rsid w:val="00045C4E"/>
    <w:rsid w:val="0004694F"/>
    <w:rsid w:val="00046F2F"/>
    <w:rsid w:val="00047AD4"/>
    <w:rsid w:val="00047D54"/>
    <w:rsid w:val="00050541"/>
    <w:rsid w:val="0005054A"/>
    <w:rsid w:val="00050A87"/>
    <w:rsid w:val="00051506"/>
    <w:rsid w:val="00051AAB"/>
    <w:rsid w:val="00051ADB"/>
    <w:rsid w:val="00051F88"/>
    <w:rsid w:val="000522E4"/>
    <w:rsid w:val="000525C4"/>
    <w:rsid w:val="00053713"/>
    <w:rsid w:val="000541F4"/>
    <w:rsid w:val="0005434E"/>
    <w:rsid w:val="00054477"/>
    <w:rsid w:val="00054B9B"/>
    <w:rsid w:val="0005576C"/>
    <w:rsid w:val="00055CB6"/>
    <w:rsid w:val="00055F11"/>
    <w:rsid w:val="000572DD"/>
    <w:rsid w:val="00057B1E"/>
    <w:rsid w:val="0006033F"/>
    <w:rsid w:val="000607D9"/>
    <w:rsid w:val="000610E1"/>
    <w:rsid w:val="000616AD"/>
    <w:rsid w:val="000622A6"/>
    <w:rsid w:val="000623C5"/>
    <w:rsid w:val="00062D6D"/>
    <w:rsid w:val="00062D70"/>
    <w:rsid w:val="00062EC5"/>
    <w:rsid w:val="00062F22"/>
    <w:rsid w:val="00063975"/>
    <w:rsid w:val="00063CEA"/>
    <w:rsid w:val="0006444D"/>
    <w:rsid w:val="000645FC"/>
    <w:rsid w:val="00065252"/>
    <w:rsid w:val="00065296"/>
    <w:rsid w:val="0006533F"/>
    <w:rsid w:val="00065348"/>
    <w:rsid w:val="0006551C"/>
    <w:rsid w:val="0006558D"/>
    <w:rsid w:val="00065A75"/>
    <w:rsid w:val="00065F67"/>
    <w:rsid w:val="000663F0"/>
    <w:rsid w:val="00066558"/>
    <w:rsid w:val="000671DB"/>
    <w:rsid w:val="00067737"/>
    <w:rsid w:val="00067982"/>
    <w:rsid w:val="00070A87"/>
    <w:rsid w:val="000712B3"/>
    <w:rsid w:val="00071A7C"/>
    <w:rsid w:val="00071E38"/>
    <w:rsid w:val="00071FF1"/>
    <w:rsid w:val="00072FF5"/>
    <w:rsid w:val="000735EF"/>
    <w:rsid w:val="00073A5A"/>
    <w:rsid w:val="0007474E"/>
    <w:rsid w:val="00074959"/>
    <w:rsid w:val="00074988"/>
    <w:rsid w:val="0007512B"/>
    <w:rsid w:val="00075551"/>
    <w:rsid w:val="0007621D"/>
    <w:rsid w:val="000767F5"/>
    <w:rsid w:val="00076D90"/>
    <w:rsid w:val="00077A49"/>
    <w:rsid w:val="00077FF0"/>
    <w:rsid w:val="00081542"/>
    <w:rsid w:val="00081A55"/>
    <w:rsid w:val="0008263E"/>
    <w:rsid w:val="00082C19"/>
    <w:rsid w:val="00082F89"/>
    <w:rsid w:val="00083457"/>
    <w:rsid w:val="000834ED"/>
    <w:rsid w:val="000837CD"/>
    <w:rsid w:val="00083B7F"/>
    <w:rsid w:val="00084BFF"/>
    <w:rsid w:val="00085395"/>
    <w:rsid w:val="00086433"/>
    <w:rsid w:val="00086896"/>
    <w:rsid w:val="00086AC1"/>
    <w:rsid w:val="00086D19"/>
    <w:rsid w:val="00087634"/>
    <w:rsid w:val="00087F2B"/>
    <w:rsid w:val="00090694"/>
    <w:rsid w:val="000909D5"/>
    <w:rsid w:val="00090EE2"/>
    <w:rsid w:val="00090FA5"/>
    <w:rsid w:val="00090FC6"/>
    <w:rsid w:val="0009122C"/>
    <w:rsid w:val="000913B1"/>
    <w:rsid w:val="000921AD"/>
    <w:rsid w:val="0009290F"/>
    <w:rsid w:val="00092977"/>
    <w:rsid w:val="00092BF8"/>
    <w:rsid w:val="00093241"/>
    <w:rsid w:val="00093868"/>
    <w:rsid w:val="000942BF"/>
    <w:rsid w:val="00094A84"/>
    <w:rsid w:val="00095025"/>
    <w:rsid w:val="00095135"/>
    <w:rsid w:val="00095191"/>
    <w:rsid w:val="0009626E"/>
    <w:rsid w:val="00096385"/>
    <w:rsid w:val="0009644D"/>
    <w:rsid w:val="00096AB8"/>
    <w:rsid w:val="00097191"/>
    <w:rsid w:val="000974D1"/>
    <w:rsid w:val="00097784"/>
    <w:rsid w:val="0009799E"/>
    <w:rsid w:val="000A07CB"/>
    <w:rsid w:val="000A0BC0"/>
    <w:rsid w:val="000A1183"/>
    <w:rsid w:val="000A12ED"/>
    <w:rsid w:val="000A185C"/>
    <w:rsid w:val="000A1D49"/>
    <w:rsid w:val="000A212B"/>
    <w:rsid w:val="000A242D"/>
    <w:rsid w:val="000A256D"/>
    <w:rsid w:val="000A2643"/>
    <w:rsid w:val="000A2E5F"/>
    <w:rsid w:val="000A385C"/>
    <w:rsid w:val="000A3A2C"/>
    <w:rsid w:val="000A3D9E"/>
    <w:rsid w:val="000A4A54"/>
    <w:rsid w:val="000A4ED9"/>
    <w:rsid w:val="000A4F07"/>
    <w:rsid w:val="000A580E"/>
    <w:rsid w:val="000A5C55"/>
    <w:rsid w:val="000A5DB7"/>
    <w:rsid w:val="000A65D5"/>
    <w:rsid w:val="000A6753"/>
    <w:rsid w:val="000A6D94"/>
    <w:rsid w:val="000A7377"/>
    <w:rsid w:val="000A74A4"/>
    <w:rsid w:val="000A775A"/>
    <w:rsid w:val="000A7D63"/>
    <w:rsid w:val="000A7FF4"/>
    <w:rsid w:val="000B03CC"/>
    <w:rsid w:val="000B0F52"/>
    <w:rsid w:val="000B31E1"/>
    <w:rsid w:val="000B3F7F"/>
    <w:rsid w:val="000B4212"/>
    <w:rsid w:val="000B556B"/>
    <w:rsid w:val="000B614F"/>
    <w:rsid w:val="000B6269"/>
    <w:rsid w:val="000B67B7"/>
    <w:rsid w:val="000B6A0A"/>
    <w:rsid w:val="000B79AB"/>
    <w:rsid w:val="000C0127"/>
    <w:rsid w:val="000C08B0"/>
    <w:rsid w:val="000C0CA6"/>
    <w:rsid w:val="000C0EA8"/>
    <w:rsid w:val="000C13A2"/>
    <w:rsid w:val="000C21E7"/>
    <w:rsid w:val="000C23EC"/>
    <w:rsid w:val="000C26A2"/>
    <w:rsid w:val="000C290E"/>
    <w:rsid w:val="000C30C3"/>
    <w:rsid w:val="000C3408"/>
    <w:rsid w:val="000C35AB"/>
    <w:rsid w:val="000C3F7B"/>
    <w:rsid w:val="000C4769"/>
    <w:rsid w:val="000C4D56"/>
    <w:rsid w:val="000C5744"/>
    <w:rsid w:val="000C5DFA"/>
    <w:rsid w:val="000C6AFD"/>
    <w:rsid w:val="000C6C90"/>
    <w:rsid w:val="000C6DCD"/>
    <w:rsid w:val="000C72B7"/>
    <w:rsid w:val="000C7A79"/>
    <w:rsid w:val="000C7B81"/>
    <w:rsid w:val="000D0A26"/>
    <w:rsid w:val="000D13CB"/>
    <w:rsid w:val="000D1585"/>
    <w:rsid w:val="000D2196"/>
    <w:rsid w:val="000D2C2E"/>
    <w:rsid w:val="000D3058"/>
    <w:rsid w:val="000D310A"/>
    <w:rsid w:val="000D3EF4"/>
    <w:rsid w:val="000D4632"/>
    <w:rsid w:val="000D4761"/>
    <w:rsid w:val="000D4DC0"/>
    <w:rsid w:val="000D55BA"/>
    <w:rsid w:val="000D5637"/>
    <w:rsid w:val="000D571F"/>
    <w:rsid w:val="000D5A03"/>
    <w:rsid w:val="000D5ED3"/>
    <w:rsid w:val="000D6209"/>
    <w:rsid w:val="000D6F4E"/>
    <w:rsid w:val="000D6FDA"/>
    <w:rsid w:val="000D726A"/>
    <w:rsid w:val="000D73BB"/>
    <w:rsid w:val="000D75CA"/>
    <w:rsid w:val="000D7AC7"/>
    <w:rsid w:val="000E006A"/>
    <w:rsid w:val="000E0D57"/>
    <w:rsid w:val="000E0E96"/>
    <w:rsid w:val="000E298B"/>
    <w:rsid w:val="000E2C7D"/>
    <w:rsid w:val="000E3E56"/>
    <w:rsid w:val="000E440D"/>
    <w:rsid w:val="000E4AC5"/>
    <w:rsid w:val="000E6253"/>
    <w:rsid w:val="000E6AC4"/>
    <w:rsid w:val="000E6BAA"/>
    <w:rsid w:val="000E6E4D"/>
    <w:rsid w:val="000E6FBD"/>
    <w:rsid w:val="000E6FCB"/>
    <w:rsid w:val="000E755A"/>
    <w:rsid w:val="000E767B"/>
    <w:rsid w:val="000F07C9"/>
    <w:rsid w:val="000F090B"/>
    <w:rsid w:val="000F0B07"/>
    <w:rsid w:val="000F0E3A"/>
    <w:rsid w:val="000F1242"/>
    <w:rsid w:val="000F15F7"/>
    <w:rsid w:val="000F1AA2"/>
    <w:rsid w:val="000F2411"/>
    <w:rsid w:val="000F34A8"/>
    <w:rsid w:val="000F378E"/>
    <w:rsid w:val="000F3B45"/>
    <w:rsid w:val="000F3F3B"/>
    <w:rsid w:val="000F4721"/>
    <w:rsid w:val="000F47E8"/>
    <w:rsid w:val="000F53AE"/>
    <w:rsid w:val="000F61AF"/>
    <w:rsid w:val="000F6B1B"/>
    <w:rsid w:val="000F70E4"/>
    <w:rsid w:val="000F76EA"/>
    <w:rsid w:val="00100A8B"/>
    <w:rsid w:val="00100F5C"/>
    <w:rsid w:val="00101B15"/>
    <w:rsid w:val="00101CDA"/>
    <w:rsid w:val="00102037"/>
    <w:rsid w:val="001034A0"/>
    <w:rsid w:val="00103DCB"/>
    <w:rsid w:val="00104022"/>
    <w:rsid w:val="00104C4C"/>
    <w:rsid w:val="00105015"/>
    <w:rsid w:val="001055D2"/>
    <w:rsid w:val="00105651"/>
    <w:rsid w:val="001057C2"/>
    <w:rsid w:val="00107124"/>
    <w:rsid w:val="0010748A"/>
    <w:rsid w:val="00107C3A"/>
    <w:rsid w:val="0011038E"/>
    <w:rsid w:val="001112F1"/>
    <w:rsid w:val="00111573"/>
    <w:rsid w:val="00112370"/>
    <w:rsid w:val="0011239B"/>
    <w:rsid w:val="001125EF"/>
    <w:rsid w:val="00112CAB"/>
    <w:rsid w:val="001140D5"/>
    <w:rsid w:val="0011440C"/>
    <w:rsid w:val="0011492C"/>
    <w:rsid w:val="00114A46"/>
    <w:rsid w:val="00114C33"/>
    <w:rsid w:val="001152E2"/>
    <w:rsid w:val="00115B00"/>
    <w:rsid w:val="00115BC8"/>
    <w:rsid w:val="00115DA9"/>
    <w:rsid w:val="00116D3F"/>
    <w:rsid w:val="00117167"/>
    <w:rsid w:val="00117474"/>
    <w:rsid w:val="00117623"/>
    <w:rsid w:val="00117FEA"/>
    <w:rsid w:val="001200CF"/>
    <w:rsid w:val="001208E3"/>
    <w:rsid w:val="00120D41"/>
    <w:rsid w:val="00121609"/>
    <w:rsid w:val="00121854"/>
    <w:rsid w:val="0012192F"/>
    <w:rsid w:val="001221B9"/>
    <w:rsid w:val="00122994"/>
    <w:rsid w:val="00123204"/>
    <w:rsid w:val="00124B46"/>
    <w:rsid w:val="001257BE"/>
    <w:rsid w:val="001257E0"/>
    <w:rsid w:val="00125D17"/>
    <w:rsid w:val="00125D69"/>
    <w:rsid w:val="0012799C"/>
    <w:rsid w:val="00127BC2"/>
    <w:rsid w:val="00127E15"/>
    <w:rsid w:val="001308F1"/>
    <w:rsid w:val="00130922"/>
    <w:rsid w:val="0013093B"/>
    <w:rsid w:val="00130ADC"/>
    <w:rsid w:val="00130D9F"/>
    <w:rsid w:val="00131DD8"/>
    <w:rsid w:val="001321AA"/>
    <w:rsid w:val="00132C4D"/>
    <w:rsid w:val="00133D3D"/>
    <w:rsid w:val="00133FC1"/>
    <w:rsid w:val="0013440F"/>
    <w:rsid w:val="00134659"/>
    <w:rsid w:val="00134E02"/>
    <w:rsid w:val="00135111"/>
    <w:rsid w:val="0013553B"/>
    <w:rsid w:val="00136A6F"/>
    <w:rsid w:val="00136C1A"/>
    <w:rsid w:val="00136FC1"/>
    <w:rsid w:val="00137804"/>
    <w:rsid w:val="00137812"/>
    <w:rsid w:val="001405FA"/>
    <w:rsid w:val="00140D1A"/>
    <w:rsid w:val="00141184"/>
    <w:rsid w:val="00141315"/>
    <w:rsid w:val="001415CC"/>
    <w:rsid w:val="00141AA0"/>
    <w:rsid w:val="001425C3"/>
    <w:rsid w:val="0014262D"/>
    <w:rsid w:val="00142B29"/>
    <w:rsid w:val="00142FA8"/>
    <w:rsid w:val="00144108"/>
    <w:rsid w:val="00144375"/>
    <w:rsid w:val="00144588"/>
    <w:rsid w:val="001447DD"/>
    <w:rsid w:val="00144C0B"/>
    <w:rsid w:val="00145358"/>
    <w:rsid w:val="001459BC"/>
    <w:rsid w:val="00147329"/>
    <w:rsid w:val="0014779E"/>
    <w:rsid w:val="00150ECA"/>
    <w:rsid w:val="0015108F"/>
    <w:rsid w:val="001516B9"/>
    <w:rsid w:val="00151707"/>
    <w:rsid w:val="001520D7"/>
    <w:rsid w:val="00152A72"/>
    <w:rsid w:val="00152C86"/>
    <w:rsid w:val="00152F4F"/>
    <w:rsid w:val="00153264"/>
    <w:rsid w:val="0015329F"/>
    <w:rsid w:val="00153DD3"/>
    <w:rsid w:val="001544A1"/>
    <w:rsid w:val="001553B8"/>
    <w:rsid w:val="001554C2"/>
    <w:rsid w:val="00156013"/>
    <w:rsid w:val="00156D04"/>
    <w:rsid w:val="00157077"/>
    <w:rsid w:val="001571C0"/>
    <w:rsid w:val="001574FE"/>
    <w:rsid w:val="0015753D"/>
    <w:rsid w:val="00157984"/>
    <w:rsid w:val="00157CC9"/>
    <w:rsid w:val="00160385"/>
    <w:rsid w:val="00160A1E"/>
    <w:rsid w:val="00160C21"/>
    <w:rsid w:val="001612F4"/>
    <w:rsid w:val="00161553"/>
    <w:rsid w:val="0016216F"/>
    <w:rsid w:val="0016256B"/>
    <w:rsid w:val="00162AC0"/>
    <w:rsid w:val="00162F81"/>
    <w:rsid w:val="00163793"/>
    <w:rsid w:val="00163868"/>
    <w:rsid w:val="00163885"/>
    <w:rsid w:val="00164CA1"/>
    <w:rsid w:val="001651BF"/>
    <w:rsid w:val="00165310"/>
    <w:rsid w:val="00165313"/>
    <w:rsid w:val="001655FA"/>
    <w:rsid w:val="001659C3"/>
    <w:rsid w:val="00166064"/>
    <w:rsid w:val="001665AB"/>
    <w:rsid w:val="00167485"/>
    <w:rsid w:val="001679F5"/>
    <w:rsid w:val="00167B92"/>
    <w:rsid w:val="00167CB9"/>
    <w:rsid w:val="00167DD8"/>
    <w:rsid w:val="001705AD"/>
    <w:rsid w:val="001706D6"/>
    <w:rsid w:val="00170C58"/>
    <w:rsid w:val="001714F2"/>
    <w:rsid w:val="00171F93"/>
    <w:rsid w:val="00171FEA"/>
    <w:rsid w:val="00173622"/>
    <w:rsid w:val="00175219"/>
    <w:rsid w:val="001759DE"/>
    <w:rsid w:val="00175B9F"/>
    <w:rsid w:val="001762F4"/>
    <w:rsid w:val="001777BA"/>
    <w:rsid w:val="00181029"/>
    <w:rsid w:val="00181788"/>
    <w:rsid w:val="001817E8"/>
    <w:rsid w:val="00181BBC"/>
    <w:rsid w:val="00183454"/>
    <w:rsid w:val="0018385F"/>
    <w:rsid w:val="00183BCF"/>
    <w:rsid w:val="00184017"/>
    <w:rsid w:val="001847BB"/>
    <w:rsid w:val="00184B08"/>
    <w:rsid w:val="00185010"/>
    <w:rsid w:val="001854F2"/>
    <w:rsid w:val="00185C22"/>
    <w:rsid w:val="00185FA4"/>
    <w:rsid w:val="00186538"/>
    <w:rsid w:val="00186BA9"/>
    <w:rsid w:val="00187090"/>
    <w:rsid w:val="00187D50"/>
    <w:rsid w:val="00190759"/>
    <w:rsid w:val="00190B4D"/>
    <w:rsid w:val="00190B9B"/>
    <w:rsid w:val="00190F6C"/>
    <w:rsid w:val="0019196C"/>
    <w:rsid w:val="001926A9"/>
    <w:rsid w:val="00192F05"/>
    <w:rsid w:val="001930BB"/>
    <w:rsid w:val="001937F8"/>
    <w:rsid w:val="00194729"/>
    <w:rsid w:val="00194818"/>
    <w:rsid w:val="00194850"/>
    <w:rsid w:val="00195234"/>
    <w:rsid w:val="00195EA6"/>
    <w:rsid w:val="00196016"/>
    <w:rsid w:val="00196117"/>
    <w:rsid w:val="00197557"/>
    <w:rsid w:val="00197A70"/>
    <w:rsid w:val="00197C0F"/>
    <w:rsid w:val="00197C16"/>
    <w:rsid w:val="00197D0E"/>
    <w:rsid w:val="001A0360"/>
    <w:rsid w:val="001A0487"/>
    <w:rsid w:val="001A0675"/>
    <w:rsid w:val="001A0A37"/>
    <w:rsid w:val="001A1F68"/>
    <w:rsid w:val="001A21FA"/>
    <w:rsid w:val="001A3044"/>
    <w:rsid w:val="001A3254"/>
    <w:rsid w:val="001A4393"/>
    <w:rsid w:val="001A4D08"/>
    <w:rsid w:val="001A4D7C"/>
    <w:rsid w:val="001A4ECD"/>
    <w:rsid w:val="001A4EF0"/>
    <w:rsid w:val="001A540E"/>
    <w:rsid w:val="001A552F"/>
    <w:rsid w:val="001A593A"/>
    <w:rsid w:val="001A5DD6"/>
    <w:rsid w:val="001A62F9"/>
    <w:rsid w:val="001A6CDD"/>
    <w:rsid w:val="001A70B1"/>
    <w:rsid w:val="001A7564"/>
    <w:rsid w:val="001A75E0"/>
    <w:rsid w:val="001A7672"/>
    <w:rsid w:val="001A77E1"/>
    <w:rsid w:val="001A7959"/>
    <w:rsid w:val="001B0738"/>
    <w:rsid w:val="001B10F0"/>
    <w:rsid w:val="001B1235"/>
    <w:rsid w:val="001B158D"/>
    <w:rsid w:val="001B1ADB"/>
    <w:rsid w:val="001B1BBB"/>
    <w:rsid w:val="001B2CA9"/>
    <w:rsid w:val="001B3110"/>
    <w:rsid w:val="001B3E38"/>
    <w:rsid w:val="001B40F5"/>
    <w:rsid w:val="001B4729"/>
    <w:rsid w:val="001B4AAC"/>
    <w:rsid w:val="001B4B62"/>
    <w:rsid w:val="001B4F0E"/>
    <w:rsid w:val="001B5F40"/>
    <w:rsid w:val="001B6310"/>
    <w:rsid w:val="001B6C09"/>
    <w:rsid w:val="001B6E12"/>
    <w:rsid w:val="001B75F7"/>
    <w:rsid w:val="001C05CD"/>
    <w:rsid w:val="001C082B"/>
    <w:rsid w:val="001C0F17"/>
    <w:rsid w:val="001C11A6"/>
    <w:rsid w:val="001C1B24"/>
    <w:rsid w:val="001C1B66"/>
    <w:rsid w:val="001C1BB5"/>
    <w:rsid w:val="001C2439"/>
    <w:rsid w:val="001C2732"/>
    <w:rsid w:val="001C2DF5"/>
    <w:rsid w:val="001C2F97"/>
    <w:rsid w:val="001C31A2"/>
    <w:rsid w:val="001C351D"/>
    <w:rsid w:val="001C3794"/>
    <w:rsid w:val="001C3855"/>
    <w:rsid w:val="001C4B8F"/>
    <w:rsid w:val="001C4BB8"/>
    <w:rsid w:val="001C4D8C"/>
    <w:rsid w:val="001C4FD0"/>
    <w:rsid w:val="001C544D"/>
    <w:rsid w:val="001C5E46"/>
    <w:rsid w:val="001C6B3B"/>
    <w:rsid w:val="001C74CD"/>
    <w:rsid w:val="001C7A26"/>
    <w:rsid w:val="001C7E3F"/>
    <w:rsid w:val="001D0EF1"/>
    <w:rsid w:val="001D1A44"/>
    <w:rsid w:val="001D22C2"/>
    <w:rsid w:val="001D2C99"/>
    <w:rsid w:val="001D2D3C"/>
    <w:rsid w:val="001D3652"/>
    <w:rsid w:val="001D3B58"/>
    <w:rsid w:val="001D3B75"/>
    <w:rsid w:val="001D452E"/>
    <w:rsid w:val="001D54C1"/>
    <w:rsid w:val="001D556E"/>
    <w:rsid w:val="001D55CF"/>
    <w:rsid w:val="001D57D2"/>
    <w:rsid w:val="001D5DF2"/>
    <w:rsid w:val="001D6175"/>
    <w:rsid w:val="001D68B2"/>
    <w:rsid w:val="001D6FA8"/>
    <w:rsid w:val="001D6FEE"/>
    <w:rsid w:val="001D7EFD"/>
    <w:rsid w:val="001D7F60"/>
    <w:rsid w:val="001E085B"/>
    <w:rsid w:val="001E149B"/>
    <w:rsid w:val="001E15CB"/>
    <w:rsid w:val="001E18C4"/>
    <w:rsid w:val="001E26FC"/>
    <w:rsid w:val="001E3306"/>
    <w:rsid w:val="001E5028"/>
    <w:rsid w:val="001E504C"/>
    <w:rsid w:val="001E5111"/>
    <w:rsid w:val="001E53BB"/>
    <w:rsid w:val="001E56AC"/>
    <w:rsid w:val="001E5A17"/>
    <w:rsid w:val="001E5F93"/>
    <w:rsid w:val="001E6DD9"/>
    <w:rsid w:val="001E74C5"/>
    <w:rsid w:val="001E74E8"/>
    <w:rsid w:val="001F007D"/>
    <w:rsid w:val="001F0A74"/>
    <w:rsid w:val="001F1236"/>
    <w:rsid w:val="001F13AF"/>
    <w:rsid w:val="001F1B91"/>
    <w:rsid w:val="001F2F90"/>
    <w:rsid w:val="001F4597"/>
    <w:rsid w:val="001F4826"/>
    <w:rsid w:val="001F4933"/>
    <w:rsid w:val="001F4A57"/>
    <w:rsid w:val="001F59C8"/>
    <w:rsid w:val="001F6483"/>
    <w:rsid w:val="001F6843"/>
    <w:rsid w:val="001F6CD3"/>
    <w:rsid w:val="001F75DA"/>
    <w:rsid w:val="001F78A8"/>
    <w:rsid w:val="001F7931"/>
    <w:rsid w:val="001F7CE0"/>
    <w:rsid w:val="00200085"/>
    <w:rsid w:val="00201633"/>
    <w:rsid w:val="002024FA"/>
    <w:rsid w:val="00203332"/>
    <w:rsid w:val="002036E6"/>
    <w:rsid w:val="00203CD5"/>
    <w:rsid w:val="00203D8F"/>
    <w:rsid w:val="00203DA4"/>
    <w:rsid w:val="0020473C"/>
    <w:rsid w:val="00204A71"/>
    <w:rsid w:val="00204EA6"/>
    <w:rsid w:val="00205186"/>
    <w:rsid w:val="00205EB7"/>
    <w:rsid w:val="00206516"/>
    <w:rsid w:val="002070CF"/>
    <w:rsid w:val="002071D5"/>
    <w:rsid w:val="002073FD"/>
    <w:rsid w:val="00207470"/>
    <w:rsid w:val="002108C8"/>
    <w:rsid w:val="002111E5"/>
    <w:rsid w:val="002112EB"/>
    <w:rsid w:val="0021149E"/>
    <w:rsid w:val="002118B9"/>
    <w:rsid w:val="002122EA"/>
    <w:rsid w:val="00213691"/>
    <w:rsid w:val="00213EF5"/>
    <w:rsid w:val="002142C0"/>
    <w:rsid w:val="00217BED"/>
    <w:rsid w:val="00217C5B"/>
    <w:rsid w:val="00217F53"/>
    <w:rsid w:val="00220A43"/>
    <w:rsid w:val="0022139E"/>
    <w:rsid w:val="00222729"/>
    <w:rsid w:val="0022287B"/>
    <w:rsid w:val="002228DB"/>
    <w:rsid w:val="002229FF"/>
    <w:rsid w:val="002230FC"/>
    <w:rsid w:val="00223185"/>
    <w:rsid w:val="00223264"/>
    <w:rsid w:val="002233D6"/>
    <w:rsid w:val="0022441D"/>
    <w:rsid w:val="00224574"/>
    <w:rsid w:val="00224CB7"/>
    <w:rsid w:val="00224E3F"/>
    <w:rsid w:val="00225000"/>
    <w:rsid w:val="002252E0"/>
    <w:rsid w:val="002255F6"/>
    <w:rsid w:val="00226032"/>
    <w:rsid w:val="0022639E"/>
    <w:rsid w:val="00226D31"/>
    <w:rsid w:val="0022738D"/>
    <w:rsid w:val="00227605"/>
    <w:rsid w:val="00227850"/>
    <w:rsid w:val="00227969"/>
    <w:rsid w:val="00227A53"/>
    <w:rsid w:val="00227C6C"/>
    <w:rsid w:val="00227E2E"/>
    <w:rsid w:val="00227F53"/>
    <w:rsid w:val="00230089"/>
    <w:rsid w:val="00230C36"/>
    <w:rsid w:val="00230C6E"/>
    <w:rsid w:val="00230E21"/>
    <w:rsid w:val="00231066"/>
    <w:rsid w:val="002316A8"/>
    <w:rsid w:val="00231859"/>
    <w:rsid w:val="00231E31"/>
    <w:rsid w:val="002320C9"/>
    <w:rsid w:val="0023288F"/>
    <w:rsid w:val="0023359B"/>
    <w:rsid w:val="00233603"/>
    <w:rsid w:val="002340EF"/>
    <w:rsid w:val="00234B82"/>
    <w:rsid w:val="00234F2B"/>
    <w:rsid w:val="00236241"/>
    <w:rsid w:val="00236443"/>
    <w:rsid w:val="00236700"/>
    <w:rsid w:val="00236EA9"/>
    <w:rsid w:val="00237669"/>
    <w:rsid w:val="002376D3"/>
    <w:rsid w:val="00237C8B"/>
    <w:rsid w:val="0024026A"/>
    <w:rsid w:val="00240391"/>
    <w:rsid w:val="00240AF3"/>
    <w:rsid w:val="00241020"/>
    <w:rsid w:val="002418D5"/>
    <w:rsid w:val="00241A9F"/>
    <w:rsid w:val="00241B06"/>
    <w:rsid w:val="00242265"/>
    <w:rsid w:val="0024233F"/>
    <w:rsid w:val="002426B4"/>
    <w:rsid w:val="00242E9A"/>
    <w:rsid w:val="0024343A"/>
    <w:rsid w:val="002436BA"/>
    <w:rsid w:val="002438DC"/>
    <w:rsid w:val="00243B5C"/>
    <w:rsid w:val="002443BC"/>
    <w:rsid w:val="00244652"/>
    <w:rsid w:val="00244A15"/>
    <w:rsid w:val="00244D6A"/>
    <w:rsid w:val="002452D9"/>
    <w:rsid w:val="00246909"/>
    <w:rsid w:val="00246AD7"/>
    <w:rsid w:val="00247319"/>
    <w:rsid w:val="0024772F"/>
    <w:rsid w:val="00247835"/>
    <w:rsid w:val="0024799E"/>
    <w:rsid w:val="00247E60"/>
    <w:rsid w:val="00250F19"/>
    <w:rsid w:val="002512B7"/>
    <w:rsid w:val="00251496"/>
    <w:rsid w:val="00251B08"/>
    <w:rsid w:val="00251C53"/>
    <w:rsid w:val="00252AB9"/>
    <w:rsid w:val="002532B1"/>
    <w:rsid w:val="00253C0F"/>
    <w:rsid w:val="002558C1"/>
    <w:rsid w:val="002559F8"/>
    <w:rsid w:val="00255A19"/>
    <w:rsid w:val="00256207"/>
    <w:rsid w:val="002575F3"/>
    <w:rsid w:val="00257E48"/>
    <w:rsid w:val="002601B4"/>
    <w:rsid w:val="002603E1"/>
    <w:rsid w:val="002605FE"/>
    <w:rsid w:val="0026120E"/>
    <w:rsid w:val="002617EE"/>
    <w:rsid w:val="00262582"/>
    <w:rsid w:val="0026291D"/>
    <w:rsid w:val="00262B30"/>
    <w:rsid w:val="00262CF3"/>
    <w:rsid w:val="00264309"/>
    <w:rsid w:val="00264992"/>
    <w:rsid w:val="00264B4F"/>
    <w:rsid w:val="00264B85"/>
    <w:rsid w:val="0026564B"/>
    <w:rsid w:val="00265C83"/>
    <w:rsid w:val="00265E85"/>
    <w:rsid w:val="00265F05"/>
    <w:rsid w:val="002660F7"/>
    <w:rsid w:val="0026632F"/>
    <w:rsid w:val="002668B0"/>
    <w:rsid w:val="002678E4"/>
    <w:rsid w:val="00267B49"/>
    <w:rsid w:val="00267C51"/>
    <w:rsid w:val="002700D9"/>
    <w:rsid w:val="00270133"/>
    <w:rsid w:val="0027025F"/>
    <w:rsid w:val="002709CC"/>
    <w:rsid w:val="00270D25"/>
    <w:rsid w:val="00271022"/>
    <w:rsid w:val="00271465"/>
    <w:rsid w:val="00271A07"/>
    <w:rsid w:val="00271E47"/>
    <w:rsid w:val="002721F5"/>
    <w:rsid w:val="00272DF4"/>
    <w:rsid w:val="00273B7A"/>
    <w:rsid w:val="0027401B"/>
    <w:rsid w:val="00275062"/>
    <w:rsid w:val="00275758"/>
    <w:rsid w:val="0027583D"/>
    <w:rsid w:val="002759C7"/>
    <w:rsid w:val="00275DEF"/>
    <w:rsid w:val="00275E43"/>
    <w:rsid w:val="002763A2"/>
    <w:rsid w:val="00276B33"/>
    <w:rsid w:val="00277669"/>
    <w:rsid w:val="002803A5"/>
    <w:rsid w:val="00280ACB"/>
    <w:rsid w:val="002812E3"/>
    <w:rsid w:val="00281576"/>
    <w:rsid w:val="00281D1B"/>
    <w:rsid w:val="00282451"/>
    <w:rsid w:val="00282AD4"/>
    <w:rsid w:val="0028341F"/>
    <w:rsid w:val="0028351F"/>
    <w:rsid w:val="002837AE"/>
    <w:rsid w:val="00283C13"/>
    <w:rsid w:val="00283F7B"/>
    <w:rsid w:val="0028431A"/>
    <w:rsid w:val="0028534D"/>
    <w:rsid w:val="002853FA"/>
    <w:rsid w:val="00285412"/>
    <w:rsid w:val="0028558A"/>
    <w:rsid w:val="00286220"/>
    <w:rsid w:val="00290745"/>
    <w:rsid w:val="0029110B"/>
    <w:rsid w:val="00291640"/>
    <w:rsid w:val="00291956"/>
    <w:rsid w:val="0029237E"/>
    <w:rsid w:val="00292997"/>
    <w:rsid w:val="00292EB0"/>
    <w:rsid w:val="00293939"/>
    <w:rsid w:val="00293D24"/>
    <w:rsid w:val="0029461A"/>
    <w:rsid w:val="0029509B"/>
    <w:rsid w:val="0029588F"/>
    <w:rsid w:val="00295C4D"/>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4946"/>
    <w:rsid w:val="002A4951"/>
    <w:rsid w:val="002A51AC"/>
    <w:rsid w:val="002A532A"/>
    <w:rsid w:val="002A5477"/>
    <w:rsid w:val="002A5846"/>
    <w:rsid w:val="002A5D97"/>
    <w:rsid w:val="002A603E"/>
    <w:rsid w:val="002A63B9"/>
    <w:rsid w:val="002A7089"/>
    <w:rsid w:val="002B03C2"/>
    <w:rsid w:val="002B0692"/>
    <w:rsid w:val="002B0987"/>
    <w:rsid w:val="002B0EDA"/>
    <w:rsid w:val="002B1619"/>
    <w:rsid w:val="002B322D"/>
    <w:rsid w:val="002B3EF4"/>
    <w:rsid w:val="002B4532"/>
    <w:rsid w:val="002B4845"/>
    <w:rsid w:val="002B5567"/>
    <w:rsid w:val="002B5812"/>
    <w:rsid w:val="002B72AA"/>
    <w:rsid w:val="002B75C0"/>
    <w:rsid w:val="002B772D"/>
    <w:rsid w:val="002C0673"/>
    <w:rsid w:val="002C1110"/>
    <w:rsid w:val="002C196C"/>
    <w:rsid w:val="002C1BC2"/>
    <w:rsid w:val="002C1F09"/>
    <w:rsid w:val="002C22A4"/>
    <w:rsid w:val="002C260B"/>
    <w:rsid w:val="002C27A6"/>
    <w:rsid w:val="002C27CD"/>
    <w:rsid w:val="002C2FFE"/>
    <w:rsid w:val="002C31E4"/>
    <w:rsid w:val="002C398D"/>
    <w:rsid w:val="002C40D2"/>
    <w:rsid w:val="002C43BD"/>
    <w:rsid w:val="002C47B7"/>
    <w:rsid w:val="002C4AA6"/>
    <w:rsid w:val="002C5245"/>
    <w:rsid w:val="002C5463"/>
    <w:rsid w:val="002C54A2"/>
    <w:rsid w:val="002C564A"/>
    <w:rsid w:val="002C59D8"/>
    <w:rsid w:val="002C5FEB"/>
    <w:rsid w:val="002C6494"/>
    <w:rsid w:val="002C70C1"/>
    <w:rsid w:val="002C7837"/>
    <w:rsid w:val="002D0553"/>
    <w:rsid w:val="002D05CB"/>
    <w:rsid w:val="002D0E59"/>
    <w:rsid w:val="002D1543"/>
    <w:rsid w:val="002D2C4F"/>
    <w:rsid w:val="002D3EBB"/>
    <w:rsid w:val="002D455C"/>
    <w:rsid w:val="002D6066"/>
    <w:rsid w:val="002D6630"/>
    <w:rsid w:val="002D67BD"/>
    <w:rsid w:val="002D6A4C"/>
    <w:rsid w:val="002D6D10"/>
    <w:rsid w:val="002D6E5F"/>
    <w:rsid w:val="002E010B"/>
    <w:rsid w:val="002E02A1"/>
    <w:rsid w:val="002E154B"/>
    <w:rsid w:val="002E196A"/>
    <w:rsid w:val="002E1F8A"/>
    <w:rsid w:val="002E20C7"/>
    <w:rsid w:val="002E20CD"/>
    <w:rsid w:val="002E222E"/>
    <w:rsid w:val="002E28D8"/>
    <w:rsid w:val="002E29D9"/>
    <w:rsid w:val="002E3638"/>
    <w:rsid w:val="002E372A"/>
    <w:rsid w:val="002E37D1"/>
    <w:rsid w:val="002E3BEE"/>
    <w:rsid w:val="002E4DCE"/>
    <w:rsid w:val="002E4E4C"/>
    <w:rsid w:val="002E4EA7"/>
    <w:rsid w:val="002E5437"/>
    <w:rsid w:val="002E5846"/>
    <w:rsid w:val="002E5C7F"/>
    <w:rsid w:val="002E631B"/>
    <w:rsid w:val="002E792B"/>
    <w:rsid w:val="002E7AEB"/>
    <w:rsid w:val="002E7B0C"/>
    <w:rsid w:val="002E7B79"/>
    <w:rsid w:val="002F0009"/>
    <w:rsid w:val="002F1B09"/>
    <w:rsid w:val="002F1D56"/>
    <w:rsid w:val="002F1DCB"/>
    <w:rsid w:val="002F1DE4"/>
    <w:rsid w:val="002F333D"/>
    <w:rsid w:val="002F351A"/>
    <w:rsid w:val="002F357F"/>
    <w:rsid w:val="002F46D6"/>
    <w:rsid w:val="002F498A"/>
    <w:rsid w:val="002F4AD8"/>
    <w:rsid w:val="002F4CD8"/>
    <w:rsid w:val="002F4E46"/>
    <w:rsid w:val="002F5285"/>
    <w:rsid w:val="002F560F"/>
    <w:rsid w:val="002F572C"/>
    <w:rsid w:val="002F5820"/>
    <w:rsid w:val="002F6086"/>
    <w:rsid w:val="002F64BB"/>
    <w:rsid w:val="002F7D9B"/>
    <w:rsid w:val="00300628"/>
    <w:rsid w:val="00300C31"/>
    <w:rsid w:val="003017EC"/>
    <w:rsid w:val="00302165"/>
    <w:rsid w:val="00302429"/>
    <w:rsid w:val="00302924"/>
    <w:rsid w:val="00303BB4"/>
    <w:rsid w:val="00304771"/>
    <w:rsid w:val="00304F9C"/>
    <w:rsid w:val="003052D4"/>
    <w:rsid w:val="00305863"/>
    <w:rsid w:val="00305AF4"/>
    <w:rsid w:val="003060E9"/>
    <w:rsid w:val="00306A62"/>
    <w:rsid w:val="00306C5B"/>
    <w:rsid w:val="00307529"/>
    <w:rsid w:val="00307AA2"/>
    <w:rsid w:val="00307D33"/>
    <w:rsid w:val="00307DB3"/>
    <w:rsid w:val="00307DDB"/>
    <w:rsid w:val="00307ED2"/>
    <w:rsid w:val="0031076D"/>
    <w:rsid w:val="00311242"/>
    <w:rsid w:val="0031169A"/>
    <w:rsid w:val="00311AA6"/>
    <w:rsid w:val="00311C4D"/>
    <w:rsid w:val="00311CA4"/>
    <w:rsid w:val="003121AB"/>
    <w:rsid w:val="00312A85"/>
    <w:rsid w:val="00312C83"/>
    <w:rsid w:val="00312E51"/>
    <w:rsid w:val="00315169"/>
    <w:rsid w:val="00315208"/>
    <w:rsid w:val="003153C8"/>
    <w:rsid w:val="00315524"/>
    <w:rsid w:val="00315561"/>
    <w:rsid w:val="0031645E"/>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0FF8"/>
    <w:rsid w:val="0033175E"/>
    <w:rsid w:val="003317A3"/>
    <w:rsid w:val="00332190"/>
    <w:rsid w:val="00332A98"/>
    <w:rsid w:val="00332D86"/>
    <w:rsid w:val="003334BD"/>
    <w:rsid w:val="00333973"/>
    <w:rsid w:val="00333CD0"/>
    <w:rsid w:val="00333F8B"/>
    <w:rsid w:val="0033448D"/>
    <w:rsid w:val="00334AD2"/>
    <w:rsid w:val="00334CB6"/>
    <w:rsid w:val="003369B0"/>
    <w:rsid w:val="0033709C"/>
    <w:rsid w:val="003370C5"/>
    <w:rsid w:val="003373C6"/>
    <w:rsid w:val="0033753A"/>
    <w:rsid w:val="003403C1"/>
    <w:rsid w:val="0034081B"/>
    <w:rsid w:val="00340BF3"/>
    <w:rsid w:val="00341C6C"/>
    <w:rsid w:val="00341D26"/>
    <w:rsid w:val="00341F05"/>
    <w:rsid w:val="003424A0"/>
    <w:rsid w:val="00342AD0"/>
    <w:rsid w:val="0034335E"/>
    <w:rsid w:val="00344668"/>
    <w:rsid w:val="0034466D"/>
    <w:rsid w:val="00344881"/>
    <w:rsid w:val="00344940"/>
    <w:rsid w:val="00346234"/>
    <w:rsid w:val="00346285"/>
    <w:rsid w:val="003462D9"/>
    <w:rsid w:val="00346576"/>
    <w:rsid w:val="0034723F"/>
    <w:rsid w:val="00347247"/>
    <w:rsid w:val="003474B6"/>
    <w:rsid w:val="00347DD4"/>
    <w:rsid w:val="00350138"/>
    <w:rsid w:val="00350F0C"/>
    <w:rsid w:val="003527E6"/>
    <w:rsid w:val="00352B43"/>
    <w:rsid w:val="00352C28"/>
    <w:rsid w:val="003541BB"/>
    <w:rsid w:val="00354502"/>
    <w:rsid w:val="00354F89"/>
    <w:rsid w:val="0035506D"/>
    <w:rsid w:val="0035547E"/>
    <w:rsid w:val="003559D1"/>
    <w:rsid w:val="003565DB"/>
    <w:rsid w:val="003574AB"/>
    <w:rsid w:val="003579A1"/>
    <w:rsid w:val="00357F42"/>
    <w:rsid w:val="0036077F"/>
    <w:rsid w:val="0036081A"/>
    <w:rsid w:val="00360A35"/>
    <w:rsid w:val="00360C86"/>
    <w:rsid w:val="00360F7A"/>
    <w:rsid w:val="00360FBC"/>
    <w:rsid w:val="0036102D"/>
    <w:rsid w:val="00361537"/>
    <w:rsid w:val="003619A0"/>
    <w:rsid w:val="00361A59"/>
    <w:rsid w:val="00361FB7"/>
    <w:rsid w:val="0036242A"/>
    <w:rsid w:val="003629A5"/>
    <w:rsid w:val="00362C23"/>
    <w:rsid w:val="00362DCA"/>
    <w:rsid w:val="00362E90"/>
    <w:rsid w:val="0036421A"/>
    <w:rsid w:val="003643CB"/>
    <w:rsid w:val="0036448C"/>
    <w:rsid w:val="00364FA0"/>
    <w:rsid w:val="003650D9"/>
    <w:rsid w:val="003657F3"/>
    <w:rsid w:val="00365844"/>
    <w:rsid w:val="00365F61"/>
    <w:rsid w:val="0036624C"/>
    <w:rsid w:val="003664FD"/>
    <w:rsid w:val="00367F84"/>
    <w:rsid w:val="003712BC"/>
    <w:rsid w:val="003716BE"/>
    <w:rsid w:val="00372164"/>
    <w:rsid w:val="003738BD"/>
    <w:rsid w:val="00373D43"/>
    <w:rsid w:val="00374263"/>
    <w:rsid w:val="00374278"/>
    <w:rsid w:val="003746F0"/>
    <w:rsid w:val="00374A20"/>
    <w:rsid w:val="00374B5D"/>
    <w:rsid w:val="00374B96"/>
    <w:rsid w:val="00374E21"/>
    <w:rsid w:val="00374ED6"/>
    <w:rsid w:val="0037537A"/>
    <w:rsid w:val="003755A0"/>
    <w:rsid w:val="00375CB9"/>
    <w:rsid w:val="00377007"/>
    <w:rsid w:val="00377B2E"/>
    <w:rsid w:val="00380C9B"/>
    <w:rsid w:val="003810F0"/>
    <w:rsid w:val="003815D4"/>
    <w:rsid w:val="003818DC"/>
    <w:rsid w:val="00382513"/>
    <w:rsid w:val="00383388"/>
    <w:rsid w:val="003834F8"/>
    <w:rsid w:val="003837B1"/>
    <w:rsid w:val="003838D0"/>
    <w:rsid w:val="003840C2"/>
    <w:rsid w:val="003840C3"/>
    <w:rsid w:val="00384327"/>
    <w:rsid w:val="00384A89"/>
    <w:rsid w:val="00385086"/>
    <w:rsid w:val="0038578B"/>
    <w:rsid w:val="00385D98"/>
    <w:rsid w:val="003862C0"/>
    <w:rsid w:val="0038712D"/>
    <w:rsid w:val="00390306"/>
    <w:rsid w:val="0039031A"/>
    <w:rsid w:val="003908A6"/>
    <w:rsid w:val="0039109D"/>
    <w:rsid w:val="00391989"/>
    <w:rsid w:val="00391A6C"/>
    <w:rsid w:val="00391B9F"/>
    <w:rsid w:val="00392238"/>
    <w:rsid w:val="003927F6"/>
    <w:rsid w:val="0039398D"/>
    <w:rsid w:val="00393B3F"/>
    <w:rsid w:val="00393B72"/>
    <w:rsid w:val="0039402D"/>
    <w:rsid w:val="00395773"/>
    <w:rsid w:val="00396739"/>
    <w:rsid w:val="003978B1"/>
    <w:rsid w:val="003A04F6"/>
    <w:rsid w:val="003A0837"/>
    <w:rsid w:val="003A2B4D"/>
    <w:rsid w:val="003A2D12"/>
    <w:rsid w:val="003A2EBA"/>
    <w:rsid w:val="003A39F3"/>
    <w:rsid w:val="003A3D89"/>
    <w:rsid w:val="003A45E3"/>
    <w:rsid w:val="003A46B8"/>
    <w:rsid w:val="003A478C"/>
    <w:rsid w:val="003A4A38"/>
    <w:rsid w:val="003A5295"/>
    <w:rsid w:val="003A5525"/>
    <w:rsid w:val="003A5854"/>
    <w:rsid w:val="003A5889"/>
    <w:rsid w:val="003A5B3F"/>
    <w:rsid w:val="003A5C8C"/>
    <w:rsid w:val="003A64A6"/>
    <w:rsid w:val="003A6B38"/>
    <w:rsid w:val="003A6B83"/>
    <w:rsid w:val="003A6C97"/>
    <w:rsid w:val="003A6E2E"/>
    <w:rsid w:val="003A722F"/>
    <w:rsid w:val="003A7373"/>
    <w:rsid w:val="003A77D8"/>
    <w:rsid w:val="003A7D09"/>
    <w:rsid w:val="003B039F"/>
    <w:rsid w:val="003B0DF4"/>
    <w:rsid w:val="003B1F9D"/>
    <w:rsid w:val="003B2A8D"/>
    <w:rsid w:val="003B2AD1"/>
    <w:rsid w:val="003B2D2E"/>
    <w:rsid w:val="003B2F69"/>
    <w:rsid w:val="003B376A"/>
    <w:rsid w:val="003B461F"/>
    <w:rsid w:val="003B483F"/>
    <w:rsid w:val="003B4998"/>
    <w:rsid w:val="003B5A32"/>
    <w:rsid w:val="003B5B59"/>
    <w:rsid w:val="003B5E81"/>
    <w:rsid w:val="003B709D"/>
    <w:rsid w:val="003B7B37"/>
    <w:rsid w:val="003B7B50"/>
    <w:rsid w:val="003C0504"/>
    <w:rsid w:val="003C086F"/>
    <w:rsid w:val="003C0B07"/>
    <w:rsid w:val="003C1EFD"/>
    <w:rsid w:val="003C2543"/>
    <w:rsid w:val="003C2CE7"/>
    <w:rsid w:val="003C2DB8"/>
    <w:rsid w:val="003C3490"/>
    <w:rsid w:val="003C3608"/>
    <w:rsid w:val="003C3813"/>
    <w:rsid w:val="003C3A87"/>
    <w:rsid w:val="003C3AE8"/>
    <w:rsid w:val="003C3D2C"/>
    <w:rsid w:val="003C4058"/>
    <w:rsid w:val="003C4E13"/>
    <w:rsid w:val="003C58A5"/>
    <w:rsid w:val="003C5EA3"/>
    <w:rsid w:val="003C6221"/>
    <w:rsid w:val="003C63D7"/>
    <w:rsid w:val="003C68CC"/>
    <w:rsid w:val="003C708D"/>
    <w:rsid w:val="003C7339"/>
    <w:rsid w:val="003C7E62"/>
    <w:rsid w:val="003D12B9"/>
    <w:rsid w:val="003D13A6"/>
    <w:rsid w:val="003D1828"/>
    <w:rsid w:val="003D1E7A"/>
    <w:rsid w:val="003D242B"/>
    <w:rsid w:val="003D2492"/>
    <w:rsid w:val="003D29AA"/>
    <w:rsid w:val="003D2A54"/>
    <w:rsid w:val="003D2A99"/>
    <w:rsid w:val="003D4FD2"/>
    <w:rsid w:val="003D6920"/>
    <w:rsid w:val="003D6E19"/>
    <w:rsid w:val="003E0249"/>
    <w:rsid w:val="003E08A4"/>
    <w:rsid w:val="003E105C"/>
    <w:rsid w:val="003E1EF8"/>
    <w:rsid w:val="003E2BF2"/>
    <w:rsid w:val="003E2DFB"/>
    <w:rsid w:val="003E333B"/>
    <w:rsid w:val="003E4466"/>
    <w:rsid w:val="003E4817"/>
    <w:rsid w:val="003E4C91"/>
    <w:rsid w:val="003E4DAB"/>
    <w:rsid w:val="003E52D8"/>
    <w:rsid w:val="003E62F1"/>
    <w:rsid w:val="003E6547"/>
    <w:rsid w:val="003E6F84"/>
    <w:rsid w:val="003F0148"/>
    <w:rsid w:val="003F0CC3"/>
    <w:rsid w:val="003F0FB6"/>
    <w:rsid w:val="003F167E"/>
    <w:rsid w:val="003F29B7"/>
    <w:rsid w:val="003F313C"/>
    <w:rsid w:val="003F3216"/>
    <w:rsid w:val="003F33B1"/>
    <w:rsid w:val="003F33B9"/>
    <w:rsid w:val="003F37FC"/>
    <w:rsid w:val="003F3E76"/>
    <w:rsid w:val="003F4230"/>
    <w:rsid w:val="003F4318"/>
    <w:rsid w:val="003F4B2C"/>
    <w:rsid w:val="003F4CDD"/>
    <w:rsid w:val="003F4E1E"/>
    <w:rsid w:val="003F4EA2"/>
    <w:rsid w:val="003F551C"/>
    <w:rsid w:val="003F61C2"/>
    <w:rsid w:val="003F626D"/>
    <w:rsid w:val="003F67D6"/>
    <w:rsid w:val="003F72ED"/>
    <w:rsid w:val="003F7872"/>
    <w:rsid w:val="003F7D23"/>
    <w:rsid w:val="003F7D98"/>
    <w:rsid w:val="00400050"/>
    <w:rsid w:val="004002C8"/>
    <w:rsid w:val="00400468"/>
    <w:rsid w:val="0040099D"/>
    <w:rsid w:val="004016CB"/>
    <w:rsid w:val="00401837"/>
    <w:rsid w:val="00401B23"/>
    <w:rsid w:val="00402ADB"/>
    <w:rsid w:val="0040368D"/>
    <w:rsid w:val="00403D1D"/>
    <w:rsid w:val="00403F57"/>
    <w:rsid w:val="00404051"/>
    <w:rsid w:val="0040469E"/>
    <w:rsid w:val="004046BD"/>
    <w:rsid w:val="00404BAB"/>
    <w:rsid w:val="00405318"/>
    <w:rsid w:val="0040545D"/>
    <w:rsid w:val="00405696"/>
    <w:rsid w:val="004059D2"/>
    <w:rsid w:val="004060C9"/>
    <w:rsid w:val="004066D0"/>
    <w:rsid w:val="00406C2E"/>
    <w:rsid w:val="00406CDA"/>
    <w:rsid w:val="00406EB0"/>
    <w:rsid w:val="00407711"/>
    <w:rsid w:val="00407863"/>
    <w:rsid w:val="00407C13"/>
    <w:rsid w:val="004103F6"/>
    <w:rsid w:val="00410638"/>
    <w:rsid w:val="00410A5C"/>
    <w:rsid w:val="0041107A"/>
    <w:rsid w:val="004123CB"/>
    <w:rsid w:val="00412511"/>
    <w:rsid w:val="004125C2"/>
    <w:rsid w:val="00412DFA"/>
    <w:rsid w:val="00413465"/>
    <w:rsid w:val="00413546"/>
    <w:rsid w:val="004149AC"/>
    <w:rsid w:val="0041501E"/>
    <w:rsid w:val="00415452"/>
    <w:rsid w:val="004159C3"/>
    <w:rsid w:val="00415A57"/>
    <w:rsid w:val="00416DAC"/>
    <w:rsid w:val="00417106"/>
    <w:rsid w:val="0041710D"/>
    <w:rsid w:val="00420880"/>
    <w:rsid w:val="00421022"/>
    <w:rsid w:val="00421179"/>
    <w:rsid w:val="004225D7"/>
    <w:rsid w:val="00423249"/>
    <w:rsid w:val="00423519"/>
    <w:rsid w:val="00423623"/>
    <w:rsid w:val="00424050"/>
    <w:rsid w:val="0042470E"/>
    <w:rsid w:val="00425352"/>
    <w:rsid w:val="00426C99"/>
    <w:rsid w:val="0042708A"/>
    <w:rsid w:val="004272BE"/>
    <w:rsid w:val="004273E7"/>
    <w:rsid w:val="00430114"/>
    <w:rsid w:val="004304D0"/>
    <w:rsid w:val="00430C96"/>
    <w:rsid w:val="0043174F"/>
    <w:rsid w:val="00431BFF"/>
    <w:rsid w:val="00432199"/>
    <w:rsid w:val="0043277C"/>
    <w:rsid w:val="00432A58"/>
    <w:rsid w:val="00432DA4"/>
    <w:rsid w:val="004331C3"/>
    <w:rsid w:val="00433C17"/>
    <w:rsid w:val="00434617"/>
    <w:rsid w:val="00434686"/>
    <w:rsid w:val="00434CB3"/>
    <w:rsid w:val="00434DE9"/>
    <w:rsid w:val="00435051"/>
    <w:rsid w:val="00435C69"/>
    <w:rsid w:val="00435DE8"/>
    <w:rsid w:val="004360FB"/>
    <w:rsid w:val="00437CED"/>
    <w:rsid w:val="004407BF"/>
    <w:rsid w:val="00440900"/>
    <w:rsid w:val="00440C2F"/>
    <w:rsid w:val="0044121D"/>
    <w:rsid w:val="00441BF6"/>
    <w:rsid w:val="00441D2B"/>
    <w:rsid w:val="00441F8B"/>
    <w:rsid w:val="00442085"/>
    <w:rsid w:val="0044279E"/>
    <w:rsid w:val="00442BD8"/>
    <w:rsid w:val="00443184"/>
    <w:rsid w:val="00443291"/>
    <w:rsid w:val="004441A0"/>
    <w:rsid w:val="00445861"/>
    <w:rsid w:val="00445A8E"/>
    <w:rsid w:val="00446D44"/>
    <w:rsid w:val="0045078A"/>
    <w:rsid w:val="0045086D"/>
    <w:rsid w:val="00450DAB"/>
    <w:rsid w:val="0045125B"/>
    <w:rsid w:val="00451E25"/>
    <w:rsid w:val="00451EF1"/>
    <w:rsid w:val="00452E60"/>
    <w:rsid w:val="0045321B"/>
    <w:rsid w:val="004548E8"/>
    <w:rsid w:val="004550FE"/>
    <w:rsid w:val="00455833"/>
    <w:rsid w:val="00455B02"/>
    <w:rsid w:val="00456AAB"/>
    <w:rsid w:val="00456FB5"/>
    <w:rsid w:val="00456FE5"/>
    <w:rsid w:val="00457490"/>
    <w:rsid w:val="0045778B"/>
    <w:rsid w:val="0045786C"/>
    <w:rsid w:val="00457953"/>
    <w:rsid w:val="0046041E"/>
    <w:rsid w:val="004604D8"/>
    <w:rsid w:val="00460656"/>
    <w:rsid w:val="00460FB3"/>
    <w:rsid w:val="00462DA6"/>
    <w:rsid w:val="00463D3C"/>
    <w:rsid w:val="00464851"/>
    <w:rsid w:val="00464BF5"/>
    <w:rsid w:val="00465934"/>
    <w:rsid w:val="00466595"/>
    <w:rsid w:val="00466B3E"/>
    <w:rsid w:val="00466D08"/>
    <w:rsid w:val="0046746A"/>
    <w:rsid w:val="00467938"/>
    <w:rsid w:val="00467B14"/>
    <w:rsid w:val="00470043"/>
    <w:rsid w:val="0047053B"/>
    <w:rsid w:val="004707FE"/>
    <w:rsid w:val="00470EDC"/>
    <w:rsid w:val="00471C37"/>
    <w:rsid w:val="00472418"/>
    <w:rsid w:val="0047276D"/>
    <w:rsid w:val="00472A29"/>
    <w:rsid w:val="00472AF6"/>
    <w:rsid w:val="00473482"/>
    <w:rsid w:val="004737F4"/>
    <w:rsid w:val="00474646"/>
    <w:rsid w:val="00474A04"/>
    <w:rsid w:val="00474FEE"/>
    <w:rsid w:val="004756DD"/>
    <w:rsid w:val="00476240"/>
    <w:rsid w:val="00476439"/>
    <w:rsid w:val="00476450"/>
    <w:rsid w:val="004769BF"/>
    <w:rsid w:val="004769E1"/>
    <w:rsid w:val="00476BD0"/>
    <w:rsid w:val="0047735C"/>
    <w:rsid w:val="004773A5"/>
    <w:rsid w:val="004776BC"/>
    <w:rsid w:val="00477820"/>
    <w:rsid w:val="00477B96"/>
    <w:rsid w:val="00480802"/>
    <w:rsid w:val="00480AC0"/>
    <w:rsid w:val="00480BAE"/>
    <w:rsid w:val="00480D7F"/>
    <w:rsid w:val="0048139F"/>
    <w:rsid w:val="00481E40"/>
    <w:rsid w:val="00481F18"/>
    <w:rsid w:val="00482405"/>
    <w:rsid w:val="004824C7"/>
    <w:rsid w:val="004826A7"/>
    <w:rsid w:val="00483392"/>
    <w:rsid w:val="0048368C"/>
    <w:rsid w:val="0048372F"/>
    <w:rsid w:val="0048399F"/>
    <w:rsid w:val="00483A0C"/>
    <w:rsid w:val="00483BDD"/>
    <w:rsid w:val="004841CC"/>
    <w:rsid w:val="0048499C"/>
    <w:rsid w:val="00484ECE"/>
    <w:rsid w:val="00485E82"/>
    <w:rsid w:val="00486132"/>
    <w:rsid w:val="004862C8"/>
    <w:rsid w:val="0048686D"/>
    <w:rsid w:val="00486A4D"/>
    <w:rsid w:val="00490F96"/>
    <w:rsid w:val="004915CB"/>
    <w:rsid w:val="00491A2B"/>
    <w:rsid w:val="004924DC"/>
    <w:rsid w:val="0049267F"/>
    <w:rsid w:val="00492879"/>
    <w:rsid w:val="00492BBA"/>
    <w:rsid w:val="004932A1"/>
    <w:rsid w:val="00493CF5"/>
    <w:rsid w:val="00493E85"/>
    <w:rsid w:val="00495145"/>
    <w:rsid w:val="0049531F"/>
    <w:rsid w:val="004979A5"/>
    <w:rsid w:val="00497F7C"/>
    <w:rsid w:val="004A0144"/>
    <w:rsid w:val="004A0197"/>
    <w:rsid w:val="004A036E"/>
    <w:rsid w:val="004A0498"/>
    <w:rsid w:val="004A06B0"/>
    <w:rsid w:val="004A0D0E"/>
    <w:rsid w:val="004A13B6"/>
    <w:rsid w:val="004A14E4"/>
    <w:rsid w:val="004A2017"/>
    <w:rsid w:val="004A204E"/>
    <w:rsid w:val="004A23BC"/>
    <w:rsid w:val="004A26A5"/>
    <w:rsid w:val="004A27F0"/>
    <w:rsid w:val="004A3212"/>
    <w:rsid w:val="004A37CD"/>
    <w:rsid w:val="004A40D9"/>
    <w:rsid w:val="004A49A5"/>
    <w:rsid w:val="004A4F8A"/>
    <w:rsid w:val="004A52AB"/>
    <w:rsid w:val="004A5494"/>
    <w:rsid w:val="004A5D4E"/>
    <w:rsid w:val="004A61C5"/>
    <w:rsid w:val="004A62A0"/>
    <w:rsid w:val="004A6BBF"/>
    <w:rsid w:val="004A74EE"/>
    <w:rsid w:val="004A77DF"/>
    <w:rsid w:val="004A78E3"/>
    <w:rsid w:val="004A7DC0"/>
    <w:rsid w:val="004B00D7"/>
    <w:rsid w:val="004B1417"/>
    <w:rsid w:val="004B1627"/>
    <w:rsid w:val="004B305C"/>
    <w:rsid w:val="004B30B1"/>
    <w:rsid w:val="004B31B8"/>
    <w:rsid w:val="004B339A"/>
    <w:rsid w:val="004B4C83"/>
    <w:rsid w:val="004B51C6"/>
    <w:rsid w:val="004B55B7"/>
    <w:rsid w:val="004B5831"/>
    <w:rsid w:val="004B5BFA"/>
    <w:rsid w:val="004B619E"/>
    <w:rsid w:val="004B6468"/>
    <w:rsid w:val="004B6EF8"/>
    <w:rsid w:val="004B7125"/>
    <w:rsid w:val="004B756A"/>
    <w:rsid w:val="004B7625"/>
    <w:rsid w:val="004B7EC0"/>
    <w:rsid w:val="004B7FB1"/>
    <w:rsid w:val="004C08DE"/>
    <w:rsid w:val="004C0970"/>
    <w:rsid w:val="004C0B3F"/>
    <w:rsid w:val="004C0F87"/>
    <w:rsid w:val="004C1648"/>
    <w:rsid w:val="004C18CE"/>
    <w:rsid w:val="004C1EF2"/>
    <w:rsid w:val="004C25F9"/>
    <w:rsid w:val="004C2794"/>
    <w:rsid w:val="004C2BB6"/>
    <w:rsid w:val="004C2C2D"/>
    <w:rsid w:val="004C3027"/>
    <w:rsid w:val="004C384C"/>
    <w:rsid w:val="004C3867"/>
    <w:rsid w:val="004C3DB0"/>
    <w:rsid w:val="004C3E03"/>
    <w:rsid w:val="004C3E63"/>
    <w:rsid w:val="004C439A"/>
    <w:rsid w:val="004C4720"/>
    <w:rsid w:val="004C4BEA"/>
    <w:rsid w:val="004C4CD0"/>
    <w:rsid w:val="004C5060"/>
    <w:rsid w:val="004C5165"/>
    <w:rsid w:val="004C589C"/>
    <w:rsid w:val="004C5AE8"/>
    <w:rsid w:val="004C64A3"/>
    <w:rsid w:val="004C6640"/>
    <w:rsid w:val="004C6D4D"/>
    <w:rsid w:val="004C6E0E"/>
    <w:rsid w:val="004C70DC"/>
    <w:rsid w:val="004C7341"/>
    <w:rsid w:val="004C7D10"/>
    <w:rsid w:val="004D0211"/>
    <w:rsid w:val="004D0794"/>
    <w:rsid w:val="004D0FB7"/>
    <w:rsid w:val="004D17A2"/>
    <w:rsid w:val="004D2D31"/>
    <w:rsid w:val="004D2E03"/>
    <w:rsid w:val="004D3296"/>
    <w:rsid w:val="004D4056"/>
    <w:rsid w:val="004D42F3"/>
    <w:rsid w:val="004D4CB0"/>
    <w:rsid w:val="004D5B0F"/>
    <w:rsid w:val="004D6602"/>
    <w:rsid w:val="004D6B32"/>
    <w:rsid w:val="004D7626"/>
    <w:rsid w:val="004E01C9"/>
    <w:rsid w:val="004E085C"/>
    <w:rsid w:val="004E12DF"/>
    <w:rsid w:val="004E186A"/>
    <w:rsid w:val="004E1A40"/>
    <w:rsid w:val="004E200A"/>
    <w:rsid w:val="004E2351"/>
    <w:rsid w:val="004E23FC"/>
    <w:rsid w:val="004E2409"/>
    <w:rsid w:val="004E2567"/>
    <w:rsid w:val="004E261D"/>
    <w:rsid w:val="004E3927"/>
    <w:rsid w:val="004E3B7F"/>
    <w:rsid w:val="004E506E"/>
    <w:rsid w:val="004E56E3"/>
    <w:rsid w:val="004E57BF"/>
    <w:rsid w:val="004E5C6A"/>
    <w:rsid w:val="004E5F41"/>
    <w:rsid w:val="004E6011"/>
    <w:rsid w:val="004E6D15"/>
    <w:rsid w:val="004E6DE6"/>
    <w:rsid w:val="004E765E"/>
    <w:rsid w:val="004E7815"/>
    <w:rsid w:val="004F06F5"/>
    <w:rsid w:val="004F1127"/>
    <w:rsid w:val="004F12A4"/>
    <w:rsid w:val="004F253F"/>
    <w:rsid w:val="004F33A0"/>
    <w:rsid w:val="004F3873"/>
    <w:rsid w:val="004F3BD2"/>
    <w:rsid w:val="004F46ED"/>
    <w:rsid w:val="004F49A3"/>
    <w:rsid w:val="004F4C99"/>
    <w:rsid w:val="004F4D83"/>
    <w:rsid w:val="004F4E4D"/>
    <w:rsid w:val="004F5358"/>
    <w:rsid w:val="004F5487"/>
    <w:rsid w:val="004F6484"/>
    <w:rsid w:val="004F6539"/>
    <w:rsid w:val="004F66AD"/>
    <w:rsid w:val="004F6AFB"/>
    <w:rsid w:val="0050057B"/>
    <w:rsid w:val="005022CA"/>
    <w:rsid w:val="00503D54"/>
    <w:rsid w:val="0050400C"/>
    <w:rsid w:val="005048E2"/>
    <w:rsid w:val="00504E9B"/>
    <w:rsid w:val="00505392"/>
    <w:rsid w:val="00505FC8"/>
    <w:rsid w:val="00506603"/>
    <w:rsid w:val="0050689D"/>
    <w:rsid w:val="005077F5"/>
    <w:rsid w:val="005108C0"/>
    <w:rsid w:val="0051094F"/>
    <w:rsid w:val="00511217"/>
    <w:rsid w:val="00511873"/>
    <w:rsid w:val="00511BAF"/>
    <w:rsid w:val="00511C65"/>
    <w:rsid w:val="00511CA1"/>
    <w:rsid w:val="00512461"/>
    <w:rsid w:val="00512585"/>
    <w:rsid w:val="00512A2F"/>
    <w:rsid w:val="00512B98"/>
    <w:rsid w:val="00513175"/>
    <w:rsid w:val="00513846"/>
    <w:rsid w:val="00513B7E"/>
    <w:rsid w:val="00513E9D"/>
    <w:rsid w:val="0051475C"/>
    <w:rsid w:val="0051475D"/>
    <w:rsid w:val="00514B11"/>
    <w:rsid w:val="00514DED"/>
    <w:rsid w:val="00514F47"/>
    <w:rsid w:val="00514FE2"/>
    <w:rsid w:val="00515079"/>
    <w:rsid w:val="00515485"/>
    <w:rsid w:val="00515BE9"/>
    <w:rsid w:val="00515C74"/>
    <w:rsid w:val="00515CEB"/>
    <w:rsid w:val="0051630F"/>
    <w:rsid w:val="00516997"/>
    <w:rsid w:val="00517113"/>
    <w:rsid w:val="0052007E"/>
    <w:rsid w:val="0052032E"/>
    <w:rsid w:val="00520C78"/>
    <w:rsid w:val="00521CAD"/>
    <w:rsid w:val="0052200D"/>
    <w:rsid w:val="00522199"/>
    <w:rsid w:val="00522425"/>
    <w:rsid w:val="005227DC"/>
    <w:rsid w:val="00522A1B"/>
    <w:rsid w:val="00522E01"/>
    <w:rsid w:val="0052337A"/>
    <w:rsid w:val="00524385"/>
    <w:rsid w:val="005246BE"/>
    <w:rsid w:val="00525137"/>
    <w:rsid w:val="005251DD"/>
    <w:rsid w:val="00526C1E"/>
    <w:rsid w:val="0052762C"/>
    <w:rsid w:val="0052792D"/>
    <w:rsid w:val="005279E0"/>
    <w:rsid w:val="00527CAF"/>
    <w:rsid w:val="0053012B"/>
    <w:rsid w:val="005301A6"/>
    <w:rsid w:val="00530A68"/>
    <w:rsid w:val="00530AD4"/>
    <w:rsid w:val="0053129F"/>
    <w:rsid w:val="00531C5A"/>
    <w:rsid w:val="00532CE7"/>
    <w:rsid w:val="00532D8B"/>
    <w:rsid w:val="00532FED"/>
    <w:rsid w:val="0053324C"/>
    <w:rsid w:val="00533A8D"/>
    <w:rsid w:val="005346B6"/>
    <w:rsid w:val="00534A28"/>
    <w:rsid w:val="00534A3A"/>
    <w:rsid w:val="00535018"/>
    <w:rsid w:val="00535333"/>
    <w:rsid w:val="0053570E"/>
    <w:rsid w:val="00535782"/>
    <w:rsid w:val="0053593E"/>
    <w:rsid w:val="0053595E"/>
    <w:rsid w:val="00537571"/>
    <w:rsid w:val="00540056"/>
    <w:rsid w:val="00540F2B"/>
    <w:rsid w:val="005410E2"/>
    <w:rsid w:val="00541508"/>
    <w:rsid w:val="00541AE3"/>
    <w:rsid w:val="00543498"/>
    <w:rsid w:val="005435D5"/>
    <w:rsid w:val="00543FF5"/>
    <w:rsid w:val="00544011"/>
    <w:rsid w:val="005446FB"/>
    <w:rsid w:val="00544BE5"/>
    <w:rsid w:val="005453A3"/>
    <w:rsid w:val="005455F6"/>
    <w:rsid w:val="0054582F"/>
    <w:rsid w:val="00546FC7"/>
    <w:rsid w:val="00547E33"/>
    <w:rsid w:val="005500F9"/>
    <w:rsid w:val="00550160"/>
    <w:rsid w:val="00550249"/>
    <w:rsid w:val="00550540"/>
    <w:rsid w:val="005519E2"/>
    <w:rsid w:val="00551E16"/>
    <w:rsid w:val="0055223F"/>
    <w:rsid w:val="005523A8"/>
    <w:rsid w:val="00552E44"/>
    <w:rsid w:val="00552F2C"/>
    <w:rsid w:val="00553A25"/>
    <w:rsid w:val="00553E69"/>
    <w:rsid w:val="005547EB"/>
    <w:rsid w:val="00554863"/>
    <w:rsid w:val="005555E0"/>
    <w:rsid w:val="005558B3"/>
    <w:rsid w:val="0055599F"/>
    <w:rsid w:val="00556D68"/>
    <w:rsid w:val="00556F75"/>
    <w:rsid w:val="0055707B"/>
    <w:rsid w:val="005570D6"/>
    <w:rsid w:val="00557E0E"/>
    <w:rsid w:val="00557E45"/>
    <w:rsid w:val="005605F3"/>
    <w:rsid w:val="005606B6"/>
    <w:rsid w:val="00560C41"/>
    <w:rsid w:val="00560CAC"/>
    <w:rsid w:val="00561F44"/>
    <w:rsid w:val="00562B4D"/>
    <w:rsid w:val="00562DB1"/>
    <w:rsid w:val="00563EB8"/>
    <w:rsid w:val="005647BF"/>
    <w:rsid w:val="00564AF1"/>
    <w:rsid w:val="00564E64"/>
    <w:rsid w:val="005655DB"/>
    <w:rsid w:val="00565E88"/>
    <w:rsid w:val="00566A8B"/>
    <w:rsid w:val="005671C4"/>
    <w:rsid w:val="00567339"/>
    <w:rsid w:val="0056764A"/>
    <w:rsid w:val="0056764B"/>
    <w:rsid w:val="005678EE"/>
    <w:rsid w:val="00567910"/>
    <w:rsid w:val="00570270"/>
    <w:rsid w:val="00570464"/>
    <w:rsid w:val="00570601"/>
    <w:rsid w:val="00570BC3"/>
    <w:rsid w:val="00571766"/>
    <w:rsid w:val="0057182A"/>
    <w:rsid w:val="00571A66"/>
    <w:rsid w:val="00571E59"/>
    <w:rsid w:val="00572079"/>
    <w:rsid w:val="00572900"/>
    <w:rsid w:val="0057295C"/>
    <w:rsid w:val="00573602"/>
    <w:rsid w:val="0057364B"/>
    <w:rsid w:val="00573C09"/>
    <w:rsid w:val="00574773"/>
    <w:rsid w:val="005761EC"/>
    <w:rsid w:val="00576E34"/>
    <w:rsid w:val="00577C07"/>
    <w:rsid w:val="00577DB1"/>
    <w:rsid w:val="00577F41"/>
    <w:rsid w:val="00580AD3"/>
    <w:rsid w:val="00580DE7"/>
    <w:rsid w:val="005810E1"/>
    <w:rsid w:val="005820CD"/>
    <w:rsid w:val="00582459"/>
    <w:rsid w:val="005827C6"/>
    <w:rsid w:val="0058364F"/>
    <w:rsid w:val="00583BDD"/>
    <w:rsid w:val="00583E52"/>
    <w:rsid w:val="00583FFD"/>
    <w:rsid w:val="00584252"/>
    <w:rsid w:val="005848DD"/>
    <w:rsid w:val="0058519A"/>
    <w:rsid w:val="005856BD"/>
    <w:rsid w:val="00585983"/>
    <w:rsid w:val="00586BCA"/>
    <w:rsid w:val="00587038"/>
    <w:rsid w:val="00587B1B"/>
    <w:rsid w:val="00590608"/>
    <w:rsid w:val="00590B28"/>
    <w:rsid w:val="005911BE"/>
    <w:rsid w:val="00591273"/>
    <w:rsid w:val="005912C9"/>
    <w:rsid w:val="00591E9E"/>
    <w:rsid w:val="005927A4"/>
    <w:rsid w:val="00593152"/>
    <w:rsid w:val="00593389"/>
    <w:rsid w:val="00593591"/>
    <w:rsid w:val="00593FE6"/>
    <w:rsid w:val="005943D7"/>
    <w:rsid w:val="005956A3"/>
    <w:rsid w:val="00595958"/>
    <w:rsid w:val="00595CAB"/>
    <w:rsid w:val="0059622E"/>
    <w:rsid w:val="0059687F"/>
    <w:rsid w:val="00597671"/>
    <w:rsid w:val="00597BBF"/>
    <w:rsid w:val="005A030F"/>
    <w:rsid w:val="005A040C"/>
    <w:rsid w:val="005A0463"/>
    <w:rsid w:val="005A0948"/>
    <w:rsid w:val="005A0A03"/>
    <w:rsid w:val="005A10F2"/>
    <w:rsid w:val="005A16C0"/>
    <w:rsid w:val="005A18CF"/>
    <w:rsid w:val="005A2156"/>
    <w:rsid w:val="005A21E0"/>
    <w:rsid w:val="005A2401"/>
    <w:rsid w:val="005A2692"/>
    <w:rsid w:val="005A28FF"/>
    <w:rsid w:val="005A2C09"/>
    <w:rsid w:val="005A3778"/>
    <w:rsid w:val="005A37B0"/>
    <w:rsid w:val="005A3DF8"/>
    <w:rsid w:val="005A4C24"/>
    <w:rsid w:val="005A5549"/>
    <w:rsid w:val="005A566A"/>
    <w:rsid w:val="005A56E0"/>
    <w:rsid w:val="005A5F92"/>
    <w:rsid w:val="005A6032"/>
    <w:rsid w:val="005A70CA"/>
    <w:rsid w:val="005A7ABD"/>
    <w:rsid w:val="005A7CF8"/>
    <w:rsid w:val="005B0EDA"/>
    <w:rsid w:val="005B121D"/>
    <w:rsid w:val="005B26B0"/>
    <w:rsid w:val="005B41C9"/>
    <w:rsid w:val="005B44E6"/>
    <w:rsid w:val="005B4853"/>
    <w:rsid w:val="005B5A17"/>
    <w:rsid w:val="005B6CA1"/>
    <w:rsid w:val="005B7580"/>
    <w:rsid w:val="005B770C"/>
    <w:rsid w:val="005C00F6"/>
    <w:rsid w:val="005C0461"/>
    <w:rsid w:val="005C06ED"/>
    <w:rsid w:val="005C0CE1"/>
    <w:rsid w:val="005C11B8"/>
    <w:rsid w:val="005C16C2"/>
    <w:rsid w:val="005C173A"/>
    <w:rsid w:val="005C18FB"/>
    <w:rsid w:val="005C1D5F"/>
    <w:rsid w:val="005C216C"/>
    <w:rsid w:val="005C2609"/>
    <w:rsid w:val="005C2B30"/>
    <w:rsid w:val="005C31D1"/>
    <w:rsid w:val="005C412B"/>
    <w:rsid w:val="005C41BD"/>
    <w:rsid w:val="005C43EC"/>
    <w:rsid w:val="005C45DD"/>
    <w:rsid w:val="005C4704"/>
    <w:rsid w:val="005C4841"/>
    <w:rsid w:val="005C484D"/>
    <w:rsid w:val="005C4CB1"/>
    <w:rsid w:val="005C612E"/>
    <w:rsid w:val="005C63EC"/>
    <w:rsid w:val="005C70AB"/>
    <w:rsid w:val="005D015C"/>
    <w:rsid w:val="005D2873"/>
    <w:rsid w:val="005D3365"/>
    <w:rsid w:val="005D3F06"/>
    <w:rsid w:val="005D4608"/>
    <w:rsid w:val="005D4B73"/>
    <w:rsid w:val="005D533D"/>
    <w:rsid w:val="005D5645"/>
    <w:rsid w:val="005D5802"/>
    <w:rsid w:val="005D5AA9"/>
    <w:rsid w:val="005D66E6"/>
    <w:rsid w:val="005D7119"/>
    <w:rsid w:val="005D76C8"/>
    <w:rsid w:val="005D7890"/>
    <w:rsid w:val="005D7B4F"/>
    <w:rsid w:val="005E0478"/>
    <w:rsid w:val="005E09B4"/>
    <w:rsid w:val="005E18E8"/>
    <w:rsid w:val="005E19C1"/>
    <w:rsid w:val="005E2194"/>
    <w:rsid w:val="005E24F0"/>
    <w:rsid w:val="005E3113"/>
    <w:rsid w:val="005E36FE"/>
    <w:rsid w:val="005E3854"/>
    <w:rsid w:val="005E3AAC"/>
    <w:rsid w:val="005E3F66"/>
    <w:rsid w:val="005E490F"/>
    <w:rsid w:val="005E4BC9"/>
    <w:rsid w:val="005E5314"/>
    <w:rsid w:val="005E6274"/>
    <w:rsid w:val="005E7724"/>
    <w:rsid w:val="005E7C78"/>
    <w:rsid w:val="005E7FA6"/>
    <w:rsid w:val="005F04A7"/>
    <w:rsid w:val="005F0E3A"/>
    <w:rsid w:val="005F1123"/>
    <w:rsid w:val="005F114F"/>
    <w:rsid w:val="005F18C5"/>
    <w:rsid w:val="005F23DC"/>
    <w:rsid w:val="005F247B"/>
    <w:rsid w:val="005F2A08"/>
    <w:rsid w:val="005F36CC"/>
    <w:rsid w:val="005F3EB1"/>
    <w:rsid w:val="005F413E"/>
    <w:rsid w:val="005F466B"/>
    <w:rsid w:val="005F46D8"/>
    <w:rsid w:val="005F480F"/>
    <w:rsid w:val="005F5271"/>
    <w:rsid w:val="005F5469"/>
    <w:rsid w:val="005F61BF"/>
    <w:rsid w:val="005F63F3"/>
    <w:rsid w:val="005F66F0"/>
    <w:rsid w:val="005F6B2D"/>
    <w:rsid w:val="005F6D7F"/>
    <w:rsid w:val="005F6DFE"/>
    <w:rsid w:val="005F7174"/>
    <w:rsid w:val="00600ECB"/>
    <w:rsid w:val="00601191"/>
    <w:rsid w:val="0060120D"/>
    <w:rsid w:val="006017C1"/>
    <w:rsid w:val="00601ADE"/>
    <w:rsid w:val="00601EEF"/>
    <w:rsid w:val="0060255A"/>
    <w:rsid w:val="00602998"/>
    <w:rsid w:val="00602EB3"/>
    <w:rsid w:val="00603273"/>
    <w:rsid w:val="00603787"/>
    <w:rsid w:val="00604307"/>
    <w:rsid w:val="0060487F"/>
    <w:rsid w:val="00604EAD"/>
    <w:rsid w:val="0060513F"/>
    <w:rsid w:val="006065E2"/>
    <w:rsid w:val="0060694B"/>
    <w:rsid w:val="00607DBA"/>
    <w:rsid w:val="006104FB"/>
    <w:rsid w:val="00610E23"/>
    <w:rsid w:val="0061176D"/>
    <w:rsid w:val="00611866"/>
    <w:rsid w:val="0061200F"/>
    <w:rsid w:val="006125EF"/>
    <w:rsid w:val="00612680"/>
    <w:rsid w:val="00612756"/>
    <w:rsid w:val="00612A2F"/>
    <w:rsid w:val="00612A85"/>
    <w:rsid w:val="00612AA0"/>
    <w:rsid w:val="00612AAE"/>
    <w:rsid w:val="00612B07"/>
    <w:rsid w:val="00612FD9"/>
    <w:rsid w:val="006139E0"/>
    <w:rsid w:val="00613C26"/>
    <w:rsid w:val="00614D35"/>
    <w:rsid w:val="006155BA"/>
    <w:rsid w:val="006156B4"/>
    <w:rsid w:val="00615DAF"/>
    <w:rsid w:val="00616254"/>
    <w:rsid w:val="0061672A"/>
    <w:rsid w:val="00616A46"/>
    <w:rsid w:val="00616E05"/>
    <w:rsid w:val="006176EF"/>
    <w:rsid w:val="00617939"/>
    <w:rsid w:val="00617985"/>
    <w:rsid w:val="006205C7"/>
    <w:rsid w:val="00620641"/>
    <w:rsid w:val="00620B77"/>
    <w:rsid w:val="00621190"/>
    <w:rsid w:val="0062131B"/>
    <w:rsid w:val="00621D46"/>
    <w:rsid w:val="00621E26"/>
    <w:rsid w:val="00621E77"/>
    <w:rsid w:val="006224EA"/>
    <w:rsid w:val="0062263A"/>
    <w:rsid w:val="006227DF"/>
    <w:rsid w:val="006234A0"/>
    <w:rsid w:val="006236C8"/>
    <w:rsid w:val="00624093"/>
    <w:rsid w:val="00625A84"/>
    <w:rsid w:val="00626079"/>
    <w:rsid w:val="00626F0E"/>
    <w:rsid w:val="00631698"/>
    <w:rsid w:val="00631E44"/>
    <w:rsid w:val="00632874"/>
    <w:rsid w:val="00634C57"/>
    <w:rsid w:val="00634CE7"/>
    <w:rsid w:val="006350D5"/>
    <w:rsid w:val="0063642C"/>
    <w:rsid w:val="0063723A"/>
    <w:rsid w:val="006376B3"/>
    <w:rsid w:val="00637858"/>
    <w:rsid w:val="006404A7"/>
    <w:rsid w:val="006407EB"/>
    <w:rsid w:val="0064086F"/>
    <w:rsid w:val="00640A38"/>
    <w:rsid w:val="00640BA6"/>
    <w:rsid w:val="00640E6B"/>
    <w:rsid w:val="00641787"/>
    <w:rsid w:val="0064179B"/>
    <w:rsid w:val="00641BBD"/>
    <w:rsid w:val="00642489"/>
    <w:rsid w:val="0064378A"/>
    <w:rsid w:val="00644055"/>
    <w:rsid w:val="00644137"/>
    <w:rsid w:val="0064478C"/>
    <w:rsid w:val="00645160"/>
    <w:rsid w:val="006451E4"/>
    <w:rsid w:val="0064574B"/>
    <w:rsid w:val="00645B33"/>
    <w:rsid w:val="00646C3A"/>
    <w:rsid w:val="00647074"/>
    <w:rsid w:val="006476D7"/>
    <w:rsid w:val="006516CB"/>
    <w:rsid w:val="0065235A"/>
    <w:rsid w:val="00652E30"/>
    <w:rsid w:val="00653601"/>
    <w:rsid w:val="00653BD0"/>
    <w:rsid w:val="00654110"/>
    <w:rsid w:val="006547DA"/>
    <w:rsid w:val="00656C5D"/>
    <w:rsid w:val="00656CFB"/>
    <w:rsid w:val="00656D25"/>
    <w:rsid w:val="006574EA"/>
    <w:rsid w:val="00657977"/>
    <w:rsid w:val="00657E87"/>
    <w:rsid w:val="00660533"/>
    <w:rsid w:val="0066096D"/>
    <w:rsid w:val="00660C64"/>
    <w:rsid w:val="00660CD3"/>
    <w:rsid w:val="00660D2D"/>
    <w:rsid w:val="00661745"/>
    <w:rsid w:val="00661C41"/>
    <w:rsid w:val="00661C99"/>
    <w:rsid w:val="00661EC9"/>
    <w:rsid w:val="00662469"/>
    <w:rsid w:val="006627FF"/>
    <w:rsid w:val="00662860"/>
    <w:rsid w:val="0066345F"/>
    <w:rsid w:val="0066411C"/>
    <w:rsid w:val="00664205"/>
    <w:rsid w:val="00664647"/>
    <w:rsid w:val="00664803"/>
    <w:rsid w:val="0066502F"/>
    <w:rsid w:val="0066539A"/>
    <w:rsid w:val="006653CC"/>
    <w:rsid w:val="00665501"/>
    <w:rsid w:val="00665769"/>
    <w:rsid w:val="00665982"/>
    <w:rsid w:val="00665BA4"/>
    <w:rsid w:val="00666104"/>
    <w:rsid w:val="00666BF3"/>
    <w:rsid w:val="00667856"/>
    <w:rsid w:val="00667AF2"/>
    <w:rsid w:val="00667F4A"/>
    <w:rsid w:val="00670489"/>
    <w:rsid w:val="006710C9"/>
    <w:rsid w:val="00671564"/>
    <w:rsid w:val="00671D85"/>
    <w:rsid w:val="00672257"/>
    <w:rsid w:val="00672586"/>
    <w:rsid w:val="006727BC"/>
    <w:rsid w:val="00673F39"/>
    <w:rsid w:val="006741CD"/>
    <w:rsid w:val="006748EA"/>
    <w:rsid w:val="00674D89"/>
    <w:rsid w:val="0067514E"/>
    <w:rsid w:val="00675E37"/>
    <w:rsid w:val="006760B8"/>
    <w:rsid w:val="0067635D"/>
    <w:rsid w:val="00676736"/>
    <w:rsid w:val="006767F8"/>
    <w:rsid w:val="006769A4"/>
    <w:rsid w:val="006769C6"/>
    <w:rsid w:val="00676D76"/>
    <w:rsid w:val="00676F9F"/>
    <w:rsid w:val="00677519"/>
    <w:rsid w:val="00677591"/>
    <w:rsid w:val="00677594"/>
    <w:rsid w:val="00677FA3"/>
    <w:rsid w:val="0068032F"/>
    <w:rsid w:val="00680D37"/>
    <w:rsid w:val="0068174E"/>
    <w:rsid w:val="00681797"/>
    <w:rsid w:val="00681DCE"/>
    <w:rsid w:val="00682110"/>
    <w:rsid w:val="0068260E"/>
    <w:rsid w:val="006839EB"/>
    <w:rsid w:val="00683C4F"/>
    <w:rsid w:val="006846B3"/>
    <w:rsid w:val="00684B9B"/>
    <w:rsid w:val="00684C96"/>
    <w:rsid w:val="00684D59"/>
    <w:rsid w:val="00684E25"/>
    <w:rsid w:val="006858A4"/>
    <w:rsid w:val="00685C08"/>
    <w:rsid w:val="00686718"/>
    <w:rsid w:val="00686BFA"/>
    <w:rsid w:val="00686D6A"/>
    <w:rsid w:val="00686DED"/>
    <w:rsid w:val="006875A0"/>
    <w:rsid w:val="006878C6"/>
    <w:rsid w:val="00687B85"/>
    <w:rsid w:val="00687D27"/>
    <w:rsid w:val="00690A0C"/>
    <w:rsid w:val="006911ED"/>
    <w:rsid w:val="00691943"/>
    <w:rsid w:val="00693550"/>
    <w:rsid w:val="00693D9B"/>
    <w:rsid w:val="00693F29"/>
    <w:rsid w:val="00694467"/>
    <w:rsid w:val="00694622"/>
    <w:rsid w:val="00695065"/>
    <w:rsid w:val="00695BEF"/>
    <w:rsid w:val="0069610F"/>
    <w:rsid w:val="00696251"/>
    <w:rsid w:val="00696689"/>
    <w:rsid w:val="006966C7"/>
    <w:rsid w:val="006968C1"/>
    <w:rsid w:val="006977F6"/>
    <w:rsid w:val="00697A13"/>
    <w:rsid w:val="006A085E"/>
    <w:rsid w:val="006A0B96"/>
    <w:rsid w:val="006A0DD4"/>
    <w:rsid w:val="006A109C"/>
    <w:rsid w:val="006A1C31"/>
    <w:rsid w:val="006A23F2"/>
    <w:rsid w:val="006A26DA"/>
    <w:rsid w:val="006A3A42"/>
    <w:rsid w:val="006A4E91"/>
    <w:rsid w:val="006A5F4B"/>
    <w:rsid w:val="006A6114"/>
    <w:rsid w:val="006A6233"/>
    <w:rsid w:val="006A6565"/>
    <w:rsid w:val="006A7665"/>
    <w:rsid w:val="006A7691"/>
    <w:rsid w:val="006A7EE2"/>
    <w:rsid w:val="006B0514"/>
    <w:rsid w:val="006B0F92"/>
    <w:rsid w:val="006B1A3F"/>
    <w:rsid w:val="006B2785"/>
    <w:rsid w:val="006B27C7"/>
    <w:rsid w:val="006B344A"/>
    <w:rsid w:val="006B3B67"/>
    <w:rsid w:val="006B3FBA"/>
    <w:rsid w:val="006B4B60"/>
    <w:rsid w:val="006B5898"/>
    <w:rsid w:val="006B58C9"/>
    <w:rsid w:val="006B60ED"/>
    <w:rsid w:val="006B662A"/>
    <w:rsid w:val="006B6CC5"/>
    <w:rsid w:val="006B74AC"/>
    <w:rsid w:val="006B78D8"/>
    <w:rsid w:val="006B79EA"/>
    <w:rsid w:val="006C0C5D"/>
    <w:rsid w:val="006C0CFA"/>
    <w:rsid w:val="006C113F"/>
    <w:rsid w:val="006C123E"/>
    <w:rsid w:val="006C15A1"/>
    <w:rsid w:val="006C1752"/>
    <w:rsid w:val="006C177F"/>
    <w:rsid w:val="006C1DDC"/>
    <w:rsid w:val="006C1FD3"/>
    <w:rsid w:val="006C2764"/>
    <w:rsid w:val="006C28CA"/>
    <w:rsid w:val="006C2BBF"/>
    <w:rsid w:val="006C2EAB"/>
    <w:rsid w:val="006C2FBD"/>
    <w:rsid w:val="006C3336"/>
    <w:rsid w:val="006C3495"/>
    <w:rsid w:val="006C37C5"/>
    <w:rsid w:val="006C4355"/>
    <w:rsid w:val="006C4587"/>
    <w:rsid w:val="006C469D"/>
    <w:rsid w:val="006C46B5"/>
    <w:rsid w:val="006C484F"/>
    <w:rsid w:val="006C52EC"/>
    <w:rsid w:val="006C5506"/>
    <w:rsid w:val="006C56D4"/>
    <w:rsid w:val="006C5980"/>
    <w:rsid w:val="006C5FD8"/>
    <w:rsid w:val="006C6407"/>
    <w:rsid w:val="006C6681"/>
    <w:rsid w:val="006C683C"/>
    <w:rsid w:val="006C6924"/>
    <w:rsid w:val="006C6C1E"/>
    <w:rsid w:val="006C7076"/>
    <w:rsid w:val="006C7518"/>
    <w:rsid w:val="006C7981"/>
    <w:rsid w:val="006C7AEC"/>
    <w:rsid w:val="006C7CA6"/>
    <w:rsid w:val="006D022C"/>
    <w:rsid w:val="006D18B3"/>
    <w:rsid w:val="006D1E89"/>
    <w:rsid w:val="006D26CE"/>
    <w:rsid w:val="006D317E"/>
    <w:rsid w:val="006D3E8A"/>
    <w:rsid w:val="006D47D9"/>
    <w:rsid w:val="006D4F16"/>
    <w:rsid w:val="006D61F6"/>
    <w:rsid w:val="006D68E0"/>
    <w:rsid w:val="006D7208"/>
    <w:rsid w:val="006D74F7"/>
    <w:rsid w:val="006E023D"/>
    <w:rsid w:val="006E0EBE"/>
    <w:rsid w:val="006E0F83"/>
    <w:rsid w:val="006E1081"/>
    <w:rsid w:val="006E1332"/>
    <w:rsid w:val="006E19CB"/>
    <w:rsid w:val="006E279A"/>
    <w:rsid w:val="006E313B"/>
    <w:rsid w:val="006E34B2"/>
    <w:rsid w:val="006E3A45"/>
    <w:rsid w:val="006E3C3D"/>
    <w:rsid w:val="006E4078"/>
    <w:rsid w:val="006E4547"/>
    <w:rsid w:val="006E4BCB"/>
    <w:rsid w:val="006E4EB9"/>
    <w:rsid w:val="006E51C4"/>
    <w:rsid w:val="006E53AD"/>
    <w:rsid w:val="006E56AE"/>
    <w:rsid w:val="006E58CB"/>
    <w:rsid w:val="006E5F68"/>
    <w:rsid w:val="006E6A93"/>
    <w:rsid w:val="006E7227"/>
    <w:rsid w:val="006E761A"/>
    <w:rsid w:val="006F04C5"/>
    <w:rsid w:val="006F0646"/>
    <w:rsid w:val="006F0741"/>
    <w:rsid w:val="006F1C27"/>
    <w:rsid w:val="006F2A65"/>
    <w:rsid w:val="006F3367"/>
    <w:rsid w:val="006F348F"/>
    <w:rsid w:val="006F3DD6"/>
    <w:rsid w:val="006F40DF"/>
    <w:rsid w:val="006F41FE"/>
    <w:rsid w:val="006F42BB"/>
    <w:rsid w:val="006F438E"/>
    <w:rsid w:val="006F440B"/>
    <w:rsid w:val="006F48A3"/>
    <w:rsid w:val="006F4C21"/>
    <w:rsid w:val="006F4DA4"/>
    <w:rsid w:val="006F5416"/>
    <w:rsid w:val="006F624B"/>
    <w:rsid w:val="006F6D87"/>
    <w:rsid w:val="006F6EB9"/>
    <w:rsid w:val="006F6FBF"/>
    <w:rsid w:val="006F6FF2"/>
    <w:rsid w:val="006F79FB"/>
    <w:rsid w:val="007008A9"/>
    <w:rsid w:val="00700E8A"/>
    <w:rsid w:val="007012CB"/>
    <w:rsid w:val="00701691"/>
    <w:rsid w:val="00701955"/>
    <w:rsid w:val="0070398A"/>
    <w:rsid w:val="00703F21"/>
    <w:rsid w:val="00704210"/>
    <w:rsid w:val="00705242"/>
    <w:rsid w:val="007055E0"/>
    <w:rsid w:val="007056ED"/>
    <w:rsid w:val="00705D62"/>
    <w:rsid w:val="00705DF2"/>
    <w:rsid w:val="00705F4E"/>
    <w:rsid w:val="0070658E"/>
    <w:rsid w:val="007065C5"/>
    <w:rsid w:val="007068E1"/>
    <w:rsid w:val="00706AA0"/>
    <w:rsid w:val="00706AD4"/>
    <w:rsid w:val="00707150"/>
    <w:rsid w:val="007071C2"/>
    <w:rsid w:val="00707991"/>
    <w:rsid w:val="007124D7"/>
    <w:rsid w:val="00712913"/>
    <w:rsid w:val="00712C20"/>
    <w:rsid w:val="00713549"/>
    <w:rsid w:val="007140BE"/>
    <w:rsid w:val="007147AB"/>
    <w:rsid w:val="00714D1E"/>
    <w:rsid w:val="00715502"/>
    <w:rsid w:val="00715D01"/>
    <w:rsid w:val="00715E4D"/>
    <w:rsid w:val="00715F12"/>
    <w:rsid w:val="0071677A"/>
    <w:rsid w:val="00716F48"/>
    <w:rsid w:val="007170FB"/>
    <w:rsid w:val="00717114"/>
    <w:rsid w:val="0071779F"/>
    <w:rsid w:val="00720310"/>
    <w:rsid w:val="00720D7A"/>
    <w:rsid w:val="007211F5"/>
    <w:rsid w:val="007213C3"/>
    <w:rsid w:val="0072145E"/>
    <w:rsid w:val="007214EE"/>
    <w:rsid w:val="00721601"/>
    <w:rsid w:val="00722777"/>
    <w:rsid w:val="00722B11"/>
    <w:rsid w:val="00723435"/>
    <w:rsid w:val="00723436"/>
    <w:rsid w:val="007234D4"/>
    <w:rsid w:val="00723553"/>
    <w:rsid w:val="0072382D"/>
    <w:rsid w:val="007240E2"/>
    <w:rsid w:val="0072454C"/>
    <w:rsid w:val="0072526D"/>
    <w:rsid w:val="0072583E"/>
    <w:rsid w:val="00725BB5"/>
    <w:rsid w:val="00725F9D"/>
    <w:rsid w:val="007276DF"/>
    <w:rsid w:val="00727A7C"/>
    <w:rsid w:val="00727C02"/>
    <w:rsid w:val="00727C94"/>
    <w:rsid w:val="0073008E"/>
    <w:rsid w:val="0073044E"/>
    <w:rsid w:val="00730A8B"/>
    <w:rsid w:val="00730AE8"/>
    <w:rsid w:val="00730F1B"/>
    <w:rsid w:val="0073186D"/>
    <w:rsid w:val="0073260E"/>
    <w:rsid w:val="0073261D"/>
    <w:rsid w:val="0073333D"/>
    <w:rsid w:val="00733638"/>
    <w:rsid w:val="007343D9"/>
    <w:rsid w:val="00734926"/>
    <w:rsid w:val="00734AFC"/>
    <w:rsid w:val="00734F71"/>
    <w:rsid w:val="00735448"/>
    <w:rsid w:val="007359EC"/>
    <w:rsid w:val="00736F07"/>
    <w:rsid w:val="00737369"/>
    <w:rsid w:val="007377BD"/>
    <w:rsid w:val="00737DEC"/>
    <w:rsid w:val="0074004D"/>
    <w:rsid w:val="00740D1F"/>
    <w:rsid w:val="00741493"/>
    <w:rsid w:val="0074154A"/>
    <w:rsid w:val="007418E2"/>
    <w:rsid w:val="00741B02"/>
    <w:rsid w:val="00741E79"/>
    <w:rsid w:val="00741F2A"/>
    <w:rsid w:val="00742227"/>
    <w:rsid w:val="007434E5"/>
    <w:rsid w:val="007435CC"/>
    <w:rsid w:val="00743A94"/>
    <w:rsid w:val="00744237"/>
    <w:rsid w:val="0074499B"/>
    <w:rsid w:val="00744F9D"/>
    <w:rsid w:val="0074501E"/>
    <w:rsid w:val="007450BF"/>
    <w:rsid w:val="0074599A"/>
    <w:rsid w:val="00746F45"/>
    <w:rsid w:val="007471A1"/>
    <w:rsid w:val="007477BD"/>
    <w:rsid w:val="007477DA"/>
    <w:rsid w:val="00747EE9"/>
    <w:rsid w:val="007520B6"/>
    <w:rsid w:val="00752180"/>
    <w:rsid w:val="00752323"/>
    <w:rsid w:val="0075236C"/>
    <w:rsid w:val="007532B7"/>
    <w:rsid w:val="007533A0"/>
    <w:rsid w:val="00753CAB"/>
    <w:rsid w:val="00754A70"/>
    <w:rsid w:val="00754BC9"/>
    <w:rsid w:val="00755202"/>
    <w:rsid w:val="00755D3A"/>
    <w:rsid w:val="00757241"/>
    <w:rsid w:val="0075751D"/>
    <w:rsid w:val="0075763E"/>
    <w:rsid w:val="007578D3"/>
    <w:rsid w:val="007602CF"/>
    <w:rsid w:val="00760391"/>
    <w:rsid w:val="007609C6"/>
    <w:rsid w:val="007609DA"/>
    <w:rsid w:val="007615F3"/>
    <w:rsid w:val="0076175D"/>
    <w:rsid w:val="00761774"/>
    <w:rsid w:val="00761CB5"/>
    <w:rsid w:val="007629D5"/>
    <w:rsid w:val="007632D3"/>
    <w:rsid w:val="007635F8"/>
    <w:rsid w:val="007636D4"/>
    <w:rsid w:val="00763B85"/>
    <w:rsid w:val="007644A2"/>
    <w:rsid w:val="00764974"/>
    <w:rsid w:val="00764D18"/>
    <w:rsid w:val="0076521E"/>
    <w:rsid w:val="00765BCC"/>
    <w:rsid w:val="0076600D"/>
    <w:rsid w:val="007661E9"/>
    <w:rsid w:val="00766460"/>
    <w:rsid w:val="00766A98"/>
    <w:rsid w:val="00767062"/>
    <w:rsid w:val="00767601"/>
    <w:rsid w:val="00767777"/>
    <w:rsid w:val="00767933"/>
    <w:rsid w:val="00767FEB"/>
    <w:rsid w:val="00770AB9"/>
    <w:rsid w:val="00770CFC"/>
    <w:rsid w:val="0077130E"/>
    <w:rsid w:val="007715EE"/>
    <w:rsid w:val="00771972"/>
    <w:rsid w:val="00772279"/>
    <w:rsid w:val="007728DF"/>
    <w:rsid w:val="00772DAB"/>
    <w:rsid w:val="00772FF9"/>
    <w:rsid w:val="0077348B"/>
    <w:rsid w:val="0077399F"/>
    <w:rsid w:val="007743DB"/>
    <w:rsid w:val="0077450B"/>
    <w:rsid w:val="00774D2C"/>
    <w:rsid w:val="00775B09"/>
    <w:rsid w:val="00775E00"/>
    <w:rsid w:val="0077605B"/>
    <w:rsid w:val="00776169"/>
    <w:rsid w:val="00776527"/>
    <w:rsid w:val="00777040"/>
    <w:rsid w:val="00777342"/>
    <w:rsid w:val="0077771B"/>
    <w:rsid w:val="00777CE6"/>
    <w:rsid w:val="00777D57"/>
    <w:rsid w:val="007807ED"/>
    <w:rsid w:val="00780EF1"/>
    <w:rsid w:val="007812D2"/>
    <w:rsid w:val="007815FF"/>
    <w:rsid w:val="00781A91"/>
    <w:rsid w:val="00781AD3"/>
    <w:rsid w:val="00781F36"/>
    <w:rsid w:val="00783576"/>
    <w:rsid w:val="00783B17"/>
    <w:rsid w:val="00784AD3"/>
    <w:rsid w:val="00785778"/>
    <w:rsid w:val="00786C87"/>
    <w:rsid w:val="0078755E"/>
    <w:rsid w:val="007877C9"/>
    <w:rsid w:val="00787E26"/>
    <w:rsid w:val="00790764"/>
    <w:rsid w:val="00790831"/>
    <w:rsid w:val="0079085F"/>
    <w:rsid w:val="00790E96"/>
    <w:rsid w:val="00791005"/>
    <w:rsid w:val="007910F6"/>
    <w:rsid w:val="0079124A"/>
    <w:rsid w:val="00791ACA"/>
    <w:rsid w:val="00793049"/>
    <w:rsid w:val="007930C1"/>
    <w:rsid w:val="00793D78"/>
    <w:rsid w:val="0079420B"/>
    <w:rsid w:val="0079453C"/>
    <w:rsid w:val="00794677"/>
    <w:rsid w:val="00794722"/>
    <w:rsid w:val="00795759"/>
    <w:rsid w:val="00797B18"/>
    <w:rsid w:val="007A0831"/>
    <w:rsid w:val="007A1063"/>
    <w:rsid w:val="007A170B"/>
    <w:rsid w:val="007A1ECA"/>
    <w:rsid w:val="007A20EB"/>
    <w:rsid w:val="007A282C"/>
    <w:rsid w:val="007A293C"/>
    <w:rsid w:val="007A2986"/>
    <w:rsid w:val="007A2A3A"/>
    <w:rsid w:val="007A2A40"/>
    <w:rsid w:val="007A33E2"/>
    <w:rsid w:val="007A3CAF"/>
    <w:rsid w:val="007A4664"/>
    <w:rsid w:val="007A4782"/>
    <w:rsid w:val="007A516D"/>
    <w:rsid w:val="007A5DC6"/>
    <w:rsid w:val="007A5E65"/>
    <w:rsid w:val="007A65E1"/>
    <w:rsid w:val="007A6A6E"/>
    <w:rsid w:val="007A6AAA"/>
    <w:rsid w:val="007A7033"/>
    <w:rsid w:val="007A775D"/>
    <w:rsid w:val="007B04B0"/>
    <w:rsid w:val="007B0587"/>
    <w:rsid w:val="007B0820"/>
    <w:rsid w:val="007B0834"/>
    <w:rsid w:val="007B0E83"/>
    <w:rsid w:val="007B11FA"/>
    <w:rsid w:val="007B1396"/>
    <w:rsid w:val="007B16D6"/>
    <w:rsid w:val="007B1D1B"/>
    <w:rsid w:val="007B2011"/>
    <w:rsid w:val="007B289A"/>
    <w:rsid w:val="007B2CFE"/>
    <w:rsid w:val="007B309B"/>
    <w:rsid w:val="007B34EB"/>
    <w:rsid w:val="007B3D5E"/>
    <w:rsid w:val="007B3DCB"/>
    <w:rsid w:val="007B40E8"/>
    <w:rsid w:val="007B4D1F"/>
    <w:rsid w:val="007B54AE"/>
    <w:rsid w:val="007B5725"/>
    <w:rsid w:val="007B5C1F"/>
    <w:rsid w:val="007B6689"/>
    <w:rsid w:val="007B6747"/>
    <w:rsid w:val="007B6F72"/>
    <w:rsid w:val="007B74AA"/>
    <w:rsid w:val="007B78A7"/>
    <w:rsid w:val="007B7AD1"/>
    <w:rsid w:val="007C0319"/>
    <w:rsid w:val="007C10BD"/>
    <w:rsid w:val="007C162D"/>
    <w:rsid w:val="007C16C3"/>
    <w:rsid w:val="007C1BB1"/>
    <w:rsid w:val="007C1F0C"/>
    <w:rsid w:val="007C1FFB"/>
    <w:rsid w:val="007C2D6F"/>
    <w:rsid w:val="007C2D94"/>
    <w:rsid w:val="007C477C"/>
    <w:rsid w:val="007C4A6B"/>
    <w:rsid w:val="007C505E"/>
    <w:rsid w:val="007C55A7"/>
    <w:rsid w:val="007C5F92"/>
    <w:rsid w:val="007C6227"/>
    <w:rsid w:val="007C64F7"/>
    <w:rsid w:val="007C6BBD"/>
    <w:rsid w:val="007C6D89"/>
    <w:rsid w:val="007C6F5E"/>
    <w:rsid w:val="007C7242"/>
    <w:rsid w:val="007C79C0"/>
    <w:rsid w:val="007D0351"/>
    <w:rsid w:val="007D0382"/>
    <w:rsid w:val="007D0F6B"/>
    <w:rsid w:val="007D14FE"/>
    <w:rsid w:val="007D1A1F"/>
    <w:rsid w:val="007D1FC3"/>
    <w:rsid w:val="007D213B"/>
    <w:rsid w:val="007D2783"/>
    <w:rsid w:val="007D2E18"/>
    <w:rsid w:val="007D36D8"/>
    <w:rsid w:val="007D3EF3"/>
    <w:rsid w:val="007D40DF"/>
    <w:rsid w:val="007D42E5"/>
    <w:rsid w:val="007D4458"/>
    <w:rsid w:val="007D4EB4"/>
    <w:rsid w:val="007D6AF9"/>
    <w:rsid w:val="007D7763"/>
    <w:rsid w:val="007E031B"/>
    <w:rsid w:val="007E0535"/>
    <w:rsid w:val="007E07F2"/>
    <w:rsid w:val="007E0CBA"/>
    <w:rsid w:val="007E0D4A"/>
    <w:rsid w:val="007E1788"/>
    <w:rsid w:val="007E1EE3"/>
    <w:rsid w:val="007E29B4"/>
    <w:rsid w:val="007E2F12"/>
    <w:rsid w:val="007E3627"/>
    <w:rsid w:val="007E3B66"/>
    <w:rsid w:val="007E435A"/>
    <w:rsid w:val="007E442B"/>
    <w:rsid w:val="007E445C"/>
    <w:rsid w:val="007E49F7"/>
    <w:rsid w:val="007E4C70"/>
    <w:rsid w:val="007E4DAA"/>
    <w:rsid w:val="007E52EB"/>
    <w:rsid w:val="007E5B5F"/>
    <w:rsid w:val="007E69C6"/>
    <w:rsid w:val="007E7623"/>
    <w:rsid w:val="007E78B6"/>
    <w:rsid w:val="007E7E61"/>
    <w:rsid w:val="007F0845"/>
    <w:rsid w:val="007F0873"/>
    <w:rsid w:val="007F0910"/>
    <w:rsid w:val="007F20F3"/>
    <w:rsid w:val="007F2353"/>
    <w:rsid w:val="007F2390"/>
    <w:rsid w:val="007F2CAC"/>
    <w:rsid w:val="007F2FC5"/>
    <w:rsid w:val="007F3339"/>
    <w:rsid w:val="007F3CB6"/>
    <w:rsid w:val="007F4740"/>
    <w:rsid w:val="007F566F"/>
    <w:rsid w:val="007F595A"/>
    <w:rsid w:val="007F5C38"/>
    <w:rsid w:val="007F5C85"/>
    <w:rsid w:val="007F6638"/>
    <w:rsid w:val="007F708D"/>
    <w:rsid w:val="007F7E3F"/>
    <w:rsid w:val="008006B3"/>
    <w:rsid w:val="00800B63"/>
    <w:rsid w:val="00800D16"/>
    <w:rsid w:val="0080158A"/>
    <w:rsid w:val="00801E13"/>
    <w:rsid w:val="00803008"/>
    <w:rsid w:val="00803069"/>
    <w:rsid w:val="0080346B"/>
    <w:rsid w:val="00804155"/>
    <w:rsid w:val="00804C9F"/>
    <w:rsid w:val="0080559E"/>
    <w:rsid w:val="00805A7E"/>
    <w:rsid w:val="00805AF3"/>
    <w:rsid w:val="00806C53"/>
    <w:rsid w:val="00806C9C"/>
    <w:rsid w:val="008071B1"/>
    <w:rsid w:val="0080734C"/>
    <w:rsid w:val="0080774F"/>
    <w:rsid w:val="00807B47"/>
    <w:rsid w:val="00807C82"/>
    <w:rsid w:val="008112A0"/>
    <w:rsid w:val="008117CC"/>
    <w:rsid w:val="00811FF8"/>
    <w:rsid w:val="008132F7"/>
    <w:rsid w:val="00813601"/>
    <w:rsid w:val="00813AED"/>
    <w:rsid w:val="00813AF4"/>
    <w:rsid w:val="00813D58"/>
    <w:rsid w:val="00813DCA"/>
    <w:rsid w:val="0081535D"/>
    <w:rsid w:val="00815B5D"/>
    <w:rsid w:val="008161A6"/>
    <w:rsid w:val="008165B8"/>
    <w:rsid w:val="008167EC"/>
    <w:rsid w:val="00816905"/>
    <w:rsid w:val="00816D98"/>
    <w:rsid w:val="00816E42"/>
    <w:rsid w:val="00817040"/>
    <w:rsid w:val="008172A9"/>
    <w:rsid w:val="00817A17"/>
    <w:rsid w:val="00817EC1"/>
    <w:rsid w:val="00821092"/>
    <w:rsid w:val="0082112D"/>
    <w:rsid w:val="00821624"/>
    <w:rsid w:val="00821FF6"/>
    <w:rsid w:val="00822574"/>
    <w:rsid w:val="00822980"/>
    <w:rsid w:val="00822F08"/>
    <w:rsid w:val="00824075"/>
    <w:rsid w:val="00824BA6"/>
    <w:rsid w:val="00825007"/>
    <w:rsid w:val="00825120"/>
    <w:rsid w:val="00825406"/>
    <w:rsid w:val="00825C4D"/>
    <w:rsid w:val="00826A08"/>
    <w:rsid w:val="00826AC0"/>
    <w:rsid w:val="00826AE7"/>
    <w:rsid w:val="00826D45"/>
    <w:rsid w:val="00827186"/>
    <w:rsid w:val="00827C8E"/>
    <w:rsid w:val="00830569"/>
    <w:rsid w:val="00830AEA"/>
    <w:rsid w:val="00830E86"/>
    <w:rsid w:val="0083143E"/>
    <w:rsid w:val="008315B8"/>
    <w:rsid w:val="008315D5"/>
    <w:rsid w:val="00831CDE"/>
    <w:rsid w:val="00831F2B"/>
    <w:rsid w:val="008320CF"/>
    <w:rsid w:val="008324A3"/>
    <w:rsid w:val="0083295B"/>
    <w:rsid w:val="00832F77"/>
    <w:rsid w:val="00834304"/>
    <w:rsid w:val="0083471A"/>
    <w:rsid w:val="00834CC3"/>
    <w:rsid w:val="00834FAA"/>
    <w:rsid w:val="008354FB"/>
    <w:rsid w:val="0083569D"/>
    <w:rsid w:val="00835FF1"/>
    <w:rsid w:val="00836086"/>
    <w:rsid w:val="0083630F"/>
    <w:rsid w:val="00836A06"/>
    <w:rsid w:val="00836B5C"/>
    <w:rsid w:val="008374BC"/>
    <w:rsid w:val="008379D6"/>
    <w:rsid w:val="00837E48"/>
    <w:rsid w:val="00840293"/>
    <w:rsid w:val="008402AD"/>
    <w:rsid w:val="00840503"/>
    <w:rsid w:val="008408D4"/>
    <w:rsid w:val="008417B5"/>
    <w:rsid w:val="0084184A"/>
    <w:rsid w:val="00841901"/>
    <w:rsid w:val="00843143"/>
    <w:rsid w:val="008431BB"/>
    <w:rsid w:val="00844C3B"/>
    <w:rsid w:val="008458BD"/>
    <w:rsid w:val="00846121"/>
    <w:rsid w:val="00846130"/>
    <w:rsid w:val="008461C2"/>
    <w:rsid w:val="008462F1"/>
    <w:rsid w:val="008466C6"/>
    <w:rsid w:val="0084708F"/>
    <w:rsid w:val="00847627"/>
    <w:rsid w:val="008477C8"/>
    <w:rsid w:val="008478A6"/>
    <w:rsid w:val="00847CD6"/>
    <w:rsid w:val="008502F6"/>
    <w:rsid w:val="0085036C"/>
    <w:rsid w:val="00850E83"/>
    <w:rsid w:val="0085114D"/>
    <w:rsid w:val="00851163"/>
    <w:rsid w:val="008520A8"/>
    <w:rsid w:val="00852217"/>
    <w:rsid w:val="0085291E"/>
    <w:rsid w:val="00853282"/>
    <w:rsid w:val="0085334C"/>
    <w:rsid w:val="00853455"/>
    <w:rsid w:val="00854291"/>
    <w:rsid w:val="00855408"/>
    <w:rsid w:val="00855D03"/>
    <w:rsid w:val="00856D65"/>
    <w:rsid w:val="00856FA4"/>
    <w:rsid w:val="00857DB4"/>
    <w:rsid w:val="00860D79"/>
    <w:rsid w:val="00861B41"/>
    <w:rsid w:val="00861B9F"/>
    <w:rsid w:val="00861BE3"/>
    <w:rsid w:val="00861EB6"/>
    <w:rsid w:val="008625D3"/>
    <w:rsid w:val="00862A30"/>
    <w:rsid w:val="00862C0A"/>
    <w:rsid w:val="00863434"/>
    <w:rsid w:val="0086344F"/>
    <w:rsid w:val="008641AC"/>
    <w:rsid w:val="00865E4C"/>
    <w:rsid w:val="00866074"/>
    <w:rsid w:val="00867546"/>
    <w:rsid w:val="0086796D"/>
    <w:rsid w:val="008679A5"/>
    <w:rsid w:val="00867B7B"/>
    <w:rsid w:val="00867DAB"/>
    <w:rsid w:val="0087000B"/>
    <w:rsid w:val="008701E4"/>
    <w:rsid w:val="008704E9"/>
    <w:rsid w:val="008705FB"/>
    <w:rsid w:val="008706B0"/>
    <w:rsid w:val="00870ECD"/>
    <w:rsid w:val="00871125"/>
    <w:rsid w:val="008716E0"/>
    <w:rsid w:val="008720B3"/>
    <w:rsid w:val="00872F9F"/>
    <w:rsid w:val="0087347C"/>
    <w:rsid w:val="008734E7"/>
    <w:rsid w:val="0087368D"/>
    <w:rsid w:val="008739FA"/>
    <w:rsid w:val="008740CC"/>
    <w:rsid w:val="0087442A"/>
    <w:rsid w:val="00874578"/>
    <w:rsid w:val="00874624"/>
    <w:rsid w:val="00874962"/>
    <w:rsid w:val="00874FE8"/>
    <w:rsid w:val="0087554A"/>
    <w:rsid w:val="0087573C"/>
    <w:rsid w:val="00875A32"/>
    <w:rsid w:val="00875CC1"/>
    <w:rsid w:val="00876086"/>
    <w:rsid w:val="0087616B"/>
    <w:rsid w:val="00876651"/>
    <w:rsid w:val="00876E06"/>
    <w:rsid w:val="00876E83"/>
    <w:rsid w:val="0087722C"/>
    <w:rsid w:val="008772BC"/>
    <w:rsid w:val="00880A0E"/>
    <w:rsid w:val="00880F17"/>
    <w:rsid w:val="008817FE"/>
    <w:rsid w:val="00881CD7"/>
    <w:rsid w:val="00882911"/>
    <w:rsid w:val="00882F6E"/>
    <w:rsid w:val="00883202"/>
    <w:rsid w:val="008842AA"/>
    <w:rsid w:val="008847B8"/>
    <w:rsid w:val="00884E02"/>
    <w:rsid w:val="0088502B"/>
    <w:rsid w:val="00885D40"/>
    <w:rsid w:val="00886032"/>
    <w:rsid w:val="00886274"/>
    <w:rsid w:val="0088673E"/>
    <w:rsid w:val="00886926"/>
    <w:rsid w:val="008873D4"/>
    <w:rsid w:val="00887911"/>
    <w:rsid w:val="00890CB1"/>
    <w:rsid w:val="00891EDF"/>
    <w:rsid w:val="00892872"/>
    <w:rsid w:val="0089296D"/>
    <w:rsid w:val="00892A24"/>
    <w:rsid w:val="00893E85"/>
    <w:rsid w:val="00893EBE"/>
    <w:rsid w:val="00894031"/>
    <w:rsid w:val="00894C5D"/>
    <w:rsid w:val="00895114"/>
    <w:rsid w:val="00895508"/>
    <w:rsid w:val="00895797"/>
    <w:rsid w:val="0089651B"/>
    <w:rsid w:val="008967E9"/>
    <w:rsid w:val="00896A5C"/>
    <w:rsid w:val="00897155"/>
    <w:rsid w:val="008972D2"/>
    <w:rsid w:val="0089754C"/>
    <w:rsid w:val="00897CFA"/>
    <w:rsid w:val="008A0659"/>
    <w:rsid w:val="008A0ADD"/>
    <w:rsid w:val="008A0D27"/>
    <w:rsid w:val="008A1C59"/>
    <w:rsid w:val="008A2046"/>
    <w:rsid w:val="008A208B"/>
    <w:rsid w:val="008A30B3"/>
    <w:rsid w:val="008A37E2"/>
    <w:rsid w:val="008A388E"/>
    <w:rsid w:val="008A394E"/>
    <w:rsid w:val="008A3CBA"/>
    <w:rsid w:val="008A48E1"/>
    <w:rsid w:val="008A4B59"/>
    <w:rsid w:val="008A5116"/>
    <w:rsid w:val="008A63E1"/>
    <w:rsid w:val="008A6475"/>
    <w:rsid w:val="008A66B7"/>
    <w:rsid w:val="008A68BB"/>
    <w:rsid w:val="008A6AA5"/>
    <w:rsid w:val="008A7127"/>
    <w:rsid w:val="008A7597"/>
    <w:rsid w:val="008B06C2"/>
    <w:rsid w:val="008B0CBA"/>
    <w:rsid w:val="008B1792"/>
    <w:rsid w:val="008B1850"/>
    <w:rsid w:val="008B2639"/>
    <w:rsid w:val="008B2D31"/>
    <w:rsid w:val="008B3537"/>
    <w:rsid w:val="008B3690"/>
    <w:rsid w:val="008B3A80"/>
    <w:rsid w:val="008B3AEC"/>
    <w:rsid w:val="008B3C07"/>
    <w:rsid w:val="008B3F7B"/>
    <w:rsid w:val="008B4242"/>
    <w:rsid w:val="008B43CA"/>
    <w:rsid w:val="008B5324"/>
    <w:rsid w:val="008B5C99"/>
    <w:rsid w:val="008B6106"/>
    <w:rsid w:val="008B6409"/>
    <w:rsid w:val="008B7C02"/>
    <w:rsid w:val="008B7D2B"/>
    <w:rsid w:val="008B7EF9"/>
    <w:rsid w:val="008C0049"/>
    <w:rsid w:val="008C0314"/>
    <w:rsid w:val="008C0A94"/>
    <w:rsid w:val="008C0E3C"/>
    <w:rsid w:val="008C0E88"/>
    <w:rsid w:val="008C0EBE"/>
    <w:rsid w:val="008C1717"/>
    <w:rsid w:val="008C17F0"/>
    <w:rsid w:val="008C239D"/>
    <w:rsid w:val="008C3A32"/>
    <w:rsid w:val="008C3B05"/>
    <w:rsid w:val="008C4B50"/>
    <w:rsid w:val="008C5128"/>
    <w:rsid w:val="008C58EF"/>
    <w:rsid w:val="008C5A37"/>
    <w:rsid w:val="008C6EB0"/>
    <w:rsid w:val="008C7569"/>
    <w:rsid w:val="008C79C3"/>
    <w:rsid w:val="008D006F"/>
    <w:rsid w:val="008D033D"/>
    <w:rsid w:val="008D0759"/>
    <w:rsid w:val="008D0DBD"/>
    <w:rsid w:val="008D117E"/>
    <w:rsid w:val="008D127E"/>
    <w:rsid w:val="008D1CA8"/>
    <w:rsid w:val="008D1E0A"/>
    <w:rsid w:val="008D1E6A"/>
    <w:rsid w:val="008D2407"/>
    <w:rsid w:val="008D2A16"/>
    <w:rsid w:val="008D2AEC"/>
    <w:rsid w:val="008D2F75"/>
    <w:rsid w:val="008D3295"/>
    <w:rsid w:val="008D33F5"/>
    <w:rsid w:val="008D35E4"/>
    <w:rsid w:val="008D3ACD"/>
    <w:rsid w:val="008D3CEE"/>
    <w:rsid w:val="008D4200"/>
    <w:rsid w:val="008D5F1D"/>
    <w:rsid w:val="008D6C3A"/>
    <w:rsid w:val="008D70E2"/>
    <w:rsid w:val="008D7F47"/>
    <w:rsid w:val="008E0001"/>
    <w:rsid w:val="008E039E"/>
    <w:rsid w:val="008E0CFA"/>
    <w:rsid w:val="008E292B"/>
    <w:rsid w:val="008E2C57"/>
    <w:rsid w:val="008E31FF"/>
    <w:rsid w:val="008E3287"/>
    <w:rsid w:val="008E38E4"/>
    <w:rsid w:val="008E3C67"/>
    <w:rsid w:val="008E3DFA"/>
    <w:rsid w:val="008E3E88"/>
    <w:rsid w:val="008E490D"/>
    <w:rsid w:val="008E51EB"/>
    <w:rsid w:val="008E5746"/>
    <w:rsid w:val="008E64D7"/>
    <w:rsid w:val="008E69F6"/>
    <w:rsid w:val="008E6CA2"/>
    <w:rsid w:val="008E6DCB"/>
    <w:rsid w:val="008E6F06"/>
    <w:rsid w:val="008E7000"/>
    <w:rsid w:val="008E723E"/>
    <w:rsid w:val="008E7B8E"/>
    <w:rsid w:val="008E7FC9"/>
    <w:rsid w:val="008F0107"/>
    <w:rsid w:val="008F029B"/>
    <w:rsid w:val="008F0589"/>
    <w:rsid w:val="008F115A"/>
    <w:rsid w:val="008F2A5D"/>
    <w:rsid w:val="008F2BC7"/>
    <w:rsid w:val="008F2E83"/>
    <w:rsid w:val="008F3636"/>
    <w:rsid w:val="008F3FC9"/>
    <w:rsid w:val="008F509F"/>
    <w:rsid w:val="008F525A"/>
    <w:rsid w:val="008F5383"/>
    <w:rsid w:val="008F585B"/>
    <w:rsid w:val="008F7FB0"/>
    <w:rsid w:val="009003A8"/>
    <w:rsid w:val="009005E4"/>
    <w:rsid w:val="00900977"/>
    <w:rsid w:val="00900AA5"/>
    <w:rsid w:val="009021DA"/>
    <w:rsid w:val="00902500"/>
    <w:rsid w:val="00902EFF"/>
    <w:rsid w:val="00903A8E"/>
    <w:rsid w:val="0090432C"/>
    <w:rsid w:val="00904F96"/>
    <w:rsid w:val="00905037"/>
    <w:rsid w:val="009052A3"/>
    <w:rsid w:val="00905314"/>
    <w:rsid w:val="009056D7"/>
    <w:rsid w:val="00905B8D"/>
    <w:rsid w:val="00905D90"/>
    <w:rsid w:val="00906401"/>
    <w:rsid w:val="009065CB"/>
    <w:rsid w:val="009067EA"/>
    <w:rsid w:val="00906B79"/>
    <w:rsid w:val="0090786F"/>
    <w:rsid w:val="009079CA"/>
    <w:rsid w:val="0091001E"/>
    <w:rsid w:val="00910C18"/>
    <w:rsid w:val="009110F7"/>
    <w:rsid w:val="009112E3"/>
    <w:rsid w:val="0091155E"/>
    <w:rsid w:val="00912437"/>
    <w:rsid w:val="00912A38"/>
    <w:rsid w:val="00912A92"/>
    <w:rsid w:val="00913237"/>
    <w:rsid w:val="00913B36"/>
    <w:rsid w:val="00913FDA"/>
    <w:rsid w:val="0091476D"/>
    <w:rsid w:val="00914AC7"/>
    <w:rsid w:val="00915D07"/>
    <w:rsid w:val="009160D6"/>
    <w:rsid w:val="009162AE"/>
    <w:rsid w:val="00917154"/>
    <w:rsid w:val="00917251"/>
    <w:rsid w:val="0091728D"/>
    <w:rsid w:val="00917351"/>
    <w:rsid w:val="00917A2B"/>
    <w:rsid w:val="0092036B"/>
    <w:rsid w:val="009203CC"/>
    <w:rsid w:val="00920EC4"/>
    <w:rsid w:val="0092180B"/>
    <w:rsid w:val="00921F14"/>
    <w:rsid w:val="009227A9"/>
    <w:rsid w:val="0092292F"/>
    <w:rsid w:val="00922AAE"/>
    <w:rsid w:val="00922D28"/>
    <w:rsid w:val="00923AE5"/>
    <w:rsid w:val="00923CB0"/>
    <w:rsid w:val="00923D8C"/>
    <w:rsid w:val="00924871"/>
    <w:rsid w:val="009248DB"/>
    <w:rsid w:val="00924AC8"/>
    <w:rsid w:val="00924E73"/>
    <w:rsid w:val="00925429"/>
    <w:rsid w:val="00925615"/>
    <w:rsid w:val="0092572D"/>
    <w:rsid w:val="0092597A"/>
    <w:rsid w:val="00926427"/>
    <w:rsid w:val="00926520"/>
    <w:rsid w:val="00926956"/>
    <w:rsid w:val="00926C8A"/>
    <w:rsid w:val="00926CF0"/>
    <w:rsid w:val="009273A9"/>
    <w:rsid w:val="00927E1A"/>
    <w:rsid w:val="00930251"/>
    <w:rsid w:val="0093033E"/>
    <w:rsid w:val="009305FC"/>
    <w:rsid w:val="00930FB1"/>
    <w:rsid w:val="00931163"/>
    <w:rsid w:val="0093139F"/>
    <w:rsid w:val="00932098"/>
    <w:rsid w:val="00932239"/>
    <w:rsid w:val="00932443"/>
    <w:rsid w:val="00932B32"/>
    <w:rsid w:val="00932BF5"/>
    <w:rsid w:val="00932F45"/>
    <w:rsid w:val="0093305E"/>
    <w:rsid w:val="00933F4A"/>
    <w:rsid w:val="009341F1"/>
    <w:rsid w:val="00934FF2"/>
    <w:rsid w:val="009358D7"/>
    <w:rsid w:val="00935BD4"/>
    <w:rsid w:val="00935DFE"/>
    <w:rsid w:val="00935F70"/>
    <w:rsid w:val="0093648B"/>
    <w:rsid w:val="00936906"/>
    <w:rsid w:val="00937017"/>
    <w:rsid w:val="009373B2"/>
    <w:rsid w:val="009378B2"/>
    <w:rsid w:val="00937AE2"/>
    <w:rsid w:val="00937CE5"/>
    <w:rsid w:val="0094061F"/>
    <w:rsid w:val="00940F0F"/>
    <w:rsid w:val="00940FB0"/>
    <w:rsid w:val="00941912"/>
    <w:rsid w:val="009434A5"/>
    <w:rsid w:val="0094356F"/>
    <w:rsid w:val="00943B66"/>
    <w:rsid w:val="0094416B"/>
    <w:rsid w:val="0094427A"/>
    <w:rsid w:val="009449C6"/>
    <w:rsid w:val="00944C7C"/>
    <w:rsid w:val="00945245"/>
    <w:rsid w:val="00945523"/>
    <w:rsid w:val="0094580E"/>
    <w:rsid w:val="00946C43"/>
    <w:rsid w:val="00950921"/>
    <w:rsid w:val="00951457"/>
    <w:rsid w:val="00951D68"/>
    <w:rsid w:val="00951E5B"/>
    <w:rsid w:val="00952050"/>
    <w:rsid w:val="00952315"/>
    <w:rsid w:val="009523D9"/>
    <w:rsid w:val="00952B7B"/>
    <w:rsid w:val="00952C67"/>
    <w:rsid w:val="0095357B"/>
    <w:rsid w:val="009538B3"/>
    <w:rsid w:val="00953B99"/>
    <w:rsid w:val="00954183"/>
    <w:rsid w:val="00954F39"/>
    <w:rsid w:val="009550A2"/>
    <w:rsid w:val="009550FF"/>
    <w:rsid w:val="009555FD"/>
    <w:rsid w:val="00955655"/>
    <w:rsid w:val="00955BAD"/>
    <w:rsid w:val="00955CDA"/>
    <w:rsid w:val="009560D7"/>
    <w:rsid w:val="009563B3"/>
    <w:rsid w:val="0095664B"/>
    <w:rsid w:val="009566A4"/>
    <w:rsid w:val="009567A9"/>
    <w:rsid w:val="009568DC"/>
    <w:rsid w:val="00957140"/>
    <w:rsid w:val="00957445"/>
    <w:rsid w:val="0095759C"/>
    <w:rsid w:val="0096101F"/>
    <w:rsid w:val="009618EE"/>
    <w:rsid w:val="00961DDD"/>
    <w:rsid w:val="009624D2"/>
    <w:rsid w:val="009628D9"/>
    <w:rsid w:val="009630EB"/>
    <w:rsid w:val="009637AE"/>
    <w:rsid w:val="00963A06"/>
    <w:rsid w:val="00963B36"/>
    <w:rsid w:val="00964068"/>
    <w:rsid w:val="009640F6"/>
    <w:rsid w:val="0096469D"/>
    <w:rsid w:val="00964776"/>
    <w:rsid w:val="00964A4E"/>
    <w:rsid w:val="00964B35"/>
    <w:rsid w:val="00964F43"/>
    <w:rsid w:val="009651C7"/>
    <w:rsid w:val="00965797"/>
    <w:rsid w:val="00965A10"/>
    <w:rsid w:val="00965AD0"/>
    <w:rsid w:val="009670A3"/>
    <w:rsid w:val="009674BE"/>
    <w:rsid w:val="0097053D"/>
    <w:rsid w:val="00970FB5"/>
    <w:rsid w:val="00971710"/>
    <w:rsid w:val="00971B87"/>
    <w:rsid w:val="00971C77"/>
    <w:rsid w:val="00971CDA"/>
    <w:rsid w:val="0097203A"/>
    <w:rsid w:val="00972FCD"/>
    <w:rsid w:val="0097328E"/>
    <w:rsid w:val="00973324"/>
    <w:rsid w:val="009736DF"/>
    <w:rsid w:val="009741AE"/>
    <w:rsid w:val="009741FC"/>
    <w:rsid w:val="0097442F"/>
    <w:rsid w:val="00974782"/>
    <w:rsid w:val="00974923"/>
    <w:rsid w:val="00975909"/>
    <w:rsid w:val="00976631"/>
    <w:rsid w:val="00977C33"/>
    <w:rsid w:val="00977C3D"/>
    <w:rsid w:val="009804F2"/>
    <w:rsid w:val="00980997"/>
    <w:rsid w:val="00980D3D"/>
    <w:rsid w:val="0098103E"/>
    <w:rsid w:val="0098157D"/>
    <w:rsid w:val="00981894"/>
    <w:rsid w:val="00981B62"/>
    <w:rsid w:val="00982CB5"/>
    <w:rsid w:val="00982FEF"/>
    <w:rsid w:val="00983101"/>
    <w:rsid w:val="00983E41"/>
    <w:rsid w:val="009845E1"/>
    <w:rsid w:val="00984CE5"/>
    <w:rsid w:val="00984D1B"/>
    <w:rsid w:val="00985DA3"/>
    <w:rsid w:val="00986246"/>
    <w:rsid w:val="00986EB1"/>
    <w:rsid w:val="00987743"/>
    <w:rsid w:val="00987A2E"/>
    <w:rsid w:val="00987A30"/>
    <w:rsid w:val="00990312"/>
    <w:rsid w:val="009908AF"/>
    <w:rsid w:val="0099182E"/>
    <w:rsid w:val="00991D45"/>
    <w:rsid w:val="00992B49"/>
    <w:rsid w:val="00992BB3"/>
    <w:rsid w:val="00992CF3"/>
    <w:rsid w:val="00992F11"/>
    <w:rsid w:val="00993194"/>
    <w:rsid w:val="0099321E"/>
    <w:rsid w:val="00994171"/>
    <w:rsid w:val="00994868"/>
    <w:rsid w:val="00994976"/>
    <w:rsid w:val="00994D28"/>
    <w:rsid w:val="00994F2C"/>
    <w:rsid w:val="00995720"/>
    <w:rsid w:val="009957CC"/>
    <w:rsid w:val="00996370"/>
    <w:rsid w:val="009968D6"/>
    <w:rsid w:val="0099699F"/>
    <w:rsid w:val="00997646"/>
    <w:rsid w:val="00997953"/>
    <w:rsid w:val="00997D55"/>
    <w:rsid w:val="00997E23"/>
    <w:rsid w:val="009A0BFF"/>
    <w:rsid w:val="009A10A0"/>
    <w:rsid w:val="009A12B7"/>
    <w:rsid w:val="009A16E6"/>
    <w:rsid w:val="009A1CAB"/>
    <w:rsid w:val="009A2359"/>
    <w:rsid w:val="009A24F1"/>
    <w:rsid w:val="009A27E0"/>
    <w:rsid w:val="009A4D57"/>
    <w:rsid w:val="009A4E5E"/>
    <w:rsid w:val="009A51A5"/>
    <w:rsid w:val="009A5309"/>
    <w:rsid w:val="009A5526"/>
    <w:rsid w:val="009A5759"/>
    <w:rsid w:val="009A5E32"/>
    <w:rsid w:val="009A60D1"/>
    <w:rsid w:val="009A6225"/>
    <w:rsid w:val="009A64F5"/>
    <w:rsid w:val="009A6C12"/>
    <w:rsid w:val="009A6D5C"/>
    <w:rsid w:val="009B00D2"/>
    <w:rsid w:val="009B05B3"/>
    <w:rsid w:val="009B0CAF"/>
    <w:rsid w:val="009B1324"/>
    <w:rsid w:val="009B2558"/>
    <w:rsid w:val="009B284F"/>
    <w:rsid w:val="009B2CE4"/>
    <w:rsid w:val="009B3764"/>
    <w:rsid w:val="009B3840"/>
    <w:rsid w:val="009B4B8E"/>
    <w:rsid w:val="009B4F2C"/>
    <w:rsid w:val="009B52AC"/>
    <w:rsid w:val="009B553D"/>
    <w:rsid w:val="009B59EA"/>
    <w:rsid w:val="009B5B6E"/>
    <w:rsid w:val="009B66CE"/>
    <w:rsid w:val="009B6FD3"/>
    <w:rsid w:val="009B72BE"/>
    <w:rsid w:val="009B78A4"/>
    <w:rsid w:val="009B7DB2"/>
    <w:rsid w:val="009C03DB"/>
    <w:rsid w:val="009C047E"/>
    <w:rsid w:val="009C15AF"/>
    <w:rsid w:val="009C1750"/>
    <w:rsid w:val="009C1A5A"/>
    <w:rsid w:val="009C2E29"/>
    <w:rsid w:val="009C3E8F"/>
    <w:rsid w:val="009C4275"/>
    <w:rsid w:val="009C550E"/>
    <w:rsid w:val="009C554B"/>
    <w:rsid w:val="009C5E83"/>
    <w:rsid w:val="009C7126"/>
    <w:rsid w:val="009C719E"/>
    <w:rsid w:val="009C7799"/>
    <w:rsid w:val="009C77AF"/>
    <w:rsid w:val="009D07A9"/>
    <w:rsid w:val="009D0AE2"/>
    <w:rsid w:val="009D0D9F"/>
    <w:rsid w:val="009D0EBB"/>
    <w:rsid w:val="009D12B7"/>
    <w:rsid w:val="009D1FE6"/>
    <w:rsid w:val="009D2038"/>
    <w:rsid w:val="009D25FB"/>
    <w:rsid w:val="009D27D1"/>
    <w:rsid w:val="009D2C46"/>
    <w:rsid w:val="009D370B"/>
    <w:rsid w:val="009D3ACD"/>
    <w:rsid w:val="009D4254"/>
    <w:rsid w:val="009D4F21"/>
    <w:rsid w:val="009D587D"/>
    <w:rsid w:val="009D6EA6"/>
    <w:rsid w:val="009D7731"/>
    <w:rsid w:val="009E00E1"/>
    <w:rsid w:val="009E066D"/>
    <w:rsid w:val="009E1120"/>
    <w:rsid w:val="009E1393"/>
    <w:rsid w:val="009E1922"/>
    <w:rsid w:val="009E1A3D"/>
    <w:rsid w:val="009E1FDE"/>
    <w:rsid w:val="009E22A5"/>
    <w:rsid w:val="009E3388"/>
    <w:rsid w:val="009E3975"/>
    <w:rsid w:val="009E4715"/>
    <w:rsid w:val="009E4A58"/>
    <w:rsid w:val="009E4DFB"/>
    <w:rsid w:val="009E5273"/>
    <w:rsid w:val="009E57A8"/>
    <w:rsid w:val="009E5B85"/>
    <w:rsid w:val="009E5C39"/>
    <w:rsid w:val="009E5DDB"/>
    <w:rsid w:val="009F01E6"/>
    <w:rsid w:val="009F026B"/>
    <w:rsid w:val="009F032E"/>
    <w:rsid w:val="009F1CA6"/>
    <w:rsid w:val="009F23F8"/>
    <w:rsid w:val="009F2921"/>
    <w:rsid w:val="009F42CF"/>
    <w:rsid w:val="009F4982"/>
    <w:rsid w:val="009F4CA7"/>
    <w:rsid w:val="009F4F6A"/>
    <w:rsid w:val="009F55BA"/>
    <w:rsid w:val="009F5A60"/>
    <w:rsid w:val="009F6723"/>
    <w:rsid w:val="009F7BE2"/>
    <w:rsid w:val="009F7D36"/>
    <w:rsid w:val="009F7D61"/>
    <w:rsid w:val="00A00E71"/>
    <w:rsid w:val="00A00E76"/>
    <w:rsid w:val="00A01839"/>
    <w:rsid w:val="00A0187B"/>
    <w:rsid w:val="00A01F1D"/>
    <w:rsid w:val="00A02E8B"/>
    <w:rsid w:val="00A02F2C"/>
    <w:rsid w:val="00A0306F"/>
    <w:rsid w:val="00A032E2"/>
    <w:rsid w:val="00A03511"/>
    <w:rsid w:val="00A03B10"/>
    <w:rsid w:val="00A03E2E"/>
    <w:rsid w:val="00A04616"/>
    <w:rsid w:val="00A04717"/>
    <w:rsid w:val="00A0535F"/>
    <w:rsid w:val="00A05AED"/>
    <w:rsid w:val="00A05D8F"/>
    <w:rsid w:val="00A05EB1"/>
    <w:rsid w:val="00A05EE4"/>
    <w:rsid w:val="00A06280"/>
    <w:rsid w:val="00A06F99"/>
    <w:rsid w:val="00A07730"/>
    <w:rsid w:val="00A1053B"/>
    <w:rsid w:val="00A107F5"/>
    <w:rsid w:val="00A10D66"/>
    <w:rsid w:val="00A113A4"/>
    <w:rsid w:val="00A12A8E"/>
    <w:rsid w:val="00A12BBD"/>
    <w:rsid w:val="00A133F9"/>
    <w:rsid w:val="00A13718"/>
    <w:rsid w:val="00A14114"/>
    <w:rsid w:val="00A149E5"/>
    <w:rsid w:val="00A152AF"/>
    <w:rsid w:val="00A1615C"/>
    <w:rsid w:val="00A16413"/>
    <w:rsid w:val="00A16545"/>
    <w:rsid w:val="00A16A1A"/>
    <w:rsid w:val="00A16A9F"/>
    <w:rsid w:val="00A16AED"/>
    <w:rsid w:val="00A16BD3"/>
    <w:rsid w:val="00A16C37"/>
    <w:rsid w:val="00A16E1D"/>
    <w:rsid w:val="00A170D7"/>
    <w:rsid w:val="00A171D5"/>
    <w:rsid w:val="00A17A15"/>
    <w:rsid w:val="00A17A37"/>
    <w:rsid w:val="00A17D5B"/>
    <w:rsid w:val="00A2016A"/>
    <w:rsid w:val="00A201E1"/>
    <w:rsid w:val="00A20FE1"/>
    <w:rsid w:val="00A21B4D"/>
    <w:rsid w:val="00A21D58"/>
    <w:rsid w:val="00A21F44"/>
    <w:rsid w:val="00A22073"/>
    <w:rsid w:val="00A223E0"/>
    <w:rsid w:val="00A22959"/>
    <w:rsid w:val="00A22F57"/>
    <w:rsid w:val="00A23158"/>
    <w:rsid w:val="00A232D7"/>
    <w:rsid w:val="00A23538"/>
    <w:rsid w:val="00A23847"/>
    <w:rsid w:val="00A23E43"/>
    <w:rsid w:val="00A24726"/>
    <w:rsid w:val="00A24DEB"/>
    <w:rsid w:val="00A24ED9"/>
    <w:rsid w:val="00A251DB"/>
    <w:rsid w:val="00A25216"/>
    <w:rsid w:val="00A2597D"/>
    <w:rsid w:val="00A2628E"/>
    <w:rsid w:val="00A263BA"/>
    <w:rsid w:val="00A266BF"/>
    <w:rsid w:val="00A26777"/>
    <w:rsid w:val="00A269AB"/>
    <w:rsid w:val="00A26BB8"/>
    <w:rsid w:val="00A26E12"/>
    <w:rsid w:val="00A26F2A"/>
    <w:rsid w:val="00A272FF"/>
    <w:rsid w:val="00A2731E"/>
    <w:rsid w:val="00A27707"/>
    <w:rsid w:val="00A30568"/>
    <w:rsid w:val="00A307C2"/>
    <w:rsid w:val="00A308D6"/>
    <w:rsid w:val="00A309AC"/>
    <w:rsid w:val="00A30EA4"/>
    <w:rsid w:val="00A30F65"/>
    <w:rsid w:val="00A315D0"/>
    <w:rsid w:val="00A3279E"/>
    <w:rsid w:val="00A32984"/>
    <w:rsid w:val="00A331E0"/>
    <w:rsid w:val="00A33CF3"/>
    <w:rsid w:val="00A33DB1"/>
    <w:rsid w:val="00A33EEB"/>
    <w:rsid w:val="00A345C2"/>
    <w:rsid w:val="00A34C63"/>
    <w:rsid w:val="00A351C8"/>
    <w:rsid w:val="00A3559C"/>
    <w:rsid w:val="00A356C1"/>
    <w:rsid w:val="00A35900"/>
    <w:rsid w:val="00A35E98"/>
    <w:rsid w:val="00A35F33"/>
    <w:rsid w:val="00A36231"/>
    <w:rsid w:val="00A37262"/>
    <w:rsid w:val="00A37F9F"/>
    <w:rsid w:val="00A401A3"/>
    <w:rsid w:val="00A40C39"/>
    <w:rsid w:val="00A40CD6"/>
    <w:rsid w:val="00A40EAC"/>
    <w:rsid w:val="00A418BC"/>
    <w:rsid w:val="00A419FF"/>
    <w:rsid w:val="00A41FCF"/>
    <w:rsid w:val="00A424B0"/>
    <w:rsid w:val="00A42936"/>
    <w:rsid w:val="00A43A2B"/>
    <w:rsid w:val="00A43CF8"/>
    <w:rsid w:val="00A43DF2"/>
    <w:rsid w:val="00A445A8"/>
    <w:rsid w:val="00A44B0D"/>
    <w:rsid w:val="00A44D21"/>
    <w:rsid w:val="00A45087"/>
    <w:rsid w:val="00A45489"/>
    <w:rsid w:val="00A45858"/>
    <w:rsid w:val="00A45CED"/>
    <w:rsid w:val="00A46502"/>
    <w:rsid w:val="00A465E9"/>
    <w:rsid w:val="00A46854"/>
    <w:rsid w:val="00A46894"/>
    <w:rsid w:val="00A468E7"/>
    <w:rsid w:val="00A46A86"/>
    <w:rsid w:val="00A46DE0"/>
    <w:rsid w:val="00A47240"/>
    <w:rsid w:val="00A478BA"/>
    <w:rsid w:val="00A5003B"/>
    <w:rsid w:val="00A50D73"/>
    <w:rsid w:val="00A518BB"/>
    <w:rsid w:val="00A51A85"/>
    <w:rsid w:val="00A51B7E"/>
    <w:rsid w:val="00A52A88"/>
    <w:rsid w:val="00A52CAD"/>
    <w:rsid w:val="00A53340"/>
    <w:rsid w:val="00A53FC7"/>
    <w:rsid w:val="00A54E0A"/>
    <w:rsid w:val="00A55569"/>
    <w:rsid w:val="00A55C36"/>
    <w:rsid w:val="00A56017"/>
    <w:rsid w:val="00A5661B"/>
    <w:rsid w:val="00A566A0"/>
    <w:rsid w:val="00A56EAA"/>
    <w:rsid w:val="00A56F8E"/>
    <w:rsid w:val="00A57580"/>
    <w:rsid w:val="00A601E7"/>
    <w:rsid w:val="00A60AC1"/>
    <w:rsid w:val="00A61EB1"/>
    <w:rsid w:val="00A62162"/>
    <w:rsid w:val="00A62427"/>
    <w:rsid w:val="00A626FF"/>
    <w:rsid w:val="00A62B42"/>
    <w:rsid w:val="00A62CE1"/>
    <w:rsid w:val="00A64939"/>
    <w:rsid w:val="00A65469"/>
    <w:rsid w:val="00A65528"/>
    <w:rsid w:val="00A655D3"/>
    <w:rsid w:val="00A65C25"/>
    <w:rsid w:val="00A662D9"/>
    <w:rsid w:val="00A6630C"/>
    <w:rsid w:val="00A66C06"/>
    <w:rsid w:val="00A670A0"/>
    <w:rsid w:val="00A6741E"/>
    <w:rsid w:val="00A67E29"/>
    <w:rsid w:val="00A7016A"/>
    <w:rsid w:val="00A7018D"/>
    <w:rsid w:val="00A7191D"/>
    <w:rsid w:val="00A722F9"/>
    <w:rsid w:val="00A72D42"/>
    <w:rsid w:val="00A733D0"/>
    <w:rsid w:val="00A7439C"/>
    <w:rsid w:val="00A746C9"/>
    <w:rsid w:val="00A74C2A"/>
    <w:rsid w:val="00A75E40"/>
    <w:rsid w:val="00A76818"/>
    <w:rsid w:val="00A771F7"/>
    <w:rsid w:val="00A7769C"/>
    <w:rsid w:val="00A77747"/>
    <w:rsid w:val="00A77AE6"/>
    <w:rsid w:val="00A77D1D"/>
    <w:rsid w:val="00A77E6B"/>
    <w:rsid w:val="00A801C9"/>
    <w:rsid w:val="00A80902"/>
    <w:rsid w:val="00A80F81"/>
    <w:rsid w:val="00A81652"/>
    <w:rsid w:val="00A82BF0"/>
    <w:rsid w:val="00A82C91"/>
    <w:rsid w:val="00A83150"/>
    <w:rsid w:val="00A83177"/>
    <w:rsid w:val="00A83398"/>
    <w:rsid w:val="00A83898"/>
    <w:rsid w:val="00A83D6E"/>
    <w:rsid w:val="00A83FD5"/>
    <w:rsid w:val="00A8508C"/>
    <w:rsid w:val="00A8521A"/>
    <w:rsid w:val="00A853BB"/>
    <w:rsid w:val="00A857C0"/>
    <w:rsid w:val="00A85ACB"/>
    <w:rsid w:val="00A8657A"/>
    <w:rsid w:val="00A9036F"/>
    <w:rsid w:val="00A9092B"/>
    <w:rsid w:val="00A90F2C"/>
    <w:rsid w:val="00A90FED"/>
    <w:rsid w:val="00A911D8"/>
    <w:rsid w:val="00A91482"/>
    <w:rsid w:val="00A9189D"/>
    <w:rsid w:val="00A91E71"/>
    <w:rsid w:val="00A92523"/>
    <w:rsid w:val="00A9254E"/>
    <w:rsid w:val="00A925B1"/>
    <w:rsid w:val="00A92A3E"/>
    <w:rsid w:val="00A934F9"/>
    <w:rsid w:val="00A936A2"/>
    <w:rsid w:val="00A940E3"/>
    <w:rsid w:val="00A94983"/>
    <w:rsid w:val="00A94C2A"/>
    <w:rsid w:val="00A9532C"/>
    <w:rsid w:val="00A95F1A"/>
    <w:rsid w:val="00A96116"/>
    <w:rsid w:val="00A9614E"/>
    <w:rsid w:val="00A96422"/>
    <w:rsid w:val="00A96A2F"/>
    <w:rsid w:val="00A96C0F"/>
    <w:rsid w:val="00A97075"/>
    <w:rsid w:val="00AA0052"/>
    <w:rsid w:val="00AA0E80"/>
    <w:rsid w:val="00AA16F4"/>
    <w:rsid w:val="00AA17CD"/>
    <w:rsid w:val="00AA1D85"/>
    <w:rsid w:val="00AA212B"/>
    <w:rsid w:val="00AA212F"/>
    <w:rsid w:val="00AA26A9"/>
    <w:rsid w:val="00AA2996"/>
    <w:rsid w:val="00AA2AF4"/>
    <w:rsid w:val="00AA3734"/>
    <w:rsid w:val="00AA37D2"/>
    <w:rsid w:val="00AA3EE8"/>
    <w:rsid w:val="00AA4282"/>
    <w:rsid w:val="00AA43F2"/>
    <w:rsid w:val="00AA4790"/>
    <w:rsid w:val="00AA50E6"/>
    <w:rsid w:val="00AA52BF"/>
    <w:rsid w:val="00AA53CE"/>
    <w:rsid w:val="00AA559A"/>
    <w:rsid w:val="00AA68C7"/>
    <w:rsid w:val="00AA6C31"/>
    <w:rsid w:val="00AA7752"/>
    <w:rsid w:val="00AA7CE8"/>
    <w:rsid w:val="00AA7F31"/>
    <w:rsid w:val="00AB1457"/>
    <w:rsid w:val="00AB1CF7"/>
    <w:rsid w:val="00AB2AF1"/>
    <w:rsid w:val="00AB32CB"/>
    <w:rsid w:val="00AB3AD7"/>
    <w:rsid w:val="00AB3BA7"/>
    <w:rsid w:val="00AB3EC7"/>
    <w:rsid w:val="00AB5901"/>
    <w:rsid w:val="00AB5A64"/>
    <w:rsid w:val="00AB5CA1"/>
    <w:rsid w:val="00AB6456"/>
    <w:rsid w:val="00AB75C5"/>
    <w:rsid w:val="00AB7E01"/>
    <w:rsid w:val="00AC044E"/>
    <w:rsid w:val="00AC1A6B"/>
    <w:rsid w:val="00AC1B6A"/>
    <w:rsid w:val="00AC2118"/>
    <w:rsid w:val="00AC2395"/>
    <w:rsid w:val="00AC24FE"/>
    <w:rsid w:val="00AC2960"/>
    <w:rsid w:val="00AC2996"/>
    <w:rsid w:val="00AC2AC4"/>
    <w:rsid w:val="00AC4284"/>
    <w:rsid w:val="00AC433A"/>
    <w:rsid w:val="00AC45BD"/>
    <w:rsid w:val="00AC4D34"/>
    <w:rsid w:val="00AC50BB"/>
    <w:rsid w:val="00AC5256"/>
    <w:rsid w:val="00AC5657"/>
    <w:rsid w:val="00AC7002"/>
    <w:rsid w:val="00AC78F1"/>
    <w:rsid w:val="00AC7B96"/>
    <w:rsid w:val="00AC7DB8"/>
    <w:rsid w:val="00AD0B22"/>
    <w:rsid w:val="00AD0D2F"/>
    <w:rsid w:val="00AD0EE7"/>
    <w:rsid w:val="00AD168E"/>
    <w:rsid w:val="00AD1B42"/>
    <w:rsid w:val="00AD202E"/>
    <w:rsid w:val="00AD306C"/>
    <w:rsid w:val="00AD44CD"/>
    <w:rsid w:val="00AD47A7"/>
    <w:rsid w:val="00AD4876"/>
    <w:rsid w:val="00AD4FF6"/>
    <w:rsid w:val="00AD5AD2"/>
    <w:rsid w:val="00AD5DD8"/>
    <w:rsid w:val="00AD6462"/>
    <w:rsid w:val="00AD66C5"/>
    <w:rsid w:val="00AD68C4"/>
    <w:rsid w:val="00AD71F9"/>
    <w:rsid w:val="00AD7B6C"/>
    <w:rsid w:val="00AE09B3"/>
    <w:rsid w:val="00AE0A6C"/>
    <w:rsid w:val="00AE1617"/>
    <w:rsid w:val="00AE1A83"/>
    <w:rsid w:val="00AE207E"/>
    <w:rsid w:val="00AE20B3"/>
    <w:rsid w:val="00AE2A78"/>
    <w:rsid w:val="00AE30BE"/>
    <w:rsid w:val="00AE3258"/>
    <w:rsid w:val="00AE3E6A"/>
    <w:rsid w:val="00AE4122"/>
    <w:rsid w:val="00AE417E"/>
    <w:rsid w:val="00AE434F"/>
    <w:rsid w:val="00AE4909"/>
    <w:rsid w:val="00AE540F"/>
    <w:rsid w:val="00AE56EE"/>
    <w:rsid w:val="00AE631C"/>
    <w:rsid w:val="00AE6414"/>
    <w:rsid w:val="00AE7269"/>
    <w:rsid w:val="00AE797C"/>
    <w:rsid w:val="00AE7CE7"/>
    <w:rsid w:val="00AE7FAB"/>
    <w:rsid w:val="00AF0DE4"/>
    <w:rsid w:val="00AF12A0"/>
    <w:rsid w:val="00AF1E87"/>
    <w:rsid w:val="00AF3A39"/>
    <w:rsid w:val="00AF436B"/>
    <w:rsid w:val="00AF5179"/>
    <w:rsid w:val="00AF5CC2"/>
    <w:rsid w:val="00AF660D"/>
    <w:rsid w:val="00AF6776"/>
    <w:rsid w:val="00AF6F98"/>
    <w:rsid w:val="00AF7277"/>
    <w:rsid w:val="00AF72B7"/>
    <w:rsid w:val="00AF79D9"/>
    <w:rsid w:val="00AF7E09"/>
    <w:rsid w:val="00B00024"/>
    <w:rsid w:val="00B00550"/>
    <w:rsid w:val="00B00913"/>
    <w:rsid w:val="00B00D4D"/>
    <w:rsid w:val="00B01548"/>
    <w:rsid w:val="00B01593"/>
    <w:rsid w:val="00B017AF"/>
    <w:rsid w:val="00B01D0F"/>
    <w:rsid w:val="00B01FF9"/>
    <w:rsid w:val="00B023F2"/>
    <w:rsid w:val="00B026FE"/>
    <w:rsid w:val="00B0271F"/>
    <w:rsid w:val="00B038CA"/>
    <w:rsid w:val="00B05424"/>
    <w:rsid w:val="00B056FC"/>
    <w:rsid w:val="00B05761"/>
    <w:rsid w:val="00B05F00"/>
    <w:rsid w:val="00B06DB4"/>
    <w:rsid w:val="00B0750D"/>
    <w:rsid w:val="00B07850"/>
    <w:rsid w:val="00B0799C"/>
    <w:rsid w:val="00B07C6A"/>
    <w:rsid w:val="00B10258"/>
    <w:rsid w:val="00B102CE"/>
    <w:rsid w:val="00B10A4D"/>
    <w:rsid w:val="00B10C90"/>
    <w:rsid w:val="00B11002"/>
    <w:rsid w:val="00B1114F"/>
    <w:rsid w:val="00B118FA"/>
    <w:rsid w:val="00B121B2"/>
    <w:rsid w:val="00B131B1"/>
    <w:rsid w:val="00B1401E"/>
    <w:rsid w:val="00B141B6"/>
    <w:rsid w:val="00B144C6"/>
    <w:rsid w:val="00B14BC1"/>
    <w:rsid w:val="00B154DE"/>
    <w:rsid w:val="00B162C3"/>
    <w:rsid w:val="00B16DD1"/>
    <w:rsid w:val="00B16EB8"/>
    <w:rsid w:val="00B1700A"/>
    <w:rsid w:val="00B17E71"/>
    <w:rsid w:val="00B17FDE"/>
    <w:rsid w:val="00B20632"/>
    <w:rsid w:val="00B20D04"/>
    <w:rsid w:val="00B20F55"/>
    <w:rsid w:val="00B2161E"/>
    <w:rsid w:val="00B21BCB"/>
    <w:rsid w:val="00B2379C"/>
    <w:rsid w:val="00B23D5D"/>
    <w:rsid w:val="00B23E6E"/>
    <w:rsid w:val="00B2450C"/>
    <w:rsid w:val="00B24E48"/>
    <w:rsid w:val="00B265AE"/>
    <w:rsid w:val="00B2687D"/>
    <w:rsid w:val="00B27EC6"/>
    <w:rsid w:val="00B3108D"/>
    <w:rsid w:val="00B323BE"/>
    <w:rsid w:val="00B327C0"/>
    <w:rsid w:val="00B32DDB"/>
    <w:rsid w:val="00B32F57"/>
    <w:rsid w:val="00B3345C"/>
    <w:rsid w:val="00B33672"/>
    <w:rsid w:val="00B33DE5"/>
    <w:rsid w:val="00B3410E"/>
    <w:rsid w:val="00B343BC"/>
    <w:rsid w:val="00B343C4"/>
    <w:rsid w:val="00B34528"/>
    <w:rsid w:val="00B34750"/>
    <w:rsid w:val="00B34B95"/>
    <w:rsid w:val="00B34CC9"/>
    <w:rsid w:val="00B34CDA"/>
    <w:rsid w:val="00B3563B"/>
    <w:rsid w:val="00B3574D"/>
    <w:rsid w:val="00B362A3"/>
    <w:rsid w:val="00B36BDC"/>
    <w:rsid w:val="00B37D3A"/>
    <w:rsid w:val="00B37D96"/>
    <w:rsid w:val="00B402FC"/>
    <w:rsid w:val="00B405E3"/>
    <w:rsid w:val="00B40A7D"/>
    <w:rsid w:val="00B40DF5"/>
    <w:rsid w:val="00B41424"/>
    <w:rsid w:val="00B422E2"/>
    <w:rsid w:val="00B42517"/>
    <w:rsid w:val="00B42902"/>
    <w:rsid w:val="00B42D5F"/>
    <w:rsid w:val="00B43216"/>
    <w:rsid w:val="00B43740"/>
    <w:rsid w:val="00B439DA"/>
    <w:rsid w:val="00B43DDF"/>
    <w:rsid w:val="00B4411A"/>
    <w:rsid w:val="00B45376"/>
    <w:rsid w:val="00B45A99"/>
    <w:rsid w:val="00B45FE8"/>
    <w:rsid w:val="00B46604"/>
    <w:rsid w:val="00B46637"/>
    <w:rsid w:val="00B47089"/>
    <w:rsid w:val="00B4712D"/>
    <w:rsid w:val="00B47587"/>
    <w:rsid w:val="00B5150A"/>
    <w:rsid w:val="00B52151"/>
    <w:rsid w:val="00B530CD"/>
    <w:rsid w:val="00B53639"/>
    <w:rsid w:val="00B53C7D"/>
    <w:rsid w:val="00B53DEF"/>
    <w:rsid w:val="00B53E56"/>
    <w:rsid w:val="00B54058"/>
    <w:rsid w:val="00B55311"/>
    <w:rsid w:val="00B55437"/>
    <w:rsid w:val="00B55A97"/>
    <w:rsid w:val="00B55F5E"/>
    <w:rsid w:val="00B5601B"/>
    <w:rsid w:val="00B560E3"/>
    <w:rsid w:val="00B5642C"/>
    <w:rsid w:val="00B5658D"/>
    <w:rsid w:val="00B56B6F"/>
    <w:rsid w:val="00B5713F"/>
    <w:rsid w:val="00B5752E"/>
    <w:rsid w:val="00B57ABC"/>
    <w:rsid w:val="00B60AC1"/>
    <w:rsid w:val="00B61FF6"/>
    <w:rsid w:val="00B62316"/>
    <w:rsid w:val="00B6274C"/>
    <w:rsid w:val="00B63A11"/>
    <w:rsid w:val="00B64425"/>
    <w:rsid w:val="00B646BC"/>
    <w:rsid w:val="00B647F4"/>
    <w:rsid w:val="00B64C24"/>
    <w:rsid w:val="00B64E72"/>
    <w:rsid w:val="00B659B0"/>
    <w:rsid w:val="00B65CEF"/>
    <w:rsid w:val="00B6608F"/>
    <w:rsid w:val="00B66B65"/>
    <w:rsid w:val="00B674C7"/>
    <w:rsid w:val="00B67749"/>
    <w:rsid w:val="00B679FB"/>
    <w:rsid w:val="00B67E43"/>
    <w:rsid w:val="00B71FBF"/>
    <w:rsid w:val="00B72CD3"/>
    <w:rsid w:val="00B734A0"/>
    <w:rsid w:val="00B73A14"/>
    <w:rsid w:val="00B73D35"/>
    <w:rsid w:val="00B74148"/>
    <w:rsid w:val="00B748BD"/>
    <w:rsid w:val="00B76100"/>
    <w:rsid w:val="00B7680F"/>
    <w:rsid w:val="00B76B48"/>
    <w:rsid w:val="00B76D1E"/>
    <w:rsid w:val="00B774BD"/>
    <w:rsid w:val="00B77543"/>
    <w:rsid w:val="00B77584"/>
    <w:rsid w:val="00B77E34"/>
    <w:rsid w:val="00B80D44"/>
    <w:rsid w:val="00B80D89"/>
    <w:rsid w:val="00B80EC6"/>
    <w:rsid w:val="00B81288"/>
    <w:rsid w:val="00B81D70"/>
    <w:rsid w:val="00B82EE1"/>
    <w:rsid w:val="00B833B9"/>
    <w:rsid w:val="00B836DA"/>
    <w:rsid w:val="00B839B1"/>
    <w:rsid w:val="00B83AAF"/>
    <w:rsid w:val="00B83CBF"/>
    <w:rsid w:val="00B83E07"/>
    <w:rsid w:val="00B84CF6"/>
    <w:rsid w:val="00B85016"/>
    <w:rsid w:val="00B85226"/>
    <w:rsid w:val="00B8561A"/>
    <w:rsid w:val="00B86628"/>
    <w:rsid w:val="00B86643"/>
    <w:rsid w:val="00B868F7"/>
    <w:rsid w:val="00B86EB1"/>
    <w:rsid w:val="00B871A7"/>
    <w:rsid w:val="00B90131"/>
    <w:rsid w:val="00B9074F"/>
    <w:rsid w:val="00B91136"/>
    <w:rsid w:val="00B92661"/>
    <w:rsid w:val="00B92951"/>
    <w:rsid w:val="00B92D1D"/>
    <w:rsid w:val="00B92D7E"/>
    <w:rsid w:val="00B930CE"/>
    <w:rsid w:val="00B938C5"/>
    <w:rsid w:val="00B940A8"/>
    <w:rsid w:val="00B944D4"/>
    <w:rsid w:val="00B95443"/>
    <w:rsid w:val="00B9554A"/>
    <w:rsid w:val="00B95940"/>
    <w:rsid w:val="00B95ACA"/>
    <w:rsid w:val="00B95C12"/>
    <w:rsid w:val="00B96D74"/>
    <w:rsid w:val="00B96FFD"/>
    <w:rsid w:val="00B9720E"/>
    <w:rsid w:val="00B97ACC"/>
    <w:rsid w:val="00B97FE2"/>
    <w:rsid w:val="00BA0E0B"/>
    <w:rsid w:val="00BA201A"/>
    <w:rsid w:val="00BA21DF"/>
    <w:rsid w:val="00BA2391"/>
    <w:rsid w:val="00BA270A"/>
    <w:rsid w:val="00BA3256"/>
    <w:rsid w:val="00BA361D"/>
    <w:rsid w:val="00BA3787"/>
    <w:rsid w:val="00BA3B00"/>
    <w:rsid w:val="00BA403A"/>
    <w:rsid w:val="00BA46E8"/>
    <w:rsid w:val="00BA49DB"/>
    <w:rsid w:val="00BA4AE9"/>
    <w:rsid w:val="00BA4E19"/>
    <w:rsid w:val="00BA62B5"/>
    <w:rsid w:val="00BA6436"/>
    <w:rsid w:val="00BA64F2"/>
    <w:rsid w:val="00BA684E"/>
    <w:rsid w:val="00BA6C2B"/>
    <w:rsid w:val="00BA7B64"/>
    <w:rsid w:val="00BB02A3"/>
    <w:rsid w:val="00BB0351"/>
    <w:rsid w:val="00BB085C"/>
    <w:rsid w:val="00BB15C3"/>
    <w:rsid w:val="00BB1AF4"/>
    <w:rsid w:val="00BB1CDD"/>
    <w:rsid w:val="00BB2202"/>
    <w:rsid w:val="00BB224A"/>
    <w:rsid w:val="00BB2A7E"/>
    <w:rsid w:val="00BB354D"/>
    <w:rsid w:val="00BB3C6B"/>
    <w:rsid w:val="00BB3EFB"/>
    <w:rsid w:val="00BB3FD6"/>
    <w:rsid w:val="00BB453F"/>
    <w:rsid w:val="00BB46F3"/>
    <w:rsid w:val="00BB4A71"/>
    <w:rsid w:val="00BB4CB1"/>
    <w:rsid w:val="00BB4F98"/>
    <w:rsid w:val="00BB50C0"/>
    <w:rsid w:val="00BB58A9"/>
    <w:rsid w:val="00BB5AB2"/>
    <w:rsid w:val="00BB5ABF"/>
    <w:rsid w:val="00BB6EA2"/>
    <w:rsid w:val="00BB7142"/>
    <w:rsid w:val="00BB736B"/>
    <w:rsid w:val="00BB76F3"/>
    <w:rsid w:val="00BB7ABB"/>
    <w:rsid w:val="00BB7B5B"/>
    <w:rsid w:val="00BB7EB1"/>
    <w:rsid w:val="00BC003F"/>
    <w:rsid w:val="00BC0930"/>
    <w:rsid w:val="00BC1D26"/>
    <w:rsid w:val="00BC2923"/>
    <w:rsid w:val="00BC327F"/>
    <w:rsid w:val="00BC3512"/>
    <w:rsid w:val="00BC4B35"/>
    <w:rsid w:val="00BC507A"/>
    <w:rsid w:val="00BC50BE"/>
    <w:rsid w:val="00BC5332"/>
    <w:rsid w:val="00BC5715"/>
    <w:rsid w:val="00BC5C12"/>
    <w:rsid w:val="00BC6105"/>
    <w:rsid w:val="00BC641B"/>
    <w:rsid w:val="00BC6706"/>
    <w:rsid w:val="00BC6CAD"/>
    <w:rsid w:val="00BC7154"/>
    <w:rsid w:val="00BC731E"/>
    <w:rsid w:val="00BC7614"/>
    <w:rsid w:val="00BC7EFA"/>
    <w:rsid w:val="00BD041B"/>
    <w:rsid w:val="00BD0595"/>
    <w:rsid w:val="00BD05C2"/>
    <w:rsid w:val="00BD25BB"/>
    <w:rsid w:val="00BD2AF8"/>
    <w:rsid w:val="00BD366B"/>
    <w:rsid w:val="00BD3C09"/>
    <w:rsid w:val="00BD410B"/>
    <w:rsid w:val="00BD4A73"/>
    <w:rsid w:val="00BD4EDD"/>
    <w:rsid w:val="00BD4EF4"/>
    <w:rsid w:val="00BD5C11"/>
    <w:rsid w:val="00BD6659"/>
    <w:rsid w:val="00BD672C"/>
    <w:rsid w:val="00BD6C75"/>
    <w:rsid w:val="00BD6D50"/>
    <w:rsid w:val="00BD7105"/>
    <w:rsid w:val="00BD73D2"/>
    <w:rsid w:val="00BD754D"/>
    <w:rsid w:val="00BE0AD1"/>
    <w:rsid w:val="00BE0EF9"/>
    <w:rsid w:val="00BE10A1"/>
    <w:rsid w:val="00BE18B9"/>
    <w:rsid w:val="00BE190A"/>
    <w:rsid w:val="00BE2495"/>
    <w:rsid w:val="00BE24DD"/>
    <w:rsid w:val="00BE34BB"/>
    <w:rsid w:val="00BE386D"/>
    <w:rsid w:val="00BE3A5C"/>
    <w:rsid w:val="00BE4071"/>
    <w:rsid w:val="00BE4DA9"/>
    <w:rsid w:val="00BE54BF"/>
    <w:rsid w:val="00BE557B"/>
    <w:rsid w:val="00BE55EF"/>
    <w:rsid w:val="00BE62ED"/>
    <w:rsid w:val="00BE6350"/>
    <w:rsid w:val="00BE779C"/>
    <w:rsid w:val="00BE7F5F"/>
    <w:rsid w:val="00BF0099"/>
    <w:rsid w:val="00BF02C8"/>
    <w:rsid w:val="00BF057E"/>
    <w:rsid w:val="00BF1099"/>
    <w:rsid w:val="00BF14A6"/>
    <w:rsid w:val="00BF1578"/>
    <w:rsid w:val="00BF15CA"/>
    <w:rsid w:val="00BF1672"/>
    <w:rsid w:val="00BF1D12"/>
    <w:rsid w:val="00BF1D3A"/>
    <w:rsid w:val="00BF2B5B"/>
    <w:rsid w:val="00BF2D41"/>
    <w:rsid w:val="00BF2D9D"/>
    <w:rsid w:val="00BF3274"/>
    <w:rsid w:val="00BF32DC"/>
    <w:rsid w:val="00BF35C9"/>
    <w:rsid w:val="00BF361E"/>
    <w:rsid w:val="00BF3D54"/>
    <w:rsid w:val="00BF4329"/>
    <w:rsid w:val="00BF450E"/>
    <w:rsid w:val="00BF4E10"/>
    <w:rsid w:val="00BF4E43"/>
    <w:rsid w:val="00BF5C4C"/>
    <w:rsid w:val="00BF5E71"/>
    <w:rsid w:val="00BF765C"/>
    <w:rsid w:val="00BF771F"/>
    <w:rsid w:val="00BF77FC"/>
    <w:rsid w:val="00BF7EC7"/>
    <w:rsid w:val="00C006D6"/>
    <w:rsid w:val="00C00BD7"/>
    <w:rsid w:val="00C01410"/>
    <w:rsid w:val="00C024BB"/>
    <w:rsid w:val="00C02D23"/>
    <w:rsid w:val="00C03264"/>
    <w:rsid w:val="00C03D4D"/>
    <w:rsid w:val="00C041F5"/>
    <w:rsid w:val="00C044F4"/>
    <w:rsid w:val="00C04B78"/>
    <w:rsid w:val="00C052AA"/>
    <w:rsid w:val="00C0540C"/>
    <w:rsid w:val="00C061AE"/>
    <w:rsid w:val="00C0644D"/>
    <w:rsid w:val="00C06EE3"/>
    <w:rsid w:val="00C07279"/>
    <w:rsid w:val="00C07749"/>
    <w:rsid w:val="00C07C67"/>
    <w:rsid w:val="00C07E8B"/>
    <w:rsid w:val="00C10742"/>
    <w:rsid w:val="00C10805"/>
    <w:rsid w:val="00C11244"/>
    <w:rsid w:val="00C113FF"/>
    <w:rsid w:val="00C114A7"/>
    <w:rsid w:val="00C118A9"/>
    <w:rsid w:val="00C11D48"/>
    <w:rsid w:val="00C12304"/>
    <w:rsid w:val="00C12316"/>
    <w:rsid w:val="00C1246C"/>
    <w:rsid w:val="00C133BB"/>
    <w:rsid w:val="00C14187"/>
    <w:rsid w:val="00C147B1"/>
    <w:rsid w:val="00C1493E"/>
    <w:rsid w:val="00C15537"/>
    <w:rsid w:val="00C159FA"/>
    <w:rsid w:val="00C15DBD"/>
    <w:rsid w:val="00C161C5"/>
    <w:rsid w:val="00C172F7"/>
    <w:rsid w:val="00C176A3"/>
    <w:rsid w:val="00C2010D"/>
    <w:rsid w:val="00C20CB5"/>
    <w:rsid w:val="00C21430"/>
    <w:rsid w:val="00C216DF"/>
    <w:rsid w:val="00C21B30"/>
    <w:rsid w:val="00C21CA0"/>
    <w:rsid w:val="00C21E61"/>
    <w:rsid w:val="00C21F94"/>
    <w:rsid w:val="00C224BD"/>
    <w:rsid w:val="00C224DF"/>
    <w:rsid w:val="00C22546"/>
    <w:rsid w:val="00C2272B"/>
    <w:rsid w:val="00C234DB"/>
    <w:rsid w:val="00C23B82"/>
    <w:rsid w:val="00C23C5C"/>
    <w:rsid w:val="00C2479A"/>
    <w:rsid w:val="00C24903"/>
    <w:rsid w:val="00C2590D"/>
    <w:rsid w:val="00C25D9C"/>
    <w:rsid w:val="00C27913"/>
    <w:rsid w:val="00C27FA7"/>
    <w:rsid w:val="00C300E2"/>
    <w:rsid w:val="00C311B0"/>
    <w:rsid w:val="00C3186E"/>
    <w:rsid w:val="00C31F21"/>
    <w:rsid w:val="00C32290"/>
    <w:rsid w:val="00C32631"/>
    <w:rsid w:val="00C32805"/>
    <w:rsid w:val="00C32DF9"/>
    <w:rsid w:val="00C33301"/>
    <w:rsid w:val="00C33311"/>
    <w:rsid w:val="00C33AA6"/>
    <w:rsid w:val="00C33B68"/>
    <w:rsid w:val="00C34AD4"/>
    <w:rsid w:val="00C35570"/>
    <w:rsid w:val="00C35A2A"/>
    <w:rsid w:val="00C36A79"/>
    <w:rsid w:val="00C375DE"/>
    <w:rsid w:val="00C401A9"/>
    <w:rsid w:val="00C401D2"/>
    <w:rsid w:val="00C4031A"/>
    <w:rsid w:val="00C405D4"/>
    <w:rsid w:val="00C40AFD"/>
    <w:rsid w:val="00C419D5"/>
    <w:rsid w:val="00C41D54"/>
    <w:rsid w:val="00C41FC7"/>
    <w:rsid w:val="00C42EBB"/>
    <w:rsid w:val="00C435E8"/>
    <w:rsid w:val="00C44277"/>
    <w:rsid w:val="00C44806"/>
    <w:rsid w:val="00C4513B"/>
    <w:rsid w:val="00C45CAD"/>
    <w:rsid w:val="00C46654"/>
    <w:rsid w:val="00C466EF"/>
    <w:rsid w:val="00C4729B"/>
    <w:rsid w:val="00C475E8"/>
    <w:rsid w:val="00C47996"/>
    <w:rsid w:val="00C50101"/>
    <w:rsid w:val="00C50E79"/>
    <w:rsid w:val="00C5197D"/>
    <w:rsid w:val="00C525FB"/>
    <w:rsid w:val="00C5390B"/>
    <w:rsid w:val="00C53A9B"/>
    <w:rsid w:val="00C53CDD"/>
    <w:rsid w:val="00C54257"/>
    <w:rsid w:val="00C54697"/>
    <w:rsid w:val="00C550CE"/>
    <w:rsid w:val="00C55249"/>
    <w:rsid w:val="00C553A5"/>
    <w:rsid w:val="00C55402"/>
    <w:rsid w:val="00C5603B"/>
    <w:rsid w:val="00C57023"/>
    <w:rsid w:val="00C60973"/>
    <w:rsid w:val="00C60AE3"/>
    <w:rsid w:val="00C60FA1"/>
    <w:rsid w:val="00C61F47"/>
    <w:rsid w:val="00C62828"/>
    <w:rsid w:val="00C63340"/>
    <w:rsid w:val="00C6337A"/>
    <w:rsid w:val="00C63B2C"/>
    <w:rsid w:val="00C644F0"/>
    <w:rsid w:val="00C655DA"/>
    <w:rsid w:val="00C65A5C"/>
    <w:rsid w:val="00C65C81"/>
    <w:rsid w:val="00C66509"/>
    <w:rsid w:val="00C66D4C"/>
    <w:rsid w:val="00C672C1"/>
    <w:rsid w:val="00C67908"/>
    <w:rsid w:val="00C67B10"/>
    <w:rsid w:val="00C7053D"/>
    <w:rsid w:val="00C706D2"/>
    <w:rsid w:val="00C71060"/>
    <w:rsid w:val="00C715CC"/>
    <w:rsid w:val="00C719A3"/>
    <w:rsid w:val="00C71D2F"/>
    <w:rsid w:val="00C72984"/>
    <w:rsid w:val="00C72D93"/>
    <w:rsid w:val="00C73885"/>
    <w:rsid w:val="00C73C93"/>
    <w:rsid w:val="00C7435A"/>
    <w:rsid w:val="00C747B1"/>
    <w:rsid w:val="00C7520F"/>
    <w:rsid w:val="00C75510"/>
    <w:rsid w:val="00C755F9"/>
    <w:rsid w:val="00C75752"/>
    <w:rsid w:val="00C75B60"/>
    <w:rsid w:val="00C75F8E"/>
    <w:rsid w:val="00C761EC"/>
    <w:rsid w:val="00C770C9"/>
    <w:rsid w:val="00C800C9"/>
    <w:rsid w:val="00C8019E"/>
    <w:rsid w:val="00C81070"/>
    <w:rsid w:val="00C8174E"/>
    <w:rsid w:val="00C81D8E"/>
    <w:rsid w:val="00C82191"/>
    <w:rsid w:val="00C829C2"/>
    <w:rsid w:val="00C82A0C"/>
    <w:rsid w:val="00C83134"/>
    <w:rsid w:val="00C831E7"/>
    <w:rsid w:val="00C832F3"/>
    <w:rsid w:val="00C84307"/>
    <w:rsid w:val="00C845A4"/>
    <w:rsid w:val="00C847BB"/>
    <w:rsid w:val="00C85219"/>
    <w:rsid w:val="00C85545"/>
    <w:rsid w:val="00C855B5"/>
    <w:rsid w:val="00C85BEC"/>
    <w:rsid w:val="00C85F0E"/>
    <w:rsid w:val="00C866FE"/>
    <w:rsid w:val="00C867F9"/>
    <w:rsid w:val="00C872AA"/>
    <w:rsid w:val="00C87C6B"/>
    <w:rsid w:val="00C87EB8"/>
    <w:rsid w:val="00C90357"/>
    <w:rsid w:val="00C90627"/>
    <w:rsid w:val="00C90CF4"/>
    <w:rsid w:val="00C91103"/>
    <w:rsid w:val="00C91C20"/>
    <w:rsid w:val="00C922DE"/>
    <w:rsid w:val="00C92843"/>
    <w:rsid w:val="00C92EB6"/>
    <w:rsid w:val="00C93019"/>
    <w:rsid w:val="00C93389"/>
    <w:rsid w:val="00C93938"/>
    <w:rsid w:val="00C94743"/>
    <w:rsid w:val="00C948E6"/>
    <w:rsid w:val="00C94CDD"/>
    <w:rsid w:val="00C95123"/>
    <w:rsid w:val="00C96C96"/>
    <w:rsid w:val="00C9714C"/>
    <w:rsid w:val="00C9735A"/>
    <w:rsid w:val="00C97588"/>
    <w:rsid w:val="00C97D83"/>
    <w:rsid w:val="00CA0346"/>
    <w:rsid w:val="00CA0BD5"/>
    <w:rsid w:val="00CA0DA1"/>
    <w:rsid w:val="00CA0F40"/>
    <w:rsid w:val="00CA1293"/>
    <w:rsid w:val="00CA1BD6"/>
    <w:rsid w:val="00CA2B32"/>
    <w:rsid w:val="00CA37FF"/>
    <w:rsid w:val="00CA3B9C"/>
    <w:rsid w:val="00CA423A"/>
    <w:rsid w:val="00CA4441"/>
    <w:rsid w:val="00CA47BC"/>
    <w:rsid w:val="00CA4FA7"/>
    <w:rsid w:val="00CA5EAD"/>
    <w:rsid w:val="00CA6AB4"/>
    <w:rsid w:val="00CA7255"/>
    <w:rsid w:val="00CA79E2"/>
    <w:rsid w:val="00CB043F"/>
    <w:rsid w:val="00CB111E"/>
    <w:rsid w:val="00CB1BEE"/>
    <w:rsid w:val="00CB2351"/>
    <w:rsid w:val="00CB2AB0"/>
    <w:rsid w:val="00CB3CEC"/>
    <w:rsid w:val="00CB4022"/>
    <w:rsid w:val="00CB42C0"/>
    <w:rsid w:val="00CB4930"/>
    <w:rsid w:val="00CB4BA9"/>
    <w:rsid w:val="00CB4C48"/>
    <w:rsid w:val="00CB4C63"/>
    <w:rsid w:val="00CB5371"/>
    <w:rsid w:val="00CB5565"/>
    <w:rsid w:val="00CB5A48"/>
    <w:rsid w:val="00CB5E10"/>
    <w:rsid w:val="00CB613B"/>
    <w:rsid w:val="00CB6152"/>
    <w:rsid w:val="00CB64E1"/>
    <w:rsid w:val="00CB6C6F"/>
    <w:rsid w:val="00CB6E4D"/>
    <w:rsid w:val="00CC009B"/>
    <w:rsid w:val="00CC0834"/>
    <w:rsid w:val="00CC0894"/>
    <w:rsid w:val="00CC0AEA"/>
    <w:rsid w:val="00CC0F7D"/>
    <w:rsid w:val="00CC157C"/>
    <w:rsid w:val="00CC20FE"/>
    <w:rsid w:val="00CC225C"/>
    <w:rsid w:val="00CC2AF6"/>
    <w:rsid w:val="00CC2E7D"/>
    <w:rsid w:val="00CC3A0C"/>
    <w:rsid w:val="00CC469E"/>
    <w:rsid w:val="00CC5BE8"/>
    <w:rsid w:val="00CC612B"/>
    <w:rsid w:val="00CC655F"/>
    <w:rsid w:val="00CC66F0"/>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6DE1"/>
    <w:rsid w:val="00CD7E9E"/>
    <w:rsid w:val="00CE14BE"/>
    <w:rsid w:val="00CE17A4"/>
    <w:rsid w:val="00CE1BA9"/>
    <w:rsid w:val="00CE1BE3"/>
    <w:rsid w:val="00CE245A"/>
    <w:rsid w:val="00CE2A11"/>
    <w:rsid w:val="00CE2D8F"/>
    <w:rsid w:val="00CE33B1"/>
    <w:rsid w:val="00CE3532"/>
    <w:rsid w:val="00CE3E48"/>
    <w:rsid w:val="00CE46C0"/>
    <w:rsid w:val="00CE47B8"/>
    <w:rsid w:val="00CE4A31"/>
    <w:rsid w:val="00CE4A7A"/>
    <w:rsid w:val="00CE54FD"/>
    <w:rsid w:val="00CE5C92"/>
    <w:rsid w:val="00CE5CC2"/>
    <w:rsid w:val="00CE5E12"/>
    <w:rsid w:val="00CE62FA"/>
    <w:rsid w:val="00CE670B"/>
    <w:rsid w:val="00CE6833"/>
    <w:rsid w:val="00CE7562"/>
    <w:rsid w:val="00CE7D0B"/>
    <w:rsid w:val="00CF020B"/>
    <w:rsid w:val="00CF04DC"/>
    <w:rsid w:val="00CF05F4"/>
    <w:rsid w:val="00CF082E"/>
    <w:rsid w:val="00CF0F7D"/>
    <w:rsid w:val="00CF0FA0"/>
    <w:rsid w:val="00CF15BF"/>
    <w:rsid w:val="00CF2E4D"/>
    <w:rsid w:val="00CF35A7"/>
    <w:rsid w:val="00CF4205"/>
    <w:rsid w:val="00CF42CB"/>
    <w:rsid w:val="00CF4908"/>
    <w:rsid w:val="00CF494A"/>
    <w:rsid w:val="00CF5078"/>
    <w:rsid w:val="00CF51EC"/>
    <w:rsid w:val="00CF545D"/>
    <w:rsid w:val="00CF5873"/>
    <w:rsid w:val="00CF6A39"/>
    <w:rsid w:val="00CF6AB7"/>
    <w:rsid w:val="00CF6E02"/>
    <w:rsid w:val="00CF73AE"/>
    <w:rsid w:val="00CF7777"/>
    <w:rsid w:val="00D001BE"/>
    <w:rsid w:val="00D004F1"/>
    <w:rsid w:val="00D0085A"/>
    <w:rsid w:val="00D00D23"/>
    <w:rsid w:val="00D016AE"/>
    <w:rsid w:val="00D0197F"/>
    <w:rsid w:val="00D01A83"/>
    <w:rsid w:val="00D01B31"/>
    <w:rsid w:val="00D0242D"/>
    <w:rsid w:val="00D02716"/>
    <w:rsid w:val="00D027C4"/>
    <w:rsid w:val="00D03207"/>
    <w:rsid w:val="00D036E3"/>
    <w:rsid w:val="00D03A72"/>
    <w:rsid w:val="00D03B6B"/>
    <w:rsid w:val="00D04076"/>
    <w:rsid w:val="00D040DD"/>
    <w:rsid w:val="00D04134"/>
    <w:rsid w:val="00D052A7"/>
    <w:rsid w:val="00D0538E"/>
    <w:rsid w:val="00D05C65"/>
    <w:rsid w:val="00D05F36"/>
    <w:rsid w:val="00D0676F"/>
    <w:rsid w:val="00D06A26"/>
    <w:rsid w:val="00D06B56"/>
    <w:rsid w:val="00D06CA2"/>
    <w:rsid w:val="00D06D68"/>
    <w:rsid w:val="00D06F7A"/>
    <w:rsid w:val="00D075BE"/>
    <w:rsid w:val="00D07AFF"/>
    <w:rsid w:val="00D10566"/>
    <w:rsid w:val="00D10C15"/>
    <w:rsid w:val="00D11011"/>
    <w:rsid w:val="00D11476"/>
    <w:rsid w:val="00D1271C"/>
    <w:rsid w:val="00D12C25"/>
    <w:rsid w:val="00D130FB"/>
    <w:rsid w:val="00D133B4"/>
    <w:rsid w:val="00D133FF"/>
    <w:rsid w:val="00D13704"/>
    <w:rsid w:val="00D13986"/>
    <w:rsid w:val="00D13F3E"/>
    <w:rsid w:val="00D14C5B"/>
    <w:rsid w:val="00D152B6"/>
    <w:rsid w:val="00D158DA"/>
    <w:rsid w:val="00D15D3A"/>
    <w:rsid w:val="00D15FED"/>
    <w:rsid w:val="00D1605A"/>
    <w:rsid w:val="00D160FB"/>
    <w:rsid w:val="00D16712"/>
    <w:rsid w:val="00D169F6"/>
    <w:rsid w:val="00D174E0"/>
    <w:rsid w:val="00D174FD"/>
    <w:rsid w:val="00D17F29"/>
    <w:rsid w:val="00D214EF"/>
    <w:rsid w:val="00D215B0"/>
    <w:rsid w:val="00D21B36"/>
    <w:rsid w:val="00D21D6D"/>
    <w:rsid w:val="00D21D83"/>
    <w:rsid w:val="00D21F29"/>
    <w:rsid w:val="00D22437"/>
    <w:rsid w:val="00D22A47"/>
    <w:rsid w:val="00D232ED"/>
    <w:rsid w:val="00D235B7"/>
    <w:rsid w:val="00D2371B"/>
    <w:rsid w:val="00D23A99"/>
    <w:rsid w:val="00D23FAE"/>
    <w:rsid w:val="00D25F28"/>
    <w:rsid w:val="00D26071"/>
    <w:rsid w:val="00D260C7"/>
    <w:rsid w:val="00D2641A"/>
    <w:rsid w:val="00D269B9"/>
    <w:rsid w:val="00D27384"/>
    <w:rsid w:val="00D27973"/>
    <w:rsid w:val="00D27F3A"/>
    <w:rsid w:val="00D31537"/>
    <w:rsid w:val="00D31E1E"/>
    <w:rsid w:val="00D322A0"/>
    <w:rsid w:val="00D32824"/>
    <w:rsid w:val="00D328E1"/>
    <w:rsid w:val="00D334E2"/>
    <w:rsid w:val="00D33950"/>
    <w:rsid w:val="00D34078"/>
    <w:rsid w:val="00D350B1"/>
    <w:rsid w:val="00D35AD6"/>
    <w:rsid w:val="00D35BBB"/>
    <w:rsid w:val="00D35E1A"/>
    <w:rsid w:val="00D364E1"/>
    <w:rsid w:val="00D36B0A"/>
    <w:rsid w:val="00D36DFB"/>
    <w:rsid w:val="00D36E1C"/>
    <w:rsid w:val="00D373AF"/>
    <w:rsid w:val="00D40556"/>
    <w:rsid w:val="00D4115C"/>
    <w:rsid w:val="00D41F74"/>
    <w:rsid w:val="00D4223D"/>
    <w:rsid w:val="00D428C8"/>
    <w:rsid w:val="00D43034"/>
    <w:rsid w:val="00D43ED2"/>
    <w:rsid w:val="00D45D2C"/>
    <w:rsid w:val="00D45D7F"/>
    <w:rsid w:val="00D46076"/>
    <w:rsid w:val="00D4768F"/>
    <w:rsid w:val="00D50BC3"/>
    <w:rsid w:val="00D50F46"/>
    <w:rsid w:val="00D51BF9"/>
    <w:rsid w:val="00D5302A"/>
    <w:rsid w:val="00D533AD"/>
    <w:rsid w:val="00D533C4"/>
    <w:rsid w:val="00D5384E"/>
    <w:rsid w:val="00D53AD9"/>
    <w:rsid w:val="00D544E7"/>
    <w:rsid w:val="00D5499F"/>
    <w:rsid w:val="00D5560A"/>
    <w:rsid w:val="00D56FBF"/>
    <w:rsid w:val="00D57677"/>
    <w:rsid w:val="00D5781F"/>
    <w:rsid w:val="00D57ABE"/>
    <w:rsid w:val="00D57AF9"/>
    <w:rsid w:val="00D60415"/>
    <w:rsid w:val="00D60DAE"/>
    <w:rsid w:val="00D60E3C"/>
    <w:rsid w:val="00D60EAE"/>
    <w:rsid w:val="00D60FA7"/>
    <w:rsid w:val="00D60FF1"/>
    <w:rsid w:val="00D61FAB"/>
    <w:rsid w:val="00D62C4E"/>
    <w:rsid w:val="00D63BE5"/>
    <w:rsid w:val="00D6475F"/>
    <w:rsid w:val="00D64B85"/>
    <w:rsid w:val="00D650C4"/>
    <w:rsid w:val="00D655D4"/>
    <w:rsid w:val="00D658A7"/>
    <w:rsid w:val="00D66060"/>
    <w:rsid w:val="00D66223"/>
    <w:rsid w:val="00D667B8"/>
    <w:rsid w:val="00D66981"/>
    <w:rsid w:val="00D67D55"/>
    <w:rsid w:val="00D70117"/>
    <w:rsid w:val="00D70289"/>
    <w:rsid w:val="00D7041F"/>
    <w:rsid w:val="00D70822"/>
    <w:rsid w:val="00D70A33"/>
    <w:rsid w:val="00D717A1"/>
    <w:rsid w:val="00D72076"/>
    <w:rsid w:val="00D721B4"/>
    <w:rsid w:val="00D726A9"/>
    <w:rsid w:val="00D72DBA"/>
    <w:rsid w:val="00D7329C"/>
    <w:rsid w:val="00D743E0"/>
    <w:rsid w:val="00D7469D"/>
    <w:rsid w:val="00D7490C"/>
    <w:rsid w:val="00D75AC1"/>
    <w:rsid w:val="00D76698"/>
    <w:rsid w:val="00D76E4A"/>
    <w:rsid w:val="00D77252"/>
    <w:rsid w:val="00D772A5"/>
    <w:rsid w:val="00D777AC"/>
    <w:rsid w:val="00D778EB"/>
    <w:rsid w:val="00D804C7"/>
    <w:rsid w:val="00D8084C"/>
    <w:rsid w:val="00D81578"/>
    <w:rsid w:val="00D81809"/>
    <w:rsid w:val="00D82EF1"/>
    <w:rsid w:val="00D83277"/>
    <w:rsid w:val="00D832FA"/>
    <w:rsid w:val="00D840AF"/>
    <w:rsid w:val="00D84CC9"/>
    <w:rsid w:val="00D84F43"/>
    <w:rsid w:val="00D85114"/>
    <w:rsid w:val="00D855D5"/>
    <w:rsid w:val="00D85668"/>
    <w:rsid w:val="00D85821"/>
    <w:rsid w:val="00D8598C"/>
    <w:rsid w:val="00D85CC3"/>
    <w:rsid w:val="00D86B80"/>
    <w:rsid w:val="00D87C06"/>
    <w:rsid w:val="00D915EA"/>
    <w:rsid w:val="00D919ED"/>
    <w:rsid w:val="00D91B90"/>
    <w:rsid w:val="00D922A1"/>
    <w:rsid w:val="00D928BE"/>
    <w:rsid w:val="00D932B8"/>
    <w:rsid w:val="00D932F0"/>
    <w:rsid w:val="00D937A0"/>
    <w:rsid w:val="00D95104"/>
    <w:rsid w:val="00D95140"/>
    <w:rsid w:val="00D95302"/>
    <w:rsid w:val="00D95889"/>
    <w:rsid w:val="00D95C5D"/>
    <w:rsid w:val="00D95CBE"/>
    <w:rsid w:val="00D95E7F"/>
    <w:rsid w:val="00D97D00"/>
    <w:rsid w:val="00DA0255"/>
    <w:rsid w:val="00DA0359"/>
    <w:rsid w:val="00DA096C"/>
    <w:rsid w:val="00DA1AB6"/>
    <w:rsid w:val="00DA2080"/>
    <w:rsid w:val="00DA213D"/>
    <w:rsid w:val="00DA23DE"/>
    <w:rsid w:val="00DA2E21"/>
    <w:rsid w:val="00DA2E65"/>
    <w:rsid w:val="00DA37CA"/>
    <w:rsid w:val="00DA37DE"/>
    <w:rsid w:val="00DA3ADF"/>
    <w:rsid w:val="00DA3F34"/>
    <w:rsid w:val="00DA4174"/>
    <w:rsid w:val="00DA5378"/>
    <w:rsid w:val="00DA544C"/>
    <w:rsid w:val="00DA5F8E"/>
    <w:rsid w:val="00DA6364"/>
    <w:rsid w:val="00DA7114"/>
    <w:rsid w:val="00DA7C0C"/>
    <w:rsid w:val="00DA7E2F"/>
    <w:rsid w:val="00DB03DD"/>
    <w:rsid w:val="00DB04B2"/>
    <w:rsid w:val="00DB08A9"/>
    <w:rsid w:val="00DB0B33"/>
    <w:rsid w:val="00DB0D79"/>
    <w:rsid w:val="00DB0FD9"/>
    <w:rsid w:val="00DB13EF"/>
    <w:rsid w:val="00DB1DF4"/>
    <w:rsid w:val="00DB2DFA"/>
    <w:rsid w:val="00DB2EC8"/>
    <w:rsid w:val="00DB321D"/>
    <w:rsid w:val="00DB3FD0"/>
    <w:rsid w:val="00DB459B"/>
    <w:rsid w:val="00DB47FD"/>
    <w:rsid w:val="00DB4F13"/>
    <w:rsid w:val="00DB51B9"/>
    <w:rsid w:val="00DB5403"/>
    <w:rsid w:val="00DB5E3A"/>
    <w:rsid w:val="00DB5E9A"/>
    <w:rsid w:val="00DB613B"/>
    <w:rsid w:val="00DB61EE"/>
    <w:rsid w:val="00DB657E"/>
    <w:rsid w:val="00DB7342"/>
    <w:rsid w:val="00DB7489"/>
    <w:rsid w:val="00DC0B4D"/>
    <w:rsid w:val="00DC0CBB"/>
    <w:rsid w:val="00DC120D"/>
    <w:rsid w:val="00DC17D0"/>
    <w:rsid w:val="00DC1E5D"/>
    <w:rsid w:val="00DC1ED4"/>
    <w:rsid w:val="00DC2B41"/>
    <w:rsid w:val="00DC2EA7"/>
    <w:rsid w:val="00DC3128"/>
    <w:rsid w:val="00DC37DD"/>
    <w:rsid w:val="00DC3B47"/>
    <w:rsid w:val="00DC435B"/>
    <w:rsid w:val="00DC4AC4"/>
    <w:rsid w:val="00DC53D8"/>
    <w:rsid w:val="00DC56FE"/>
    <w:rsid w:val="00DC5B3B"/>
    <w:rsid w:val="00DC5F11"/>
    <w:rsid w:val="00DC6C2D"/>
    <w:rsid w:val="00DC77CB"/>
    <w:rsid w:val="00DC7A19"/>
    <w:rsid w:val="00DC7B1A"/>
    <w:rsid w:val="00DC7EB8"/>
    <w:rsid w:val="00DD04B0"/>
    <w:rsid w:val="00DD0E32"/>
    <w:rsid w:val="00DD129F"/>
    <w:rsid w:val="00DD13FC"/>
    <w:rsid w:val="00DD1A3F"/>
    <w:rsid w:val="00DD253D"/>
    <w:rsid w:val="00DD29B5"/>
    <w:rsid w:val="00DD3096"/>
    <w:rsid w:val="00DD32DD"/>
    <w:rsid w:val="00DD33E8"/>
    <w:rsid w:val="00DD5287"/>
    <w:rsid w:val="00DD56D4"/>
    <w:rsid w:val="00DD5B36"/>
    <w:rsid w:val="00DD6003"/>
    <w:rsid w:val="00DD7849"/>
    <w:rsid w:val="00DE03DE"/>
    <w:rsid w:val="00DE0D8B"/>
    <w:rsid w:val="00DE1237"/>
    <w:rsid w:val="00DE140F"/>
    <w:rsid w:val="00DE17E9"/>
    <w:rsid w:val="00DE1B2A"/>
    <w:rsid w:val="00DE2491"/>
    <w:rsid w:val="00DE273F"/>
    <w:rsid w:val="00DE2C79"/>
    <w:rsid w:val="00DE3503"/>
    <w:rsid w:val="00DE3E22"/>
    <w:rsid w:val="00DE3E5D"/>
    <w:rsid w:val="00DE450F"/>
    <w:rsid w:val="00DE4865"/>
    <w:rsid w:val="00DE503E"/>
    <w:rsid w:val="00DE5CA6"/>
    <w:rsid w:val="00DE5E55"/>
    <w:rsid w:val="00DE60BC"/>
    <w:rsid w:val="00DE63AE"/>
    <w:rsid w:val="00DE7156"/>
    <w:rsid w:val="00DE7AC8"/>
    <w:rsid w:val="00DF0830"/>
    <w:rsid w:val="00DF0852"/>
    <w:rsid w:val="00DF0DA6"/>
    <w:rsid w:val="00DF1877"/>
    <w:rsid w:val="00DF2C5D"/>
    <w:rsid w:val="00DF2CD3"/>
    <w:rsid w:val="00DF3643"/>
    <w:rsid w:val="00DF42FF"/>
    <w:rsid w:val="00DF4369"/>
    <w:rsid w:val="00DF4423"/>
    <w:rsid w:val="00DF4ADF"/>
    <w:rsid w:val="00DF57D6"/>
    <w:rsid w:val="00DF5D1E"/>
    <w:rsid w:val="00DF77E4"/>
    <w:rsid w:val="00DF7F88"/>
    <w:rsid w:val="00E00B88"/>
    <w:rsid w:val="00E01C0E"/>
    <w:rsid w:val="00E02071"/>
    <w:rsid w:val="00E0368F"/>
    <w:rsid w:val="00E03D73"/>
    <w:rsid w:val="00E03F9A"/>
    <w:rsid w:val="00E040DA"/>
    <w:rsid w:val="00E04485"/>
    <w:rsid w:val="00E04694"/>
    <w:rsid w:val="00E04AEF"/>
    <w:rsid w:val="00E04F23"/>
    <w:rsid w:val="00E05333"/>
    <w:rsid w:val="00E06251"/>
    <w:rsid w:val="00E062CF"/>
    <w:rsid w:val="00E07392"/>
    <w:rsid w:val="00E0768A"/>
    <w:rsid w:val="00E07C03"/>
    <w:rsid w:val="00E1085C"/>
    <w:rsid w:val="00E11480"/>
    <w:rsid w:val="00E1168B"/>
    <w:rsid w:val="00E12191"/>
    <w:rsid w:val="00E129E7"/>
    <w:rsid w:val="00E12ABE"/>
    <w:rsid w:val="00E12B1E"/>
    <w:rsid w:val="00E12C42"/>
    <w:rsid w:val="00E135EB"/>
    <w:rsid w:val="00E13995"/>
    <w:rsid w:val="00E14119"/>
    <w:rsid w:val="00E1444C"/>
    <w:rsid w:val="00E14469"/>
    <w:rsid w:val="00E1492B"/>
    <w:rsid w:val="00E14D05"/>
    <w:rsid w:val="00E156A3"/>
    <w:rsid w:val="00E15FA8"/>
    <w:rsid w:val="00E17262"/>
    <w:rsid w:val="00E17F36"/>
    <w:rsid w:val="00E20016"/>
    <w:rsid w:val="00E2009B"/>
    <w:rsid w:val="00E20BB9"/>
    <w:rsid w:val="00E20BCC"/>
    <w:rsid w:val="00E21DDD"/>
    <w:rsid w:val="00E2251C"/>
    <w:rsid w:val="00E2291F"/>
    <w:rsid w:val="00E23388"/>
    <w:rsid w:val="00E2363D"/>
    <w:rsid w:val="00E23C6A"/>
    <w:rsid w:val="00E2484B"/>
    <w:rsid w:val="00E253A2"/>
    <w:rsid w:val="00E260F6"/>
    <w:rsid w:val="00E26122"/>
    <w:rsid w:val="00E26903"/>
    <w:rsid w:val="00E27127"/>
    <w:rsid w:val="00E27233"/>
    <w:rsid w:val="00E274BB"/>
    <w:rsid w:val="00E30B71"/>
    <w:rsid w:val="00E30F15"/>
    <w:rsid w:val="00E31771"/>
    <w:rsid w:val="00E3186D"/>
    <w:rsid w:val="00E31A3E"/>
    <w:rsid w:val="00E32080"/>
    <w:rsid w:val="00E32778"/>
    <w:rsid w:val="00E3309D"/>
    <w:rsid w:val="00E346F4"/>
    <w:rsid w:val="00E34E3F"/>
    <w:rsid w:val="00E350B1"/>
    <w:rsid w:val="00E35339"/>
    <w:rsid w:val="00E353D7"/>
    <w:rsid w:val="00E35A53"/>
    <w:rsid w:val="00E3634A"/>
    <w:rsid w:val="00E3656B"/>
    <w:rsid w:val="00E3712B"/>
    <w:rsid w:val="00E3724A"/>
    <w:rsid w:val="00E378B1"/>
    <w:rsid w:val="00E37C1C"/>
    <w:rsid w:val="00E41131"/>
    <w:rsid w:val="00E41179"/>
    <w:rsid w:val="00E41463"/>
    <w:rsid w:val="00E417BE"/>
    <w:rsid w:val="00E41CD5"/>
    <w:rsid w:val="00E42054"/>
    <w:rsid w:val="00E4273C"/>
    <w:rsid w:val="00E4328C"/>
    <w:rsid w:val="00E4372D"/>
    <w:rsid w:val="00E43889"/>
    <w:rsid w:val="00E43A9E"/>
    <w:rsid w:val="00E44243"/>
    <w:rsid w:val="00E449A8"/>
    <w:rsid w:val="00E453F9"/>
    <w:rsid w:val="00E45D7D"/>
    <w:rsid w:val="00E4623F"/>
    <w:rsid w:val="00E465A0"/>
    <w:rsid w:val="00E4665D"/>
    <w:rsid w:val="00E47854"/>
    <w:rsid w:val="00E478E2"/>
    <w:rsid w:val="00E47EBA"/>
    <w:rsid w:val="00E50156"/>
    <w:rsid w:val="00E504EB"/>
    <w:rsid w:val="00E5076C"/>
    <w:rsid w:val="00E50D2E"/>
    <w:rsid w:val="00E50D7D"/>
    <w:rsid w:val="00E513B4"/>
    <w:rsid w:val="00E51D3C"/>
    <w:rsid w:val="00E51EF0"/>
    <w:rsid w:val="00E53470"/>
    <w:rsid w:val="00E5368D"/>
    <w:rsid w:val="00E539F6"/>
    <w:rsid w:val="00E53B5C"/>
    <w:rsid w:val="00E54698"/>
    <w:rsid w:val="00E54BE9"/>
    <w:rsid w:val="00E54FB4"/>
    <w:rsid w:val="00E5539A"/>
    <w:rsid w:val="00E55791"/>
    <w:rsid w:val="00E55E1A"/>
    <w:rsid w:val="00E578A2"/>
    <w:rsid w:val="00E579ED"/>
    <w:rsid w:val="00E60043"/>
    <w:rsid w:val="00E6105A"/>
    <w:rsid w:val="00E61740"/>
    <w:rsid w:val="00E61EB5"/>
    <w:rsid w:val="00E62429"/>
    <w:rsid w:val="00E6324D"/>
    <w:rsid w:val="00E63AC6"/>
    <w:rsid w:val="00E64782"/>
    <w:rsid w:val="00E647C1"/>
    <w:rsid w:val="00E64D6C"/>
    <w:rsid w:val="00E65084"/>
    <w:rsid w:val="00E6519D"/>
    <w:rsid w:val="00E66062"/>
    <w:rsid w:val="00E6660E"/>
    <w:rsid w:val="00E666EA"/>
    <w:rsid w:val="00E66768"/>
    <w:rsid w:val="00E67305"/>
    <w:rsid w:val="00E673E4"/>
    <w:rsid w:val="00E67696"/>
    <w:rsid w:val="00E67DEF"/>
    <w:rsid w:val="00E7027F"/>
    <w:rsid w:val="00E705A5"/>
    <w:rsid w:val="00E709AF"/>
    <w:rsid w:val="00E70C5F"/>
    <w:rsid w:val="00E71A58"/>
    <w:rsid w:val="00E71ECD"/>
    <w:rsid w:val="00E72774"/>
    <w:rsid w:val="00E72792"/>
    <w:rsid w:val="00E728D7"/>
    <w:rsid w:val="00E72A26"/>
    <w:rsid w:val="00E72A7A"/>
    <w:rsid w:val="00E7335A"/>
    <w:rsid w:val="00E73986"/>
    <w:rsid w:val="00E74234"/>
    <w:rsid w:val="00E7467D"/>
    <w:rsid w:val="00E747DC"/>
    <w:rsid w:val="00E74A2D"/>
    <w:rsid w:val="00E75B3A"/>
    <w:rsid w:val="00E75C94"/>
    <w:rsid w:val="00E76A08"/>
    <w:rsid w:val="00E76B9B"/>
    <w:rsid w:val="00E76BA9"/>
    <w:rsid w:val="00E76C70"/>
    <w:rsid w:val="00E76E61"/>
    <w:rsid w:val="00E76EE4"/>
    <w:rsid w:val="00E77CC0"/>
    <w:rsid w:val="00E801B0"/>
    <w:rsid w:val="00E80B3D"/>
    <w:rsid w:val="00E80CA3"/>
    <w:rsid w:val="00E81504"/>
    <w:rsid w:val="00E81AAA"/>
    <w:rsid w:val="00E82618"/>
    <w:rsid w:val="00E82A42"/>
    <w:rsid w:val="00E82B16"/>
    <w:rsid w:val="00E83D8D"/>
    <w:rsid w:val="00E84E09"/>
    <w:rsid w:val="00E859E5"/>
    <w:rsid w:val="00E874B1"/>
    <w:rsid w:val="00E87811"/>
    <w:rsid w:val="00E87CE2"/>
    <w:rsid w:val="00E87D5B"/>
    <w:rsid w:val="00E90CA8"/>
    <w:rsid w:val="00E911C6"/>
    <w:rsid w:val="00E917A5"/>
    <w:rsid w:val="00E920DE"/>
    <w:rsid w:val="00E930A1"/>
    <w:rsid w:val="00E93820"/>
    <w:rsid w:val="00E93E65"/>
    <w:rsid w:val="00E94A86"/>
    <w:rsid w:val="00E951AB"/>
    <w:rsid w:val="00E953F6"/>
    <w:rsid w:val="00E95DAB"/>
    <w:rsid w:val="00E96018"/>
    <w:rsid w:val="00E96143"/>
    <w:rsid w:val="00E96833"/>
    <w:rsid w:val="00E973D3"/>
    <w:rsid w:val="00E97506"/>
    <w:rsid w:val="00E977B0"/>
    <w:rsid w:val="00E97BB5"/>
    <w:rsid w:val="00E97D5B"/>
    <w:rsid w:val="00E97F14"/>
    <w:rsid w:val="00EA04C3"/>
    <w:rsid w:val="00EA0C68"/>
    <w:rsid w:val="00EA0E39"/>
    <w:rsid w:val="00EA1D0E"/>
    <w:rsid w:val="00EA1DAD"/>
    <w:rsid w:val="00EA2072"/>
    <w:rsid w:val="00EA2841"/>
    <w:rsid w:val="00EA32BC"/>
    <w:rsid w:val="00EA35A7"/>
    <w:rsid w:val="00EA3B32"/>
    <w:rsid w:val="00EA3CEB"/>
    <w:rsid w:val="00EA3D05"/>
    <w:rsid w:val="00EA4222"/>
    <w:rsid w:val="00EA4402"/>
    <w:rsid w:val="00EA4B8D"/>
    <w:rsid w:val="00EA4F0E"/>
    <w:rsid w:val="00EA513E"/>
    <w:rsid w:val="00EA60E9"/>
    <w:rsid w:val="00EA658A"/>
    <w:rsid w:val="00EA7419"/>
    <w:rsid w:val="00EA7CD5"/>
    <w:rsid w:val="00EB070B"/>
    <w:rsid w:val="00EB0E32"/>
    <w:rsid w:val="00EB1CDC"/>
    <w:rsid w:val="00EB1D89"/>
    <w:rsid w:val="00EB3E60"/>
    <w:rsid w:val="00EB4511"/>
    <w:rsid w:val="00EB48D7"/>
    <w:rsid w:val="00EB4994"/>
    <w:rsid w:val="00EB49F1"/>
    <w:rsid w:val="00EB4A8E"/>
    <w:rsid w:val="00EB4BC5"/>
    <w:rsid w:val="00EB599C"/>
    <w:rsid w:val="00EB5BF7"/>
    <w:rsid w:val="00EB5E79"/>
    <w:rsid w:val="00EB620B"/>
    <w:rsid w:val="00EB6DA6"/>
    <w:rsid w:val="00EB6F12"/>
    <w:rsid w:val="00EB6FAC"/>
    <w:rsid w:val="00EB73CA"/>
    <w:rsid w:val="00EB7BAC"/>
    <w:rsid w:val="00EB7CC9"/>
    <w:rsid w:val="00EC03D7"/>
    <w:rsid w:val="00EC0EE6"/>
    <w:rsid w:val="00EC13A7"/>
    <w:rsid w:val="00EC148A"/>
    <w:rsid w:val="00EC1984"/>
    <w:rsid w:val="00EC2177"/>
    <w:rsid w:val="00EC2EB6"/>
    <w:rsid w:val="00EC39F9"/>
    <w:rsid w:val="00EC4FFF"/>
    <w:rsid w:val="00EC51F7"/>
    <w:rsid w:val="00EC53D0"/>
    <w:rsid w:val="00EC5517"/>
    <w:rsid w:val="00EC602A"/>
    <w:rsid w:val="00EC64EC"/>
    <w:rsid w:val="00EC6E8C"/>
    <w:rsid w:val="00EC7386"/>
    <w:rsid w:val="00ED018F"/>
    <w:rsid w:val="00ED05B0"/>
    <w:rsid w:val="00ED0962"/>
    <w:rsid w:val="00ED0EF0"/>
    <w:rsid w:val="00ED0F73"/>
    <w:rsid w:val="00ED12B9"/>
    <w:rsid w:val="00ED15EF"/>
    <w:rsid w:val="00ED16B8"/>
    <w:rsid w:val="00ED1959"/>
    <w:rsid w:val="00ED1A00"/>
    <w:rsid w:val="00ED1CB1"/>
    <w:rsid w:val="00ED1DF0"/>
    <w:rsid w:val="00ED1FB8"/>
    <w:rsid w:val="00ED2386"/>
    <w:rsid w:val="00ED250F"/>
    <w:rsid w:val="00ED2525"/>
    <w:rsid w:val="00ED2EA1"/>
    <w:rsid w:val="00ED3448"/>
    <w:rsid w:val="00ED3851"/>
    <w:rsid w:val="00ED3E51"/>
    <w:rsid w:val="00ED3F10"/>
    <w:rsid w:val="00ED3F9B"/>
    <w:rsid w:val="00ED3FB3"/>
    <w:rsid w:val="00ED4380"/>
    <w:rsid w:val="00ED4D04"/>
    <w:rsid w:val="00ED566D"/>
    <w:rsid w:val="00ED5907"/>
    <w:rsid w:val="00ED5F5B"/>
    <w:rsid w:val="00ED62B7"/>
    <w:rsid w:val="00ED62C6"/>
    <w:rsid w:val="00ED64C1"/>
    <w:rsid w:val="00ED6CDF"/>
    <w:rsid w:val="00ED73B7"/>
    <w:rsid w:val="00ED781F"/>
    <w:rsid w:val="00EE0E7E"/>
    <w:rsid w:val="00EE222F"/>
    <w:rsid w:val="00EE22A5"/>
    <w:rsid w:val="00EE249F"/>
    <w:rsid w:val="00EE2EB4"/>
    <w:rsid w:val="00EE3446"/>
    <w:rsid w:val="00EE3E78"/>
    <w:rsid w:val="00EE41FD"/>
    <w:rsid w:val="00EE460E"/>
    <w:rsid w:val="00EE4B1B"/>
    <w:rsid w:val="00EE5FBA"/>
    <w:rsid w:val="00EE601C"/>
    <w:rsid w:val="00EE66E3"/>
    <w:rsid w:val="00EE6E06"/>
    <w:rsid w:val="00EE7179"/>
    <w:rsid w:val="00EF0C55"/>
    <w:rsid w:val="00EF0D90"/>
    <w:rsid w:val="00EF0DA4"/>
    <w:rsid w:val="00EF150D"/>
    <w:rsid w:val="00EF1F5A"/>
    <w:rsid w:val="00EF23B5"/>
    <w:rsid w:val="00EF2AFA"/>
    <w:rsid w:val="00EF326A"/>
    <w:rsid w:val="00EF3898"/>
    <w:rsid w:val="00EF47BF"/>
    <w:rsid w:val="00EF4D0A"/>
    <w:rsid w:val="00EF52F7"/>
    <w:rsid w:val="00EF59B1"/>
    <w:rsid w:val="00EF5A13"/>
    <w:rsid w:val="00EF5D79"/>
    <w:rsid w:val="00EF5FF9"/>
    <w:rsid w:val="00EF6950"/>
    <w:rsid w:val="00EF6A17"/>
    <w:rsid w:val="00EF75D0"/>
    <w:rsid w:val="00EF77D4"/>
    <w:rsid w:val="00EF7CC7"/>
    <w:rsid w:val="00F00535"/>
    <w:rsid w:val="00F00853"/>
    <w:rsid w:val="00F00866"/>
    <w:rsid w:val="00F0086F"/>
    <w:rsid w:val="00F00EC8"/>
    <w:rsid w:val="00F0160B"/>
    <w:rsid w:val="00F0193E"/>
    <w:rsid w:val="00F03E2F"/>
    <w:rsid w:val="00F03F8D"/>
    <w:rsid w:val="00F044D1"/>
    <w:rsid w:val="00F04811"/>
    <w:rsid w:val="00F04869"/>
    <w:rsid w:val="00F0488C"/>
    <w:rsid w:val="00F04955"/>
    <w:rsid w:val="00F052D2"/>
    <w:rsid w:val="00F0730A"/>
    <w:rsid w:val="00F073ED"/>
    <w:rsid w:val="00F07730"/>
    <w:rsid w:val="00F07C4C"/>
    <w:rsid w:val="00F07E45"/>
    <w:rsid w:val="00F10F11"/>
    <w:rsid w:val="00F11159"/>
    <w:rsid w:val="00F115E4"/>
    <w:rsid w:val="00F11AC4"/>
    <w:rsid w:val="00F120A5"/>
    <w:rsid w:val="00F123DF"/>
    <w:rsid w:val="00F12CFB"/>
    <w:rsid w:val="00F13E60"/>
    <w:rsid w:val="00F13FDB"/>
    <w:rsid w:val="00F15AAA"/>
    <w:rsid w:val="00F15BEF"/>
    <w:rsid w:val="00F17898"/>
    <w:rsid w:val="00F204BF"/>
    <w:rsid w:val="00F205AB"/>
    <w:rsid w:val="00F207C2"/>
    <w:rsid w:val="00F21337"/>
    <w:rsid w:val="00F219A1"/>
    <w:rsid w:val="00F23520"/>
    <w:rsid w:val="00F23E20"/>
    <w:rsid w:val="00F24407"/>
    <w:rsid w:val="00F249CE"/>
    <w:rsid w:val="00F24FAA"/>
    <w:rsid w:val="00F25040"/>
    <w:rsid w:val="00F2507B"/>
    <w:rsid w:val="00F2533E"/>
    <w:rsid w:val="00F25A4E"/>
    <w:rsid w:val="00F26359"/>
    <w:rsid w:val="00F269D7"/>
    <w:rsid w:val="00F27071"/>
    <w:rsid w:val="00F27331"/>
    <w:rsid w:val="00F276D3"/>
    <w:rsid w:val="00F27EE5"/>
    <w:rsid w:val="00F27FB1"/>
    <w:rsid w:val="00F27FD6"/>
    <w:rsid w:val="00F307C3"/>
    <w:rsid w:val="00F307CB"/>
    <w:rsid w:val="00F30C0C"/>
    <w:rsid w:val="00F30C65"/>
    <w:rsid w:val="00F30CA2"/>
    <w:rsid w:val="00F30D46"/>
    <w:rsid w:val="00F321D2"/>
    <w:rsid w:val="00F32649"/>
    <w:rsid w:val="00F33523"/>
    <w:rsid w:val="00F3364D"/>
    <w:rsid w:val="00F33914"/>
    <w:rsid w:val="00F349BF"/>
    <w:rsid w:val="00F34DDC"/>
    <w:rsid w:val="00F36191"/>
    <w:rsid w:val="00F3629F"/>
    <w:rsid w:val="00F363F5"/>
    <w:rsid w:val="00F36DF3"/>
    <w:rsid w:val="00F37362"/>
    <w:rsid w:val="00F37EDC"/>
    <w:rsid w:val="00F416AE"/>
    <w:rsid w:val="00F41C19"/>
    <w:rsid w:val="00F43035"/>
    <w:rsid w:val="00F437CC"/>
    <w:rsid w:val="00F43A77"/>
    <w:rsid w:val="00F43C60"/>
    <w:rsid w:val="00F44537"/>
    <w:rsid w:val="00F44BEE"/>
    <w:rsid w:val="00F45EE4"/>
    <w:rsid w:val="00F45F6A"/>
    <w:rsid w:val="00F46185"/>
    <w:rsid w:val="00F46423"/>
    <w:rsid w:val="00F4680A"/>
    <w:rsid w:val="00F4696A"/>
    <w:rsid w:val="00F47067"/>
    <w:rsid w:val="00F47234"/>
    <w:rsid w:val="00F5199B"/>
    <w:rsid w:val="00F51ADD"/>
    <w:rsid w:val="00F525AB"/>
    <w:rsid w:val="00F525EB"/>
    <w:rsid w:val="00F52CB5"/>
    <w:rsid w:val="00F52D67"/>
    <w:rsid w:val="00F52F07"/>
    <w:rsid w:val="00F53378"/>
    <w:rsid w:val="00F53917"/>
    <w:rsid w:val="00F53A68"/>
    <w:rsid w:val="00F54934"/>
    <w:rsid w:val="00F54C62"/>
    <w:rsid w:val="00F55A92"/>
    <w:rsid w:val="00F5615B"/>
    <w:rsid w:val="00F56809"/>
    <w:rsid w:val="00F575D3"/>
    <w:rsid w:val="00F57983"/>
    <w:rsid w:val="00F57A76"/>
    <w:rsid w:val="00F57D57"/>
    <w:rsid w:val="00F60ECA"/>
    <w:rsid w:val="00F6178B"/>
    <w:rsid w:val="00F61CB5"/>
    <w:rsid w:val="00F62BFF"/>
    <w:rsid w:val="00F62CCE"/>
    <w:rsid w:val="00F63092"/>
    <w:rsid w:val="00F63AAE"/>
    <w:rsid w:val="00F63DDE"/>
    <w:rsid w:val="00F63FB7"/>
    <w:rsid w:val="00F6421B"/>
    <w:rsid w:val="00F647F1"/>
    <w:rsid w:val="00F649D2"/>
    <w:rsid w:val="00F64D5A"/>
    <w:rsid w:val="00F65460"/>
    <w:rsid w:val="00F65CA4"/>
    <w:rsid w:val="00F6602B"/>
    <w:rsid w:val="00F66656"/>
    <w:rsid w:val="00F67077"/>
    <w:rsid w:val="00F6715A"/>
    <w:rsid w:val="00F6779D"/>
    <w:rsid w:val="00F6799D"/>
    <w:rsid w:val="00F703B6"/>
    <w:rsid w:val="00F70CC7"/>
    <w:rsid w:val="00F70DE0"/>
    <w:rsid w:val="00F7150B"/>
    <w:rsid w:val="00F717E4"/>
    <w:rsid w:val="00F71DE6"/>
    <w:rsid w:val="00F72D71"/>
    <w:rsid w:val="00F7381C"/>
    <w:rsid w:val="00F73A0C"/>
    <w:rsid w:val="00F74397"/>
    <w:rsid w:val="00F74B00"/>
    <w:rsid w:val="00F752DC"/>
    <w:rsid w:val="00F7549F"/>
    <w:rsid w:val="00F756DB"/>
    <w:rsid w:val="00F766BE"/>
    <w:rsid w:val="00F767A8"/>
    <w:rsid w:val="00F768DE"/>
    <w:rsid w:val="00F77590"/>
    <w:rsid w:val="00F77A50"/>
    <w:rsid w:val="00F80012"/>
    <w:rsid w:val="00F80BB3"/>
    <w:rsid w:val="00F81340"/>
    <w:rsid w:val="00F81B1E"/>
    <w:rsid w:val="00F81D58"/>
    <w:rsid w:val="00F82C44"/>
    <w:rsid w:val="00F82D14"/>
    <w:rsid w:val="00F82E98"/>
    <w:rsid w:val="00F84E7D"/>
    <w:rsid w:val="00F85066"/>
    <w:rsid w:val="00F868EE"/>
    <w:rsid w:val="00F874F8"/>
    <w:rsid w:val="00F87520"/>
    <w:rsid w:val="00F87A4D"/>
    <w:rsid w:val="00F87C30"/>
    <w:rsid w:val="00F90EEB"/>
    <w:rsid w:val="00F91237"/>
    <w:rsid w:val="00F9135C"/>
    <w:rsid w:val="00F919C6"/>
    <w:rsid w:val="00F91B66"/>
    <w:rsid w:val="00F91C3D"/>
    <w:rsid w:val="00F93688"/>
    <w:rsid w:val="00F939F3"/>
    <w:rsid w:val="00F93C6E"/>
    <w:rsid w:val="00F93F2C"/>
    <w:rsid w:val="00F94390"/>
    <w:rsid w:val="00F947E9"/>
    <w:rsid w:val="00F9516B"/>
    <w:rsid w:val="00F95E27"/>
    <w:rsid w:val="00F962AD"/>
    <w:rsid w:val="00F9644E"/>
    <w:rsid w:val="00F977DB"/>
    <w:rsid w:val="00F97EDD"/>
    <w:rsid w:val="00FA0105"/>
    <w:rsid w:val="00FA05A0"/>
    <w:rsid w:val="00FA0AEF"/>
    <w:rsid w:val="00FA0ECC"/>
    <w:rsid w:val="00FA17CC"/>
    <w:rsid w:val="00FA1CFE"/>
    <w:rsid w:val="00FA1ECA"/>
    <w:rsid w:val="00FA1EE7"/>
    <w:rsid w:val="00FA1F01"/>
    <w:rsid w:val="00FA268D"/>
    <w:rsid w:val="00FA26DF"/>
    <w:rsid w:val="00FA298B"/>
    <w:rsid w:val="00FA32BC"/>
    <w:rsid w:val="00FA3FA8"/>
    <w:rsid w:val="00FA4059"/>
    <w:rsid w:val="00FA4230"/>
    <w:rsid w:val="00FA4574"/>
    <w:rsid w:val="00FA46B9"/>
    <w:rsid w:val="00FA48A4"/>
    <w:rsid w:val="00FA4CB7"/>
    <w:rsid w:val="00FA5112"/>
    <w:rsid w:val="00FA5526"/>
    <w:rsid w:val="00FA5D4D"/>
    <w:rsid w:val="00FA6CB6"/>
    <w:rsid w:val="00FA6CE4"/>
    <w:rsid w:val="00FA6E38"/>
    <w:rsid w:val="00FA70D3"/>
    <w:rsid w:val="00FA7AEC"/>
    <w:rsid w:val="00FB0AEA"/>
    <w:rsid w:val="00FB0DB4"/>
    <w:rsid w:val="00FB0EE2"/>
    <w:rsid w:val="00FB1A79"/>
    <w:rsid w:val="00FB1F0B"/>
    <w:rsid w:val="00FB208B"/>
    <w:rsid w:val="00FB2494"/>
    <w:rsid w:val="00FB2A31"/>
    <w:rsid w:val="00FB2B2D"/>
    <w:rsid w:val="00FB373F"/>
    <w:rsid w:val="00FB542E"/>
    <w:rsid w:val="00FB5580"/>
    <w:rsid w:val="00FB564F"/>
    <w:rsid w:val="00FB59BA"/>
    <w:rsid w:val="00FB6E8F"/>
    <w:rsid w:val="00FB6F62"/>
    <w:rsid w:val="00FB744F"/>
    <w:rsid w:val="00FB7DBB"/>
    <w:rsid w:val="00FC05F8"/>
    <w:rsid w:val="00FC077B"/>
    <w:rsid w:val="00FC0B1B"/>
    <w:rsid w:val="00FC0E5F"/>
    <w:rsid w:val="00FC1070"/>
    <w:rsid w:val="00FC1266"/>
    <w:rsid w:val="00FC1A95"/>
    <w:rsid w:val="00FC1ED4"/>
    <w:rsid w:val="00FC368D"/>
    <w:rsid w:val="00FC3BEC"/>
    <w:rsid w:val="00FC3FC0"/>
    <w:rsid w:val="00FC42C5"/>
    <w:rsid w:val="00FC440B"/>
    <w:rsid w:val="00FC5180"/>
    <w:rsid w:val="00FC56DE"/>
    <w:rsid w:val="00FC5B13"/>
    <w:rsid w:val="00FC5DD2"/>
    <w:rsid w:val="00FC63D9"/>
    <w:rsid w:val="00FC64DE"/>
    <w:rsid w:val="00FC6785"/>
    <w:rsid w:val="00FC684B"/>
    <w:rsid w:val="00FC7D98"/>
    <w:rsid w:val="00FD091B"/>
    <w:rsid w:val="00FD0F8C"/>
    <w:rsid w:val="00FD1135"/>
    <w:rsid w:val="00FD125F"/>
    <w:rsid w:val="00FD3265"/>
    <w:rsid w:val="00FD3CF7"/>
    <w:rsid w:val="00FD4124"/>
    <w:rsid w:val="00FD43E6"/>
    <w:rsid w:val="00FD4916"/>
    <w:rsid w:val="00FD4D12"/>
    <w:rsid w:val="00FD4F73"/>
    <w:rsid w:val="00FD595E"/>
    <w:rsid w:val="00FD5B4C"/>
    <w:rsid w:val="00FD6D53"/>
    <w:rsid w:val="00FD7802"/>
    <w:rsid w:val="00FD7D3B"/>
    <w:rsid w:val="00FD7FBE"/>
    <w:rsid w:val="00FE00E7"/>
    <w:rsid w:val="00FE0730"/>
    <w:rsid w:val="00FE0FB9"/>
    <w:rsid w:val="00FE1B5F"/>
    <w:rsid w:val="00FE27C7"/>
    <w:rsid w:val="00FE2C7E"/>
    <w:rsid w:val="00FE2F78"/>
    <w:rsid w:val="00FE3137"/>
    <w:rsid w:val="00FE3156"/>
    <w:rsid w:val="00FE346B"/>
    <w:rsid w:val="00FE346F"/>
    <w:rsid w:val="00FE37F1"/>
    <w:rsid w:val="00FE431E"/>
    <w:rsid w:val="00FE4418"/>
    <w:rsid w:val="00FE460E"/>
    <w:rsid w:val="00FE48E4"/>
    <w:rsid w:val="00FE521B"/>
    <w:rsid w:val="00FE5466"/>
    <w:rsid w:val="00FE634C"/>
    <w:rsid w:val="00FE6D9C"/>
    <w:rsid w:val="00FE6E69"/>
    <w:rsid w:val="00FE6F59"/>
    <w:rsid w:val="00FE736B"/>
    <w:rsid w:val="00FE7EAB"/>
    <w:rsid w:val="00FF01B6"/>
    <w:rsid w:val="00FF0989"/>
    <w:rsid w:val="00FF0C09"/>
    <w:rsid w:val="00FF0F79"/>
    <w:rsid w:val="00FF1136"/>
    <w:rsid w:val="00FF2666"/>
    <w:rsid w:val="00FF2A6D"/>
    <w:rsid w:val="00FF2D47"/>
    <w:rsid w:val="00FF2F4F"/>
    <w:rsid w:val="00FF3612"/>
    <w:rsid w:val="00FF3D76"/>
    <w:rsid w:val="00FF5B8C"/>
    <w:rsid w:val="00FF6072"/>
    <w:rsid w:val="00FF63E6"/>
    <w:rsid w:val="00FF72DC"/>
    <w:rsid w:val="00FF7B96"/>
    <w:rsid w:val="0523CDF2"/>
    <w:rsid w:val="06B1A837"/>
    <w:rsid w:val="12650F4E"/>
    <w:rsid w:val="1394E51D"/>
    <w:rsid w:val="2A0E9F3A"/>
    <w:rsid w:val="2A2A6298"/>
    <w:rsid w:val="38C72AFC"/>
    <w:rsid w:val="3E4A9713"/>
    <w:rsid w:val="48038D4B"/>
    <w:rsid w:val="49E8263C"/>
    <w:rsid w:val="50A35788"/>
    <w:rsid w:val="52944939"/>
    <w:rsid w:val="5CF587E8"/>
    <w:rsid w:val="6AEA4E8B"/>
    <w:rsid w:val="75B5B79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character" w:styleId="Sledovanodkaz">
    <w:name w:val="FollowedHyperlink"/>
    <w:basedOn w:val="Standardnpsmoodstavce"/>
    <w:uiPriority w:val="99"/>
    <w:semiHidden/>
    <w:unhideWhenUsed/>
    <w:rsid w:val="004D6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111294050">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nal&#253;za\Q\2022\2022Q4\eng\Makroanal&#253;za%20grafy_e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nal&#253;za\Q\2022\2022Q4\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nal&#253;za\Q\2022\2022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40163796014418E-2"/>
          <c:y val="2.3046636085626952E-2"/>
          <c:w val="0.93617042384329663"/>
          <c:h val="0.74192840256670856"/>
        </c:manualLayout>
      </c:layout>
      <c:barChart>
        <c:barDir val="col"/>
        <c:grouping val="clustered"/>
        <c:varyColors val="0"/>
        <c:ser>
          <c:idx val="0"/>
          <c:order val="0"/>
          <c:tx>
            <c:strRef>
              <c:f>'souhrnná výkonnost 1'!$C$4</c:f>
              <c:strCache>
                <c:ptCount val="1"/>
                <c:pt idx="0">
                  <c:v>CR year-on-year change</c:v>
                </c:pt>
              </c:strCache>
            </c:strRef>
          </c:tx>
          <c:spPr>
            <a:solidFill>
              <a:schemeClr val="bg1">
                <a:lumMod val="65000"/>
              </a:schemeClr>
            </a:solidFill>
            <a:ln>
              <a:noFill/>
            </a:ln>
          </c:spPr>
          <c:invertIfNegative val="0"/>
          <c:cat>
            <c:multiLvlStrRef>
              <c:f>'souhrnná výkonnost 1'!$A$25:$B$48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'souhrnná výkonnost 1'!$C$25:$C$48</c:f>
              <c:numCache>
                <c:formatCode>#\ ##0.0</c:formatCode>
                <c:ptCount val="24"/>
                <c:pt idx="0">
                  <c:v>3.695024939296502</c:v>
                </c:pt>
                <c:pt idx="1">
                  <c:v>5.9154748938585584</c:v>
                </c:pt>
                <c:pt idx="2">
                  <c:v>5.8516412927584582</c:v>
                </c:pt>
                <c:pt idx="3">
                  <c:v>5.8958110920111153</c:v>
                </c:pt>
                <c:pt idx="4">
                  <c:v>4.7409332982438741</c:v>
                </c:pt>
                <c:pt idx="5" formatCode="General">
                  <c:v>2.821338885097731</c:v>
                </c:pt>
                <c:pt idx="6" formatCode="General">
                  <c:v>2.6959141687858903</c:v>
                </c:pt>
                <c:pt idx="7">
                  <c:v>2.6197437017841025</c:v>
                </c:pt>
                <c:pt idx="8">
                  <c:v>2.9978799448777949</c:v>
                </c:pt>
                <c:pt idx="9" formatCode="General">
                  <c:v>3.0712313540949907</c:v>
                </c:pt>
                <c:pt idx="10" formatCode="General">
                  <c:v>3.0292239015638387</c:v>
                </c:pt>
                <c:pt idx="11" formatCode="General">
                  <c:v>2.7681270582493624</c:v>
                </c:pt>
                <c:pt idx="12" formatCode="General">
                  <c:v>-1.4629386956710846</c:v>
                </c:pt>
                <c:pt idx="13" formatCode="General">
                  <c:v>-10.78290466571336</c:v>
                </c:pt>
                <c:pt idx="14" formatCode="General">
                  <c:v>-5.2159569739525011</c:v>
                </c:pt>
                <c:pt idx="15" formatCode="General">
                  <c:v>-4.5960804470275178</c:v>
                </c:pt>
                <c:pt idx="16" formatCode="General">
                  <c:v>-1.8871144320826687</c:v>
                </c:pt>
                <c:pt idx="17" formatCode="General">
                  <c:v>9.1334269072149539</c:v>
                </c:pt>
                <c:pt idx="18" formatCode="General">
                  <c:v>3.7708183512418287</c:v>
                </c:pt>
                <c:pt idx="19" formatCode="General">
                  <c:v>3.4726640387638668</c:v>
                </c:pt>
                <c:pt idx="20" formatCode="General">
                  <c:v>4.6608438845384939</c:v>
                </c:pt>
                <c:pt idx="21" formatCode="General">
                  <c:v>3.510335140502491</c:v>
                </c:pt>
                <c:pt idx="22" formatCode="General">
                  <c:v>1.4589487053958976</c:v>
                </c:pt>
                <c:pt idx="23" formatCode="General">
                  <c:v>0.2381533010240986</c:v>
                </c:pt>
              </c:numCache>
            </c:numRef>
          </c:val>
          <c:extLst>
            <c:ext xmlns:c16="http://schemas.microsoft.com/office/drawing/2014/chart" uri="{C3380CC4-5D6E-409C-BE32-E72D297353CC}">
              <c16:uniqueId val="{00000000-39EA-4290-B610-2C747921A51E}"/>
            </c:ext>
          </c:extLst>
        </c:ser>
        <c:ser>
          <c:idx val="1"/>
          <c:order val="1"/>
          <c:tx>
            <c:strRef>
              <c:f>'souhrnná výkonnost 1'!$D$4</c:f>
              <c:strCache>
                <c:ptCount val="1"/>
                <c:pt idx="0">
                  <c:v>EU28 year-on-year change</c:v>
                </c:pt>
              </c:strCache>
            </c:strRef>
          </c:tx>
          <c:spPr>
            <a:solidFill>
              <a:schemeClr val="bg1">
                <a:lumMod val="50000"/>
              </a:schemeClr>
            </a:solidFill>
            <a:ln>
              <a:noFill/>
            </a:ln>
          </c:spPr>
          <c:invertIfNegative val="0"/>
          <c:cat>
            <c:multiLvlStrRef>
              <c:f>'souhrnná výkonnost 1'!$A$25:$B$48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'souhrnná výkonnost 1'!$D$25:$D$48</c:f>
              <c:numCache>
                <c:formatCode>#\ ##0.##########</c:formatCode>
                <c:ptCount val="24"/>
                <c:pt idx="0">
                  <c:v>2.4</c:v>
                </c:pt>
                <c:pt idx="1">
                  <c:v>2.9</c:v>
                </c:pt>
                <c:pt idx="2">
                  <c:v>3.3</c:v>
                </c:pt>
                <c:pt idx="3">
                  <c:v>3.3</c:v>
                </c:pt>
                <c:pt idx="4">
                  <c:v>2.6</c:v>
                </c:pt>
                <c:pt idx="5">
                  <c:v>2.4</c:v>
                </c:pt>
                <c:pt idx="6">
                  <c:v>1.7</c:v>
                </c:pt>
                <c:pt idx="7">
                  <c:v>1.5</c:v>
                </c:pt>
                <c:pt idx="8">
                  <c:v>2.1</c:v>
                </c:pt>
                <c:pt idx="9">
                  <c:v>1.8</c:v>
                </c:pt>
                <c:pt idx="10" formatCode="#\ ##0.0">
                  <c:v>2</c:v>
                </c:pt>
                <c:pt idx="11">
                  <c:v>1.4</c:v>
                </c:pt>
                <c:pt idx="12">
                  <c:v>-2.2000000000000002</c:v>
                </c:pt>
                <c:pt idx="13">
                  <c:v>-13.4</c:v>
                </c:pt>
                <c:pt idx="14">
                  <c:v>-3.7</c:v>
                </c:pt>
                <c:pt idx="15">
                  <c:v>-3.8</c:v>
                </c:pt>
                <c:pt idx="16">
                  <c:v>-0.7</c:v>
                </c:pt>
                <c:pt idx="17">
                  <c:v>13.8</c:v>
                </c:pt>
                <c:pt idx="18">
                  <c:v>4.3</c:v>
                </c:pt>
                <c:pt idx="19">
                  <c:v>5.0999999999999996</c:v>
                </c:pt>
                <c:pt idx="20">
                  <c:v>5.7</c:v>
                </c:pt>
                <c:pt idx="21">
                  <c:v>4.4000000000000004</c:v>
                </c:pt>
                <c:pt idx="22">
                  <c:v>2.6</c:v>
                </c:pt>
                <c:pt idx="23">
                  <c:v>1.7</c:v>
                </c:pt>
              </c:numCache>
            </c:numRef>
          </c:val>
          <c:extLst>
            <c:ext xmlns:c16="http://schemas.microsoft.com/office/drawing/2014/chart" uri="{C3380CC4-5D6E-409C-BE32-E72D297353CC}">
              <c16:uniqueId val="{00000001-39EA-4290-B610-2C747921A51E}"/>
            </c:ext>
          </c:extLst>
        </c:ser>
        <c:dLbls>
          <c:showLegendKey val="0"/>
          <c:showVal val="0"/>
          <c:showCatName val="0"/>
          <c:showSerName val="0"/>
          <c:showPercent val="0"/>
          <c:showBubbleSize val="0"/>
        </c:dLbls>
        <c:gapWidth val="100"/>
        <c:axId val="115054080"/>
        <c:axId val="115056000"/>
      </c:barChart>
      <c:lineChart>
        <c:grouping val="standard"/>
        <c:varyColors val="0"/>
        <c:ser>
          <c:idx val="2"/>
          <c:order val="2"/>
          <c:tx>
            <c:strRef>
              <c:f>'souhrnná výkonnost 1'!$E$4</c:f>
              <c:strCache>
                <c:ptCount val="1"/>
                <c:pt idx="0">
                  <c:v>ČR quarter-on-quarter change</c:v>
                </c:pt>
              </c:strCache>
            </c:strRef>
          </c:tx>
          <c:spPr>
            <a:ln w="19050">
              <a:noFill/>
            </a:ln>
          </c:spPr>
          <c:marker>
            <c:symbol val="dash"/>
            <c:size val="8"/>
            <c:spPr>
              <a:solidFill>
                <a:schemeClr val="accent1"/>
              </a:solidFill>
              <a:ln>
                <a:noFill/>
              </a:ln>
            </c:spPr>
          </c:marker>
          <c:cat>
            <c:multiLvlStrRef>
              <c:f>'souhrnná výkonnost 1'!$A$25:$B$48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'souhrnná výkonnost 1'!$E$25:$E$48</c:f>
              <c:numCache>
                <c:formatCode>#\ ##0.0</c:formatCode>
                <c:ptCount val="24"/>
                <c:pt idx="0">
                  <c:v>1.6501768420245781</c:v>
                </c:pt>
                <c:pt idx="1">
                  <c:v>2.4798258472657153</c:v>
                </c:pt>
                <c:pt idx="2">
                  <c:v>0.83559458693113697</c:v>
                </c:pt>
                <c:pt idx="3">
                  <c:v>0.81343215586227302</c:v>
                </c:pt>
                <c:pt idx="4">
                  <c:v>0.54160105647851253</c:v>
                </c:pt>
                <c:pt idx="5">
                  <c:v>0.60167090858045924</c:v>
                </c:pt>
                <c:pt idx="6">
                  <c:v>0.71259214422481421</c:v>
                </c:pt>
                <c:pt idx="7">
                  <c:v>0.73865794240386151</c:v>
                </c:pt>
                <c:pt idx="8">
                  <c:v>0.91207969856712623</c:v>
                </c:pt>
                <c:pt idx="9" formatCode="General">
                  <c:v>0.67331582335634721</c:v>
                </c:pt>
                <c:pt idx="10" formatCode="General">
                  <c:v>0.67154597277419725</c:v>
                </c:pt>
                <c:pt idx="11" formatCode="General">
                  <c:v>0.4833658554360909</c:v>
                </c:pt>
                <c:pt idx="12" formatCode="General">
                  <c:v>-3.2425707440500986</c:v>
                </c:pt>
                <c:pt idx="13" formatCode="General">
                  <c:v>-8.8487042688318525</c:v>
                </c:pt>
                <c:pt idx="14" formatCode="General">
                  <c:v>6.9532258277307903</c:v>
                </c:pt>
                <c:pt idx="15" formatCode="General">
                  <c:v>1.1405152853573952</c:v>
                </c:pt>
                <c:pt idx="16" formatCode="General">
                  <c:v>-0.49517222231260405</c:v>
                </c:pt>
                <c:pt idx="17" formatCode="General">
                  <c:v>1.3898756783505632</c:v>
                </c:pt>
                <c:pt idx="18" formatCode="General">
                  <c:v>1.6977481966623031</c:v>
                </c:pt>
                <c:pt idx="19" formatCode="General">
                  <c:v>0.84991835957713135</c:v>
                </c:pt>
                <c:pt idx="20" formatCode="General">
                  <c:v>0.6474448352556692</c:v>
                </c:pt>
                <c:pt idx="21" formatCode="General">
                  <c:v>0.27532381544612861</c:v>
                </c:pt>
                <c:pt idx="22" formatCode="General">
                  <c:v>-0.31771606445079215</c:v>
                </c:pt>
                <c:pt idx="23" formatCode="General">
                  <c:v>-0.36354894355976342</c:v>
                </c:pt>
              </c:numCache>
            </c:numRef>
          </c:val>
          <c:smooth val="0"/>
          <c:extLst>
            <c:ext xmlns:c16="http://schemas.microsoft.com/office/drawing/2014/chart" uri="{C3380CC4-5D6E-409C-BE32-E72D297353CC}">
              <c16:uniqueId val="{00000002-39EA-4290-B610-2C747921A51E}"/>
            </c:ext>
          </c:extLst>
        </c:ser>
        <c:ser>
          <c:idx val="3"/>
          <c:order val="3"/>
          <c:tx>
            <c:strRef>
              <c:f>'souhrnná výkonnost 1'!$F$4</c:f>
              <c:strCache>
                <c:ptCount val="1"/>
                <c:pt idx="0">
                  <c:v>EU28 quarter-on-quarter change</c:v>
                </c:pt>
              </c:strCache>
            </c:strRef>
          </c:tx>
          <c:spPr>
            <a:ln w="19050">
              <a:noFill/>
            </a:ln>
          </c:spPr>
          <c:marker>
            <c:symbol val="dash"/>
            <c:size val="8"/>
            <c:spPr>
              <a:solidFill>
                <a:schemeClr val="accent2"/>
              </a:solidFill>
              <a:ln>
                <a:noFill/>
              </a:ln>
            </c:spPr>
          </c:marker>
          <c:cat>
            <c:multiLvlStrRef>
              <c:f>'souhrnná výkonnost 1'!$A$25:$B$48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'souhrnná výkonnost 1'!$F$25:$F$48</c:f>
              <c:numCache>
                <c:formatCode>#\ ##0.##########</c:formatCode>
                <c:ptCount val="24"/>
                <c:pt idx="0">
                  <c:v>0.8</c:v>
                </c:pt>
                <c:pt idx="1">
                  <c:v>0.8</c:v>
                </c:pt>
                <c:pt idx="2">
                  <c:v>0.8</c:v>
                </c:pt>
                <c:pt idx="3">
                  <c:v>0.8</c:v>
                </c:pt>
                <c:pt idx="4">
                  <c:v>0.1</c:v>
                </c:pt>
                <c:pt idx="5">
                  <c:v>0.6</c:v>
                </c:pt>
                <c:pt idx="6">
                  <c:v>0.1</c:v>
                </c:pt>
                <c:pt idx="7">
                  <c:v>0.7</c:v>
                </c:pt>
                <c:pt idx="8">
                  <c:v>0.7</c:v>
                </c:pt>
                <c:pt idx="9">
                  <c:v>0.4</c:v>
                </c:pt>
                <c:pt idx="10">
                  <c:v>0.3</c:v>
                </c:pt>
                <c:pt idx="11">
                  <c:v>0.1</c:v>
                </c:pt>
                <c:pt idx="12">
                  <c:v>-2.9</c:v>
                </c:pt>
                <c:pt idx="13">
                  <c:v>-11.1</c:v>
                </c:pt>
                <c:pt idx="14">
                  <c:v>11.5</c:v>
                </c:pt>
                <c:pt idx="15">
                  <c:v>-0.1</c:v>
                </c:pt>
                <c:pt idx="16">
                  <c:v>0.2</c:v>
                </c:pt>
                <c:pt idx="17">
                  <c:v>1.9</c:v>
                </c:pt>
                <c:pt idx="18">
                  <c:v>2.2000000000000002</c:v>
                </c:pt>
                <c:pt idx="19">
                  <c:v>0.7</c:v>
                </c:pt>
                <c:pt idx="20">
                  <c:v>0.7</c:v>
                </c:pt>
                <c:pt idx="21">
                  <c:v>0.7</c:v>
                </c:pt>
                <c:pt idx="22">
                  <c:v>0.4</c:v>
                </c:pt>
                <c:pt idx="23">
                  <c:v>-0.1</c:v>
                </c:pt>
              </c:numCache>
            </c:numRef>
          </c:val>
          <c:smooth val="0"/>
          <c:extLst>
            <c:ext xmlns:c16="http://schemas.microsoft.com/office/drawing/2014/chart" uri="{C3380CC4-5D6E-409C-BE32-E72D297353CC}">
              <c16:uniqueId val="{00000003-39EA-4290-B610-2C747921A51E}"/>
            </c:ext>
          </c:extLst>
        </c:ser>
        <c:dLbls>
          <c:showLegendKey val="0"/>
          <c:showVal val="0"/>
          <c:showCatName val="0"/>
          <c:showSerName val="0"/>
          <c:showPercent val="0"/>
          <c:showBubbleSize val="0"/>
        </c:dLbls>
        <c:marker val="1"/>
        <c:smooth val="0"/>
        <c:axId val="115054080"/>
        <c:axId val="115056000"/>
      </c:lineChart>
      <c:catAx>
        <c:axId val="11505408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5056000"/>
        <c:crosses val="autoZero"/>
        <c:auto val="1"/>
        <c:lblAlgn val="ctr"/>
        <c:lblOffset val="100"/>
        <c:noMultiLvlLbl val="0"/>
      </c:catAx>
      <c:valAx>
        <c:axId val="115056000"/>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054080"/>
        <c:crosses val="autoZero"/>
        <c:crossBetween val="between"/>
        <c:majorUnit val="3"/>
      </c:valAx>
      <c:spPr>
        <a:ln>
          <a:solidFill>
            <a:schemeClr val="tx1"/>
          </a:solidFill>
        </a:ln>
      </c:spPr>
    </c:plotArea>
    <c:legend>
      <c:legendPos val="b"/>
      <c:layout>
        <c:manualLayout>
          <c:xMode val="edge"/>
          <c:yMode val="edge"/>
          <c:x val="5.0375530939407026E-2"/>
          <c:y val="0.89437255125717996"/>
          <c:w val="0.92644083516900477"/>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948352704928246E-2"/>
          <c:y val="2.8458510079622041E-2"/>
          <c:w val="0.93956464282120367"/>
          <c:h val="0.6497469886299676"/>
        </c:manualLayout>
      </c:layout>
      <c:barChart>
        <c:barDir val="col"/>
        <c:grouping val="stacked"/>
        <c:varyColors val="0"/>
        <c:ser>
          <c:idx val="5"/>
          <c:order val="1"/>
          <c:tx>
            <c:strRef>
              <c:f>'souhrnná výkonnost 3'!$D$5</c:f>
              <c:strCache>
                <c:ptCount val="1"/>
                <c:pt idx="0">
                  <c:v>Final consumption expenditure of households (inc. non-profit inst.)</c:v>
                </c:pt>
              </c:strCache>
            </c:strRef>
          </c:tx>
          <c:spPr>
            <a:solidFill>
              <a:srgbClr val="0071BC"/>
            </a:solidFill>
            <a:ln>
              <a:noFill/>
            </a:ln>
          </c:spPr>
          <c:invertIfNegative val="0"/>
          <c:val>
            <c:numRef>
              <c:f>'souhrnná výkonnost 3'!$D$26:$D$49</c:f>
              <c:numCache>
                <c:formatCode>#\ ##0.0</c:formatCode>
                <c:ptCount val="24"/>
                <c:pt idx="0">
                  <c:v>1.1724461062125424</c:v>
                </c:pt>
                <c:pt idx="1">
                  <c:v>1.3838280833932579</c:v>
                </c:pt>
                <c:pt idx="2">
                  <c:v>1.3029633342515592</c:v>
                </c:pt>
                <c:pt idx="3">
                  <c:v>1.0570981809373126</c:v>
                </c:pt>
                <c:pt idx="4">
                  <c:v>1.5755125159315493</c:v>
                </c:pt>
                <c:pt idx="5">
                  <c:v>1.2433932618107362</c:v>
                </c:pt>
                <c:pt idx="6">
                  <c:v>0.98503190180886591</c:v>
                </c:pt>
                <c:pt idx="7">
                  <c:v>0.86242373693181407</c:v>
                </c:pt>
                <c:pt idx="8">
                  <c:v>0.93405360633092516</c:v>
                </c:pt>
                <c:pt idx="9">
                  <c:v>1.3264749570937773</c:v>
                </c:pt>
                <c:pt idx="10">
                  <c:v>1.0320858874492613</c:v>
                </c:pt>
                <c:pt idx="11">
                  <c:v>1.1072516380596791</c:v>
                </c:pt>
                <c:pt idx="12">
                  <c:v>-1.0200898881441904</c:v>
                </c:pt>
                <c:pt idx="13">
                  <c:v>-3.319130632152298</c:v>
                </c:pt>
                <c:pt idx="14">
                  <c:v>-1.7922184957520035</c:v>
                </c:pt>
                <c:pt idx="15">
                  <c:v>-4.4205469928881964</c:v>
                </c:pt>
                <c:pt idx="16">
                  <c:v>-2.9518338941199556</c:v>
                </c:pt>
                <c:pt idx="17">
                  <c:v>1.8968770554897822</c:v>
                </c:pt>
                <c:pt idx="18">
                  <c:v>1.8846956040757776</c:v>
                </c:pt>
                <c:pt idx="19">
                  <c:v>3.2917123189007609</c:v>
                </c:pt>
                <c:pt idx="20">
                  <c:v>3.1814812425400443</c:v>
                </c:pt>
                <c:pt idx="21">
                  <c:v>-7.4174055396546874E-3</c:v>
                </c:pt>
                <c:pt idx="22">
                  <c:v>-2.8088511245861643</c:v>
                </c:pt>
                <c:pt idx="23">
                  <c:v>-2.86347508964429</c:v>
                </c:pt>
              </c:numCache>
            </c:numRef>
          </c:val>
          <c:extLst>
            <c:ext xmlns:c16="http://schemas.microsoft.com/office/drawing/2014/chart" uri="{C3380CC4-5D6E-409C-BE32-E72D297353CC}">
              <c16:uniqueId val="{00000000-1C39-4C2A-B7AC-22DBB430B829}"/>
            </c:ext>
          </c:extLst>
        </c:ser>
        <c:ser>
          <c:idx val="4"/>
          <c:order val="2"/>
          <c:tx>
            <c:strRef>
              <c:f>'souhrnná výkonnost 3'!$E$5</c:f>
              <c:strCache>
                <c:ptCount val="1"/>
                <c:pt idx="0">
                  <c:v>Final consumption expenditure of government institutions</c:v>
                </c:pt>
              </c:strCache>
            </c:strRef>
          </c:tx>
          <c:spPr>
            <a:solidFill>
              <a:srgbClr val="A6CDE8"/>
            </a:solidFill>
            <a:ln>
              <a:noFill/>
            </a:ln>
          </c:spPr>
          <c:invertIfNegative val="0"/>
          <c:val>
            <c:numRef>
              <c:f>'souhrnná výkonnost 3'!$E$26:$E$49</c:f>
              <c:numCache>
                <c:formatCode>#\ ##0.0</c:formatCode>
                <c:ptCount val="24"/>
                <c:pt idx="0">
                  <c:v>0.43568874146674696</c:v>
                </c:pt>
                <c:pt idx="1">
                  <c:v>0.31651507948948093</c:v>
                </c:pt>
                <c:pt idx="2">
                  <c:v>0.23074272942367355</c:v>
                </c:pt>
                <c:pt idx="3">
                  <c:v>0.28553793240162256</c:v>
                </c:pt>
                <c:pt idx="4">
                  <c:v>0.57412630446352575</c:v>
                </c:pt>
                <c:pt idx="5">
                  <c:v>0.65995211680089227</c:v>
                </c:pt>
                <c:pt idx="6">
                  <c:v>0.81778085262984523</c:v>
                </c:pt>
                <c:pt idx="7">
                  <c:v>0.81086488978039961</c:v>
                </c:pt>
                <c:pt idx="8">
                  <c:v>0.45281581800869153</c:v>
                </c:pt>
                <c:pt idx="9">
                  <c:v>0.47909637272946859</c:v>
                </c:pt>
                <c:pt idx="10">
                  <c:v>0.44460153705879746</c:v>
                </c:pt>
                <c:pt idx="11">
                  <c:v>0.33726571383782183</c:v>
                </c:pt>
                <c:pt idx="12">
                  <c:v>0.80451284992688055</c:v>
                </c:pt>
                <c:pt idx="13">
                  <c:v>0.70708681585804789</c:v>
                </c:pt>
                <c:pt idx="14">
                  <c:v>0.41395179326421938</c:v>
                </c:pt>
                <c:pt idx="15">
                  <c:v>1.2239863422317085</c:v>
                </c:pt>
                <c:pt idx="16">
                  <c:v>0.19935804269977092</c:v>
                </c:pt>
                <c:pt idx="17">
                  <c:v>0.11457182275232361</c:v>
                </c:pt>
                <c:pt idx="18">
                  <c:v>0.66663542409335319</c:v>
                </c:pt>
                <c:pt idx="19">
                  <c:v>-4.6599956234866978E-2</c:v>
                </c:pt>
                <c:pt idx="20">
                  <c:v>0.40070657657155367</c:v>
                </c:pt>
                <c:pt idx="21">
                  <c:v>0.32871201808462563</c:v>
                </c:pt>
                <c:pt idx="22">
                  <c:v>-0.43678326455502947</c:v>
                </c:pt>
                <c:pt idx="23">
                  <c:v>0.16650379577834051</c:v>
                </c:pt>
              </c:numCache>
            </c:numRef>
          </c:val>
          <c:extLst>
            <c:ext xmlns:c16="http://schemas.microsoft.com/office/drawing/2014/chart" uri="{C3380CC4-5D6E-409C-BE32-E72D297353CC}">
              <c16:uniqueId val="{00000001-1C39-4C2A-B7AC-22DBB430B829}"/>
            </c:ext>
          </c:extLst>
        </c:ser>
        <c:ser>
          <c:idx val="3"/>
          <c:order val="3"/>
          <c:tx>
            <c:strRef>
              <c:f>'souhrnná výkonnost 3'!$G$5</c:f>
              <c:strCache>
                <c:ptCount val="1"/>
                <c:pt idx="0">
                  <c:v>Gross capital formation</c:v>
                </c:pt>
              </c:strCache>
            </c:strRef>
          </c:tx>
          <c:spPr>
            <a:solidFill>
              <a:srgbClr val="BD1B21"/>
            </a:solidFill>
            <a:ln>
              <a:noFill/>
            </a:ln>
          </c:spPr>
          <c:invertIfNegative val="0"/>
          <c:val>
            <c:numRef>
              <c:f>'souhrnná výkonnost 3'!$G$26:$G$49</c:f>
              <c:numCache>
                <c:formatCode>#\ ##0.0</c:formatCode>
                <c:ptCount val="24"/>
                <c:pt idx="0">
                  <c:v>-0.96460420103508648</c:v>
                </c:pt>
                <c:pt idx="1">
                  <c:v>0.50244635297633955</c:v>
                </c:pt>
                <c:pt idx="2">
                  <c:v>1.4868373962562362</c:v>
                </c:pt>
                <c:pt idx="3">
                  <c:v>2.3482189542959593</c:v>
                </c:pt>
                <c:pt idx="4">
                  <c:v>2.6506947871686029</c:v>
                </c:pt>
                <c:pt idx="5">
                  <c:v>1.7081773365114346</c:v>
                </c:pt>
                <c:pt idx="6">
                  <c:v>1.9279335844788137</c:v>
                </c:pt>
                <c:pt idx="7">
                  <c:v>0.67229902849733947</c:v>
                </c:pt>
                <c:pt idx="8">
                  <c:v>1.5906650874354982</c:v>
                </c:pt>
                <c:pt idx="9">
                  <c:v>-0.19146224798983871</c:v>
                </c:pt>
                <c:pt idx="10">
                  <c:v>0.25415698160207911</c:v>
                </c:pt>
                <c:pt idx="11">
                  <c:v>2.4122891717477368</c:v>
                </c:pt>
                <c:pt idx="12">
                  <c:v>0.69791730489126869</c:v>
                </c:pt>
                <c:pt idx="13">
                  <c:v>0.95595711935685235</c:v>
                </c:pt>
                <c:pt idx="14">
                  <c:v>-2.7554209500001341</c:v>
                </c:pt>
                <c:pt idx="15">
                  <c:v>-3.4824684565401789</c:v>
                </c:pt>
                <c:pt idx="16">
                  <c:v>1.0691356844743092</c:v>
                </c:pt>
                <c:pt idx="17">
                  <c:v>2.9229568698502431</c:v>
                </c:pt>
                <c:pt idx="18">
                  <c:v>6.9097346363336198</c:v>
                </c:pt>
                <c:pt idx="19">
                  <c:v>6.6616257432894894</c:v>
                </c:pt>
                <c:pt idx="20">
                  <c:v>4.0389782015964286</c:v>
                </c:pt>
                <c:pt idx="21">
                  <c:v>3.4613756239715832</c:v>
                </c:pt>
                <c:pt idx="22">
                  <c:v>1.4516124385714106</c:v>
                </c:pt>
                <c:pt idx="23">
                  <c:v>0.52701259461238481</c:v>
                </c:pt>
              </c:numCache>
            </c:numRef>
          </c:val>
          <c:extLst>
            <c:ext xmlns:c16="http://schemas.microsoft.com/office/drawing/2014/chart" uri="{C3380CC4-5D6E-409C-BE32-E72D297353CC}">
              <c16:uniqueId val="{00000002-1C39-4C2A-B7AC-22DBB430B829}"/>
            </c:ext>
          </c:extLst>
        </c:ser>
        <c:ser>
          <c:idx val="1"/>
          <c:order val="4"/>
          <c:tx>
            <c:strRef>
              <c:f>'souhrnná výkonnost 3'!$F$5</c:f>
              <c:strCache>
                <c:ptCount val="1"/>
                <c:pt idx="0">
                  <c:v>Foreign trade balance</c:v>
                </c:pt>
              </c:strCache>
            </c:strRef>
          </c:tx>
          <c:spPr>
            <a:solidFill>
              <a:srgbClr val="7DBB2D"/>
            </a:solidFill>
            <a:ln>
              <a:noFill/>
            </a:ln>
          </c:spPr>
          <c:invertIfNegative val="0"/>
          <c:val>
            <c:numRef>
              <c:f>'souhrnná výkonnost 3'!$F$26:$F$49</c:f>
              <c:numCache>
                <c:formatCode>#\ ##0.0</c:formatCode>
                <c:ptCount val="24"/>
                <c:pt idx="0">
                  <c:v>2.975467589155194</c:v>
                </c:pt>
                <c:pt idx="1">
                  <c:v>3.63036253408232</c:v>
                </c:pt>
                <c:pt idx="2">
                  <c:v>2.7474075811976926</c:v>
                </c:pt>
                <c:pt idx="3">
                  <c:v>2.1271051366721982</c:v>
                </c:pt>
                <c:pt idx="4">
                  <c:v>-0.18190275978441584</c:v>
                </c:pt>
                <c:pt idx="5">
                  <c:v>-0.9011007424628219</c:v>
                </c:pt>
                <c:pt idx="6">
                  <c:v>-1.1419594143316307</c:v>
                </c:pt>
                <c:pt idx="7">
                  <c:v>0.16780244720397519</c:v>
                </c:pt>
                <c:pt idx="8">
                  <c:v>-3.0487770722796181E-2</c:v>
                </c:pt>
                <c:pt idx="9">
                  <c:v>1.401018621045631</c:v>
                </c:pt>
                <c:pt idx="10">
                  <c:v>1.245438224612009</c:v>
                </c:pt>
                <c:pt idx="11">
                  <c:v>-1.1377389757832601</c:v>
                </c:pt>
                <c:pt idx="12">
                  <c:v>-1.982621142964861</c:v>
                </c:pt>
                <c:pt idx="13">
                  <c:v>-9.1465234127285537</c:v>
                </c:pt>
                <c:pt idx="14">
                  <c:v>-1.0987632014143376</c:v>
                </c:pt>
                <c:pt idx="15">
                  <c:v>2.0622607746427408</c:v>
                </c:pt>
                <c:pt idx="16">
                  <c:v>-0.24003125036630379</c:v>
                </c:pt>
                <c:pt idx="17">
                  <c:v>4.1602208095308058</c:v>
                </c:pt>
                <c:pt idx="18">
                  <c:v>-5.722578984705712</c:v>
                </c:pt>
                <c:pt idx="19">
                  <c:v>-6.4629212214111327</c:v>
                </c:pt>
                <c:pt idx="20">
                  <c:v>-2.9496051495240869</c:v>
                </c:pt>
                <c:pt idx="21">
                  <c:v>-0.3017305602428173</c:v>
                </c:pt>
                <c:pt idx="22">
                  <c:v>3.2479556728103578</c:v>
                </c:pt>
                <c:pt idx="23">
                  <c:v>2.4287920620491317</c:v>
                </c:pt>
              </c:numCache>
            </c:numRef>
          </c:val>
          <c:extLst>
            <c:ext xmlns:c16="http://schemas.microsoft.com/office/drawing/2014/chart" uri="{C3380CC4-5D6E-409C-BE32-E72D297353CC}">
              <c16:uniqueId val="{00000003-1C39-4C2A-B7AC-22DBB430B829}"/>
            </c:ext>
          </c:extLst>
        </c:ser>
        <c:dLbls>
          <c:showLegendKey val="0"/>
          <c:showVal val="0"/>
          <c:showCatName val="0"/>
          <c:showSerName val="0"/>
          <c:showPercent val="0"/>
          <c:showBubbleSize val="0"/>
        </c:dLbls>
        <c:gapWidth val="40"/>
        <c:overlap val="100"/>
        <c:axId val="115206784"/>
        <c:axId val="115286400"/>
      </c:barChart>
      <c:lineChart>
        <c:grouping val="standard"/>
        <c:varyColors val="0"/>
        <c:ser>
          <c:idx val="0"/>
          <c:order val="0"/>
          <c:tx>
            <c:strRef>
              <c:f>'souhrnná výkonnost 3'!$C$5</c:f>
              <c:strCache>
                <c:ptCount val="1"/>
                <c:pt idx="0">
                  <c:v>GDP</c:v>
                </c:pt>
              </c:strCache>
            </c:strRef>
          </c:tx>
          <c:spPr>
            <a:ln>
              <a:solidFill>
                <a:prstClr val="black"/>
              </a:solidFill>
            </a:ln>
          </c:spPr>
          <c:marker>
            <c:symbol val="none"/>
          </c:marker>
          <c:cat>
            <c:multiLvlStrRef>
              <c:f>'souhrnná výkonnost 3'!$A$26:$B$49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'souhrnná výkonnost 3'!$C$26:$C$49</c:f>
              <c:numCache>
                <c:formatCode>#\ ##0.0</c:formatCode>
                <c:ptCount val="24"/>
                <c:pt idx="0">
                  <c:v>3.6950522088079936</c:v>
                </c:pt>
                <c:pt idx="1">
                  <c:v>5.9154979768352121</c:v>
                </c:pt>
                <c:pt idx="2">
                  <c:v>5.8516739490936516</c:v>
                </c:pt>
                <c:pt idx="3">
                  <c:v>5.8958373145450764</c:v>
                </c:pt>
                <c:pt idx="4">
                  <c:v>4.7409433615299719</c:v>
                </c:pt>
                <c:pt idx="5">
                  <c:v>2.8213141032059923</c:v>
                </c:pt>
                <c:pt idx="6">
                  <c:v>2.6958490566037767</c:v>
                </c:pt>
                <c:pt idx="7">
                  <c:v>2.619723260012492</c:v>
                </c:pt>
                <c:pt idx="8">
                  <c:v>2.9978163782603531</c:v>
                </c:pt>
                <c:pt idx="9">
                  <c:v>3.0711985153536432</c:v>
                </c:pt>
                <c:pt idx="10">
                  <c:v>3.0292786172026638</c:v>
                </c:pt>
                <c:pt idx="11">
                  <c:v>2.7680914244993033</c:v>
                </c:pt>
                <c:pt idx="12">
                  <c:v>-1.4628912343715541</c:v>
                </c:pt>
                <c:pt idx="13">
                  <c:v>-10.782881996253849</c:v>
                </c:pt>
                <c:pt idx="14">
                  <c:v>-5.2160051898008959</c:v>
                </c:pt>
                <c:pt idx="15">
                  <c:v>-4.5960486594733538</c:v>
                </c:pt>
                <c:pt idx="16">
                  <c:v>-1.887115931441059</c:v>
                </c:pt>
                <c:pt idx="17">
                  <c:v>9.1334019596629616</c:v>
                </c:pt>
                <c:pt idx="18">
                  <c:v>3.770831782023393</c:v>
                </c:pt>
                <c:pt idx="19">
                  <c:v>3.4726638742077682</c:v>
                </c:pt>
                <c:pt idx="20">
                  <c:v>4.6607894840410893</c:v>
                </c:pt>
                <c:pt idx="21">
                  <c:v>3.5103450256849698</c:v>
                </c:pt>
                <c:pt idx="22">
                  <c:v>1.4589580267119402</c:v>
                </c:pt>
                <c:pt idx="23">
                  <c:v>0.23813308505727093</c:v>
                </c:pt>
              </c:numCache>
            </c:numRef>
          </c:val>
          <c:smooth val="0"/>
          <c:extLst>
            <c:ext xmlns:c16="http://schemas.microsoft.com/office/drawing/2014/chart" uri="{C3380CC4-5D6E-409C-BE32-E72D297353CC}">
              <c16:uniqueId val="{00000004-1C39-4C2A-B7AC-22DBB430B829}"/>
            </c:ext>
          </c:extLst>
        </c:ser>
        <c:dLbls>
          <c:showLegendKey val="0"/>
          <c:showVal val="0"/>
          <c:showCatName val="0"/>
          <c:showSerName val="0"/>
          <c:showPercent val="0"/>
          <c:showBubbleSize val="0"/>
        </c:dLbls>
        <c:marker val="1"/>
        <c:smooth val="0"/>
        <c:axId val="115206784"/>
        <c:axId val="115286400"/>
      </c:lineChart>
      <c:catAx>
        <c:axId val="11520678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286400"/>
        <c:crosses val="autoZero"/>
        <c:auto val="1"/>
        <c:lblAlgn val="ctr"/>
        <c:lblOffset val="100"/>
        <c:noMultiLvlLbl val="0"/>
      </c:catAx>
      <c:valAx>
        <c:axId val="115286400"/>
        <c:scaling>
          <c:orientation val="minMax"/>
          <c:max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206784"/>
        <c:crosses val="autoZero"/>
        <c:crossBetween val="between"/>
        <c:majorUnit val="3"/>
      </c:valAx>
      <c:spPr>
        <a:ln>
          <a:solidFill>
            <a:schemeClr val="tx1"/>
          </a:solidFill>
        </a:ln>
      </c:spPr>
    </c:plotArea>
    <c:legend>
      <c:legendPos val="b"/>
      <c:layout>
        <c:manualLayout>
          <c:xMode val="edge"/>
          <c:yMode val="edge"/>
          <c:x val="5.5599658512421081E-2"/>
          <c:y val="0.79301446583361457"/>
          <c:w val="0.9297882566215917"/>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404035346808687E-2"/>
          <c:y val="3.7154479717354444E-2"/>
          <c:w val="0.93674937195830332"/>
          <c:h val="0.63445260610154264"/>
        </c:manualLayout>
      </c:layout>
      <c:barChart>
        <c:barDir val="col"/>
        <c:grouping val="stacked"/>
        <c:varyColors val="0"/>
        <c:ser>
          <c:idx val="4"/>
          <c:order val="0"/>
          <c:tx>
            <c:strRef>
              <c:f>'souhrnná výkonnost 4'!$C$5</c:f>
              <c:strCache>
                <c:ptCount val="1"/>
                <c:pt idx="0">
                  <c:v>Agriculture, forestry and fishing</c:v>
                </c:pt>
              </c:strCache>
            </c:strRef>
          </c:tx>
          <c:spPr>
            <a:solidFill>
              <a:srgbClr val="0071BC"/>
            </a:solidFill>
            <a:ln>
              <a:noFill/>
            </a:ln>
          </c:spPr>
          <c:invertIfNegative val="0"/>
          <c:val>
            <c:numRef>
              <c:f>'souhrnná výkonnost 4'!$C$26:$C$49</c:f>
              <c:numCache>
                <c:formatCode>#\ ##0.0</c:formatCode>
                <c:ptCount val="24"/>
                <c:pt idx="0">
                  <c:v>-1.3480202956280747E-2</c:v>
                </c:pt>
                <c:pt idx="1">
                  <c:v>-0.10834731479250079</c:v>
                </c:pt>
                <c:pt idx="2">
                  <c:v>-0.17283036507391236</c:v>
                </c:pt>
                <c:pt idx="3">
                  <c:v>-5.7499524058591864E-2</c:v>
                </c:pt>
                <c:pt idx="4">
                  <c:v>3.3101048510961691E-2</c:v>
                </c:pt>
                <c:pt idx="5">
                  <c:v>7.1756948575291107E-2</c:v>
                </c:pt>
                <c:pt idx="6">
                  <c:v>0.13149584386693958</c:v>
                </c:pt>
                <c:pt idx="7">
                  <c:v>0.13446361914513508</c:v>
                </c:pt>
                <c:pt idx="8">
                  <c:v>7.2918853884007789E-2</c:v>
                </c:pt>
                <c:pt idx="9">
                  <c:v>8.5676115253478527E-2</c:v>
                </c:pt>
                <c:pt idx="10">
                  <c:v>0.11352421571245841</c:v>
                </c:pt>
                <c:pt idx="11">
                  <c:v>0.1297955956354544</c:v>
                </c:pt>
                <c:pt idx="12">
                  <c:v>0.21206913343969133</c:v>
                </c:pt>
                <c:pt idx="13">
                  <c:v>0.23393026126693048</c:v>
                </c:pt>
                <c:pt idx="14">
                  <c:v>0.24441243980560454</c:v>
                </c:pt>
                <c:pt idx="15">
                  <c:v>0.21978387176272138</c:v>
                </c:pt>
                <c:pt idx="16">
                  <c:v>-0.18221441644720782</c:v>
                </c:pt>
                <c:pt idx="17">
                  <c:v>-0.33863410192001336</c:v>
                </c:pt>
                <c:pt idx="18">
                  <c:v>-0.3687497371739023</c:v>
                </c:pt>
                <c:pt idx="19">
                  <c:v>-0.39562426253164018</c:v>
                </c:pt>
                <c:pt idx="20">
                  <c:v>-0.12834998401418826</c:v>
                </c:pt>
                <c:pt idx="21">
                  <c:v>1.4145340295686518E-2</c:v>
                </c:pt>
                <c:pt idx="22">
                  <c:v>-5.0814027754783588E-2</c:v>
                </c:pt>
                <c:pt idx="23">
                  <c:v>-3.4747962203343155E-2</c:v>
                </c:pt>
              </c:numCache>
            </c:numRef>
          </c:val>
          <c:extLst>
            <c:ext xmlns:c16="http://schemas.microsoft.com/office/drawing/2014/chart" uri="{C3380CC4-5D6E-409C-BE32-E72D297353CC}">
              <c16:uniqueId val="{00000000-7558-4059-B296-8F5FB4207D7D}"/>
            </c:ext>
          </c:extLst>
        </c:ser>
        <c:ser>
          <c:idx val="3"/>
          <c:order val="1"/>
          <c:tx>
            <c:strRef>
              <c:f>'souhrnná výkonnost 4'!$D$5</c:f>
              <c:strCache>
                <c:ptCount val="1"/>
                <c:pt idx="0">
                  <c:v>Manufacturing (CZ-NACE C)</c:v>
                </c:pt>
              </c:strCache>
            </c:strRef>
          </c:tx>
          <c:spPr>
            <a:solidFill>
              <a:srgbClr val="A6CDE8"/>
            </a:solidFill>
            <a:ln>
              <a:noFill/>
            </a:ln>
          </c:spPr>
          <c:invertIfNegative val="0"/>
          <c:val>
            <c:numRef>
              <c:f>'souhrnná výkonnost 4'!$D$26:$D$49</c:f>
              <c:numCache>
                <c:formatCode>#\ ##0.0</c:formatCode>
                <c:ptCount val="24"/>
                <c:pt idx="0">
                  <c:v>1.4029354561354304</c:v>
                </c:pt>
                <c:pt idx="1">
                  <c:v>3.0521121696167999</c:v>
                </c:pt>
                <c:pt idx="2">
                  <c:v>3.0689947409685256</c:v>
                </c:pt>
                <c:pt idx="3">
                  <c:v>2.3434131051105536</c:v>
                </c:pt>
                <c:pt idx="4">
                  <c:v>1.4988954552402802</c:v>
                </c:pt>
                <c:pt idx="5">
                  <c:v>0.14865466019918347</c:v>
                </c:pt>
                <c:pt idx="6">
                  <c:v>8.6548845664065829E-3</c:v>
                </c:pt>
                <c:pt idx="7">
                  <c:v>0.32252729120432605</c:v>
                </c:pt>
                <c:pt idx="8">
                  <c:v>0.78403714445772954</c:v>
                </c:pt>
                <c:pt idx="9">
                  <c:v>1.3396178430313301</c:v>
                </c:pt>
                <c:pt idx="10">
                  <c:v>1.4312708537266536</c:v>
                </c:pt>
                <c:pt idx="11">
                  <c:v>0.95608213895270133</c:v>
                </c:pt>
                <c:pt idx="12">
                  <c:v>-1.2099063790338642</c:v>
                </c:pt>
                <c:pt idx="13">
                  <c:v>-5.9215879942171465</c:v>
                </c:pt>
                <c:pt idx="14">
                  <c:v>-2.483013954961435</c:v>
                </c:pt>
                <c:pt idx="15">
                  <c:v>-1.8545602201995735</c:v>
                </c:pt>
                <c:pt idx="16">
                  <c:v>0.14666034595153488</c:v>
                </c:pt>
                <c:pt idx="17">
                  <c:v>4.8325732565967341</c:v>
                </c:pt>
                <c:pt idx="18">
                  <c:v>0.13926978613968419</c:v>
                </c:pt>
                <c:pt idx="19">
                  <c:v>-0.37554863954723355</c:v>
                </c:pt>
                <c:pt idx="20">
                  <c:v>0.20241520363315191</c:v>
                </c:pt>
                <c:pt idx="21">
                  <c:v>0.23277700750157082</c:v>
                </c:pt>
                <c:pt idx="22">
                  <c:v>0.82455056608942667</c:v>
                </c:pt>
                <c:pt idx="23">
                  <c:v>1.3696951016894645</c:v>
                </c:pt>
              </c:numCache>
            </c:numRef>
          </c:val>
          <c:extLst>
            <c:ext xmlns:c16="http://schemas.microsoft.com/office/drawing/2014/chart" uri="{C3380CC4-5D6E-409C-BE32-E72D297353CC}">
              <c16:uniqueId val="{00000001-7558-4059-B296-8F5FB4207D7D}"/>
            </c:ext>
          </c:extLst>
        </c:ser>
        <c:ser>
          <c:idx val="2"/>
          <c:order val="2"/>
          <c:tx>
            <c:strRef>
              <c:f>'souhrnná výkonnost 4'!$E$5</c:f>
              <c:strCache>
                <c:ptCount val="1"/>
                <c:pt idx="0">
                  <c:v>Other industrial branches (CZ-NACE B,D,E)</c:v>
                </c:pt>
              </c:strCache>
            </c:strRef>
          </c:tx>
          <c:spPr>
            <a:solidFill>
              <a:srgbClr val="BD1B21"/>
            </a:solidFill>
            <a:ln>
              <a:noFill/>
            </a:ln>
          </c:spPr>
          <c:invertIfNegative val="0"/>
          <c:val>
            <c:numRef>
              <c:f>'souhrnná výkonnost 4'!$E$26:$E$47</c:f>
              <c:numCache>
                <c:formatCode>#\ ##0.0</c:formatCode>
                <c:ptCount val="22"/>
                <c:pt idx="0">
                  <c:v>0.20896030591717252</c:v>
                </c:pt>
                <c:pt idx="1">
                  <c:v>7.6093021703349972E-2</c:v>
                </c:pt>
                <c:pt idx="2">
                  <c:v>0.11363564757057354</c:v>
                </c:pt>
                <c:pt idx="3">
                  <c:v>-2.1455946351557564E-2</c:v>
                </c:pt>
                <c:pt idx="4">
                  <c:v>-7.5503829252544286E-2</c:v>
                </c:pt>
                <c:pt idx="5">
                  <c:v>-2.1457218474246753E-4</c:v>
                </c:pt>
                <c:pt idx="6" formatCode="General">
                  <c:v>0.11499031724354705</c:v>
                </c:pt>
                <c:pt idx="7" formatCode="General">
                  <c:v>-5.8063785050184669E-2</c:v>
                </c:pt>
                <c:pt idx="8" formatCode="General">
                  <c:v>-0.20753253585572418</c:v>
                </c:pt>
                <c:pt idx="9" formatCode="General">
                  <c:v>-0.39259990964881164</c:v>
                </c:pt>
                <c:pt idx="10" formatCode="General">
                  <c:v>-0.67997190068436764</c:v>
                </c:pt>
                <c:pt idx="11" formatCode="General">
                  <c:v>-0.47224783032630302</c:v>
                </c:pt>
                <c:pt idx="12" formatCode="General">
                  <c:v>-0.35554388462432995</c:v>
                </c:pt>
                <c:pt idx="13" formatCode="General">
                  <c:v>-0.29945450798864215</c:v>
                </c:pt>
                <c:pt idx="14" formatCode="General">
                  <c:v>8.9909890553686811E-2</c:v>
                </c:pt>
                <c:pt idx="15" formatCode="General">
                  <c:v>0.4035077805243672</c:v>
                </c:pt>
                <c:pt idx="16" formatCode="General">
                  <c:v>0.11506880670570313</c:v>
                </c:pt>
                <c:pt idx="17" formatCode="General">
                  <c:v>0.23206715280195489</c:v>
                </c:pt>
                <c:pt idx="18" formatCode="General">
                  <c:v>5.5257849303414486E-3</c:v>
                </c:pt>
                <c:pt idx="19" formatCode="General">
                  <c:v>-0.31062877330342492</c:v>
                </c:pt>
                <c:pt idx="20" formatCode="General">
                  <c:v>-0.32282656267219983</c:v>
                </c:pt>
                <c:pt idx="21" formatCode="General">
                  <c:v>-8.8081022051473862E-2</c:v>
                </c:pt>
              </c:numCache>
            </c:numRef>
          </c:val>
          <c:extLst>
            <c:ext xmlns:c16="http://schemas.microsoft.com/office/drawing/2014/chart" uri="{C3380CC4-5D6E-409C-BE32-E72D297353CC}">
              <c16:uniqueId val="{00000002-7558-4059-B296-8F5FB4207D7D}"/>
            </c:ext>
          </c:extLst>
        </c:ser>
        <c:ser>
          <c:idx val="1"/>
          <c:order val="3"/>
          <c:tx>
            <c:strRef>
              <c:f>'souhrnná výkonnost 4'!$F$5</c:f>
              <c:strCache>
                <c:ptCount val="1"/>
                <c:pt idx="0">
                  <c:v>Construction</c:v>
                </c:pt>
              </c:strCache>
            </c:strRef>
          </c:tx>
          <c:spPr>
            <a:solidFill>
              <a:srgbClr val="E8AFB2"/>
            </a:solidFill>
            <a:ln>
              <a:noFill/>
            </a:ln>
          </c:spPr>
          <c:invertIfNegative val="0"/>
          <c:val>
            <c:numRef>
              <c:f>'souhrnná výkonnost 4'!$F$26:$F$49</c:f>
              <c:numCache>
                <c:formatCode>#\ ##0.0</c:formatCode>
                <c:ptCount val="24"/>
                <c:pt idx="0">
                  <c:v>-0.11971252971432786</c:v>
                </c:pt>
                <c:pt idx="1">
                  <c:v>0.12513537674207531</c:v>
                </c:pt>
                <c:pt idx="2">
                  <c:v>7.5639144896938418E-2</c:v>
                </c:pt>
                <c:pt idx="3">
                  <c:v>0.16915702258933862</c:v>
                </c:pt>
                <c:pt idx="4">
                  <c:v>0.12251647468928516</c:v>
                </c:pt>
                <c:pt idx="5">
                  <c:v>4.4465884869504127E-3</c:v>
                </c:pt>
                <c:pt idx="6">
                  <c:v>-1.6359859988612897E-2</c:v>
                </c:pt>
                <c:pt idx="7">
                  <c:v>-0.12156128779443694</c:v>
                </c:pt>
                <c:pt idx="8">
                  <c:v>-0.15734451118480142</c:v>
                </c:pt>
                <c:pt idx="9">
                  <c:v>-4.5532361519053807E-2</c:v>
                </c:pt>
                <c:pt idx="10">
                  <c:v>-9.8757103245276548E-2</c:v>
                </c:pt>
                <c:pt idx="11">
                  <c:v>-0.10368709258279594</c:v>
                </c:pt>
                <c:pt idx="12">
                  <c:v>-0.34540850854541605</c:v>
                </c:pt>
                <c:pt idx="13">
                  <c:v>-0.70801073477756982</c:v>
                </c:pt>
                <c:pt idx="14">
                  <c:v>-0.63145687961935903</c:v>
                </c:pt>
                <c:pt idx="15">
                  <c:v>-0.60465596754463591</c:v>
                </c:pt>
                <c:pt idx="16">
                  <c:v>-0.56128430139034546</c:v>
                </c:pt>
                <c:pt idx="17">
                  <c:v>-0.11692747497662</c:v>
                </c:pt>
                <c:pt idx="18">
                  <c:v>-2.385502058460395E-2</c:v>
                </c:pt>
                <c:pt idx="19">
                  <c:v>6.4870256116827466E-2</c:v>
                </c:pt>
                <c:pt idx="20">
                  <c:v>0.44454598462250261</c:v>
                </c:pt>
                <c:pt idx="21">
                  <c:v>0.2756813130768615</c:v>
                </c:pt>
                <c:pt idx="22">
                  <c:v>-0.13143141765821154</c:v>
                </c:pt>
                <c:pt idx="23">
                  <c:v>-0.1538783025517676</c:v>
                </c:pt>
              </c:numCache>
            </c:numRef>
          </c:val>
          <c:extLst>
            <c:ext xmlns:c16="http://schemas.microsoft.com/office/drawing/2014/chart" uri="{C3380CC4-5D6E-409C-BE32-E72D297353CC}">
              <c16:uniqueId val="{00000003-7558-4059-B296-8F5FB4207D7D}"/>
            </c:ext>
          </c:extLst>
        </c:ser>
        <c:ser>
          <c:idx val="0"/>
          <c:order val="4"/>
          <c:tx>
            <c:strRef>
              <c:f>'souhrnná výkonnost 4'!$G$5</c:f>
              <c:strCache>
                <c:ptCount val="1"/>
                <c:pt idx="0">
                  <c:v>Services (CZ-NACE G to U)</c:v>
                </c:pt>
              </c:strCache>
            </c:strRef>
          </c:tx>
          <c:spPr>
            <a:solidFill>
              <a:srgbClr val="7DBB2D"/>
            </a:solidFill>
            <a:ln>
              <a:noFill/>
            </a:ln>
          </c:spPr>
          <c:invertIfNegative val="0"/>
          <c:val>
            <c:numRef>
              <c:f>'souhrnná výkonnost 4'!$G$26:$G$49</c:f>
              <c:numCache>
                <c:formatCode>#\ ##0.0</c:formatCode>
                <c:ptCount val="24"/>
                <c:pt idx="0">
                  <c:v>2.2567846902239754</c:v>
                </c:pt>
                <c:pt idx="1">
                  <c:v>2.9186309791713847</c:v>
                </c:pt>
                <c:pt idx="2">
                  <c:v>2.9697548900570783</c:v>
                </c:pt>
                <c:pt idx="3">
                  <c:v>3.2819135077275536</c:v>
                </c:pt>
                <c:pt idx="4">
                  <c:v>3.1084812332896234</c:v>
                </c:pt>
                <c:pt idx="5">
                  <c:v>2.7563352038547313</c:v>
                </c:pt>
                <c:pt idx="6" formatCode="General">
                  <c:v>2.6924043929265338</c:v>
                </c:pt>
                <c:pt idx="7" formatCode="General">
                  <c:v>2.6316200146897142</c:v>
                </c:pt>
                <c:pt idx="8" formatCode="General">
                  <c:v>2.4919003926236449</c:v>
                </c:pt>
                <c:pt idx="9" formatCode="General">
                  <c:v>2.2093063938623403</c:v>
                </c:pt>
                <c:pt idx="10" formatCode="General">
                  <c:v>2.1316318226048492</c:v>
                </c:pt>
                <c:pt idx="11" formatCode="General">
                  <c:v>2.1602853151609636</c:v>
                </c:pt>
                <c:pt idx="12" formatCode="General">
                  <c:v>0.60230691969475514</c:v>
                </c:pt>
                <c:pt idx="13" formatCode="General">
                  <c:v>-4.2582563012779078</c:v>
                </c:pt>
                <c:pt idx="14" formatCode="General">
                  <c:v>-2.0902678469504163</c:v>
                </c:pt>
                <c:pt idx="15" formatCode="General">
                  <c:v>-2.3497385311278536</c:v>
                </c:pt>
                <c:pt idx="16" formatCode="General">
                  <c:v>-1.3407828493940885</c:v>
                </c:pt>
                <c:pt idx="17" formatCode="General">
                  <c:v>4.754116905982988</c:v>
                </c:pt>
                <c:pt idx="18" formatCode="General">
                  <c:v>3.6648747973783928</c:v>
                </c:pt>
                <c:pt idx="19" formatCode="General">
                  <c:v>4.0483204326921944</c:v>
                </c:pt>
                <c:pt idx="20" formatCode="General">
                  <c:v>3.8504446532817931</c:v>
                </c:pt>
                <c:pt idx="21" formatCode="General">
                  <c:v>2.9747494036468001</c:v>
                </c:pt>
                <c:pt idx="22" formatCode="General">
                  <c:v>0.8079263971959757</c:v>
                </c:pt>
                <c:pt idx="23" formatCode="General">
                  <c:v>0.2899907371953282</c:v>
                </c:pt>
              </c:numCache>
            </c:numRef>
          </c:val>
          <c:extLst>
            <c:ext xmlns:c16="http://schemas.microsoft.com/office/drawing/2014/chart" uri="{C3380CC4-5D6E-409C-BE32-E72D297353CC}">
              <c16:uniqueId val="{00000004-7558-4059-B296-8F5FB4207D7D}"/>
            </c:ext>
          </c:extLst>
        </c:ser>
        <c:dLbls>
          <c:showLegendKey val="0"/>
          <c:showVal val="0"/>
          <c:showCatName val="0"/>
          <c:showSerName val="0"/>
          <c:showPercent val="0"/>
          <c:showBubbleSize val="0"/>
        </c:dLbls>
        <c:gapWidth val="70"/>
        <c:overlap val="100"/>
        <c:axId val="115446144"/>
        <c:axId val="115447680"/>
      </c:barChart>
      <c:lineChart>
        <c:grouping val="standard"/>
        <c:varyColors val="0"/>
        <c:ser>
          <c:idx val="5"/>
          <c:order val="5"/>
          <c:tx>
            <c:strRef>
              <c:f>'souhrnná výkonnost 4'!$H$5</c:f>
              <c:strCache>
                <c:ptCount val="1"/>
                <c:pt idx="0">
                  <c:v>Total gross value added</c:v>
                </c:pt>
              </c:strCache>
            </c:strRef>
          </c:tx>
          <c:spPr>
            <a:ln w="19050">
              <a:solidFill>
                <a:prstClr val="black"/>
              </a:solidFill>
            </a:ln>
          </c:spPr>
          <c:marker>
            <c:symbol val="none"/>
          </c:marker>
          <c:cat>
            <c:multiLvlStrRef>
              <c:f>'souhrnná výkonnost 4'!$A$26:$B$49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'souhrnná výkonnost 4'!$H$26:$H$49</c:f>
              <c:numCache>
                <c:formatCode>#\ ##0.0</c:formatCode>
                <c:ptCount val="24"/>
                <c:pt idx="0">
                  <c:v>3.7354703358596737</c:v>
                </c:pt>
                <c:pt idx="1">
                  <c:v>6.0635693129024588</c:v>
                </c:pt>
                <c:pt idx="2">
                  <c:v>6.0551704530576131</c:v>
                </c:pt>
                <c:pt idx="3">
                  <c:v>5.7157111017319409</c:v>
                </c:pt>
                <c:pt idx="4">
                  <c:v>4.7985438750560263</c:v>
                </c:pt>
                <c:pt idx="5">
                  <c:v>2.9808255360502329</c:v>
                </c:pt>
                <c:pt idx="6">
                  <c:v>2.9311807438003399</c:v>
                </c:pt>
                <c:pt idx="7">
                  <c:v>2.9093096332303503</c:v>
                </c:pt>
                <c:pt idx="8">
                  <c:v>2.9841391815935907</c:v>
                </c:pt>
                <c:pt idx="9">
                  <c:v>3.1966587652537299</c:v>
                </c:pt>
                <c:pt idx="10">
                  <c:v>2.8977411942901767</c:v>
                </c:pt>
                <c:pt idx="11">
                  <c:v>2.6699223236542764</c:v>
                </c:pt>
                <c:pt idx="12">
                  <c:v>-1.0965543495417904</c:v>
                </c:pt>
                <c:pt idx="13">
                  <c:v>-10.953400191597822</c:v>
                </c:pt>
                <c:pt idx="14">
                  <c:v>-4.8704580385287244</c:v>
                </c:pt>
                <c:pt idx="15">
                  <c:v>-4.1854633683910549</c:v>
                </c:pt>
                <c:pt idx="16">
                  <c:v>-1.8224490492609107</c:v>
                </c:pt>
                <c:pt idx="17">
                  <c:v>9.3633800591705949</c:v>
                </c:pt>
                <c:pt idx="18">
                  <c:v>3.4170911446025514</c:v>
                </c:pt>
                <c:pt idx="19">
                  <c:v>3.0307983564293011</c:v>
                </c:pt>
                <c:pt idx="20">
                  <c:v>4.0461035879015839</c:v>
                </c:pt>
                <c:pt idx="21">
                  <c:v>3.408966810641715</c:v>
                </c:pt>
                <c:pt idx="22">
                  <c:v>1.5248518351453981</c:v>
                </c:pt>
                <c:pt idx="23">
                  <c:v>0.96213654414856364</c:v>
                </c:pt>
              </c:numCache>
            </c:numRef>
          </c:val>
          <c:smooth val="0"/>
          <c:extLst>
            <c:ext xmlns:c16="http://schemas.microsoft.com/office/drawing/2014/chart" uri="{C3380CC4-5D6E-409C-BE32-E72D297353CC}">
              <c16:uniqueId val="{00000005-7558-4059-B296-8F5FB4207D7D}"/>
            </c:ext>
          </c:extLst>
        </c:ser>
        <c:dLbls>
          <c:showLegendKey val="0"/>
          <c:showVal val="0"/>
          <c:showCatName val="0"/>
          <c:showSerName val="0"/>
          <c:showPercent val="0"/>
          <c:showBubbleSize val="0"/>
        </c:dLbls>
        <c:marker val="1"/>
        <c:smooth val="0"/>
        <c:axId val="115446144"/>
        <c:axId val="115447680"/>
      </c:lineChart>
      <c:catAx>
        <c:axId val="11544614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447680"/>
        <c:crosses val="autoZero"/>
        <c:auto val="1"/>
        <c:lblAlgn val="ctr"/>
        <c:lblOffset val="100"/>
        <c:noMultiLvlLbl val="0"/>
      </c:catAx>
      <c:valAx>
        <c:axId val="115447680"/>
        <c:scaling>
          <c:orientation val="minMax"/>
          <c:max val="12"/>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446144"/>
        <c:crosses val="autoZero"/>
        <c:crossBetween val="between"/>
        <c:majorUnit val="4"/>
      </c:valAx>
      <c:spPr>
        <a:ln>
          <a:solidFill>
            <a:schemeClr val="tx1"/>
          </a:solidFill>
        </a:ln>
      </c:spPr>
    </c:plotArea>
    <c:legend>
      <c:legendPos val="b"/>
      <c:layout>
        <c:manualLayout>
          <c:xMode val="edge"/>
          <c:yMode val="edge"/>
          <c:x val="4.8782884397989404E-2"/>
          <c:y val="0.79016604750647301"/>
          <c:w val="0.92922619274506457"/>
          <c:h val="0.194624845209950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2" ma:contentTypeDescription="Vytvoří nový dokument" ma:contentTypeScope="" ma:versionID="eb01c1c0223ab0a1c9372071ddfa2e5f">
  <xsd:schema xmlns:xsd="http://www.w3.org/2001/XMLSchema" xmlns:xs="http://www.w3.org/2001/XMLSchema" xmlns:p="http://schemas.microsoft.com/office/2006/metadata/properties" xmlns:ns2="eabc42bd-08fe-4a27-9645-04f6ad96d74a" targetNamespace="http://schemas.microsoft.com/office/2006/metadata/properties" ma:root="true" ma:fieldsID="3d4f44d82d427914eb8ec1afbd279452" ns2:_="">
    <xsd:import namespace="eabc42bd-08fe-4a27-9645-04f6ad96d7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3B3C-E855-42D8-BDDB-5EB01D49CAB0}">
  <ds:schemaRefs>
    <ds:schemaRef ds:uri="http://schemas.openxmlformats.org/officeDocument/2006/bibliography"/>
  </ds:schemaRefs>
</ds:datastoreItem>
</file>

<file path=customXml/itemProps2.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3.xml><?xml version="1.0" encoding="utf-8"?>
<ds:datastoreItem xmlns:ds="http://schemas.openxmlformats.org/officeDocument/2006/customXml" ds:itemID="{0770C5A8-E1D4-45B9-A6FC-B1B245DA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4932FB-3B0E-493B-94B6-5B00B1C8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11</TotalTime>
  <Pages>6</Pages>
  <Words>2367</Words>
  <Characters>13966</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4</cp:revision>
  <cp:lastPrinted>2019-04-08T10:52:00Z</cp:lastPrinted>
  <dcterms:created xsi:type="dcterms:W3CDTF">2023-04-20T07:09:00Z</dcterms:created>
  <dcterms:modified xsi:type="dcterms:W3CDTF">2023-04-20T07:20:00Z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y fmtid="{D5CDD505-2E9C-101B-9397-08002B2CF9AE}" pid="3" name="MSIP_Label_29db9e61-aac5-4f6e-805d-ceb8cb9983a1_Enabled">
    <vt:lpwstr>true</vt:lpwstr>
  </property>
  <property fmtid="{D5CDD505-2E9C-101B-9397-08002B2CF9AE}" pid="4" name="MSIP_Label_29db9e61-aac5-4f6e-805d-ceb8cb9983a1_SetDate">
    <vt:lpwstr>2023-03-27T13:04:49Z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de2450ee-4915-4da0-b25a-4e858a474ced</vt:lpwstr>
  </property>
  <property fmtid="{D5CDD505-2E9C-101B-9397-08002B2CF9AE}" pid="9" name="MSIP_Label_29db9e61-aac5-4f6e-805d-ceb8cb9983a1_ContentBits">
    <vt:lpwstr>0</vt:lpwstr>
  </property>
</Properties>
</file>