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57" w:rsidRPr="00387724" w:rsidRDefault="006D1B57" w:rsidP="006D1B57">
      <w:pPr>
        <w:pStyle w:val="Nadpis2"/>
        <w:pageBreakBefore/>
        <w:tabs>
          <w:tab w:val="left" w:pos="360"/>
        </w:tabs>
        <w:spacing w:before="0" w:after="120" w:line="288" w:lineRule="auto"/>
        <w:jc w:val="both"/>
        <w:rPr>
          <w:i w:val="0"/>
          <w:iCs w:val="0"/>
          <w:color w:val="20959B"/>
          <w:sz w:val="22"/>
        </w:rPr>
      </w:pPr>
      <w:r w:rsidRPr="00387724">
        <w:rPr>
          <w:i w:val="0"/>
          <w:iCs w:val="0"/>
          <w:color w:val="20959B"/>
          <w:sz w:val="22"/>
        </w:rPr>
        <w:t>12.</w:t>
      </w:r>
      <w:r w:rsidRPr="00387724">
        <w:rPr>
          <w:i w:val="0"/>
          <w:iCs w:val="0"/>
          <w:color w:val="20959B"/>
          <w:sz w:val="22"/>
        </w:rPr>
        <w:tab/>
      </w:r>
      <w:proofErr w:type="spellStart"/>
      <w:r w:rsidRPr="00387724">
        <w:rPr>
          <w:i w:val="0"/>
          <w:iCs w:val="0"/>
          <w:color w:val="20959B"/>
          <w:sz w:val="22"/>
        </w:rPr>
        <w:t>Cloud</w:t>
      </w:r>
      <w:proofErr w:type="spellEnd"/>
      <w:r w:rsidRPr="00387724">
        <w:rPr>
          <w:i w:val="0"/>
          <w:iCs w:val="0"/>
          <w:color w:val="20959B"/>
          <w:sz w:val="22"/>
        </w:rPr>
        <w:t xml:space="preserve"> </w:t>
      </w:r>
      <w:proofErr w:type="spellStart"/>
      <w:r w:rsidRPr="00387724">
        <w:rPr>
          <w:i w:val="0"/>
          <w:iCs w:val="0"/>
          <w:color w:val="20959B"/>
          <w:sz w:val="22"/>
        </w:rPr>
        <w:t>computing</w:t>
      </w:r>
      <w:proofErr w:type="spellEnd"/>
    </w:p>
    <w:p w:rsidR="00FB2F7B" w:rsidRDefault="00D9145A" w:rsidP="00FB2F7B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proofErr w:type="spellStart"/>
      <w:r w:rsidRPr="00D9145A">
        <w:rPr>
          <w:rFonts w:ascii="Arial" w:hAnsi="Arial" w:cs="Arial"/>
          <w:b/>
          <w:bCs/>
          <w:sz w:val="20"/>
          <w:szCs w:val="20"/>
          <w:lang w:eastAsia="cs-CZ"/>
        </w:rPr>
        <w:t>Cloud</w:t>
      </w:r>
      <w:proofErr w:type="spellEnd"/>
      <w:r w:rsidRPr="00D9145A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D9145A">
        <w:rPr>
          <w:rFonts w:ascii="Arial" w:hAnsi="Arial" w:cs="Arial"/>
          <w:b/>
          <w:bCs/>
          <w:sz w:val="20"/>
          <w:szCs w:val="20"/>
          <w:lang w:eastAsia="cs-CZ"/>
        </w:rPr>
        <w:t>computing</w:t>
      </w:r>
      <w:proofErr w:type="spellEnd"/>
      <w:r w:rsidRPr="00D9145A">
        <w:rPr>
          <w:rFonts w:ascii="Arial" w:hAnsi="Arial" w:cs="Arial"/>
          <w:bCs/>
          <w:sz w:val="20"/>
          <w:szCs w:val="20"/>
          <w:lang w:eastAsia="cs-CZ"/>
        </w:rPr>
        <w:t xml:space="preserve"> je metoda přístupu k využití výpočetní techniky, která je založena na poskytování sdílených výpočetních prostředků a jejich využívání formou služby. Jedná se o poskytování/využívání programů a služeb uložených na serverech na internetu, kdy je přístup k nim umožněn například pomocí webového prohlížeče. Pokud je služba placená, neplatí uživatel za vlastní software, ale pouze za jeho využití.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FB2F7B" w:rsidRPr="00FB2F7B">
        <w:rPr>
          <w:rFonts w:ascii="Arial" w:hAnsi="Arial" w:cs="Arial"/>
          <w:bCs/>
          <w:sz w:val="20"/>
          <w:szCs w:val="20"/>
          <w:lang w:eastAsia="cs-CZ"/>
        </w:rPr>
        <w:t xml:space="preserve">Pro potřeby </w:t>
      </w:r>
      <w:r>
        <w:rPr>
          <w:rFonts w:ascii="Arial" w:hAnsi="Arial" w:cs="Arial"/>
          <w:bCs/>
          <w:sz w:val="20"/>
          <w:szCs w:val="20"/>
          <w:lang w:eastAsia="cs-CZ"/>
        </w:rPr>
        <w:t>šetření nebyly zahrnuty</w:t>
      </w:r>
      <w:r w:rsidR="00FB2F7B" w:rsidRPr="00FB2F7B">
        <w:rPr>
          <w:rFonts w:ascii="Arial" w:hAnsi="Arial" w:cs="Arial"/>
          <w:bCs/>
          <w:sz w:val="20"/>
          <w:szCs w:val="20"/>
          <w:lang w:eastAsia="cs-CZ"/>
        </w:rPr>
        <w:t xml:space="preserve"> neplacené služby </w:t>
      </w:r>
      <w:proofErr w:type="spellStart"/>
      <w:r w:rsidR="00FB2F7B" w:rsidRPr="00FB2F7B">
        <w:rPr>
          <w:rFonts w:ascii="Arial" w:hAnsi="Arial" w:cs="Arial"/>
          <w:bCs/>
          <w:sz w:val="20"/>
          <w:szCs w:val="20"/>
          <w:lang w:eastAsia="cs-CZ"/>
        </w:rPr>
        <w:t>Cloud</w:t>
      </w:r>
      <w:proofErr w:type="spellEnd"/>
      <w:r w:rsidR="00FB2F7B" w:rsidRPr="00FB2F7B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="00FB2F7B" w:rsidRPr="00FB2F7B">
        <w:rPr>
          <w:rFonts w:ascii="Arial" w:hAnsi="Arial" w:cs="Arial"/>
          <w:bCs/>
          <w:sz w:val="20"/>
          <w:szCs w:val="20"/>
          <w:lang w:eastAsia="cs-CZ"/>
        </w:rPr>
        <w:t>computingu</w:t>
      </w:r>
      <w:proofErr w:type="spellEnd"/>
      <w:r w:rsidR="00FB2F7B" w:rsidRPr="00FB2F7B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502A33" w:rsidRPr="00387724" w:rsidRDefault="00502A33" w:rsidP="005E6850">
      <w:pPr>
        <w:pStyle w:val="Nadpis1"/>
        <w:spacing w:before="120" w:after="40"/>
        <w:rPr>
          <w:color w:val="20959B"/>
          <w:sz w:val="20"/>
        </w:rPr>
      </w:pPr>
      <w:r w:rsidRPr="00387724">
        <w:rPr>
          <w:color w:val="20959B"/>
          <w:sz w:val="20"/>
        </w:rPr>
        <w:t>Hlavní zjištění</w:t>
      </w:r>
    </w:p>
    <w:p w:rsidR="0057292B" w:rsidRDefault="00502A33" w:rsidP="00502A3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lednu 2014 využívalo alespoň některou ze služeb </w:t>
      </w:r>
      <w:proofErr w:type="spellStart"/>
      <w:r>
        <w:rPr>
          <w:rFonts w:ascii="Arial" w:hAnsi="Arial" w:cs="Arial"/>
          <w:sz w:val="20"/>
        </w:rPr>
        <w:t>Cloud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computingu</w:t>
      </w:r>
      <w:proofErr w:type="spellEnd"/>
      <w:r w:rsidR="0057292B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>5 % podniků a lze konstatovat, že napříč velikostními kategoriemi podniků nezaznamenáváme v případě to</w:t>
      </w:r>
      <w:r w:rsidR="0057292B">
        <w:rPr>
          <w:rFonts w:ascii="Arial" w:hAnsi="Arial" w:cs="Arial"/>
          <w:sz w:val="20"/>
        </w:rPr>
        <w:t>hoto ukazatele výrazné rozdíly.</w:t>
      </w:r>
    </w:p>
    <w:p w:rsidR="00D67410" w:rsidRDefault="002449E6" w:rsidP="00502A33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 n</w:t>
      </w:r>
      <w:r w:rsidR="0057292B">
        <w:rPr>
          <w:rFonts w:ascii="Arial" w:hAnsi="Arial" w:cs="Arial"/>
          <w:sz w:val="20"/>
        </w:rPr>
        <w:t xml:space="preserve">ejčastěji využívanou placenou službou </w:t>
      </w:r>
      <w:proofErr w:type="spellStart"/>
      <w:r w:rsidR="0057292B">
        <w:rPr>
          <w:rFonts w:ascii="Arial" w:hAnsi="Arial" w:cs="Arial"/>
          <w:sz w:val="20"/>
        </w:rPr>
        <w:t>Cloud</w:t>
      </w:r>
      <w:proofErr w:type="spellEnd"/>
      <w:r w:rsidR="0057292B">
        <w:rPr>
          <w:rFonts w:ascii="Arial" w:hAnsi="Arial" w:cs="Arial"/>
          <w:sz w:val="20"/>
        </w:rPr>
        <w:t xml:space="preserve"> </w:t>
      </w:r>
      <w:proofErr w:type="spellStart"/>
      <w:r w:rsidR="0057292B">
        <w:rPr>
          <w:rFonts w:ascii="Arial" w:hAnsi="Arial" w:cs="Arial"/>
          <w:sz w:val="20"/>
        </w:rPr>
        <w:t>computingu</w:t>
      </w:r>
      <w:proofErr w:type="spellEnd"/>
      <w:r w:rsidR="0057292B">
        <w:rPr>
          <w:rFonts w:ascii="Arial" w:hAnsi="Arial" w:cs="Arial"/>
          <w:sz w:val="20"/>
        </w:rPr>
        <w:t>, byla v lednu 2014 služba e</w:t>
      </w:r>
      <w:r w:rsidR="0057292B">
        <w:rPr>
          <w:rFonts w:ascii="Arial" w:hAnsi="Arial" w:cs="Arial"/>
          <w:sz w:val="20"/>
        </w:rPr>
        <w:noBreakHyphen/>
        <w:t>mailu, tu využilo 12 %</w:t>
      </w:r>
      <w:r>
        <w:rPr>
          <w:rFonts w:ascii="Arial" w:hAnsi="Arial" w:cs="Arial"/>
          <w:sz w:val="20"/>
        </w:rPr>
        <w:t xml:space="preserve"> podniků s deseti a více zaměstnanci. </w:t>
      </w:r>
      <w:r w:rsidR="007772F1">
        <w:rPr>
          <w:rFonts w:ascii="Arial" w:hAnsi="Arial" w:cs="Arial"/>
          <w:sz w:val="20"/>
        </w:rPr>
        <w:t xml:space="preserve">Na druhém místě v intenzitě využívání ze strany podniků je </w:t>
      </w:r>
      <w:proofErr w:type="spellStart"/>
      <w:r w:rsidR="007772F1">
        <w:rPr>
          <w:rFonts w:ascii="Arial" w:hAnsi="Arial" w:cs="Arial"/>
          <w:sz w:val="20"/>
        </w:rPr>
        <w:t>cloudová</w:t>
      </w:r>
      <w:proofErr w:type="spellEnd"/>
      <w:r w:rsidR="007772F1">
        <w:rPr>
          <w:rFonts w:ascii="Arial" w:hAnsi="Arial" w:cs="Arial"/>
          <w:sz w:val="20"/>
        </w:rPr>
        <w:t xml:space="preserve"> služba skladování souborů, kterou v lednu 2014 využilo 6 % podniků. Následují služby jako je využití kancelářského softwaru (5,7 %), účetní aplikace (5,3 %) a uložení databází (5,2 %).</w:t>
      </w:r>
    </w:p>
    <w:p w:rsidR="00502A33" w:rsidRPr="005E6850" w:rsidRDefault="00D67410" w:rsidP="005E685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5E6850">
        <w:rPr>
          <w:rFonts w:ascii="Arial" w:hAnsi="Arial" w:cs="Arial"/>
          <w:sz w:val="20"/>
        </w:rPr>
        <w:t xml:space="preserve">Placené služby </w:t>
      </w:r>
      <w:proofErr w:type="spellStart"/>
      <w:r w:rsidRPr="005E6850">
        <w:rPr>
          <w:rFonts w:ascii="Arial" w:hAnsi="Arial" w:cs="Arial"/>
          <w:sz w:val="20"/>
        </w:rPr>
        <w:t>Cloud</w:t>
      </w:r>
      <w:proofErr w:type="spellEnd"/>
      <w:r w:rsidRPr="005E6850">
        <w:rPr>
          <w:rFonts w:ascii="Arial" w:hAnsi="Arial" w:cs="Arial"/>
          <w:sz w:val="20"/>
        </w:rPr>
        <w:t xml:space="preserve"> </w:t>
      </w:r>
      <w:proofErr w:type="spellStart"/>
      <w:r w:rsidRPr="005E6850">
        <w:rPr>
          <w:rFonts w:ascii="Arial" w:hAnsi="Arial" w:cs="Arial"/>
          <w:sz w:val="20"/>
        </w:rPr>
        <w:t>computingu</w:t>
      </w:r>
      <w:proofErr w:type="spellEnd"/>
      <w:r w:rsidRPr="005E6850">
        <w:rPr>
          <w:rFonts w:ascii="Arial" w:hAnsi="Arial" w:cs="Arial"/>
          <w:sz w:val="20"/>
        </w:rPr>
        <w:t xml:space="preserve"> je možné využívat buď na sdílených serverech poskytovatelů služeb, nebo na serverech poskytovatelů služeb, které jsou vyhrazeny přímo pro konkrétní firmu. Častěji využívanou možností jsou servery </w:t>
      </w:r>
      <w:proofErr w:type="gramStart"/>
      <w:r w:rsidRPr="005E6850">
        <w:rPr>
          <w:rFonts w:ascii="Arial" w:hAnsi="Arial" w:cs="Arial"/>
          <w:sz w:val="20"/>
        </w:rPr>
        <w:t>sdílené na</w:t>
      </w:r>
      <w:proofErr w:type="gramEnd"/>
      <w:r w:rsidRPr="005E6850">
        <w:rPr>
          <w:rFonts w:ascii="Arial" w:hAnsi="Arial" w:cs="Arial"/>
          <w:sz w:val="20"/>
        </w:rPr>
        <w:t xml:space="preserve"> nichž využilo některou z </w:t>
      </w:r>
      <w:proofErr w:type="spellStart"/>
      <w:r w:rsidRPr="005E6850">
        <w:rPr>
          <w:rFonts w:ascii="Arial" w:hAnsi="Arial" w:cs="Arial"/>
          <w:sz w:val="20"/>
        </w:rPr>
        <w:t>cloudových</w:t>
      </w:r>
      <w:proofErr w:type="spellEnd"/>
      <w:r w:rsidRPr="005E6850">
        <w:rPr>
          <w:rFonts w:ascii="Arial" w:hAnsi="Arial" w:cs="Arial"/>
          <w:sz w:val="20"/>
        </w:rPr>
        <w:t xml:space="preserve"> služeb 12 % podniků a na serverech vyhrazených výlučně pro konkrétní firmu pak využívá služeb </w:t>
      </w:r>
      <w:proofErr w:type="spellStart"/>
      <w:r w:rsidRPr="005E6850">
        <w:rPr>
          <w:rFonts w:ascii="Arial" w:hAnsi="Arial" w:cs="Arial"/>
          <w:sz w:val="20"/>
        </w:rPr>
        <w:t>Cloud</w:t>
      </w:r>
      <w:proofErr w:type="spellEnd"/>
      <w:r w:rsidRPr="005E6850">
        <w:rPr>
          <w:rFonts w:ascii="Arial" w:hAnsi="Arial" w:cs="Arial"/>
          <w:sz w:val="20"/>
        </w:rPr>
        <w:t xml:space="preserve"> </w:t>
      </w:r>
      <w:proofErr w:type="spellStart"/>
      <w:r w:rsidRPr="005E6850">
        <w:rPr>
          <w:rFonts w:ascii="Arial" w:hAnsi="Arial" w:cs="Arial"/>
          <w:sz w:val="20"/>
        </w:rPr>
        <w:t>computingu</w:t>
      </w:r>
      <w:proofErr w:type="spellEnd"/>
      <w:r w:rsidRPr="005E6850">
        <w:rPr>
          <w:rFonts w:ascii="Arial" w:hAnsi="Arial" w:cs="Arial"/>
          <w:sz w:val="20"/>
        </w:rPr>
        <w:t xml:space="preserve"> 6 % podniků.</w:t>
      </w:r>
      <w:r w:rsidR="00502A33" w:rsidRPr="005E6850">
        <w:rPr>
          <w:rFonts w:ascii="Arial" w:hAnsi="Arial" w:cs="Arial"/>
          <w:sz w:val="20"/>
        </w:rPr>
        <w:t xml:space="preserve"> </w:t>
      </w:r>
    </w:p>
    <w:p w:rsidR="00820FA7" w:rsidRDefault="00820FA7" w:rsidP="00B746FA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</w:t>
      </w:r>
      <w:r w:rsidRPr="00820FA7">
        <w:rPr>
          <w:rFonts w:ascii="Arial" w:hAnsi="Arial" w:cs="Arial"/>
          <w:b/>
          <w:sz w:val="20"/>
        </w:rPr>
        <w:t xml:space="preserve">ab. 12.1: Podniky* využívající placených služeb </w:t>
      </w:r>
      <w:proofErr w:type="spellStart"/>
      <w:r w:rsidRPr="00820FA7">
        <w:rPr>
          <w:rFonts w:ascii="Arial" w:hAnsi="Arial" w:cs="Arial"/>
          <w:b/>
          <w:sz w:val="20"/>
        </w:rPr>
        <w:t>Cloud</w:t>
      </w:r>
      <w:proofErr w:type="spellEnd"/>
      <w:r w:rsidRPr="00820FA7">
        <w:rPr>
          <w:rFonts w:ascii="Arial" w:hAnsi="Arial" w:cs="Arial"/>
          <w:b/>
          <w:sz w:val="20"/>
        </w:rPr>
        <w:t xml:space="preserve"> </w:t>
      </w:r>
      <w:proofErr w:type="spellStart"/>
      <w:r w:rsidRPr="00820FA7">
        <w:rPr>
          <w:rFonts w:ascii="Arial" w:hAnsi="Arial" w:cs="Arial"/>
          <w:b/>
          <w:sz w:val="20"/>
        </w:rPr>
        <w:t>computingu</w:t>
      </w:r>
      <w:proofErr w:type="spellEnd"/>
      <w:r w:rsidRPr="00820FA7">
        <w:rPr>
          <w:rFonts w:ascii="Arial" w:hAnsi="Arial" w:cs="Arial"/>
          <w:b/>
          <w:sz w:val="20"/>
        </w:rPr>
        <w:t>, leden 2014</w:t>
      </w:r>
    </w:p>
    <w:tbl>
      <w:tblPr>
        <w:tblW w:w="91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48"/>
        <w:gridCol w:w="878"/>
        <w:gridCol w:w="878"/>
        <w:gridCol w:w="940"/>
        <w:gridCol w:w="919"/>
        <w:gridCol w:w="919"/>
        <w:gridCol w:w="919"/>
        <w:gridCol w:w="919"/>
      </w:tblGrid>
      <w:tr w:rsidR="00820FA7" w:rsidRPr="00820FA7" w:rsidTr="00820FA7">
        <w:trPr>
          <w:trHeight w:val="345"/>
        </w:trPr>
        <w:tc>
          <w:tcPr>
            <w:tcW w:w="274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5494" w:type="dxa"/>
            <w:gridSpan w:val="6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podle typu využité služby</w:t>
            </w:r>
          </w:p>
        </w:tc>
      </w:tr>
      <w:tr w:rsidR="00820FA7" w:rsidRPr="00820FA7" w:rsidTr="00820FA7">
        <w:trPr>
          <w:trHeight w:val="555"/>
        </w:trPr>
        <w:tc>
          <w:tcPr>
            <w:tcW w:w="274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87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e-mail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kancelářský software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uložení databází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skladování souborů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účetní aplikace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CRM aplikace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Podniky celkem (10+)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15,2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12,0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5,7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5,2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6,3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5,3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 xml:space="preserve">2,7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Velikost podniku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10–49 zaměstnanců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14,7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5,5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2,6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50–249 zaměstnanců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12,5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4,6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5,6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6,5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2,9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250 a více zaměstnanců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19,4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12,9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5,9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9,4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4,2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4,5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cs-CZ"/>
              </w:rPr>
              <w:t>Odvětví (ekonomická činnost)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Zpracovatelský průmysl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5,2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3,5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1,2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Výroba a rozvod energie, plynu, tepla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6,6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4,4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4,9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2,1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Stavebnictví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4,6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5,4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5,6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2,1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Obchod; opravy motorových vozidel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18,1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6,8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7,0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8,2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4,3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Doprava a skladování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14,2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12,4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6,8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0,8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Ubytování, stravování a pohostinství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4,2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1,8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3,7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2,5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Informační a komunikační činnosti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35,8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23,2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15,0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22,1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8,8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12,7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Peněžnictví a pojišťovnictví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21,5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12,3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9,9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10,8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6,3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Činnosti v oblasti nemovitostí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11,7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1,1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1,7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Profesní, vědecké a technické </w:t>
            </w:r>
            <w:proofErr w:type="spellStart"/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činn</w:t>
            </w:r>
            <w:proofErr w:type="spellEnd"/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16,3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13,1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5,5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5,9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8,3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2,5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3,2 </w:t>
            </w:r>
          </w:p>
        </w:tc>
      </w:tr>
      <w:tr w:rsidR="00820FA7" w:rsidRPr="00820FA7" w:rsidTr="00820FA7">
        <w:trPr>
          <w:trHeight w:val="255"/>
        </w:trPr>
        <w:tc>
          <w:tcPr>
            <w:tcW w:w="274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  Administrativní a podpůrné činnosti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12,3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10,6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4,7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6,9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6,6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5,7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20FA7" w:rsidRPr="00820FA7" w:rsidRDefault="00820FA7" w:rsidP="00820F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820FA7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 xml:space="preserve">1,9 </w:t>
            </w:r>
          </w:p>
        </w:tc>
      </w:tr>
    </w:tbl>
    <w:p w:rsidR="00820FA7" w:rsidRPr="00125F1E" w:rsidRDefault="001A3048" w:rsidP="00B746FA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1A3048">
        <w:rPr>
          <w:rFonts w:ascii="Arial" w:hAnsi="Arial" w:cs="Arial"/>
          <w:b/>
          <w:sz w:val="20"/>
        </w:rPr>
        <w:t xml:space="preserve">Graf 12.1: Podniky* využívající </w:t>
      </w:r>
      <w:proofErr w:type="spellStart"/>
      <w:r w:rsidRPr="001A3048">
        <w:rPr>
          <w:rFonts w:ascii="Arial" w:hAnsi="Arial" w:cs="Arial"/>
          <w:b/>
          <w:sz w:val="20"/>
        </w:rPr>
        <w:t>Cloud</w:t>
      </w:r>
      <w:proofErr w:type="spellEnd"/>
      <w:r w:rsidRPr="001A3048">
        <w:rPr>
          <w:rFonts w:ascii="Arial" w:hAnsi="Arial" w:cs="Arial"/>
          <w:b/>
          <w:sz w:val="20"/>
        </w:rPr>
        <w:t xml:space="preserve"> </w:t>
      </w:r>
      <w:proofErr w:type="spellStart"/>
      <w:r w:rsidRPr="001A3048">
        <w:rPr>
          <w:rFonts w:ascii="Arial" w:hAnsi="Arial" w:cs="Arial"/>
          <w:b/>
          <w:sz w:val="20"/>
        </w:rPr>
        <w:t>computing</w:t>
      </w:r>
      <w:proofErr w:type="spellEnd"/>
      <w:r w:rsidRPr="001A3048">
        <w:rPr>
          <w:rFonts w:ascii="Arial" w:hAnsi="Arial" w:cs="Arial"/>
          <w:b/>
          <w:sz w:val="20"/>
        </w:rPr>
        <w:t xml:space="preserve"> podle typu využívaného serveru, leden 2014</w:t>
      </w:r>
    </w:p>
    <w:p w:rsidR="00820FA7" w:rsidRPr="00125F1E" w:rsidRDefault="000B6FA1" w:rsidP="00820FA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5974715" cy="1127760"/>
            <wp:effectExtent l="19050" t="0" r="698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FA7" w:rsidRPr="00125F1E" w:rsidRDefault="00820FA7" w:rsidP="00820FA7">
      <w:pPr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820FA7" w:rsidRPr="00820FA7" w:rsidRDefault="00820FA7" w:rsidP="00ED2823">
      <w:pPr>
        <w:autoSpaceDE w:val="0"/>
        <w:autoSpaceDN w:val="0"/>
        <w:adjustRightInd w:val="0"/>
        <w:spacing w:after="0" w:line="288" w:lineRule="auto"/>
        <w:jc w:val="both"/>
        <w:rPr>
          <w:lang w:eastAsia="cs-CZ"/>
        </w:rPr>
      </w:pPr>
      <w:r w:rsidRPr="00125F1E">
        <w:rPr>
          <w:rFonts w:ascii="Arial" w:hAnsi="Arial" w:cs="Arial"/>
          <w:i/>
          <w:sz w:val="18"/>
          <w:szCs w:val="18"/>
        </w:rPr>
        <w:t>Zd</w:t>
      </w:r>
      <w:r>
        <w:rPr>
          <w:rFonts w:ascii="Arial" w:hAnsi="Arial" w:cs="Arial"/>
          <w:i/>
          <w:sz w:val="18"/>
          <w:szCs w:val="18"/>
        </w:rPr>
        <w:t>roj: Český statistický úřad 2014</w:t>
      </w:r>
    </w:p>
    <w:sectPr w:rsidR="00820FA7" w:rsidRPr="00820FA7" w:rsidSect="003844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97" w:rsidRDefault="00F63997">
      <w:pPr>
        <w:spacing w:after="0" w:line="240" w:lineRule="auto"/>
      </w:pPr>
      <w:r>
        <w:separator/>
      </w:r>
    </w:p>
  </w:endnote>
  <w:endnote w:type="continuationSeparator" w:id="0">
    <w:p w:rsidR="00F63997" w:rsidRDefault="00F6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97" w:rsidRDefault="00F63997">
      <w:pPr>
        <w:spacing w:after="0" w:line="240" w:lineRule="auto"/>
      </w:pPr>
      <w:r>
        <w:separator/>
      </w:r>
    </w:p>
  </w:footnote>
  <w:footnote w:type="continuationSeparator" w:id="0">
    <w:p w:rsidR="00F63997" w:rsidRDefault="00F6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46"/>
    <w:multiLevelType w:val="hybridMultilevel"/>
    <w:tmpl w:val="A802E264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2FCD"/>
    <w:multiLevelType w:val="hybridMultilevel"/>
    <w:tmpl w:val="09100D6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D272A"/>
    <w:multiLevelType w:val="hybridMultilevel"/>
    <w:tmpl w:val="4A785616"/>
    <w:lvl w:ilvl="0" w:tplc="B38EC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469"/>
    <w:multiLevelType w:val="hybridMultilevel"/>
    <w:tmpl w:val="274839EC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B5362C"/>
    <w:multiLevelType w:val="hybridMultilevel"/>
    <w:tmpl w:val="E320DCE8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3C7"/>
    <w:multiLevelType w:val="hybridMultilevel"/>
    <w:tmpl w:val="4F26CEB0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54C5"/>
    <w:multiLevelType w:val="multi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22E1F"/>
    <w:multiLevelType w:val="hybridMultilevel"/>
    <w:tmpl w:val="44E0CF92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49"/>
    <w:rsid w:val="00001879"/>
    <w:rsid w:val="00004080"/>
    <w:rsid w:val="00004FB9"/>
    <w:rsid w:val="00005320"/>
    <w:rsid w:val="000062E4"/>
    <w:rsid w:val="00007A94"/>
    <w:rsid w:val="00007BFC"/>
    <w:rsid w:val="00013D7D"/>
    <w:rsid w:val="0002344F"/>
    <w:rsid w:val="000340C1"/>
    <w:rsid w:val="00037E6F"/>
    <w:rsid w:val="000644EE"/>
    <w:rsid w:val="00065CAF"/>
    <w:rsid w:val="00066645"/>
    <w:rsid w:val="000759B9"/>
    <w:rsid w:val="000761EF"/>
    <w:rsid w:val="00077014"/>
    <w:rsid w:val="00083303"/>
    <w:rsid w:val="00092E07"/>
    <w:rsid w:val="00093127"/>
    <w:rsid w:val="000A4916"/>
    <w:rsid w:val="000A51A4"/>
    <w:rsid w:val="000B1ECC"/>
    <w:rsid w:val="000B6FA1"/>
    <w:rsid w:val="000C3DD0"/>
    <w:rsid w:val="000D0603"/>
    <w:rsid w:val="000D5499"/>
    <w:rsid w:val="000D62E5"/>
    <w:rsid w:val="000D75EA"/>
    <w:rsid w:val="000D7B7E"/>
    <w:rsid w:val="000D7C74"/>
    <w:rsid w:val="000E677D"/>
    <w:rsid w:val="000E7CDE"/>
    <w:rsid w:val="000F010A"/>
    <w:rsid w:val="000F1503"/>
    <w:rsid w:val="000F5AD9"/>
    <w:rsid w:val="000F710E"/>
    <w:rsid w:val="00107196"/>
    <w:rsid w:val="00125F1E"/>
    <w:rsid w:val="001277E7"/>
    <w:rsid w:val="00135AF6"/>
    <w:rsid w:val="0013741A"/>
    <w:rsid w:val="00142020"/>
    <w:rsid w:val="001432DC"/>
    <w:rsid w:val="00150A1B"/>
    <w:rsid w:val="001541B4"/>
    <w:rsid w:val="001572C3"/>
    <w:rsid w:val="001649E8"/>
    <w:rsid w:val="0016628D"/>
    <w:rsid w:val="00166771"/>
    <w:rsid w:val="00172481"/>
    <w:rsid w:val="00173432"/>
    <w:rsid w:val="00173F2C"/>
    <w:rsid w:val="00174898"/>
    <w:rsid w:val="00180175"/>
    <w:rsid w:val="00182165"/>
    <w:rsid w:val="00186FCC"/>
    <w:rsid w:val="00187721"/>
    <w:rsid w:val="00192152"/>
    <w:rsid w:val="00192D81"/>
    <w:rsid w:val="001A0584"/>
    <w:rsid w:val="001A1B75"/>
    <w:rsid w:val="001A2F58"/>
    <w:rsid w:val="001A3048"/>
    <w:rsid w:val="001C489B"/>
    <w:rsid w:val="001C6620"/>
    <w:rsid w:val="001D61FD"/>
    <w:rsid w:val="001D6C07"/>
    <w:rsid w:val="001D71B2"/>
    <w:rsid w:val="001D79CB"/>
    <w:rsid w:val="001E7D63"/>
    <w:rsid w:val="001F199F"/>
    <w:rsid w:val="001F21FA"/>
    <w:rsid w:val="00200DD3"/>
    <w:rsid w:val="0020380F"/>
    <w:rsid w:val="00207EB3"/>
    <w:rsid w:val="00214C71"/>
    <w:rsid w:val="00214F10"/>
    <w:rsid w:val="002240B1"/>
    <w:rsid w:val="00225961"/>
    <w:rsid w:val="00231BF6"/>
    <w:rsid w:val="00233778"/>
    <w:rsid w:val="00233B09"/>
    <w:rsid w:val="00236C72"/>
    <w:rsid w:val="00237F96"/>
    <w:rsid w:val="00240313"/>
    <w:rsid w:val="0024233C"/>
    <w:rsid w:val="002426D8"/>
    <w:rsid w:val="00242A56"/>
    <w:rsid w:val="002432C6"/>
    <w:rsid w:val="002449E6"/>
    <w:rsid w:val="00245EE5"/>
    <w:rsid w:val="00255CBB"/>
    <w:rsid w:val="0026455B"/>
    <w:rsid w:val="00271F1C"/>
    <w:rsid w:val="002751D6"/>
    <w:rsid w:val="00280175"/>
    <w:rsid w:val="0028279E"/>
    <w:rsid w:val="00282F4B"/>
    <w:rsid w:val="00286AB1"/>
    <w:rsid w:val="00290132"/>
    <w:rsid w:val="00291884"/>
    <w:rsid w:val="0029240C"/>
    <w:rsid w:val="002A10B5"/>
    <w:rsid w:val="002A6238"/>
    <w:rsid w:val="002B5BFA"/>
    <w:rsid w:val="002C34F2"/>
    <w:rsid w:val="002C40E8"/>
    <w:rsid w:val="002C672D"/>
    <w:rsid w:val="002D0139"/>
    <w:rsid w:val="002D1949"/>
    <w:rsid w:val="002D46AB"/>
    <w:rsid w:val="002D4DF6"/>
    <w:rsid w:val="002E4903"/>
    <w:rsid w:val="002F279C"/>
    <w:rsid w:val="00303066"/>
    <w:rsid w:val="00305325"/>
    <w:rsid w:val="00306867"/>
    <w:rsid w:val="003109B0"/>
    <w:rsid w:val="00321749"/>
    <w:rsid w:val="003220AF"/>
    <w:rsid w:val="0032469F"/>
    <w:rsid w:val="00327D3F"/>
    <w:rsid w:val="00330E31"/>
    <w:rsid w:val="00331307"/>
    <w:rsid w:val="0033263A"/>
    <w:rsid w:val="00337B5A"/>
    <w:rsid w:val="00342B5C"/>
    <w:rsid w:val="00345B42"/>
    <w:rsid w:val="00362450"/>
    <w:rsid w:val="00363940"/>
    <w:rsid w:val="00371F53"/>
    <w:rsid w:val="00372E6E"/>
    <w:rsid w:val="0037319F"/>
    <w:rsid w:val="00374745"/>
    <w:rsid w:val="003756D3"/>
    <w:rsid w:val="00377D78"/>
    <w:rsid w:val="00377DE6"/>
    <w:rsid w:val="0038401C"/>
    <w:rsid w:val="003844C1"/>
    <w:rsid w:val="00386E3B"/>
    <w:rsid w:val="00387724"/>
    <w:rsid w:val="003A04D0"/>
    <w:rsid w:val="003A08AA"/>
    <w:rsid w:val="003A3C01"/>
    <w:rsid w:val="003A5D2D"/>
    <w:rsid w:val="003A6EE7"/>
    <w:rsid w:val="003B2772"/>
    <w:rsid w:val="003B4253"/>
    <w:rsid w:val="003B6889"/>
    <w:rsid w:val="003C65C5"/>
    <w:rsid w:val="003E1C5E"/>
    <w:rsid w:val="003E659D"/>
    <w:rsid w:val="003F6AEE"/>
    <w:rsid w:val="004046D0"/>
    <w:rsid w:val="00407294"/>
    <w:rsid w:val="004100AD"/>
    <w:rsid w:val="0041703A"/>
    <w:rsid w:val="004170A3"/>
    <w:rsid w:val="00420B0A"/>
    <w:rsid w:val="00421731"/>
    <w:rsid w:val="00421F18"/>
    <w:rsid w:val="004346ED"/>
    <w:rsid w:val="0043481A"/>
    <w:rsid w:val="004434DB"/>
    <w:rsid w:val="004508FE"/>
    <w:rsid w:val="00451EDC"/>
    <w:rsid w:val="00453FF9"/>
    <w:rsid w:val="004551B6"/>
    <w:rsid w:val="00461FCC"/>
    <w:rsid w:val="004641B4"/>
    <w:rsid w:val="0046438D"/>
    <w:rsid w:val="00464E34"/>
    <w:rsid w:val="0046680F"/>
    <w:rsid w:val="004675A5"/>
    <w:rsid w:val="004677D0"/>
    <w:rsid w:val="004716B2"/>
    <w:rsid w:val="00474C00"/>
    <w:rsid w:val="00476A91"/>
    <w:rsid w:val="00486805"/>
    <w:rsid w:val="00492518"/>
    <w:rsid w:val="00496DA2"/>
    <w:rsid w:val="004A0277"/>
    <w:rsid w:val="004A0865"/>
    <w:rsid w:val="004A6B35"/>
    <w:rsid w:val="004C09FF"/>
    <w:rsid w:val="004C2149"/>
    <w:rsid w:val="004C7591"/>
    <w:rsid w:val="004D2851"/>
    <w:rsid w:val="004D2E7C"/>
    <w:rsid w:val="004D5E87"/>
    <w:rsid w:val="004E0599"/>
    <w:rsid w:val="004E2036"/>
    <w:rsid w:val="004E4831"/>
    <w:rsid w:val="004F106C"/>
    <w:rsid w:val="004F3088"/>
    <w:rsid w:val="00502A33"/>
    <w:rsid w:val="00504308"/>
    <w:rsid w:val="00505009"/>
    <w:rsid w:val="0050537C"/>
    <w:rsid w:val="005140F7"/>
    <w:rsid w:val="00520354"/>
    <w:rsid w:val="00523A19"/>
    <w:rsid w:val="0052453E"/>
    <w:rsid w:val="00551192"/>
    <w:rsid w:val="00554191"/>
    <w:rsid w:val="005574F3"/>
    <w:rsid w:val="005635E6"/>
    <w:rsid w:val="0057292B"/>
    <w:rsid w:val="0057695A"/>
    <w:rsid w:val="00583458"/>
    <w:rsid w:val="00585A4D"/>
    <w:rsid w:val="00592DD2"/>
    <w:rsid w:val="00597EC2"/>
    <w:rsid w:val="005A358B"/>
    <w:rsid w:val="005B0ECF"/>
    <w:rsid w:val="005B134C"/>
    <w:rsid w:val="005B3CD1"/>
    <w:rsid w:val="005B60DB"/>
    <w:rsid w:val="005B7084"/>
    <w:rsid w:val="005D3BFC"/>
    <w:rsid w:val="005D73AE"/>
    <w:rsid w:val="005E41AD"/>
    <w:rsid w:val="005E5BFF"/>
    <w:rsid w:val="005E6850"/>
    <w:rsid w:val="00607AD0"/>
    <w:rsid w:val="00614EA0"/>
    <w:rsid w:val="006243A0"/>
    <w:rsid w:val="00626003"/>
    <w:rsid w:val="00626D01"/>
    <w:rsid w:val="00632F61"/>
    <w:rsid w:val="00634D6A"/>
    <w:rsid w:val="00637C7A"/>
    <w:rsid w:val="00645195"/>
    <w:rsid w:val="00681A48"/>
    <w:rsid w:val="006A1E9B"/>
    <w:rsid w:val="006A640F"/>
    <w:rsid w:val="006B16E0"/>
    <w:rsid w:val="006B6701"/>
    <w:rsid w:val="006C6184"/>
    <w:rsid w:val="006D0023"/>
    <w:rsid w:val="006D1B57"/>
    <w:rsid w:val="006E51F5"/>
    <w:rsid w:val="006F11E9"/>
    <w:rsid w:val="006F13BC"/>
    <w:rsid w:val="006F55C9"/>
    <w:rsid w:val="00702E7F"/>
    <w:rsid w:val="00703FB6"/>
    <w:rsid w:val="00711ABB"/>
    <w:rsid w:val="007138C0"/>
    <w:rsid w:val="00722667"/>
    <w:rsid w:val="00722D32"/>
    <w:rsid w:val="00723A46"/>
    <w:rsid w:val="00736DD0"/>
    <w:rsid w:val="00744A86"/>
    <w:rsid w:val="0074726C"/>
    <w:rsid w:val="00747A00"/>
    <w:rsid w:val="007512CC"/>
    <w:rsid w:val="00751A9C"/>
    <w:rsid w:val="00752503"/>
    <w:rsid w:val="00756056"/>
    <w:rsid w:val="007635A8"/>
    <w:rsid w:val="00766766"/>
    <w:rsid w:val="007772F1"/>
    <w:rsid w:val="00782A03"/>
    <w:rsid w:val="00784141"/>
    <w:rsid w:val="00797BD8"/>
    <w:rsid w:val="00797FE9"/>
    <w:rsid w:val="007A2B29"/>
    <w:rsid w:val="007B2586"/>
    <w:rsid w:val="007B3149"/>
    <w:rsid w:val="007B3505"/>
    <w:rsid w:val="007B55A6"/>
    <w:rsid w:val="007B7A3E"/>
    <w:rsid w:val="007C4A7D"/>
    <w:rsid w:val="007C5228"/>
    <w:rsid w:val="007D0CD1"/>
    <w:rsid w:val="007E33DD"/>
    <w:rsid w:val="007E3D7D"/>
    <w:rsid w:val="007F0AB8"/>
    <w:rsid w:val="007F488E"/>
    <w:rsid w:val="00801581"/>
    <w:rsid w:val="00805B7A"/>
    <w:rsid w:val="00810ECF"/>
    <w:rsid w:val="008110FC"/>
    <w:rsid w:val="00820665"/>
    <w:rsid w:val="00820FA7"/>
    <w:rsid w:val="0082424B"/>
    <w:rsid w:val="00841CB5"/>
    <w:rsid w:val="00852D36"/>
    <w:rsid w:val="00853469"/>
    <w:rsid w:val="00853980"/>
    <w:rsid w:val="0088011D"/>
    <w:rsid w:val="00880ECF"/>
    <w:rsid w:val="00883AF5"/>
    <w:rsid w:val="00887BD6"/>
    <w:rsid w:val="0089296A"/>
    <w:rsid w:val="0089459C"/>
    <w:rsid w:val="008A0EE9"/>
    <w:rsid w:val="008A1DB2"/>
    <w:rsid w:val="008A2700"/>
    <w:rsid w:val="008A7AA2"/>
    <w:rsid w:val="008C4B50"/>
    <w:rsid w:val="008C5402"/>
    <w:rsid w:val="008C6739"/>
    <w:rsid w:val="008D3A57"/>
    <w:rsid w:val="008D7429"/>
    <w:rsid w:val="008D799C"/>
    <w:rsid w:val="008E102C"/>
    <w:rsid w:val="008E7394"/>
    <w:rsid w:val="008F3E55"/>
    <w:rsid w:val="008F4610"/>
    <w:rsid w:val="008F7467"/>
    <w:rsid w:val="00903838"/>
    <w:rsid w:val="00911604"/>
    <w:rsid w:val="009132AC"/>
    <w:rsid w:val="00916486"/>
    <w:rsid w:val="0092098D"/>
    <w:rsid w:val="00921C33"/>
    <w:rsid w:val="00923CEF"/>
    <w:rsid w:val="00933C51"/>
    <w:rsid w:val="009366B7"/>
    <w:rsid w:val="009379DE"/>
    <w:rsid w:val="00946D0D"/>
    <w:rsid w:val="00951052"/>
    <w:rsid w:val="0096489A"/>
    <w:rsid w:val="009652E7"/>
    <w:rsid w:val="009671E8"/>
    <w:rsid w:val="00972661"/>
    <w:rsid w:val="00974FBE"/>
    <w:rsid w:val="00976C3E"/>
    <w:rsid w:val="009809EA"/>
    <w:rsid w:val="00983072"/>
    <w:rsid w:val="00984F09"/>
    <w:rsid w:val="00991FB1"/>
    <w:rsid w:val="009A06E4"/>
    <w:rsid w:val="009A2275"/>
    <w:rsid w:val="009B0371"/>
    <w:rsid w:val="009B5DD5"/>
    <w:rsid w:val="009D01C7"/>
    <w:rsid w:val="009D2FE3"/>
    <w:rsid w:val="009E0359"/>
    <w:rsid w:val="009E091F"/>
    <w:rsid w:val="009E152F"/>
    <w:rsid w:val="009E1E51"/>
    <w:rsid w:val="009F325A"/>
    <w:rsid w:val="009F438C"/>
    <w:rsid w:val="009F7500"/>
    <w:rsid w:val="00A02AAF"/>
    <w:rsid w:val="00A03816"/>
    <w:rsid w:val="00A07554"/>
    <w:rsid w:val="00A10CE4"/>
    <w:rsid w:val="00A118E6"/>
    <w:rsid w:val="00A11CF8"/>
    <w:rsid w:val="00A17B4F"/>
    <w:rsid w:val="00A262B8"/>
    <w:rsid w:val="00A32A3B"/>
    <w:rsid w:val="00A46920"/>
    <w:rsid w:val="00A5704C"/>
    <w:rsid w:val="00A60CDC"/>
    <w:rsid w:val="00A65B6F"/>
    <w:rsid w:val="00A66D15"/>
    <w:rsid w:val="00A71241"/>
    <w:rsid w:val="00A74E8A"/>
    <w:rsid w:val="00A77BF8"/>
    <w:rsid w:val="00A9146A"/>
    <w:rsid w:val="00A922EB"/>
    <w:rsid w:val="00AA37E9"/>
    <w:rsid w:val="00AB05C0"/>
    <w:rsid w:val="00AB2077"/>
    <w:rsid w:val="00AB2F95"/>
    <w:rsid w:val="00AB30B8"/>
    <w:rsid w:val="00AB47BB"/>
    <w:rsid w:val="00AB7783"/>
    <w:rsid w:val="00AB7A31"/>
    <w:rsid w:val="00AC4228"/>
    <w:rsid w:val="00AC59C4"/>
    <w:rsid w:val="00AC6023"/>
    <w:rsid w:val="00AD0888"/>
    <w:rsid w:val="00AE10DB"/>
    <w:rsid w:val="00AE19B1"/>
    <w:rsid w:val="00AE2962"/>
    <w:rsid w:val="00B077D8"/>
    <w:rsid w:val="00B10811"/>
    <w:rsid w:val="00B11835"/>
    <w:rsid w:val="00B118DD"/>
    <w:rsid w:val="00B138B4"/>
    <w:rsid w:val="00B14EE7"/>
    <w:rsid w:val="00B151BD"/>
    <w:rsid w:val="00B35ABD"/>
    <w:rsid w:val="00B40212"/>
    <w:rsid w:val="00B411F6"/>
    <w:rsid w:val="00B51013"/>
    <w:rsid w:val="00B512FB"/>
    <w:rsid w:val="00B521E0"/>
    <w:rsid w:val="00B54157"/>
    <w:rsid w:val="00B56AE2"/>
    <w:rsid w:val="00B671B5"/>
    <w:rsid w:val="00B70193"/>
    <w:rsid w:val="00B746FA"/>
    <w:rsid w:val="00B75F0D"/>
    <w:rsid w:val="00B76E5C"/>
    <w:rsid w:val="00B86109"/>
    <w:rsid w:val="00BA2170"/>
    <w:rsid w:val="00BA2A4A"/>
    <w:rsid w:val="00BA45AE"/>
    <w:rsid w:val="00BB0BD0"/>
    <w:rsid w:val="00BB1B37"/>
    <w:rsid w:val="00BB7136"/>
    <w:rsid w:val="00BC58DB"/>
    <w:rsid w:val="00BC79BF"/>
    <w:rsid w:val="00BD548A"/>
    <w:rsid w:val="00BE335E"/>
    <w:rsid w:val="00BE5630"/>
    <w:rsid w:val="00C048AE"/>
    <w:rsid w:val="00C06099"/>
    <w:rsid w:val="00C22D76"/>
    <w:rsid w:val="00C234C1"/>
    <w:rsid w:val="00C23832"/>
    <w:rsid w:val="00C24ADE"/>
    <w:rsid w:val="00C25E2F"/>
    <w:rsid w:val="00C26B3C"/>
    <w:rsid w:val="00C32F10"/>
    <w:rsid w:val="00C43811"/>
    <w:rsid w:val="00C508B8"/>
    <w:rsid w:val="00C5187C"/>
    <w:rsid w:val="00C54F40"/>
    <w:rsid w:val="00C56607"/>
    <w:rsid w:val="00C57C09"/>
    <w:rsid w:val="00C642F8"/>
    <w:rsid w:val="00C67B70"/>
    <w:rsid w:val="00C70577"/>
    <w:rsid w:val="00C71258"/>
    <w:rsid w:val="00C824E5"/>
    <w:rsid w:val="00C86413"/>
    <w:rsid w:val="00CA2A1F"/>
    <w:rsid w:val="00CA6AAE"/>
    <w:rsid w:val="00CB1C80"/>
    <w:rsid w:val="00CC27FB"/>
    <w:rsid w:val="00CC5598"/>
    <w:rsid w:val="00CC6877"/>
    <w:rsid w:val="00CD1D68"/>
    <w:rsid w:val="00CD6046"/>
    <w:rsid w:val="00CD7952"/>
    <w:rsid w:val="00CD7E72"/>
    <w:rsid w:val="00CF24E8"/>
    <w:rsid w:val="00D03B65"/>
    <w:rsid w:val="00D05CF4"/>
    <w:rsid w:val="00D13055"/>
    <w:rsid w:val="00D15591"/>
    <w:rsid w:val="00D2026F"/>
    <w:rsid w:val="00D20619"/>
    <w:rsid w:val="00D21DAA"/>
    <w:rsid w:val="00D220BA"/>
    <w:rsid w:val="00D2398D"/>
    <w:rsid w:val="00D30B02"/>
    <w:rsid w:val="00D30B71"/>
    <w:rsid w:val="00D411C4"/>
    <w:rsid w:val="00D41D68"/>
    <w:rsid w:val="00D41D89"/>
    <w:rsid w:val="00D432A3"/>
    <w:rsid w:val="00D44A61"/>
    <w:rsid w:val="00D479D3"/>
    <w:rsid w:val="00D51846"/>
    <w:rsid w:val="00D62D0F"/>
    <w:rsid w:val="00D67410"/>
    <w:rsid w:val="00D70E5D"/>
    <w:rsid w:val="00D77407"/>
    <w:rsid w:val="00D849E3"/>
    <w:rsid w:val="00D85539"/>
    <w:rsid w:val="00D87AF5"/>
    <w:rsid w:val="00D9145A"/>
    <w:rsid w:val="00DB207E"/>
    <w:rsid w:val="00DB5ACE"/>
    <w:rsid w:val="00DC2EA7"/>
    <w:rsid w:val="00DD02AB"/>
    <w:rsid w:val="00DD1B6B"/>
    <w:rsid w:val="00DD4F98"/>
    <w:rsid w:val="00DE500E"/>
    <w:rsid w:val="00DF067C"/>
    <w:rsid w:val="00E0476C"/>
    <w:rsid w:val="00E06557"/>
    <w:rsid w:val="00E11C55"/>
    <w:rsid w:val="00E17981"/>
    <w:rsid w:val="00E43E1C"/>
    <w:rsid w:val="00E43E50"/>
    <w:rsid w:val="00E53763"/>
    <w:rsid w:val="00E54EDC"/>
    <w:rsid w:val="00E5721B"/>
    <w:rsid w:val="00E640B7"/>
    <w:rsid w:val="00E65F3A"/>
    <w:rsid w:val="00E67301"/>
    <w:rsid w:val="00E705ED"/>
    <w:rsid w:val="00E71609"/>
    <w:rsid w:val="00E71CE7"/>
    <w:rsid w:val="00E75765"/>
    <w:rsid w:val="00E81F60"/>
    <w:rsid w:val="00E83B38"/>
    <w:rsid w:val="00E83E95"/>
    <w:rsid w:val="00E868FA"/>
    <w:rsid w:val="00E96A3B"/>
    <w:rsid w:val="00EB503D"/>
    <w:rsid w:val="00EB713F"/>
    <w:rsid w:val="00EC0701"/>
    <w:rsid w:val="00EC2097"/>
    <w:rsid w:val="00EC5BFA"/>
    <w:rsid w:val="00EC5D0B"/>
    <w:rsid w:val="00ED2823"/>
    <w:rsid w:val="00ED29EA"/>
    <w:rsid w:val="00ED3D65"/>
    <w:rsid w:val="00ED5564"/>
    <w:rsid w:val="00ED7236"/>
    <w:rsid w:val="00EE02DA"/>
    <w:rsid w:val="00EE15DE"/>
    <w:rsid w:val="00EE22BC"/>
    <w:rsid w:val="00EE7770"/>
    <w:rsid w:val="00F05360"/>
    <w:rsid w:val="00F058BF"/>
    <w:rsid w:val="00F05C80"/>
    <w:rsid w:val="00F067B1"/>
    <w:rsid w:val="00F22BAB"/>
    <w:rsid w:val="00F320C7"/>
    <w:rsid w:val="00F34227"/>
    <w:rsid w:val="00F40048"/>
    <w:rsid w:val="00F44099"/>
    <w:rsid w:val="00F44565"/>
    <w:rsid w:val="00F51D8D"/>
    <w:rsid w:val="00F5386F"/>
    <w:rsid w:val="00F62F3C"/>
    <w:rsid w:val="00F63997"/>
    <w:rsid w:val="00F640E0"/>
    <w:rsid w:val="00F66F11"/>
    <w:rsid w:val="00F67F29"/>
    <w:rsid w:val="00F90D83"/>
    <w:rsid w:val="00FA717A"/>
    <w:rsid w:val="00FB2F7B"/>
    <w:rsid w:val="00FB63FC"/>
    <w:rsid w:val="00FC0BAF"/>
    <w:rsid w:val="00FC7A94"/>
    <w:rsid w:val="00FD14C6"/>
    <w:rsid w:val="00FE31C1"/>
    <w:rsid w:val="00FE634B"/>
    <w:rsid w:val="00FE7EFE"/>
    <w:rsid w:val="00FF031D"/>
    <w:rsid w:val="00FF2AC4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630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5630"/>
    <w:pPr>
      <w:keepNext/>
      <w:autoSpaceDE w:val="0"/>
      <w:autoSpaceDN w:val="0"/>
      <w:adjustRightInd w:val="0"/>
      <w:spacing w:before="240" w:after="0" w:line="288" w:lineRule="auto"/>
      <w:jc w:val="both"/>
      <w:outlineLvl w:val="0"/>
    </w:pPr>
    <w:rPr>
      <w:rFonts w:ascii="Arial" w:hAnsi="Arial" w:cs="Arial"/>
      <w:b/>
      <w:iCs/>
      <w:color w:val="17365D"/>
      <w:sz w:val="22"/>
      <w:lang w:eastAsia="cs-CZ"/>
    </w:rPr>
  </w:style>
  <w:style w:type="paragraph" w:styleId="Nadpis2">
    <w:name w:val="heading 2"/>
    <w:basedOn w:val="Normln"/>
    <w:next w:val="Normln"/>
    <w:qFormat/>
    <w:rsid w:val="00BE5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BE5630"/>
    <w:pPr>
      <w:keepNext/>
      <w:pageBreakBefore/>
      <w:spacing w:after="0"/>
      <w:outlineLvl w:val="2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styleId="Nadpis4">
    <w:name w:val="heading 4"/>
    <w:basedOn w:val="Normln"/>
    <w:next w:val="Normln"/>
    <w:qFormat/>
    <w:rsid w:val="00BE5630"/>
    <w:pPr>
      <w:keepNext/>
      <w:spacing w:after="0"/>
      <w:outlineLvl w:val="3"/>
    </w:pPr>
    <w:rPr>
      <w:rFonts w:cs="Arial"/>
      <w:b/>
      <w:sz w:val="18"/>
      <w:szCs w:val="14"/>
    </w:rPr>
  </w:style>
  <w:style w:type="paragraph" w:styleId="Nadpis5">
    <w:name w:val="heading 5"/>
    <w:basedOn w:val="Normln"/>
    <w:next w:val="Normln"/>
    <w:qFormat/>
    <w:rsid w:val="00BE5630"/>
    <w:pPr>
      <w:keepNext/>
      <w:autoSpaceDE w:val="0"/>
      <w:autoSpaceDN w:val="0"/>
      <w:adjustRightInd w:val="0"/>
      <w:spacing w:after="120" w:line="240" w:lineRule="auto"/>
      <w:jc w:val="both"/>
      <w:outlineLvl w:val="4"/>
    </w:pPr>
    <w:rPr>
      <w:rFonts w:ascii="Arial" w:hAnsi="Arial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E5630"/>
    <w:rPr>
      <w:sz w:val="24"/>
      <w:szCs w:val="22"/>
      <w:lang w:eastAsia="en-US"/>
    </w:rPr>
  </w:style>
  <w:style w:type="paragraph" w:styleId="Zpat">
    <w:name w:val="foot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BE5630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rsid w:val="00BE56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rsid w:val="00BE5630"/>
    <w:pPr>
      <w:autoSpaceDE w:val="0"/>
      <w:autoSpaceDN w:val="0"/>
      <w:adjustRightInd w:val="0"/>
      <w:spacing w:after="120" w:line="288" w:lineRule="auto"/>
      <w:ind w:firstLine="708"/>
      <w:jc w:val="both"/>
    </w:pPr>
    <w:rPr>
      <w:rFonts w:ascii="Arial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E5630"/>
    <w:pPr>
      <w:spacing w:before="240" w:after="0"/>
    </w:pPr>
    <w:rPr>
      <w:rFonts w:cs="Arial"/>
      <w:b/>
      <w:sz w:val="18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F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1C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B1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83458"/>
    <w:rPr>
      <w:rFonts w:ascii="Arial" w:hAnsi="Arial" w:cs="Arial"/>
      <w:b/>
      <w:iCs/>
      <w:color w:val="17365D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E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E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319A-EABB-4A83-98EB-36605867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ČSÚ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racek6687</dc:creator>
  <cp:keywords/>
  <dc:description/>
  <cp:lastModifiedBy>Skarlandtová Eva</cp:lastModifiedBy>
  <cp:revision>403</cp:revision>
  <cp:lastPrinted>2012-11-23T12:53:00Z</cp:lastPrinted>
  <dcterms:created xsi:type="dcterms:W3CDTF">2012-11-19T16:33:00Z</dcterms:created>
  <dcterms:modified xsi:type="dcterms:W3CDTF">2014-11-27T13:55:00Z</dcterms:modified>
</cp:coreProperties>
</file>