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C6A3" w14:textId="77777777" w:rsidR="006427F8" w:rsidRDefault="006427F8" w:rsidP="006427F8">
      <w:pPr>
        <w:pStyle w:val="Nadpis2"/>
        <w:spacing w:before="240" w:after="120"/>
        <w:jc w:val="both"/>
      </w:pPr>
      <w:r>
        <w:t>3.3</w:t>
      </w:r>
      <w:r w:rsidR="00B01A65">
        <w:t xml:space="preserve"> Podniky s inovačními činnostmi</w:t>
      </w:r>
      <w:r>
        <w:t xml:space="preserve"> – mezinárodní srovnání</w:t>
      </w:r>
    </w:p>
    <w:p w14:paraId="7D6D40F7" w14:textId="77777777" w:rsidR="00E70F4B" w:rsidRPr="007007AD" w:rsidRDefault="00DE0289" w:rsidP="00E70F4B">
      <w:pPr>
        <w:spacing w:after="60"/>
        <w:jc w:val="both"/>
      </w:pPr>
      <w:r>
        <w:t xml:space="preserve">Vzhledem k dostupnosti mezinárodních dat, jsou v této kapitole publikovány údaje za období 2016–2018. </w:t>
      </w:r>
      <w:r w:rsidR="00E70F4B" w:rsidRPr="007007AD">
        <w:t>Ve srovnání s dalšími členskými státy EU</w:t>
      </w:r>
      <w:r w:rsidR="00C471FB">
        <w:t>27</w:t>
      </w:r>
      <w:r w:rsidR="00E70F4B" w:rsidRPr="007007AD">
        <w:t xml:space="preserve"> patřily podniky působící v České republice v provádění inovačních aktivit v období </w:t>
      </w:r>
      <w:r w:rsidR="007007AD" w:rsidRPr="007007AD">
        <w:t>2016–2018 k zemím pod průměrem EU</w:t>
      </w:r>
      <w:r w:rsidR="00E70F4B" w:rsidRPr="007007AD">
        <w:t>. V tomto období u nás dosáhl podíl inovujících podniků 46</w:t>
      </w:r>
      <w:r w:rsidR="007007AD" w:rsidRPr="007007AD">
        <w:t>,8</w:t>
      </w:r>
      <w:r w:rsidR="00E70F4B" w:rsidRPr="007007AD">
        <w:t xml:space="preserve"> %, zatímco </w:t>
      </w:r>
      <w:r w:rsidR="00E70F4B" w:rsidRPr="007007AD">
        <w:rPr>
          <w:b/>
        </w:rPr>
        <w:t>pr</w:t>
      </w:r>
      <w:r w:rsidR="007007AD" w:rsidRPr="007007AD">
        <w:rPr>
          <w:b/>
        </w:rPr>
        <w:t>ůměr za členské země EU činil 50,4</w:t>
      </w:r>
      <w:r w:rsidR="00E70F4B" w:rsidRPr="007007AD">
        <w:rPr>
          <w:b/>
        </w:rPr>
        <w:t> %</w:t>
      </w:r>
      <w:r w:rsidR="00E70F4B" w:rsidRPr="007007AD">
        <w:t xml:space="preserve">. </w:t>
      </w:r>
      <w:r w:rsidR="007007AD">
        <w:t xml:space="preserve">Ve zpracovatelském průmyslu v ČR </w:t>
      </w:r>
      <w:r w:rsidR="00F50CBD">
        <w:t xml:space="preserve">inovovala </w:t>
      </w:r>
      <w:r w:rsidR="007007AD">
        <w:t>polovina podniků, zatímco v EU to bylo rovných 54 %.</w:t>
      </w:r>
    </w:p>
    <w:p w14:paraId="63624E32" w14:textId="77777777" w:rsidR="006427F8" w:rsidRPr="004A29D3" w:rsidRDefault="00E70F4B" w:rsidP="00DE1B71">
      <w:pPr>
        <w:spacing w:after="120"/>
        <w:jc w:val="both"/>
      </w:pPr>
      <w:r w:rsidRPr="00A2029F">
        <w:t xml:space="preserve">Nejvíce inovujících podniků bylo v uvedeném období zjištěno </w:t>
      </w:r>
      <w:r w:rsidR="00A2029F">
        <w:t>v Estonsku (73,1</w:t>
      </w:r>
      <w:r w:rsidR="00727D7E">
        <w:t> </w:t>
      </w:r>
      <w:r w:rsidRPr="004A29D3">
        <w:t>%)</w:t>
      </w:r>
      <w:r w:rsidR="00A2029F">
        <w:t>, na Kypru (68,2 %) a Belgii (67,8</w:t>
      </w:r>
      <w:r>
        <w:t> %)</w:t>
      </w:r>
      <w:r w:rsidRPr="004A29D3">
        <w:t xml:space="preserve">. V sousedním Německu dosáhl podíl </w:t>
      </w:r>
      <w:r w:rsidR="00A2029F">
        <w:t>inovativních firem stejné hodnoty jako v Belgii</w:t>
      </w:r>
      <w:r w:rsidRPr="004A29D3">
        <w:t>. Naopak nejm</w:t>
      </w:r>
      <w:r w:rsidR="00A2029F">
        <w:t>éně inovovaly podniky v Polsku (23,7</w:t>
      </w:r>
      <w:r w:rsidR="00727D7E">
        <w:t> </w:t>
      </w:r>
      <w:r w:rsidR="00A2029F">
        <w:t>%) a Maďarsku (28,9</w:t>
      </w:r>
      <w:r>
        <w:t> </w:t>
      </w:r>
      <w:r w:rsidRPr="004A29D3">
        <w:t>%).</w:t>
      </w:r>
      <w:r w:rsidR="009154B8">
        <w:t xml:space="preserve"> </w:t>
      </w:r>
      <w:r w:rsidRPr="004A29D3">
        <w:t xml:space="preserve"> </w:t>
      </w:r>
    </w:p>
    <w:p w14:paraId="4D5EC7C7" w14:textId="77777777" w:rsidR="006427F8" w:rsidRPr="00BA43D0" w:rsidRDefault="006427F8" w:rsidP="0096108D">
      <w:pPr>
        <w:ind w:left="1134" w:hanging="1134"/>
        <w:rPr>
          <w:rFonts w:cs="Arial"/>
          <w:b/>
          <w:sz w:val="18"/>
          <w:szCs w:val="20"/>
        </w:rPr>
      </w:pPr>
      <w:r w:rsidRPr="00BA43D0">
        <w:rPr>
          <w:rFonts w:cs="Arial"/>
          <w:b/>
          <w:sz w:val="18"/>
          <w:szCs w:val="20"/>
        </w:rPr>
        <w:t>G</w:t>
      </w:r>
      <w:r w:rsidR="003F467A">
        <w:rPr>
          <w:rFonts w:cs="Arial"/>
          <w:b/>
          <w:sz w:val="18"/>
          <w:szCs w:val="20"/>
        </w:rPr>
        <w:t>RAF 47</w:t>
      </w:r>
      <w:r w:rsidRPr="00BA43D0">
        <w:rPr>
          <w:rFonts w:cs="Arial"/>
          <w:b/>
          <w:sz w:val="18"/>
          <w:szCs w:val="20"/>
        </w:rPr>
        <w:t xml:space="preserve"> </w:t>
      </w:r>
      <w:r w:rsidR="00C84769" w:rsidRPr="00C84769">
        <w:rPr>
          <w:rFonts w:cs="Arial"/>
          <w:b/>
          <w:sz w:val="18"/>
          <w:szCs w:val="20"/>
        </w:rPr>
        <w:t>Podíl inovujících podniků na celkovém počtu podn</w:t>
      </w:r>
      <w:r w:rsidR="003F467A">
        <w:rPr>
          <w:rFonts w:cs="Arial"/>
          <w:b/>
          <w:sz w:val="18"/>
          <w:szCs w:val="20"/>
        </w:rPr>
        <w:t>iků ve vybraných zemích EU; 2016–2018</w:t>
      </w:r>
    </w:p>
    <w:p w14:paraId="4823018C" w14:textId="19AA975E" w:rsidR="006427F8" w:rsidRDefault="006E767E" w:rsidP="006427F8">
      <w:r>
        <w:rPr>
          <w:noProof/>
        </w:rPr>
        <w:drawing>
          <wp:inline distT="0" distB="0" distL="0" distR="0" wp14:anchorId="407DBE8D" wp14:editId="621F33C4">
            <wp:extent cx="6120000" cy="2484000"/>
            <wp:effectExtent l="0" t="0" r="14605" b="12065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FF330D" w14:textId="5E398B49" w:rsidR="000B1CB5" w:rsidRPr="000B1CB5" w:rsidRDefault="00B240E9" w:rsidP="006E767E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2022</w:t>
      </w:r>
    </w:p>
    <w:p w14:paraId="36562F5F" w14:textId="77777777" w:rsidR="004E45CC" w:rsidRDefault="004E45CC" w:rsidP="00E70F4B">
      <w:pPr>
        <w:spacing w:before="120" w:after="60"/>
        <w:jc w:val="both"/>
      </w:pPr>
      <w:r>
        <w:t>Pokud bychom do mezinárodního srovnání</w:t>
      </w:r>
      <w:r w:rsidR="0096430A">
        <w:t xml:space="preserve"> vnesly i časové hledisko</w:t>
      </w:r>
      <w:r>
        <w:t>, tak vidíme, že v Česku podíl inovujících podniků byl nejvyšší v období 2006</w:t>
      </w:r>
      <w:r w:rsidRPr="004E45CC">
        <w:t>–</w:t>
      </w:r>
      <w:r>
        <w:t xml:space="preserve">2008, kdy přesahoval hodnotu padesáti procent (konkrétně 56 %). Následně podíl klesal, až dosáhl svého dna </w:t>
      </w:r>
      <w:r w:rsidR="00C74970">
        <w:t>na úrovni</w:t>
      </w:r>
      <w:r w:rsidR="0038546D">
        <w:t xml:space="preserve"> 42 </w:t>
      </w:r>
      <w:r>
        <w:t>% v období 2012</w:t>
      </w:r>
      <w:r w:rsidRPr="004E45CC">
        <w:t>–</w:t>
      </w:r>
      <w:r>
        <w:t xml:space="preserve">2014. </w:t>
      </w:r>
      <w:r w:rsidR="003D043A">
        <w:t>Z</w:t>
      </w:r>
      <w:r w:rsidR="003D043A" w:rsidRPr="003D043A">
        <w:t>a ČR již máme výsledky pro aktuální období a tak vím</w:t>
      </w:r>
      <w:r w:rsidR="003D043A">
        <w:t xml:space="preserve">e, že se sestupný trend zvrátil a v období 2018–2020 podíl inovujících podniků výrazně vzrostl na 56,9 %. </w:t>
      </w:r>
    </w:p>
    <w:p w14:paraId="23642B74" w14:textId="1F98010B" w:rsidR="000B1CB5" w:rsidRDefault="004E45CC" w:rsidP="00E70F4B">
      <w:pPr>
        <w:spacing w:before="60" w:after="60"/>
        <w:jc w:val="both"/>
      </w:pPr>
      <w:r>
        <w:t>V případě největší</w:t>
      </w:r>
      <w:r w:rsidR="00396CCA">
        <w:t>ch ekonomik EU byla situace odlišná</w:t>
      </w:r>
      <w:r>
        <w:t xml:space="preserve"> bez jednoznačného celkového trendu. Například v Německu podíl inovujících podni</w:t>
      </w:r>
      <w:r w:rsidR="005F6C21">
        <w:t>ků po celé období setrvale klesal</w:t>
      </w:r>
      <w:r w:rsidR="00C74970">
        <w:t>,</w:t>
      </w:r>
      <w:r w:rsidR="005F6C21">
        <w:t xml:space="preserve"> ale v období 2016–2018 se trend obrátil a podíl inovujících opět začal růst.</w:t>
      </w:r>
      <w:r>
        <w:t xml:space="preserve"> </w:t>
      </w:r>
    </w:p>
    <w:p w14:paraId="54E3C6C0" w14:textId="77777777" w:rsidR="006427F8" w:rsidRPr="00675852" w:rsidRDefault="006427F8" w:rsidP="006D57AE">
      <w:pPr>
        <w:spacing w:before="120" w:after="60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 w:rsidR="00D92105">
        <w:rPr>
          <w:rFonts w:cs="Arial"/>
          <w:b/>
          <w:sz w:val="18"/>
          <w:szCs w:val="20"/>
        </w:rPr>
        <w:t>RAF 48</w:t>
      </w:r>
      <w:r w:rsidR="00675852">
        <w:rPr>
          <w:rFonts w:cs="Arial"/>
          <w:b/>
          <w:sz w:val="18"/>
          <w:szCs w:val="20"/>
        </w:rPr>
        <w:t xml:space="preserve"> </w:t>
      </w:r>
      <w:r w:rsidR="00C84769" w:rsidRPr="00C84769">
        <w:rPr>
          <w:rFonts w:cs="Arial"/>
          <w:b/>
          <w:sz w:val="18"/>
          <w:szCs w:val="20"/>
        </w:rPr>
        <w:t>Podíl inovujících podniků na celkovém počtu podniků ve v</w:t>
      </w:r>
      <w:r w:rsidR="00B240E9">
        <w:rPr>
          <w:rFonts w:cs="Arial"/>
          <w:b/>
          <w:sz w:val="18"/>
          <w:szCs w:val="20"/>
        </w:rPr>
        <w:t>ybraných zemích EU; 2008 až 2018</w:t>
      </w:r>
    </w:p>
    <w:p w14:paraId="414C83C6" w14:textId="77777777" w:rsidR="00863392" w:rsidRPr="006C070D" w:rsidRDefault="00412C07" w:rsidP="00863392">
      <w:pPr>
        <w:ind w:left="851" w:hanging="851"/>
        <w:rPr>
          <w:rFonts w:ascii="Calibri" w:hAnsi="Calibri"/>
          <w:b/>
          <w:color w:val="1F497D"/>
          <w:sz w:val="18"/>
        </w:rPr>
      </w:pPr>
      <w:r>
        <w:rPr>
          <w:noProof/>
        </w:rPr>
        <w:drawing>
          <wp:inline distT="0" distB="0" distL="0" distR="0" wp14:anchorId="040A7F83" wp14:editId="21CA6B08">
            <wp:extent cx="6120000" cy="2268000"/>
            <wp:effectExtent l="0" t="0" r="14605" b="1841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681C78" w14:textId="66298FD0" w:rsidR="000B1CB5" w:rsidRDefault="000B1CB5" w:rsidP="004D2C2A">
      <w:pPr>
        <w:spacing w:after="60"/>
        <w:jc w:val="right"/>
        <w:rPr>
          <w:i/>
          <w:sz w:val="18"/>
        </w:rPr>
      </w:pPr>
      <w:r w:rsidRPr="000B1CB5">
        <w:rPr>
          <w:i/>
          <w:sz w:val="18"/>
        </w:rPr>
        <w:t>Zdroj dat: Eurostat 20</w:t>
      </w:r>
      <w:bookmarkStart w:id="0" w:name="_GoBack"/>
      <w:bookmarkEnd w:id="0"/>
      <w:r w:rsidRPr="000B1CB5">
        <w:rPr>
          <w:i/>
          <w:sz w:val="18"/>
        </w:rPr>
        <w:t>20</w:t>
      </w:r>
    </w:p>
    <w:p w14:paraId="481903C1" w14:textId="77777777" w:rsidR="003D043A" w:rsidRDefault="003D043A" w:rsidP="00C84769">
      <w:pPr>
        <w:spacing w:before="60" w:after="60"/>
        <w:jc w:val="both"/>
      </w:pPr>
      <w:r>
        <w:lastRenderedPageBreak/>
        <w:t>Ve Francii naopak podíl kontinuálně rostl v období 2006 až 2016, ale v období 2016–2018 došlo k výraznějšímu poklesu podílu inovujících podniků na hodnotu z období 2006–2008. Výrazněji rostl podíl inovujících podniků v Itálii, mezi obdobími 2014–2016 a 2016–2018 dokonce o 10 procentních bodů na hodnotu 63,2 %.</w:t>
      </w:r>
    </w:p>
    <w:p w14:paraId="02B1ECFE" w14:textId="0E6816F0" w:rsidR="00863392" w:rsidRDefault="00E85EA4" w:rsidP="00C84769">
      <w:pPr>
        <w:spacing w:before="60" w:after="60"/>
        <w:jc w:val="both"/>
      </w:pPr>
      <w:r>
        <w:t>V případě zavedení jednotlivých typů inovací</w:t>
      </w:r>
      <w:r w:rsidR="00954E2D">
        <w:t xml:space="preserve"> stojí Česká republika</w:t>
      </w:r>
      <w:r w:rsidR="00021655">
        <w:t>,</w:t>
      </w:r>
      <w:r w:rsidR="00954E2D">
        <w:t xml:space="preserve"> stejně</w:t>
      </w:r>
      <w:r>
        <w:t xml:space="preserve"> jako u celkového podílu inovujících</w:t>
      </w:r>
      <w:r w:rsidR="00021655">
        <w:t>,</w:t>
      </w:r>
      <w:r w:rsidR="00954E2D">
        <w:t xml:space="preserve"> mírně pod průměrem EU</w:t>
      </w:r>
      <w:r>
        <w:t xml:space="preserve">. </w:t>
      </w:r>
      <w:r w:rsidR="00021655">
        <w:rPr>
          <w:b/>
        </w:rPr>
        <w:t>P</w:t>
      </w:r>
      <w:r w:rsidRPr="001644FB">
        <w:rPr>
          <w:b/>
        </w:rPr>
        <w:t>roduktovou inovac</w:t>
      </w:r>
      <w:r w:rsidR="00F86893" w:rsidRPr="001644FB">
        <w:rPr>
          <w:b/>
        </w:rPr>
        <w:t>i</w:t>
      </w:r>
      <w:r w:rsidRPr="001644FB">
        <w:rPr>
          <w:b/>
        </w:rPr>
        <w:t xml:space="preserve"> </w:t>
      </w:r>
      <w:r>
        <w:t xml:space="preserve">uvedlo </w:t>
      </w:r>
      <w:r w:rsidR="00954E2D">
        <w:t xml:space="preserve">v období 2016–2018 </w:t>
      </w:r>
      <w:r>
        <w:t>na trh</w:t>
      </w:r>
      <w:r w:rsidR="00954E2D">
        <w:t xml:space="preserve"> v Česku</w:t>
      </w:r>
      <w:r>
        <w:t xml:space="preserve"> 2</w:t>
      </w:r>
      <w:r w:rsidR="00954E2D">
        <w:t>6,8</w:t>
      </w:r>
      <w:r>
        <w:t> % podniků</w:t>
      </w:r>
      <w:r w:rsidR="00954E2D">
        <w:t>, v průměru EU to bylo 29,8</w:t>
      </w:r>
      <w:r w:rsidR="002756B7">
        <w:t> %</w:t>
      </w:r>
      <w:r w:rsidR="00C84769">
        <w:t>.</w:t>
      </w:r>
      <w:r>
        <w:t xml:space="preserve"> U </w:t>
      </w:r>
      <w:r w:rsidRPr="001644FB">
        <w:rPr>
          <w:b/>
        </w:rPr>
        <w:t>inovace</w:t>
      </w:r>
      <w:r w:rsidR="00C8406A">
        <w:rPr>
          <w:b/>
        </w:rPr>
        <w:t xml:space="preserve"> podnikového procesu</w:t>
      </w:r>
      <w:r>
        <w:t xml:space="preserve"> spjaté zejména s produkcí výrobků a služeb b</w:t>
      </w:r>
      <w:r w:rsidR="00C8406A">
        <w:t>yla ČR s podílem (40,3</w:t>
      </w:r>
      <w:r w:rsidR="00F86893">
        <w:t> </w:t>
      </w:r>
      <w:r w:rsidR="00C8406A">
        <w:t>%) téměř na úrovni průměru EU (41</w:t>
      </w:r>
      <w:r>
        <w:t> %).</w:t>
      </w:r>
      <w:r w:rsidR="00C23DBA">
        <w:t xml:space="preserve"> </w:t>
      </w:r>
    </w:p>
    <w:p w14:paraId="7EDD72A2" w14:textId="77777777" w:rsidR="00C23DBA" w:rsidRPr="00C23DBA" w:rsidRDefault="00613D01" w:rsidP="00C84769">
      <w:pPr>
        <w:spacing w:before="60" w:after="60"/>
        <w:jc w:val="both"/>
      </w:pPr>
      <w:r>
        <w:t>Nevíce se inovaci produktu (výrobku nebo služby)</w:t>
      </w:r>
      <w:r w:rsidR="00C23DBA">
        <w:t xml:space="preserve"> </w:t>
      </w:r>
      <w:r>
        <w:t>věnovaly podniky v</w:t>
      </w:r>
      <w:r w:rsidR="007C5D3A">
        <w:t> </w:t>
      </w:r>
      <w:r>
        <w:t>Estonsku</w:t>
      </w:r>
      <w:r w:rsidR="007C5D3A">
        <w:t xml:space="preserve"> a na Kypru</w:t>
      </w:r>
      <w:r>
        <w:t xml:space="preserve"> (téměř polovina podniků)</w:t>
      </w:r>
      <w:r w:rsidR="007C5D3A">
        <w:t>.</w:t>
      </w:r>
      <w:r w:rsidR="00C23DBA">
        <w:t xml:space="preserve"> </w:t>
      </w:r>
      <w:r>
        <w:t xml:space="preserve">Kypr také vykázal vůbec </w:t>
      </w:r>
      <w:r w:rsidR="00C23DBA">
        <w:t>nejvyšší podíl podniků zabý</w:t>
      </w:r>
      <w:r w:rsidR="005B7D48">
        <w:t>vajících se inovací</w:t>
      </w:r>
      <w:r>
        <w:t xml:space="preserve"> podnikového procesu (65,9</w:t>
      </w:r>
      <w:r w:rsidR="00C23DBA">
        <w:t> %).</w:t>
      </w:r>
      <w:r>
        <w:t xml:space="preserve"> Významně se věnovaly inovaci podnikového procesu i podniky v Belgii (58,1 %).</w:t>
      </w:r>
      <w:r w:rsidR="00C23DBA">
        <w:t xml:space="preserve"> Nejmenší podíly zavedení obou typů inovace byl</w:t>
      </w:r>
      <w:r w:rsidR="00A45241">
        <w:t>y</w:t>
      </w:r>
      <w:r w:rsidR="00C23DBA">
        <w:t xml:space="preserve"> zjištěn</w:t>
      </w:r>
      <w:r w:rsidR="00A45241">
        <w:t>y</w:t>
      </w:r>
      <w:r w:rsidR="00C23DBA">
        <w:t xml:space="preserve"> u podniků v</w:t>
      </w:r>
      <w:r>
        <w:t> </w:t>
      </w:r>
      <w:r w:rsidR="00C23DBA">
        <w:t>Rumunsku</w:t>
      </w:r>
      <w:r>
        <w:t xml:space="preserve"> a Polsku</w:t>
      </w:r>
      <w:r w:rsidR="00C23DBA">
        <w:t>.</w:t>
      </w:r>
    </w:p>
    <w:p w14:paraId="1083B10F" w14:textId="77777777" w:rsidR="00863392" w:rsidRPr="00675852" w:rsidRDefault="00863392" w:rsidP="008A02AF">
      <w:pPr>
        <w:spacing w:before="120"/>
        <w:ind w:left="851" w:hanging="851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 w:rsidR="00D92105">
        <w:rPr>
          <w:rFonts w:cs="Arial"/>
          <w:b/>
          <w:sz w:val="18"/>
          <w:szCs w:val="20"/>
        </w:rPr>
        <w:t>RAF 49</w:t>
      </w:r>
      <w:r>
        <w:rPr>
          <w:rFonts w:cs="Arial"/>
          <w:b/>
          <w:sz w:val="18"/>
          <w:szCs w:val="20"/>
        </w:rPr>
        <w:t xml:space="preserve"> Podíl</w:t>
      </w:r>
      <w:r w:rsidRPr="00675852">
        <w:rPr>
          <w:rFonts w:cs="Arial"/>
          <w:b/>
          <w:sz w:val="18"/>
          <w:szCs w:val="20"/>
        </w:rPr>
        <w:t xml:space="preserve"> podniků</w:t>
      </w:r>
      <w:r w:rsidR="0076517F">
        <w:rPr>
          <w:rFonts w:cs="Arial"/>
          <w:b/>
          <w:sz w:val="18"/>
          <w:szCs w:val="20"/>
        </w:rPr>
        <w:t xml:space="preserve"> s produktovou a procesní inovací</w:t>
      </w:r>
      <w:r w:rsidRPr="00675852">
        <w:rPr>
          <w:rFonts w:cs="Arial"/>
          <w:b/>
          <w:sz w:val="18"/>
          <w:szCs w:val="20"/>
        </w:rPr>
        <w:t xml:space="preserve"> na celkovém počtu podniků ve vybraných zemích </w:t>
      </w:r>
      <w:r w:rsidR="00360828">
        <w:rPr>
          <w:rFonts w:cs="Arial"/>
          <w:b/>
          <w:sz w:val="18"/>
          <w:szCs w:val="20"/>
        </w:rPr>
        <w:t>EU</w:t>
      </w:r>
      <w:r>
        <w:rPr>
          <w:rFonts w:cs="Arial"/>
          <w:b/>
          <w:sz w:val="18"/>
          <w:szCs w:val="20"/>
        </w:rPr>
        <w:t xml:space="preserve">; </w:t>
      </w:r>
      <w:r w:rsidR="003F467A">
        <w:rPr>
          <w:rFonts w:cs="Arial"/>
          <w:b/>
          <w:sz w:val="18"/>
          <w:szCs w:val="20"/>
        </w:rPr>
        <w:t>2016–2018</w:t>
      </w:r>
    </w:p>
    <w:p w14:paraId="272C4EC3" w14:textId="6B84B83D" w:rsidR="00863392" w:rsidRPr="00863392" w:rsidRDefault="004B632A" w:rsidP="000B1CB5">
      <w:pPr>
        <w:spacing w:after="60"/>
        <w:jc w:val="both"/>
      </w:pPr>
      <w:r>
        <w:rPr>
          <w:noProof/>
        </w:rPr>
        <w:drawing>
          <wp:inline distT="0" distB="0" distL="0" distR="0" wp14:anchorId="5D9CEE93" wp14:editId="155787BC">
            <wp:extent cx="6120000" cy="2520000"/>
            <wp:effectExtent l="0" t="0" r="14605" b="1397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D65F29" w14:textId="795B8A46" w:rsidR="0033136D" w:rsidRPr="000B1CB5" w:rsidRDefault="0033136D" w:rsidP="004B632A">
      <w:pPr>
        <w:spacing w:after="120"/>
        <w:jc w:val="right"/>
        <w:rPr>
          <w:i/>
          <w:sz w:val="18"/>
        </w:rPr>
      </w:pPr>
      <w:r>
        <w:rPr>
          <w:i/>
          <w:sz w:val="18"/>
        </w:rPr>
        <w:t>Zdroj dat: Eurostat 2022</w:t>
      </w:r>
    </w:p>
    <w:p w14:paraId="600D9D4E" w14:textId="77777777" w:rsidR="006427F8" w:rsidRDefault="00260CBE" w:rsidP="00260CBE">
      <w:pPr>
        <w:jc w:val="both"/>
      </w:pPr>
      <w:r>
        <w:t xml:space="preserve">V rámci produktové inovace inovovaly nejvíce své výrobky podniky v Estonsku (podíl 36,3 %), na Kypru (34 %) a Řecku (32,1 %). </w:t>
      </w:r>
      <w:r w:rsidR="00885CCD">
        <w:t xml:space="preserve">V Česku inovovala výrobek pětina podniků. </w:t>
      </w:r>
      <w:r>
        <w:t xml:space="preserve">Službu inovovaly nejintenzivněji podniky na Kypru (podíl 36 %), v Estonsku (28,4 %) a opět v Řecku (27,7 %). </w:t>
      </w:r>
    </w:p>
    <w:p w14:paraId="0558AB61" w14:textId="58AD491E" w:rsidR="00702DC1" w:rsidRPr="00675852" w:rsidRDefault="00702DC1" w:rsidP="000E1F44">
      <w:pPr>
        <w:spacing w:before="120"/>
        <w:ind w:left="851" w:hanging="851"/>
        <w:jc w:val="both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>
        <w:rPr>
          <w:rFonts w:cs="Arial"/>
          <w:b/>
          <w:sz w:val="18"/>
          <w:szCs w:val="20"/>
        </w:rPr>
        <w:t xml:space="preserve">RAF </w:t>
      </w:r>
      <w:r w:rsidR="0041696B">
        <w:rPr>
          <w:rFonts w:cs="Arial"/>
          <w:b/>
          <w:sz w:val="18"/>
          <w:szCs w:val="20"/>
        </w:rPr>
        <w:t>50</w:t>
      </w:r>
      <w:r>
        <w:rPr>
          <w:rFonts w:cs="Arial"/>
          <w:b/>
          <w:sz w:val="18"/>
          <w:szCs w:val="20"/>
        </w:rPr>
        <w:t xml:space="preserve"> Podíl</w:t>
      </w:r>
      <w:r w:rsidRPr="00675852">
        <w:rPr>
          <w:rFonts w:cs="Arial"/>
          <w:b/>
          <w:sz w:val="18"/>
          <w:szCs w:val="20"/>
        </w:rPr>
        <w:t xml:space="preserve"> podniků</w:t>
      </w:r>
      <w:r w:rsidR="000E1F44">
        <w:rPr>
          <w:rFonts w:cs="Arial"/>
          <w:b/>
          <w:sz w:val="18"/>
          <w:szCs w:val="20"/>
        </w:rPr>
        <w:t xml:space="preserve"> s produktovou </w:t>
      </w:r>
      <w:r>
        <w:rPr>
          <w:rFonts w:cs="Arial"/>
          <w:b/>
          <w:sz w:val="18"/>
          <w:szCs w:val="20"/>
        </w:rPr>
        <w:t>inovací</w:t>
      </w:r>
      <w:r w:rsidR="000E1F44">
        <w:rPr>
          <w:rFonts w:cs="Arial"/>
          <w:b/>
          <w:sz w:val="18"/>
          <w:szCs w:val="20"/>
        </w:rPr>
        <w:t xml:space="preserve"> podle předmětu inovace</w:t>
      </w:r>
      <w:r w:rsidRPr="00675852">
        <w:rPr>
          <w:rFonts w:cs="Arial"/>
          <w:b/>
          <w:sz w:val="18"/>
          <w:szCs w:val="20"/>
        </w:rPr>
        <w:t xml:space="preserve"> na celkovém počtu podniků ve vybraných zemích </w:t>
      </w:r>
      <w:r>
        <w:rPr>
          <w:rFonts w:cs="Arial"/>
          <w:b/>
          <w:sz w:val="18"/>
          <w:szCs w:val="20"/>
        </w:rPr>
        <w:t>EU; 2016–2018</w:t>
      </w:r>
    </w:p>
    <w:p w14:paraId="35B36D40" w14:textId="77777777" w:rsidR="00702DC1" w:rsidRDefault="00702DC1" w:rsidP="002E415C">
      <w:r>
        <w:rPr>
          <w:noProof/>
        </w:rPr>
        <w:drawing>
          <wp:inline distT="0" distB="0" distL="0" distR="0" wp14:anchorId="311358BA" wp14:editId="0BEB9BCA">
            <wp:extent cx="6120000" cy="2500950"/>
            <wp:effectExtent l="0" t="0" r="14605" b="1397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72EEE4" w14:textId="341AB46E" w:rsidR="00702DC1" w:rsidRDefault="00702DC1" w:rsidP="008046F0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2022</w:t>
      </w:r>
    </w:p>
    <w:p w14:paraId="374374F9" w14:textId="77777777" w:rsidR="00DB4A12" w:rsidRDefault="00DB4A12" w:rsidP="00637CA6">
      <w:pPr>
        <w:spacing w:before="60" w:after="60"/>
        <w:jc w:val="both"/>
      </w:pPr>
      <w:r>
        <w:lastRenderedPageBreak/>
        <w:t xml:space="preserve">Pouze ve čtyřech zemích (Kypr, Finsko, Malta a Lucembursko) převýšil podíl podniků s inovací služby podíl těch, které zavedly inovaci výrobku. V ostatních zemích podniky spíše inovovaly výrobky než služby. </w:t>
      </w:r>
    </w:p>
    <w:p w14:paraId="31EB4D9F" w14:textId="75E245F2" w:rsidR="001A78A1" w:rsidRDefault="00AE15C1" w:rsidP="0052262B">
      <w:pPr>
        <w:spacing w:before="60" w:after="60"/>
        <w:jc w:val="both"/>
      </w:pPr>
      <w:r>
        <w:t xml:space="preserve">V případě inovace podnikových procesů mohly podniky inovovat své vnitřní procesy, marketing nebo způsob organice a řízení podniku. Podniky v členských zemích EU </w:t>
      </w:r>
      <w:r w:rsidR="0051375B">
        <w:t>nejintenzivněji inovovaly způsob zpracování podnikových informací či komunikace. V období 2016–2018 takto inovovalo 22,8 % podniků v</w:t>
      </w:r>
      <w:r w:rsidR="00F616F9">
        <w:t> </w:t>
      </w:r>
      <w:r w:rsidR="0051375B">
        <w:t>EU. V Česku byl tento podíl nižší (18 %). Podniky v</w:t>
      </w:r>
      <w:r w:rsidR="00F616F9">
        <w:t> </w:t>
      </w:r>
      <w:r w:rsidR="0051375B">
        <w:t>EU se dále soustředily na inovaci výroby nebo poskytování služeb. Tento druh inovace provádělo 20,9 % podniků,</w:t>
      </w:r>
      <w:r w:rsidR="00E74229">
        <w:t xml:space="preserve"> přičemž</w:t>
      </w:r>
      <w:r w:rsidR="0051375B">
        <w:t xml:space="preserve"> v Česku to bylo o jeden procentní bod méně. </w:t>
      </w:r>
      <w:r>
        <w:t>S výraznými změnami v m</w:t>
      </w:r>
      <w:r w:rsidR="002B0AA0">
        <w:t>arketingov</w:t>
      </w:r>
      <w:r>
        <w:t>ých</w:t>
      </w:r>
      <w:r w:rsidR="002B0AA0">
        <w:t xml:space="preserve"> činnost</w:t>
      </w:r>
      <w:r>
        <w:t>ech</w:t>
      </w:r>
      <w:r w:rsidR="002B0AA0">
        <w:t xml:space="preserve"> </w:t>
      </w:r>
      <w:r>
        <w:t xml:space="preserve">přišlo </w:t>
      </w:r>
      <w:r w:rsidR="002B0AA0">
        <w:t>v zemích EU 16,6 % podniků</w:t>
      </w:r>
      <w:r>
        <w:t>.</w:t>
      </w:r>
      <w:r w:rsidR="002B0AA0">
        <w:t xml:space="preserve"> </w:t>
      </w:r>
      <w:r>
        <w:t>V</w:t>
      </w:r>
      <w:r w:rsidR="002B0AA0">
        <w:t> případě Česka byl podíl vyšší (22,2 %).</w:t>
      </w:r>
      <w:r w:rsidR="001A78A1">
        <w:t xml:space="preserve"> Vůbec nejméně </w:t>
      </w:r>
      <w:r w:rsidR="005D745D">
        <w:t xml:space="preserve">se </w:t>
      </w:r>
      <w:r w:rsidR="001A78A1">
        <w:t>podniky v</w:t>
      </w:r>
      <w:r w:rsidR="00F616F9">
        <w:t> </w:t>
      </w:r>
      <w:r w:rsidR="001A78A1">
        <w:t xml:space="preserve">EU </w:t>
      </w:r>
      <w:r w:rsidR="005D745D">
        <w:t>věnovaly inovacím logistických činností</w:t>
      </w:r>
      <w:r w:rsidR="001A78A1">
        <w:t>. Takto učinilo 12,9 % z nich. Podniky Česku inovovaly své logistické činnosti ještě méně (uvedlo 10,9 %).</w:t>
      </w:r>
    </w:p>
    <w:p w14:paraId="2B0DAC72" w14:textId="773FF907" w:rsidR="0063617B" w:rsidRPr="00534864" w:rsidRDefault="0063617B" w:rsidP="00534864">
      <w:pPr>
        <w:spacing w:before="120"/>
        <w:ind w:left="851" w:hanging="851"/>
        <w:jc w:val="both"/>
        <w:rPr>
          <w:rFonts w:cs="Arial"/>
          <w:b/>
          <w:sz w:val="18"/>
          <w:szCs w:val="20"/>
        </w:rPr>
      </w:pPr>
      <w:r w:rsidRPr="00675852">
        <w:rPr>
          <w:rFonts w:cs="Arial"/>
          <w:b/>
          <w:sz w:val="18"/>
          <w:szCs w:val="20"/>
        </w:rPr>
        <w:t>G</w:t>
      </w:r>
      <w:r>
        <w:rPr>
          <w:rFonts w:cs="Arial"/>
          <w:b/>
          <w:sz w:val="18"/>
          <w:szCs w:val="20"/>
        </w:rPr>
        <w:t xml:space="preserve">RAF </w:t>
      </w:r>
      <w:r w:rsidR="005D745D">
        <w:rPr>
          <w:rFonts w:cs="Arial"/>
          <w:b/>
          <w:sz w:val="18"/>
          <w:szCs w:val="20"/>
        </w:rPr>
        <w:t>5</w:t>
      </w:r>
      <w:r w:rsidR="0041696B">
        <w:rPr>
          <w:rFonts w:cs="Arial"/>
          <w:b/>
          <w:sz w:val="18"/>
          <w:szCs w:val="20"/>
        </w:rPr>
        <w:t>1</w:t>
      </w:r>
      <w:r>
        <w:rPr>
          <w:rFonts w:cs="Arial"/>
          <w:b/>
          <w:sz w:val="18"/>
          <w:szCs w:val="20"/>
        </w:rPr>
        <w:t xml:space="preserve"> Podíl</w:t>
      </w:r>
      <w:r w:rsidRPr="00675852">
        <w:rPr>
          <w:rFonts w:cs="Arial"/>
          <w:b/>
          <w:sz w:val="18"/>
          <w:szCs w:val="20"/>
        </w:rPr>
        <w:t xml:space="preserve"> podniků</w:t>
      </w:r>
      <w:r>
        <w:rPr>
          <w:rFonts w:cs="Arial"/>
          <w:b/>
          <w:sz w:val="18"/>
          <w:szCs w:val="20"/>
        </w:rPr>
        <w:t xml:space="preserve"> s inovací podnikového procesu podle předmětu inovace</w:t>
      </w:r>
      <w:r w:rsidRPr="00675852">
        <w:rPr>
          <w:rFonts w:cs="Arial"/>
          <w:b/>
          <w:sz w:val="18"/>
          <w:szCs w:val="20"/>
        </w:rPr>
        <w:t xml:space="preserve"> na celkovém počtu podniků v</w:t>
      </w:r>
      <w:r w:rsidR="008046F0">
        <w:rPr>
          <w:rFonts w:cs="Arial"/>
          <w:b/>
          <w:sz w:val="18"/>
          <w:szCs w:val="20"/>
        </w:rPr>
        <w:t> EU a Česku</w:t>
      </w:r>
      <w:r>
        <w:rPr>
          <w:rFonts w:cs="Arial"/>
          <w:b/>
          <w:sz w:val="18"/>
          <w:szCs w:val="20"/>
        </w:rPr>
        <w:t>; 2016–2018</w:t>
      </w:r>
    </w:p>
    <w:p w14:paraId="469D6988" w14:textId="7DD7AC62" w:rsidR="00DB4A12" w:rsidRDefault="007D689F" w:rsidP="00BC42E0">
      <w:pPr>
        <w:spacing w:after="60"/>
        <w:jc w:val="both"/>
        <w:rPr>
          <w:i/>
          <w:sz w:val="18"/>
        </w:rPr>
      </w:pPr>
      <w:r>
        <w:rPr>
          <w:noProof/>
        </w:rPr>
        <w:drawing>
          <wp:inline distT="0" distB="0" distL="0" distR="0" wp14:anchorId="55FD2489" wp14:editId="6511B93B">
            <wp:extent cx="6120000" cy="2847975"/>
            <wp:effectExtent l="0" t="0" r="14605" b="9525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E65143" w14:textId="6774DCA1" w:rsidR="0051375B" w:rsidRDefault="0051375B" w:rsidP="007D689F">
      <w:pPr>
        <w:spacing w:after="60"/>
        <w:jc w:val="right"/>
        <w:rPr>
          <w:i/>
          <w:sz w:val="18"/>
        </w:rPr>
      </w:pPr>
      <w:r>
        <w:rPr>
          <w:i/>
          <w:sz w:val="18"/>
        </w:rPr>
        <w:t>Zdroj dat: Eurostat 2022</w:t>
      </w:r>
    </w:p>
    <w:p w14:paraId="61C83C6C" w14:textId="60C7550E" w:rsidR="00AE15C1" w:rsidRDefault="00AE15C1" w:rsidP="00F21064">
      <w:pPr>
        <w:spacing w:before="120" w:after="60"/>
        <w:jc w:val="both"/>
      </w:pPr>
      <w:r>
        <w:t>Mezi členskými státy EU byly zjištěny poměrně velké rozdíly v zavádění jednotlivých druhů inovace podnikových činností.</w:t>
      </w:r>
    </w:p>
    <w:p w14:paraId="59C2E734" w14:textId="309B5E96" w:rsidR="00AE15C1" w:rsidRDefault="00AE15C1" w:rsidP="00AE15C1">
      <w:pPr>
        <w:spacing w:before="60" w:after="60"/>
        <w:jc w:val="both"/>
      </w:pPr>
      <w:r>
        <w:t>Kompletní údaje za všechny země EU</w:t>
      </w:r>
      <w:r w:rsidR="00F616F9">
        <w:t>27</w:t>
      </w:r>
      <w:r>
        <w:t xml:space="preserve"> jsou uvedeny v tabulkové příloze v tabulkách 48A (údaje za podniky celkem) a 48b (údaje za podniky ve zpracovatelském průmyslu).  </w:t>
      </w:r>
    </w:p>
    <w:p w14:paraId="252CAC47" w14:textId="77777777" w:rsidR="0051375B" w:rsidRPr="00BC42E0" w:rsidRDefault="0051375B" w:rsidP="00BC42E0">
      <w:pPr>
        <w:spacing w:after="60"/>
        <w:jc w:val="both"/>
        <w:rPr>
          <w:i/>
          <w:sz w:val="18"/>
        </w:rPr>
      </w:pPr>
    </w:p>
    <w:sectPr w:rsidR="0051375B" w:rsidRPr="00BC42E0" w:rsidSect="004001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Start w:val="10"/>
      </w:footnotePr>
      <w:type w:val="continuous"/>
      <w:pgSz w:w="11906" w:h="16838" w:code="9"/>
      <w:pgMar w:top="1134" w:right="1134" w:bottom="1418" w:left="1134" w:header="680" w:footer="68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9BC7" w14:textId="77777777" w:rsidR="00387E11" w:rsidRDefault="00387E11" w:rsidP="00E71A58">
      <w:r>
        <w:separator/>
      </w:r>
    </w:p>
  </w:endnote>
  <w:endnote w:type="continuationSeparator" w:id="0">
    <w:p w14:paraId="04F4FC0F" w14:textId="77777777" w:rsidR="00387E11" w:rsidRDefault="00387E1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5383" w14:textId="4BEC9B53" w:rsidR="00E65196" w:rsidRDefault="00E6519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C0D708" wp14:editId="1B063742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5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400142">
      <w:rPr>
        <w:rFonts w:ascii="Arial" w:hAnsi="Arial" w:cs="Arial"/>
        <w:noProof/>
        <w:sz w:val="16"/>
        <w:szCs w:val="16"/>
      </w:rPr>
      <w:t>40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12672D">
      <w:rPr>
        <w:rFonts w:ascii="Arial" w:hAnsi="Arial" w:cs="Arial"/>
        <w:sz w:val="16"/>
        <w:szCs w:val="16"/>
      </w:rPr>
      <w:t>2018–2020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49C6" w14:textId="77777777" w:rsidR="00E65196" w:rsidRDefault="00E65196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882A149" wp14:editId="2672643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527A181B" w14:textId="2D969E04" w:rsidR="00E65196" w:rsidRDefault="00E65196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2672D">
      <w:rPr>
        <w:rFonts w:ascii="Arial" w:hAnsi="Arial" w:cs="Arial"/>
        <w:sz w:val="16"/>
        <w:szCs w:val="16"/>
      </w:rPr>
      <w:t>2018–2020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400142">
      <w:rPr>
        <w:rFonts w:ascii="Arial" w:hAnsi="Arial" w:cs="Arial"/>
        <w:noProof/>
        <w:sz w:val="16"/>
        <w:szCs w:val="16"/>
      </w:rPr>
      <w:t>39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6C69" w14:textId="77777777" w:rsidR="00E65196" w:rsidRDefault="00E65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3B30" w14:textId="77777777" w:rsidR="00387E11" w:rsidRDefault="00387E11" w:rsidP="00E71A58">
      <w:r>
        <w:separator/>
      </w:r>
    </w:p>
  </w:footnote>
  <w:footnote w:type="continuationSeparator" w:id="0">
    <w:p w14:paraId="4A766D3A" w14:textId="77777777" w:rsidR="00387E11" w:rsidRDefault="00387E1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729BA" w14:textId="77777777" w:rsidR="00E65196" w:rsidRPr="00AD306C" w:rsidRDefault="00E6519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5C65F" w14:textId="77777777" w:rsidR="00E65196" w:rsidRPr="00AD306C" w:rsidRDefault="00E65196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49C7EBB3" w14:textId="77777777" w:rsidR="00E65196" w:rsidRPr="00DC5B3B" w:rsidRDefault="00E65196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F2F5" w14:textId="77777777" w:rsidR="00E65196" w:rsidRDefault="00E65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39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7"/>
  </w:num>
  <w:num w:numId="5">
    <w:abstractNumId w:val="25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0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3"/>
  </w:num>
  <w:num w:numId="17">
    <w:abstractNumId w:val="23"/>
  </w:num>
  <w:num w:numId="18">
    <w:abstractNumId w:val="20"/>
  </w:num>
  <w:num w:numId="19">
    <w:abstractNumId w:val="19"/>
  </w:num>
  <w:num w:numId="20">
    <w:abstractNumId w:val="41"/>
  </w:num>
  <w:num w:numId="21">
    <w:abstractNumId w:val="15"/>
  </w:num>
  <w:num w:numId="22">
    <w:abstractNumId w:val="2"/>
  </w:num>
  <w:num w:numId="23">
    <w:abstractNumId w:val="43"/>
  </w:num>
  <w:num w:numId="24">
    <w:abstractNumId w:val="1"/>
  </w:num>
  <w:num w:numId="25">
    <w:abstractNumId w:val="39"/>
  </w:num>
  <w:num w:numId="26">
    <w:abstractNumId w:val="12"/>
  </w:num>
  <w:num w:numId="27">
    <w:abstractNumId w:val="16"/>
  </w:num>
  <w:num w:numId="28">
    <w:abstractNumId w:val="5"/>
  </w:num>
  <w:num w:numId="29">
    <w:abstractNumId w:val="32"/>
  </w:num>
  <w:num w:numId="30">
    <w:abstractNumId w:val="14"/>
  </w:num>
  <w:num w:numId="31">
    <w:abstractNumId w:val="35"/>
  </w:num>
  <w:num w:numId="32">
    <w:abstractNumId w:val="34"/>
  </w:num>
  <w:num w:numId="33">
    <w:abstractNumId w:val="44"/>
  </w:num>
  <w:num w:numId="34">
    <w:abstractNumId w:val="29"/>
  </w:num>
  <w:num w:numId="35">
    <w:abstractNumId w:val="0"/>
  </w:num>
  <w:num w:numId="36">
    <w:abstractNumId w:val="36"/>
  </w:num>
  <w:num w:numId="37">
    <w:abstractNumId w:val="42"/>
  </w:num>
  <w:num w:numId="38">
    <w:abstractNumId w:val="4"/>
  </w:num>
  <w:num w:numId="39">
    <w:abstractNumId w:val="17"/>
  </w:num>
  <w:num w:numId="40">
    <w:abstractNumId w:val="27"/>
  </w:num>
  <w:num w:numId="41">
    <w:abstractNumId w:val="8"/>
  </w:num>
  <w:num w:numId="42">
    <w:abstractNumId w:val="40"/>
  </w:num>
  <w:num w:numId="43">
    <w:abstractNumId w:val="13"/>
  </w:num>
  <w:num w:numId="44">
    <w:abstractNumId w:val="38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174D"/>
    <w:rsid w:val="000017DB"/>
    <w:rsid w:val="00003277"/>
    <w:rsid w:val="000032BB"/>
    <w:rsid w:val="000049B0"/>
    <w:rsid w:val="00004DC1"/>
    <w:rsid w:val="00006064"/>
    <w:rsid w:val="00007143"/>
    <w:rsid w:val="0000767A"/>
    <w:rsid w:val="00007A5A"/>
    <w:rsid w:val="000103D7"/>
    <w:rsid w:val="00010702"/>
    <w:rsid w:val="00011387"/>
    <w:rsid w:val="00011EA6"/>
    <w:rsid w:val="0001372E"/>
    <w:rsid w:val="00014413"/>
    <w:rsid w:val="000158B9"/>
    <w:rsid w:val="00016CCE"/>
    <w:rsid w:val="00016EC5"/>
    <w:rsid w:val="00017938"/>
    <w:rsid w:val="00020738"/>
    <w:rsid w:val="00020855"/>
    <w:rsid w:val="00020F0B"/>
    <w:rsid w:val="00021655"/>
    <w:rsid w:val="000216A8"/>
    <w:rsid w:val="00021CA2"/>
    <w:rsid w:val="000227CF"/>
    <w:rsid w:val="00023233"/>
    <w:rsid w:val="00023A06"/>
    <w:rsid w:val="00023DB5"/>
    <w:rsid w:val="000241E9"/>
    <w:rsid w:val="00024229"/>
    <w:rsid w:val="00025F04"/>
    <w:rsid w:val="0002679B"/>
    <w:rsid w:val="00026BB4"/>
    <w:rsid w:val="00030C06"/>
    <w:rsid w:val="000315CB"/>
    <w:rsid w:val="00031A9F"/>
    <w:rsid w:val="00032C1B"/>
    <w:rsid w:val="000335DE"/>
    <w:rsid w:val="00033BC0"/>
    <w:rsid w:val="00033D16"/>
    <w:rsid w:val="00033E68"/>
    <w:rsid w:val="000350E5"/>
    <w:rsid w:val="00035ABC"/>
    <w:rsid w:val="00036694"/>
    <w:rsid w:val="000368A7"/>
    <w:rsid w:val="00037051"/>
    <w:rsid w:val="00041336"/>
    <w:rsid w:val="000415AA"/>
    <w:rsid w:val="00042236"/>
    <w:rsid w:val="00042BEA"/>
    <w:rsid w:val="000435CC"/>
    <w:rsid w:val="00043B14"/>
    <w:rsid w:val="00043E0B"/>
    <w:rsid w:val="00045F6E"/>
    <w:rsid w:val="0004645B"/>
    <w:rsid w:val="0004694F"/>
    <w:rsid w:val="00046976"/>
    <w:rsid w:val="00046DAC"/>
    <w:rsid w:val="00047444"/>
    <w:rsid w:val="00047927"/>
    <w:rsid w:val="00047A62"/>
    <w:rsid w:val="00047F45"/>
    <w:rsid w:val="0005037C"/>
    <w:rsid w:val="00051C4D"/>
    <w:rsid w:val="0005235F"/>
    <w:rsid w:val="00052B2A"/>
    <w:rsid w:val="0005325B"/>
    <w:rsid w:val="00053B15"/>
    <w:rsid w:val="00054477"/>
    <w:rsid w:val="00054847"/>
    <w:rsid w:val="00054A5A"/>
    <w:rsid w:val="00055AB9"/>
    <w:rsid w:val="00055FEF"/>
    <w:rsid w:val="0005739C"/>
    <w:rsid w:val="00057709"/>
    <w:rsid w:val="00057D73"/>
    <w:rsid w:val="0006102A"/>
    <w:rsid w:val="00062A19"/>
    <w:rsid w:val="00062EC5"/>
    <w:rsid w:val="000639A6"/>
    <w:rsid w:val="00063BFC"/>
    <w:rsid w:val="00063CB7"/>
    <w:rsid w:val="00063E83"/>
    <w:rsid w:val="00064171"/>
    <w:rsid w:val="000643D1"/>
    <w:rsid w:val="000649F4"/>
    <w:rsid w:val="000717EA"/>
    <w:rsid w:val="00071D51"/>
    <w:rsid w:val="00071FA1"/>
    <w:rsid w:val="0007243A"/>
    <w:rsid w:val="00072D21"/>
    <w:rsid w:val="0007392B"/>
    <w:rsid w:val="00074904"/>
    <w:rsid w:val="00077955"/>
    <w:rsid w:val="000804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931"/>
    <w:rsid w:val="00083CC3"/>
    <w:rsid w:val="00084837"/>
    <w:rsid w:val="000854BB"/>
    <w:rsid w:val="00085870"/>
    <w:rsid w:val="00085C23"/>
    <w:rsid w:val="0008649D"/>
    <w:rsid w:val="00087634"/>
    <w:rsid w:val="00087A0A"/>
    <w:rsid w:val="00090840"/>
    <w:rsid w:val="000912D2"/>
    <w:rsid w:val="0009144E"/>
    <w:rsid w:val="00091BF2"/>
    <w:rsid w:val="00092214"/>
    <w:rsid w:val="000932E5"/>
    <w:rsid w:val="00093B40"/>
    <w:rsid w:val="000946D6"/>
    <w:rsid w:val="00094DBA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83"/>
    <w:rsid w:val="000A165A"/>
    <w:rsid w:val="000A26A6"/>
    <w:rsid w:val="000A3B9D"/>
    <w:rsid w:val="000A3C67"/>
    <w:rsid w:val="000A4136"/>
    <w:rsid w:val="000A4223"/>
    <w:rsid w:val="000B0063"/>
    <w:rsid w:val="000B00E2"/>
    <w:rsid w:val="000B064B"/>
    <w:rsid w:val="000B0777"/>
    <w:rsid w:val="000B1406"/>
    <w:rsid w:val="000B1CB5"/>
    <w:rsid w:val="000B1F4E"/>
    <w:rsid w:val="000B64CF"/>
    <w:rsid w:val="000B713C"/>
    <w:rsid w:val="000C1011"/>
    <w:rsid w:val="000C1883"/>
    <w:rsid w:val="000C216F"/>
    <w:rsid w:val="000C30BD"/>
    <w:rsid w:val="000C3408"/>
    <w:rsid w:val="000C34E5"/>
    <w:rsid w:val="000C4AAA"/>
    <w:rsid w:val="000C4ABE"/>
    <w:rsid w:val="000C52AF"/>
    <w:rsid w:val="000C5553"/>
    <w:rsid w:val="000C5FBB"/>
    <w:rsid w:val="000C6061"/>
    <w:rsid w:val="000C68B7"/>
    <w:rsid w:val="000C778A"/>
    <w:rsid w:val="000D0345"/>
    <w:rsid w:val="000D0919"/>
    <w:rsid w:val="000D09E8"/>
    <w:rsid w:val="000D0EBF"/>
    <w:rsid w:val="000D1504"/>
    <w:rsid w:val="000D15B4"/>
    <w:rsid w:val="000D1A55"/>
    <w:rsid w:val="000D25A1"/>
    <w:rsid w:val="000D441E"/>
    <w:rsid w:val="000D4ED6"/>
    <w:rsid w:val="000D5146"/>
    <w:rsid w:val="000D57B2"/>
    <w:rsid w:val="000D6912"/>
    <w:rsid w:val="000E10EA"/>
    <w:rsid w:val="000E10FB"/>
    <w:rsid w:val="000E1F26"/>
    <w:rsid w:val="000E1F44"/>
    <w:rsid w:val="000E276F"/>
    <w:rsid w:val="000E3755"/>
    <w:rsid w:val="000E39FA"/>
    <w:rsid w:val="000E638A"/>
    <w:rsid w:val="000E63E0"/>
    <w:rsid w:val="000E7906"/>
    <w:rsid w:val="000E7F32"/>
    <w:rsid w:val="000F07F3"/>
    <w:rsid w:val="000F0B7C"/>
    <w:rsid w:val="000F0F6F"/>
    <w:rsid w:val="000F13FC"/>
    <w:rsid w:val="000F1E62"/>
    <w:rsid w:val="000F2B1D"/>
    <w:rsid w:val="000F3AF6"/>
    <w:rsid w:val="000F41F1"/>
    <w:rsid w:val="000F5011"/>
    <w:rsid w:val="000F5FCB"/>
    <w:rsid w:val="000F6A39"/>
    <w:rsid w:val="000F6F58"/>
    <w:rsid w:val="001001FC"/>
    <w:rsid w:val="001014C8"/>
    <w:rsid w:val="00101518"/>
    <w:rsid w:val="0010326D"/>
    <w:rsid w:val="00105C1A"/>
    <w:rsid w:val="0010669F"/>
    <w:rsid w:val="00106FC6"/>
    <w:rsid w:val="00106FEF"/>
    <w:rsid w:val="001074BC"/>
    <w:rsid w:val="001103C6"/>
    <w:rsid w:val="00110458"/>
    <w:rsid w:val="00110C4F"/>
    <w:rsid w:val="001111B2"/>
    <w:rsid w:val="00111AE4"/>
    <w:rsid w:val="00111D91"/>
    <w:rsid w:val="00112CE6"/>
    <w:rsid w:val="00113BFE"/>
    <w:rsid w:val="00114BEA"/>
    <w:rsid w:val="00115241"/>
    <w:rsid w:val="00115759"/>
    <w:rsid w:val="0011629F"/>
    <w:rsid w:val="00117F8A"/>
    <w:rsid w:val="00120041"/>
    <w:rsid w:val="00120443"/>
    <w:rsid w:val="00120D6D"/>
    <w:rsid w:val="00121A92"/>
    <w:rsid w:val="00123446"/>
    <w:rsid w:val="00123452"/>
    <w:rsid w:val="00123CAC"/>
    <w:rsid w:val="0012408F"/>
    <w:rsid w:val="00124165"/>
    <w:rsid w:val="00125C99"/>
    <w:rsid w:val="00125E0A"/>
    <w:rsid w:val="00125E45"/>
    <w:rsid w:val="00126365"/>
    <w:rsid w:val="0012658C"/>
    <w:rsid w:val="0012672D"/>
    <w:rsid w:val="001277C1"/>
    <w:rsid w:val="001278F2"/>
    <w:rsid w:val="00127940"/>
    <w:rsid w:val="00130066"/>
    <w:rsid w:val="00131CEA"/>
    <w:rsid w:val="00132B06"/>
    <w:rsid w:val="00133ACF"/>
    <w:rsid w:val="00134C6A"/>
    <w:rsid w:val="0013621C"/>
    <w:rsid w:val="001362A9"/>
    <w:rsid w:val="001365B7"/>
    <w:rsid w:val="001373CD"/>
    <w:rsid w:val="00140073"/>
    <w:rsid w:val="001405FA"/>
    <w:rsid w:val="00140A1B"/>
    <w:rsid w:val="00141B7E"/>
    <w:rsid w:val="001420C7"/>
    <w:rsid w:val="00142356"/>
    <w:rsid w:val="001425C3"/>
    <w:rsid w:val="00142C3A"/>
    <w:rsid w:val="00142C51"/>
    <w:rsid w:val="00143453"/>
    <w:rsid w:val="00143B97"/>
    <w:rsid w:val="00143DE1"/>
    <w:rsid w:val="00146553"/>
    <w:rsid w:val="00146C00"/>
    <w:rsid w:val="00146CF7"/>
    <w:rsid w:val="00147506"/>
    <w:rsid w:val="001475F6"/>
    <w:rsid w:val="00147E09"/>
    <w:rsid w:val="00147F55"/>
    <w:rsid w:val="00152543"/>
    <w:rsid w:val="00152689"/>
    <w:rsid w:val="00154273"/>
    <w:rsid w:val="001544C2"/>
    <w:rsid w:val="00154DA6"/>
    <w:rsid w:val="00155181"/>
    <w:rsid w:val="00156A62"/>
    <w:rsid w:val="0015700C"/>
    <w:rsid w:val="001571FD"/>
    <w:rsid w:val="001576B5"/>
    <w:rsid w:val="00160D8D"/>
    <w:rsid w:val="00160DF9"/>
    <w:rsid w:val="001611FD"/>
    <w:rsid w:val="00161B57"/>
    <w:rsid w:val="0016249A"/>
    <w:rsid w:val="00163793"/>
    <w:rsid w:val="00164279"/>
    <w:rsid w:val="001644FB"/>
    <w:rsid w:val="00164B18"/>
    <w:rsid w:val="00164BD7"/>
    <w:rsid w:val="00165D9D"/>
    <w:rsid w:val="00165F51"/>
    <w:rsid w:val="00166909"/>
    <w:rsid w:val="00170ABD"/>
    <w:rsid w:val="00171425"/>
    <w:rsid w:val="001714F2"/>
    <w:rsid w:val="0017179C"/>
    <w:rsid w:val="00171E58"/>
    <w:rsid w:val="00172FB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17AB"/>
    <w:rsid w:val="00181B9B"/>
    <w:rsid w:val="001820FF"/>
    <w:rsid w:val="00184602"/>
    <w:rsid w:val="00184689"/>
    <w:rsid w:val="00184A37"/>
    <w:rsid w:val="00185010"/>
    <w:rsid w:val="00186837"/>
    <w:rsid w:val="001868F8"/>
    <w:rsid w:val="001871C3"/>
    <w:rsid w:val="00190354"/>
    <w:rsid w:val="00190695"/>
    <w:rsid w:val="00190CD5"/>
    <w:rsid w:val="001914E1"/>
    <w:rsid w:val="00192903"/>
    <w:rsid w:val="00192B1A"/>
    <w:rsid w:val="00193143"/>
    <w:rsid w:val="00193262"/>
    <w:rsid w:val="00193481"/>
    <w:rsid w:val="001938F0"/>
    <w:rsid w:val="00193D4D"/>
    <w:rsid w:val="0019608F"/>
    <w:rsid w:val="0019637A"/>
    <w:rsid w:val="00196712"/>
    <w:rsid w:val="0019689E"/>
    <w:rsid w:val="001970B2"/>
    <w:rsid w:val="00197965"/>
    <w:rsid w:val="001A1435"/>
    <w:rsid w:val="001A1ABA"/>
    <w:rsid w:val="001A26ED"/>
    <w:rsid w:val="001A30E6"/>
    <w:rsid w:val="001A3161"/>
    <w:rsid w:val="001A432E"/>
    <w:rsid w:val="001A51D6"/>
    <w:rsid w:val="001A552F"/>
    <w:rsid w:val="001A5D36"/>
    <w:rsid w:val="001A6373"/>
    <w:rsid w:val="001A78A1"/>
    <w:rsid w:val="001A7A25"/>
    <w:rsid w:val="001A7DC2"/>
    <w:rsid w:val="001B07F6"/>
    <w:rsid w:val="001B0AFE"/>
    <w:rsid w:val="001B202B"/>
    <w:rsid w:val="001B22C4"/>
    <w:rsid w:val="001B2CB1"/>
    <w:rsid w:val="001B3110"/>
    <w:rsid w:val="001B3511"/>
    <w:rsid w:val="001B3A0E"/>
    <w:rsid w:val="001B4EE4"/>
    <w:rsid w:val="001B56B7"/>
    <w:rsid w:val="001B614A"/>
    <w:rsid w:val="001B6778"/>
    <w:rsid w:val="001B7225"/>
    <w:rsid w:val="001B74DA"/>
    <w:rsid w:val="001B75ED"/>
    <w:rsid w:val="001B7941"/>
    <w:rsid w:val="001C090A"/>
    <w:rsid w:val="001C0D60"/>
    <w:rsid w:val="001C0F83"/>
    <w:rsid w:val="001C3034"/>
    <w:rsid w:val="001C35BA"/>
    <w:rsid w:val="001C3C7D"/>
    <w:rsid w:val="001C48A8"/>
    <w:rsid w:val="001C504B"/>
    <w:rsid w:val="001C510E"/>
    <w:rsid w:val="001C522E"/>
    <w:rsid w:val="001C795C"/>
    <w:rsid w:val="001D1415"/>
    <w:rsid w:val="001D1859"/>
    <w:rsid w:val="001D23C7"/>
    <w:rsid w:val="001D25D0"/>
    <w:rsid w:val="001D28A1"/>
    <w:rsid w:val="001D2A50"/>
    <w:rsid w:val="001D353E"/>
    <w:rsid w:val="001D4327"/>
    <w:rsid w:val="001D5485"/>
    <w:rsid w:val="001D55C1"/>
    <w:rsid w:val="001D5DE7"/>
    <w:rsid w:val="001D63F4"/>
    <w:rsid w:val="001D67F1"/>
    <w:rsid w:val="001D6CB9"/>
    <w:rsid w:val="001D7D8E"/>
    <w:rsid w:val="001E0E7C"/>
    <w:rsid w:val="001E176E"/>
    <w:rsid w:val="001E2E1C"/>
    <w:rsid w:val="001E47B2"/>
    <w:rsid w:val="001E5B55"/>
    <w:rsid w:val="001E5CBD"/>
    <w:rsid w:val="001E683C"/>
    <w:rsid w:val="001E6A8D"/>
    <w:rsid w:val="001E7698"/>
    <w:rsid w:val="001F0F4F"/>
    <w:rsid w:val="001F13E6"/>
    <w:rsid w:val="001F199C"/>
    <w:rsid w:val="001F235C"/>
    <w:rsid w:val="001F2810"/>
    <w:rsid w:val="001F2C44"/>
    <w:rsid w:val="001F2E21"/>
    <w:rsid w:val="001F4597"/>
    <w:rsid w:val="001F4E4F"/>
    <w:rsid w:val="001F5608"/>
    <w:rsid w:val="001F566A"/>
    <w:rsid w:val="001F6D50"/>
    <w:rsid w:val="00200FDE"/>
    <w:rsid w:val="00201371"/>
    <w:rsid w:val="0020344B"/>
    <w:rsid w:val="00203CB8"/>
    <w:rsid w:val="00204888"/>
    <w:rsid w:val="00204C88"/>
    <w:rsid w:val="0020532C"/>
    <w:rsid w:val="00205612"/>
    <w:rsid w:val="0020602B"/>
    <w:rsid w:val="0020650B"/>
    <w:rsid w:val="00206913"/>
    <w:rsid w:val="00207A19"/>
    <w:rsid w:val="00207F13"/>
    <w:rsid w:val="00210640"/>
    <w:rsid w:val="00210E65"/>
    <w:rsid w:val="00211943"/>
    <w:rsid w:val="00211B47"/>
    <w:rsid w:val="00211FE6"/>
    <w:rsid w:val="00212203"/>
    <w:rsid w:val="002130BB"/>
    <w:rsid w:val="00213EC5"/>
    <w:rsid w:val="00213F1F"/>
    <w:rsid w:val="002146CD"/>
    <w:rsid w:val="00214B91"/>
    <w:rsid w:val="00214EBD"/>
    <w:rsid w:val="00214F12"/>
    <w:rsid w:val="00215CDE"/>
    <w:rsid w:val="002167E5"/>
    <w:rsid w:val="00216EB6"/>
    <w:rsid w:val="00217508"/>
    <w:rsid w:val="00217927"/>
    <w:rsid w:val="00217941"/>
    <w:rsid w:val="002179FE"/>
    <w:rsid w:val="00217ED9"/>
    <w:rsid w:val="00220219"/>
    <w:rsid w:val="00220971"/>
    <w:rsid w:val="00220B6B"/>
    <w:rsid w:val="00221277"/>
    <w:rsid w:val="00221300"/>
    <w:rsid w:val="0022139E"/>
    <w:rsid w:val="002216F1"/>
    <w:rsid w:val="002217E7"/>
    <w:rsid w:val="00222EDB"/>
    <w:rsid w:val="00223A34"/>
    <w:rsid w:val="002245E7"/>
    <w:rsid w:val="00224706"/>
    <w:rsid w:val="00224AF0"/>
    <w:rsid w:val="002252E0"/>
    <w:rsid w:val="002255F6"/>
    <w:rsid w:val="00226358"/>
    <w:rsid w:val="00226958"/>
    <w:rsid w:val="00226EEF"/>
    <w:rsid w:val="0023004F"/>
    <w:rsid w:val="00230A72"/>
    <w:rsid w:val="00230B35"/>
    <w:rsid w:val="002320A5"/>
    <w:rsid w:val="0023214C"/>
    <w:rsid w:val="00232D16"/>
    <w:rsid w:val="00233C42"/>
    <w:rsid w:val="002346F8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F74"/>
    <w:rsid w:val="00243F77"/>
    <w:rsid w:val="00244A15"/>
    <w:rsid w:val="00245E86"/>
    <w:rsid w:val="00246693"/>
    <w:rsid w:val="0024799E"/>
    <w:rsid w:val="00247C43"/>
    <w:rsid w:val="00247DB8"/>
    <w:rsid w:val="002503D9"/>
    <w:rsid w:val="0025064A"/>
    <w:rsid w:val="00250932"/>
    <w:rsid w:val="0025183D"/>
    <w:rsid w:val="002524DD"/>
    <w:rsid w:val="002530C7"/>
    <w:rsid w:val="00253360"/>
    <w:rsid w:val="0025402D"/>
    <w:rsid w:val="00254077"/>
    <w:rsid w:val="002545BF"/>
    <w:rsid w:val="0025480C"/>
    <w:rsid w:val="002557E9"/>
    <w:rsid w:val="00255E70"/>
    <w:rsid w:val="002561A8"/>
    <w:rsid w:val="0025630A"/>
    <w:rsid w:val="00257229"/>
    <w:rsid w:val="0025762A"/>
    <w:rsid w:val="00260CBE"/>
    <w:rsid w:val="00261CBA"/>
    <w:rsid w:val="002620B2"/>
    <w:rsid w:val="00262367"/>
    <w:rsid w:val="002623DB"/>
    <w:rsid w:val="00262DE2"/>
    <w:rsid w:val="00263056"/>
    <w:rsid w:val="00264214"/>
    <w:rsid w:val="00264588"/>
    <w:rsid w:val="00264BA9"/>
    <w:rsid w:val="00264EFE"/>
    <w:rsid w:val="002662F1"/>
    <w:rsid w:val="0026786F"/>
    <w:rsid w:val="002702CD"/>
    <w:rsid w:val="002704E6"/>
    <w:rsid w:val="00272CB1"/>
    <w:rsid w:val="002731CD"/>
    <w:rsid w:val="002734B4"/>
    <w:rsid w:val="002741F8"/>
    <w:rsid w:val="00274DB5"/>
    <w:rsid w:val="002756B7"/>
    <w:rsid w:val="002760D2"/>
    <w:rsid w:val="00276B63"/>
    <w:rsid w:val="0027795A"/>
    <w:rsid w:val="00277B21"/>
    <w:rsid w:val="002817BF"/>
    <w:rsid w:val="00281CA1"/>
    <w:rsid w:val="002822A5"/>
    <w:rsid w:val="002829BA"/>
    <w:rsid w:val="00282B15"/>
    <w:rsid w:val="00283092"/>
    <w:rsid w:val="00283437"/>
    <w:rsid w:val="00284657"/>
    <w:rsid w:val="00284D4D"/>
    <w:rsid w:val="002856FF"/>
    <w:rsid w:val="00285D88"/>
    <w:rsid w:val="002864D7"/>
    <w:rsid w:val="00286723"/>
    <w:rsid w:val="00286B25"/>
    <w:rsid w:val="00286DD7"/>
    <w:rsid w:val="00290410"/>
    <w:rsid w:val="00290C0F"/>
    <w:rsid w:val="00291229"/>
    <w:rsid w:val="00291B51"/>
    <w:rsid w:val="00292130"/>
    <w:rsid w:val="00292E6B"/>
    <w:rsid w:val="00293EA3"/>
    <w:rsid w:val="00293EC4"/>
    <w:rsid w:val="002941F0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2C2"/>
    <w:rsid w:val="002A4E39"/>
    <w:rsid w:val="002A4F13"/>
    <w:rsid w:val="002A63D7"/>
    <w:rsid w:val="002A6C63"/>
    <w:rsid w:val="002A6FDB"/>
    <w:rsid w:val="002A7417"/>
    <w:rsid w:val="002A7E18"/>
    <w:rsid w:val="002A7EF5"/>
    <w:rsid w:val="002B08C4"/>
    <w:rsid w:val="002B0AA0"/>
    <w:rsid w:val="002B0B7D"/>
    <w:rsid w:val="002B0C26"/>
    <w:rsid w:val="002B2AA3"/>
    <w:rsid w:val="002B3582"/>
    <w:rsid w:val="002B394B"/>
    <w:rsid w:val="002B57FF"/>
    <w:rsid w:val="002B5CCA"/>
    <w:rsid w:val="002B5FCC"/>
    <w:rsid w:val="002B6AC4"/>
    <w:rsid w:val="002B7E2D"/>
    <w:rsid w:val="002C041D"/>
    <w:rsid w:val="002C077E"/>
    <w:rsid w:val="002C31D3"/>
    <w:rsid w:val="002C3789"/>
    <w:rsid w:val="002C43BD"/>
    <w:rsid w:val="002C4625"/>
    <w:rsid w:val="002C5037"/>
    <w:rsid w:val="002C5EA5"/>
    <w:rsid w:val="002C6DE2"/>
    <w:rsid w:val="002D0891"/>
    <w:rsid w:val="002D15F5"/>
    <w:rsid w:val="002D176C"/>
    <w:rsid w:val="002D1F51"/>
    <w:rsid w:val="002D212C"/>
    <w:rsid w:val="002D2D6D"/>
    <w:rsid w:val="002D3AE2"/>
    <w:rsid w:val="002D3DF2"/>
    <w:rsid w:val="002D4653"/>
    <w:rsid w:val="002D47D8"/>
    <w:rsid w:val="002D4C3F"/>
    <w:rsid w:val="002D526C"/>
    <w:rsid w:val="002D5E15"/>
    <w:rsid w:val="002D6B79"/>
    <w:rsid w:val="002D6D37"/>
    <w:rsid w:val="002E0064"/>
    <w:rsid w:val="002E02A1"/>
    <w:rsid w:val="002E1344"/>
    <w:rsid w:val="002E1696"/>
    <w:rsid w:val="002E1B16"/>
    <w:rsid w:val="002E2D2E"/>
    <w:rsid w:val="002E316E"/>
    <w:rsid w:val="002E378A"/>
    <w:rsid w:val="002E415C"/>
    <w:rsid w:val="002E4175"/>
    <w:rsid w:val="002E54BA"/>
    <w:rsid w:val="002E56EA"/>
    <w:rsid w:val="002E60FD"/>
    <w:rsid w:val="002E738D"/>
    <w:rsid w:val="002F075D"/>
    <w:rsid w:val="002F0E82"/>
    <w:rsid w:val="002F13A6"/>
    <w:rsid w:val="002F1C8F"/>
    <w:rsid w:val="002F2B14"/>
    <w:rsid w:val="002F3763"/>
    <w:rsid w:val="002F383B"/>
    <w:rsid w:val="002F4610"/>
    <w:rsid w:val="002F473A"/>
    <w:rsid w:val="002F4840"/>
    <w:rsid w:val="002F536B"/>
    <w:rsid w:val="002F77B1"/>
    <w:rsid w:val="002F7B2D"/>
    <w:rsid w:val="00300C5E"/>
    <w:rsid w:val="0030115C"/>
    <w:rsid w:val="00301C0F"/>
    <w:rsid w:val="003029B7"/>
    <w:rsid w:val="00303628"/>
    <w:rsid w:val="00304771"/>
    <w:rsid w:val="003060E9"/>
    <w:rsid w:val="0030627B"/>
    <w:rsid w:val="003064BE"/>
    <w:rsid w:val="00306C5B"/>
    <w:rsid w:val="003070A1"/>
    <w:rsid w:val="003103E0"/>
    <w:rsid w:val="00310D3B"/>
    <w:rsid w:val="00311DC4"/>
    <w:rsid w:val="00312184"/>
    <w:rsid w:val="003121CB"/>
    <w:rsid w:val="003123E5"/>
    <w:rsid w:val="00312A86"/>
    <w:rsid w:val="00313226"/>
    <w:rsid w:val="003132A5"/>
    <w:rsid w:val="0031345A"/>
    <w:rsid w:val="003136F4"/>
    <w:rsid w:val="003138D5"/>
    <w:rsid w:val="00313C1A"/>
    <w:rsid w:val="00313E77"/>
    <w:rsid w:val="0031447E"/>
    <w:rsid w:val="0031517D"/>
    <w:rsid w:val="00315574"/>
    <w:rsid w:val="003156E7"/>
    <w:rsid w:val="00315836"/>
    <w:rsid w:val="00317C0E"/>
    <w:rsid w:val="00317EEE"/>
    <w:rsid w:val="003209D6"/>
    <w:rsid w:val="00320BE7"/>
    <w:rsid w:val="00321440"/>
    <w:rsid w:val="00321F4E"/>
    <w:rsid w:val="0032237D"/>
    <w:rsid w:val="00322C43"/>
    <w:rsid w:val="00325432"/>
    <w:rsid w:val="00325563"/>
    <w:rsid w:val="003257F5"/>
    <w:rsid w:val="00325DD0"/>
    <w:rsid w:val="0032720A"/>
    <w:rsid w:val="00327D6C"/>
    <w:rsid w:val="00330B08"/>
    <w:rsid w:val="0033136D"/>
    <w:rsid w:val="0033205F"/>
    <w:rsid w:val="00332CDF"/>
    <w:rsid w:val="0033328F"/>
    <w:rsid w:val="00334173"/>
    <w:rsid w:val="00336397"/>
    <w:rsid w:val="0033669D"/>
    <w:rsid w:val="00336DF1"/>
    <w:rsid w:val="00336EB5"/>
    <w:rsid w:val="0033719B"/>
    <w:rsid w:val="00337388"/>
    <w:rsid w:val="003406D8"/>
    <w:rsid w:val="00341ECF"/>
    <w:rsid w:val="00342B2F"/>
    <w:rsid w:val="00342CAF"/>
    <w:rsid w:val="00342D7F"/>
    <w:rsid w:val="003441BE"/>
    <w:rsid w:val="003446EA"/>
    <w:rsid w:val="00345A98"/>
    <w:rsid w:val="00345C77"/>
    <w:rsid w:val="00346D5F"/>
    <w:rsid w:val="003514E7"/>
    <w:rsid w:val="00351E54"/>
    <w:rsid w:val="00352A02"/>
    <w:rsid w:val="00354F8F"/>
    <w:rsid w:val="0035559D"/>
    <w:rsid w:val="0035597D"/>
    <w:rsid w:val="00356188"/>
    <w:rsid w:val="003562A5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CC8"/>
    <w:rsid w:val="00360828"/>
    <w:rsid w:val="00360E7E"/>
    <w:rsid w:val="00361836"/>
    <w:rsid w:val="00361C6F"/>
    <w:rsid w:val="00362FDE"/>
    <w:rsid w:val="003630C8"/>
    <w:rsid w:val="003643CA"/>
    <w:rsid w:val="00364AA8"/>
    <w:rsid w:val="00364E4D"/>
    <w:rsid w:val="003657F3"/>
    <w:rsid w:val="0036766A"/>
    <w:rsid w:val="00367752"/>
    <w:rsid w:val="003678FD"/>
    <w:rsid w:val="00367BB0"/>
    <w:rsid w:val="003719DA"/>
    <w:rsid w:val="00371D3C"/>
    <w:rsid w:val="003740E9"/>
    <w:rsid w:val="0037506F"/>
    <w:rsid w:val="00377E3B"/>
    <w:rsid w:val="0038020A"/>
    <w:rsid w:val="003808B1"/>
    <w:rsid w:val="00380CC2"/>
    <w:rsid w:val="003810B7"/>
    <w:rsid w:val="003814FD"/>
    <w:rsid w:val="00381C35"/>
    <w:rsid w:val="00381F09"/>
    <w:rsid w:val="003822AB"/>
    <w:rsid w:val="00382C33"/>
    <w:rsid w:val="00383513"/>
    <w:rsid w:val="00383793"/>
    <w:rsid w:val="0038546D"/>
    <w:rsid w:val="00385D98"/>
    <w:rsid w:val="00386DF2"/>
    <w:rsid w:val="00386F3B"/>
    <w:rsid w:val="00387C68"/>
    <w:rsid w:val="00387E11"/>
    <w:rsid w:val="003919FF"/>
    <w:rsid w:val="00391AA7"/>
    <w:rsid w:val="0039310B"/>
    <w:rsid w:val="00393347"/>
    <w:rsid w:val="0039379F"/>
    <w:rsid w:val="00393C21"/>
    <w:rsid w:val="00393F5D"/>
    <w:rsid w:val="00394912"/>
    <w:rsid w:val="00395150"/>
    <w:rsid w:val="003951A0"/>
    <w:rsid w:val="00395620"/>
    <w:rsid w:val="00395CCB"/>
    <w:rsid w:val="00396CCA"/>
    <w:rsid w:val="00396CEE"/>
    <w:rsid w:val="003A063A"/>
    <w:rsid w:val="003A09D2"/>
    <w:rsid w:val="003A0D1B"/>
    <w:rsid w:val="003A1184"/>
    <w:rsid w:val="003A221E"/>
    <w:rsid w:val="003A23ED"/>
    <w:rsid w:val="003A25FF"/>
    <w:rsid w:val="003A2B4D"/>
    <w:rsid w:val="003A2BD0"/>
    <w:rsid w:val="003A35E8"/>
    <w:rsid w:val="003A3E76"/>
    <w:rsid w:val="003A4439"/>
    <w:rsid w:val="003A478C"/>
    <w:rsid w:val="003A51EA"/>
    <w:rsid w:val="003A5525"/>
    <w:rsid w:val="003A557C"/>
    <w:rsid w:val="003A6051"/>
    <w:rsid w:val="003A678B"/>
    <w:rsid w:val="003A6B38"/>
    <w:rsid w:val="003A7FE1"/>
    <w:rsid w:val="003B0413"/>
    <w:rsid w:val="003B07C1"/>
    <w:rsid w:val="003B10C4"/>
    <w:rsid w:val="003B186E"/>
    <w:rsid w:val="003B2BAD"/>
    <w:rsid w:val="003B2C71"/>
    <w:rsid w:val="003B3FE2"/>
    <w:rsid w:val="003B40C5"/>
    <w:rsid w:val="003B4110"/>
    <w:rsid w:val="003B4725"/>
    <w:rsid w:val="003B49A8"/>
    <w:rsid w:val="003B4B1C"/>
    <w:rsid w:val="003B4DF4"/>
    <w:rsid w:val="003B5A32"/>
    <w:rsid w:val="003B5C46"/>
    <w:rsid w:val="003B5CC3"/>
    <w:rsid w:val="003B658C"/>
    <w:rsid w:val="003B6754"/>
    <w:rsid w:val="003B7140"/>
    <w:rsid w:val="003B7401"/>
    <w:rsid w:val="003B771D"/>
    <w:rsid w:val="003B77FC"/>
    <w:rsid w:val="003C064D"/>
    <w:rsid w:val="003C0B1A"/>
    <w:rsid w:val="003C0B2C"/>
    <w:rsid w:val="003C0EB4"/>
    <w:rsid w:val="003C1060"/>
    <w:rsid w:val="003C1606"/>
    <w:rsid w:val="003C1989"/>
    <w:rsid w:val="003C2615"/>
    <w:rsid w:val="003C2A63"/>
    <w:rsid w:val="003C2F6F"/>
    <w:rsid w:val="003C3F7D"/>
    <w:rsid w:val="003C48BB"/>
    <w:rsid w:val="003C59A0"/>
    <w:rsid w:val="003C5D6B"/>
    <w:rsid w:val="003C63D9"/>
    <w:rsid w:val="003C6D14"/>
    <w:rsid w:val="003C7713"/>
    <w:rsid w:val="003D043A"/>
    <w:rsid w:val="003D1EAD"/>
    <w:rsid w:val="003D3D33"/>
    <w:rsid w:val="003D3DB2"/>
    <w:rsid w:val="003D3EC5"/>
    <w:rsid w:val="003D487D"/>
    <w:rsid w:val="003D5F99"/>
    <w:rsid w:val="003D5FAC"/>
    <w:rsid w:val="003D70EC"/>
    <w:rsid w:val="003E126A"/>
    <w:rsid w:val="003E2878"/>
    <w:rsid w:val="003E2BEE"/>
    <w:rsid w:val="003E2E12"/>
    <w:rsid w:val="003E40BE"/>
    <w:rsid w:val="003E5375"/>
    <w:rsid w:val="003E542D"/>
    <w:rsid w:val="003E5F6B"/>
    <w:rsid w:val="003E659E"/>
    <w:rsid w:val="003E79D0"/>
    <w:rsid w:val="003F05BE"/>
    <w:rsid w:val="003F0699"/>
    <w:rsid w:val="003F10C4"/>
    <w:rsid w:val="003F1C9D"/>
    <w:rsid w:val="003F279F"/>
    <w:rsid w:val="003F313C"/>
    <w:rsid w:val="003F40B3"/>
    <w:rsid w:val="003F467A"/>
    <w:rsid w:val="003F6140"/>
    <w:rsid w:val="003F62AA"/>
    <w:rsid w:val="00400042"/>
    <w:rsid w:val="00400045"/>
    <w:rsid w:val="00400142"/>
    <w:rsid w:val="0040160E"/>
    <w:rsid w:val="00401DEB"/>
    <w:rsid w:val="004031C8"/>
    <w:rsid w:val="00406CBE"/>
    <w:rsid w:val="004070A8"/>
    <w:rsid w:val="004076FC"/>
    <w:rsid w:val="00407952"/>
    <w:rsid w:val="00410D5F"/>
    <w:rsid w:val="00410D77"/>
    <w:rsid w:val="004116AB"/>
    <w:rsid w:val="004116C5"/>
    <w:rsid w:val="004121C6"/>
    <w:rsid w:val="004123F8"/>
    <w:rsid w:val="00412853"/>
    <w:rsid w:val="00412C07"/>
    <w:rsid w:val="00414240"/>
    <w:rsid w:val="004159BE"/>
    <w:rsid w:val="0041696B"/>
    <w:rsid w:val="0041750A"/>
    <w:rsid w:val="0042093A"/>
    <w:rsid w:val="00422315"/>
    <w:rsid w:val="00422D29"/>
    <w:rsid w:val="00423516"/>
    <w:rsid w:val="004236B3"/>
    <w:rsid w:val="004251DA"/>
    <w:rsid w:val="00427031"/>
    <w:rsid w:val="00427185"/>
    <w:rsid w:val="00427765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6048"/>
    <w:rsid w:val="004362C3"/>
    <w:rsid w:val="004366E9"/>
    <w:rsid w:val="00437CD7"/>
    <w:rsid w:val="0044116D"/>
    <w:rsid w:val="004423DA"/>
    <w:rsid w:val="00442AFE"/>
    <w:rsid w:val="00442F8D"/>
    <w:rsid w:val="004434A7"/>
    <w:rsid w:val="004434D1"/>
    <w:rsid w:val="00446BDF"/>
    <w:rsid w:val="004479AD"/>
    <w:rsid w:val="00450AA9"/>
    <w:rsid w:val="0045122A"/>
    <w:rsid w:val="00452B89"/>
    <w:rsid w:val="00453D53"/>
    <w:rsid w:val="00454626"/>
    <w:rsid w:val="00455781"/>
    <w:rsid w:val="00455B9C"/>
    <w:rsid w:val="00455C0E"/>
    <w:rsid w:val="00455CA7"/>
    <w:rsid w:val="0045641C"/>
    <w:rsid w:val="00456EBB"/>
    <w:rsid w:val="00457118"/>
    <w:rsid w:val="004601EC"/>
    <w:rsid w:val="00460471"/>
    <w:rsid w:val="004618A8"/>
    <w:rsid w:val="00462729"/>
    <w:rsid w:val="00463478"/>
    <w:rsid w:val="004638C8"/>
    <w:rsid w:val="004641AA"/>
    <w:rsid w:val="00464380"/>
    <w:rsid w:val="00464A1B"/>
    <w:rsid w:val="00465311"/>
    <w:rsid w:val="00466D51"/>
    <w:rsid w:val="00470603"/>
    <w:rsid w:val="00470CEE"/>
    <w:rsid w:val="0047128A"/>
    <w:rsid w:val="004721FE"/>
    <w:rsid w:val="00472688"/>
    <w:rsid w:val="00473C7D"/>
    <w:rsid w:val="00473FDD"/>
    <w:rsid w:val="004741CD"/>
    <w:rsid w:val="0047685A"/>
    <w:rsid w:val="0047726D"/>
    <w:rsid w:val="00477806"/>
    <w:rsid w:val="0048139F"/>
    <w:rsid w:val="00481B3C"/>
    <w:rsid w:val="00481FEA"/>
    <w:rsid w:val="00482A95"/>
    <w:rsid w:val="004839AB"/>
    <w:rsid w:val="00483CCC"/>
    <w:rsid w:val="00483D06"/>
    <w:rsid w:val="00484D2D"/>
    <w:rsid w:val="00485020"/>
    <w:rsid w:val="0048672E"/>
    <w:rsid w:val="00487D59"/>
    <w:rsid w:val="00491701"/>
    <w:rsid w:val="004935F8"/>
    <w:rsid w:val="00493A9C"/>
    <w:rsid w:val="004941D8"/>
    <w:rsid w:val="00495130"/>
    <w:rsid w:val="00495BF2"/>
    <w:rsid w:val="0049706C"/>
    <w:rsid w:val="004971B6"/>
    <w:rsid w:val="00497328"/>
    <w:rsid w:val="004A1343"/>
    <w:rsid w:val="004A25C3"/>
    <w:rsid w:val="004A29D3"/>
    <w:rsid w:val="004A3DC9"/>
    <w:rsid w:val="004A3E53"/>
    <w:rsid w:val="004A468E"/>
    <w:rsid w:val="004A51C4"/>
    <w:rsid w:val="004A5AE0"/>
    <w:rsid w:val="004A77A8"/>
    <w:rsid w:val="004A77DF"/>
    <w:rsid w:val="004B12F7"/>
    <w:rsid w:val="004B1A89"/>
    <w:rsid w:val="004B1B5A"/>
    <w:rsid w:val="004B2E20"/>
    <w:rsid w:val="004B2E8D"/>
    <w:rsid w:val="004B55B7"/>
    <w:rsid w:val="004B632A"/>
    <w:rsid w:val="004B6BA1"/>
    <w:rsid w:val="004B793A"/>
    <w:rsid w:val="004B7BC0"/>
    <w:rsid w:val="004C16AD"/>
    <w:rsid w:val="004C1966"/>
    <w:rsid w:val="004C1C5E"/>
    <w:rsid w:val="004C2E6C"/>
    <w:rsid w:val="004C3867"/>
    <w:rsid w:val="004C3C3D"/>
    <w:rsid w:val="004C3FE7"/>
    <w:rsid w:val="004C4CD0"/>
    <w:rsid w:val="004C5519"/>
    <w:rsid w:val="004C678A"/>
    <w:rsid w:val="004C704F"/>
    <w:rsid w:val="004C70DC"/>
    <w:rsid w:val="004D0211"/>
    <w:rsid w:val="004D042F"/>
    <w:rsid w:val="004D0A65"/>
    <w:rsid w:val="004D1E50"/>
    <w:rsid w:val="004D2A08"/>
    <w:rsid w:val="004D2A4B"/>
    <w:rsid w:val="004D2C2A"/>
    <w:rsid w:val="004D2C8B"/>
    <w:rsid w:val="004D3701"/>
    <w:rsid w:val="004D5F45"/>
    <w:rsid w:val="004D61D4"/>
    <w:rsid w:val="004D61D5"/>
    <w:rsid w:val="004D6318"/>
    <w:rsid w:val="004D66D6"/>
    <w:rsid w:val="004D6A27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6E16"/>
    <w:rsid w:val="004E7AE1"/>
    <w:rsid w:val="004E7E5F"/>
    <w:rsid w:val="004F0354"/>
    <w:rsid w:val="004F06F5"/>
    <w:rsid w:val="004F15EE"/>
    <w:rsid w:val="004F16EE"/>
    <w:rsid w:val="004F17DD"/>
    <w:rsid w:val="004F1ECB"/>
    <w:rsid w:val="004F1F5F"/>
    <w:rsid w:val="004F2C2E"/>
    <w:rsid w:val="004F3087"/>
    <w:rsid w:val="004F33A0"/>
    <w:rsid w:val="004F3C0D"/>
    <w:rsid w:val="004F4E78"/>
    <w:rsid w:val="004F565F"/>
    <w:rsid w:val="004F5FC4"/>
    <w:rsid w:val="004F6276"/>
    <w:rsid w:val="004F72DA"/>
    <w:rsid w:val="004F7E2C"/>
    <w:rsid w:val="00502D0B"/>
    <w:rsid w:val="00503A24"/>
    <w:rsid w:val="00503ACA"/>
    <w:rsid w:val="00504084"/>
    <w:rsid w:val="00504AF2"/>
    <w:rsid w:val="00505549"/>
    <w:rsid w:val="00506563"/>
    <w:rsid w:val="005072E8"/>
    <w:rsid w:val="005077B3"/>
    <w:rsid w:val="005108C0"/>
    <w:rsid w:val="00510BB8"/>
    <w:rsid w:val="00510F11"/>
    <w:rsid w:val="0051105A"/>
    <w:rsid w:val="005116AE"/>
    <w:rsid w:val="00511873"/>
    <w:rsid w:val="005124A8"/>
    <w:rsid w:val="00512880"/>
    <w:rsid w:val="00512DE2"/>
    <w:rsid w:val="00513211"/>
    <w:rsid w:val="0051375B"/>
    <w:rsid w:val="00513B7E"/>
    <w:rsid w:val="00513F1A"/>
    <w:rsid w:val="0051439D"/>
    <w:rsid w:val="005161B9"/>
    <w:rsid w:val="00516C32"/>
    <w:rsid w:val="005170FE"/>
    <w:rsid w:val="00517199"/>
    <w:rsid w:val="00517262"/>
    <w:rsid w:val="0051743B"/>
    <w:rsid w:val="0051750C"/>
    <w:rsid w:val="00517B67"/>
    <w:rsid w:val="00520D35"/>
    <w:rsid w:val="00520DE9"/>
    <w:rsid w:val="00521358"/>
    <w:rsid w:val="0052170D"/>
    <w:rsid w:val="00521D61"/>
    <w:rsid w:val="00521FEE"/>
    <w:rsid w:val="0052262B"/>
    <w:rsid w:val="005227FD"/>
    <w:rsid w:val="00524172"/>
    <w:rsid w:val="0052419A"/>
    <w:rsid w:val="00525137"/>
    <w:rsid w:val="005251DD"/>
    <w:rsid w:val="00526F7C"/>
    <w:rsid w:val="00527020"/>
    <w:rsid w:val="00527B11"/>
    <w:rsid w:val="005302AA"/>
    <w:rsid w:val="00530DA1"/>
    <w:rsid w:val="0053109F"/>
    <w:rsid w:val="005325E6"/>
    <w:rsid w:val="0053295E"/>
    <w:rsid w:val="0053309F"/>
    <w:rsid w:val="005333E4"/>
    <w:rsid w:val="00533F4C"/>
    <w:rsid w:val="005342AF"/>
    <w:rsid w:val="00534864"/>
    <w:rsid w:val="005352AF"/>
    <w:rsid w:val="00535D2B"/>
    <w:rsid w:val="005362C2"/>
    <w:rsid w:val="005378E7"/>
    <w:rsid w:val="005426BE"/>
    <w:rsid w:val="00542D4A"/>
    <w:rsid w:val="0054323E"/>
    <w:rsid w:val="00543AB1"/>
    <w:rsid w:val="00544E06"/>
    <w:rsid w:val="00544F4C"/>
    <w:rsid w:val="0054507C"/>
    <w:rsid w:val="00545AFD"/>
    <w:rsid w:val="0054688A"/>
    <w:rsid w:val="00547A35"/>
    <w:rsid w:val="005501E1"/>
    <w:rsid w:val="00550D0B"/>
    <w:rsid w:val="0055195E"/>
    <w:rsid w:val="00552CA7"/>
    <w:rsid w:val="00553A7D"/>
    <w:rsid w:val="00553D10"/>
    <w:rsid w:val="00553DE4"/>
    <w:rsid w:val="00553ECF"/>
    <w:rsid w:val="005559F0"/>
    <w:rsid w:val="005565F2"/>
    <w:rsid w:val="0056078B"/>
    <w:rsid w:val="0056103D"/>
    <w:rsid w:val="00562058"/>
    <w:rsid w:val="0056261D"/>
    <w:rsid w:val="005628B1"/>
    <w:rsid w:val="00562FE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1628"/>
    <w:rsid w:val="00571A83"/>
    <w:rsid w:val="00571D93"/>
    <w:rsid w:val="005734A4"/>
    <w:rsid w:val="005739C6"/>
    <w:rsid w:val="00574467"/>
    <w:rsid w:val="005752A6"/>
    <w:rsid w:val="0057578A"/>
    <w:rsid w:val="00575C23"/>
    <w:rsid w:val="005762E7"/>
    <w:rsid w:val="00576FE4"/>
    <w:rsid w:val="00580982"/>
    <w:rsid w:val="00582D33"/>
    <w:rsid w:val="005832D2"/>
    <w:rsid w:val="00583F8C"/>
    <w:rsid w:val="00583FFD"/>
    <w:rsid w:val="00585C1E"/>
    <w:rsid w:val="0058631E"/>
    <w:rsid w:val="0058632D"/>
    <w:rsid w:val="00586591"/>
    <w:rsid w:val="00586B52"/>
    <w:rsid w:val="005872D8"/>
    <w:rsid w:val="00587530"/>
    <w:rsid w:val="00591242"/>
    <w:rsid w:val="00591B72"/>
    <w:rsid w:val="00592078"/>
    <w:rsid w:val="00593152"/>
    <w:rsid w:val="00593360"/>
    <w:rsid w:val="00593616"/>
    <w:rsid w:val="00593FEE"/>
    <w:rsid w:val="00594BC9"/>
    <w:rsid w:val="00594FB0"/>
    <w:rsid w:val="00595A98"/>
    <w:rsid w:val="00595DC7"/>
    <w:rsid w:val="00597054"/>
    <w:rsid w:val="0059708A"/>
    <w:rsid w:val="005972BB"/>
    <w:rsid w:val="005977E9"/>
    <w:rsid w:val="005979B0"/>
    <w:rsid w:val="00597CF4"/>
    <w:rsid w:val="005A1494"/>
    <w:rsid w:val="005A21E0"/>
    <w:rsid w:val="005A241E"/>
    <w:rsid w:val="005A3201"/>
    <w:rsid w:val="005A3E04"/>
    <w:rsid w:val="005A3EA6"/>
    <w:rsid w:val="005A4679"/>
    <w:rsid w:val="005A5899"/>
    <w:rsid w:val="005A64A8"/>
    <w:rsid w:val="005A670A"/>
    <w:rsid w:val="005A6E20"/>
    <w:rsid w:val="005A7382"/>
    <w:rsid w:val="005A7EA7"/>
    <w:rsid w:val="005B15FE"/>
    <w:rsid w:val="005B1853"/>
    <w:rsid w:val="005B2673"/>
    <w:rsid w:val="005B3B88"/>
    <w:rsid w:val="005B4204"/>
    <w:rsid w:val="005B4A87"/>
    <w:rsid w:val="005B4C9B"/>
    <w:rsid w:val="005B6781"/>
    <w:rsid w:val="005B67D0"/>
    <w:rsid w:val="005B6F35"/>
    <w:rsid w:val="005B7A7A"/>
    <w:rsid w:val="005B7D48"/>
    <w:rsid w:val="005C13AD"/>
    <w:rsid w:val="005C2198"/>
    <w:rsid w:val="005C2C4B"/>
    <w:rsid w:val="005C38DB"/>
    <w:rsid w:val="005C42D5"/>
    <w:rsid w:val="005C665F"/>
    <w:rsid w:val="005C6CD5"/>
    <w:rsid w:val="005D014E"/>
    <w:rsid w:val="005D14B9"/>
    <w:rsid w:val="005D1D2F"/>
    <w:rsid w:val="005D247D"/>
    <w:rsid w:val="005D2D1C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45D"/>
    <w:rsid w:val="005D77CC"/>
    <w:rsid w:val="005E0F32"/>
    <w:rsid w:val="005E229F"/>
    <w:rsid w:val="005E2304"/>
    <w:rsid w:val="005E29BF"/>
    <w:rsid w:val="005E2A43"/>
    <w:rsid w:val="005E2F1E"/>
    <w:rsid w:val="005E35DF"/>
    <w:rsid w:val="005E3777"/>
    <w:rsid w:val="005E379C"/>
    <w:rsid w:val="005E3C06"/>
    <w:rsid w:val="005E4055"/>
    <w:rsid w:val="005E5052"/>
    <w:rsid w:val="005E50D6"/>
    <w:rsid w:val="005E5841"/>
    <w:rsid w:val="005E763D"/>
    <w:rsid w:val="005F172F"/>
    <w:rsid w:val="005F1D78"/>
    <w:rsid w:val="005F3B4D"/>
    <w:rsid w:val="005F5310"/>
    <w:rsid w:val="005F547B"/>
    <w:rsid w:val="005F547C"/>
    <w:rsid w:val="005F59DB"/>
    <w:rsid w:val="005F6C21"/>
    <w:rsid w:val="005F6F7C"/>
    <w:rsid w:val="005F70E5"/>
    <w:rsid w:val="005F75FF"/>
    <w:rsid w:val="00601818"/>
    <w:rsid w:val="006018B6"/>
    <w:rsid w:val="006022F3"/>
    <w:rsid w:val="00602327"/>
    <w:rsid w:val="00602C17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6F2"/>
    <w:rsid w:val="00610EDF"/>
    <w:rsid w:val="00613D01"/>
    <w:rsid w:val="00615A40"/>
    <w:rsid w:val="00615C91"/>
    <w:rsid w:val="006179E9"/>
    <w:rsid w:val="00617A29"/>
    <w:rsid w:val="00620647"/>
    <w:rsid w:val="00624093"/>
    <w:rsid w:val="00625011"/>
    <w:rsid w:val="006257D8"/>
    <w:rsid w:val="0062597D"/>
    <w:rsid w:val="0062615A"/>
    <w:rsid w:val="0062697B"/>
    <w:rsid w:val="00627984"/>
    <w:rsid w:val="0063009F"/>
    <w:rsid w:val="00631432"/>
    <w:rsid w:val="00633681"/>
    <w:rsid w:val="006343AA"/>
    <w:rsid w:val="0063441F"/>
    <w:rsid w:val="0063445D"/>
    <w:rsid w:val="00634D05"/>
    <w:rsid w:val="00635A64"/>
    <w:rsid w:val="00635B61"/>
    <w:rsid w:val="00635B9F"/>
    <w:rsid w:val="0063617B"/>
    <w:rsid w:val="00636B4D"/>
    <w:rsid w:val="00637CA6"/>
    <w:rsid w:val="00640010"/>
    <w:rsid w:val="006404A7"/>
    <w:rsid w:val="00640655"/>
    <w:rsid w:val="00641532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7654"/>
    <w:rsid w:val="006478CF"/>
    <w:rsid w:val="006501C7"/>
    <w:rsid w:val="00651A62"/>
    <w:rsid w:val="00651FE8"/>
    <w:rsid w:val="00655DE1"/>
    <w:rsid w:val="006566C6"/>
    <w:rsid w:val="0065671B"/>
    <w:rsid w:val="006571A0"/>
    <w:rsid w:val="00657290"/>
    <w:rsid w:val="00657E87"/>
    <w:rsid w:val="0066031F"/>
    <w:rsid w:val="0066042C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5D01"/>
    <w:rsid w:val="00666AF3"/>
    <w:rsid w:val="0066780B"/>
    <w:rsid w:val="0067002B"/>
    <w:rsid w:val="00670257"/>
    <w:rsid w:val="00670685"/>
    <w:rsid w:val="0067093A"/>
    <w:rsid w:val="00670ACF"/>
    <w:rsid w:val="00670DB2"/>
    <w:rsid w:val="006710C9"/>
    <w:rsid w:val="00671F3E"/>
    <w:rsid w:val="00672C06"/>
    <w:rsid w:val="00673310"/>
    <w:rsid w:val="00673CD6"/>
    <w:rsid w:val="00674219"/>
    <w:rsid w:val="00674A25"/>
    <w:rsid w:val="00675852"/>
    <w:rsid w:val="00675902"/>
    <w:rsid w:val="00675A9E"/>
    <w:rsid w:val="00675E37"/>
    <w:rsid w:val="00675FEA"/>
    <w:rsid w:val="00677B2E"/>
    <w:rsid w:val="00680988"/>
    <w:rsid w:val="00680E1C"/>
    <w:rsid w:val="0068117C"/>
    <w:rsid w:val="006812AA"/>
    <w:rsid w:val="006819BD"/>
    <w:rsid w:val="00681C45"/>
    <w:rsid w:val="00681D98"/>
    <w:rsid w:val="00681E2C"/>
    <w:rsid w:val="00681EC9"/>
    <w:rsid w:val="0068260E"/>
    <w:rsid w:val="00682746"/>
    <w:rsid w:val="006828B0"/>
    <w:rsid w:val="00685EA0"/>
    <w:rsid w:val="0068647B"/>
    <w:rsid w:val="006869F2"/>
    <w:rsid w:val="00687116"/>
    <w:rsid w:val="00687495"/>
    <w:rsid w:val="00691EF4"/>
    <w:rsid w:val="006927DD"/>
    <w:rsid w:val="00693C50"/>
    <w:rsid w:val="006945E6"/>
    <w:rsid w:val="00694EC8"/>
    <w:rsid w:val="00695112"/>
    <w:rsid w:val="00695276"/>
    <w:rsid w:val="00695457"/>
    <w:rsid w:val="0069580A"/>
    <w:rsid w:val="00695AEB"/>
    <w:rsid w:val="00695BEF"/>
    <w:rsid w:val="00695E31"/>
    <w:rsid w:val="0069634D"/>
    <w:rsid w:val="0069662F"/>
    <w:rsid w:val="00697064"/>
    <w:rsid w:val="006971A0"/>
    <w:rsid w:val="00697444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33D7"/>
    <w:rsid w:val="006A4411"/>
    <w:rsid w:val="006A4AB4"/>
    <w:rsid w:val="006A523D"/>
    <w:rsid w:val="006A5597"/>
    <w:rsid w:val="006A65A1"/>
    <w:rsid w:val="006A6843"/>
    <w:rsid w:val="006A7DE1"/>
    <w:rsid w:val="006A7DEE"/>
    <w:rsid w:val="006B0CEA"/>
    <w:rsid w:val="006B1C05"/>
    <w:rsid w:val="006B320D"/>
    <w:rsid w:val="006B3317"/>
    <w:rsid w:val="006B39B8"/>
    <w:rsid w:val="006B4681"/>
    <w:rsid w:val="006B4BB0"/>
    <w:rsid w:val="006B526B"/>
    <w:rsid w:val="006B544A"/>
    <w:rsid w:val="006B5B1C"/>
    <w:rsid w:val="006B5CFF"/>
    <w:rsid w:val="006B6969"/>
    <w:rsid w:val="006B7357"/>
    <w:rsid w:val="006B78D8"/>
    <w:rsid w:val="006B79DE"/>
    <w:rsid w:val="006C05ED"/>
    <w:rsid w:val="006C113F"/>
    <w:rsid w:val="006C2FAF"/>
    <w:rsid w:val="006C3C9F"/>
    <w:rsid w:val="006C4B21"/>
    <w:rsid w:val="006C588F"/>
    <w:rsid w:val="006C5A31"/>
    <w:rsid w:val="006C60B2"/>
    <w:rsid w:val="006C71C9"/>
    <w:rsid w:val="006C738C"/>
    <w:rsid w:val="006D0D80"/>
    <w:rsid w:val="006D12A4"/>
    <w:rsid w:val="006D1920"/>
    <w:rsid w:val="006D1CB5"/>
    <w:rsid w:val="006D4ED0"/>
    <w:rsid w:val="006D566D"/>
    <w:rsid w:val="006D57AE"/>
    <w:rsid w:val="006D57D2"/>
    <w:rsid w:val="006D5CE5"/>
    <w:rsid w:val="006D61F6"/>
    <w:rsid w:val="006D650C"/>
    <w:rsid w:val="006D6684"/>
    <w:rsid w:val="006D6DE4"/>
    <w:rsid w:val="006D7F8A"/>
    <w:rsid w:val="006E09EC"/>
    <w:rsid w:val="006E1072"/>
    <w:rsid w:val="006E2569"/>
    <w:rsid w:val="006E279A"/>
    <w:rsid w:val="006E2F59"/>
    <w:rsid w:val="006E313B"/>
    <w:rsid w:val="006E31D5"/>
    <w:rsid w:val="006E374E"/>
    <w:rsid w:val="006E37B6"/>
    <w:rsid w:val="006E4FB0"/>
    <w:rsid w:val="006E6595"/>
    <w:rsid w:val="006E6ED3"/>
    <w:rsid w:val="006E767E"/>
    <w:rsid w:val="006F05FB"/>
    <w:rsid w:val="006F10FD"/>
    <w:rsid w:val="006F18A3"/>
    <w:rsid w:val="006F1D47"/>
    <w:rsid w:val="006F1D69"/>
    <w:rsid w:val="006F31E2"/>
    <w:rsid w:val="006F3E19"/>
    <w:rsid w:val="006F48C3"/>
    <w:rsid w:val="006F4C74"/>
    <w:rsid w:val="006F5504"/>
    <w:rsid w:val="006F5D6F"/>
    <w:rsid w:val="006F7318"/>
    <w:rsid w:val="006F799D"/>
    <w:rsid w:val="006F7AEC"/>
    <w:rsid w:val="007007AD"/>
    <w:rsid w:val="00700F86"/>
    <w:rsid w:val="00702B39"/>
    <w:rsid w:val="00702DC1"/>
    <w:rsid w:val="007033D3"/>
    <w:rsid w:val="00704AFC"/>
    <w:rsid w:val="00704F00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2D12"/>
    <w:rsid w:val="007131D0"/>
    <w:rsid w:val="00713360"/>
    <w:rsid w:val="0071349D"/>
    <w:rsid w:val="0071369B"/>
    <w:rsid w:val="00713F10"/>
    <w:rsid w:val="007151FF"/>
    <w:rsid w:val="0071532B"/>
    <w:rsid w:val="007154E1"/>
    <w:rsid w:val="007157C6"/>
    <w:rsid w:val="0071720B"/>
    <w:rsid w:val="00717E88"/>
    <w:rsid w:val="0072077E"/>
    <w:rsid w:val="007211F5"/>
    <w:rsid w:val="00721390"/>
    <w:rsid w:val="007217A6"/>
    <w:rsid w:val="00721A73"/>
    <w:rsid w:val="00721CC4"/>
    <w:rsid w:val="007220C5"/>
    <w:rsid w:val="00722F19"/>
    <w:rsid w:val="00723F05"/>
    <w:rsid w:val="007249CD"/>
    <w:rsid w:val="0072567E"/>
    <w:rsid w:val="00725B4E"/>
    <w:rsid w:val="007277D9"/>
    <w:rsid w:val="007279CC"/>
    <w:rsid w:val="00727D7E"/>
    <w:rsid w:val="007305E3"/>
    <w:rsid w:val="00730645"/>
    <w:rsid w:val="00730AE8"/>
    <w:rsid w:val="00730BCD"/>
    <w:rsid w:val="0073232E"/>
    <w:rsid w:val="007325E4"/>
    <w:rsid w:val="00732699"/>
    <w:rsid w:val="00732BFC"/>
    <w:rsid w:val="00733287"/>
    <w:rsid w:val="0073359E"/>
    <w:rsid w:val="00733953"/>
    <w:rsid w:val="007347B8"/>
    <w:rsid w:val="00735172"/>
    <w:rsid w:val="00735199"/>
    <w:rsid w:val="007351A8"/>
    <w:rsid w:val="007361E0"/>
    <w:rsid w:val="0073646A"/>
    <w:rsid w:val="0073738A"/>
    <w:rsid w:val="00737392"/>
    <w:rsid w:val="007412C7"/>
    <w:rsid w:val="00741493"/>
    <w:rsid w:val="00742E47"/>
    <w:rsid w:val="00743D87"/>
    <w:rsid w:val="0074547C"/>
    <w:rsid w:val="0074794F"/>
    <w:rsid w:val="00747C68"/>
    <w:rsid w:val="0075000B"/>
    <w:rsid w:val="00750487"/>
    <w:rsid w:val="00751040"/>
    <w:rsid w:val="00751B88"/>
    <w:rsid w:val="0075203E"/>
    <w:rsid w:val="00752180"/>
    <w:rsid w:val="0075329D"/>
    <w:rsid w:val="0075342A"/>
    <w:rsid w:val="0075351C"/>
    <w:rsid w:val="00753A91"/>
    <w:rsid w:val="0075536F"/>
    <w:rsid w:val="00755AFC"/>
    <w:rsid w:val="00755D3A"/>
    <w:rsid w:val="007565BB"/>
    <w:rsid w:val="00757FA8"/>
    <w:rsid w:val="00757FAD"/>
    <w:rsid w:val="0076065B"/>
    <w:rsid w:val="007609C6"/>
    <w:rsid w:val="00760D47"/>
    <w:rsid w:val="00761B3D"/>
    <w:rsid w:val="00761D2F"/>
    <w:rsid w:val="007620CA"/>
    <w:rsid w:val="00764482"/>
    <w:rsid w:val="007649C1"/>
    <w:rsid w:val="0076517F"/>
    <w:rsid w:val="00765317"/>
    <w:rsid w:val="007702E9"/>
    <w:rsid w:val="0077033A"/>
    <w:rsid w:val="007742A8"/>
    <w:rsid w:val="00774DEB"/>
    <w:rsid w:val="007756E5"/>
    <w:rsid w:val="007762B1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235F"/>
    <w:rsid w:val="007844CC"/>
    <w:rsid w:val="0078670B"/>
    <w:rsid w:val="007870B4"/>
    <w:rsid w:val="007903AF"/>
    <w:rsid w:val="0079069E"/>
    <w:rsid w:val="00790FA4"/>
    <w:rsid w:val="0079114F"/>
    <w:rsid w:val="00792227"/>
    <w:rsid w:val="0079384B"/>
    <w:rsid w:val="00793EC8"/>
    <w:rsid w:val="00793F60"/>
    <w:rsid w:val="007941FC"/>
    <w:rsid w:val="00795134"/>
    <w:rsid w:val="00796369"/>
    <w:rsid w:val="00796584"/>
    <w:rsid w:val="0079685C"/>
    <w:rsid w:val="00796AEC"/>
    <w:rsid w:val="00796E9B"/>
    <w:rsid w:val="00797F5F"/>
    <w:rsid w:val="007A024F"/>
    <w:rsid w:val="007A04D5"/>
    <w:rsid w:val="007A0CD9"/>
    <w:rsid w:val="007A0F2E"/>
    <w:rsid w:val="007A0F3C"/>
    <w:rsid w:val="007A1A65"/>
    <w:rsid w:val="007A1D16"/>
    <w:rsid w:val="007A2925"/>
    <w:rsid w:val="007A2E47"/>
    <w:rsid w:val="007A46D0"/>
    <w:rsid w:val="007A4879"/>
    <w:rsid w:val="007A4BF3"/>
    <w:rsid w:val="007A59BF"/>
    <w:rsid w:val="007A6B30"/>
    <w:rsid w:val="007A7532"/>
    <w:rsid w:val="007A76A8"/>
    <w:rsid w:val="007A77B1"/>
    <w:rsid w:val="007B06EC"/>
    <w:rsid w:val="007B100F"/>
    <w:rsid w:val="007B151E"/>
    <w:rsid w:val="007B185F"/>
    <w:rsid w:val="007B3059"/>
    <w:rsid w:val="007B7003"/>
    <w:rsid w:val="007B7C9D"/>
    <w:rsid w:val="007C167E"/>
    <w:rsid w:val="007C274A"/>
    <w:rsid w:val="007C330F"/>
    <w:rsid w:val="007C358A"/>
    <w:rsid w:val="007C3C87"/>
    <w:rsid w:val="007C3F6A"/>
    <w:rsid w:val="007C4CB8"/>
    <w:rsid w:val="007C4F26"/>
    <w:rsid w:val="007C500D"/>
    <w:rsid w:val="007C5565"/>
    <w:rsid w:val="007C5D3A"/>
    <w:rsid w:val="007C6577"/>
    <w:rsid w:val="007C69D1"/>
    <w:rsid w:val="007D106C"/>
    <w:rsid w:val="007D10AF"/>
    <w:rsid w:val="007D1177"/>
    <w:rsid w:val="007D1312"/>
    <w:rsid w:val="007D136A"/>
    <w:rsid w:val="007D1490"/>
    <w:rsid w:val="007D1F08"/>
    <w:rsid w:val="007D1FB5"/>
    <w:rsid w:val="007D2010"/>
    <w:rsid w:val="007D2356"/>
    <w:rsid w:val="007D28A7"/>
    <w:rsid w:val="007D34AF"/>
    <w:rsid w:val="007D4256"/>
    <w:rsid w:val="007D4A69"/>
    <w:rsid w:val="007D568F"/>
    <w:rsid w:val="007D6225"/>
    <w:rsid w:val="007D689F"/>
    <w:rsid w:val="007D7163"/>
    <w:rsid w:val="007D78DF"/>
    <w:rsid w:val="007E0662"/>
    <w:rsid w:val="007E096B"/>
    <w:rsid w:val="007E0E09"/>
    <w:rsid w:val="007E1172"/>
    <w:rsid w:val="007E17BA"/>
    <w:rsid w:val="007E1850"/>
    <w:rsid w:val="007E29F8"/>
    <w:rsid w:val="007E2CCC"/>
    <w:rsid w:val="007E398B"/>
    <w:rsid w:val="007E3B4A"/>
    <w:rsid w:val="007E3C23"/>
    <w:rsid w:val="007E43C4"/>
    <w:rsid w:val="007E45F6"/>
    <w:rsid w:val="007E48C9"/>
    <w:rsid w:val="007E4EDD"/>
    <w:rsid w:val="007E632F"/>
    <w:rsid w:val="007E6ACF"/>
    <w:rsid w:val="007E6EF8"/>
    <w:rsid w:val="007E7E61"/>
    <w:rsid w:val="007F0398"/>
    <w:rsid w:val="007F0845"/>
    <w:rsid w:val="007F146E"/>
    <w:rsid w:val="007F16B1"/>
    <w:rsid w:val="007F2B39"/>
    <w:rsid w:val="007F2EC9"/>
    <w:rsid w:val="007F334C"/>
    <w:rsid w:val="007F387D"/>
    <w:rsid w:val="007F39BE"/>
    <w:rsid w:val="007F4CF2"/>
    <w:rsid w:val="007F4F70"/>
    <w:rsid w:val="007F5A1B"/>
    <w:rsid w:val="007F5F47"/>
    <w:rsid w:val="007F5F9B"/>
    <w:rsid w:val="007F74E3"/>
    <w:rsid w:val="007F76ED"/>
    <w:rsid w:val="007F7B1C"/>
    <w:rsid w:val="007F7CD2"/>
    <w:rsid w:val="0080002C"/>
    <w:rsid w:val="00800BDE"/>
    <w:rsid w:val="00801664"/>
    <w:rsid w:val="0080185D"/>
    <w:rsid w:val="00801E1D"/>
    <w:rsid w:val="008020DE"/>
    <w:rsid w:val="008022F7"/>
    <w:rsid w:val="00802670"/>
    <w:rsid w:val="00802F88"/>
    <w:rsid w:val="00802F8A"/>
    <w:rsid w:val="008035E4"/>
    <w:rsid w:val="008046F0"/>
    <w:rsid w:val="00804D39"/>
    <w:rsid w:val="0080521C"/>
    <w:rsid w:val="008058BF"/>
    <w:rsid w:val="0080593D"/>
    <w:rsid w:val="00805CA0"/>
    <w:rsid w:val="00805E10"/>
    <w:rsid w:val="0080605A"/>
    <w:rsid w:val="00806D99"/>
    <w:rsid w:val="00807185"/>
    <w:rsid w:val="00807463"/>
    <w:rsid w:val="0080793D"/>
    <w:rsid w:val="00807FB8"/>
    <w:rsid w:val="0081186F"/>
    <w:rsid w:val="008118E4"/>
    <w:rsid w:val="00811FAF"/>
    <w:rsid w:val="0081296A"/>
    <w:rsid w:val="00813EAF"/>
    <w:rsid w:val="00815862"/>
    <w:rsid w:val="00816405"/>
    <w:rsid w:val="00817267"/>
    <w:rsid w:val="00820863"/>
    <w:rsid w:val="00821FF6"/>
    <w:rsid w:val="00822968"/>
    <w:rsid w:val="008229A3"/>
    <w:rsid w:val="00824169"/>
    <w:rsid w:val="00824458"/>
    <w:rsid w:val="00827A65"/>
    <w:rsid w:val="00830465"/>
    <w:rsid w:val="00830A99"/>
    <w:rsid w:val="0083143E"/>
    <w:rsid w:val="0083159F"/>
    <w:rsid w:val="00831B50"/>
    <w:rsid w:val="00831FB0"/>
    <w:rsid w:val="0083264F"/>
    <w:rsid w:val="00832F3D"/>
    <w:rsid w:val="00833802"/>
    <w:rsid w:val="008339DD"/>
    <w:rsid w:val="00834843"/>
    <w:rsid w:val="00834FAA"/>
    <w:rsid w:val="008352FC"/>
    <w:rsid w:val="00835375"/>
    <w:rsid w:val="00835A6F"/>
    <w:rsid w:val="00836086"/>
    <w:rsid w:val="00837C72"/>
    <w:rsid w:val="0084098D"/>
    <w:rsid w:val="00841063"/>
    <w:rsid w:val="008421A4"/>
    <w:rsid w:val="008422CE"/>
    <w:rsid w:val="00842E41"/>
    <w:rsid w:val="00842ED2"/>
    <w:rsid w:val="008433B4"/>
    <w:rsid w:val="008435A5"/>
    <w:rsid w:val="00843B29"/>
    <w:rsid w:val="008440B2"/>
    <w:rsid w:val="0084560E"/>
    <w:rsid w:val="008461CD"/>
    <w:rsid w:val="008467F2"/>
    <w:rsid w:val="00846D3D"/>
    <w:rsid w:val="00847287"/>
    <w:rsid w:val="00847B1D"/>
    <w:rsid w:val="0085001C"/>
    <w:rsid w:val="00850C25"/>
    <w:rsid w:val="008511B6"/>
    <w:rsid w:val="008523E1"/>
    <w:rsid w:val="00852A9B"/>
    <w:rsid w:val="00854199"/>
    <w:rsid w:val="00854ECB"/>
    <w:rsid w:val="008552CF"/>
    <w:rsid w:val="008565D1"/>
    <w:rsid w:val="00856B1E"/>
    <w:rsid w:val="00856DDF"/>
    <w:rsid w:val="00856EE2"/>
    <w:rsid w:val="00860388"/>
    <w:rsid w:val="008609BC"/>
    <w:rsid w:val="00860EAB"/>
    <w:rsid w:val="008616C8"/>
    <w:rsid w:val="00862860"/>
    <w:rsid w:val="00862E91"/>
    <w:rsid w:val="00862E95"/>
    <w:rsid w:val="00862EA2"/>
    <w:rsid w:val="00863027"/>
    <w:rsid w:val="00863392"/>
    <w:rsid w:val="008639C0"/>
    <w:rsid w:val="00863D57"/>
    <w:rsid w:val="00864524"/>
    <w:rsid w:val="00864A1E"/>
    <w:rsid w:val="00864B0F"/>
    <w:rsid w:val="008657E2"/>
    <w:rsid w:val="008667B3"/>
    <w:rsid w:val="008669D4"/>
    <w:rsid w:val="00867B97"/>
    <w:rsid w:val="00870703"/>
    <w:rsid w:val="008723CF"/>
    <w:rsid w:val="00874492"/>
    <w:rsid w:val="008750BD"/>
    <w:rsid w:val="008753E0"/>
    <w:rsid w:val="00876086"/>
    <w:rsid w:val="008763C0"/>
    <w:rsid w:val="00876874"/>
    <w:rsid w:val="00877604"/>
    <w:rsid w:val="00877B53"/>
    <w:rsid w:val="00881296"/>
    <w:rsid w:val="008828AA"/>
    <w:rsid w:val="00882959"/>
    <w:rsid w:val="00882AA5"/>
    <w:rsid w:val="00882CD6"/>
    <w:rsid w:val="00882DCF"/>
    <w:rsid w:val="00884327"/>
    <w:rsid w:val="00885A9B"/>
    <w:rsid w:val="00885CCD"/>
    <w:rsid w:val="00886218"/>
    <w:rsid w:val="00886B1D"/>
    <w:rsid w:val="008871D7"/>
    <w:rsid w:val="008877F9"/>
    <w:rsid w:val="00887E02"/>
    <w:rsid w:val="00890030"/>
    <w:rsid w:val="008901B4"/>
    <w:rsid w:val="0089026B"/>
    <w:rsid w:val="00890CE9"/>
    <w:rsid w:val="00891DE9"/>
    <w:rsid w:val="008937CB"/>
    <w:rsid w:val="0089406E"/>
    <w:rsid w:val="0089503D"/>
    <w:rsid w:val="00895CA2"/>
    <w:rsid w:val="008965E8"/>
    <w:rsid w:val="008A02AF"/>
    <w:rsid w:val="008A1CCF"/>
    <w:rsid w:val="008A1D33"/>
    <w:rsid w:val="008A25BC"/>
    <w:rsid w:val="008A27B7"/>
    <w:rsid w:val="008A31DC"/>
    <w:rsid w:val="008A364A"/>
    <w:rsid w:val="008A3EFD"/>
    <w:rsid w:val="008A4657"/>
    <w:rsid w:val="008A5856"/>
    <w:rsid w:val="008A5A4E"/>
    <w:rsid w:val="008A67AC"/>
    <w:rsid w:val="008B008C"/>
    <w:rsid w:val="008B07CC"/>
    <w:rsid w:val="008B1F26"/>
    <w:rsid w:val="008B249E"/>
    <w:rsid w:val="008B2742"/>
    <w:rsid w:val="008B3316"/>
    <w:rsid w:val="008B366F"/>
    <w:rsid w:val="008B4F9F"/>
    <w:rsid w:val="008B5BB7"/>
    <w:rsid w:val="008B68EE"/>
    <w:rsid w:val="008B6F75"/>
    <w:rsid w:val="008B7C02"/>
    <w:rsid w:val="008C0003"/>
    <w:rsid w:val="008C05E0"/>
    <w:rsid w:val="008C0A97"/>
    <w:rsid w:val="008C0BAC"/>
    <w:rsid w:val="008C0E88"/>
    <w:rsid w:val="008C1A57"/>
    <w:rsid w:val="008C2515"/>
    <w:rsid w:val="008C295A"/>
    <w:rsid w:val="008C2AA5"/>
    <w:rsid w:val="008C2DF4"/>
    <w:rsid w:val="008C3B0F"/>
    <w:rsid w:val="008C67FC"/>
    <w:rsid w:val="008C7517"/>
    <w:rsid w:val="008D0B8A"/>
    <w:rsid w:val="008D1AF4"/>
    <w:rsid w:val="008D2A16"/>
    <w:rsid w:val="008D3C4A"/>
    <w:rsid w:val="008D5145"/>
    <w:rsid w:val="008D59DE"/>
    <w:rsid w:val="008D5EF6"/>
    <w:rsid w:val="008D5F34"/>
    <w:rsid w:val="008D6196"/>
    <w:rsid w:val="008D752A"/>
    <w:rsid w:val="008D77FF"/>
    <w:rsid w:val="008E08A4"/>
    <w:rsid w:val="008E0E12"/>
    <w:rsid w:val="008E1420"/>
    <w:rsid w:val="008E14DD"/>
    <w:rsid w:val="008E1EFB"/>
    <w:rsid w:val="008E2015"/>
    <w:rsid w:val="008E27DA"/>
    <w:rsid w:val="008E31FF"/>
    <w:rsid w:val="008E3273"/>
    <w:rsid w:val="008E419D"/>
    <w:rsid w:val="008E4516"/>
    <w:rsid w:val="008E535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B27"/>
    <w:rsid w:val="008F0ED5"/>
    <w:rsid w:val="008F0FD2"/>
    <w:rsid w:val="008F2174"/>
    <w:rsid w:val="008F23E4"/>
    <w:rsid w:val="008F3892"/>
    <w:rsid w:val="008F414A"/>
    <w:rsid w:val="008F4D46"/>
    <w:rsid w:val="008F5169"/>
    <w:rsid w:val="008F6590"/>
    <w:rsid w:val="008F6FCE"/>
    <w:rsid w:val="008F79C3"/>
    <w:rsid w:val="009003A8"/>
    <w:rsid w:val="0090143F"/>
    <w:rsid w:val="00901EE1"/>
    <w:rsid w:val="00902EFF"/>
    <w:rsid w:val="00903369"/>
    <w:rsid w:val="009052AE"/>
    <w:rsid w:val="00905BBE"/>
    <w:rsid w:val="00906960"/>
    <w:rsid w:val="00907228"/>
    <w:rsid w:val="009076A9"/>
    <w:rsid w:val="009100D5"/>
    <w:rsid w:val="009101FB"/>
    <w:rsid w:val="009106C2"/>
    <w:rsid w:val="00910BD4"/>
    <w:rsid w:val="0091143A"/>
    <w:rsid w:val="00913CF5"/>
    <w:rsid w:val="00914884"/>
    <w:rsid w:val="00914F83"/>
    <w:rsid w:val="00915220"/>
    <w:rsid w:val="009154B8"/>
    <w:rsid w:val="00916CBF"/>
    <w:rsid w:val="009170F3"/>
    <w:rsid w:val="00917698"/>
    <w:rsid w:val="00920522"/>
    <w:rsid w:val="009207F9"/>
    <w:rsid w:val="00920B7D"/>
    <w:rsid w:val="00920EF8"/>
    <w:rsid w:val="00921A5C"/>
    <w:rsid w:val="00921C0A"/>
    <w:rsid w:val="00921F14"/>
    <w:rsid w:val="00922427"/>
    <w:rsid w:val="00922FB6"/>
    <w:rsid w:val="0092406F"/>
    <w:rsid w:val="009247C8"/>
    <w:rsid w:val="00924FA8"/>
    <w:rsid w:val="00925126"/>
    <w:rsid w:val="00930123"/>
    <w:rsid w:val="00930829"/>
    <w:rsid w:val="00930A66"/>
    <w:rsid w:val="00930B50"/>
    <w:rsid w:val="00930D79"/>
    <w:rsid w:val="00931B68"/>
    <w:rsid w:val="00931EB0"/>
    <w:rsid w:val="009320A3"/>
    <w:rsid w:val="00932780"/>
    <w:rsid w:val="00932F72"/>
    <w:rsid w:val="009338E5"/>
    <w:rsid w:val="00933949"/>
    <w:rsid w:val="00934228"/>
    <w:rsid w:val="00936618"/>
    <w:rsid w:val="00936898"/>
    <w:rsid w:val="0093753B"/>
    <w:rsid w:val="009379E5"/>
    <w:rsid w:val="00937BE4"/>
    <w:rsid w:val="0094032B"/>
    <w:rsid w:val="0094118A"/>
    <w:rsid w:val="00941770"/>
    <w:rsid w:val="00941DD2"/>
    <w:rsid w:val="00941E09"/>
    <w:rsid w:val="009421FA"/>
    <w:rsid w:val="00942F08"/>
    <w:rsid w:val="00943283"/>
    <w:rsid w:val="00943B61"/>
    <w:rsid w:val="0094427A"/>
    <w:rsid w:val="00944BBE"/>
    <w:rsid w:val="00946123"/>
    <w:rsid w:val="00946131"/>
    <w:rsid w:val="00946C40"/>
    <w:rsid w:val="009501BC"/>
    <w:rsid w:val="00950A97"/>
    <w:rsid w:val="0095130F"/>
    <w:rsid w:val="00951539"/>
    <w:rsid w:val="009519E2"/>
    <w:rsid w:val="00952900"/>
    <w:rsid w:val="00952983"/>
    <w:rsid w:val="00953087"/>
    <w:rsid w:val="00953480"/>
    <w:rsid w:val="0095381B"/>
    <w:rsid w:val="00953AA1"/>
    <w:rsid w:val="00954BAA"/>
    <w:rsid w:val="00954E2D"/>
    <w:rsid w:val="00955555"/>
    <w:rsid w:val="00955AF6"/>
    <w:rsid w:val="00955B8B"/>
    <w:rsid w:val="00956574"/>
    <w:rsid w:val="00960870"/>
    <w:rsid w:val="00960E0B"/>
    <w:rsid w:val="0096108D"/>
    <w:rsid w:val="00961B2B"/>
    <w:rsid w:val="00962503"/>
    <w:rsid w:val="00963F00"/>
    <w:rsid w:val="0096430A"/>
    <w:rsid w:val="00966346"/>
    <w:rsid w:val="009665BE"/>
    <w:rsid w:val="0096694B"/>
    <w:rsid w:val="009671D9"/>
    <w:rsid w:val="009700FD"/>
    <w:rsid w:val="00970A90"/>
    <w:rsid w:val="00970B58"/>
    <w:rsid w:val="00970CC2"/>
    <w:rsid w:val="00971B3F"/>
    <w:rsid w:val="00972F89"/>
    <w:rsid w:val="00973235"/>
    <w:rsid w:val="00974111"/>
    <w:rsid w:val="00974923"/>
    <w:rsid w:val="00975433"/>
    <w:rsid w:val="00975F10"/>
    <w:rsid w:val="0097688D"/>
    <w:rsid w:val="00980277"/>
    <w:rsid w:val="00980A92"/>
    <w:rsid w:val="009821D9"/>
    <w:rsid w:val="00982C5C"/>
    <w:rsid w:val="00983089"/>
    <w:rsid w:val="00984DF6"/>
    <w:rsid w:val="009869A7"/>
    <w:rsid w:val="00986FC2"/>
    <w:rsid w:val="00987217"/>
    <w:rsid w:val="00987E97"/>
    <w:rsid w:val="009908AC"/>
    <w:rsid w:val="009920BD"/>
    <w:rsid w:val="009935B9"/>
    <w:rsid w:val="009942B9"/>
    <w:rsid w:val="00997901"/>
    <w:rsid w:val="009A0274"/>
    <w:rsid w:val="009A07C2"/>
    <w:rsid w:val="009A195A"/>
    <w:rsid w:val="009A282B"/>
    <w:rsid w:val="009A28D4"/>
    <w:rsid w:val="009A2F7D"/>
    <w:rsid w:val="009A30F8"/>
    <w:rsid w:val="009A49BF"/>
    <w:rsid w:val="009A4B74"/>
    <w:rsid w:val="009A4FBD"/>
    <w:rsid w:val="009A53A8"/>
    <w:rsid w:val="009A5806"/>
    <w:rsid w:val="009A5CC8"/>
    <w:rsid w:val="009A7070"/>
    <w:rsid w:val="009A75C8"/>
    <w:rsid w:val="009A76E0"/>
    <w:rsid w:val="009A78B4"/>
    <w:rsid w:val="009A7C40"/>
    <w:rsid w:val="009B004A"/>
    <w:rsid w:val="009B0655"/>
    <w:rsid w:val="009B065C"/>
    <w:rsid w:val="009B13A7"/>
    <w:rsid w:val="009B1B72"/>
    <w:rsid w:val="009B2251"/>
    <w:rsid w:val="009B2457"/>
    <w:rsid w:val="009B2CC9"/>
    <w:rsid w:val="009B3AFF"/>
    <w:rsid w:val="009B3FE8"/>
    <w:rsid w:val="009B4A2C"/>
    <w:rsid w:val="009B6CC5"/>
    <w:rsid w:val="009B6F85"/>
    <w:rsid w:val="009B6FD3"/>
    <w:rsid w:val="009B74C0"/>
    <w:rsid w:val="009C3A34"/>
    <w:rsid w:val="009C3B7E"/>
    <w:rsid w:val="009C44B2"/>
    <w:rsid w:val="009C4D84"/>
    <w:rsid w:val="009C512D"/>
    <w:rsid w:val="009C57E7"/>
    <w:rsid w:val="009C60A7"/>
    <w:rsid w:val="009C6195"/>
    <w:rsid w:val="009C6A78"/>
    <w:rsid w:val="009C7949"/>
    <w:rsid w:val="009D0309"/>
    <w:rsid w:val="009D042F"/>
    <w:rsid w:val="009D0D85"/>
    <w:rsid w:val="009D0FE4"/>
    <w:rsid w:val="009D2799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E005C"/>
    <w:rsid w:val="009E0A02"/>
    <w:rsid w:val="009E0B3D"/>
    <w:rsid w:val="009E0B7F"/>
    <w:rsid w:val="009E16D6"/>
    <w:rsid w:val="009E1755"/>
    <w:rsid w:val="009E177D"/>
    <w:rsid w:val="009E1DBB"/>
    <w:rsid w:val="009E1F24"/>
    <w:rsid w:val="009E285D"/>
    <w:rsid w:val="009E37BB"/>
    <w:rsid w:val="009E3D29"/>
    <w:rsid w:val="009E3D44"/>
    <w:rsid w:val="009E47AD"/>
    <w:rsid w:val="009E4C49"/>
    <w:rsid w:val="009E4EA8"/>
    <w:rsid w:val="009E535A"/>
    <w:rsid w:val="009E57A8"/>
    <w:rsid w:val="009E65B8"/>
    <w:rsid w:val="009E6615"/>
    <w:rsid w:val="009E7AB7"/>
    <w:rsid w:val="009F101B"/>
    <w:rsid w:val="009F1DF1"/>
    <w:rsid w:val="009F3A29"/>
    <w:rsid w:val="009F3C37"/>
    <w:rsid w:val="009F5488"/>
    <w:rsid w:val="009F6834"/>
    <w:rsid w:val="009F7270"/>
    <w:rsid w:val="009F7AED"/>
    <w:rsid w:val="00A0050D"/>
    <w:rsid w:val="00A00796"/>
    <w:rsid w:val="00A04CFC"/>
    <w:rsid w:val="00A04D8D"/>
    <w:rsid w:val="00A06DD9"/>
    <w:rsid w:val="00A07257"/>
    <w:rsid w:val="00A07545"/>
    <w:rsid w:val="00A077AB"/>
    <w:rsid w:val="00A07C0B"/>
    <w:rsid w:val="00A10D66"/>
    <w:rsid w:val="00A1259E"/>
    <w:rsid w:val="00A1290F"/>
    <w:rsid w:val="00A12C92"/>
    <w:rsid w:val="00A15088"/>
    <w:rsid w:val="00A16C4D"/>
    <w:rsid w:val="00A1722A"/>
    <w:rsid w:val="00A17BF6"/>
    <w:rsid w:val="00A2029F"/>
    <w:rsid w:val="00A20A0D"/>
    <w:rsid w:val="00A20FE2"/>
    <w:rsid w:val="00A219FB"/>
    <w:rsid w:val="00A21A2E"/>
    <w:rsid w:val="00A221CE"/>
    <w:rsid w:val="00A22D2E"/>
    <w:rsid w:val="00A23CD1"/>
    <w:rsid w:val="00A23E43"/>
    <w:rsid w:val="00A256C3"/>
    <w:rsid w:val="00A262CE"/>
    <w:rsid w:val="00A265D4"/>
    <w:rsid w:val="00A26DF0"/>
    <w:rsid w:val="00A31896"/>
    <w:rsid w:val="00A31C0B"/>
    <w:rsid w:val="00A32F7F"/>
    <w:rsid w:val="00A33820"/>
    <w:rsid w:val="00A33BB6"/>
    <w:rsid w:val="00A34719"/>
    <w:rsid w:val="00A35626"/>
    <w:rsid w:val="00A3686F"/>
    <w:rsid w:val="00A4170C"/>
    <w:rsid w:val="00A41EB4"/>
    <w:rsid w:val="00A43211"/>
    <w:rsid w:val="00A43A9C"/>
    <w:rsid w:val="00A45241"/>
    <w:rsid w:val="00A459EC"/>
    <w:rsid w:val="00A46030"/>
    <w:rsid w:val="00A46DE0"/>
    <w:rsid w:val="00A46FE5"/>
    <w:rsid w:val="00A471A5"/>
    <w:rsid w:val="00A47424"/>
    <w:rsid w:val="00A476D0"/>
    <w:rsid w:val="00A50233"/>
    <w:rsid w:val="00A5027A"/>
    <w:rsid w:val="00A50AD3"/>
    <w:rsid w:val="00A5287C"/>
    <w:rsid w:val="00A52DE7"/>
    <w:rsid w:val="00A52E95"/>
    <w:rsid w:val="00A53830"/>
    <w:rsid w:val="00A53A7B"/>
    <w:rsid w:val="00A5448E"/>
    <w:rsid w:val="00A54A05"/>
    <w:rsid w:val="00A54A61"/>
    <w:rsid w:val="00A54E85"/>
    <w:rsid w:val="00A54F1A"/>
    <w:rsid w:val="00A55489"/>
    <w:rsid w:val="00A55FAB"/>
    <w:rsid w:val="00A56914"/>
    <w:rsid w:val="00A57C36"/>
    <w:rsid w:val="00A57DEF"/>
    <w:rsid w:val="00A61045"/>
    <w:rsid w:val="00A61D03"/>
    <w:rsid w:val="00A622AA"/>
    <w:rsid w:val="00A62470"/>
    <w:rsid w:val="00A62A8D"/>
    <w:rsid w:val="00A62CE1"/>
    <w:rsid w:val="00A63193"/>
    <w:rsid w:val="00A63804"/>
    <w:rsid w:val="00A63991"/>
    <w:rsid w:val="00A63BDF"/>
    <w:rsid w:val="00A64E73"/>
    <w:rsid w:val="00A67433"/>
    <w:rsid w:val="00A6782A"/>
    <w:rsid w:val="00A67964"/>
    <w:rsid w:val="00A703EB"/>
    <w:rsid w:val="00A71E3A"/>
    <w:rsid w:val="00A72BFE"/>
    <w:rsid w:val="00A734A0"/>
    <w:rsid w:val="00A734BA"/>
    <w:rsid w:val="00A73651"/>
    <w:rsid w:val="00A7487A"/>
    <w:rsid w:val="00A75964"/>
    <w:rsid w:val="00A75E40"/>
    <w:rsid w:val="00A767BD"/>
    <w:rsid w:val="00A77B0F"/>
    <w:rsid w:val="00A77CC5"/>
    <w:rsid w:val="00A802D7"/>
    <w:rsid w:val="00A80A36"/>
    <w:rsid w:val="00A80BA4"/>
    <w:rsid w:val="00A81BA5"/>
    <w:rsid w:val="00A8271B"/>
    <w:rsid w:val="00A8283C"/>
    <w:rsid w:val="00A82ECF"/>
    <w:rsid w:val="00A8313F"/>
    <w:rsid w:val="00A8316D"/>
    <w:rsid w:val="00A8323F"/>
    <w:rsid w:val="00A83B0D"/>
    <w:rsid w:val="00A847A0"/>
    <w:rsid w:val="00A857C0"/>
    <w:rsid w:val="00A8587E"/>
    <w:rsid w:val="00A868F2"/>
    <w:rsid w:val="00A87C69"/>
    <w:rsid w:val="00A9159A"/>
    <w:rsid w:val="00A92D9D"/>
    <w:rsid w:val="00A935D1"/>
    <w:rsid w:val="00A93CBD"/>
    <w:rsid w:val="00A9414B"/>
    <w:rsid w:val="00A9460A"/>
    <w:rsid w:val="00A94E20"/>
    <w:rsid w:val="00A96E4E"/>
    <w:rsid w:val="00A9709C"/>
    <w:rsid w:val="00A97646"/>
    <w:rsid w:val="00A97C04"/>
    <w:rsid w:val="00AA151A"/>
    <w:rsid w:val="00AA1B41"/>
    <w:rsid w:val="00AA2060"/>
    <w:rsid w:val="00AA206C"/>
    <w:rsid w:val="00AA217B"/>
    <w:rsid w:val="00AA252C"/>
    <w:rsid w:val="00AA4641"/>
    <w:rsid w:val="00AA46E0"/>
    <w:rsid w:val="00AA472B"/>
    <w:rsid w:val="00AA559A"/>
    <w:rsid w:val="00AA59E3"/>
    <w:rsid w:val="00AA5C05"/>
    <w:rsid w:val="00AA5DB9"/>
    <w:rsid w:val="00AA637E"/>
    <w:rsid w:val="00AA6D36"/>
    <w:rsid w:val="00AA7A99"/>
    <w:rsid w:val="00AB2AD8"/>
    <w:rsid w:val="00AB2AF1"/>
    <w:rsid w:val="00AB2E43"/>
    <w:rsid w:val="00AB33AE"/>
    <w:rsid w:val="00AB358F"/>
    <w:rsid w:val="00AB389B"/>
    <w:rsid w:val="00AB41DE"/>
    <w:rsid w:val="00AB5405"/>
    <w:rsid w:val="00AB59D3"/>
    <w:rsid w:val="00AB6F86"/>
    <w:rsid w:val="00AB7318"/>
    <w:rsid w:val="00AB78C5"/>
    <w:rsid w:val="00AC05DB"/>
    <w:rsid w:val="00AC1176"/>
    <w:rsid w:val="00AC3FD1"/>
    <w:rsid w:val="00AC435B"/>
    <w:rsid w:val="00AC4508"/>
    <w:rsid w:val="00AC4851"/>
    <w:rsid w:val="00AC62CF"/>
    <w:rsid w:val="00AC65C0"/>
    <w:rsid w:val="00AC6691"/>
    <w:rsid w:val="00AC7617"/>
    <w:rsid w:val="00AC7F36"/>
    <w:rsid w:val="00AD1CF2"/>
    <w:rsid w:val="00AD306C"/>
    <w:rsid w:val="00AD30CE"/>
    <w:rsid w:val="00AD3CE8"/>
    <w:rsid w:val="00AD425B"/>
    <w:rsid w:val="00AD5118"/>
    <w:rsid w:val="00AD52A8"/>
    <w:rsid w:val="00AD5A9E"/>
    <w:rsid w:val="00AD633B"/>
    <w:rsid w:val="00AD6453"/>
    <w:rsid w:val="00AD64B3"/>
    <w:rsid w:val="00AD7B11"/>
    <w:rsid w:val="00AD7B39"/>
    <w:rsid w:val="00AE01E3"/>
    <w:rsid w:val="00AE0B0B"/>
    <w:rsid w:val="00AE0F4A"/>
    <w:rsid w:val="00AE1124"/>
    <w:rsid w:val="00AE119F"/>
    <w:rsid w:val="00AE15C1"/>
    <w:rsid w:val="00AE15F8"/>
    <w:rsid w:val="00AE1DD9"/>
    <w:rsid w:val="00AE207C"/>
    <w:rsid w:val="00AE29DE"/>
    <w:rsid w:val="00AE3A2E"/>
    <w:rsid w:val="00AE3DD8"/>
    <w:rsid w:val="00AE5A90"/>
    <w:rsid w:val="00AE6027"/>
    <w:rsid w:val="00AF21BD"/>
    <w:rsid w:val="00AF2EC9"/>
    <w:rsid w:val="00AF3C79"/>
    <w:rsid w:val="00AF44AA"/>
    <w:rsid w:val="00AF4542"/>
    <w:rsid w:val="00AF622E"/>
    <w:rsid w:val="00AF71E8"/>
    <w:rsid w:val="00AF7CC8"/>
    <w:rsid w:val="00B0046C"/>
    <w:rsid w:val="00B00E2A"/>
    <w:rsid w:val="00B00E5C"/>
    <w:rsid w:val="00B01A65"/>
    <w:rsid w:val="00B021DC"/>
    <w:rsid w:val="00B0293A"/>
    <w:rsid w:val="00B02E0D"/>
    <w:rsid w:val="00B031D4"/>
    <w:rsid w:val="00B04C40"/>
    <w:rsid w:val="00B054ED"/>
    <w:rsid w:val="00B05722"/>
    <w:rsid w:val="00B0580A"/>
    <w:rsid w:val="00B0692D"/>
    <w:rsid w:val="00B10157"/>
    <w:rsid w:val="00B11B3C"/>
    <w:rsid w:val="00B12102"/>
    <w:rsid w:val="00B12489"/>
    <w:rsid w:val="00B127A9"/>
    <w:rsid w:val="00B129F4"/>
    <w:rsid w:val="00B13282"/>
    <w:rsid w:val="00B161A8"/>
    <w:rsid w:val="00B16950"/>
    <w:rsid w:val="00B16FD7"/>
    <w:rsid w:val="00B17E71"/>
    <w:rsid w:val="00B17FDE"/>
    <w:rsid w:val="00B21B8C"/>
    <w:rsid w:val="00B240E9"/>
    <w:rsid w:val="00B247D8"/>
    <w:rsid w:val="00B25F29"/>
    <w:rsid w:val="00B27879"/>
    <w:rsid w:val="00B27CC2"/>
    <w:rsid w:val="00B30132"/>
    <w:rsid w:val="00B3057F"/>
    <w:rsid w:val="00B31DB7"/>
    <w:rsid w:val="00B32B8B"/>
    <w:rsid w:val="00B32DDB"/>
    <w:rsid w:val="00B33853"/>
    <w:rsid w:val="00B33C76"/>
    <w:rsid w:val="00B33DCD"/>
    <w:rsid w:val="00B33FEC"/>
    <w:rsid w:val="00B34DAB"/>
    <w:rsid w:val="00B35131"/>
    <w:rsid w:val="00B35919"/>
    <w:rsid w:val="00B360DE"/>
    <w:rsid w:val="00B36297"/>
    <w:rsid w:val="00B36B2F"/>
    <w:rsid w:val="00B4079B"/>
    <w:rsid w:val="00B40DC8"/>
    <w:rsid w:val="00B41A0A"/>
    <w:rsid w:val="00B42254"/>
    <w:rsid w:val="00B42534"/>
    <w:rsid w:val="00B43764"/>
    <w:rsid w:val="00B437AD"/>
    <w:rsid w:val="00B4439F"/>
    <w:rsid w:val="00B4480E"/>
    <w:rsid w:val="00B449C1"/>
    <w:rsid w:val="00B45197"/>
    <w:rsid w:val="00B45667"/>
    <w:rsid w:val="00B46DC2"/>
    <w:rsid w:val="00B479AF"/>
    <w:rsid w:val="00B5004C"/>
    <w:rsid w:val="00B508DA"/>
    <w:rsid w:val="00B50C8B"/>
    <w:rsid w:val="00B515C6"/>
    <w:rsid w:val="00B51944"/>
    <w:rsid w:val="00B52135"/>
    <w:rsid w:val="00B52757"/>
    <w:rsid w:val="00B537E2"/>
    <w:rsid w:val="00B55082"/>
    <w:rsid w:val="00B55C66"/>
    <w:rsid w:val="00B561B9"/>
    <w:rsid w:val="00B57330"/>
    <w:rsid w:val="00B609BE"/>
    <w:rsid w:val="00B60ECF"/>
    <w:rsid w:val="00B6147E"/>
    <w:rsid w:val="00B6182F"/>
    <w:rsid w:val="00B6186C"/>
    <w:rsid w:val="00B61CB6"/>
    <w:rsid w:val="00B624AB"/>
    <w:rsid w:val="00B626F7"/>
    <w:rsid w:val="00B62D55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398"/>
    <w:rsid w:val="00B737B5"/>
    <w:rsid w:val="00B745E6"/>
    <w:rsid w:val="00B747C8"/>
    <w:rsid w:val="00B75310"/>
    <w:rsid w:val="00B761EC"/>
    <w:rsid w:val="00B765A7"/>
    <w:rsid w:val="00B76D1E"/>
    <w:rsid w:val="00B7748E"/>
    <w:rsid w:val="00B804F8"/>
    <w:rsid w:val="00B82631"/>
    <w:rsid w:val="00B8395F"/>
    <w:rsid w:val="00B84108"/>
    <w:rsid w:val="00B849FD"/>
    <w:rsid w:val="00B853CF"/>
    <w:rsid w:val="00B858DD"/>
    <w:rsid w:val="00B858F9"/>
    <w:rsid w:val="00B868BF"/>
    <w:rsid w:val="00B91E6C"/>
    <w:rsid w:val="00B933B1"/>
    <w:rsid w:val="00B938C2"/>
    <w:rsid w:val="00B94C93"/>
    <w:rsid w:val="00B95276"/>
    <w:rsid w:val="00B954CB"/>
    <w:rsid w:val="00B95940"/>
    <w:rsid w:val="00B95FD1"/>
    <w:rsid w:val="00B96320"/>
    <w:rsid w:val="00B96887"/>
    <w:rsid w:val="00B96E42"/>
    <w:rsid w:val="00B96F8B"/>
    <w:rsid w:val="00B9769B"/>
    <w:rsid w:val="00B977AC"/>
    <w:rsid w:val="00BA0710"/>
    <w:rsid w:val="00BA0AA3"/>
    <w:rsid w:val="00BA0F35"/>
    <w:rsid w:val="00BA1262"/>
    <w:rsid w:val="00BA1C37"/>
    <w:rsid w:val="00BA2164"/>
    <w:rsid w:val="00BA2CDF"/>
    <w:rsid w:val="00BA3499"/>
    <w:rsid w:val="00BA3657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7F2"/>
    <w:rsid w:val="00BB1D98"/>
    <w:rsid w:val="00BB1DB3"/>
    <w:rsid w:val="00BB1E2D"/>
    <w:rsid w:val="00BB303C"/>
    <w:rsid w:val="00BB375C"/>
    <w:rsid w:val="00BB3AC8"/>
    <w:rsid w:val="00BB4E67"/>
    <w:rsid w:val="00BB51A2"/>
    <w:rsid w:val="00BB52C7"/>
    <w:rsid w:val="00BB6777"/>
    <w:rsid w:val="00BB6799"/>
    <w:rsid w:val="00BB76AF"/>
    <w:rsid w:val="00BC0276"/>
    <w:rsid w:val="00BC05DF"/>
    <w:rsid w:val="00BC2A09"/>
    <w:rsid w:val="00BC31D2"/>
    <w:rsid w:val="00BC42E0"/>
    <w:rsid w:val="00BC5B5C"/>
    <w:rsid w:val="00BC6AC1"/>
    <w:rsid w:val="00BC7245"/>
    <w:rsid w:val="00BC74B1"/>
    <w:rsid w:val="00BC7B1E"/>
    <w:rsid w:val="00BC7B72"/>
    <w:rsid w:val="00BD0613"/>
    <w:rsid w:val="00BD0645"/>
    <w:rsid w:val="00BD15AC"/>
    <w:rsid w:val="00BD2D19"/>
    <w:rsid w:val="00BD366B"/>
    <w:rsid w:val="00BD3E29"/>
    <w:rsid w:val="00BD47C9"/>
    <w:rsid w:val="00BD52C8"/>
    <w:rsid w:val="00BD5326"/>
    <w:rsid w:val="00BD6D50"/>
    <w:rsid w:val="00BD713B"/>
    <w:rsid w:val="00BD7E0B"/>
    <w:rsid w:val="00BE0470"/>
    <w:rsid w:val="00BE0AC1"/>
    <w:rsid w:val="00BE22F5"/>
    <w:rsid w:val="00BE24F1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2BF"/>
    <w:rsid w:val="00BF1395"/>
    <w:rsid w:val="00BF2796"/>
    <w:rsid w:val="00BF2DC9"/>
    <w:rsid w:val="00BF4984"/>
    <w:rsid w:val="00BF51D7"/>
    <w:rsid w:val="00BF5417"/>
    <w:rsid w:val="00BF5985"/>
    <w:rsid w:val="00BF5D73"/>
    <w:rsid w:val="00BF6041"/>
    <w:rsid w:val="00C01BB8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12BB5"/>
    <w:rsid w:val="00C134A8"/>
    <w:rsid w:val="00C13AA4"/>
    <w:rsid w:val="00C15BF2"/>
    <w:rsid w:val="00C15C15"/>
    <w:rsid w:val="00C21823"/>
    <w:rsid w:val="00C21F94"/>
    <w:rsid w:val="00C238D3"/>
    <w:rsid w:val="00C23AD0"/>
    <w:rsid w:val="00C23DBA"/>
    <w:rsid w:val="00C2411E"/>
    <w:rsid w:val="00C25199"/>
    <w:rsid w:val="00C255DA"/>
    <w:rsid w:val="00C260B7"/>
    <w:rsid w:val="00C26612"/>
    <w:rsid w:val="00C31499"/>
    <w:rsid w:val="00C32936"/>
    <w:rsid w:val="00C32C17"/>
    <w:rsid w:val="00C32C99"/>
    <w:rsid w:val="00C32CF5"/>
    <w:rsid w:val="00C3398D"/>
    <w:rsid w:val="00C3509F"/>
    <w:rsid w:val="00C354FF"/>
    <w:rsid w:val="00C356EE"/>
    <w:rsid w:val="00C358EB"/>
    <w:rsid w:val="00C363FA"/>
    <w:rsid w:val="00C364B9"/>
    <w:rsid w:val="00C364C1"/>
    <w:rsid w:val="00C36C5C"/>
    <w:rsid w:val="00C37461"/>
    <w:rsid w:val="00C37613"/>
    <w:rsid w:val="00C44980"/>
    <w:rsid w:val="00C45446"/>
    <w:rsid w:val="00C463A9"/>
    <w:rsid w:val="00C471FB"/>
    <w:rsid w:val="00C47406"/>
    <w:rsid w:val="00C505B7"/>
    <w:rsid w:val="00C5084D"/>
    <w:rsid w:val="00C53131"/>
    <w:rsid w:val="00C53308"/>
    <w:rsid w:val="00C53991"/>
    <w:rsid w:val="00C549A0"/>
    <w:rsid w:val="00C54C37"/>
    <w:rsid w:val="00C56136"/>
    <w:rsid w:val="00C56470"/>
    <w:rsid w:val="00C56E91"/>
    <w:rsid w:val="00C57976"/>
    <w:rsid w:val="00C60D29"/>
    <w:rsid w:val="00C6126C"/>
    <w:rsid w:val="00C61AF5"/>
    <w:rsid w:val="00C623D8"/>
    <w:rsid w:val="00C62F18"/>
    <w:rsid w:val="00C63645"/>
    <w:rsid w:val="00C63732"/>
    <w:rsid w:val="00C64111"/>
    <w:rsid w:val="00C64473"/>
    <w:rsid w:val="00C65C41"/>
    <w:rsid w:val="00C66AE9"/>
    <w:rsid w:val="00C67030"/>
    <w:rsid w:val="00C7101F"/>
    <w:rsid w:val="00C713F5"/>
    <w:rsid w:val="00C71A7D"/>
    <w:rsid w:val="00C72D58"/>
    <w:rsid w:val="00C73855"/>
    <w:rsid w:val="00C73D12"/>
    <w:rsid w:val="00C74848"/>
    <w:rsid w:val="00C74970"/>
    <w:rsid w:val="00C75024"/>
    <w:rsid w:val="00C75328"/>
    <w:rsid w:val="00C75550"/>
    <w:rsid w:val="00C75A31"/>
    <w:rsid w:val="00C76A45"/>
    <w:rsid w:val="00C774BB"/>
    <w:rsid w:val="00C77721"/>
    <w:rsid w:val="00C7796A"/>
    <w:rsid w:val="00C80D1B"/>
    <w:rsid w:val="00C81620"/>
    <w:rsid w:val="00C8168F"/>
    <w:rsid w:val="00C81910"/>
    <w:rsid w:val="00C81E0D"/>
    <w:rsid w:val="00C820B0"/>
    <w:rsid w:val="00C82966"/>
    <w:rsid w:val="00C82CA9"/>
    <w:rsid w:val="00C82E31"/>
    <w:rsid w:val="00C82F33"/>
    <w:rsid w:val="00C838B4"/>
    <w:rsid w:val="00C8406A"/>
    <w:rsid w:val="00C84769"/>
    <w:rsid w:val="00C84CD5"/>
    <w:rsid w:val="00C85411"/>
    <w:rsid w:val="00C8549F"/>
    <w:rsid w:val="00C8555B"/>
    <w:rsid w:val="00C8657B"/>
    <w:rsid w:val="00C866FE"/>
    <w:rsid w:val="00C86840"/>
    <w:rsid w:val="00C86C49"/>
    <w:rsid w:val="00C87715"/>
    <w:rsid w:val="00C87A76"/>
    <w:rsid w:val="00C90196"/>
    <w:rsid w:val="00C902C8"/>
    <w:rsid w:val="00C903FE"/>
    <w:rsid w:val="00C90CAC"/>
    <w:rsid w:val="00C90CF4"/>
    <w:rsid w:val="00C9101A"/>
    <w:rsid w:val="00C919C4"/>
    <w:rsid w:val="00C92798"/>
    <w:rsid w:val="00C93389"/>
    <w:rsid w:val="00C93954"/>
    <w:rsid w:val="00C951CA"/>
    <w:rsid w:val="00C95339"/>
    <w:rsid w:val="00C958DA"/>
    <w:rsid w:val="00C95B18"/>
    <w:rsid w:val="00C95E3D"/>
    <w:rsid w:val="00C96297"/>
    <w:rsid w:val="00C967C3"/>
    <w:rsid w:val="00C96820"/>
    <w:rsid w:val="00CA0C7F"/>
    <w:rsid w:val="00CA0FAE"/>
    <w:rsid w:val="00CA2DD6"/>
    <w:rsid w:val="00CA30E3"/>
    <w:rsid w:val="00CA3510"/>
    <w:rsid w:val="00CA35BA"/>
    <w:rsid w:val="00CA37E1"/>
    <w:rsid w:val="00CA3D3B"/>
    <w:rsid w:val="00CA6419"/>
    <w:rsid w:val="00CA71AD"/>
    <w:rsid w:val="00CA76B8"/>
    <w:rsid w:val="00CA7ADE"/>
    <w:rsid w:val="00CB0001"/>
    <w:rsid w:val="00CB0E00"/>
    <w:rsid w:val="00CB1981"/>
    <w:rsid w:val="00CB29D1"/>
    <w:rsid w:val="00CB3349"/>
    <w:rsid w:val="00CB4C7E"/>
    <w:rsid w:val="00CB4F69"/>
    <w:rsid w:val="00CB560F"/>
    <w:rsid w:val="00CB62F8"/>
    <w:rsid w:val="00CB6325"/>
    <w:rsid w:val="00CC01D0"/>
    <w:rsid w:val="00CC051E"/>
    <w:rsid w:val="00CC0FC5"/>
    <w:rsid w:val="00CC113F"/>
    <w:rsid w:val="00CC1887"/>
    <w:rsid w:val="00CC386B"/>
    <w:rsid w:val="00CC38DB"/>
    <w:rsid w:val="00CC3B3E"/>
    <w:rsid w:val="00CC5D9D"/>
    <w:rsid w:val="00CC5E9B"/>
    <w:rsid w:val="00CC62CA"/>
    <w:rsid w:val="00CC68C2"/>
    <w:rsid w:val="00CC6A86"/>
    <w:rsid w:val="00CC7383"/>
    <w:rsid w:val="00CD0328"/>
    <w:rsid w:val="00CD075C"/>
    <w:rsid w:val="00CD254B"/>
    <w:rsid w:val="00CD276D"/>
    <w:rsid w:val="00CD27D9"/>
    <w:rsid w:val="00CD379F"/>
    <w:rsid w:val="00CD3C89"/>
    <w:rsid w:val="00CD56D8"/>
    <w:rsid w:val="00CD58AA"/>
    <w:rsid w:val="00CD6441"/>
    <w:rsid w:val="00CD64B0"/>
    <w:rsid w:val="00CD79FE"/>
    <w:rsid w:val="00CD7BE9"/>
    <w:rsid w:val="00CD7C12"/>
    <w:rsid w:val="00CE00F3"/>
    <w:rsid w:val="00CE036F"/>
    <w:rsid w:val="00CE0E95"/>
    <w:rsid w:val="00CE0FC5"/>
    <w:rsid w:val="00CE1019"/>
    <w:rsid w:val="00CE1280"/>
    <w:rsid w:val="00CE158D"/>
    <w:rsid w:val="00CE1F86"/>
    <w:rsid w:val="00CE24FC"/>
    <w:rsid w:val="00CE276E"/>
    <w:rsid w:val="00CE2DB2"/>
    <w:rsid w:val="00CE31DA"/>
    <w:rsid w:val="00CE35FE"/>
    <w:rsid w:val="00CE3B0A"/>
    <w:rsid w:val="00CE4610"/>
    <w:rsid w:val="00CE47B3"/>
    <w:rsid w:val="00CE4C45"/>
    <w:rsid w:val="00CE4F4B"/>
    <w:rsid w:val="00CE50E8"/>
    <w:rsid w:val="00CE6861"/>
    <w:rsid w:val="00CE68EA"/>
    <w:rsid w:val="00CE7908"/>
    <w:rsid w:val="00CF0173"/>
    <w:rsid w:val="00CF2A7A"/>
    <w:rsid w:val="00CF2C7E"/>
    <w:rsid w:val="00CF2CB6"/>
    <w:rsid w:val="00CF2E4E"/>
    <w:rsid w:val="00CF31F6"/>
    <w:rsid w:val="00CF3468"/>
    <w:rsid w:val="00CF47FD"/>
    <w:rsid w:val="00CF4BE2"/>
    <w:rsid w:val="00CF51EC"/>
    <w:rsid w:val="00CF619B"/>
    <w:rsid w:val="00CF6E52"/>
    <w:rsid w:val="00CF7035"/>
    <w:rsid w:val="00D02A33"/>
    <w:rsid w:val="00D03D9E"/>
    <w:rsid w:val="00D040DD"/>
    <w:rsid w:val="00D044EA"/>
    <w:rsid w:val="00D045D0"/>
    <w:rsid w:val="00D04748"/>
    <w:rsid w:val="00D04839"/>
    <w:rsid w:val="00D04A5D"/>
    <w:rsid w:val="00D054F3"/>
    <w:rsid w:val="00D05A86"/>
    <w:rsid w:val="00D07345"/>
    <w:rsid w:val="00D0774F"/>
    <w:rsid w:val="00D0796B"/>
    <w:rsid w:val="00D07A40"/>
    <w:rsid w:val="00D1176D"/>
    <w:rsid w:val="00D11CDE"/>
    <w:rsid w:val="00D11DEF"/>
    <w:rsid w:val="00D120A5"/>
    <w:rsid w:val="00D13098"/>
    <w:rsid w:val="00D13328"/>
    <w:rsid w:val="00D13906"/>
    <w:rsid w:val="00D15A54"/>
    <w:rsid w:val="00D1607F"/>
    <w:rsid w:val="00D16834"/>
    <w:rsid w:val="00D17E3D"/>
    <w:rsid w:val="00D202B5"/>
    <w:rsid w:val="00D20597"/>
    <w:rsid w:val="00D20688"/>
    <w:rsid w:val="00D23446"/>
    <w:rsid w:val="00D24B30"/>
    <w:rsid w:val="00D25455"/>
    <w:rsid w:val="00D256C5"/>
    <w:rsid w:val="00D267E2"/>
    <w:rsid w:val="00D27BAA"/>
    <w:rsid w:val="00D27F3D"/>
    <w:rsid w:val="00D3037D"/>
    <w:rsid w:val="00D317AA"/>
    <w:rsid w:val="00D31B66"/>
    <w:rsid w:val="00D31CF6"/>
    <w:rsid w:val="00D33BC7"/>
    <w:rsid w:val="00D345A8"/>
    <w:rsid w:val="00D34AF7"/>
    <w:rsid w:val="00D3503E"/>
    <w:rsid w:val="00D355C0"/>
    <w:rsid w:val="00D362C3"/>
    <w:rsid w:val="00D369F8"/>
    <w:rsid w:val="00D379AD"/>
    <w:rsid w:val="00D37AAE"/>
    <w:rsid w:val="00D4082D"/>
    <w:rsid w:val="00D40EB6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50AC"/>
    <w:rsid w:val="00D45211"/>
    <w:rsid w:val="00D456A4"/>
    <w:rsid w:val="00D46277"/>
    <w:rsid w:val="00D4701B"/>
    <w:rsid w:val="00D50475"/>
    <w:rsid w:val="00D519AC"/>
    <w:rsid w:val="00D51D55"/>
    <w:rsid w:val="00D52BED"/>
    <w:rsid w:val="00D52F5C"/>
    <w:rsid w:val="00D53090"/>
    <w:rsid w:val="00D536B3"/>
    <w:rsid w:val="00D54225"/>
    <w:rsid w:val="00D54886"/>
    <w:rsid w:val="00D549B7"/>
    <w:rsid w:val="00D55DF8"/>
    <w:rsid w:val="00D5626F"/>
    <w:rsid w:val="00D56389"/>
    <w:rsid w:val="00D579E9"/>
    <w:rsid w:val="00D57D9C"/>
    <w:rsid w:val="00D600F9"/>
    <w:rsid w:val="00D60199"/>
    <w:rsid w:val="00D6097A"/>
    <w:rsid w:val="00D60C38"/>
    <w:rsid w:val="00D61468"/>
    <w:rsid w:val="00D61B8E"/>
    <w:rsid w:val="00D625FC"/>
    <w:rsid w:val="00D6280A"/>
    <w:rsid w:val="00D62884"/>
    <w:rsid w:val="00D62D84"/>
    <w:rsid w:val="00D6488C"/>
    <w:rsid w:val="00D64A75"/>
    <w:rsid w:val="00D652EC"/>
    <w:rsid w:val="00D66132"/>
    <w:rsid w:val="00D676E8"/>
    <w:rsid w:val="00D70113"/>
    <w:rsid w:val="00D703DB"/>
    <w:rsid w:val="00D71377"/>
    <w:rsid w:val="00D71A0E"/>
    <w:rsid w:val="00D72382"/>
    <w:rsid w:val="00D726A7"/>
    <w:rsid w:val="00D72C5F"/>
    <w:rsid w:val="00D733B6"/>
    <w:rsid w:val="00D73499"/>
    <w:rsid w:val="00D734FC"/>
    <w:rsid w:val="00D738AE"/>
    <w:rsid w:val="00D73CCD"/>
    <w:rsid w:val="00D758C8"/>
    <w:rsid w:val="00D768AA"/>
    <w:rsid w:val="00D77F41"/>
    <w:rsid w:val="00D801D1"/>
    <w:rsid w:val="00D8023E"/>
    <w:rsid w:val="00D81C3D"/>
    <w:rsid w:val="00D81ED0"/>
    <w:rsid w:val="00D81FA6"/>
    <w:rsid w:val="00D81FAD"/>
    <w:rsid w:val="00D82256"/>
    <w:rsid w:val="00D83397"/>
    <w:rsid w:val="00D83A64"/>
    <w:rsid w:val="00D859B3"/>
    <w:rsid w:val="00D87A8C"/>
    <w:rsid w:val="00D87B45"/>
    <w:rsid w:val="00D87F49"/>
    <w:rsid w:val="00D90556"/>
    <w:rsid w:val="00D90839"/>
    <w:rsid w:val="00D90999"/>
    <w:rsid w:val="00D90E79"/>
    <w:rsid w:val="00D911C5"/>
    <w:rsid w:val="00D9164E"/>
    <w:rsid w:val="00D92105"/>
    <w:rsid w:val="00D92C97"/>
    <w:rsid w:val="00D92D6A"/>
    <w:rsid w:val="00D9320F"/>
    <w:rsid w:val="00D943B6"/>
    <w:rsid w:val="00D94457"/>
    <w:rsid w:val="00D94B8F"/>
    <w:rsid w:val="00D9565D"/>
    <w:rsid w:val="00D95BF2"/>
    <w:rsid w:val="00D95EAE"/>
    <w:rsid w:val="00D9612F"/>
    <w:rsid w:val="00D961C7"/>
    <w:rsid w:val="00D96D64"/>
    <w:rsid w:val="00D9700D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B09B8"/>
    <w:rsid w:val="00DB17CC"/>
    <w:rsid w:val="00DB1C29"/>
    <w:rsid w:val="00DB2397"/>
    <w:rsid w:val="00DB25CC"/>
    <w:rsid w:val="00DB2894"/>
    <w:rsid w:val="00DB2C03"/>
    <w:rsid w:val="00DB303E"/>
    <w:rsid w:val="00DB38C5"/>
    <w:rsid w:val="00DB4A12"/>
    <w:rsid w:val="00DB4B28"/>
    <w:rsid w:val="00DB52B1"/>
    <w:rsid w:val="00DB5CBA"/>
    <w:rsid w:val="00DC0216"/>
    <w:rsid w:val="00DC0B5D"/>
    <w:rsid w:val="00DC0F7E"/>
    <w:rsid w:val="00DC1785"/>
    <w:rsid w:val="00DC1B7E"/>
    <w:rsid w:val="00DC2C0B"/>
    <w:rsid w:val="00DC4034"/>
    <w:rsid w:val="00DC4FDB"/>
    <w:rsid w:val="00DC5115"/>
    <w:rsid w:val="00DC56BB"/>
    <w:rsid w:val="00DC5815"/>
    <w:rsid w:val="00DC5B3B"/>
    <w:rsid w:val="00DC5F2B"/>
    <w:rsid w:val="00DC6F2A"/>
    <w:rsid w:val="00DC701F"/>
    <w:rsid w:val="00DC7F5F"/>
    <w:rsid w:val="00DD12D8"/>
    <w:rsid w:val="00DD1BA7"/>
    <w:rsid w:val="00DD1BD7"/>
    <w:rsid w:val="00DD2DAD"/>
    <w:rsid w:val="00DD3BD4"/>
    <w:rsid w:val="00DD4278"/>
    <w:rsid w:val="00DD699C"/>
    <w:rsid w:val="00DD7047"/>
    <w:rsid w:val="00DD70DE"/>
    <w:rsid w:val="00DD741F"/>
    <w:rsid w:val="00DD7498"/>
    <w:rsid w:val="00DD787B"/>
    <w:rsid w:val="00DD7B43"/>
    <w:rsid w:val="00DD7CF8"/>
    <w:rsid w:val="00DE024D"/>
    <w:rsid w:val="00DE0289"/>
    <w:rsid w:val="00DE0501"/>
    <w:rsid w:val="00DE092B"/>
    <w:rsid w:val="00DE0C0F"/>
    <w:rsid w:val="00DE10E8"/>
    <w:rsid w:val="00DE1356"/>
    <w:rsid w:val="00DE1B71"/>
    <w:rsid w:val="00DE2E22"/>
    <w:rsid w:val="00DE3179"/>
    <w:rsid w:val="00DE36E5"/>
    <w:rsid w:val="00DE3973"/>
    <w:rsid w:val="00DE4A51"/>
    <w:rsid w:val="00DE539E"/>
    <w:rsid w:val="00DE66BB"/>
    <w:rsid w:val="00DE736E"/>
    <w:rsid w:val="00DF0E56"/>
    <w:rsid w:val="00DF0EDC"/>
    <w:rsid w:val="00DF1241"/>
    <w:rsid w:val="00DF137E"/>
    <w:rsid w:val="00DF1398"/>
    <w:rsid w:val="00DF2F65"/>
    <w:rsid w:val="00DF33EF"/>
    <w:rsid w:val="00DF3F1A"/>
    <w:rsid w:val="00DF4938"/>
    <w:rsid w:val="00DF4FE9"/>
    <w:rsid w:val="00DF5D00"/>
    <w:rsid w:val="00DF7587"/>
    <w:rsid w:val="00DF7E65"/>
    <w:rsid w:val="00DF7FCF"/>
    <w:rsid w:val="00E00057"/>
    <w:rsid w:val="00E00B39"/>
    <w:rsid w:val="00E00DD1"/>
    <w:rsid w:val="00E01C0E"/>
    <w:rsid w:val="00E02641"/>
    <w:rsid w:val="00E03E18"/>
    <w:rsid w:val="00E0428C"/>
    <w:rsid w:val="00E0437D"/>
    <w:rsid w:val="00E04694"/>
    <w:rsid w:val="00E05426"/>
    <w:rsid w:val="00E0599E"/>
    <w:rsid w:val="00E05C11"/>
    <w:rsid w:val="00E079D7"/>
    <w:rsid w:val="00E079FB"/>
    <w:rsid w:val="00E07A54"/>
    <w:rsid w:val="00E100A3"/>
    <w:rsid w:val="00E106F6"/>
    <w:rsid w:val="00E11327"/>
    <w:rsid w:val="00E1136E"/>
    <w:rsid w:val="00E1175F"/>
    <w:rsid w:val="00E11AF4"/>
    <w:rsid w:val="00E11DB7"/>
    <w:rsid w:val="00E12A52"/>
    <w:rsid w:val="00E12D30"/>
    <w:rsid w:val="00E139DE"/>
    <w:rsid w:val="00E13FE3"/>
    <w:rsid w:val="00E144EF"/>
    <w:rsid w:val="00E14754"/>
    <w:rsid w:val="00E14AE7"/>
    <w:rsid w:val="00E14C18"/>
    <w:rsid w:val="00E14E65"/>
    <w:rsid w:val="00E158E3"/>
    <w:rsid w:val="00E2070C"/>
    <w:rsid w:val="00E22904"/>
    <w:rsid w:val="00E22AE6"/>
    <w:rsid w:val="00E230B3"/>
    <w:rsid w:val="00E26A6C"/>
    <w:rsid w:val="00E30C67"/>
    <w:rsid w:val="00E30CDC"/>
    <w:rsid w:val="00E30F7E"/>
    <w:rsid w:val="00E31E16"/>
    <w:rsid w:val="00E32A90"/>
    <w:rsid w:val="00E32BA0"/>
    <w:rsid w:val="00E32F41"/>
    <w:rsid w:val="00E33D7D"/>
    <w:rsid w:val="00E33EAE"/>
    <w:rsid w:val="00E340F9"/>
    <w:rsid w:val="00E344C3"/>
    <w:rsid w:val="00E358FF"/>
    <w:rsid w:val="00E369B0"/>
    <w:rsid w:val="00E36F83"/>
    <w:rsid w:val="00E3735A"/>
    <w:rsid w:val="00E443AC"/>
    <w:rsid w:val="00E45F0C"/>
    <w:rsid w:val="00E4626C"/>
    <w:rsid w:val="00E46C3D"/>
    <w:rsid w:val="00E504C3"/>
    <w:rsid w:val="00E513B0"/>
    <w:rsid w:val="00E5231C"/>
    <w:rsid w:val="00E52622"/>
    <w:rsid w:val="00E528B7"/>
    <w:rsid w:val="00E52C47"/>
    <w:rsid w:val="00E53E7A"/>
    <w:rsid w:val="00E54C11"/>
    <w:rsid w:val="00E55566"/>
    <w:rsid w:val="00E555D7"/>
    <w:rsid w:val="00E56D60"/>
    <w:rsid w:val="00E57564"/>
    <w:rsid w:val="00E609BA"/>
    <w:rsid w:val="00E60E7C"/>
    <w:rsid w:val="00E6101E"/>
    <w:rsid w:val="00E6176C"/>
    <w:rsid w:val="00E61C43"/>
    <w:rsid w:val="00E63D3F"/>
    <w:rsid w:val="00E644A7"/>
    <w:rsid w:val="00E64FE4"/>
    <w:rsid w:val="00E65196"/>
    <w:rsid w:val="00E651DE"/>
    <w:rsid w:val="00E6616C"/>
    <w:rsid w:val="00E6657D"/>
    <w:rsid w:val="00E67DC3"/>
    <w:rsid w:val="00E70F4B"/>
    <w:rsid w:val="00E71A58"/>
    <w:rsid w:val="00E72178"/>
    <w:rsid w:val="00E729DB"/>
    <w:rsid w:val="00E72A9C"/>
    <w:rsid w:val="00E7308A"/>
    <w:rsid w:val="00E74229"/>
    <w:rsid w:val="00E74500"/>
    <w:rsid w:val="00E74F05"/>
    <w:rsid w:val="00E76F70"/>
    <w:rsid w:val="00E771F5"/>
    <w:rsid w:val="00E77B74"/>
    <w:rsid w:val="00E8026B"/>
    <w:rsid w:val="00E816B7"/>
    <w:rsid w:val="00E81E1F"/>
    <w:rsid w:val="00E8264F"/>
    <w:rsid w:val="00E82D69"/>
    <w:rsid w:val="00E83717"/>
    <w:rsid w:val="00E84E9F"/>
    <w:rsid w:val="00E85EA4"/>
    <w:rsid w:val="00E875B7"/>
    <w:rsid w:val="00E90A06"/>
    <w:rsid w:val="00E90DF6"/>
    <w:rsid w:val="00E9276C"/>
    <w:rsid w:val="00E94CAA"/>
    <w:rsid w:val="00E95554"/>
    <w:rsid w:val="00E95AF8"/>
    <w:rsid w:val="00E95C73"/>
    <w:rsid w:val="00EA04B6"/>
    <w:rsid w:val="00EA0C68"/>
    <w:rsid w:val="00EA238B"/>
    <w:rsid w:val="00EA2568"/>
    <w:rsid w:val="00EA3AF5"/>
    <w:rsid w:val="00EA5C46"/>
    <w:rsid w:val="00EA6979"/>
    <w:rsid w:val="00EA7285"/>
    <w:rsid w:val="00EA7A84"/>
    <w:rsid w:val="00EB00C7"/>
    <w:rsid w:val="00EB0F76"/>
    <w:rsid w:val="00EB20D3"/>
    <w:rsid w:val="00EB2376"/>
    <w:rsid w:val="00EB2A81"/>
    <w:rsid w:val="00EB3116"/>
    <w:rsid w:val="00EB4211"/>
    <w:rsid w:val="00EB4980"/>
    <w:rsid w:val="00EB56F0"/>
    <w:rsid w:val="00EB6795"/>
    <w:rsid w:val="00EB7D19"/>
    <w:rsid w:val="00EB7D4C"/>
    <w:rsid w:val="00EB7F5D"/>
    <w:rsid w:val="00EC205E"/>
    <w:rsid w:val="00EC3F5E"/>
    <w:rsid w:val="00EC63F0"/>
    <w:rsid w:val="00EC6650"/>
    <w:rsid w:val="00EC7950"/>
    <w:rsid w:val="00ED2269"/>
    <w:rsid w:val="00ED26B4"/>
    <w:rsid w:val="00ED3025"/>
    <w:rsid w:val="00ED422B"/>
    <w:rsid w:val="00ED4469"/>
    <w:rsid w:val="00ED48F5"/>
    <w:rsid w:val="00ED5B4F"/>
    <w:rsid w:val="00ED696E"/>
    <w:rsid w:val="00EE01F9"/>
    <w:rsid w:val="00EE25C3"/>
    <w:rsid w:val="00EE27A4"/>
    <w:rsid w:val="00EE3594"/>
    <w:rsid w:val="00EE3E78"/>
    <w:rsid w:val="00EE4B21"/>
    <w:rsid w:val="00EE4E51"/>
    <w:rsid w:val="00EE52F3"/>
    <w:rsid w:val="00EE52FC"/>
    <w:rsid w:val="00EE595E"/>
    <w:rsid w:val="00EE5A03"/>
    <w:rsid w:val="00EE5A55"/>
    <w:rsid w:val="00EE78D4"/>
    <w:rsid w:val="00EE7BEA"/>
    <w:rsid w:val="00EF0C14"/>
    <w:rsid w:val="00EF1F5A"/>
    <w:rsid w:val="00EF267A"/>
    <w:rsid w:val="00EF390C"/>
    <w:rsid w:val="00EF472B"/>
    <w:rsid w:val="00EF4AB7"/>
    <w:rsid w:val="00EF6170"/>
    <w:rsid w:val="00EF69EB"/>
    <w:rsid w:val="00EF745D"/>
    <w:rsid w:val="00EF7BAC"/>
    <w:rsid w:val="00F000ED"/>
    <w:rsid w:val="00F02751"/>
    <w:rsid w:val="00F02B19"/>
    <w:rsid w:val="00F02C58"/>
    <w:rsid w:val="00F04811"/>
    <w:rsid w:val="00F0488C"/>
    <w:rsid w:val="00F05682"/>
    <w:rsid w:val="00F075C8"/>
    <w:rsid w:val="00F1001C"/>
    <w:rsid w:val="00F1085F"/>
    <w:rsid w:val="00F10DA0"/>
    <w:rsid w:val="00F10EFB"/>
    <w:rsid w:val="00F11826"/>
    <w:rsid w:val="00F11ADB"/>
    <w:rsid w:val="00F1216F"/>
    <w:rsid w:val="00F121B5"/>
    <w:rsid w:val="00F1233C"/>
    <w:rsid w:val="00F12D74"/>
    <w:rsid w:val="00F1307F"/>
    <w:rsid w:val="00F15234"/>
    <w:rsid w:val="00F15239"/>
    <w:rsid w:val="00F15BEF"/>
    <w:rsid w:val="00F16380"/>
    <w:rsid w:val="00F17073"/>
    <w:rsid w:val="00F17441"/>
    <w:rsid w:val="00F202B4"/>
    <w:rsid w:val="00F21064"/>
    <w:rsid w:val="00F21B06"/>
    <w:rsid w:val="00F22E88"/>
    <w:rsid w:val="00F22E95"/>
    <w:rsid w:val="00F24469"/>
    <w:rsid w:val="00F24FAA"/>
    <w:rsid w:val="00F250CB"/>
    <w:rsid w:val="00F25828"/>
    <w:rsid w:val="00F26446"/>
    <w:rsid w:val="00F26CFB"/>
    <w:rsid w:val="00F274C6"/>
    <w:rsid w:val="00F276B5"/>
    <w:rsid w:val="00F309E3"/>
    <w:rsid w:val="00F30D8A"/>
    <w:rsid w:val="00F31577"/>
    <w:rsid w:val="00F31A2C"/>
    <w:rsid w:val="00F3235A"/>
    <w:rsid w:val="00F3364D"/>
    <w:rsid w:val="00F33F9B"/>
    <w:rsid w:val="00F35998"/>
    <w:rsid w:val="00F36ACD"/>
    <w:rsid w:val="00F36B49"/>
    <w:rsid w:val="00F36C27"/>
    <w:rsid w:val="00F372F9"/>
    <w:rsid w:val="00F37C80"/>
    <w:rsid w:val="00F37E2F"/>
    <w:rsid w:val="00F37F01"/>
    <w:rsid w:val="00F40A99"/>
    <w:rsid w:val="00F42294"/>
    <w:rsid w:val="00F4260E"/>
    <w:rsid w:val="00F42D42"/>
    <w:rsid w:val="00F42DEA"/>
    <w:rsid w:val="00F4335A"/>
    <w:rsid w:val="00F43800"/>
    <w:rsid w:val="00F4477E"/>
    <w:rsid w:val="00F44A25"/>
    <w:rsid w:val="00F458F1"/>
    <w:rsid w:val="00F46950"/>
    <w:rsid w:val="00F46BFB"/>
    <w:rsid w:val="00F4733D"/>
    <w:rsid w:val="00F47D51"/>
    <w:rsid w:val="00F5099C"/>
    <w:rsid w:val="00F50BB7"/>
    <w:rsid w:val="00F50BEA"/>
    <w:rsid w:val="00F50CBD"/>
    <w:rsid w:val="00F50EBA"/>
    <w:rsid w:val="00F511BD"/>
    <w:rsid w:val="00F5228D"/>
    <w:rsid w:val="00F52794"/>
    <w:rsid w:val="00F52C0D"/>
    <w:rsid w:val="00F53831"/>
    <w:rsid w:val="00F543ED"/>
    <w:rsid w:val="00F549DE"/>
    <w:rsid w:val="00F54C1F"/>
    <w:rsid w:val="00F5594A"/>
    <w:rsid w:val="00F56447"/>
    <w:rsid w:val="00F56B28"/>
    <w:rsid w:val="00F57279"/>
    <w:rsid w:val="00F5744D"/>
    <w:rsid w:val="00F606CF"/>
    <w:rsid w:val="00F613E9"/>
    <w:rsid w:val="00F616F9"/>
    <w:rsid w:val="00F61DC8"/>
    <w:rsid w:val="00F61E6A"/>
    <w:rsid w:val="00F63DDE"/>
    <w:rsid w:val="00F63E5F"/>
    <w:rsid w:val="00F63FB7"/>
    <w:rsid w:val="00F64E8C"/>
    <w:rsid w:val="00F6656E"/>
    <w:rsid w:val="00F66E5A"/>
    <w:rsid w:val="00F702F8"/>
    <w:rsid w:val="00F72167"/>
    <w:rsid w:val="00F727D5"/>
    <w:rsid w:val="00F728AD"/>
    <w:rsid w:val="00F72A84"/>
    <w:rsid w:val="00F73A0C"/>
    <w:rsid w:val="00F746EF"/>
    <w:rsid w:val="00F750F8"/>
    <w:rsid w:val="00F753BE"/>
    <w:rsid w:val="00F75C57"/>
    <w:rsid w:val="00F76803"/>
    <w:rsid w:val="00F769DC"/>
    <w:rsid w:val="00F779AB"/>
    <w:rsid w:val="00F77C3D"/>
    <w:rsid w:val="00F8074E"/>
    <w:rsid w:val="00F80F53"/>
    <w:rsid w:val="00F80FFE"/>
    <w:rsid w:val="00F82398"/>
    <w:rsid w:val="00F8375F"/>
    <w:rsid w:val="00F8413A"/>
    <w:rsid w:val="00F85378"/>
    <w:rsid w:val="00F85A84"/>
    <w:rsid w:val="00F85DCF"/>
    <w:rsid w:val="00F86893"/>
    <w:rsid w:val="00F87148"/>
    <w:rsid w:val="00F90D7C"/>
    <w:rsid w:val="00F92429"/>
    <w:rsid w:val="00F9249A"/>
    <w:rsid w:val="00F92CD2"/>
    <w:rsid w:val="00F92EB8"/>
    <w:rsid w:val="00F9362A"/>
    <w:rsid w:val="00F93823"/>
    <w:rsid w:val="00F9409F"/>
    <w:rsid w:val="00F95893"/>
    <w:rsid w:val="00F9678A"/>
    <w:rsid w:val="00FA05E2"/>
    <w:rsid w:val="00FA3174"/>
    <w:rsid w:val="00FA32CF"/>
    <w:rsid w:val="00FA3AAC"/>
    <w:rsid w:val="00FA3F02"/>
    <w:rsid w:val="00FA4E62"/>
    <w:rsid w:val="00FA5F09"/>
    <w:rsid w:val="00FA62C4"/>
    <w:rsid w:val="00FA767A"/>
    <w:rsid w:val="00FA7E78"/>
    <w:rsid w:val="00FB0DB3"/>
    <w:rsid w:val="00FB0EC2"/>
    <w:rsid w:val="00FB1007"/>
    <w:rsid w:val="00FB1074"/>
    <w:rsid w:val="00FB1EAF"/>
    <w:rsid w:val="00FB2577"/>
    <w:rsid w:val="00FB259D"/>
    <w:rsid w:val="00FB3BAB"/>
    <w:rsid w:val="00FB408F"/>
    <w:rsid w:val="00FB4548"/>
    <w:rsid w:val="00FB5750"/>
    <w:rsid w:val="00FB57C8"/>
    <w:rsid w:val="00FB6621"/>
    <w:rsid w:val="00FB6874"/>
    <w:rsid w:val="00FB6C52"/>
    <w:rsid w:val="00FC075C"/>
    <w:rsid w:val="00FC0E5F"/>
    <w:rsid w:val="00FC1992"/>
    <w:rsid w:val="00FC1AC0"/>
    <w:rsid w:val="00FC3949"/>
    <w:rsid w:val="00FC4559"/>
    <w:rsid w:val="00FC489B"/>
    <w:rsid w:val="00FC5692"/>
    <w:rsid w:val="00FC56DE"/>
    <w:rsid w:val="00FC58DB"/>
    <w:rsid w:val="00FC5975"/>
    <w:rsid w:val="00FC67B0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605D"/>
    <w:rsid w:val="00FD623B"/>
    <w:rsid w:val="00FD63DE"/>
    <w:rsid w:val="00FD6C67"/>
    <w:rsid w:val="00FD7699"/>
    <w:rsid w:val="00FD7D17"/>
    <w:rsid w:val="00FE0416"/>
    <w:rsid w:val="00FE0419"/>
    <w:rsid w:val="00FE1134"/>
    <w:rsid w:val="00FE1BF4"/>
    <w:rsid w:val="00FE2F78"/>
    <w:rsid w:val="00FE328B"/>
    <w:rsid w:val="00FE5601"/>
    <w:rsid w:val="00FE6D31"/>
    <w:rsid w:val="00FF084B"/>
    <w:rsid w:val="00FF0AC6"/>
    <w:rsid w:val="00FF3978"/>
    <w:rsid w:val="00FF3BF1"/>
    <w:rsid w:val="00FF3F47"/>
    <w:rsid w:val="00FF4035"/>
    <w:rsid w:val="00FF4CF3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5C6C003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ojka7725\Documents\_PRACOVNI\04_Publikace\02_INOVACE\Inovace_2020\2_TEXTY\ANAL&#221;ZA\213003-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'G47'!$B$3</c:f>
              <c:strCache>
                <c:ptCount val="1"/>
                <c:pt idx="0">
                  <c:v> Inovující podniky celkem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69-47AA-A8E4-5D0EDD1F5D79}"/>
              </c:ext>
            </c:extLst>
          </c:dPt>
          <c:dPt>
            <c:idx val="1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69-47AA-A8E4-5D0EDD1F5D79}"/>
              </c:ext>
            </c:extLst>
          </c:dPt>
          <c:cat>
            <c:strRef>
              <c:f>'G47'!$A$4:$A$30</c:f>
              <c:strCache>
                <c:ptCount val="27"/>
                <c:pt idx="0">
                  <c:v>Estonsko</c:v>
                </c:pt>
                <c:pt idx="1">
                  <c:v>Kypr</c:v>
                </c:pt>
                <c:pt idx="2">
                  <c:v>Belgie</c:v>
                </c:pt>
                <c:pt idx="3">
                  <c:v>Německo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Finsko</c:v>
                </c:pt>
                <c:pt idx="8">
                  <c:v>Řecko</c:v>
                </c:pt>
                <c:pt idx="9">
                  <c:v>Dánsko</c:v>
                </c:pt>
                <c:pt idx="10">
                  <c:v>Chorvatsko</c:v>
                </c:pt>
                <c:pt idx="11">
                  <c:v>Francie</c:v>
                </c:pt>
                <c:pt idx="12">
                  <c:v>Lucembursko</c:v>
                </c:pt>
                <c:pt idx="13">
                  <c:v>Litva</c:v>
                </c:pt>
                <c:pt idx="14">
                  <c:v>EU27</c:v>
                </c:pt>
                <c:pt idx="15">
                  <c:v>Nizozemsko</c:v>
                </c:pt>
                <c:pt idx="16">
                  <c:v>Slovinsko</c:v>
                </c:pt>
                <c:pt idx="17">
                  <c:v>Česko</c:v>
                </c:pt>
                <c:pt idx="18">
                  <c:v>Malta</c:v>
                </c:pt>
                <c:pt idx="19">
                  <c:v>Irsko</c:v>
                </c:pt>
                <c:pt idx="20">
                  <c:v>Portugalsko</c:v>
                </c:pt>
                <c:pt idx="21">
                  <c:v>Lotyšsko</c:v>
                </c:pt>
                <c:pt idx="22">
                  <c:v>Španělsko</c:v>
                </c:pt>
                <c:pt idx="23">
                  <c:v>Slovensko</c:v>
                </c:pt>
                <c:pt idx="24">
                  <c:v>Bulharsko</c:v>
                </c:pt>
                <c:pt idx="25">
                  <c:v>Maďarsko</c:v>
                </c:pt>
                <c:pt idx="26">
                  <c:v>Polsko</c:v>
                </c:pt>
              </c:strCache>
            </c:strRef>
          </c:cat>
          <c:val>
            <c:numRef>
              <c:f>'G47'!$B$4:$B$30</c:f>
              <c:numCache>
                <c:formatCode>0.0%</c:formatCode>
                <c:ptCount val="27"/>
                <c:pt idx="0">
                  <c:v>0.73099999999999998</c:v>
                </c:pt>
                <c:pt idx="1">
                  <c:v>0.68200000000000005</c:v>
                </c:pt>
                <c:pt idx="2">
                  <c:v>0.67799999999999994</c:v>
                </c:pt>
                <c:pt idx="3">
                  <c:v>0.67799999999999994</c:v>
                </c:pt>
                <c:pt idx="4">
                  <c:v>0.63200000000000001</c:v>
                </c:pt>
                <c:pt idx="5">
                  <c:v>0.63100000000000001</c:v>
                </c:pt>
                <c:pt idx="6">
                  <c:v>0.626</c:v>
                </c:pt>
                <c:pt idx="7">
                  <c:v>0.61899999999999999</c:v>
                </c:pt>
                <c:pt idx="8">
                  <c:v>0.60299999999999998</c:v>
                </c:pt>
                <c:pt idx="9">
                  <c:v>0.57100000000000006</c:v>
                </c:pt>
                <c:pt idx="10">
                  <c:v>0.52500000000000002</c:v>
                </c:pt>
                <c:pt idx="11">
                  <c:v>0.51500000000000001</c:v>
                </c:pt>
                <c:pt idx="12">
                  <c:v>0.50600000000000001</c:v>
                </c:pt>
                <c:pt idx="13">
                  <c:v>0.505</c:v>
                </c:pt>
                <c:pt idx="14">
                  <c:v>0.503</c:v>
                </c:pt>
                <c:pt idx="15">
                  <c:v>0.49700000000000005</c:v>
                </c:pt>
                <c:pt idx="16">
                  <c:v>0.48599999999999999</c:v>
                </c:pt>
                <c:pt idx="17">
                  <c:v>0.46799999999999997</c:v>
                </c:pt>
                <c:pt idx="18">
                  <c:v>0.46500000000000002</c:v>
                </c:pt>
                <c:pt idx="19">
                  <c:v>0.45500000000000002</c:v>
                </c:pt>
                <c:pt idx="20">
                  <c:v>0.37799999999999995</c:v>
                </c:pt>
                <c:pt idx="21">
                  <c:v>0.32899999999999996</c:v>
                </c:pt>
                <c:pt idx="22">
                  <c:v>0.311</c:v>
                </c:pt>
                <c:pt idx="23">
                  <c:v>0.30499999999999999</c:v>
                </c:pt>
                <c:pt idx="24">
                  <c:v>0.30099999999999999</c:v>
                </c:pt>
                <c:pt idx="25">
                  <c:v>0.28699999999999998</c:v>
                </c:pt>
                <c:pt idx="26">
                  <c:v>0.23699999999999999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69-47AA-A8E4-5D0EDD1F5D79}"/>
            </c:ext>
          </c:extLst>
        </c:ser>
        <c:ser>
          <c:idx val="1"/>
          <c:order val="1"/>
          <c:tx>
            <c:strRef>
              <c:f>'G47'!$C$3</c:f>
              <c:strCache>
                <c:ptCount val="1"/>
                <c:pt idx="0">
                  <c:v> Zpracovatelský průmysl (NACE C)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FC69-47AA-A8E4-5D0EDD1F5D79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FC69-47AA-A8E4-5D0EDD1F5D79}"/>
              </c:ext>
            </c:extLst>
          </c:dPt>
          <c:cat>
            <c:strRef>
              <c:f>'G47'!$A$4:$A$30</c:f>
              <c:strCache>
                <c:ptCount val="27"/>
                <c:pt idx="0">
                  <c:v>Estonsko</c:v>
                </c:pt>
                <c:pt idx="1">
                  <c:v>Kypr</c:v>
                </c:pt>
                <c:pt idx="2">
                  <c:v>Belgie</c:v>
                </c:pt>
                <c:pt idx="3">
                  <c:v>Německo</c:v>
                </c:pt>
                <c:pt idx="4">
                  <c:v>Itálie</c:v>
                </c:pt>
                <c:pt idx="5">
                  <c:v>Švédsko</c:v>
                </c:pt>
                <c:pt idx="6">
                  <c:v>Rakousko</c:v>
                </c:pt>
                <c:pt idx="7">
                  <c:v>Finsko</c:v>
                </c:pt>
                <c:pt idx="8">
                  <c:v>Řecko</c:v>
                </c:pt>
                <c:pt idx="9">
                  <c:v>Dánsko</c:v>
                </c:pt>
                <c:pt idx="10">
                  <c:v>Chorvatsko</c:v>
                </c:pt>
                <c:pt idx="11">
                  <c:v>Francie</c:v>
                </c:pt>
                <c:pt idx="12">
                  <c:v>Lucembursko</c:v>
                </c:pt>
                <c:pt idx="13">
                  <c:v>Litva</c:v>
                </c:pt>
                <c:pt idx="14">
                  <c:v>EU27</c:v>
                </c:pt>
                <c:pt idx="15">
                  <c:v>Nizozemsko</c:v>
                </c:pt>
                <c:pt idx="16">
                  <c:v>Slovinsko</c:v>
                </c:pt>
                <c:pt idx="17">
                  <c:v>Česko</c:v>
                </c:pt>
                <c:pt idx="18">
                  <c:v>Malta</c:v>
                </c:pt>
                <c:pt idx="19">
                  <c:v>Irsko</c:v>
                </c:pt>
                <c:pt idx="20">
                  <c:v>Portugalsko</c:v>
                </c:pt>
                <c:pt idx="21">
                  <c:v>Lotyšsko</c:v>
                </c:pt>
                <c:pt idx="22">
                  <c:v>Španělsko</c:v>
                </c:pt>
                <c:pt idx="23">
                  <c:v>Slovensko</c:v>
                </c:pt>
                <c:pt idx="24">
                  <c:v>Bulharsko</c:v>
                </c:pt>
                <c:pt idx="25">
                  <c:v>Maďarsko</c:v>
                </c:pt>
                <c:pt idx="26">
                  <c:v>Polsko</c:v>
                </c:pt>
              </c:strCache>
            </c:strRef>
          </c:cat>
          <c:val>
            <c:numRef>
              <c:f>'G47'!$C$4:$C$30</c:f>
              <c:numCache>
                <c:formatCode>0.0%</c:formatCode>
                <c:ptCount val="27"/>
                <c:pt idx="0">
                  <c:v>0.7390000000000001</c:v>
                </c:pt>
                <c:pt idx="1">
                  <c:v>0.69499999999999995</c:v>
                </c:pt>
                <c:pt idx="2">
                  <c:v>0.7340000000000001</c:v>
                </c:pt>
                <c:pt idx="3">
                  <c:v>0.72400000000000009</c:v>
                </c:pt>
                <c:pt idx="4">
                  <c:v>0.66500000000000004</c:v>
                </c:pt>
                <c:pt idx="5">
                  <c:v>0.63100000000000001</c:v>
                </c:pt>
                <c:pt idx="6">
                  <c:v>0.68299999999999994</c:v>
                </c:pt>
                <c:pt idx="7">
                  <c:v>0.66500000000000004</c:v>
                </c:pt>
                <c:pt idx="8">
                  <c:v>0.629</c:v>
                </c:pt>
                <c:pt idx="9">
                  <c:v>0.59299999999999997</c:v>
                </c:pt>
                <c:pt idx="10">
                  <c:v>0.53500000000000003</c:v>
                </c:pt>
                <c:pt idx="11">
                  <c:v>0.56999999999999995</c:v>
                </c:pt>
                <c:pt idx="12">
                  <c:v>0.57100000000000006</c:v>
                </c:pt>
                <c:pt idx="13">
                  <c:v>0.55700000000000005</c:v>
                </c:pt>
                <c:pt idx="14">
                  <c:v>0.54</c:v>
                </c:pt>
                <c:pt idx="15">
                  <c:v>0.54899999999999993</c:v>
                </c:pt>
                <c:pt idx="16">
                  <c:v>0.53900000000000003</c:v>
                </c:pt>
                <c:pt idx="17">
                  <c:v>0.50900000000000001</c:v>
                </c:pt>
                <c:pt idx="18">
                  <c:v>0.46</c:v>
                </c:pt>
                <c:pt idx="19">
                  <c:v>0.54700000000000004</c:v>
                </c:pt>
                <c:pt idx="20">
                  <c:v>0.38</c:v>
                </c:pt>
                <c:pt idx="21">
                  <c:v>0.39399999999999996</c:v>
                </c:pt>
                <c:pt idx="22">
                  <c:v>0.34600000000000003</c:v>
                </c:pt>
                <c:pt idx="23">
                  <c:v>0.36599999999999999</c:v>
                </c:pt>
                <c:pt idx="24">
                  <c:v>0.36099999999999999</c:v>
                </c:pt>
                <c:pt idx="25">
                  <c:v>0.28899999999999998</c:v>
                </c:pt>
                <c:pt idx="26">
                  <c:v>0.26500000000000001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69-47AA-A8E4-5D0EDD1F5D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  <a:alpha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  <c:majorUnit val="0.25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01143790849671E-2"/>
          <c:y val="6.1596119929453262E-2"/>
          <c:w val="0.91617205882352937"/>
          <c:h val="0.68839153439153444"/>
        </c:manualLayout>
      </c:layout>
      <c:lineChart>
        <c:grouping val="standard"/>
        <c:varyColors val="0"/>
        <c:ser>
          <c:idx val="0"/>
          <c:order val="0"/>
          <c:tx>
            <c:strRef>
              <c:f>'G48'!$A$4</c:f>
              <c:strCache>
                <c:ptCount val="1"/>
                <c:pt idx="0">
                  <c:v>EU (průměr)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'G48'!$B$3:$G$3</c:f>
              <c:strCache>
                <c:ptCount val="6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  <c:pt idx="5">
                  <c:v>2016–2018</c:v>
                </c:pt>
              </c:strCache>
            </c:strRef>
          </c:cat>
          <c:val>
            <c:numRef>
              <c:f>'G48'!$B$4:$G$4</c:f>
              <c:numCache>
                <c:formatCode>General</c:formatCode>
                <c:ptCount val="6"/>
                <c:pt idx="0">
                  <c:v>0.51570000000000005</c:v>
                </c:pt>
                <c:pt idx="1">
                  <c:v>0.52939999999999998</c:v>
                </c:pt>
                <c:pt idx="2">
                  <c:v>0.48700000000000004</c:v>
                </c:pt>
                <c:pt idx="3">
                  <c:v>0.47700000000000004</c:v>
                </c:pt>
                <c:pt idx="4">
                  <c:v>0.50600000000000001</c:v>
                </c:pt>
                <c:pt idx="5">
                  <c:v>0.503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2E-4B3E-8CE4-860D56B2881B}"/>
            </c:ext>
          </c:extLst>
        </c:ser>
        <c:ser>
          <c:idx val="1"/>
          <c:order val="1"/>
          <c:tx>
            <c:strRef>
              <c:f>'G48'!$A$5</c:f>
              <c:strCache>
                <c:ptCount val="1"/>
                <c:pt idx="0">
                  <c:v>ČR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'G48'!$B$3:$G$3</c:f>
              <c:strCache>
                <c:ptCount val="6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  <c:pt idx="5">
                  <c:v>2016–2018</c:v>
                </c:pt>
              </c:strCache>
            </c:strRef>
          </c:cat>
          <c:val>
            <c:numRef>
              <c:f>'G48'!$B$5:$G$5</c:f>
              <c:numCache>
                <c:formatCode>General</c:formatCode>
                <c:ptCount val="6"/>
                <c:pt idx="0">
                  <c:v>0.56000000000000005</c:v>
                </c:pt>
                <c:pt idx="1">
                  <c:v>0.51690000000000003</c:v>
                </c:pt>
                <c:pt idx="2">
                  <c:v>0.439</c:v>
                </c:pt>
                <c:pt idx="3">
                  <c:v>0.42</c:v>
                </c:pt>
                <c:pt idx="4">
                  <c:v>0.46299999999999997</c:v>
                </c:pt>
                <c:pt idx="5">
                  <c:v>0.46799999999999997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2E-4B3E-8CE4-860D56B2881B}"/>
            </c:ext>
          </c:extLst>
        </c:ser>
        <c:ser>
          <c:idx val="2"/>
          <c:order val="2"/>
          <c:tx>
            <c:strRef>
              <c:f>'G48'!$A$6</c:f>
              <c:strCache>
                <c:ptCount val="1"/>
                <c:pt idx="0">
                  <c:v>Německo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'G48'!$B$3:$G$3</c:f>
              <c:strCache>
                <c:ptCount val="6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  <c:pt idx="5">
                  <c:v>2016–2018</c:v>
                </c:pt>
              </c:strCache>
            </c:strRef>
          </c:cat>
          <c:val>
            <c:numRef>
              <c:f>'G48'!$B$6:$G$6</c:f>
              <c:numCache>
                <c:formatCode>General</c:formatCode>
                <c:ptCount val="6"/>
                <c:pt idx="0">
                  <c:v>0.79910000000000003</c:v>
                </c:pt>
                <c:pt idx="1">
                  <c:v>0.79279999999999995</c:v>
                </c:pt>
                <c:pt idx="2">
                  <c:v>0.66900000000000004</c:v>
                </c:pt>
                <c:pt idx="3">
                  <c:v>0.67</c:v>
                </c:pt>
                <c:pt idx="4">
                  <c:v>0.63700000000000001</c:v>
                </c:pt>
                <c:pt idx="5">
                  <c:v>0.67799999999999994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92E-4B3E-8CE4-860D56B2881B}"/>
            </c:ext>
          </c:extLst>
        </c:ser>
        <c:ser>
          <c:idx val="3"/>
          <c:order val="3"/>
          <c:tx>
            <c:strRef>
              <c:f>'G48'!$A$7</c:f>
              <c:strCache>
                <c:ptCount val="1"/>
                <c:pt idx="0">
                  <c:v>Francie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'G48'!$B$3:$G$3</c:f>
              <c:strCache>
                <c:ptCount val="6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  <c:pt idx="5">
                  <c:v>2016–2018</c:v>
                </c:pt>
              </c:strCache>
            </c:strRef>
          </c:cat>
          <c:val>
            <c:numRef>
              <c:f>'G48'!$B$7:$G$7</c:f>
              <c:numCache>
                <c:formatCode>General</c:formatCode>
                <c:ptCount val="6"/>
                <c:pt idx="0">
                  <c:v>0.50180000000000002</c:v>
                </c:pt>
                <c:pt idx="1">
                  <c:v>0.53480000000000005</c:v>
                </c:pt>
                <c:pt idx="2">
                  <c:v>0.53400000000000003</c:v>
                </c:pt>
                <c:pt idx="3">
                  <c:v>0.56399999999999995</c:v>
                </c:pt>
                <c:pt idx="4">
                  <c:v>0.57700000000000007</c:v>
                </c:pt>
                <c:pt idx="5">
                  <c:v>0.51500000000000001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92E-4B3E-8CE4-860D56B2881B}"/>
            </c:ext>
          </c:extLst>
        </c:ser>
        <c:ser>
          <c:idx val="4"/>
          <c:order val="4"/>
          <c:tx>
            <c:strRef>
              <c:f>'G48'!$A$8</c:f>
              <c:strCache>
                <c:ptCount val="1"/>
                <c:pt idx="0">
                  <c:v>Itálie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strRef>
              <c:f>'G48'!$B$3:$G$3</c:f>
              <c:strCache>
                <c:ptCount val="6"/>
                <c:pt idx="0">
                  <c:v>2006–2008</c:v>
                </c:pt>
                <c:pt idx="1">
                  <c:v>2008–2010</c:v>
                </c:pt>
                <c:pt idx="2">
                  <c:v>2010–2012</c:v>
                </c:pt>
                <c:pt idx="3">
                  <c:v>2012–2014</c:v>
                </c:pt>
                <c:pt idx="4">
                  <c:v>2014–2016</c:v>
                </c:pt>
                <c:pt idx="5">
                  <c:v>2016–2018</c:v>
                </c:pt>
              </c:strCache>
            </c:strRef>
          </c:cat>
          <c:val>
            <c:numRef>
              <c:f>'G48'!$B$8:$G$8</c:f>
              <c:numCache>
                <c:formatCode>General</c:formatCode>
                <c:ptCount val="6"/>
                <c:pt idx="0">
                  <c:v>0.53239999999999998</c:v>
                </c:pt>
                <c:pt idx="1">
                  <c:v>0.56299999999999994</c:v>
                </c:pt>
                <c:pt idx="2">
                  <c:v>0.56100000000000005</c:v>
                </c:pt>
                <c:pt idx="3">
                  <c:v>0.48700000000000004</c:v>
                </c:pt>
                <c:pt idx="4">
                  <c:v>0.53799999999999992</c:v>
                </c:pt>
                <c:pt idx="5">
                  <c:v>0.63200000000000001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92E-4B3E-8CE4-860D56B28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9695728"/>
        <c:axId val="1179701552"/>
      </c:line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in val="0.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'G49'!$F$2</c:f>
              <c:strCache>
                <c:ptCount val="1"/>
                <c:pt idx="0">
                  <c:v>Inovace produktu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354-4D9E-899B-DD94E03E9470}"/>
              </c:ext>
            </c:extLst>
          </c:dPt>
          <c:dPt>
            <c:idx val="2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354-4D9E-899B-DD94E03E9470}"/>
              </c:ext>
            </c:extLst>
          </c:dPt>
          <c:cat>
            <c:strRef>
              <c:f>'G49'!$E$3:$E$30</c:f>
              <c:strCache>
                <c:ptCount val="28"/>
                <c:pt idx="0">
                  <c:v>Estonsko</c:v>
                </c:pt>
                <c:pt idx="1">
                  <c:v>Kypr</c:v>
                </c:pt>
                <c:pt idx="2">
                  <c:v>Švédsko</c:v>
                </c:pt>
                <c:pt idx="3">
                  <c:v>Řecko</c:v>
                </c:pt>
                <c:pt idx="4">
                  <c:v>Německo</c:v>
                </c:pt>
                <c:pt idx="5">
                  <c:v>Chorvatsko</c:v>
                </c:pt>
                <c:pt idx="6">
                  <c:v>Slovinsko</c:v>
                </c:pt>
                <c:pt idx="7">
                  <c:v>Finsko</c:v>
                </c:pt>
                <c:pt idx="8">
                  <c:v>Itálie</c:v>
                </c:pt>
                <c:pt idx="9">
                  <c:v>Rakousko</c:v>
                </c:pt>
                <c:pt idx="10">
                  <c:v>Francie</c:v>
                </c:pt>
                <c:pt idx="11">
                  <c:v>Dánsko</c:v>
                </c:pt>
                <c:pt idx="12">
                  <c:v>Malta</c:v>
                </c:pt>
                <c:pt idx="13">
                  <c:v>Litva</c:v>
                </c:pt>
                <c:pt idx="14">
                  <c:v>Lucembursko</c:v>
                </c:pt>
                <c:pt idx="15">
                  <c:v>Belgie</c:v>
                </c:pt>
                <c:pt idx="16">
                  <c:v>EU27</c:v>
                </c:pt>
                <c:pt idx="17">
                  <c:v>Irsko</c:v>
                </c:pt>
                <c:pt idx="18">
                  <c:v>Portugalsko</c:v>
                </c:pt>
                <c:pt idx="19">
                  <c:v>Nizozemsko</c:v>
                </c:pt>
                <c:pt idx="20">
                  <c:v>Česko</c:v>
                </c:pt>
                <c:pt idx="21">
                  <c:v>Maďarsko</c:v>
                </c:pt>
                <c:pt idx="22">
                  <c:v>Bulharsko</c:v>
                </c:pt>
                <c:pt idx="23">
                  <c:v>Lotyšsko</c:v>
                </c:pt>
                <c:pt idx="24">
                  <c:v>Slovensko</c:v>
                </c:pt>
                <c:pt idx="25">
                  <c:v>Španělsko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'G49'!$F$3:$F$30</c:f>
              <c:numCache>
                <c:formatCode>0.0%</c:formatCode>
                <c:ptCount val="28"/>
                <c:pt idx="0">
                  <c:v>0.495</c:v>
                </c:pt>
                <c:pt idx="1">
                  <c:v>0.48599999999999999</c:v>
                </c:pt>
                <c:pt idx="2">
                  <c:v>0.42599999999999999</c:v>
                </c:pt>
                <c:pt idx="3">
                  <c:v>0.42499999999999999</c:v>
                </c:pt>
                <c:pt idx="4">
                  <c:v>0.40100000000000002</c:v>
                </c:pt>
                <c:pt idx="5">
                  <c:v>0.38700000000000001</c:v>
                </c:pt>
                <c:pt idx="6">
                  <c:v>0.36899999999999999</c:v>
                </c:pt>
                <c:pt idx="7">
                  <c:v>0.36799999999999999</c:v>
                </c:pt>
                <c:pt idx="8">
                  <c:v>0.36399999999999999</c:v>
                </c:pt>
                <c:pt idx="9">
                  <c:v>0.34600000000000003</c:v>
                </c:pt>
                <c:pt idx="10">
                  <c:v>0.33600000000000002</c:v>
                </c:pt>
                <c:pt idx="11">
                  <c:v>0.32299999999999995</c:v>
                </c:pt>
                <c:pt idx="12">
                  <c:v>0.313</c:v>
                </c:pt>
                <c:pt idx="13">
                  <c:v>0.312</c:v>
                </c:pt>
                <c:pt idx="14">
                  <c:v>0.30399999999999999</c:v>
                </c:pt>
                <c:pt idx="15">
                  <c:v>0.3</c:v>
                </c:pt>
                <c:pt idx="16">
                  <c:v>0.29799999999999999</c:v>
                </c:pt>
                <c:pt idx="17">
                  <c:v>0.28600000000000003</c:v>
                </c:pt>
                <c:pt idx="18">
                  <c:v>0.28100000000000003</c:v>
                </c:pt>
                <c:pt idx="19">
                  <c:v>0.27399999999999997</c:v>
                </c:pt>
                <c:pt idx="20">
                  <c:v>0.26800000000000002</c:v>
                </c:pt>
                <c:pt idx="21">
                  <c:v>0.20399999999999999</c:v>
                </c:pt>
                <c:pt idx="22">
                  <c:v>0.184</c:v>
                </c:pt>
                <c:pt idx="23">
                  <c:v>0.17499999999999999</c:v>
                </c:pt>
                <c:pt idx="24">
                  <c:v>0.154</c:v>
                </c:pt>
                <c:pt idx="25">
                  <c:v>0.14599999999999999</c:v>
                </c:pt>
                <c:pt idx="26">
                  <c:v>0.13400000000000001</c:v>
                </c:pt>
                <c:pt idx="27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54-4D9E-899B-DD94E03E9470}"/>
            </c:ext>
          </c:extLst>
        </c:ser>
        <c:ser>
          <c:idx val="1"/>
          <c:order val="1"/>
          <c:tx>
            <c:strRef>
              <c:f>'G49'!$G$2</c:f>
              <c:strCache>
                <c:ptCount val="1"/>
                <c:pt idx="0">
                  <c:v>Inovace podnikového procesu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354-4D9E-899B-DD94E03E9470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1354-4D9E-899B-DD94E03E9470}"/>
              </c:ext>
            </c:extLst>
          </c:dPt>
          <c:cat>
            <c:strRef>
              <c:f>'G49'!$E$3:$E$30</c:f>
              <c:strCache>
                <c:ptCount val="28"/>
                <c:pt idx="0">
                  <c:v>Estonsko</c:v>
                </c:pt>
                <c:pt idx="1">
                  <c:v>Kypr</c:v>
                </c:pt>
                <c:pt idx="2">
                  <c:v>Švédsko</c:v>
                </c:pt>
                <c:pt idx="3">
                  <c:v>Řecko</c:v>
                </c:pt>
                <c:pt idx="4">
                  <c:v>Německo</c:v>
                </c:pt>
                <c:pt idx="5">
                  <c:v>Chorvatsko</c:v>
                </c:pt>
                <c:pt idx="6">
                  <c:v>Slovinsko</c:v>
                </c:pt>
                <c:pt idx="7">
                  <c:v>Finsko</c:v>
                </c:pt>
                <c:pt idx="8">
                  <c:v>Itálie</c:v>
                </c:pt>
                <c:pt idx="9">
                  <c:v>Rakousko</c:v>
                </c:pt>
                <c:pt idx="10">
                  <c:v>Francie</c:v>
                </c:pt>
                <c:pt idx="11">
                  <c:v>Dánsko</c:v>
                </c:pt>
                <c:pt idx="12">
                  <c:v>Malta</c:v>
                </c:pt>
                <c:pt idx="13">
                  <c:v>Litva</c:v>
                </c:pt>
                <c:pt idx="14">
                  <c:v>Lucembursko</c:v>
                </c:pt>
                <c:pt idx="15">
                  <c:v>Belgie</c:v>
                </c:pt>
                <c:pt idx="16">
                  <c:v>EU27</c:v>
                </c:pt>
                <c:pt idx="17">
                  <c:v>Irsko</c:v>
                </c:pt>
                <c:pt idx="18">
                  <c:v>Portugalsko</c:v>
                </c:pt>
                <c:pt idx="19">
                  <c:v>Nizozemsko</c:v>
                </c:pt>
                <c:pt idx="20">
                  <c:v>Česko</c:v>
                </c:pt>
                <c:pt idx="21">
                  <c:v>Maďarsko</c:v>
                </c:pt>
                <c:pt idx="22">
                  <c:v>Bulharsko</c:v>
                </c:pt>
                <c:pt idx="23">
                  <c:v>Lotyšsko</c:v>
                </c:pt>
                <c:pt idx="24">
                  <c:v>Slovensko</c:v>
                </c:pt>
                <c:pt idx="25">
                  <c:v>Španělsko</c:v>
                </c:pt>
                <c:pt idx="26">
                  <c:v>Polsko</c:v>
                </c:pt>
                <c:pt idx="27">
                  <c:v>Rumunsko</c:v>
                </c:pt>
              </c:strCache>
            </c:strRef>
          </c:cat>
          <c:val>
            <c:numRef>
              <c:f>'G49'!$G$3:$G$30</c:f>
              <c:numCache>
                <c:formatCode>0.0%</c:formatCode>
                <c:ptCount val="28"/>
                <c:pt idx="0">
                  <c:v>0.53200000000000003</c:v>
                </c:pt>
                <c:pt idx="1">
                  <c:v>0.65900000000000003</c:v>
                </c:pt>
                <c:pt idx="2">
                  <c:v>0.48200000000000004</c:v>
                </c:pt>
                <c:pt idx="3">
                  <c:v>0.55200000000000005</c:v>
                </c:pt>
                <c:pt idx="4">
                  <c:v>0.55399999999999994</c:v>
                </c:pt>
                <c:pt idx="5">
                  <c:v>0.46299999999999997</c:v>
                </c:pt>
                <c:pt idx="6">
                  <c:v>0.374</c:v>
                </c:pt>
                <c:pt idx="7">
                  <c:v>0.47499999999999998</c:v>
                </c:pt>
                <c:pt idx="8">
                  <c:v>0.53900000000000003</c:v>
                </c:pt>
                <c:pt idx="9">
                  <c:v>0.55200000000000005</c:v>
                </c:pt>
                <c:pt idx="10">
                  <c:v>0.40500000000000003</c:v>
                </c:pt>
                <c:pt idx="11">
                  <c:v>0.46600000000000003</c:v>
                </c:pt>
                <c:pt idx="12">
                  <c:v>0.40600000000000003</c:v>
                </c:pt>
                <c:pt idx="13">
                  <c:v>0.44500000000000001</c:v>
                </c:pt>
                <c:pt idx="14">
                  <c:v>0.40200000000000002</c:v>
                </c:pt>
                <c:pt idx="15">
                  <c:v>0.58099999999999996</c:v>
                </c:pt>
                <c:pt idx="16">
                  <c:v>0.41</c:v>
                </c:pt>
                <c:pt idx="17">
                  <c:v>0.38500000000000001</c:v>
                </c:pt>
                <c:pt idx="18">
                  <c:v>0.32600000000000001</c:v>
                </c:pt>
                <c:pt idx="19">
                  <c:v>0.4</c:v>
                </c:pt>
                <c:pt idx="20">
                  <c:v>0.40299999999999997</c:v>
                </c:pt>
                <c:pt idx="21">
                  <c:v>0.19800000000000001</c:v>
                </c:pt>
                <c:pt idx="22">
                  <c:v>0.20800000000000002</c:v>
                </c:pt>
                <c:pt idx="23">
                  <c:v>0.25900000000000001</c:v>
                </c:pt>
                <c:pt idx="24">
                  <c:v>0.22600000000000001</c:v>
                </c:pt>
                <c:pt idx="25">
                  <c:v>0.23800000000000002</c:v>
                </c:pt>
                <c:pt idx="26">
                  <c:v>0.188</c:v>
                </c:pt>
                <c:pt idx="27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354-4D9E-899B-DD94E03E9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  <a:alpha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0.75000000000000011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  <c:majorUnit val="0.25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G50x!$F$2</c:f>
              <c:strCache>
                <c:ptCount val="1"/>
                <c:pt idx="0">
                  <c:v>Inovace výrobku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228-4472-A6A8-073AFB45495B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228-4472-A6A8-073AFB45495B}"/>
              </c:ext>
            </c:extLst>
          </c:dPt>
          <c:cat>
            <c:strRef>
              <c:f>G50x!$E$3:$E$28</c:f>
              <c:strCache>
                <c:ptCount val="26"/>
                <c:pt idx="0">
                  <c:v>Estonsko</c:v>
                </c:pt>
                <c:pt idx="1">
                  <c:v>Kypr</c:v>
                </c:pt>
                <c:pt idx="2">
                  <c:v>Řecko</c:v>
                </c:pt>
                <c:pt idx="3">
                  <c:v>Německo</c:v>
                </c:pt>
                <c:pt idx="4">
                  <c:v>Itálie</c:v>
                </c:pt>
                <c:pt idx="5">
                  <c:v>Chorvatsko</c:v>
                </c:pt>
                <c:pt idx="6">
                  <c:v>Rakousko</c:v>
                </c:pt>
                <c:pt idx="7">
                  <c:v>Slovinsko</c:v>
                </c:pt>
                <c:pt idx="8">
                  <c:v>Švédsko</c:v>
                </c:pt>
                <c:pt idx="9">
                  <c:v>Francie</c:v>
                </c:pt>
                <c:pt idx="10">
                  <c:v>Dánsko</c:v>
                </c:pt>
                <c:pt idx="11">
                  <c:v>Portugalsko</c:v>
                </c:pt>
                <c:pt idx="12">
                  <c:v>Finsko</c:v>
                </c:pt>
                <c:pt idx="13">
                  <c:v>Litva</c:v>
                </c:pt>
                <c:pt idx="14">
                  <c:v>Česko</c:v>
                </c:pt>
                <c:pt idx="15">
                  <c:v>Malta</c:v>
                </c:pt>
                <c:pt idx="16">
                  <c:v>Lucembursko</c:v>
                </c:pt>
                <c:pt idx="17">
                  <c:v>Nizozemsko</c:v>
                </c:pt>
                <c:pt idx="18">
                  <c:v>Irsko</c:v>
                </c:pt>
                <c:pt idx="19">
                  <c:v>Maďarsko</c:v>
                </c:pt>
                <c:pt idx="20">
                  <c:v>Bulharsko</c:v>
                </c:pt>
                <c:pt idx="21">
                  <c:v>Lotyšsko</c:v>
                </c:pt>
                <c:pt idx="22">
                  <c:v>Slovensko</c:v>
                </c:pt>
                <c:pt idx="23">
                  <c:v>Španělsko</c:v>
                </c:pt>
                <c:pt idx="24">
                  <c:v>Polsko</c:v>
                </c:pt>
                <c:pt idx="25">
                  <c:v>Rumunsko</c:v>
                </c:pt>
              </c:strCache>
            </c:strRef>
          </c:cat>
          <c:val>
            <c:numRef>
              <c:f>G50x!$F$3:$F$28</c:f>
              <c:numCache>
                <c:formatCode>0.0%</c:formatCode>
                <c:ptCount val="26"/>
                <c:pt idx="0">
                  <c:v>0.36299999999999999</c:v>
                </c:pt>
                <c:pt idx="1">
                  <c:v>0.34</c:v>
                </c:pt>
                <c:pt idx="2">
                  <c:v>0.32100000000000001</c:v>
                </c:pt>
                <c:pt idx="3">
                  <c:v>0.31900000000000001</c:v>
                </c:pt>
                <c:pt idx="4">
                  <c:v>0.29699999999999999</c:v>
                </c:pt>
                <c:pt idx="5">
                  <c:v>0.27500000000000002</c:v>
                </c:pt>
                <c:pt idx="6">
                  <c:v>0.27200000000000002</c:v>
                </c:pt>
                <c:pt idx="7">
                  <c:v>0.26</c:v>
                </c:pt>
                <c:pt idx="8">
                  <c:v>0.254</c:v>
                </c:pt>
                <c:pt idx="9">
                  <c:v>0.249</c:v>
                </c:pt>
                <c:pt idx="10">
                  <c:v>0.24399999999999999</c:v>
                </c:pt>
                <c:pt idx="11">
                  <c:v>0.24100000000000002</c:v>
                </c:pt>
                <c:pt idx="12">
                  <c:v>0.23899999999999999</c:v>
                </c:pt>
                <c:pt idx="13">
                  <c:v>0.20899999999999999</c:v>
                </c:pt>
                <c:pt idx="14">
                  <c:v>0.20399999999999999</c:v>
                </c:pt>
                <c:pt idx="15">
                  <c:v>0.19899999999999998</c:v>
                </c:pt>
                <c:pt idx="16">
                  <c:v>0.19399999999999998</c:v>
                </c:pt>
                <c:pt idx="17">
                  <c:v>0.192</c:v>
                </c:pt>
                <c:pt idx="18">
                  <c:v>0.184</c:v>
                </c:pt>
                <c:pt idx="19">
                  <c:v>0.152</c:v>
                </c:pt>
                <c:pt idx="20">
                  <c:v>0.13400000000000001</c:v>
                </c:pt>
                <c:pt idx="21">
                  <c:v>0.125</c:v>
                </c:pt>
                <c:pt idx="22">
                  <c:v>0.124</c:v>
                </c:pt>
                <c:pt idx="23">
                  <c:v>0.11599999999999999</c:v>
                </c:pt>
                <c:pt idx="24">
                  <c:v>0.10099999999999999</c:v>
                </c:pt>
                <c:pt idx="2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28-4472-A6A8-073AFB45495B}"/>
            </c:ext>
          </c:extLst>
        </c:ser>
        <c:ser>
          <c:idx val="1"/>
          <c:order val="1"/>
          <c:tx>
            <c:strRef>
              <c:f>G50x!$G$2</c:f>
              <c:strCache>
                <c:ptCount val="1"/>
                <c:pt idx="0">
                  <c:v>Inovace služby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C228-4472-A6A8-073AFB45495B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C228-4472-A6A8-073AFB45495B}"/>
              </c:ext>
            </c:extLst>
          </c:dPt>
          <c:cat>
            <c:strRef>
              <c:f>G50x!$E$3:$E$28</c:f>
              <c:strCache>
                <c:ptCount val="26"/>
                <c:pt idx="0">
                  <c:v>Estonsko</c:v>
                </c:pt>
                <c:pt idx="1">
                  <c:v>Kypr</c:v>
                </c:pt>
                <c:pt idx="2">
                  <c:v>Řecko</c:v>
                </c:pt>
                <c:pt idx="3">
                  <c:v>Německo</c:v>
                </c:pt>
                <c:pt idx="4">
                  <c:v>Itálie</c:v>
                </c:pt>
                <c:pt idx="5">
                  <c:v>Chorvatsko</c:v>
                </c:pt>
                <c:pt idx="6">
                  <c:v>Rakousko</c:v>
                </c:pt>
                <c:pt idx="7">
                  <c:v>Slovinsko</c:v>
                </c:pt>
                <c:pt idx="8">
                  <c:v>Švédsko</c:v>
                </c:pt>
                <c:pt idx="9">
                  <c:v>Francie</c:v>
                </c:pt>
                <c:pt idx="10">
                  <c:v>Dánsko</c:v>
                </c:pt>
                <c:pt idx="11">
                  <c:v>Portugalsko</c:v>
                </c:pt>
                <c:pt idx="12">
                  <c:v>Finsko</c:v>
                </c:pt>
                <c:pt idx="13">
                  <c:v>Litva</c:v>
                </c:pt>
                <c:pt idx="14">
                  <c:v>Česko</c:v>
                </c:pt>
                <c:pt idx="15">
                  <c:v>Malta</c:v>
                </c:pt>
                <c:pt idx="16">
                  <c:v>Lucembursko</c:v>
                </c:pt>
                <c:pt idx="17">
                  <c:v>Nizozemsko</c:v>
                </c:pt>
                <c:pt idx="18">
                  <c:v>Irsko</c:v>
                </c:pt>
                <c:pt idx="19">
                  <c:v>Maďarsko</c:v>
                </c:pt>
                <c:pt idx="20">
                  <c:v>Bulharsko</c:v>
                </c:pt>
                <c:pt idx="21">
                  <c:v>Lotyšsko</c:v>
                </c:pt>
                <c:pt idx="22">
                  <c:v>Slovensko</c:v>
                </c:pt>
                <c:pt idx="23">
                  <c:v>Španělsko</c:v>
                </c:pt>
                <c:pt idx="24">
                  <c:v>Polsko</c:v>
                </c:pt>
                <c:pt idx="25">
                  <c:v>Rumunsko</c:v>
                </c:pt>
              </c:strCache>
            </c:strRef>
          </c:cat>
          <c:val>
            <c:numRef>
              <c:f>G50x!$G$3:$G$28</c:f>
              <c:numCache>
                <c:formatCode>0.0%</c:formatCode>
                <c:ptCount val="26"/>
                <c:pt idx="0">
                  <c:v>0.28399999999999997</c:v>
                </c:pt>
                <c:pt idx="1">
                  <c:v>0.36</c:v>
                </c:pt>
                <c:pt idx="2">
                  <c:v>0.27699999999999997</c:v>
                </c:pt>
                <c:pt idx="3">
                  <c:v>0.252</c:v>
                </c:pt>
                <c:pt idx="4">
                  <c:v>0.19699999999999998</c:v>
                </c:pt>
                <c:pt idx="5">
                  <c:v>0.23600000000000002</c:v>
                </c:pt>
                <c:pt idx="6">
                  <c:v>0.23199999999999998</c:v>
                </c:pt>
                <c:pt idx="7">
                  <c:v>0.19</c:v>
                </c:pt>
                <c:pt idx="8">
                  <c:v>0.218</c:v>
                </c:pt>
                <c:pt idx="9">
                  <c:v>0.20899999999999999</c:v>
                </c:pt>
                <c:pt idx="10">
                  <c:v>0.17800000000000002</c:v>
                </c:pt>
                <c:pt idx="11">
                  <c:v>0.19399999999999998</c:v>
                </c:pt>
                <c:pt idx="12">
                  <c:v>0.254</c:v>
                </c:pt>
                <c:pt idx="13">
                  <c:v>0.16899999999999998</c:v>
                </c:pt>
                <c:pt idx="14">
                  <c:v>0.125</c:v>
                </c:pt>
                <c:pt idx="15">
                  <c:v>0.222</c:v>
                </c:pt>
                <c:pt idx="16">
                  <c:v>0.20600000000000002</c:v>
                </c:pt>
                <c:pt idx="17">
                  <c:v>0.154</c:v>
                </c:pt>
                <c:pt idx="18">
                  <c:v>0.16200000000000001</c:v>
                </c:pt>
                <c:pt idx="19">
                  <c:v>0.10800000000000001</c:v>
                </c:pt>
                <c:pt idx="20">
                  <c:v>9.5000000000000001E-2</c:v>
                </c:pt>
                <c:pt idx="21">
                  <c:v>0.09</c:v>
                </c:pt>
                <c:pt idx="22">
                  <c:v>7.9000000000000001E-2</c:v>
                </c:pt>
                <c:pt idx="23">
                  <c:v>6.6000000000000003E-2</c:v>
                </c:pt>
                <c:pt idx="24">
                  <c:v>6.4000000000000001E-2</c:v>
                </c:pt>
                <c:pt idx="25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228-4472-A6A8-073AFB454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  <a:alpha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695728"/>
        <c:crosses val="autoZero"/>
        <c:crossBetween val="between"/>
        <c:majorUnit val="0.1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'G50'!$A$43</c:f>
              <c:strCache>
                <c:ptCount val="1"/>
                <c:pt idx="0">
                  <c:v>Inovace způsobu zpracování podnikových informací či komunikace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'G50'!$B$43:$C$43</c:f>
              <c:numCache>
                <c:formatCode>0%</c:formatCode>
                <c:ptCount val="2"/>
                <c:pt idx="0">
                  <c:v>0.22800000000000001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9-4E27-B7F1-493E6F931F86}"/>
            </c:ext>
          </c:extLst>
        </c:ser>
        <c:ser>
          <c:idx val="1"/>
          <c:order val="1"/>
          <c:tx>
            <c:strRef>
              <c:f>'G50'!$A$44</c:f>
              <c:strCache>
                <c:ptCount val="1"/>
                <c:pt idx="0">
                  <c:v>Inovace způsobu výroby nebo poskytování služeb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'G50'!$B$44:$C$44</c:f>
              <c:numCache>
                <c:formatCode>0%</c:formatCode>
                <c:ptCount val="2"/>
                <c:pt idx="0">
                  <c:v>0.20899999999999999</c:v>
                </c:pt>
                <c:pt idx="1">
                  <c:v>0.19800000000000001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E9-4E27-B7F1-493E6F931F86}"/>
            </c:ext>
          </c:extLst>
        </c:ser>
        <c:ser>
          <c:idx val="2"/>
          <c:order val="2"/>
          <c:tx>
            <c:strRef>
              <c:f>'G50'!$A$45</c:f>
              <c:strCache>
                <c:ptCount val="1"/>
                <c:pt idx="0">
                  <c:v>Inovace způsobu organizace a řízení lidských zdrojů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'G50'!$B$45:$C$45</c:f>
              <c:numCache>
                <c:formatCode>0%</c:formatCode>
                <c:ptCount val="2"/>
                <c:pt idx="0">
                  <c:v>0.20499999999999999</c:v>
                </c:pt>
                <c:pt idx="1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E9-4E27-B7F1-493E6F931F86}"/>
            </c:ext>
          </c:extLst>
        </c:ser>
        <c:ser>
          <c:idx val="3"/>
          <c:order val="3"/>
          <c:tx>
            <c:strRef>
              <c:f>'G50'!$A$46</c:f>
              <c:strCache>
                <c:ptCount val="1"/>
                <c:pt idx="0">
                  <c:v>Inovace účetnictví nebo jiných administrativních činností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'G50'!$B$46:$C$46</c:f>
              <c:numCache>
                <c:formatCode>0%</c:formatCode>
                <c:ptCount val="2"/>
                <c:pt idx="0">
                  <c:v>0.17600000000000002</c:v>
                </c:pt>
                <c:pt idx="1">
                  <c:v>0.14899999999999999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E9-4E27-B7F1-493E6F931F86}"/>
            </c:ext>
          </c:extLst>
        </c:ser>
        <c:ser>
          <c:idx val="4"/>
          <c:order val="4"/>
          <c:tx>
            <c:strRef>
              <c:f>'G50'!$A$47</c:f>
              <c:strCache>
                <c:ptCount val="1"/>
                <c:pt idx="0">
                  <c:v>Inovace marketingových metod 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'G50'!$B$47:$C$47</c:f>
              <c:numCache>
                <c:formatCode>0%</c:formatCode>
                <c:ptCount val="2"/>
                <c:pt idx="0">
                  <c:v>0.16600000000000001</c:v>
                </c:pt>
                <c:pt idx="1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E9-4E27-B7F1-493E6F931F86}"/>
            </c:ext>
          </c:extLst>
        </c:ser>
        <c:ser>
          <c:idx val="5"/>
          <c:order val="5"/>
          <c:tx>
            <c:strRef>
              <c:f>'G50'!$A$48</c:f>
              <c:strCache>
                <c:ptCount val="1"/>
                <c:pt idx="0">
                  <c:v>Inovace řízení podnikových činností nebo vnějších vztahů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'G50'!$B$48:$C$48</c:f>
              <c:numCache>
                <c:formatCode>0%</c:formatCode>
                <c:ptCount val="2"/>
                <c:pt idx="0">
                  <c:v>0.152</c:v>
                </c:pt>
                <c:pt idx="1">
                  <c:v>0.13500000000000001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E9-4E27-B7F1-493E6F931F86}"/>
            </c:ext>
          </c:extLst>
        </c:ser>
        <c:ser>
          <c:idx val="6"/>
          <c:order val="6"/>
          <c:tx>
            <c:strRef>
              <c:f>'G50'!$A$49</c:f>
              <c:strCache>
                <c:ptCount val="1"/>
                <c:pt idx="0">
                  <c:v>Inovace logistických činností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'G50'!$B$42:$C$42</c:f>
              <c:strCache>
                <c:ptCount val="2"/>
                <c:pt idx="0">
                  <c:v>EU27 průměr</c:v>
                </c:pt>
                <c:pt idx="1">
                  <c:v>Česko</c:v>
                </c:pt>
              </c:strCache>
            </c:strRef>
          </c:cat>
          <c:val>
            <c:numRef>
              <c:f>'G50'!$B$49:$C$49</c:f>
              <c:numCache>
                <c:formatCode>0%</c:formatCode>
                <c:ptCount val="2"/>
                <c:pt idx="0">
                  <c:v>0.129</c:v>
                </c:pt>
                <c:pt idx="1">
                  <c:v>0.109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E9-4E27-B7F1-493E6F931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axId val="1179695728"/>
        <c:axId val="1179701552"/>
      </c:barChart>
      <c:catAx>
        <c:axId val="117969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  <a:alpha val="50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179701552"/>
        <c:crosses val="autoZero"/>
        <c:auto val="1"/>
        <c:lblAlgn val="ctr"/>
        <c:lblOffset val="100"/>
        <c:noMultiLvlLbl val="0"/>
      </c:catAx>
      <c:valAx>
        <c:axId val="1179701552"/>
        <c:scaling>
          <c:orientation val="minMax"/>
          <c:max val="0.30000000000000004"/>
        </c:scaling>
        <c:delete val="1"/>
        <c:axPos val="l"/>
        <c:numFmt formatCode="0%" sourceLinked="0"/>
        <c:majorTickMark val="out"/>
        <c:minorTickMark val="none"/>
        <c:tickLblPos val="nextTo"/>
        <c:crossAx val="1179695728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6498839869281046"/>
          <c:y val="0.55597810401399539"/>
          <c:w val="0.66587271241830059"/>
          <c:h val="0.41944937560967743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599E-224F-4DDF-9644-E4D706AC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73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12</cp:revision>
  <cp:lastPrinted>2022-06-21T08:23:00Z</cp:lastPrinted>
  <dcterms:created xsi:type="dcterms:W3CDTF">2022-06-20T14:10:00Z</dcterms:created>
  <dcterms:modified xsi:type="dcterms:W3CDTF">2022-06-21T09:08:00Z</dcterms:modified>
</cp:coreProperties>
</file>