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20" w:rsidRDefault="00243120" w:rsidP="00045832">
      <w:pPr>
        <w:pStyle w:val="Nadpis1"/>
        <w:spacing w:before="0" w:after="0"/>
        <w:ind w:left="431" w:hanging="431"/>
      </w:pPr>
      <w:bookmarkStart w:id="0" w:name="_GoBack"/>
      <w:bookmarkEnd w:id="0"/>
      <w:r>
        <w:t>Potratovost</w:t>
      </w:r>
    </w:p>
    <w:p w:rsidR="00243120" w:rsidRPr="00045832" w:rsidRDefault="00243120">
      <w:pPr>
        <w:rPr>
          <w:b/>
          <w:sz w:val="24"/>
        </w:rPr>
      </w:pPr>
    </w:p>
    <w:p w:rsidR="00243120" w:rsidRPr="00357790" w:rsidRDefault="00DB0ED9" w:rsidP="003C7D3A">
      <w:pPr>
        <w:rPr>
          <w:b/>
        </w:rPr>
      </w:pPr>
      <w:r w:rsidRPr="00357790">
        <w:rPr>
          <w:b/>
        </w:rPr>
        <w:t xml:space="preserve">V roce </w:t>
      </w:r>
      <w:r w:rsidR="00971C90">
        <w:rPr>
          <w:b/>
        </w:rPr>
        <w:t xml:space="preserve">2014 </w:t>
      </w:r>
      <w:r w:rsidR="00352B5F">
        <w:rPr>
          <w:b/>
        </w:rPr>
        <w:t>bylo evidováno</w:t>
      </w:r>
      <w:r w:rsidR="007175BB">
        <w:rPr>
          <w:rStyle w:val="Znakapoznpodarou"/>
          <w:b/>
        </w:rPr>
        <w:footnoteReference w:id="1"/>
      </w:r>
      <w:r w:rsidR="00724DCE">
        <w:rPr>
          <w:b/>
        </w:rPr>
        <w:t xml:space="preserve"> </w:t>
      </w:r>
      <w:r w:rsidR="00971C90">
        <w:rPr>
          <w:b/>
        </w:rPr>
        <w:t>37,0</w:t>
      </w:r>
      <w:r w:rsidR="00243120" w:rsidRPr="00357790">
        <w:rPr>
          <w:b/>
        </w:rPr>
        <w:t xml:space="preserve"> </w:t>
      </w:r>
      <w:r w:rsidRPr="00357790">
        <w:rPr>
          <w:b/>
        </w:rPr>
        <w:t xml:space="preserve">tisíce potratů, </w:t>
      </w:r>
      <w:r w:rsidR="00971C90">
        <w:rPr>
          <w:b/>
        </w:rPr>
        <w:t>čímž bylo opět překonáno absolutní minimum</w:t>
      </w:r>
      <w:r w:rsidR="00931580">
        <w:rPr>
          <w:b/>
        </w:rPr>
        <w:t xml:space="preserve"> </w:t>
      </w:r>
      <w:r w:rsidR="00971C90">
        <w:rPr>
          <w:b/>
        </w:rPr>
        <w:t>z</w:t>
      </w:r>
      <w:r w:rsidR="00931580">
        <w:rPr>
          <w:b/>
        </w:rPr>
        <w:t> </w:t>
      </w:r>
      <w:r w:rsidR="00971C90">
        <w:rPr>
          <w:b/>
        </w:rPr>
        <w:t xml:space="preserve">minulého roku. </w:t>
      </w:r>
      <w:r w:rsidR="00E21096">
        <w:rPr>
          <w:b/>
        </w:rPr>
        <w:t>Počet uměle přerušených těhotenství (UPT) se snížil</w:t>
      </w:r>
      <w:r w:rsidR="008329D1">
        <w:rPr>
          <w:b/>
        </w:rPr>
        <w:t xml:space="preserve"> o</w:t>
      </w:r>
      <w:r w:rsidR="00931580">
        <w:rPr>
          <w:b/>
        </w:rPr>
        <w:t> </w:t>
      </w:r>
      <w:r w:rsidR="008329D1">
        <w:rPr>
          <w:b/>
        </w:rPr>
        <w:t>0,8 tis</w:t>
      </w:r>
      <w:r w:rsidR="00DC0E64">
        <w:rPr>
          <w:b/>
        </w:rPr>
        <w:t>íce</w:t>
      </w:r>
      <w:r w:rsidR="00E21096">
        <w:rPr>
          <w:b/>
        </w:rPr>
        <w:t xml:space="preserve"> na 21,9 tisíce</w:t>
      </w:r>
      <w:r w:rsidR="00971C90">
        <w:rPr>
          <w:b/>
        </w:rPr>
        <w:t>. Na samovolné potraty připadalo 13,9</w:t>
      </w:r>
      <w:r w:rsidRPr="00357790">
        <w:rPr>
          <w:b/>
        </w:rPr>
        <w:t xml:space="preserve"> tisíce </w:t>
      </w:r>
      <w:r w:rsidR="00971C90">
        <w:rPr>
          <w:b/>
        </w:rPr>
        <w:t>případů</w:t>
      </w:r>
      <w:r w:rsidR="00243120" w:rsidRPr="00357790">
        <w:rPr>
          <w:b/>
        </w:rPr>
        <w:t xml:space="preserve">. Úhrnná potratovost se </w:t>
      </w:r>
      <w:r w:rsidR="00971C90">
        <w:rPr>
          <w:b/>
        </w:rPr>
        <w:t>v roce 2014</w:t>
      </w:r>
      <w:r w:rsidR="00357790">
        <w:rPr>
          <w:b/>
        </w:rPr>
        <w:t xml:space="preserve"> </w:t>
      </w:r>
      <w:r w:rsidR="00243120" w:rsidRPr="00357790">
        <w:rPr>
          <w:b/>
        </w:rPr>
        <w:t xml:space="preserve">meziročně </w:t>
      </w:r>
      <w:r w:rsidR="00971C90">
        <w:rPr>
          <w:b/>
        </w:rPr>
        <w:t>nepatrně snížila z</w:t>
      </w:r>
      <w:r w:rsidR="00931580">
        <w:rPr>
          <w:b/>
        </w:rPr>
        <w:t> </w:t>
      </w:r>
      <w:r w:rsidR="00971C90">
        <w:rPr>
          <w:b/>
        </w:rPr>
        <w:t>0,52</w:t>
      </w:r>
      <w:r w:rsidR="00243120" w:rsidRPr="00357790">
        <w:rPr>
          <w:b/>
        </w:rPr>
        <w:t xml:space="preserve"> na </w:t>
      </w:r>
      <w:r w:rsidR="00971C90">
        <w:rPr>
          <w:b/>
        </w:rPr>
        <w:t>0,51</w:t>
      </w:r>
      <w:r w:rsidRPr="00357790">
        <w:rPr>
          <w:b/>
        </w:rPr>
        <w:t xml:space="preserve"> potratu na </w:t>
      </w:r>
      <w:r w:rsidR="00971C90">
        <w:rPr>
          <w:b/>
        </w:rPr>
        <w:t>jednu ženu. P</w:t>
      </w:r>
      <w:r w:rsidR="00243120" w:rsidRPr="00357790">
        <w:rPr>
          <w:b/>
        </w:rPr>
        <w:t xml:space="preserve">růměrný věk žen při potratu </w:t>
      </w:r>
      <w:r w:rsidR="00971C90">
        <w:rPr>
          <w:b/>
        </w:rPr>
        <w:t xml:space="preserve">vzrostl </w:t>
      </w:r>
      <w:r w:rsidR="00E21096">
        <w:rPr>
          <w:b/>
        </w:rPr>
        <w:t>o</w:t>
      </w:r>
      <w:r w:rsidR="00931580">
        <w:rPr>
          <w:b/>
        </w:rPr>
        <w:t> </w:t>
      </w:r>
      <w:r w:rsidR="00E21096">
        <w:rPr>
          <w:b/>
        </w:rPr>
        <w:t xml:space="preserve">0,2 </w:t>
      </w:r>
      <w:r w:rsidR="00971C90">
        <w:rPr>
          <w:b/>
        </w:rPr>
        <w:t>na</w:t>
      </w:r>
      <w:r w:rsidR="0065078A">
        <w:rPr>
          <w:b/>
        </w:rPr>
        <w:t xml:space="preserve"> </w:t>
      </w:r>
      <w:r w:rsidR="00971C90">
        <w:rPr>
          <w:b/>
        </w:rPr>
        <w:t>30,3</w:t>
      </w:r>
      <w:r w:rsidR="00243120" w:rsidRPr="00357790">
        <w:rPr>
          <w:b/>
        </w:rPr>
        <w:t xml:space="preserve"> roku.</w:t>
      </w:r>
    </w:p>
    <w:p w:rsidR="00971C90" w:rsidRDefault="00971C90"/>
    <w:p w:rsidR="00B1631F" w:rsidRDefault="001338AA">
      <w:pPr>
        <w:rPr>
          <w:rFonts w:cs="Arial"/>
        </w:rPr>
      </w:pPr>
      <w:r>
        <w:t>Za dlouhodobým poklesem počtu potratů v ČR (meziročně o</w:t>
      </w:r>
      <w:r w:rsidR="00931580">
        <w:t> </w:t>
      </w:r>
      <w:r>
        <w:t>731 méně) stojí zejména sni</w:t>
      </w:r>
      <w:r w:rsidR="005176CE">
        <w:t>žování počtu uměle přerušených</w:t>
      </w:r>
      <w:r>
        <w:t xml:space="preserve"> </w:t>
      </w:r>
      <w:r w:rsidR="00E21096">
        <w:t>těhotenství</w:t>
      </w:r>
      <w:r w:rsidR="00E9189B">
        <w:rPr>
          <w:rStyle w:val="Znakapoznpodarou"/>
        </w:rPr>
        <w:footnoteReference w:id="2"/>
      </w:r>
      <w:r w:rsidR="00E9189B">
        <w:t>.</w:t>
      </w:r>
      <w:r>
        <w:t xml:space="preserve"> </w:t>
      </w:r>
      <w:r>
        <w:rPr>
          <w:rFonts w:cs="Arial"/>
        </w:rPr>
        <w:t>V posledním sledované</w:t>
      </w:r>
      <w:r w:rsidR="00D62DDD">
        <w:rPr>
          <w:rFonts w:cs="Arial"/>
        </w:rPr>
        <w:t>m roce jejich počet klesl na 21 </w:t>
      </w:r>
      <w:r>
        <w:rPr>
          <w:rFonts w:cs="Arial"/>
        </w:rPr>
        <w:t xml:space="preserve">893, což bylo </w:t>
      </w:r>
      <w:r w:rsidR="00854FC4">
        <w:rPr>
          <w:rFonts w:cs="Arial"/>
        </w:rPr>
        <w:t>o</w:t>
      </w:r>
      <w:r w:rsidR="00931580">
        <w:rPr>
          <w:rFonts w:cs="Arial"/>
        </w:rPr>
        <w:t> </w:t>
      </w:r>
      <w:r w:rsidR="005176CE">
        <w:rPr>
          <w:rFonts w:cs="Arial"/>
        </w:rPr>
        <w:t>821 méně než v</w:t>
      </w:r>
      <w:r w:rsidR="00931580">
        <w:rPr>
          <w:rFonts w:cs="Arial"/>
        </w:rPr>
        <w:t> </w:t>
      </w:r>
      <w:r w:rsidR="005176CE">
        <w:rPr>
          <w:rFonts w:cs="Arial"/>
        </w:rPr>
        <w:t>roce 2013 a o</w:t>
      </w:r>
      <w:r w:rsidR="00931580">
        <w:rPr>
          <w:rFonts w:cs="Arial"/>
        </w:rPr>
        <w:t> </w:t>
      </w:r>
      <w:r w:rsidR="005176CE">
        <w:rPr>
          <w:rFonts w:cs="Arial"/>
        </w:rPr>
        <w:t xml:space="preserve">více než pětinu méně ve srovnání se stavem před deseti lety. Zastoupení UPT na celkovém počtu potratů ve stejném </w:t>
      </w:r>
      <w:r w:rsidR="00854FC4">
        <w:rPr>
          <w:rFonts w:cs="Arial"/>
        </w:rPr>
        <w:t xml:space="preserve">období </w:t>
      </w:r>
      <w:r w:rsidR="005176CE">
        <w:rPr>
          <w:rFonts w:cs="Arial"/>
        </w:rPr>
        <w:t xml:space="preserve">pokleslo </w:t>
      </w:r>
      <w:r w:rsidR="00D62DDD">
        <w:rPr>
          <w:rFonts w:cs="Arial"/>
        </w:rPr>
        <w:t>z 66,7 </w:t>
      </w:r>
      <w:r w:rsidR="005176CE">
        <w:rPr>
          <w:rFonts w:cs="Arial"/>
        </w:rPr>
        <w:t xml:space="preserve">% na </w:t>
      </w:r>
      <w:r w:rsidR="00854FC4">
        <w:rPr>
          <w:rFonts w:cs="Arial"/>
        </w:rPr>
        <w:t>59,2</w:t>
      </w:r>
      <w:r w:rsidR="00D62DDD">
        <w:t> </w:t>
      </w:r>
      <w:r w:rsidR="005176CE">
        <w:rPr>
          <w:rFonts w:cs="Arial"/>
        </w:rPr>
        <w:t xml:space="preserve">%, přičemž </w:t>
      </w:r>
      <w:r w:rsidR="00E9189B">
        <w:rPr>
          <w:rFonts w:cs="Arial"/>
        </w:rPr>
        <w:t xml:space="preserve">u </w:t>
      </w:r>
      <w:r w:rsidR="005176CE">
        <w:rPr>
          <w:rFonts w:cs="Arial"/>
        </w:rPr>
        <w:t>stále větší část</w:t>
      </w:r>
      <w:r w:rsidR="00E9189B">
        <w:rPr>
          <w:rFonts w:cs="Arial"/>
        </w:rPr>
        <w:t>i</w:t>
      </w:r>
      <w:r w:rsidR="005176CE">
        <w:rPr>
          <w:rFonts w:cs="Arial"/>
        </w:rPr>
        <w:t xml:space="preserve"> z nich </w:t>
      </w:r>
      <w:r w:rsidR="00E9189B">
        <w:rPr>
          <w:rFonts w:cs="Arial"/>
        </w:rPr>
        <w:t>jsou deklarovány zdravotní důvody</w:t>
      </w:r>
      <w:r w:rsidR="00D62DDD">
        <w:rPr>
          <w:rFonts w:cs="Arial"/>
        </w:rPr>
        <w:t xml:space="preserve"> (20,2 </w:t>
      </w:r>
      <w:r w:rsidR="005176CE">
        <w:rPr>
          <w:rFonts w:cs="Arial"/>
        </w:rPr>
        <w:t>% v roce 2014).</w:t>
      </w:r>
      <w:r w:rsidR="005807B8">
        <w:rPr>
          <w:rFonts w:cs="Arial"/>
        </w:rPr>
        <w:t xml:space="preserve"> Indukované potraty se dělí na miniinterrupce prováděné obvykle v mla</w:t>
      </w:r>
      <w:r w:rsidR="00D62DDD">
        <w:rPr>
          <w:rFonts w:cs="Arial"/>
        </w:rPr>
        <w:t>dším stádiu vývoje plodu (do 8. </w:t>
      </w:r>
      <w:r w:rsidR="005807B8">
        <w:rPr>
          <w:rFonts w:cs="Arial"/>
        </w:rPr>
        <w:t xml:space="preserve">týdne) a jiné legální UPT s realizací v pozdější fázi těhotenství. </w:t>
      </w:r>
      <w:r w:rsidR="00E21096">
        <w:rPr>
          <w:rFonts w:cs="Arial"/>
        </w:rPr>
        <w:t>Prvně jmenovaná skupin</w:t>
      </w:r>
      <w:r w:rsidR="008329D1">
        <w:rPr>
          <w:rFonts w:cs="Arial"/>
        </w:rPr>
        <w:t>a</w:t>
      </w:r>
      <w:r w:rsidR="00E21096">
        <w:rPr>
          <w:rFonts w:cs="Arial"/>
        </w:rPr>
        <w:t xml:space="preserve"> induko</w:t>
      </w:r>
      <w:r w:rsidR="00D62DDD">
        <w:rPr>
          <w:rFonts w:cs="Arial"/>
        </w:rPr>
        <w:t>vaných potratů je majoritní (15 </w:t>
      </w:r>
      <w:r w:rsidR="00E21096">
        <w:rPr>
          <w:rFonts w:cs="Arial"/>
        </w:rPr>
        <w:t>664), její zastoupení ale v čase klesá. V</w:t>
      </w:r>
      <w:r w:rsidR="00931580">
        <w:rPr>
          <w:rFonts w:cs="Arial"/>
        </w:rPr>
        <w:t> </w:t>
      </w:r>
      <w:r w:rsidR="00E21096">
        <w:rPr>
          <w:rFonts w:cs="Arial"/>
        </w:rPr>
        <w:t>roce 2014 n</w:t>
      </w:r>
      <w:r w:rsidR="00D62DDD">
        <w:rPr>
          <w:rFonts w:cs="Arial"/>
        </w:rPr>
        <w:t>a miniinterrupce připadalo 71,5 </w:t>
      </w:r>
      <w:r w:rsidR="00E21096">
        <w:rPr>
          <w:rFonts w:cs="Arial"/>
        </w:rPr>
        <w:t>% ze všech UPT, zatímco</w:t>
      </w:r>
      <w:r w:rsidR="00D62DDD">
        <w:rPr>
          <w:rFonts w:cs="Arial"/>
        </w:rPr>
        <w:t xml:space="preserve"> v</w:t>
      </w:r>
      <w:r w:rsidR="00931580">
        <w:rPr>
          <w:rFonts w:cs="Arial"/>
        </w:rPr>
        <w:t> </w:t>
      </w:r>
      <w:r w:rsidR="00D62DDD">
        <w:rPr>
          <w:rFonts w:cs="Arial"/>
        </w:rPr>
        <w:t>roce 2004 to bylo ještě 78,8 </w:t>
      </w:r>
      <w:r w:rsidR="00E21096">
        <w:rPr>
          <w:rFonts w:cs="Arial"/>
        </w:rPr>
        <w:t>%. Počet jiných legálních UPT přitom od roku 2007 stagnuje a v pos</w:t>
      </w:r>
      <w:r w:rsidR="00D62DDD">
        <w:rPr>
          <w:rFonts w:cs="Arial"/>
        </w:rPr>
        <w:t>ledním sledovaném roce dosáhl 6 </w:t>
      </w:r>
      <w:r w:rsidR="00E21096">
        <w:rPr>
          <w:rFonts w:cs="Arial"/>
        </w:rPr>
        <w:t>229 případů (meziroční pokles o</w:t>
      </w:r>
      <w:r w:rsidR="00931580">
        <w:rPr>
          <w:rFonts w:cs="Arial"/>
        </w:rPr>
        <w:t> </w:t>
      </w:r>
      <w:r w:rsidR="00E21096">
        <w:rPr>
          <w:rFonts w:cs="Arial"/>
        </w:rPr>
        <w:t>46 UPT).</w:t>
      </w:r>
    </w:p>
    <w:p w:rsidR="00C22510" w:rsidRDefault="00C22510">
      <w:pPr>
        <w:rPr>
          <w:rFonts w:cs="Arial"/>
        </w:rPr>
      </w:pPr>
    </w:p>
    <w:p w:rsidR="00C22510" w:rsidRDefault="00C22510" w:rsidP="00C22510">
      <w:pPr>
        <w:pStyle w:val="Titulek"/>
        <w:spacing w:before="0" w:after="60"/>
      </w:pPr>
      <w:r>
        <w:t xml:space="preserve">Tab. </w:t>
      </w:r>
      <w:r w:rsidR="00351243">
        <w:fldChar w:fldCharType="begin"/>
      </w:r>
      <w:r>
        <w:instrText xml:space="preserve"> STYLEREF 1 \s </w:instrText>
      </w:r>
      <w:r w:rsidR="00351243">
        <w:fldChar w:fldCharType="separate"/>
      </w:r>
      <w:proofErr w:type="gramStart"/>
      <w:r>
        <w:rPr>
          <w:noProof/>
        </w:rPr>
        <w:t>5</w:t>
      </w:r>
      <w:r w:rsidR="00351243">
        <w:fldChar w:fldCharType="end"/>
      </w:r>
      <w:r>
        <w:t>.</w:t>
      </w:r>
      <w:fldSimple w:instr=" SEQ Tab. \* ARABIC \s 1 ">
        <w:r>
          <w:rPr>
            <w:noProof/>
          </w:rPr>
          <w:t>1</w:t>
        </w:r>
      </w:fldSimple>
      <w:proofErr w:type="gramEnd"/>
      <w:r>
        <w:t xml:space="preserve"> Potraty, 2004–2014</w:t>
      </w:r>
    </w:p>
    <w:tbl>
      <w:tblPr>
        <w:tblW w:w="9639" w:type="dxa"/>
        <w:tblCellMar>
          <w:left w:w="0" w:type="dxa"/>
          <w:right w:w="0" w:type="dxa"/>
        </w:tblCellMar>
        <w:tblLook w:val="0000"/>
      </w:tblPr>
      <w:tblGrid>
        <w:gridCol w:w="3262"/>
        <w:gridCol w:w="911"/>
        <w:gridCol w:w="911"/>
        <w:gridCol w:w="911"/>
        <w:gridCol w:w="911"/>
        <w:gridCol w:w="911"/>
        <w:gridCol w:w="911"/>
        <w:gridCol w:w="911"/>
      </w:tblGrid>
      <w:tr w:rsidR="00C22510" w:rsidTr="008329D1">
        <w:trPr>
          <w:trHeight w:val="255"/>
        </w:trPr>
        <w:tc>
          <w:tcPr>
            <w:tcW w:w="0" w:type="auto"/>
            <w:tcBorders>
              <w:top w:val="single" w:sz="4" w:space="0" w:color="auto"/>
              <w:left w:val="nil"/>
              <w:bottom w:val="single" w:sz="4" w:space="0" w:color="auto"/>
              <w:right w:val="single" w:sz="4" w:space="0" w:color="auto"/>
            </w:tcBorders>
            <w:noWrap/>
            <w:vAlign w:val="bottom"/>
          </w:tcPr>
          <w:p w:rsidR="00C22510" w:rsidRDefault="00C22510" w:rsidP="008329D1">
            <w:pPr>
              <w:rPr>
                <w:rFonts w:eastAsia="Arial Unicode MS" w:cs="Arial"/>
                <w:b/>
                <w:bCs/>
                <w:sz w:val="16"/>
                <w:szCs w:val="16"/>
              </w:rPr>
            </w:pPr>
            <w:r>
              <w:rPr>
                <w:rFonts w:cs="Arial"/>
                <w:b/>
                <w:bCs/>
                <w:sz w:val="16"/>
                <w:szCs w:val="16"/>
              </w:rPr>
              <w:t> </w:t>
            </w:r>
          </w:p>
        </w:tc>
        <w:tc>
          <w:tcPr>
            <w:tcW w:w="903" w:type="dxa"/>
            <w:tcBorders>
              <w:top w:val="single" w:sz="4" w:space="0" w:color="auto"/>
              <w:left w:val="nil"/>
              <w:bottom w:val="single" w:sz="4" w:space="0" w:color="auto"/>
              <w:right w:val="nil"/>
            </w:tcBorders>
            <w:noWrap/>
            <w:tcMar>
              <w:right w:w="142" w:type="dxa"/>
            </w:tcMar>
            <w:vAlign w:val="bottom"/>
          </w:tcPr>
          <w:p w:rsidR="00C22510" w:rsidRDefault="00C22510" w:rsidP="008329D1">
            <w:pPr>
              <w:jc w:val="right"/>
              <w:rPr>
                <w:rFonts w:cs="Arial"/>
                <w:b/>
                <w:bCs/>
                <w:sz w:val="16"/>
                <w:szCs w:val="16"/>
              </w:rPr>
            </w:pPr>
            <w:r>
              <w:rPr>
                <w:rFonts w:cs="Arial"/>
                <w:b/>
                <w:bCs/>
                <w:sz w:val="16"/>
                <w:szCs w:val="16"/>
              </w:rPr>
              <w:t>2004</w:t>
            </w:r>
          </w:p>
        </w:tc>
        <w:tc>
          <w:tcPr>
            <w:tcW w:w="903" w:type="dxa"/>
            <w:tcBorders>
              <w:top w:val="single" w:sz="4" w:space="0" w:color="auto"/>
              <w:left w:val="nil"/>
              <w:bottom w:val="single" w:sz="4" w:space="0" w:color="auto"/>
              <w:right w:val="nil"/>
            </w:tcBorders>
            <w:noWrap/>
            <w:tcMar>
              <w:right w:w="142" w:type="dxa"/>
            </w:tcMar>
            <w:vAlign w:val="bottom"/>
          </w:tcPr>
          <w:p w:rsidR="00C22510" w:rsidRDefault="00C22510" w:rsidP="008329D1">
            <w:pPr>
              <w:jc w:val="right"/>
              <w:rPr>
                <w:rFonts w:cs="Arial"/>
                <w:b/>
                <w:bCs/>
                <w:sz w:val="16"/>
                <w:szCs w:val="16"/>
              </w:rPr>
            </w:pPr>
            <w:r>
              <w:rPr>
                <w:rFonts w:cs="Arial"/>
                <w:b/>
                <w:bCs/>
                <w:sz w:val="16"/>
                <w:szCs w:val="16"/>
              </w:rPr>
              <w:t>2009</w:t>
            </w:r>
          </w:p>
        </w:tc>
        <w:tc>
          <w:tcPr>
            <w:tcW w:w="903" w:type="dxa"/>
            <w:tcBorders>
              <w:top w:val="single" w:sz="4" w:space="0" w:color="auto"/>
              <w:left w:val="nil"/>
              <w:bottom w:val="single" w:sz="4" w:space="0" w:color="auto"/>
              <w:right w:val="nil"/>
            </w:tcBorders>
            <w:noWrap/>
            <w:tcMar>
              <w:right w:w="142" w:type="dxa"/>
            </w:tcMar>
            <w:vAlign w:val="bottom"/>
          </w:tcPr>
          <w:p w:rsidR="00C22510" w:rsidRDefault="00C22510" w:rsidP="008329D1">
            <w:pPr>
              <w:jc w:val="right"/>
              <w:rPr>
                <w:rFonts w:cs="Arial"/>
                <w:b/>
                <w:bCs/>
                <w:sz w:val="16"/>
                <w:szCs w:val="16"/>
              </w:rPr>
            </w:pPr>
            <w:r>
              <w:rPr>
                <w:rFonts w:cs="Arial"/>
                <w:b/>
                <w:bCs/>
                <w:sz w:val="16"/>
                <w:szCs w:val="16"/>
              </w:rPr>
              <w:t>2010</w:t>
            </w:r>
          </w:p>
        </w:tc>
        <w:tc>
          <w:tcPr>
            <w:tcW w:w="903" w:type="dxa"/>
            <w:tcBorders>
              <w:top w:val="single" w:sz="4" w:space="0" w:color="auto"/>
              <w:left w:val="nil"/>
              <w:bottom w:val="single" w:sz="4" w:space="0" w:color="auto"/>
              <w:right w:val="nil"/>
            </w:tcBorders>
            <w:noWrap/>
            <w:tcMar>
              <w:right w:w="142" w:type="dxa"/>
            </w:tcMar>
            <w:vAlign w:val="bottom"/>
          </w:tcPr>
          <w:p w:rsidR="00C22510" w:rsidRDefault="00C22510" w:rsidP="008329D1">
            <w:pPr>
              <w:jc w:val="right"/>
              <w:rPr>
                <w:rFonts w:cs="Arial"/>
                <w:b/>
                <w:bCs/>
                <w:sz w:val="16"/>
                <w:szCs w:val="16"/>
              </w:rPr>
            </w:pPr>
            <w:r>
              <w:rPr>
                <w:rFonts w:cs="Arial"/>
                <w:b/>
                <w:bCs/>
                <w:sz w:val="16"/>
                <w:szCs w:val="16"/>
              </w:rPr>
              <w:t>2011</w:t>
            </w:r>
          </w:p>
        </w:tc>
        <w:tc>
          <w:tcPr>
            <w:tcW w:w="903" w:type="dxa"/>
            <w:tcBorders>
              <w:top w:val="single" w:sz="4" w:space="0" w:color="auto"/>
              <w:left w:val="nil"/>
              <w:bottom w:val="single" w:sz="4" w:space="0" w:color="auto"/>
              <w:right w:val="nil"/>
            </w:tcBorders>
            <w:noWrap/>
            <w:tcMar>
              <w:right w:w="142" w:type="dxa"/>
            </w:tcMar>
            <w:vAlign w:val="bottom"/>
          </w:tcPr>
          <w:p w:rsidR="00C22510" w:rsidRDefault="00C22510" w:rsidP="008329D1">
            <w:pPr>
              <w:jc w:val="right"/>
              <w:rPr>
                <w:rFonts w:cs="Arial"/>
                <w:b/>
                <w:bCs/>
                <w:sz w:val="16"/>
                <w:szCs w:val="16"/>
              </w:rPr>
            </w:pPr>
            <w:r>
              <w:rPr>
                <w:rFonts w:cs="Arial"/>
                <w:b/>
                <w:bCs/>
                <w:sz w:val="16"/>
                <w:szCs w:val="16"/>
              </w:rPr>
              <w:t>2012</w:t>
            </w:r>
          </w:p>
        </w:tc>
        <w:tc>
          <w:tcPr>
            <w:tcW w:w="903" w:type="dxa"/>
            <w:tcBorders>
              <w:top w:val="single" w:sz="4" w:space="0" w:color="auto"/>
              <w:left w:val="nil"/>
              <w:bottom w:val="single" w:sz="4" w:space="0" w:color="auto"/>
              <w:right w:val="nil"/>
            </w:tcBorders>
            <w:noWrap/>
            <w:tcMar>
              <w:right w:w="142" w:type="dxa"/>
            </w:tcMar>
            <w:vAlign w:val="bottom"/>
          </w:tcPr>
          <w:p w:rsidR="00C22510" w:rsidRDefault="00C22510" w:rsidP="008329D1">
            <w:pPr>
              <w:jc w:val="right"/>
              <w:rPr>
                <w:rFonts w:cs="Arial"/>
                <w:b/>
                <w:bCs/>
                <w:sz w:val="16"/>
                <w:szCs w:val="16"/>
              </w:rPr>
            </w:pPr>
            <w:r>
              <w:rPr>
                <w:rFonts w:cs="Arial"/>
                <w:b/>
                <w:bCs/>
                <w:sz w:val="16"/>
                <w:szCs w:val="16"/>
              </w:rPr>
              <w:t>2013</w:t>
            </w:r>
          </w:p>
        </w:tc>
        <w:tc>
          <w:tcPr>
            <w:tcW w:w="903" w:type="dxa"/>
            <w:tcBorders>
              <w:top w:val="single" w:sz="4" w:space="0" w:color="auto"/>
              <w:left w:val="nil"/>
              <w:bottom w:val="single" w:sz="4" w:space="0" w:color="auto"/>
              <w:right w:val="nil"/>
            </w:tcBorders>
            <w:noWrap/>
            <w:tcMar>
              <w:right w:w="142" w:type="dxa"/>
            </w:tcMar>
            <w:vAlign w:val="bottom"/>
          </w:tcPr>
          <w:p w:rsidR="00C22510" w:rsidRDefault="00C22510" w:rsidP="008329D1">
            <w:pPr>
              <w:jc w:val="right"/>
              <w:rPr>
                <w:rFonts w:cs="Arial"/>
                <w:b/>
                <w:bCs/>
                <w:sz w:val="16"/>
                <w:szCs w:val="16"/>
              </w:rPr>
            </w:pPr>
            <w:r>
              <w:rPr>
                <w:rFonts w:cs="Arial"/>
                <w:b/>
                <w:bCs/>
                <w:sz w:val="16"/>
                <w:szCs w:val="16"/>
              </w:rPr>
              <w:t>2014</w:t>
            </w:r>
          </w:p>
        </w:tc>
      </w:tr>
      <w:tr w:rsidR="00C22510" w:rsidTr="008329D1">
        <w:trPr>
          <w:trHeight w:val="255"/>
        </w:trPr>
        <w:tc>
          <w:tcPr>
            <w:tcW w:w="0" w:type="auto"/>
            <w:tcBorders>
              <w:top w:val="nil"/>
              <w:left w:val="nil"/>
              <w:bottom w:val="nil"/>
              <w:right w:val="single" w:sz="4" w:space="0" w:color="auto"/>
            </w:tcBorders>
            <w:noWrap/>
            <w:vAlign w:val="bottom"/>
          </w:tcPr>
          <w:p w:rsidR="00C22510" w:rsidRDefault="00C22510" w:rsidP="008329D1">
            <w:pPr>
              <w:rPr>
                <w:rFonts w:eastAsia="Arial Unicode MS" w:cs="Arial"/>
                <w:b/>
                <w:bCs/>
                <w:sz w:val="16"/>
                <w:szCs w:val="16"/>
              </w:rPr>
            </w:pPr>
            <w:r>
              <w:rPr>
                <w:rFonts w:cs="Arial"/>
                <w:b/>
                <w:bCs/>
                <w:sz w:val="16"/>
                <w:szCs w:val="16"/>
              </w:rPr>
              <w:t>Potraty celkem</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41 324</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40 528</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39 273</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38 864</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37 733</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37 687</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36 956</w:t>
            </w:r>
          </w:p>
        </w:tc>
      </w:tr>
      <w:tr w:rsidR="00C22510" w:rsidTr="008329D1">
        <w:trPr>
          <w:trHeight w:val="255"/>
        </w:trPr>
        <w:tc>
          <w:tcPr>
            <w:tcW w:w="0" w:type="auto"/>
            <w:tcBorders>
              <w:top w:val="nil"/>
              <w:left w:val="nil"/>
              <w:bottom w:val="nil"/>
              <w:right w:val="single" w:sz="4" w:space="0" w:color="auto"/>
            </w:tcBorders>
            <w:noWrap/>
            <w:vAlign w:val="bottom"/>
          </w:tcPr>
          <w:p w:rsidR="00C22510" w:rsidRDefault="00C22510" w:rsidP="008329D1">
            <w:pPr>
              <w:rPr>
                <w:rFonts w:eastAsia="Arial Unicode MS" w:cs="Arial"/>
                <w:sz w:val="16"/>
                <w:szCs w:val="16"/>
              </w:rPr>
            </w:pPr>
            <w:r>
              <w:rPr>
                <w:rFonts w:cs="Arial"/>
                <w:sz w:val="16"/>
                <w:szCs w:val="16"/>
              </w:rPr>
              <w:t>v tom: samovolné potraty</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12 402</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14 629</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13 981</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13 637</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13 515</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13 708</w:t>
            </w:r>
          </w:p>
        </w:tc>
        <w:tc>
          <w:tcPr>
            <w:tcW w:w="903" w:type="dxa"/>
            <w:tcBorders>
              <w:top w:val="nil"/>
              <w:left w:val="nil"/>
              <w:bottom w:val="nil"/>
              <w:right w:val="nil"/>
            </w:tcBorders>
            <w:tcMar>
              <w:right w:w="142" w:type="dxa"/>
            </w:tcMar>
            <w:vAlign w:val="bottom"/>
          </w:tcPr>
          <w:p w:rsidR="00C22510" w:rsidRDefault="00C22510" w:rsidP="008329D1">
            <w:pPr>
              <w:jc w:val="right"/>
              <w:rPr>
                <w:rFonts w:cs="Arial"/>
                <w:sz w:val="16"/>
                <w:szCs w:val="16"/>
              </w:rPr>
            </w:pPr>
            <w:r>
              <w:rPr>
                <w:rFonts w:cs="Arial"/>
                <w:sz w:val="16"/>
                <w:szCs w:val="16"/>
              </w:rPr>
              <w:t>13 857</w:t>
            </w:r>
          </w:p>
        </w:tc>
      </w:tr>
      <w:tr w:rsidR="00C22510" w:rsidTr="008329D1">
        <w:trPr>
          <w:trHeight w:val="255"/>
        </w:trPr>
        <w:tc>
          <w:tcPr>
            <w:tcW w:w="0" w:type="auto"/>
            <w:tcBorders>
              <w:top w:val="nil"/>
              <w:left w:val="nil"/>
              <w:bottom w:val="nil"/>
              <w:right w:val="single" w:sz="4" w:space="0" w:color="auto"/>
            </w:tcBorders>
            <w:noWrap/>
            <w:vAlign w:val="bottom"/>
          </w:tcPr>
          <w:p w:rsidR="00C22510" w:rsidRDefault="00C22510" w:rsidP="008329D1">
            <w:pPr>
              <w:rPr>
                <w:rFonts w:eastAsia="Arial Unicode MS" w:cs="Arial"/>
                <w:sz w:val="16"/>
                <w:szCs w:val="16"/>
              </w:rPr>
            </w:pPr>
            <w:r>
              <w:rPr>
                <w:rFonts w:cs="Arial"/>
                <w:sz w:val="16"/>
                <w:szCs w:val="16"/>
              </w:rPr>
              <w:t xml:space="preserve">           umělá přerušení těhotenství</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27 574</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24 636</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23 998</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24 055</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23 032</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22 714</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21 893</w:t>
            </w:r>
          </w:p>
        </w:tc>
      </w:tr>
      <w:tr w:rsidR="00C22510" w:rsidTr="008329D1">
        <w:trPr>
          <w:trHeight w:val="255"/>
        </w:trPr>
        <w:tc>
          <w:tcPr>
            <w:tcW w:w="0" w:type="auto"/>
            <w:tcBorders>
              <w:top w:val="nil"/>
              <w:left w:val="nil"/>
              <w:bottom w:val="nil"/>
              <w:right w:val="single" w:sz="4" w:space="0" w:color="auto"/>
            </w:tcBorders>
            <w:noWrap/>
            <w:vAlign w:val="bottom"/>
          </w:tcPr>
          <w:p w:rsidR="00C22510" w:rsidRDefault="00C22510" w:rsidP="008329D1">
            <w:pPr>
              <w:rPr>
                <w:rFonts w:eastAsia="Arial Unicode MS" w:cs="Arial"/>
                <w:sz w:val="16"/>
                <w:szCs w:val="16"/>
              </w:rPr>
            </w:pPr>
            <w:r>
              <w:rPr>
                <w:rFonts w:cs="Arial"/>
                <w:sz w:val="16"/>
                <w:szCs w:val="16"/>
              </w:rPr>
              <w:t xml:space="preserve">                 v tom: miniinterrupce</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21 715</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18 211</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17 797</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17 701</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16 768</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16 439</w:t>
            </w:r>
          </w:p>
        </w:tc>
        <w:tc>
          <w:tcPr>
            <w:tcW w:w="903" w:type="dxa"/>
            <w:tcBorders>
              <w:top w:val="nil"/>
              <w:left w:val="nil"/>
              <w:bottom w:val="nil"/>
              <w:right w:val="nil"/>
            </w:tcBorders>
            <w:tcMar>
              <w:right w:w="142" w:type="dxa"/>
            </w:tcMar>
            <w:vAlign w:val="bottom"/>
          </w:tcPr>
          <w:p w:rsidR="00C22510" w:rsidRDefault="00C22510" w:rsidP="008329D1">
            <w:pPr>
              <w:jc w:val="right"/>
              <w:rPr>
                <w:rFonts w:cs="Arial"/>
                <w:sz w:val="16"/>
                <w:szCs w:val="16"/>
              </w:rPr>
            </w:pPr>
            <w:r>
              <w:rPr>
                <w:rFonts w:cs="Arial"/>
                <w:sz w:val="16"/>
                <w:szCs w:val="16"/>
              </w:rPr>
              <w:t>15 664</w:t>
            </w:r>
          </w:p>
        </w:tc>
      </w:tr>
      <w:tr w:rsidR="00C22510" w:rsidTr="008329D1">
        <w:trPr>
          <w:trHeight w:val="255"/>
        </w:trPr>
        <w:tc>
          <w:tcPr>
            <w:tcW w:w="0" w:type="auto"/>
            <w:tcBorders>
              <w:top w:val="nil"/>
              <w:left w:val="nil"/>
              <w:bottom w:val="nil"/>
              <w:right w:val="single" w:sz="4" w:space="0" w:color="auto"/>
            </w:tcBorders>
            <w:noWrap/>
            <w:vAlign w:val="bottom"/>
          </w:tcPr>
          <w:p w:rsidR="00C22510" w:rsidRDefault="00C22510" w:rsidP="008329D1">
            <w:pPr>
              <w:rPr>
                <w:rFonts w:eastAsia="Arial Unicode MS" w:cs="Arial"/>
                <w:sz w:val="16"/>
                <w:szCs w:val="16"/>
              </w:rPr>
            </w:pPr>
            <w:r>
              <w:rPr>
                <w:rFonts w:cs="Arial"/>
                <w:sz w:val="16"/>
                <w:szCs w:val="16"/>
              </w:rPr>
              <w:t xml:space="preserve">                            jiné legální UPT</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5 859</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6 425</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6 201</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6 354</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6 264</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6 275</w:t>
            </w:r>
          </w:p>
        </w:tc>
        <w:tc>
          <w:tcPr>
            <w:tcW w:w="903" w:type="dxa"/>
            <w:tcBorders>
              <w:top w:val="nil"/>
              <w:left w:val="nil"/>
              <w:bottom w:val="nil"/>
              <w:right w:val="nil"/>
            </w:tcBorders>
            <w:tcMar>
              <w:right w:w="142" w:type="dxa"/>
            </w:tcMar>
            <w:vAlign w:val="bottom"/>
          </w:tcPr>
          <w:p w:rsidR="00C22510" w:rsidRDefault="00C22510" w:rsidP="008329D1">
            <w:pPr>
              <w:jc w:val="right"/>
              <w:rPr>
                <w:rFonts w:cs="Arial"/>
                <w:sz w:val="16"/>
                <w:szCs w:val="16"/>
              </w:rPr>
            </w:pPr>
            <w:r>
              <w:rPr>
                <w:rFonts w:cs="Arial"/>
                <w:sz w:val="16"/>
                <w:szCs w:val="16"/>
              </w:rPr>
              <w:t>6 229</w:t>
            </w:r>
          </w:p>
        </w:tc>
      </w:tr>
      <w:tr w:rsidR="00C22510" w:rsidTr="008329D1">
        <w:trPr>
          <w:trHeight w:val="255"/>
        </w:trPr>
        <w:tc>
          <w:tcPr>
            <w:tcW w:w="0" w:type="auto"/>
            <w:tcBorders>
              <w:top w:val="nil"/>
              <w:left w:val="nil"/>
              <w:bottom w:val="nil"/>
              <w:right w:val="single" w:sz="4" w:space="0" w:color="auto"/>
            </w:tcBorders>
            <w:noWrap/>
            <w:vAlign w:val="bottom"/>
          </w:tcPr>
          <w:p w:rsidR="00C22510" w:rsidRDefault="00C22510" w:rsidP="008329D1">
            <w:pPr>
              <w:rPr>
                <w:rFonts w:eastAsia="Arial Unicode MS" w:cs="Arial"/>
                <w:sz w:val="16"/>
                <w:szCs w:val="16"/>
              </w:rPr>
            </w:pPr>
            <w:r>
              <w:rPr>
                <w:rFonts w:cs="Arial"/>
                <w:sz w:val="16"/>
                <w:szCs w:val="16"/>
              </w:rPr>
              <w:t xml:space="preserve">           ostatní</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9</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7</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w:t>
            </w:r>
          </w:p>
        </w:tc>
      </w:tr>
      <w:tr w:rsidR="00C22510" w:rsidTr="008329D1">
        <w:trPr>
          <w:trHeight w:val="255"/>
        </w:trPr>
        <w:tc>
          <w:tcPr>
            <w:tcW w:w="0" w:type="auto"/>
            <w:tcBorders>
              <w:top w:val="nil"/>
              <w:left w:val="nil"/>
              <w:bottom w:val="single" w:sz="4" w:space="0" w:color="auto"/>
              <w:right w:val="single" w:sz="4" w:space="0" w:color="auto"/>
            </w:tcBorders>
            <w:noWrap/>
            <w:vAlign w:val="bottom"/>
          </w:tcPr>
          <w:p w:rsidR="00C22510" w:rsidRDefault="00C22510" w:rsidP="008329D1">
            <w:pPr>
              <w:rPr>
                <w:rFonts w:eastAsia="Arial Unicode MS" w:cs="Arial"/>
                <w:sz w:val="16"/>
                <w:szCs w:val="16"/>
              </w:rPr>
            </w:pPr>
            <w:r>
              <w:rPr>
                <w:rFonts w:cs="Arial"/>
                <w:sz w:val="16"/>
                <w:szCs w:val="16"/>
              </w:rPr>
              <w:t xml:space="preserve">           ukončení mimoděložního těhotenství</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1 339</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1 263</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1 287</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1 172</w:t>
            </w:r>
          </w:p>
        </w:tc>
        <w:tc>
          <w:tcPr>
            <w:tcW w:w="903" w:type="dxa"/>
            <w:tcBorders>
              <w:top w:val="nil"/>
              <w:left w:val="nil"/>
              <w:bottom w:val="single" w:sz="4" w:space="0" w:color="auto"/>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1 186</w:t>
            </w:r>
          </w:p>
        </w:tc>
        <w:tc>
          <w:tcPr>
            <w:tcW w:w="903" w:type="dxa"/>
            <w:tcBorders>
              <w:top w:val="nil"/>
              <w:left w:val="nil"/>
              <w:bottom w:val="single" w:sz="4" w:space="0" w:color="auto"/>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1 265</w:t>
            </w:r>
          </w:p>
        </w:tc>
        <w:tc>
          <w:tcPr>
            <w:tcW w:w="903" w:type="dxa"/>
            <w:tcBorders>
              <w:top w:val="nil"/>
              <w:left w:val="nil"/>
              <w:bottom w:val="single" w:sz="4" w:space="0" w:color="auto"/>
              <w:right w:val="nil"/>
            </w:tcBorders>
            <w:tcMar>
              <w:right w:w="142" w:type="dxa"/>
            </w:tcMar>
            <w:vAlign w:val="bottom"/>
          </w:tcPr>
          <w:p w:rsidR="00C22510" w:rsidRDefault="00C22510" w:rsidP="008329D1">
            <w:pPr>
              <w:jc w:val="right"/>
              <w:rPr>
                <w:rFonts w:cs="Arial"/>
                <w:sz w:val="16"/>
                <w:szCs w:val="16"/>
              </w:rPr>
            </w:pPr>
            <w:r>
              <w:rPr>
                <w:rFonts w:cs="Arial"/>
                <w:sz w:val="16"/>
                <w:szCs w:val="16"/>
              </w:rPr>
              <w:t>1 206</w:t>
            </w:r>
          </w:p>
        </w:tc>
      </w:tr>
      <w:tr w:rsidR="00C22510" w:rsidTr="008329D1">
        <w:trPr>
          <w:trHeight w:val="255"/>
        </w:trPr>
        <w:tc>
          <w:tcPr>
            <w:tcW w:w="0" w:type="auto"/>
            <w:tcBorders>
              <w:top w:val="nil"/>
              <w:left w:val="nil"/>
              <w:bottom w:val="nil"/>
              <w:right w:val="single" w:sz="4" w:space="0" w:color="auto"/>
            </w:tcBorders>
            <w:noWrap/>
            <w:vAlign w:val="bottom"/>
          </w:tcPr>
          <w:p w:rsidR="00C22510" w:rsidRDefault="00C22510" w:rsidP="008329D1">
            <w:pPr>
              <w:rPr>
                <w:rFonts w:eastAsia="Arial Unicode MS" w:cs="Arial"/>
                <w:sz w:val="16"/>
                <w:szCs w:val="16"/>
              </w:rPr>
            </w:pPr>
            <w:r>
              <w:rPr>
                <w:rFonts w:cs="Arial"/>
                <w:sz w:val="16"/>
                <w:szCs w:val="16"/>
              </w:rPr>
              <w:t>Podíl samovolných potratů (%)</w:t>
            </w:r>
          </w:p>
        </w:tc>
        <w:tc>
          <w:tcPr>
            <w:tcW w:w="903" w:type="dxa"/>
            <w:tcBorders>
              <w:top w:val="single" w:sz="4" w:space="0" w:color="auto"/>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30,0</w:t>
            </w:r>
          </w:p>
        </w:tc>
        <w:tc>
          <w:tcPr>
            <w:tcW w:w="903" w:type="dxa"/>
            <w:tcBorders>
              <w:top w:val="single" w:sz="4" w:space="0" w:color="auto"/>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36,1</w:t>
            </w:r>
          </w:p>
        </w:tc>
        <w:tc>
          <w:tcPr>
            <w:tcW w:w="903" w:type="dxa"/>
            <w:tcBorders>
              <w:top w:val="single" w:sz="4" w:space="0" w:color="auto"/>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35,6</w:t>
            </w:r>
          </w:p>
        </w:tc>
        <w:tc>
          <w:tcPr>
            <w:tcW w:w="903" w:type="dxa"/>
            <w:tcBorders>
              <w:top w:val="single" w:sz="4" w:space="0" w:color="auto"/>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35,1</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35,8</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36,4</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37,5</w:t>
            </w:r>
          </w:p>
        </w:tc>
      </w:tr>
      <w:tr w:rsidR="00C22510" w:rsidTr="008329D1">
        <w:trPr>
          <w:trHeight w:val="255"/>
        </w:trPr>
        <w:tc>
          <w:tcPr>
            <w:tcW w:w="0" w:type="auto"/>
            <w:tcBorders>
              <w:top w:val="nil"/>
              <w:left w:val="nil"/>
              <w:bottom w:val="nil"/>
              <w:right w:val="single" w:sz="4" w:space="0" w:color="auto"/>
            </w:tcBorders>
            <w:noWrap/>
            <w:vAlign w:val="bottom"/>
          </w:tcPr>
          <w:p w:rsidR="00C22510" w:rsidRDefault="00C22510" w:rsidP="008329D1">
            <w:pPr>
              <w:rPr>
                <w:rFonts w:eastAsia="Arial Unicode MS" w:cs="Arial"/>
                <w:sz w:val="16"/>
                <w:szCs w:val="16"/>
              </w:rPr>
            </w:pPr>
            <w:r>
              <w:rPr>
                <w:rFonts w:cs="Arial"/>
                <w:sz w:val="16"/>
                <w:szCs w:val="16"/>
              </w:rPr>
              <w:t>Podíl umělých přerušení těhotenství (%)</w:t>
            </w:r>
          </w:p>
        </w:tc>
        <w:tc>
          <w:tcPr>
            <w:tcW w:w="903" w:type="dxa"/>
            <w:tcBorders>
              <w:top w:val="nil"/>
              <w:left w:val="nil"/>
              <w:bottom w:val="nil"/>
              <w:right w:val="nil"/>
            </w:tcBorders>
            <w:tcMar>
              <w:right w:w="142" w:type="dxa"/>
            </w:tcMar>
            <w:vAlign w:val="bottom"/>
          </w:tcPr>
          <w:p w:rsidR="00C22510" w:rsidRDefault="00C22510" w:rsidP="008329D1">
            <w:pPr>
              <w:jc w:val="right"/>
              <w:rPr>
                <w:rFonts w:cs="Arial"/>
                <w:sz w:val="16"/>
                <w:szCs w:val="16"/>
              </w:rPr>
            </w:pPr>
            <w:r>
              <w:rPr>
                <w:rFonts w:cs="Arial"/>
                <w:sz w:val="16"/>
                <w:szCs w:val="16"/>
              </w:rPr>
              <w:t>66,7</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60,8</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61,1</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61,9</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61,0</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60,3</w:t>
            </w:r>
          </w:p>
        </w:tc>
        <w:tc>
          <w:tcPr>
            <w:tcW w:w="903" w:type="dxa"/>
            <w:tcBorders>
              <w:top w:val="nil"/>
              <w:left w:val="nil"/>
              <w:bottom w:val="nil"/>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59,2</w:t>
            </w:r>
          </w:p>
        </w:tc>
      </w:tr>
      <w:tr w:rsidR="00C22510" w:rsidTr="008329D1">
        <w:trPr>
          <w:trHeight w:val="255"/>
        </w:trPr>
        <w:tc>
          <w:tcPr>
            <w:tcW w:w="0" w:type="auto"/>
            <w:tcBorders>
              <w:top w:val="nil"/>
              <w:left w:val="nil"/>
              <w:bottom w:val="single" w:sz="4" w:space="0" w:color="auto"/>
              <w:right w:val="single" w:sz="4" w:space="0" w:color="auto"/>
            </w:tcBorders>
            <w:noWrap/>
            <w:vAlign w:val="bottom"/>
          </w:tcPr>
          <w:p w:rsidR="00C22510" w:rsidRDefault="00C22510" w:rsidP="008329D1">
            <w:pPr>
              <w:rPr>
                <w:rFonts w:eastAsia="Arial Unicode MS" w:cs="Arial"/>
                <w:sz w:val="16"/>
                <w:szCs w:val="16"/>
              </w:rPr>
            </w:pPr>
            <w:r>
              <w:rPr>
                <w:rFonts w:cs="Arial"/>
                <w:sz w:val="16"/>
                <w:szCs w:val="16"/>
              </w:rPr>
              <w:t xml:space="preserve">  z nich ze zdravotních důvodů (%)</w:t>
            </w:r>
          </w:p>
        </w:tc>
        <w:tc>
          <w:tcPr>
            <w:tcW w:w="903" w:type="dxa"/>
            <w:tcBorders>
              <w:top w:val="nil"/>
              <w:left w:val="nil"/>
              <w:bottom w:val="single" w:sz="4" w:space="0" w:color="auto"/>
              <w:right w:val="nil"/>
            </w:tcBorders>
            <w:tcMar>
              <w:right w:w="142" w:type="dxa"/>
            </w:tcMar>
            <w:vAlign w:val="bottom"/>
          </w:tcPr>
          <w:p w:rsidR="00C22510" w:rsidRDefault="00C22510" w:rsidP="008329D1">
            <w:pPr>
              <w:jc w:val="right"/>
              <w:rPr>
                <w:rFonts w:cs="Arial"/>
                <w:sz w:val="16"/>
                <w:szCs w:val="16"/>
              </w:rPr>
            </w:pPr>
            <w:r>
              <w:rPr>
                <w:rFonts w:cs="Arial"/>
                <w:sz w:val="16"/>
                <w:szCs w:val="16"/>
              </w:rPr>
              <w:t>16,7</w:t>
            </w:r>
          </w:p>
        </w:tc>
        <w:tc>
          <w:tcPr>
            <w:tcW w:w="903" w:type="dxa"/>
            <w:tcBorders>
              <w:top w:val="nil"/>
              <w:left w:val="nil"/>
              <w:bottom w:val="single" w:sz="4" w:space="0" w:color="auto"/>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18,5</w:t>
            </w:r>
          </w:p>
        </w:tc>
        <w:tc>
          <w:tcPr>
            <w:tcW w:w="903" w:type="dxa"/>
            <w:tcBorders>
              <w:top w:val="nil"/>
              <w:left w:val="nil"/>
              <w:bottom w:val="single" w:sz="4" w:space="0" w:color="auto"/>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18,4</w:t>
            </w:r>
          </w:p>
        </w:tc>
        <w:tc>
          <w:tcPr>
            <w:tcW w:w="903" w:type="dxa"/>
            <w:tcBorders>
              <w:top w:val="nil"/>
              <w:left w:val="nil"/>
              <w:bottom w:val="single" w:sz="4" w:space="0" w:color="auto"/>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18,3</w:t>
            </w:r>
          </w:p>
        </w:tc>
        <w:tc>
          <w:tcPr>
            <w:tcW w:w="903" w:type="dxa"/>
            <w:tcBorders>
              <w:top w:val="nil"/>
              <w:left w:val="nil"/>
              <w:bottom w:val="single" w:sz="4" w:space="0" w:color="auto"/>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19,5</w:t>
            </w:r>
          </w:p>
        </w:tc>
        <w:tc>
          <w:tcPr>
            <w:tcW w:w="903" w:type="dxa"/>
            <w:tcBorders>
              <w:top w:val="nil"/>
              <w:left w:val="nil"/>
              <w:bottom w:val="single" w:sz="4" w:space="0" w:color="auto"/>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19,2</w:t>
            </w:r>
          </w:p>
        </w:tc>
        <w:tc>
          <w:tcPr>
            <w:tcW w:w="903" w:type="dxa"/>
            <w:tcBorders>
              <w:top w:val="nil"/>
              <w:left w:val="nil"/>
              <w:bottom w:val="single" w:sz="4" w:space="0" w:color="auto"/>
              <w:right w:val="nil"/>
            </w:tcBorders>
            <w:noWrap/>
            <w:tcMar>
              <w:right w:w="142" w:type="dxa"/>
            </w:tcMar>
            <w:vAlign w:val="bottom"/>
          </w:tcPr>
          <w:p w:rsidR="00C22510" w:rsidRDefault="00C22510" w:rsidP="008329D1">
            <w:pPr>
              <w:jc w:val="right"/>
              <w:rPr>
                <w:rFonts w:cs="Arial"/>
                <w:sz w:val="16"/>
                <w:szCs w:val="16"/>
              </w:rPr>
            </w:pPr>
            <w:r>
              <w:rPr>
                <w:rFonts w:cs="Arial"/>
                <w:sz w:val="16"/>
                <w:szCs w:val="16"/>
              </w:rPr>
              <w:t>20,2</w:t>
            </w:r>
          </w:p>
        </w:tc>
      </w:tr>
    </w:tbl>
    <w:p w:rsidR="00C22510" w:rsidRDefault="00C22510" w:rsidP="00C22510">
      <w:pPr>
        <w:spacing w:after="60"/>
        <w:rPr>
          <w:rFonts w:cs="Arial"/>
        </w:rPr>
      </w:pPr>
    </w:p>
    <w:p w:rsidR="00E21096" w:rsidRDefault="00E21096" w:rsidP="00E21096">
      <w:r>
        <w:t>Vývoj roční</w:t>
      </w:r>
      <w:r w:rsidR="008329D1">
        <w:t>ch</w:t>
      </w:r>
      <w:r>
        <w:t xml:space="preserve"> počt</w:t>
      </w:r>
      <w:r w:rsidR="008329D1">
        <w:t>ů</w:t>
      </w:r>
      <w:r>
        <w:t xml:space="preserve"> samovolných potratů </w:t>
      </w:r>
      <w:r w:rsidR="008329D1">
        <w:t xml:space="preserve">nebyl </w:t>
      </w:r>
      <w:r>
        <w:t>tak jednoznačný jako v případě UPT, protože samovolné potraty jsou blízce spjaty s celkovým počtem těhotenství a nárůstem průměrného věku matky při narození dítěte do vyššího věku. Poslední dva roky samovolných potratů meziročně přibylo. V roce 2014 jich bylo evidováno 1</w:t>
      </w:r>
      <w:r w:rsidR="00D62DDD">
        <w:t>3 </w:t>
      </w:r>
      <w:r>
        <w:t>857, o</w:t>
      </w:r>
      <w:r w:rsidR="00931580">
        <w:t> </w:t>
      </w:r>
      <w:r>
        <w:t>342 více než v roce 2012. Na počátku sledovaného období, v</w:t>
      </w:r>
      <w:r w:rsidR="00931580">
        <w:t> </w:t>
      </w:r>
      <w:r>
        <w:t>roce 2004</w:t>
      </w:r>
      <w:r w:rsidR="008329D1">
        <w:t>,</w:t>
      </w:r>
      <w:r>
        <w:t xml:space="preserve"> jich bylo 12</w:t>
      </w:r>
      <w:r w:rsidR="00D62DDD">
        <w:t> 402, desetiletého maxima (14 </w:t>
      </w:r>
      <w:r>
        <w:t>629) bylo dosaženo o</w:t>
      </w:r>
      <w:r w:rsidR="00931580">
        <w:t> </w:t>
      </w:r>
      <w:r>
        <w:t xml:space="preserve">pět let později. Mezi potraty se </w:t>
      </w:r>
      <w:r w:rsidR="008329D1">
        <w:t>zařazuje i</w:t>
      </w:r>
      <w:r>
        <w:t xml:space="preserve"> ukončení mimoděložních těhotenství. V posledním sledovaném roce jich b</w:t>
      </w:r>
      <w:r w:rsidR="00D62DDD">
        <w:t>ylo 1 206 a podílely se z 3,3 </w:t>
      </w:r>
      <w:r>
        <w:t xml:space="preserve">% na všech potratech. </w:t>
      </w:r>
      <w:r w:rsidR="008329D1">
        <w:t xml:space="preserve">V </w:t>
      </w:r>
      <w:r>
        <w:t>uplynul</w:t>
      </w:r>
      <w:r w:rsidR="008329D1">
        <w:t>é</w:t>
      </w:r>
      <w:r>
        <w:t xml:space="preserve"> dekád</w:t>
      </w:r>
      <w:r w:rsidR="008329D1">
        <w:t>ě</w:t>
      </w:r>
      <w:r>
        <w:t xml:space="preserve"> se </w:t>
      </w:r>
      <w:r w:rsidR="00D62DDD">
        <w:t>jejich podíl pohyboval mezi 3,0 %</w:t>
      </w:r>
      <w:r w:rsidR="00DC0E64">
        <w:t xml:space="preserve"> a </w:t>
      </w:r>
      <w:r w:rsidR="00D62DDD">
        <w:t>3,4 </w:t>
      </w:r>
      <w:r>
        <w:t>%.</w:t>
      </w:r>
    </w:p>
    <w:p w:rsidR="00C22510" w:rsidRPr="006A5E90" w:rsidRDefault="00C22510" w:rsidP="006A5E90">
      <w:pPr>
        <w:pStyle w:val="Titulek"/>
        <w:spacing w:before="0" w:after="0"/>
        <w:rPr>
          <w:b w:val="0"/>
        </w:rPr>
      </w:pPr>
    </w:p>
    <w:p w:rsidR="006A5E90" w:rsidRPr="006A5E90" w:rsidRDefault="006A5E90" w:rsidP="006A5E90">
      <w:pPr>
        <w:rPr>
          <w:rFonts w:ascii="Times New Roman" w:hAnsi="Times New Roman"/>
          <w:szCs w:val="20"/>
        </w:rPr>
      </w:pPr>
      <w:r w:rsidRPr="006A5E90">
        <w:rPr>
          <w:rFonts w:cs="Arial"/>
          <w:szCs w:val="20"/>
        </w:rPr>
        <w:t>Dlouhodobě pozitivní trendy v počtech potratů související s poklesem množství indukovaných potratů jsou odrazem větší dostupnosti a využívání moderních forem antikoncepce,</w:t>
      </w:r>
      <w:r w:rsidRPr="006A5E90">
        <w:rPr>
          <w:rFonts w:cs="Arial"/>
          <w:bCs/>
          <w:szCs w:val="20"/>
        </w:rPr>
        <w:t xml:space="preserve"> jejichž vývoj (směrem k šetrnějším metodám) neustále pokračuje.</w:t>
      </w:r>
      <w:r w:rsidRPr="006A5E90">
        <w:rPr>
          <w:rFonts w:cs="Arial"/>
          <w:szCs w:val="20"/>
        </w:rPr>
        <w:t xml:space="preserve"> Od poloviny roku 2014 je </w:t>
      </w:r>
      <w:r w:rsidRPr="006A5E90">
        <w:rPr>
          <w:rFonts w:cs="Arial"/>
          <w:bCs/>
          <w:szCs w:val="20"/>
        </w:rPr>
        <w:t xml:space="preserve">například nově </w:t>
      </w:r>
      <w:r w:rsidRPr="006A5E90">
        <w:rPr>
          <w:rFonts w:cs="Arial"/>
          <w:szCs w:val="20"/>
        </w:rPr>
        <w:t>umožněno pro provedení potratu využití „potratové pilulky“ (tyto potraty jsou ve statistice zařazeny do UPT). Zařazení této metody nevedlo ke zvýšení celkového počtu UPT, nepotvrdily se tak obavy, že pilulka bude sloužit jako náhrada antikoncepce.</w:t>
      </w:r>
    </w:p>
    <w:p w:rsidR="00E27B17" w:rsidRPr="006A5E90" w:rsidRDefault="00E27B17" w:rsidP="006A5E90">
      <w:pPr>
        <w:rPr>
          <w:rFonts w:cs="Arial"/>
          <w:szCs w:val="20"/>
        </w:rPr>
      </w:pPr>
    </w:p>
    <w:p w:rsidR="00084223" w:rsidRDefault="00084223" w:rsidP="006A5E90">
      <w:r w:rsidRPr="006A5E90">
        <w:rPr>
          <w:rFonts w:cs="Arial"/>
          <w:szCs w:val="20"/>
        </w:rPr>
        <w:t>Obecné snížení</w:t>
      </w:r>
      <w:r>
        <w:rPr>
          <w:rFonts w:cs="Arial"/>
        </w:rPr>
        <w:t xml:space="preserve"> počtu potratů v ČR se projevilo i ve struktuře potratů podle počtu předchozích potratů</w:t>
      </w:r>
      <w:r w:rsidR="00DC0E64">
        <w:rPr>
          <w:rFonts w:cs="Arial"/>
        </w:rPr>
        <w:t xml:space="preserve"> (tab. 5.2)</w:t>
      </w:r>
      <w:r>
        <w:rPr>
          <w:rFonts w:cs="Arial"/>
        </w:rPr>
        <w:t>. Podíl prvních potr</w:t>
      </w:r>
      <w:r w:rsidR="00D62DDD">
        <w:rPr>
          <w:rFonts w:cs="Arial"/>
        </w:rPr>
        <w:t>atů vzrostl v roce 2014 na 58,4 % z 53,9 </w:t>
      </w:r>
      <w:r>
        <w:rPr>
          <w:rFonts w:cs="Arial"/>
        </w:rPr>
        <w:t>% v roce 2004, neboť výraznější byl pokles potratů s</w:t>
      </w:r>
      <w:r w:rsidR="00316AC2">
        <w:rPr>
          <w:rFonts w:cs="Arial"/>
        </w:rPr>
        <w:t> </w:t>
      </w:r>
      <w:r>
        <w:rPr>
          <w:rFonts w:cs="Arial"/>
        </w:rPr>
        <w:t xml:space="preserve">předchozí anamnézou potratu než prvních potratů. </w:t>
      </w:r>
      <w:r w:rsidR="00A76C00">
        <w:t xml:space="preserve">Vývoj </w:t>
      </w:r>
      <w:r>
        <w:t>struktur</w:t>
      </w:r>
      <w:r w:rsidR="00A76C00">
        <w:t>y</w:t>
      </w:r>
      <w:r>
        <w:t xml:space="preserve"> potratů podle počtu předchozích potratů </w:t>
      </w:r>
      <w:r w:rsidR="00A76C00">
        <w:t xml:space="preserve">se ale odlišoval u skupin </w:t>
      </w:r>
      <w:r w:rsidR="00DC0E64">
        <w:t xml:space="preserve">dvou </w:t>
      </w:r>
      <w:r w:rsidR="00A76C00">
        <w:t>nejčetněji zastoupených druhů potratů: zatímco v případě indukovaných potratů podíl</w:t>
      </w:r>
      <w:r>
        <w:t xml:space="preserve"> indukovaných potratů prvního pořadí </w:t>
      </w:r>
      <w:r w:rsidR="00A76C00">
        <w:t xml:space="preserve">rostl </w:t>
      </w:r>
      <w:r w:rsidR="00D62DDD">
        <w:t>(na 64,8 </w:t>
      </w:r>
      <w:r>
        <w:t>% v roce 2014)</w:t>
      </w:r>
      <w:r w:rsidR="00A76C00">
        <w:t>, u</w:t>
      </w:r>
      <w:r w:rsidR="00DC0E64">
        <w:t> </w:t>
      </w:r>
      <w:r w:rsidR="00A76C00">
        <w:t>samovolných se naopak mírně snížil</w:t>
      </w:r>
      <w:r w:rsidR="00D62DDD">
        <w:t xml:space="preserve"> (na 75,0 </w:t>
      </w:r>
      <w:r>
        <w:t>%).</w:t>
      </w:r>
    </w:p>
    <w:p w:rsidR="00823743" w:rsidRPr="00D6553A" w:rsidRDefault="00D6553A" w:rsidP="00D6553A">
      <w:pPr>
        <w:spacing w:after="60"/>
        <w:rPr>
          <w:b/>
        </w:rPr>
      </w:pPr>
      <w:r>
        <w:rPr>
          <w:rFonts w:cs="Arial"/>
        </w:rPr>
        <w:br w:type="page"/>
      </w:r>
      <w:r w:rsidR="00823743" w:rsidRPr="00D6553A">
        <w:rPr>
          <w:b/>
        </w:rPr>
        <w:lastRenderedPageBreak/>
        <w:t xml:space="preserve">Tab. </w:t>
      </w:r>
      <w:r w:rsidR="00351243" w:rsidRPr="00D6553A">
        <w:rPr>
          <w:b/>
        </w:rPr>
        <w:fldChar w:fldCharType="begin"/>
      </w:r>
      <w:r w:rsidR="007B22BD" w:rsidRPr="00D6553A">
        <w:rPr>
          <w:b/>
        </w:rPr>
        <w:instrText xml:space="preserve"> STYLEREF 1 \s </w:instrText>
      </w:r>
      <w:r w:rsidR="00351243" w:rsidRPr="00D6553A">
        <w:rPr>
          <w:b/>
        </w:rPr>
        <w:fldChar w:fldCharType="separate"/>
      </w:r>
      <w:r w:rsidR="00823743" w:rsidRPr="00D6553A">
        <w:rPr>
          <w:b/>
          <w:noProof/>
        </w:rPr>
        <w:t>5</w:t>
      </w:r>
      <w:r w:rsidR="00351243" w:rsidRPr="00D6553A">
        <w:rPr>
          <w:b/>
        </w:rPr>
        <w:fldChar w:fldCharType="end"/>
      </w:r>
      <w:r w:rsidR="00823743" w:rsidRPr="00D6553A">
        <w:rPr>
          <w:b/>
        </w:rPr>
        <w:t>.2 Potraty podle druhu potratu a počtu předchozích potratů, 2004–</w:t>
      </w:r>
      <w:r w:rsidRPr="00D6553A">
        <w:rPr>
          <w:b/>
        </w:rPr>
        <w:t>2014</w:t>
      </w:r>
    </w:p>
    <w:tbl>
      <w:tblPr>
        <w:tblW w:w="9639" w:type="dxa"/>
        <w:tblInd w:w="5" w:type="dxa"/>
        <w:tblLayout w:type="fixed"/>
        <w:tblCellMar>
          <w:left w:w="0" w:type="dxa"/>
          <w:right w:w="113" w:type="dxa"/>
        </w:tblCellMar>
        <w:tblLook w:val="0000"/>
      </w:tblPr>
      <w:tblGrid>
        <w:gridCol w:w="1271"/>
        <w:gridCol w:w="929"/>
        <w:gridCol w:w="930"/>
        <w:gridCol w:w="930"/>
        <w:gridCol w:w="930"/>
        <w:gridCol w:w="929"/>
        <w:gridCol w:w="930"/>
        <w:gridCol w:w="930"/>
        <w:gridCol w:w="930"/>
        <w:gridCol w:w="930"/>
      </w:tblGrid>
      <w:tr w:rsidR="00823743" w:rsidRPr="00D6553A" w:rsidTr="00DD32DA">
        <w:trPr>
          <w:trHeight w:val="255"/>
        </w:trPr>
        <w:tc>
          <w:tcPr>
            <w:tcW w:w="1271" w:type="dxa"/>
            <w:vMerge w:val="restart"/>
            <w:tcBorders>
              <w:top w:val="single" w:sz="4" w:space="0" w:color="auto"/>
              <w:left w:val="nil"/>
              <w:right w:val="nil"/>
            </w:tcBorders>
            <w:noWrap/>
            <w:vAlign w:val="bottom"/>
          </w:tcPr>
          <w:p w:rsidR="00823743" w:rsidRPr="00D6553A" w:rsidRDefault="00823743" w:rsidP="00DD32DA">
            <w:pPr>
              <w:rPr>
                <w:rFonts w:cs="Arial"/>
                <w:szCs w:val="20"/>
              </w:rPr>
            </w:pPr>
            <w:r w:rsidRPr="00D6553A">
              <w:rPr>
                <w:rFonts w:cs="Arial"/>
                <w:b/>
                <w:bCs/>
                <w:sz w:val="16"/>
                <w:szCs w:val="16"/>
              </w:rPr>
              <w:t>Počet předchozích potratů daného druhu</w:t>
            </w:r>
          </w:p>
        </w:tc>
        <w:tc>
          <w:tcPr>
            <w:tcW w:w="2789" w:type="dxa"/>
            <w:gridSpan w:val="3"/>
            <w:tcBorders>
              <w:top w:val="single" w:sz="4" w:space="0" w:color="auto"/>
              <w:left w:val="single" w:sz="4" w:space="0" w:color="auto"/>
              <w:bottom w:val="single" w:sz="4" w:space="0" w:color="auto"/>
              <w:right w:val="single" w:sz="4" w:space="0" w:color="auto"/>
            </w:tcBorders>
            <w:noWrap/>
            <w:tcMar>
              <w:right w:w="142" w:type="dxa"/>
            </w:tcMar>
            <w:vAlign w:val="bottom"/>
          </w:tcPr>
          <w:p w:rsidR="00823743" w:rsidRPr="00D6553A" w:rsidRDefault="00823743" w:rsidP="00DD32DA">
            <w:pPr>
              <w:jc w:val="center"/>
              <w:rPr>
                <w:rFonts w:cs="Arial"/>
                <w:b/>
                <w:bCs/>
                <w:sz w:val="16"/>
                <w:szCs w:val="16"/>
              </w:rPr>
            </w:pPr>
            <w:r w:rsidRPr="00D6553A">
              <w:rPr>
                <w:rFonts w:cs="Arial"/>
                <w:b/>
                <w:bCs/>
                <w:sz w:val="16"/>
                <w:szCs w:val="16"/>
              </w:rPr>
              <w:t>Potraty celkem</w:t>
            </w:r>
          </w:p>
        </w:tc>
        <w:tc>
          <w:tcPr>
            <w:tcW w:w="2789" w:type="dxa"/>
            <w:gridSpan w:val="3"/>
            <w:tcBorders>
              <w:top w:val="single" w:sz="4" w:space="0" w:color="auto"/>
              <w:left w:val="single" w:sz="4" w:space="0" w:color="auto"/>
              <w:bottom w:val="single" w:sz="4" w:space="0" w:color="auto"/>
              <w:right w:val="single" w:sz="4" w:space="0" w:color="auto"/>
            </w:tcBorders>
            <w:noWrap/>
            <w:tcMar>
              <w:right w:w="142" w:type="dxa"/>
            </w:tcMar>
            <w:vAlign w:val="bottom"/>
          </w:tcPr>
          <w:p w:rsidR="00823743" w:rsidRPr="00D6553A" w:rsidRDefault="00823743" w:rsidP="00DD32DA">
            <w:pPr>
              <w:jc w:val="center"/>
              <w:rPr>
                <w:rFonts w:cs="Arial"/>
                <w:b/>
                <w:bCs/>
                <w:sz w:val="16"/>
                <w:szCs w:val="16"/>
              </w:rPr>
            </w:pPr>
            <w:r w:rsidRPr="00D6553A">
              <w:rPr>
                <w:rFonts w:cs="Arial"/>
                <w:b/>
                <w:bCs/>
                <w:sz w:val="16"/>
                <w:szCs w:val="16"/>
              </w:rPr>
              <w:t>Indukované potraty</w:t>
            </w:r>
          </w:p>
        </w:tc>
        <w:tc>
          <w:tcPr>
            <w:tcW w:w="2790" w:type="dxa"/>
            <w:gridSpan w:val="3"/>
            <w:tcBorders>
              <w:top w:val="single" w:sz="4" w:space="0" w:color="auto"/>
              <w:left w:val="single" w:sz="4" w:space="0" w:color="auto"/>
              <w:bottom w:val="single" w:sz="4" w:space="0" w:color="auto"/>
              <w:right w:val="nil"/>
            </w:tcBorders>
            <w:noWrap/>
            <w:tcMar>
              <w:right w:w="142" w:type="dxa"/>
            </w:tcMar>
            <w:vAlign w:val="bottom"/>
          </w:tcPr>
          <w:p w:rsidR="00823743" w:rsidRPr="00D6553A" w:rsidRDefault="00823743" w:rsidP="00DD32DA">
            <w:pPr>
              <w:jc w:val="center"/>
              <w:rPr>
                <w:rFonts w:cs="Arial"/>
                <w:b/>
                <w:bCs/>
                <w:sz w:val="16"/>
                <w:szCs w:val="16"/>
              </w:rPr>
            </w:pPr>
            <w:r w:rsidRPr="00D6553A">
              <w:rPr>
                <w:rFonts w:cs="Arial"/>
                <w:b/>
                <w:bCs/>
                <w:sz w:val="16"/>
                <w:szCs w:val="16"/>
              </w:rPr>
              <w:t>Samovolné potraty</w:t>
            </w:r>
          </w:p>
        </w:tc>
      </w:tr>
      <w:tr w:rsidR="00823743" w:rsidRPr="00D6553A" w:rsidTr="00DD32DA">
        <w:trPr>
          <w:trHeight w:val="255"/>
        </w:trPr>
        <w:tc>
          <w:tcPr>
            <w:tcW w:w="1271" w:type="dxa"/>
            <w:vMerge/>
            <w:tcBorders>
              <w:left w:val="nil"/>
              <w:bottom w:val="single" w:sz="4" w:space="0" w:color="auto"/>
              <w:right w:val="nil"/>
            </w:tcBorders>
            <w:noWrap/>
            <w:vAlign w:val="bottom"/>
          </w:tcPr>
          <w:p w:rsidR="00823743" w:rsidRPr="00D6553A" w:rsidRDefault="00823743" w:rsidP="00DD32DA">
            <w:pPr>
              <w:rPr>
                <w:rFonts w:eastAsia="Arial Unicode MS" w:cs="Arial"/>
                <w:szCs w:val="20"/>
              </w:rPr>
            </w:pPr>
          </w:p>
        </w:tc>
        <w:tc>
          <w:tcPr>
            <w:tcW w:w="929" w:type="dxa"/>
            <w:tcBorders>
              <w:top w:val="single" w:sz="4" w:space="0" w:color="auto"/>
              <w:left w:val="single" w:sz="4" w:space="0" w:color="auto"/>
              <w:bottom w:val="single" w:sz="4" w:space="0" w:color="auto"/>
              <w:right w:val="nil"/>
            </w:tcBorders>
            <w:noWrap/>
            <w:tcMar>
              <w:right w:w="142" w:type="dxa"/>
            </w:tcMar>
            <w:vAlign w:val="center"/>
          </w:tcPr>
          <w:p w:rsidR="00823743" w:rsidRPr="00D6553A" w:rsidRDefault="00823743" w:rsidP="00DD32DA">
            <w:pPr>
              <w:jc w:val="right"/>
              <w:rPr>
                <w:rFonts w:cs="Arial"/>
                <w:b/>
                <w:bCs/>
                <w:sz w:val="16"/>
                <w:szCs w:val="16"/>
              </w:rPr>
            </w:pPr>
            <w:r w:rsidRPr="00D6553A">
              <w:rPr>
                <w:rFonts w:cs="Arial"/>
                <w:b/>
                <w:bCs/>
                <w:sz w:val="16"/>
                <w:szCs w:val="16"/>
              </w:rPr>
              <w:t>2004</w:t>
            </w:r>
          </w:p>
        </w:tc>
        <w:tc>
          <w:tcPr>
            <w:tcW w:w="930" w:type="dxa"/>
            <w:tcBorders>
              <w:top w:val="single" w:sz="4" w:space="0" w:color="auto"/>
              <w:left w:val="nil"/>
              <w:bottom w:val="single" w:sz="4" w:space="0" w:color="auto"/>
              <w:right w:val="nil"/>
            </w:tcBorders>
            <w:vAlign w:val="center"/>
          </w:tcPr>
          <w:p w:rsidR="00823743" w:rsidRPr="00D6553A" w:rsidRDefault="00823743" w:rsidP="00DD32DA">
            <w:pPr>
              <w:jc w:val="right"/>
              <w:rPr>
                <w:rFonts w:cs="Arial"/>
                <w:b/>
                <w:bCs/>
                <w:sz w:val="16"/>
                <w:szCs w:val="16"/>
              </w:rPr>
            </w:pPr>
            <w:r w:rsidRPr="00D6553A">
              <w:rPr>
                <w:rFonts w:cs="Arial"/>
                <w:b/>
                <w:bCs/>
                <w:sz w:val="16"/>
                <w:szCs w:val="16"/>
              </w:rPr>
              <w:t>2009</w:t>
            </w:r>
          </w:p>
        </w:tc>
        <w:tc>
          <w:tcPr>
            <w:tcW w:w="930" w:type="dxa"/>
            <w:tcBorders>
              <w:top w:val="single" w:sz="4" w:space="0" w:color="auto"/>
              <w:left w:val="nil"/>
              <w:bottom w:val="single" w:sz="4" w:space="0" w:color="auto"/>
              <w:right w:val="single" w:sz="4" w:space="0" w:color="auto"/>
            </w:tcBorders>
            <w:vAlign w:val="center"/>
          </w:tcPr>
          <w:p w:rsidR="00823743" w:rsidRPr="00D6553A" w:rsidRDefault="00823743" w:rsidP="00DD32DA">
            <w:pPr>
              <w:jc w:val="right"/>
              <w:rPr>
                <w:rFonts w:cs="Arial"/>
                <w:b/>
                <w:bCs/>
                <w:sz w:val="16"/>
                <w:szCs w:val="16"/>
              </w:rPr>
            </w:pPr>
            <w:r w:rsidRPr="00D6553A">
              <w:rPr>
                <w:rFonts w:cs="Arial"/>
                <w:b/>
                <w:bCs/>
                <w:sz w:val="16"/>
                <w:szCs w:val="16"/>
              </w:rPr>
              <w:t>2014</w:t>
            </w:r>
          </w:p>
        </w:tc>
        <w:tc>
          <w:tcPr>
            <w:tcW w:w="930" w:type="dxa"/>
            <w:tcBorders>
              <w:top w:val="single" w:sz="4" w:space="0" w:color="auto"/>
              <w:left w:val="single" w:sz="4" w:space="0" w:color="auto"/>
              <w:bottom w:val="single" w:sz="4" w:space="0" w:color="auto"/>
              <w:right w:val="nil"/>
            </w:tcBorders>
            <w:noWrap/>
            <w:tcMar>
              <w:right w:w="142" w:type="dxa"/>
            </w:tcMar>
            <w:vAlign w:val="center"/>
          </w:tcPr>
          <w:p w:rsidR="00823743" w:rsidRPr="00D6553A" w:rsidRDefault="00823743" w:rsidP="00DD32DA">
            <w:pPr>
              <w:jc w:val="right"/>
              <w:rPr>
                <w:rFonts w:cs="Arial"/>
                <w:b/>
                <w:bCs/>
                <w:sz w:val="16"/>
                <w:szCs w:val="16"/>
              </w:rPr>
            </w:pPr>
            <w:r w:rsidRPr="00D6553A">
              <w:rPr>
                <w:rFonts w:cs="Arial"/>
                <w:b/>
                <w:bCs/>
                <w:sz w:val="16"/>
                <w:szCs w:val="16"/>
              </w:rPr>
              <w:t>2004</w:t>
            </w:r>
          </w:p>
        </w:tc>
        <w:tc>
          <w:tcPr>
            <w:tcW w:w="929" w:type="dxa"/>
            <w:tcBorders>
              <w:top w:val="single" w:sz="4" w:space="0" w:color="auto"/>
              <w:left w:val="nil"/>
              <w:bottom w:val="single" w:sz="4" w:space="0" w:color="auto"/>
              <w:right w:val="nil"/>
            </w:tcBorders>
            <w:noWrap/>
            <w:tcMar>
              <w:right w:w="142" w:type="dxa"/>
            </w:tcMar>
            <w:vAlign w:val="center"/>
          </w:tcPr>
          <w:p w:rsidR="00823743" w:rsidRPr="00D6553A" w:rsidRDefault="00823743" w:rsidP="00DD32DA">
            <w:pPr>
              <w:jc w:val="right"/>
              <w:rPr>
                <w:rFonts w:cs="Arial"/>
                <w:b/>
                <w:bCs/>
                <w:sz w:val="16"/>
                <w:szCs w:val="16"/>
              </w:rPr>
            </w:pPr>
            <w:r w:rsidRPr="00D6553A">
              <w:rPr>
                <w:rFonts w:cs="Arial"/>
                <w:b/>
                <w:bCs/>
                <w:sz w:val="16"/>
                <w:szCs w:val="16"/>
              </w:rPr>
              <w:t>2009</w:t>
            </w:r>
          </w:p>
        </w:tc>
        <w:tc>
          <w:tcPr>
            <w:tcW w:w="930" w:type="dxa"/>
            <w:tcBorders>
              <w:top w:val="single" w:sz="4" w:space="0" w:color="auto"/>
              <w:left w:val="nil"/>
              <w:bottom w:val="single" w:sz="4" w:space="0" w:color="auto"/>
              <w:right w:val="single" w:sz="4" w:space="0" w:color="auto"/>
            </w:tcBorders>
            <w:noWrap/>
            <w:tcMar>
              <w:right w:w="142" w:type="dxa"/>
            </w:tcMar>
            <w:vAlign w:val="center"/>
          </w:tcPr>
          <w:p w:rsidR="00823743" w:rsidRPr="00D6553A" w:rsidRDefault="00823743" w:rsidP="00DD32DA">
            <w:pPr>
              <w:jc w:val="right"/>
              <w:rPr>
                <w:rFonts w:cs="Arial"/>
                <w:b/>
                <w:bCs/>
                <w:sz w:val="16"/>
                <w:szCs w:val="16"/>
              </w:rPr>
            </w:pPr>
            <w:r w:rsidRPr="00D6553A">
              <w:rPr>
                <w:rFonts w:cs="Arial"/>
                <w:b/>
                <w:bCs/>
                <w:sz w:val="16"/>
                <w:szCs w:val="16"/>
              </w:rPr>
              <w:t>2014</w:t>
            </w:r>
          </w:p>
        </w:tc>
        <w:tc>
          <w:tcPr>
            <w:tcW w:w="930" w:type="dxa"/>
            <w:tcBorders>
              <w:top w:val="single" w:sz="4" w:space="0" w:color="auto"/>
              <w:left w:val="single" w:sz="4" w:space="0" w:color="auto"/>
              <w:bottom w:val="single" w:sz="4" w:space="0" w:color="auto"/>
              <w:right w:val="nil"/>
            </w:tcBorders>
            <w:noWrap/>
            <w:tcMar>
              <w:right w:w="142" w:type="dxa"/>
            </w:tcMar>
            <w:vAlign w:val="center"/>
          </w:tcPr>
          <w:p w:rsidR="00823743" w:rsidRPr="00D6553A" w:rsidRDefault="00823743" w:rsidP="00DD32DA">
            <w:pPr>
              <w:jc w:val="right"/>
              <w:rPr>
                <w:rFonts w:cs="Arial"/>
                <w:b/>
                <w:bCs/>
                <w:sz w:val="16"/>
                <w:szCs w:val="16"/>
              </w:rPr>
            </w:pPr>
            <w:r w:rsidRPr="00D6553A">
              <w:rPr>
                <w:rFonts w:cs="Arial"/>
                <w:b/>
                <w:bCs/>
                <w:sz w:val="16"/>
                <w:szCs w:val="16"/>
              </w:rPr>
              <w:t>2004</w:t>
            </w:r>
          </w:p>
        </w:tc>
        <w:tc>
          <w:tcPr>
            <w:tcW w:w="930" w:type="dxa"/>
            <w:tcBorders>
              <w:top w:val="single" w:sz="4" w:space="0" w:color="auto"/>
              <w:left w:val="nil"/>
              <w:bottom w:val="single" w:sz="4" w:space="0" w:color="auto"/>
              <w:right w:val="nil"/>
            </w:tcBorders>
            <w:noWrap/>
            <w:tcMar>
              <w:right w:w="142" w:type="dxa"/>
            </w:tcMar>
            <w:vAlign w:val="center"/>
          </w:tcPr>
          <w:p w:rsidR="00823743" w:rsidRPr="00D6553A" w:rsidRDefault="00823743" w:rsidP="00DD32DA">
            <w:pPr>
              <w:jc w:val="right"/>
              <w:rPr>
                <w:rFonts w:cs="Arial"/>
                <w:b/>
                <w:bCs/>
                <w:sz w:val="16"/>
                <w:szCs w:val="16"/>
              </w:rPr>
            </w:pPr>
            <w:r w:rsidRPr="00D6553A">
              <w:rPr>
                <w:rFonts w:cs="Arial"/>
                <w:b/>
                <w:bCs/>
                <w:sz w:val="16"/>
                <w:szCs w:val="16"/>
              </w:rPr>
              <w:t>2009</w:t>
            </w:r>
          </w:p>
        </w:tc>
        <w:tc>
          <w:tcPr>
            <w:tcW w:w="930" w:type="dxa"/>
            <w:tcBorders>
              <w:top w:val="single" w:sz="4" w:space="0" w:color="auto"/>
              <w:left w:val="nil"/>
              <w:bottom w:val="single" w:sz="4" w:space="0" w:color="auto"/>
              <w:right w:val="nil"/>
            </w:tcBorders>
            <w:noWrap/>
            <w:tcMar>
              <w:right w:w="142" w:type="dxa"/>
            </w:tcMar>
            <w:vAlign w:val="center"/>
          </w:tcPr>
          <w:p w:rsidR="00823743" w:rsidRPr="00D6553A" w:rsidRDefault="00823743" w:rsidP="00DD32DA">
            <w:pPr>
              <w:jc w:val="right"/>
              <w:rPr>
                <w:rFonts w:cs="Arial"/>
                <w:b/>
                <w:bCs/>
                <w:sz w:val="16"/>
                <w:szCs w:val="16"/>
              </w:rPr>
            </w:pPr>
            <w:r w:rsidRPr="00D6553A">
              <w:rPr>
                <w:rFonts w:cs="Arial"/>
                <w:b/>
                <w:bCs/>
                <w:sz w:val="16"/>
                <w:szCs w:val="16"/>
              </w:rPr>
              <w:t>2014</w:t>
            </w:r>
          </w:p>
        </w:tc>
      </w:tr>
      <w:tr w:rsidR="00823743" w:rsidRPr="00D6553A" w:rsidTr="00DD32DA">
        <w:trPr>
          <w:trHeight w:val="255"/>
        </w:trPr>
        <w:tc>
          <w:tcPr>
            <w:tcW w:w="1271" w:type="dxa"/>
            <w:tcBorders>
              <w:top w:val="nil"/>
              <w:left w:val="nil"/>
              <w:bottom w:val="nil"/>
              <w:right w:val="nil"/>
            </w:tcBorders>
            <w:noWrap/>
            <w:vAlign w:val="bottom"/>
          </w:tcPr>
          <w:p w:rsidR="00823743" w:rsidRPr="00D6553A" w:rsidRDefault="00823743" w:rsidP="00DD32DA">
            <w:pPr>
              <w:jc w:val="center"/>
              <w:rPr>
                <w:rFonts w:eastAsia="Arial Unicode MS" w:cs="Arial"/>
                <w:sz w:val="16"/>
                <w:szCs w:val="16"/>
              </w:rPr>
            </w:pPr>
            <w:r w:rsidRPr="00D6553A">
              <w:rPr>
                <w:rFonts w:cs="Arial"/>
                <w:sz w:val="16"/>
                <w:szCs w:val="16"/>
              </w:rPr>
              <w:t>0</w:t>
            </w:r>
          </w:p>
        </w:tc>
        <w:tc>
          <w:tcPr>
            <w:tcW w:w="929" w:type="dxa"/>
            <w:tcBorders>
              <w:top w:val="nil"/>
              <w:left w:val="single" w:sz="4" w:space="0" w:color="auto"/>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22 267</w:t>
            </w:r>
          </w:p>
        </w:tc>
        <w:tc>
          <w:tcPr>
            <w:tcW w:w="930" w:type="dxa"/>
            <w:tcBorders>
              <w:top w:val="nil"/>
              <w:left w:val="nil"/>
              <w:bottom w:val="nil"/>
              <w:right w:val="nil"/>
            </w:tcBorders>
            <w:vAlign w:val="bottom"/>
          </w:tcPr>
          <w:p w:rsidR="00823743" w:rsidRPr="00D6553A" w:rsidRDefault="00823743" w:rsidP="00DD32DA">
            <w:pPr>
              <w:jc w:val="right"/>
              <w:rPr>
                <w:rFonts w:cs="Arial"/>
                <w:sz w:val="16"/>
                <w:szCs w:val="16"/>
              </w:rPr>
            </w:pPr>
            <w:r w:rsidRPr="00D6553A">
              <w:rPr>
                <w:rFonts w:cs="Arial"/>
                <w:sz w:val="16"/>
                <w:szCs w:val="16"/>
              </w:rPr>
              <w:t>23 288</w:t>
            </w:r>
          </w:p>
        </w:tc>
        <w:tc>
          <w:tcPr>
            <w:tcW w:w="930" w:type="dxa"/>
            <w:tcBorders>
              <w:top w:val="nil"/>
              <w:left w:val="nil"/>
              <w:bottom w:val="nil"/>
              <w:right w:val="single" w:sz="4" w:space="0" w:color="auto"/>
            </w:tcBorders>
            <w:vAlign w:val="bottom"/>
          </w:tcPr>
          <w:p w:rsidR="00823743" w:rsidRPr="00D6553A" w:rsidRDefault="00823743" w:rsidP="00DD32DA">
            <w:pPr>
              <w:jc w:val="right"/>
              <w:rPr>
                <w:rFonts w:cs="Arial"/>
                <w:sz w:val="16"/>
                <w:szCs w:val="16"/>
              </w:rPr>
            </w:pPr>
            <w:r w:rsidRPr="00D6553A">
              <w:rPr>
                <w:rFonts w:cs="Arial"/>
                <w:sz w:val="16"/>
                <w:szCs w:val="16"/>
              </w:rPr>
              <w:t>21 573</w:t>
            </w:r>
          </w:p>
        </w:tc>
        <w:tc>
          <w:tcPr>
            <w:tcW w:w="930" w:type="dxa"/>
            <w:tcBorders>
              <w:top w:val="nil"/>
              <w:left w:val="single" w:sz="4" w:space="0" w:color="auto"/>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15 795</w:t>
            </w:r>
          </w:p>
        </w:tc>
        <w:tc>
          <w:tcPr>
            <w:tcW w:w="929" w:type="dxa"/>
            <w:tcBorders>
              <w:top w:val="nil"/>
              <w:left w:val="nil"/>
              <w:bottom w:val="nil"/>
              <w:right w:val="nil"/>
            </w:tcBorders>
            <w:noWrap/>
            <w:tcMar>
              <w:right w:w="142" w:type="dxa"/>
            </w:tcMar>
            <w:vAlign w:val="bottom"/>
          </w:tcPr>
          <w:p w:rsidR="00823743" w:rsidRPr="00D6553A" w:rsidRDefault="00823743" w:rsidP="00DD32DA">
            <w:pPr>
              <w:ind w:firstLineChars="100" w:firstLine="160"/>
              <w:jc w:val="right"/>
              <w:rPr>
                <w:rFonts w:cs="Arial"/>
                <w:sz w:val="16"/>
                <w:szCs w:val="16"/>
              </w:rPr>
            </w:pPr>
            <w:r w:rsidRPr="00D6553A">
              <w:rPr>
                <w:rFonts w:cs="Arial"/>
                <w:sz w:val="16"/>
                <w:szCs w:val="16"/>
              </w:rPr>
              <w:t>15 351</w:t>
            </w:r>
          </w:p>
        </w:tc>
        <w:tc>
          <w:tcPr>
            <w:tcW w:w="930" w:type="dxa"/>
            <w:tcBorders>
              <w:top w:val="nil"/>
              <w:left w:val="nil"/>
              <w:bottom w:val="nil"/>
              <w:right w:val="single" w:sz="4" w:space="0" w:color="auto"/>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14 190</w:t>
            </w:r>
          </w:p>
        </w:tc>
        <w:tc>
          <w:tcPr>
            <w:tcW w:w="930" w:type="dxa"/>
            <w:tcBorders>
              <w:top w:val="nil"/>
              <w:left w:val="single" w:sz="4" w:space="0" w:color="auto"/>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9 608</w:t>
            </w:r>
          </w:p>
        </w:tc>
        <w:tc>
          <w:tcPr>
            <w:tcW w:w="930" w:type="dxa"/>
            <w:tcBorders>
              <w:top w:val="nil"/>
              <w:left w:val="nil"/>
              <w:bottom w:val="nil"/>
              <w:right w:val="nil"/>
            </w:tcBorders>
            <w:noWrap/>
            <w:tcMar>
              <w:right w:w="142" w:type="dxa"/>
            </w:tcMar>
            <w:vAlign w:val="bottom"/>
          </w:tcPr>
          <w:p w:rsidR="00823743" w:rsidRPr="00D6553A" w:rsidRDefault="00823743" w:rsidP="00DD32DA">
            <w:pPr>
              <w:ind w:firstLineChars="100" w:firstLine="160"/>
              <w:jc w:val="right"/>
              <w:rPr>
                <w:rFonts w:cs="Arial"/>
                <w:sz w:val="16"/>
                <w:szCs w:val="16"/>
              </w:rPr>
            </w:pPr>
            <w:r w:rsidRPr="00D6553A">
              <w:rPr>
                <w:rFonts w:cs="Arial"/>
                <w:sz w:val="16"/>
                <w:szCs w:val="16"/>
              </w:rPr>
              <w:t>11 194</w:t>
            </w:r>
          </w:p>
        </w:tc>
        <w:tc>
          <w:tcPr>
            <w:tcW w:w="930" w:type="dxa"/>
            <w:tcBorders>
              <w:top w:val="nil"/>
              <w:left w:val="nil"/>
              <w:bottom w:val="nil"/>
              <w:right w:val="nil"/>
            </w:tcBorders>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10 386</w:t>
            </w:r>
          </w:p>
        </w:tc>
      </w:tr>
      <w:tr w:rsidR="00823743" w:rsidRPr="00D6553A" w:rsidTr="00DD32DA">
        <w:trPr>
          <w:trHeight w:val="255"/>
        </w:trPr>
        <w:tc>
          <w:tcPr>
            <w:tcW w:w="1271" w:type="dxa"/>
            <w:tcBorders>
              <w:top w:val="nil"/>
              <w:left w:val="nil"/>
              <w:bottom w:val="nil"/>
              <w:right w:val="nil"/>
            </w:tcBorders>
            <w:noWrap/>
            <w:vAlign w:val="bottom"/>
          </w:tcPr>
          <w:p w:rsidR="00823743" w:rsidRPr="00D6553A" w:rsidRDefault="00823743" w:rsidP="00DD32DA">
            <w:pPr>
              <w:jc w:val="center"/>
              <w:rPr>
                <w:rFonts w:eastAsia="Arial Unicode MS" w:cs="Arial"/>
                <w:sz w:val="16"/>
                <w:szCs w:val="16"/>
              </w:rPr>
            </w:pPr>
            <w:r w:rsidRPr="00D6553A">
              <w:rPr>
                <w:rFonts w:cs="Arial"/>
                <w:sz w:val="16"/>
                <w:szCs w:val="16"/>
              </w:rPr>
              <w:t>1</w:t>
            </w:r>
          </w:p>
        </w:tc>
        <w:tc>
          <w:tcPr>
            <w:tcW w:w="929" w:type="dxa"/>
            <w:tcBorders>
              <w:top w:val="nil"/>
              <w:left w:val="single" w:sz="4" w:space="0" w:color="auto"/>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10 564</w:t>
            </w:r>
          </w:p>
        </w:tc>
        <w:tc>
          <w:tcPr>
            <w:tcW w:w="930" w:type="dxa"/>
            <w:tcBorders>
              <w:top w:val="nil"/>
              <w:left w:val="nil"/>
              <w:bottom w:val="nil"/>
              <w:right w:val="nil"/>
            </w:tcBorders>
            <w:vAlign w:val="bottom"/>
          </w:tcPr>
          <w:p w:rsidR="00823743" w:rsidRPr="00D6553A" w:rsidRDefault="00823743" w:rsidP="00DD32DA">
            <w:pPr>
              <w:jc w:val="right"/>
              <w:rPr>
                <w:rFonts w:cs="Arial"/>
                <w:sz w:val="16"/>
                <w:szCs w:val="16"/>
              </w:rPr>
            </w:pPr>
            <w:r w:rsidRPr="00D6553A">
              <w:rPr>
                <w:rFonts w:cs="Arial"/>
                <w:sz w:val="16"/>
                <w:szCs w:val="16"/>
              </w:rPr>
              <w:t>10 127</w:t>
            </w:r>
          </w:p>
        </w:tc>
        <w:tc>
          <w:tcPr>
            <w:tcW w:w="930" w:type="dxa"/>
            <w:tcBorders>
              <w:top w:val="nil"/>
              <w:left w:val="nil"/>
              <w:bottom w:val="nil"/>
              <w:right w:val="single" w:sz="4" w:space="0" w:color="auto"/>
            </w:tcBorders>
            <w:vAlign w:val="bottom"/>
          </w:tcPr>
          <w:p w:rsidR="00823743" w:rsidRPr="00D6553A" w:rsidRDefault="00823743" w:rsidP="00DD32DA">
            <w:pPr>
              <w:jc w:val="right"/>
              <w:rPr>
                <w:rFonts w:cs="Arial"/>
                <w:sz w:val="16"/>
                <w:szCs w:val="16"/>
              </w:rPr>
            </w:pPr>
            <w:r w:rsidRPr="00D6553A">
              <w:rPr>
                <w:rFonts w:cs="Arial"/>
                <w:sz w:val="16"/>
                <w:szCs w:val="16"/>
              </w:rPr>
              <w:t>9 244</w:t>
            </w:r>
          </w:p>
        </w:tc>
        <w:tc>
          <w:tcPr>
            <w:tcW w:w="930" w:type="dxa"/>
            <w:tcBorders>
              <w:top w:val="nil"/>
              <w:left w:val="single" w:sz="4" w:space="0" w:color="auto"/>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6 937</w:t>
            </w:r>
          </w:p>
        </w:tc>
        <w:tc>
          <w:tcPr>
            <w:tcW w:w="929" w:type="dxa"/>
            <w:tcBorders>
              <w:top w:val="nil"/>
              <w:left w:val="nil"/>
              <w:bottom w:val="nil"/>
              <w:right w:val="nil"/>
            </w:tcBorders>
            <w:noWrap/>
            <w:tcMar>
              <w:right w:w="142" w:type="dxa"/>
            </w:tcMar>
            <w:vAlign w:val="bottom"/>
          </w:tcPr>
          <w:p w:rsidR="00823743" w:rsidRPr="00D6553A" w:rsidRDefault="00823743" w:rsidP="00DD32DA">
            <w:pPr>
              <w:ind w:firstLineChars="100" w:firstLine="160"/>
              <w:jc w:val="right"/>
              <w:rPr>
                <w:rFonts w:cs="Arial"/>
                <w:sz w:val="16"/>
                <w:szCs w:val="16"/>
              </w:rPr>
            </w:pPr>
            <w:r w:rsidRPr="00D6553A">
              <w:rPr>
                <w:rFonts w:cs="Arial"/>
                <w:sz w:val="16"/>
                <w:szCs w:val="16"/>
              </w:rPr>
              <w:t>5 775</w:t>
            </w:r>
          </w:p>
        </w:tc>
        <w:tc>
          <w:tcPr>
            <w:tcW w:w="930" w:type="dxa"/>
            <w:tcBorders>
              <w:top w:val="nil"/>
              <w:left w:val="nil"/>
              <w:bottom w:val="nil"/>
              <w:right w:val="single" w:sz="4" w:space="0" w:color="auto"/>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4 986</w:t>
            </w:r>
          </w:p>
        </w:tc>
        <w:tc>
          <w:tcPr>
            <w:tcW w:w="930" w:type="dxa"/>
            <w:tcBorders>
              <w:top w:val="nil"/>
              <w:left w:val="single" w:sz="4" w:space="0" w:color="auto"/>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2 085</w:t>
            </w:r>
          </w:p>
        </w:tc>
        <w:tc>
          <w:tcPr>
            <w:tcW w:w="930" w:type="dxa"/>
            <w:tcBorders>
              <w:top w:val="nil"/>
              <w:left w:val="nil"/>
              <w:bottom w:val="nil"/>
              <w:right w:val="nil"/>
            </w:tcBorders>
            <w:noWrap/>
            <w:tcMar>
              <w:right w:w="142" w:type="dxa"/>
            </w:tcMar>
            <w:vAlign w:val="bottom"/>
          </w:tcPr>
          <w:p w:rsidR="00823743" w:rsidRPr="00D6553A" w:rsidRDefault="00823743" w:rsidP="00DD32DA">
            <w:pPr>
              <w:ind w:firstLineChars="100" w:firstLine="160"/>
              <w:jc w:val="right"/>
              <w:rPr>
                <w:rFonts w:cs="Arial"/>
                <w:sz w:val="16"/>
                <w:szCs w:val="16"/>
              </w:rPr>
            </w:pPr>
            <w:r w:rsidRPr="00D6553A">
              <w:rPr>
                <w:rFonts w:cs="Arial"/>
                <w:sz w:val="16"/>
                <w:szCs w:val="16"/>
              </w:rPr>
              <w:t>2 548</w:t>
            </w:r>
          </w:p>
        </w:tc>
        <w:tc>
          <w:tcPr>
            <w:tcW w:w="930" w:type="dxa"/>
            <w:tcBorders>
              <w:top w:val="nil"/>
              <w:left w:val="nil"/>
              <w:bottom w:val="nil"/>
              <w:right w:val="nil"/>
            </w:tcBorders>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2 482</w:t>
            </w:r>
          </w:p>
        </w:tc>
      </w:tr>
      <w:tr w:rsidR="00823743" w:rsidRPr="00D6553A" w:rsidTr="00DD32DA">
        <w:trPr>
          <w:trHeight w:val="255"/>
        </w:trPr>
        <w:tc>
          <w:tcPr>
            <w:tcW w:w="1271" w:type="dxa"/>
            <w:tcBorders>
              <w:top w:val="nil"/>
              <w:left w:val="nil"/>
              <w:bottom w:val="nil"/>
              <w:right w:val="nil"/>
            </w:tcBorders>
            <w:noWrap/>
            <w:vAlign w:val="bottom"/>
          </w:tcPr>
          <w:p w:rsidR="00823743" w:rsidRPr="00D6553A" w:rsidRDefault="00823743" w:rsidP="00DD32DA">
            <w:pPr>
              <w:jc w:val="center"/>
              <w:rPr>
                <w:rFonts w:eastAsia="Arial Unicode MS" w:cs="Arial"/>
                <w:sz w:val="16"/>
                <w:szCs w:val="16"/>
              </w:rPr>
            </w:pPr>
            <w:r w:rsidRPr="00D6553A">
              <w:rPr>
                <w:rFonts w:cs="Arial"/>
                <w:sz w:val="16"/>
                <w:szCs w:val="16"/>
              </w:rPr>
              <w:t>2</w:t>
            </w:r>
          </w:p>
        </w:tc>
        <w:tc>
          <w:tcPr>
            <w:tcW w:w="929" w:type="dxa"/>
            <w:tcBorders>
              <w:top w:val="nil"/>
              <w:left w:val="single" w:sz="4" w:space="0" w:color="auto"/>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4 890</w:t>
            </w:r>
          </w:p>
        </w:tc>
        <w:tc>
          <w:tcPr>
            <w:tcW w:w="930" w:type="dxa"/>
            <w:tcBorders>
              <w:top w:val="nil"/>
              <w:left w:val="nil"/>
              <w:bottom w:val="nil"/>
              <w:right w:val="nil"/>
            </w:tcBorders>
            <w:vAlign w:val="bottom"/>
          </w:tcPr>
          <w:p w:rsidR="00823743" w:rsidRPr="00D6553A" w:rsidRDefault="00823743" w:rsidP="00DD32DA">
            <w:pPr>
              <w:jc w:val="right"/>
              <w:rPr>
                <w:rFonts w:cs="Arial"/>
                <w:sz w:val="16"/>
                <w:szCs w:val="16"/>
              </w:rPr>
            </w:pPr>
            <w:r w:rsidRPr="00D6553A">
              <w:rPr>
                <w:rFonts w:cs="Arial"/>
                <w:sz w:val="16"/>
                <w:szCs w:val="16"/>
              </w:rPr>
              <w:t>4 181</w:t>
            </w:r>
          </w:p>
        </w:tc>
        <w:tc>
          <w:tcPr>
            <w:tcW w:w="930" w:type="dxa"/>
            <w:tcBorders>
              <w:top w:val="nil"/>
              <w:left w:val="nil"/>
              <w:bottom w:val="nil"/>
              <w:right w:val="single" w:sz="4" w:space="0" w:color="auto"/>
            </w:tcBorders>
            <w:vAlign w:val="bottom"/>
          </w:tcPr>
          <w:p w:rsidR="00823743" w:rsidRPr="00D6553A" w:rsidRDefault="00823743" w:rsidP="00DD32DA">
            <w:pPr>
              <w:jc w:val="right"/>
              <w:rPr>
                <w:rFonts w:cs="Arial"/>
                <w:sz w:val="16"/>
                <w:szCs w:val="16"/>
              </w:rPr>
            </w:pPr>
            <w:r w:rsidRPr="00D6553A">
              <w:rPr>
                <w:rFonts w:cs="Arial"/>
                <w:sz w:val="16"/>
                <w:szCs w:val="16"/>
              </w:rPr>
              <w:t>3 777</w:t>
            </w:r>
          </w:p>
        </w:tc>
        <w:tc>
          <w:tcPr>
            <w:tcW w:w="930" w:type="dxa"/>
            <w:tcBorders>
              <w:top w:val="nil"/>
              <w:left w:val="single" w:sz="4" w:space="0" w:color="auto"/>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2 958</w:t>
            </w:r>
          </w:p>
        </w:tc>
        <w:tc>
          <w:tcPr>
            <w:tcW w:w="929" w:type="dxa"/>
            <w:tcBorders>
              <w:top w:val="nil"/>
              <w:left w:val="nil"/>
              <w:bottom w:val="nil"/>
              <w:right w:val="nil"/>
            </w:tcBorders>
            <w:noWrap/>
            <w:tcMar>
              <w:right w:w="142" w:type="dxa"/>
            </w:tcMar>
            <w:vAlign w:val="bottom"/>
          </w:tcPr>
          <w:p w:rsidR="00823743" w:rsidRPr="00D6553A" w:rsidRDefault="00823743" w:rsidP="00DD32DA">
            <w:pPr>
              <w:ind w:firstLineChars="100" w:firstLine="160"/>
              <w:jc w:val="right"/>
              <w:rPr>
                <w:rFonts w:cs="Arial"/>
                <w:sz w:val="16"/>
                <w:szCs w:val="16"/>
              </w:rPr>
            </w:pPr>
            <w:r w:rsidRPr="00D6553A">
              <w:rPr>
                <w:rFonts w:cs="Arial"/>
                <w:sz w:val="16"/>
                <w:szCs w:val="16"/>
              </w:rPr>
              <w:t>2 139</w:t>
            </w:r>
          </w:p>
        </w:tc>
        <w:tc>
          <w:tcPr>
            <w:tcW w:w="930" w:type="dxa"/>
            <w:tcBorders>
              <w:top w:val="nil"/>
              <w:left w:val="nil"/>
              <w:bottom w:val="nil"/>
              <w:right w:val="single" w:sz="4" w:space="0" w:color="auto"/>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1 755</w:t>
            </w:r>
          </w:p>
        </w:tc>
        <w:tc>
          <w:tcPr>
            <w:tcW w:w="930" w:type="dxa"/>
            <w:tcBorders>
              <w:top w:val="nil"/>
              <w:left w:val="single" w:sz="4" w:space="0" w:color="auto"/>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479</w:t>
            </w:r>
          </w:p>
        </w:tc>
        <w:tc>
          <w:tcPr>
            <w:tcW w:w="930" w:type="dxa"/>
            <w:tcBorders>
              <w:top w:val="nil"/>
              <w:left w:val="nil"/>
              <w:bottom w:val="nil"/>
              <w:right w:val="nil"/>
            </w:tcBorders>
            <w:noWrap/>
            <w:tcMar>
              <w:right w:w="142" w:type="dxa"/>
            </w:tcMar>
            <w:vAlign w:val="bottom"/>
          </w:tcPr>
          <w:p w:rsidR="00823743" w:rsidRPr="00D6553A" w:rsidRDefault="00823743" w:rsidP="00DD32DA">
            <w:pPr>
              <w:ind w:firstLineChars="100" w:firstLine="160"/>
              <w:jc w:val="right"/>
              <w:rPr>
                <w:rFonts w:cs="Arial"/>
                <w:sz w:val="16"/>
                <w:szCs w:val="16"/>
              </w:rPr>
            </w:pPr>
            <w:r w:rsidRPr="00D6553A">
              <w:rPr>
                <w:rFonts w:cs="Arial"/>
                <w:sz w:val="16"/>
                <w:szCs w:val="16"/>
              </w:rPr>
              <w:t>626</w:t>
            </w:r>
          </w:p>
        </w:tc>
        <w:tc>
          <w:tcPr>
            <w:tcW w:w="930" w:type="dxa"/>
            <w:tcBorders>
              <w:top w:val="nil"/>
              <w:left w:val="nil"/>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674</w:t>
            </w:r>
          </w:p>
        </w:tc>
      </w:tr>
      <w:tr w:rsidR="00823743" w:rsidRPr="00D6553A" w:rsidTr="00DD32DA">
        <w:trPr>
          <w:trHeight w:val="255"/>
        </w:trPr>
        <w:tc>
          <w:tcPr>
            <w:tcW w:w="1271" w:type="dxa"/>
            <w:tcBorders>
              <w:top w:val="nil"/>
              <w:left w:val="nil"/>
              <w:bottom w:val="nil"/>
              <w:right w:val="nil"/>
            </w:tcBorders>
            <w:noWrap/>
            <w:vAlign w:val="bottom"/>
          </w:tcPr>
          <w:p w:rsidR="00823743" w:rsidRPr="00D6553A" w:rsidRDefault="00823743" w:rsidP="00DD32DA">
            <w:pPr>
              <w:jc w:val="center"/>
              <w:rPr>
                <w:rFonts w:eastAsia="Arial Unicode MS" w:cs="Arial"/>
                <w:sz w:val="16"/>
                <w:szCs w:val="16"/>
              </w:rPr>
            </w:pPr>
            <w:r w:rsidRPr="00D6553A">
              <w:rPr>
                <w:rFonts w:cs="Arial"/>
                <w:sz w:val="16"/>
                <w:szCs w:val="16"/>
              </w:rPr>
              <w:t>3+</w:t>
            </w:r>
          </w:p>
        </w:tc>
        <w:tc>
          <w:tcPr>
            <w:tcW w:w="929" w:type="dxa"/>
            <w:tcBorders>
              <w:top w:val="nil"/>
              <w:left w:val="single" w:sz="4" w:space="0" w:color="auto"/>
              <w:bottom w:val="single" w:sz="4" w:space="0" w:color="auto"/>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3 603</w:t>
            </w:r>
          </w:p>
        </w:tc>
        <w:tc>
          <w:tcPr>
            <w:tcW w:w="930" w:type="dxa"/>
            <w:tcBorders>
              <w:top w:val="nil"/>
              <w:left w:val="nil"/>
              <w:bottom w:val="single" w:sz="4" w:space="0" w:color="auto"/>
              <w:right w:val="nil"/>
            </w:tcBorders>
            <w:vAlign w:val="bottom"/>
          </w:tcPr>
          <w:p w:rsidR="00823743" w:rsidRPr="00D6553A" w:rsidRDefault="00823743" w:rsidP="00DD32DA">
            <w:pPr>
              <w:jc w:val="right"/>
              <w:rPr>
                <w:rFonts w:cs="Arial"/>
                <w:sz w:val="16"/>
                <w:szCs w:val="16"/>
              </w:rPr>
            </w:pPr>
            <w:r w:rsidRPr="00D6553A">
              <w:rPr>
                <w:rFonts w:cs="Arial"/>
                <w:sz w:val="16"/>
                <w:szCs w:val="16"/>
              </w:rPr>
              <w:t>2 932</w:t>
            </w:r>
          </w:p>
        </w:tc>
        <w:tc>
          <w:tcPr>
            <w:tcW w:w="930" w:type="dxa"/>
            <w:tcBorders>
              <w:top w:val="nil"/>
              <w:left w:val="nil"/>
              <w:bottom w:val="single" w:sz="4" w:space="0" w:color="auto"/>
              <w:right w:val="single" w:sz="4" w:space="0" w:color="auto"/>
            </w:tcBorders>
            <w:vAlign w:val="bottom"/>
          </w:tcPr>
          <w:p w:rsidR="00823743" w:rsidRPr="00D6553A" w:rsidRDefault="00823743" w:rsidP="00DD32DA">
            <w:pPr>
              <w:jc w:val="right"/>
              <w:rPr>
                <w:rFonts w:cs="Arial"/>
                <w:sz w:val="16"/>
                <w:szCs w:val="16"/>
              </w:rPr>
            </w:pPr>
            <w:r w:rsidRPr="00D6553A">
              <w:rPr>
                <w:rFonts w:cs="Arial"/>
                <w:sz w:val="16"/>
                <w:szCs w:val="16"/>
              </w:rPr>
              <w:t>2 362</w:t>
            </w:r>
          </w:p>
        </w:tc>
        <w:tc>
          <w:tcPr>
            <w:tcW w:w="930" w:type="dxa"/>
            <w:tcBorders>
              <w:top w:val="nil"/>
              <w:left w:val="single" w:sz="4" w:space="0" w:color="auto"/>
              <w:bottom w:val="single" w:sz="4" w:space="0" w:color="auto"/>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1 884</w:t>
            </w:r>
          </w:p>
        </w:tc>
        <w:tc>
          <w:tcPr>
            <w:tcW w:w="929" w:type="dxa"/>
            <w:tcBorders>
              <w:top w:val="nil"/>
              <w:left w:val="nil"/>
              <w:bottom w:val="single" w:sz="4" w:space="0" w:color="auto"/>
              <w:right w:val="nil"/>
            </w:tcBorders>
            <w:noWrap/>
            <w:tcMar>
              <w:right w:w="142" w:type="dxa"/>
            </w:tcMar>
            <w:vAlign w:val="bottom"/>
          </w:tcPr>
          <w:p w:rsidR="00823743" w:rsidRPr="00D6553A" w:rsidRDefault="00823743" w:rsidP="00DD32DA">
            <w:pPr>
              <w:ind w:firstLineChars="100" w:firstLine="160"/>
              <w:jc w:val="right"/>
              <w:rPr>
                <w:rFonts w:cs="Arial"/>
                <w:sz w:val="16"/>
                <w:szCs w:val="16"/>
              </w:rPr>
            </w:pPr>
            <w:r w:rsidRPr="00D6553A">
              <w:rPr>
                <w:rFonts w:cs="Arial"/>
                <w:sz w:val="16"/>
                <w:szCs w:val="16"/>
              </w:rPr>
              <w:t>1 371</w:t>
            </w:r>
          </w:p>
        </w:tc>
        <w:tc>
          <w:tcPr>
            <w:tcW w:w="930" w:type="dxa"/>
            <w:tcBorders>
              <w:top w:val="nil"/>
              <w:left w:val="nil"/>
              <w:bottom w:val="single" w:sz="4" w:space="0" w:color="auto"/>
              <w:right w:val="single" w:sz="4" w:space="0" w:color="auto"/>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962</w:t>
            </w:r>
          </w:p>
        </w:tc>
        <w:tc>
          <w:tcPr>
            <w:tcW w:w="930" w:type="dxa"/>
            <w:tcBorders>
              <w:top w:val="nil"/>
              <w:left w:val="single" w:sz="4" w:space="0" w:color="auto"/>
              <w:bottom w:val="single" w:sz="4" w:space="0" w:color="auto"/>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230</w:t>
            </w:r>
          </w:p>
        </w:tc>
        <w:tc>
          <w:tcPr>
            <w:tcW w:w="930" w:type="dxa"/>
            <w:tcBorders>
              <w:top w:val="nil"/>
              <w:left w:val="nil"/>
              <w:bottom w:val="single" w:sz="4" w:space="0" w:color="auto"/>
              <w:right w:val="nil"/>
            </w:tcBorders>
            <w:noWrap/>
            <w:tcMar>
              <w:right w:w="142" w:type="dxa"/>
            </w:tcMar>
            <w:vAlign w:val="bottom"/>
          </w:tcPr>
          <w:p w:rsidR="00823743" w:rsidRPr="00D6553A" w:rsidRDefault="00823743" w:rsidP="00DD32DA">
            <w:pPr>
              <w:ind w:firstLineChars="100" w:firstLine="160"/>
              <w:jc w:val="right"/>
              <w:rPr>
                <w:rFonts w:cs="Arial"/>
                <w:sz w:val="16"/>
                <w:szCs w:val="16"/>
              </w:rPr>
            </w:pPr>
            <w:r w:rsidRPr="00D6553A">
              <w:rPr>
                <w:rFonts w:cs="Arial"/>
                <w:sz w:val="16"/>
                <w:szCs w:val="16"/>
              </w:rPr>
              <w:t>261</w:t>
            </w:r>
          </w:p>
        </w:tc>
        <w:tc>
          <w:tcPr>
            <w:tcW w:w="930" w:type="dxa"/>
            <w:tcBorders>
              <w:top w:val="nil"/>
              <w:left w:val="nil"/>
              <w:bottom w:val="single" w:sz="4" w:space="0" w:color="auto"/>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315</w:t>
            </w:r>
          </w:p>
        </w:tc>
      </w:tr>
      <w:tr w:rsidR="00823743" w:rsidRPr="00D6553A" w:rsidTr="00DD32DA">
        <w:trPr>
          <w:trHeight w:hRule="exact" w:val="255"/>
        </w:trPr>
        <w:tc>
          <w:tcPr>
            <w:tcW w:w="9639" w:type="dxa"/>
            <w:gridSpan w:val="10"/>
            <w:tcBorders>
              <w:top w:val="single" w:sz="4" w:space="0" w:color="auto"/>
              <w:bottom w:val="single" w:sz="4" w:space="0" w:color="auto"/>
            </w:tcBorders>
            <w:noWrap/>
            <w:vAlign w:val="bottom"/>
          </w:tcPr>
          <w:p w:rsidR="00823743" w:rsidRPr="00D6553A" w:rsidRDefault="00823743" w:rsidP="00DD32DA">
            <w:pPr>
              <w:jc w:val="center"/>
              <w:rPr>
                <w:rFonts w:eastAsia="Arial Unicode MS" w:cs="Arial"/>
                <w:sz w:val="16"/>
                <w:szCs w:val="16"/>
              </w:rPr>
            </w:pPr>
            <w:r w:rsidRPr="00D6553A">
              <w:rPr>
                <w:rFonts w:cs="Arial"/>
                <w:sz w:val="16"/>
                <w:szCs w:val="16"/>
              </w:rPr>
              <w:t>%</w:t>
            </w:r>
          </w:p>
        </w:tc>
      </w:tr>
      <w:tr w:rsidR="00823743" w:rsidRPr="00D6553A" w:rsidTr="00DD32DA">
        <w:trPr>
          <w:trHeight w:val="255"/>
        </w:trPr>
        <w:tc>
          <w:tcPr>
            <w:tcW w:w="1271" w:type="dxa"/>
            <w:tcBorders>
              <w:top w:val="nil"/>
              <w:left w:val="nil"/>
              <w:bottom w:val="nil"/>
              <w:right w:val="nil"/>
            </w:tcBorders>
            <w:noWrap/>
            <w:vAlign w:val="bottom"/>
          </w:tcPr>
          <w:p w:rsidR="00823743" w:rsidRPr="00D6553A" w:rsidRDefault="00823743" w:rsidP="00DD32DA">
            <w:pPr>
              <w:jc w:val="center"/>
              <w:rPr>
                <w:rFonts w:eastAsia="Arial Unicode MS" w:cs="Arial"/>
                <w:sz w:val="16"/>
                <w:szCs w:val="16"/>
              </w:rPr>
            </w:pPr>
            <w:r w:rsidRPr="00D6553A">
              <w:rPr>
                <w:rFonts w:cs="Arial"/>
                <w:sz w:val="16"/>
                <w:szCs w:val="16"/>
              </w:rPr>
              <w:t>0</w:t>
            </w:r>
          </w:p>
        </w:tc>
        <w:tc>
          <w:tcPr>
            <w:tcW w:w="929" w:type="dxa"/>
            <w:tcBorders>
              <w:top w:val="nil"/>
              <w:left w:val="single" w:sz="4" w:space="0" w:color="auto"/>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53,9</w:t>
            </w:r>
          </w:p>
        </w:tc>
        <w:tc>
          <w:tcPr>
            <w:tcW w:w="930" w:type="dxa"/>
            <w:tcBorders>
              <w:top w:val="nil"/>
              <w:left w:val="nil"/>
              <w:bottom w:val="nil"/>
              <w:right w:val="nil"/>
            </w:tcBorders>
            <w:vAlign w:val="bottom"/>
          </w:tcPr>
          <w:p w:rsidR="00823743" w:rsidRPr="00D6553A" w:rsidRDefault="00823743" w:rsidP="00DD32DA">
            <w:pPr>
              <w:jc w:val="right"/>
              <w:rPr>
                <w:rFonts w:cs="Arial"/>
                <w:sz w:val="16"/>
                <w:szCs w:val="16"/>
              </w:rPr>
            </w:pPr>
            <w:r w:rsidRPr="00D6553A">
              <w:rPr>
                <w:rFonts w:cs="Arial"/>
                <w:sz w:val="16"/>
                <w:szCs w:val="16"/>
              </w:rPr>
              <w:t>57,5</w:t>
            </w:r>
          </w:p>
        </w:tc>
        <w:tc>
          <w:tcPr>
            <w:tcW w:w="930" w:type="dxa"/>
            <w:tcBorders>
              <w:top w:val="nil"/>
              <w:left w:val="nil"/>
              <w:bottom w:val="nil"/>
              <w:right w:val="single" w:sz="4" w:space="0" w:color="auto"/>
            </w:tcBorders>
            <w:vAlign w:val="bottom"/>
          </w:tcPr>
          <w:p w:rsidR="00823743" w:rsidRPr="00D6553A" w:rsidRDefault="00823743" w:rsidP="00DD32DA">
            <w:pPr>
              <w:jc w:val="right"/>
              <w:rPr>
                <w:rFonts w:cs="Arial"/>
                <w:sz w:val="16"/>
                <w:szCs w:val="16"/>
              </w:rPr>
            </w:pPr>
            <w:r w:rsidRPr="00D6553A">
              <w:rPr>
                <w:rFonts w:cs="Arial"/>
                <w:sz w:val="16"/>
                <w:szCs w:val="16"/>
              </w:rPr>
              <w:t>58,4</w:t>
            </w:r>
          </w:p>
        </w:tc>
        <w:tc>
          <w:tcPr>
            <w:tcW w:w="930" w:type="dxa"/>
            <w:tcBorders>
              <w:top w:val="nil"/>
              <w:left w:val="single" w:sz="4" w:space="0" w:color="auto"/>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57,3</w:t>
            </w:r>
          </w:p>
        </w:tc>
        <w:tc>
          <w:tcPr>
            <w:tcW w:w="929" w:type="dxa"/>
            <w:tcBorders>
              <w:top w:val="nil"/>
              <w:left w:val="nil"/>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62,3</w:t>
            </w:r>
          </w:p>
        </w:tc>
        <w:tc>
          <w:tcPr>
            <w:tcW w:w="930" w:type="dxa"/>
            <w:tcBorders>
              <w:top w:val="nil"/>
              <w:left w:val="nil"/>
              <w:bottom w:val="nil"/>
              <w:right w:val="single" w:sz="4" w:space="0" w:color="auto"/>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64,8</w:t>
            </w:r>
          </w:p>
        </w:tc>
        <w:tc>
          <w:tcPr>
            <w:tcW w:w="930" w:type="dxa"/>
            <w:tcBorders>
              <w:top w:val="nil"/>
              <w:left w:val="single" w:sz="4" w:space="0" w:color="auto"/>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77,5</w:t>
            </w:r>
          </w:p>
        </w:tc>
        <w:tc>
          <w:tcPr>
            <w:tcW w:w="930" w:type="dxa"/>
            <w:tcBorders>
              <w:top w:val="nil"/>
              <w:left w:val="nil"/>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76,5</w:t>
            </w:r>
          </w:p>
        </w:tc>
        <w:tc>
          <w:tcPr>
            <w:tcW w:w="930" w:type="dxa"/>
            <w:tcBorders>
              <w:top w:val="nil"/>
              <w:left w:val="nil"/>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75,0</w:t>
            </w:r>
          </w:p>
        </w:tc>
      </w:tr>
      <w:tr w:rsidR="00823743" w:rsidRPr="00D6553A" w:rsidTr="00DD32DA">
        <w:trPr>
          <w:trHeight w:val="255"/>
        </w:trPr>
        <w:tc>
          <w:tcPr>
            <w:tcW w:w="1271" w:type="dxa"/>
            <w:tcBorders>
              <w:top w:val="nil"/>
              <w:left w:val="nil"/>
              <w:bottom w:val="nil"/>
              <w:right w:val="nil"/>
            </w:tcBorders>
            <w:noWrap/>
            <w:vAlign w:val="bottom"/>
          </w:tcPr>
          <w:p w:rsidR="00823743" w:rsidRPr="00D6553A" w:rsidRDefault="00823743" w:rsidP="00DD32DA">
            <w:pPr>
              <w:jc w:val="center"/>
              <w:rPr>
                <w:rFonts w:eastAsia="Arial Unicode MS" w:cs="Arial"/>
                <w:sz w:val="16"/>
                <w:szCs w:val="16"/>
              </w:rPr>
            </w:pPr>
            <w:r w:rsidRPr="00D6553A">
              <w:rPr>
                <w:rFonts w:cs="Arial"/>
                <w:sz w:val="16"/>
                <w:szCs w:val="16"/>
              </w:rPr>
              <w:t>1</w:t>
            </w:r>
          </w:p>
        </w:tc>
        <w:tc>
          <w:tcPr>
            <w:tcW w:w="929" w:type="dxa"/>
            <w:tcBorders>
              <w:top w:val="nil"/>
              <w:left w:val="single" w:sz="4" w:space="0" w:color="auto"/>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25,6</w:t>
            </w:r>
          </w:p>
        </w:tc>
        <w:tc>
          <w:tcPr>
            <w:tcW w:w="930" w:type="dxa"/>
            <w:tcBorders>
              <w:top w:val="nil"/>
              <w:left w:val="nil"/>
              <w:bottom w:val="nil"/>
              <w:right w:val="nil"/>
            </w:tcBorders>
            <w:vAlign w:val="bottom"/>
          </w:tcPr>
          <w:p w:rsidR="00823743" w:rsidRPr="00D6553A" w:rsidRDefault="00823743" w:rsidP="00DD32DA">
            <w:pPr>
              <w:jc w:val="right"/>
              <w:rPr>
                <w:rFonts w:cs="Arial"/>
                <w:sz w:val="16"/>
                <w:szCs w:val="16"/>
              </w:rPr>
            </w:pPr>
            <w:r w:rsidRPr="00D6553A">
              <w:rPr>
                <w:rFonts w:cs="Arial"/>
                <w:sz w:val="16"/>
                <w:szCs w:val="16"/>
              </w:rPr>
              <w:t>25,0</w:t>
            </w:r>
          </w:p>
        </w:tc>
        <w:tc>
          <w:tcPr>
            <w:tcW w:w="930" w:type="dxa"/>
            <w:tcBorders>
              <w:top w:val="nil"/>
              <w:left w:val="nil"/>
              <w:bottom w:val="nil"/>
              <w:right w:val="single" w:sz="4" w:space="0" w:color="auto"/>
            </w:tcBorders>
            <w:vAlign w:val="bottom"/>
          </w:tcPr>
          <w:p w:rsidR="00823743" w:rsidRPr="00D6553A" w:rsidRDefault="00823743" w:rsidP="00DD32DA">
            <w:pPr>
              <w:jc w:val="right"/>
              <w:rPr>
                <w:rFonts w:cs="Arial"/>
                <w:sz w:val="16"/>
                <w:szCs w:val="16"/>
              </w:rPr>
            </w:pPr>
            <w:r w:rsidRPr="00D6553A">
              <w:rPr>
                <w:rFonts w:cs="Arial"/>
                <w:sz w:val="16"/>
                <w:szCs w:val="16"/>
              </w:rPr>
              <w:t>25,0</w:t>
            </w:r>
          </w:p>
        </w:tc>
        <w:tc>
          <w:tcPr>
            <w:tcW w:w="930" w:type="dxa"/>
            <w:tcBorders>
              <w:top w:val="nil"/>
              <w:left w:val="single" w:sz="4" w:space="0" w:color="auto"/>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25,2</w:t>
            </w:r>
          </w:p>
        </w:tc>
        <w:tc>
          <w:tcPr>
            <w:tcW w:w="929" w:type="dxa"/>
            <w:tcBorders>
              <w:top w:val="nil"/>
              <w:left w:val="nil"/>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23,4</w:t>
            </w:r>
          </w:p>
        </w:tc>
        <w:tc>
          <w:tcPr>
            <w:tcW w:w="930" w:type="dxa"/>
            <w:tcBorders>
              <w:top w:val="nil"/>
              <w:left w:val="nil"/>
              <w:bottom w:val="nil"/>
              <w:right w:val="single" w:sz="4" w:space="0" w:color="auto"/>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22,8</w:t>
            </w:r>
          </w:p>
        </w:tc>
        <w:tc>
          <w:tcPr>
            <w:tcW w:w="930" w:type="dxa"/>
            <w:tcBorders>
              <w:top w:val="nil"/>
              <w:left w:val="single" w:sz="4" w:space="0" w:color="auto"/>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16,8</w:t>
            </w:r>
          </w:p>
        </w:tc>
        <w:tc>
          <w:tcPr>
            <w:tcW w:w="930" w:type="dxa"/>
            <w:tcBorders>
              <w:top w:val="nil"/>
              <w:left w:val="nil"/>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17,4</w:t>
            </w:r>
          </w:p>
        </w:tc>
        <w:tc>
          <w:tcPr>
            <w:tcW w:w="930" w:type="dxa"/>
            <w:tcBorders>
              <w:top w:val="nil"/>
              <w:left w:val="nil"/>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17,9</w:t>
            </w:r>
          </w:p>
        </w:tc>
      </w:tr>
      <w:tr w:rsidR="00823743" w:rsidRPr="00D6553A" w:rsidTr="00DD32DA">
        <w:trPr>
          <w:trHeight w:val="255"/>
        </w:trPr>
        <w:tc>
          <w:tcPr>
            <w:tcW w:w="1271" w:type="dxa"/>
            <w:tcBorders>
              <w:top w:val="nil"/>
              <w:left w:val="nil"/>
              <w:bottom w:val="nil"/>
              <w:right w:val="nil"/>
            </w:tcBorders>
            <w:noWrap/>
            <w:vAlign w:val="bottom"/>
          </w:tcPr>
          <w:p w:rsidR="00823743" w:rsidRPr="00D6553A" w:rsidRDefault="00823743" w:rsidP="00DD32DA">
            <w:pPr>
              <w:jc w:val="center"/>
              <w:rPr>
                <w:rFonts w:eastAsia="Arial Unicode MS" w:cs="Arial"/>
                <w:sz w:val="16"/>
                <w:szCs w:val="16"/>
              </w:rPr>
            </w:pPr>
            <w:r w:rsidRPr="00D6553A">
              <w:rPr>
                <w:rFonts w:cs="Arial"/>
                <w:sz w:val="16"/>
                <w:szCs w:val="16"/>
              </w:rPr>
              <w:t>2</w:t>
            </w:r>
          </w:p>
        </w:tc>
        <w:tc>
          <w:tcPr>
            <w:tcW w:w="929" w:type="dxa"/>
            <w:tcBorders>
              <w:top w:val="nil"/>
              <w:left w:val="single" w:sz="4" w:space="0" w:color="auto"/>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11,8</w:t>
            </w:r>
          </w:p>
        </w:tc>
        <w:tc>
          <w:tcPr>
            <w:tcW w:w="930" w:type="dxa"/>
            <w:tcBorders>
              <w:top w:val="nil"/>
              <w:left w:val="nil"/>
              <w:bottom w:val="nil"/>
              <w:right w:val="nil"/>
            </w:tcBorders>
            <w:vAlign w:val="bottom"/>
          </w:tcPr>
          <w:p w:rsidR="00823743" w:rsidRPr="00D6553A" w:rsidRDefault="00823743" w:rsidP="00DD32DA">
            <w:pPr>
              <w:jc w:val="right"/>
              <w:rPr>
                <w:rFonts w:cs="Arial"/>
                <w:sz w:val="16"/>
                <w:szCs w:val="16"/>
              </w:rPr>
            </w:pPr>
            <w:r w:rsidRPr="00D6553A">
              <w:rPr>
                <w:rFonts w:cs="Arial"/>
                <w:sz w:val="16"/>
                <w:szCs w:val="16"/>
              </w:rPr>
              <w:t>10,3</w:t>
            </w:r>
          </w:p>
        </w:tc>
        <w:tc>
          <w:tcPr>
            <w:tcW w:w="930" w:type="dxa"/>
            <w:tcBorders>
              <w:top w:val="nil"/>
              <w:left w:val="nil"/>
              <w:bottom w:val="nil"/>
              <w:right w:val="single" w:sz="4" w:space="0" w:color="auto"/>
            </w:tcBorders>
            <w:vAlign w:val="bottom"/>
          </w:tcPr>
          <w:p w:rsidR="00823743" w:rsidRPr="00D6553A" w:rsidRDefault="00823743" w:rsidP="00DD32DA">
            <w:pPr>
              <w:jc w:val="right"/>
              <w:rPr>
                <w:rFonts w:cs="Arial"/>
                <w:sz w:val="16"/>
                <w:szCs w:val="16"/>
              </w:rPr>
            </w:pPr>
            <w:r w:rsidRPr="00D6553A">
              <w:rPr>
                <w:rFonts w:cs="Arial"/>
                <w:sz w:val="16"/>
                <w:szCs w:val="16"/>
              </w:rPr>
              <w:t>10,2</w:t>
            </w:r>
          </w:p>
        </w:tc>
        <w:tc>
          <w:tcPr>
            <w:tcW w:w="930" w:type="dxa"/>
            <w:tcBorders>
              <w:top w:val="nil"/>
              <w:left w:val="single" w:sz="4" w:space="0" w:color="auto"/>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10,7</w:t>
            </w:r>
          </w:p>
        </w:tc>
        <w:tc>
          <w:tcPr>
            <w:tcW w:w="929" w:type="dxa"/>
            <w:tcBorders>
              <w:top w:val="nil"/>
              <w:left w:val="nil"/>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8,7</w:t>
            </w:r>
          </w:p>
        </w:tc>
        <w:tc>
          <w:tcPr>
            <w:tcW w:w="930" w:type="dxa"/>
            <w:tcBorders>
              <w:top w:val="nil"/>
              <w:left w:val="nil"/>
              <w:bottom w:val="nil"/>
              <w:right w:val="single" w:sz="4" w:space="0" w:color="auto"/>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8,0</w:t>
            </w:r>
          </w:p>
        </w:tc>
        <w:tc>
          <w:tcPr>
            <w:tcW w:w="930" w:type="dxa"/>
            <w:tcBorders>
              <w:top w:val="nil"/>
              <w:left w:val="single" w:sz="4" w:space="0" w:color="auto"/>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3,9</w:t>
            </w:r>
          </w:p>
        </w:tc>
        <w:tc>
          <w:tcPr>
            <w:tcW w:w="930" w:type="dxa"/>
            <w:tcBorders>
              <w:top w:val="nil"/>
              <w:left w:val="nil"/>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4,3</w:t>
            </w:r>
          </w:p>
        </w:tc>
        <w:tc>
          <w:tcPr>
            <w:tcW w:w="930" w:type="dxa"/>
            <w:tcBorders>
              <w:top w:val="nil"/>
              <w:left w:val="nil"/>
              <w:bottom w:val="nil"/>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4,9</w:t>
            </w:r>
          </w:p>
        </w:tc>
      </w:tr>
      <w:tr w:rsidR="00823743" w:rsidRPr="00D6553A" w:rsidTr="00DD32DA">
        <w:trPr>
          <w:trHeight w:val="255"/>
        </w:trPr>
        <w:tc>
          <w:tcPr>
            <w:tcW w:w="1271" w:type="dxa"/>
            <w:tcBorders>
              <w:top w:val="nil"/>
              <w:left w:val="nil"/>
              <w:bottom w:val="single" w:sz="4" w:space="0" w:color="auto"/>
              <w:right w:val="nil"/>
            </w:tcBorders>
            <w:noWrap/>
            <w:vAlign w:val="bottom"/>
          </w:tcPr>
          <w:p w:rsidR="00823743" w:rsidRPr="00D6553A" w:rsidRDefault="00823743" w:rsidP="00DD32DA">
            <w:pPr>
              <w:jc w:val="center"/>
              <w:rPr>
                <w:rFonts w:eastAsia="Arial Unicode MS" w:cs="Arial"/>
                <w:sz w:val="16"/>
                <w:szCs w:val="16"/>
              </w:rPr>
            </w:pPr>
            <w:r w:rsidRPr="00D6553A">
              <w:rPr>
                <w:rFonts w:cs="Arial"/>
                <w:sz w:val="16"/>
                <w:szCs w:val="16"/>
              </w:rPr>
              <w:t>3+</w:t>
            </w:r>
          </w:p>
        </w:tc>
        <w:tc>
          <w:tcPr>
            <w:tcW w:w="929" w:type="dxa"/>
            <w:tcBorders>
              <w:top w:val="nil"/>
              <w:left w:val="single" w:sz="4" w:space="0" w:color="auto"/>
              <w:bottom w:val="single" w:sz="4" w:space="0" w:color="auto"/>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8,7</w:t>
            </w:r>
          </w:p>
        </w:tc>
        <w:tc>
          <w:tcPr>
            <w:tcW w:w="930" w:type="dxa"/>
            <w:tcBorders>
              <w:top w:val="nil"/>
              <w:left w:val="nil"/>
              <w:bottom w:val="single" w:sz="4" w:space="0" w:color="auto"/>
              <w:right w:val="nil"/>
            </w:tcBorders>
            <w:vAlign w:val="bottom"/>
          </w:tcPr>
          <w:p w:rsidR="00823743" w:rsidRPr="00D6553A" w:rsidRDefault="00823743" w:rsidP="00DD32DA">
            <w:pPr>
              <w:jc w:val="right"/>
              <w:rPr>
                <w:rFonts w:cs="Arial"/>
                <w:sz w:val="16"/>
                <w:szCs w:val="16"/>
              </w:rPr>
            </w:pPr>
            <w:r w:rsidRPr="00D6553A">
              <w:rPr>
                <w:rFonts w:cs="Arial"/>
                <w:sz w:val="16"/>
                <w:szCs w:val="16"/>
              </w:rPr>
              <w:t>7,2</w:t>
            </w:r>
          </w:p>
        </w:tc>
        <w:tc>
          <w:tcPr>
            <w:tcW w:w="930" w:type="dxa"/>
            <w:tcBorders>
              <w:top w:val="nil"/>
              <w:left w:val="nil"/>
              <w:bottom w:val="single" w:sz="4" w:space="0" w:color="auto"/>
              <w:right w:val="single" w:sz="4" w:space="0" w:color="auto"/>
            </w:tcBorders>
            <w:vAlign w:val="bottom"/>
          </w:tcPr>
          <w:p w:rsidR="00823743" w:rsidRPr="00D6553A" w:rsidRDefault="00823743" w:rsidP="00DD32DA">
            <w:pPr>
              <w:jc w:val="right"/>
              <w:rPr>
                <w:rFonts w:cs="Arial"/>
                <w:sz w:val="16"/>
                <w:szCs w:val="16"/>
              </w:rPr>
            </w:pPr>
            <w:r w:rsidRPr="00D6553A">
              <w:rPr>
                <w:rFonts w:cs="Arial"/>
                <w:sz w:val="16"/>
                <w:szCs w:val="16"/>
              </w:rPr>
              <w:t>6,4</w:t>
            </w:r>
          </w:p>
        </w:tc>
        <w:tc>
          <w:tcPr>
            <w:tcW w:w="930" w:type="dxa"/>
            <w:tcBorders>
              <w:top w:val="nil"/>
              <w:left w:val="single" w:sz="4" w:space="0" w:color="auto"/>
              <w:bottom w:val="single" w:sz="4" w:space="0" w:color="auto"/>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6,8</w:t>
            </w:r>
          </w:p>
        </w:tc>
        <w:tc>
          <w:tcPr>
            <w:tcW w:w="929" w:type="dxa"/>
            <w:tcBorders>
              <w:top w:val="nil"/>
              <w:left w:val="nil"/>
              <w:bottom w:val="single" w:sz="4" w:space="0" w:color="auto"/>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5,6</w:t>
            </w:r>
          </w:p>
        </w:tc>
        <w:tc>
          <w:tcPr>
            <w:tcW w:w="930" w:type="dxa"/>
            <w:tcBorders>
              <w:top w:val="nil"/>
              <w:left w:val="nil"/>
              <w:bottom w:val="single" w:sz="4" w:space="0" w:color="auto"/>
              <w:right w:val="single" w:sz="4" w:space="0" w:color="auto"/>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4,4</w:t>
            </w:r>
          </w:p>
        </w:tc>
        <w:tc>
          <w:tcPr>
            <w:tcW w:w="930" w:type="dxa"/>
            <w:tcBorders>
              <w:top w:val="nil"/>
              <w:left w:val="single" w:sz="4" w:space="0" w:color="auto"/>
              <w:bottom w:val="single" w:sz="4" w:space="0" w:color="auto"/>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1,9</w:t>
            </w:r>
          </w:p>
        </w:tc>
        <w:tc>
          <w:tcPr>
            <w:tcW w:w="930" w:type="dxa"/>
            <w:tcBorders>
              <w:top w:val="nil"/>
              <w:left w:val="nil"/>
              <w:bottom w:val="single" w:sz="4" w:space="0" w:color="auto"/>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1,8</w:t>
            </w:r>
          </w:p>
        </w:tc>
        <w:tc>
          <w:tcPr>
            <w:tcW w:w="930" w:type="dxa"/>
            <w:tcBorders>
              <w:top w:val="nil"/>
              <w:left w:val="nil"/>
              <w:bottom w:val="single" w:sz="4" w:space="0" w:color="auto"/>
              <w:right w:val="nil"/>
            </w:tcBorders>
            <w:noWrap/>
            <w:tcMar>
              <w:right w:w="142" w:type="dxa"/>
            </w:tcMar>
            <w:vAlign w:val="bottom"/>
          </w:tcPr>
          <w:p w:rsidR="00823743" w:rsidRPr="00D6553A" w:rsidRDefault="00823743" w:rsidP="00DD32DA">
            <w:pPr>
              <w:jc w:val="right"/>
              <w:rPr>
                <w:rFonts w:cs="Arial"/>
                <w:sz w:val="16"/>
                <w:szCs w:val="16"/>
              </w:rPr>
            </w:pPr>
            <w:r w:rsidRPr="00D6553A">
              <w:rPr>
                <w:rFonts w:cs="Arial"/>
                <w:sz w:val="16"/>
                <w:szCs w:val="16"/>
              </w:rPr>
              <w:t>2,3</w:t>
            </w:r>
          </w:p>
        </w:tc>
      </w:tr>
    </w:tbl>
    <w:p w:rsidR="00823743" w:rsidRDefault="00823743" w:rsidP="00823743">
      <w:pPr>
        <w:spacing w:after="60"/>
      </w:pPr>
    </w:p>
    <w:p w:rsidR="00DE11F3" w:rsidRDefault="00024EED" w:rsidP="008A074F">
      <w:r>
        <w:t xml:space="preserve">Nejvyšší ukončené vzdělání je důležitou diferenční charakteristikou, která vymezuje </w:t>
      </w:r>
      <w:proofErr w:type="spellStart"/>
      <w:r>
        <w:t>subpopulace</w:t>
      </w:r>
      <w:proofErr w:type="spellEnd"/>
      <w:r>
        <w:t xml:space="preserve"> s</w:t>
      </w:r>
      <w:r w:rsidR="00316AC2">
        <w:t> </w:t>
      </w:r>
      <w:r>
        <w:t xml:space="preserve">odlišným </w:t>
      </w:r>
      <w:r w:rsidR="0097670E">
        <w:t>reprodukčním chováním i přístupem</w:t>
      </w:r>
      <w:r>
        <w:t xml:space="preserve"> </w:t>
      </w:r>
      <w:r w:rsidR="0048760A">
        <w:t>k indukovaným</w:t>
      </w:r>
      <w:r>
        <w:t xml:space="preserve"> potratům. </w:t>
      </w:r>
      <w:r w:rsidR="0097670E">
        <w:t>Ukazuje se</w:t>
      </w:r>
      <w:r>
        <w:t>, že s</w:t>
      </w:r>
      <w:r w:rsidR="00316AC2">
        <w:t> </w:t>
      </w:r>
      <w:r>
        <w:t xml:space="preserve">rostoucí úrovní vzdělání klesá podíl UPT ze všech potratů. </w:t>
      </w:r>
      <w:r w:rsidR="005539B5">
        <w:t xml:space="preserve">U vysokoškolsky vzdělaných žen </w:t>
      </w:r>
      <w:r w:rsidR="00025AF5">
        <w:t xml:space="preserve">byl </w:t>
      </w:r>
      <w:r w:rsidR="00DC0E64">
        <w:t xml:space="preserve">v roce 2014 </w:t>
      </w:r>
      <w:r w:rsidR="00025AF5">
        <w:t xml:space="preserve">podíl UPT </w:t>
      </w:r>
      <w:r w:rsidR="00D62DDD">
        <w:t>47,0 </w:t>
      </w:r>
      <w:r w:rsidR="005539B5">
        <w:t>%</w:t>
      </w:r>
      <w:r w:rsidR="00025AF5">
        <w:t>, v</w:t>
      </w:r>
      <w:r w:rsidR="00316AC2">
        <w:t> </w:t>
      </w:r>
      <w:r w:rsidR="005539B5">
        <w:t xml:space="preserve">případě středoškolsky vzdělaných </w:t>
      </w:r>
      <w:r w:rsidR="0097670E">
        <w:t xml:space="preserve">žen </w:t>
      </w:r>
      <w:r w:rsidR="005539B5">
        <w:t xml:space="preserve">zastoupení </w:t>
      </w:r>
      <w:r w:rsidR="0097670E">
        <w:t xml:space="preserve">UPT </w:t>
      </w:r>
      <w:r w:rsidR="005539B5">
        <w:t>překročilo 60</w:t>
      </w:r>
      <w:r w:rsidR="00316AC2">
        <w:t> </w:t>
      </w:r>
      <w:r w:rsidR="005539B5">
        <w:t>%</w:t>
      </w:r>
      <w:r w:rsidR="00025AF5">
        <w:t xml:space="preserve"> (u </w:t>
      </w:r>
      <w:r w:rsidR="0097670E">
        <w:t>žen s úplným střední</w:t>
      </w:r>
      <w:r w:rsidR="00D62DDD">
        <w:t>m odborným vzděláním šlo o</w:t>
      </w:r>
      <w:r w:rsidR="00316AC2">
        <w:t> </w:t>
      </w:r>
      <w:r w:rsidR="00D62DDD">
        <w:t>61,9 </w:t>
      </w:r>
      <w:r w:rsidR="0097670E">
        <w:t xml:space="preserve">%, u žen se středním odborným vzděláním </w:t>
      </w:r>
      <w:r w:rsidR="00025AF5">
        <w:t xml:space="preserve">dokonce </w:t>
      </w:r>
      <w:r w:rsidR="0097670E">
        <w:t>o</w:t>
      </w:r>
      <w:r w:rsidR="00316AC2">
        <w:t> </w:t>
      </w:r>
      <w:r w:rsidR="0097670E">
        <w:t>66,3</w:t>
      </w:r>
      <w:r w:rsidR="00D62DDD">
        <w:t> </w:t>
      </w:r>
      <w:r w:rsidR="0097670E">
        <w:t>%</w:t>
      </w:r>
      <w:r w:rsidR="00025AF5">
        <w:t xml:space="preserve">) a </w:t>
      </w:r>
      <w:r w:rsidR="00F76AC7">
        <w:t>n</w:t>
      </w:r>
      <w:r w:rsidR="0097670E">
        <w:t>ejvýše dosahoval podíl UPT u žen s nejnižší úrovní vzdělání (základní vč. neukončeného)</w:t>
      </w:r>
      <w:r w:rsidR="00D62DDD">
        <w:t>, a sice 77,3 </w:t>
      </w:r>
      <w:r w:rsidR="00025AF5">
        <w:t>%</w:t>
      </w:r>
      <w:r w:rsidR="00CA0E6F">
        <w:t>.</w:t>
      </w:r>
      <w:r w:rsidR="0097670E">
        <w:t xml:space="preserve"> Za poslední</w:t>
      </w:r>
      <w:r w:rsidR="00F26AF7">
        <w:t xml:space="preserve"> dekádu podíl indukovaných potratů klesal rychleji u skupin žen s</w:t>
      </w:r>
      <w:r w:rsidR="00316AC2">
        <w:t> </w:t>
      </w:r>
      <w:r w:rsidR="00F26AF7">
        <w:t>dvěma nejvyšší</w:t>
      </w:r>
      <w:r w:rsidR="0097670E">
        <w:t>mi</w:t>
      </w:r>
      <w:r w:rsidR="00F26AF7">
        <w:t xml:space="preserve"> stupni vzdělání, zatímco u žen s</w:t>
      </w:r>
      <w:r w:rsidR="00316AC2">
        <w:t> </w:t>
      </w:r>
      <w:r w:rsidR="00F26AF7">
        <w:t>nižší úrovní vzdělání byl pokles mírnější.</w:t>
      </w:r>
      <w:r w:rsidR="007E0C68">
        <w:t xml:space="preserve"> Nej</w:t>
      </w:r>
      <w:r w:rsidR="00946F0D">
        <w:t>četnější</w:t>
      </w:r>
      <w:r w:rsidR="007E0C68">
        <w:t xml:space="preserve"> skupinou z pohledu absolutního počtu UPT byly ženy s</w:t>
      </w:r>
      <w:r w:rsidR="00316AC2">
        <w:t> </w:t>
      </w:r>
      <w:r w:rsidR="007E0C68">
        <w:t>úplným středním odborným a všeobecným vzdělá</w:t>
      </w:r>
      <w:r w:rsidR="00D62DDD">
        <w:t>ním (7 </w:t>
      </w:r>
      <w:r w:rsidR="0097670E">
        <w:t>720 případů v</w:t>
      </w:r>
      <w:r w:rsidR="00316AC2">
        <w:t> </w:t>
      </w:r>
      <w:r w:rsidR="0097670E">
        <w:t>roce 2014)</w:t>
      </w:r>
      <w:r w:rsidR="0048760A">
        <w:t xml:space="preserve">. </w:t>
      </w:r>
      <w:r w:rsidR="00316AC2">
        <w:t>J</w:t>
      </w:r>
      <w:r w:rsidR="007E0C68">
        <w:t xml:space="preserve">edinou </w:t>
      </w:r>
      <w:proofErr w:type="spellStart"/>
      <w:r w:rsidR="007E0C68">
        <w:t>subpopulaci</w:t>
      </w:r>
      <w:proofErr w:type="spellEnd"/>
      <w:r w:rsidR="00520CF2">
        <w:t xml:space="preserve"> žen</w:t>
      </w:r>
      <w:r w:rsidR="007E0C68">
        <w:t xml:space="preserve"> se zjištěným vzděláním, </w:t>
      </w:r>
      <w:r w:rsidR="00DC0E64">
        <w:t xml:space="preserve">u </w:t>
      </w:r>
      <w:r w:rsidR="007E0C68">
        <w:t>kter</w:t>
      </w:r>
      <w:r w:rsidR="00DC0E64">
        <w:t>é</w:t>
      </w:r>
      <w:r w:rsidR="007E0C68">
        <w:t xml:space="preserve"> v posledních deseti lete</w:t>
      </w:r>
      <w:r w:rsidR="00520CF2">
        <w:t>ch r</w:t>
      </w:r>
      <w:r w:rsidR="00DC0E64">
        <w:t>o</w:t>
      </w:r>
      <w:r w:rsidR="00520CF2">
        <w:t>st</w:t>
      </w:r>
      <w:r w:rsidR="00DC0E64">
        <w:t>l</w:t>
      </w:r>
      <w:r w:rsidR="00520CF2">
        <w:t xml:space="preserve"> poč</w:t>
      </w:r>
      <w:r w:rsidR="00DC0E64">
        <w:t>e</w:t>
      </w:r>
      <w:r w:rsidR="00520CF2">
        <w:t>t UPT (z 1 536 na 2 </w:t>
      </w:r>
      <w:r w:rsidR="007E0C68">
        <w:t>401)</w:t>
      </w:r>
      <w:r w:rsidR="00520CF2">
        <w:t>, tvořily</w:t>
      </w:r>
      <w:r w:rsidR="00316AC2">
        <w:t xml:space="preserve"> ženy s vysokoškolským vzděláním, jejichž počet v populaci </w:t>
      </w:r>
      <w:r w:rsidR="00DC0E64">
        <w:t>se zvyšuje</w:t>
      </w:r>
      <w:r w:rsidR="00EB22A7">
        <w:t>.</w:t>
      </w:r>
    </w:p>
    <w:p w:rsidR="00051559" w:rsidRDefault="00051559" w:rsidP="008A074F"/>
    <w:p w:rsidR="00243120" w:rsidRDefault="00243120" w:rsidP="0030721B">
      <w:pPr>
        <w:pStyle w:val="Titulek"/>
        <w:spacing w:before="0" w:after="60"/>
      </w:pPr>
      <w:r>
        <w:t xml:space="preserve">Tab. </w:t>
      </w:r>
      <w:r w:rsidR="00351243">
        <w:fldChar w:fldCharType="begin"/>
      </w:r>
      <w:r w:rsidR="00F1645B">
        <w:instrText xml:space="preserve"> STYLEREF 1 \s </w:instrText>
      </w:r>
      <w:r w:rsidR="00351243">
        <w:fldChar w:fldCharType="separate"/>
      </w:r>
      <w:r>
        <w:rPr>
          <w:noProof/>
        </w:rPr>
        <w:t>5</w:t>
      </w:r>
      <w:r w:rsidR="00351243">
        <w:fldChar w:fldCharType="end"/>
      </w:r>
      <w:r>
        <w:t>.</w:t>
      </w:r>
      <w:r w:rsidR="00C22510">
        <w:t>3</w:t>
      </w:r>
      <w:r>
        <w:t xml:space="preserve"> Podíl UPT na celkovém počtu potratů podle vzdělání* ženy (%), </w:t>
      </w:r>
      <w:r w:rsidR="00F97057">
        <w:t>2004–2014</w:t>
      </w:r>
    </w:p>
    <w:tbl>
      <w:tblPr>
        <w:tblW w:w="9639" w:type="dxa"/>
        <w:tblLayout w:type="fixed"/>
        <w:tblCellMar>
          <w:left w:w="0" w:type="dxa"/>
          <w:right w:w="0" w:type="dxa"/>
        </w:tblCellMar>
        <w:tblLook w:val="0000"/>
      </w:tblPr>
      <w:tblGrid>
        <w:gridCol w:w="3116"/>
        <w:gridCol w:w="912"/>
        <w:gridCol w:w="936"/>
        <w:gridCol w:w="935"/>
        <w:gridCol w:w="935"/>
        <w:gridCol w:w="935"/>
        <w:gridCol w:w="935"/>
        <w:gridCol w:w="935"/>
      </w:tblGrid>
      <w:tr w:rsidR="00F97057" w:rsidTr="00937F9E">
        <w:trPr>
          <w:trHeight w:val="255"/>
        </w:trPr>
        <w:tc>
          <w:tcPr>
            <w:tcW w:w="3116" w:type="dxa"/>
            <w:tcBorders>
              <w:top w:val="single" w:sz="4" w:space="0" w:color="auto"/>
              <w:left w:val="nil"/>
              <w:bottom w:val="single" w:sz="4" w:space="0" w:color="auto"/>
              <w:right w:val="single" w:sz="4" w:space="0" w:color="auto"/>
            </w:tcBorders>
            <w:noWrap/>
            <w:vAlign w:val="bottom"/>
          </w:tcPr>
          <w:p w:rsidR="00F97057" w:rsidRDefault="00F97057">
            <w:pPr>
              <w:rPr>
                <w:rFonts w:eastAsia="Arial Unicode MS" w:cs="Arial"/>
                <w:b/>
                <w:bCs/>
                <w:sz w:val="16"/>
                <w:szCs w:val="16"/>
              </w:rPr>
            </w:pPr>
            <w:r>
              <w:rPr>
                <w:rFonts w:cs="Arial"/>
                <w:b/>
                <w:bCs/>
                <w:sz w:val="16"/>
                <w:szCs w:val="16"/>
              </w:rPr>
              <w:t>Vzdělání ženy</w:t>
            </w:r>
          </w:p>
        </w:tc>
        <w:tc>
          <w:tcPr>
            <w:tcW w:w="912" w:type="dxa"/>
            <w:tcBorders>
              <w:top w:val="single" w:sz="4" w:space="0" w:color="auto"/>
              <w:left w:val="nil"/>
              <w:bottom w:val="single" w:sz="4" w:space="0" w:color="auto"/>
              <w:right w:val="nil"/>
            </w:tcBorders>
            <w:noWrap/>
            <w:tcMar>
              <w:right w:w="142" w:type="dxa"/>
            </w:tcMar>
            <w:vAlign w:val="bottom"/>
          </w:tcPr>
          <w:p w:rsidR="00F97057" w:rsidRDefault="00F97057">
            <w:pPr>
              <w:jc w:val="right"/>
              <w:rPr>
                <w:rFonts w:cs="Arial"/>
                <w:b/>
                <w:bCs/>
                <w:sz w:val="16"/>
                <w:szCs w:val="16"/>
              </w:rPr>
            </w:pPr>
            <w:r>
              <w:rPr>
                <w:rFonts w:cs="Arial"/>
                <w:b/>
                <w:bCs/>
                <w:sz w:val="16"/>
                <w:szCs w:val="16"/>
              </w:rPr>
              <w:t>2004</w:t>
            </w:r>
          </w:p>
        </w:tc>
        <w:tc>
          <w:tcPr>
            <w:tcW w:w="936" w:type="dxa"/>
            <w:tcBorders>
              <w:top w:val="single" w:sz="4" w:space="0" w:color="auto"/>
              <w:left w:val="nil"/>
              <w:bottom w:val="single" w:sz="4" w:space="0" w:color="auto"/>
              <w:right w:val="nil"/>
            </w:tcBorders>
            <w:noWrap/>
            <w:tcMar>
              <w:right w:w="142" w:type="dxa"/>
            </w:tcMar>
            <w:vAlign w:val="bottom"/>
          </w:tcPr>
          <w:p w:rsidR="00F97057" w:rsidRDefault="00F97057">
            <w:pPr>
              <w:jc w:val="right"/>
              <w:rPr>
                <w:rFonts w:cs="Arial"/>
                <w:b/>
                <w:bCs/>
                <w:sz w:val="16"/>
                <w:szCs w:val="16"/>
              </w:rPr>
            </w:pPr>
            <w:r>
              <w:rPr>
                <w:rFonts w:cs="Arial"/>
                <w:b/>
                <w:bCs/>
                <w:sz w:val="16"/>
                <w:szCs w:val="16"/>
              </w:rPr>
              <w:t>200</w:t>
            </w:r>
            <w:r w:rsidR="00946F0D">
              <w:rPr>
                <w:rFonts w:cs="Arial"/>
                <w:b/>
                <w:bCs/>
                <w:sz w:val="16"/>
                <w:szCs w:val="16"/>
              </w:rPr>
              <w:t>9</w:t>
            </w:r>
          </w:p>
        </w:tc>
        <w:tc>
          <w:tcPr>
            <w:tcW w:w="935" w:type="dxa"/>
            <w:tcBorders>
              <w:top w:val="single" w:sz="4" w:space="0" w:color="auto"/>
              <w:left w:val="nil"/>
              <w:bottom w:val="single" w:sz="4" w:space="0" w:color="auto"/>
              <w:right w:val="nil"/>
            </w:tcBorders>
            <w:noWrap/>
            <w:tcMar>
              <w:right w:w="142" w:type="dxa"/>
            </w:tcMar>
            <w:vAlign w:val="bottom"/>
          </w:tcPr>
          <w:p w:rsidR="00F97057" w:rsidRDefault="00F97057">
            <w:pPr>
              <w:jc w:val="right"/>
              <w:rPr>
                <w:rFonts w:cs="Arial"/>
                <w:b/>
                <w:bCs/>
                <w:sz w:val="16"/>
                <w:szCs w:val="16"/>
              </w:rPr>
            </w:pPr>
            <w:r>
              <w:rPr>
                <w:rFonts w:cs="Arial"/>
                <w:b/>
                <w:bCs/>
                <w:sz w:val="16"/>
                <w:szCs w:val="16"/>
              </w:rPr>
              <w:t>2010</w:t>
            </w:r>
          </w:p>
        </w:tc>
        <w:tc>
          <w:tcPr>
            <w:tcW w:w="935" w:type="dxa"/>
            <w:tcBorders>
              <w:top w:val="single" w:sz="4" w:space="0" w:color="auto"/>
              <w:left w:val="nil"/>
              <w:bottom w:val="single" w:sz="4" w:space="0" w:color="auto"/>
              <w:right w:val="nil"/>
            </w:tcBorders>
            <w:noWrap/>
            <w:tcMar>
              <w:right w:w="142" w:type="dxa"/>
            </w:tcMar>
            <w:vAlign w:val="bottom"/>
          </w:tcPr>
          <w:p w:rsidR="00F97057" w:rsidRDefault="00F97057">
            <w:pPr>
              <w:jc w:val="right"/>
              <w:rPr>
                <w:rFonts w:cs="Arial"/>
                <w:b/>
                <w:bCs/>
                <w:sz w:val="16"/>
                <w:szCs w:val="16"/>
              </w:rPr>
            </w:pPr>
            <w:r>
              <w:rPr>
                <w:rFonts w:cs="Arial"/>
                <w:b/>
                <w:bCs/>
                <w:sz w:val="16"/>
                <w:szCs w:val="16"/>
              </w:rPr>
              <w:t>2011</w:t>
            </w:r>
          </w:p>
        </w:tc>
        <w:tc>
          <w:tcPr>
            <w:tcW w:w="935" w:type="dxa"/>
            <w:tcBorders>
              <w:top w:val="single" w:sz="4" w:space="0" w:color="auto"/>
              <w:left w:val="nil"/>
              <w:bottom w:val="single" w:sz="4" w:space="0" w:color="auto"/>
              <w:right w:val="nil"/>
            </w:tcBorders>
            <w:noWrap/>
            <w:tcMar>
              <w:right w:w="142" w:type="dxa"/>
            </w:tcMar>
            <w:vAlign w:val="bottom"/>
          </w:tcPr>
          <w:p w:rsidR="00F97057" w:rsidRDefault="00F97057">
            <w:pPr>
              <w:jc w:val="right"/>
              <w:rPr>
                <w:rFonts w:cs="Arial"/>
                <w:b/>
                <w:bCs/>
                <w:sz w:val="16"/>
                <w:szCs w:val="16"/>
              </w:rPr>
            </w:pPr>
            <w:r>
              <w:rPr>
                <w:rFonts w:cs="Arial"/>
                <w:b/>
                <w:bCs/>
                <w:sz w:val="16"/>
                <w:szCs w:val="16"/>
              </w:rPr>
              <w:t>2012</w:t>
            </w:r>
          </w:p>
        </w:tc>
        <w:tc>
          <w:tcPr>
            <w:tcW w:w="935" w:type="dxa"/>
            <w:tcBorders>
              <w:top w:val="single" w:sz="4" w:space="0" w:color="auto"/>
              <w:left w:val="nil"/>
              <w:bottom w:val="single" w:sz="4" w:space="0" w:color="auto"/>
              <w:right w:val="nil"/>
            </w:tcBorders>
            <w:noWrap/>
            <w:tcMar>
              <w:right w:w="142" w:type="dxa"/>
            </w:tcMar>
            <w:vAlign w:val="bottom"/>
          </w:tcPr>
          <w:p w:rsidR="00F97057" w:rsidRDefault="00F97057">
            <w:pPr>
              <w:jc w:val="right"/>
              <w:rPr>
                <w:rFonts w:cs="Arial"/>
                <w:b/>
                <w:bCs/>
                <w:sz w:val="16"/>
                <w:szCs w:val="16"/>
              </w:rPr>
            </w:pPr>
            <w:r>
              <w:rPr>
                <w:rFonts w:cs="Arial"/>
                <w:b/>
                <w:bCs/>
                <w:sz w:val="16"/>
                <w:szCs w:val="16"/>
              </w:rPr>
              <w:t>2013</w:t>
            </w:r>
          </w:p>
        </w:tc>
        <w:tc>
          <w:tcPr>
            <w:tcW w:w="935" w:type="dxa"/>
            <w:tcBorders>
              <w:top w:val="single" w:sz="4" w:space="0" w:color="auto"/>
              <w:left w:val="nil"/>
              <w:bottom w:val="single" w:sz="4" w:space="0" w:color="auto"/>
              <w:right w:val="nil"/>
            </w:tcBorders>
            <w:noWrap/>
            <w:tcMar>
              <w:right w:w="142" w:type="dxa"/>
            </w:tcMar>
            <w:vAlign w:val="bottom"/>
          </w:tcPr>
          <w:p w:rsidR="00F97057" w:rsidRDefault="00F97057">
            <w:pPr>
              <w:jc w:val="right"/>
              <w:rPr>
                <w:rFonts w:cs="Arial"/>
                <w:b/>
                <w:bCs/>
                <w:sz w:val="16"/>
                <w:szCs w:val="16"/>
              </w:rPr>
            </w:pPr>
            <w:r>
              <w:rPr>
                <w:rFonts w:cs="Arial"/>
                <w:b/>
                <w:bCs/>
                <w:sz w:val="16"/>
                <w:szCs w:val="16"/>
              </w:rPr>
              <w:t>2014</w:t>
            </w:r>
          </w:p>
        </w:tc>
      </w:tr>
      <w:tr w:rsidR="00946F0D" w:rsidTr="00937F9E">
        <w:trPr>
          <w:trHeight w:val="255"/>
        </w:trPr>
        <w:tc>
          <w:tcPr>
            <w:tcW w:w="3116" w:type="dxa"/>
            <w:tcBorders>
              <w:top w:val="nil"/>
              <w:left w:val="nil"/>
              <w:bottom w:val="nil"/>
              <w:right w:val="single" w:sz="4" w:space="0" w:color="auto"/>
            </w:tcBorders>
            <w:noWrap/>
            <w:vAlign w:val="bottom"/>
          </w:tcPr>
          <w:p w:rsidR="00946F0D" w:rsidRDefault="00946F0D">
            <w:pPr>
              <w:rPr>
                <w:rFonts w:eastAsia="Arial Unicode MS" w:cs="Arial"/>
                <w:sz w:val="16"/>
                <w:szCs w:val="16"/>
              </w:rPr>
            </w:pPr>
            <w:r>
              <w:rPr>
                <w:rFonts w:cs="Arial"/>
                <w:sz w:val="16"/>
                <w:szCs w:val="16"/>
              </w:rPr>
              <w:t>Základní vč. neukončeného</w:t>
            </w:r>
          </w:p>
        </w:tc>
        <w:tc>
          <w:tcPr>
            <w:tcW w:w="912"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78,1</w:t>
            </w:r>
          </w:p>
        </w:tc>
        <w:tc>
          <w:tcPr>
            <w:tcW w:w="936"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77,6</w:t>
            </w:r>
          </w:p>
        </w:tc>
        <w:tc>
          <w:tcPr>
            <w:tcW w:w="935"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77,8</w:t>
            </w:r>
          </w:p>
        </w:tc>
        <w:tc>
          <w:tcPr>
            <w:tcW w:w="935"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78,4</w:t>
            </w:r>
          </w:p>
        </w:tc>
        <w:tc>
          <w:tcPr>
            <w:tcW w:w="935"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76,9</w:t>
            </w:r>
          </w:p>
        </w:tc>
        <w:tc>
          <w:tcPr>
            <w:tcW w:w="935"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77,7</w:t>
            </w:r>
          </w:p>
        </w:tc>
        <w:tc>
          <w:tcPr>
            <w:tcW w:w="935"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77,3</w:t>
            </w:r>
          </w:p>
        </w:tc>
      </w:tr>
      <w:tr w:rsidR="00946F0D" w:rsidTr="00937F9E">
        <w:trPr>
          <w:trHeight w:val="255"/>
        </w:trPr>
        <w:tc>
          <w:tcPr>
            <w:tcW w:w="3116" w:type="dxa"/>
            <w:tcBorders>
              <w:top w:val="nil"/>
              <w:left w:val="nil"/>
              <w:bottom w:val="nil"/>
              <w:right w:val="single" w:sz="4" w:space="0" w:color="auto"/>
            </w:tcBorders>
            <w:noWrap/>
            <w:vAlign w:val="bottom"/>
          </w:tcPr>
          <w:p w:rsidR="00946F0D" w:rsidRDefault="00946F0D">
            <w:pPr>
              <w:rPr>
                <w:rFonts w:eastAsia="Arial Unicode MS" w:cs="Arial"/>
                <w:sz w:val="16"/>
                <w:szCs w:val="16"/>
              </w:rPr>
            </w:pPr>
            <w:r>
              <w:rPr>
                <w:rFonts w:cs="Arial"/>
                <w:sz w:val="16"/>
                <w:szCs w:val="16"/>
              </w:rPr>
              <w:t>Střední odborné</w:t>
            </w:r>
          </w:p>
        </w:tc>
        <w:tc>
          <w:tcPr>
            <w:tcW w:w="912"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69,8</w:t>
            </w:r>
          </w:p>
        </w:tc>
        <w:tc>
          <w:tcPr>
            <w:tcW w:w="936"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64,1</w:t>
            </w:r>
          </w:p>
        </w:tc>
        <w:tc>
          <w:tcPr>
            <w:tcW w:w="935"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66,2</w:t>
            </w:r>
          </w:p>
        </w:tc>
        <w:tc>
          <w:tcPr>
            <w:tcW w:w="935"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67,9</w:t>
            </w:r>
          </w:p>
        </w:tc>
        <w:tc>
          <w:tcPr>
            <w:tcW w:w="935"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68,0</w:t>
            </w:r>
          </w:p>
        </w:tc>
        <w:tc>
          <w:tcPr>
            <w:tcW w:w="935"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67,2</w:t>
            </w:r>
          </w:p>
        </w:tc>
        <w:tc>
          <w:tcPr>
            <w:tcW w:w="935"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66,3</w:t>
            </w:r>
          </w:p>
        </w:tc>
      </w:tr>
      <w:tr w:rsidR="00946F0D" w:rsidTr="00937F9E">
        <w:trPr>
          <w:trHeight w:val="255"/>
        </w:trPr>
        <w:tc>
          <w:tcPr>
            <w:tcW w:w="3116" w:type="dxa"/>
            <w:tcBorders>
              <w:top w:val="nil"/>
              <w:left w:val="nil"/>
              <w:bottom w:val="nil"/>
              <w:right w:val="single" w:sz="4" w:space="0" w:color="auto"/>
            </w:tcBorders>
            <w:noWrap/>
            <w:vAlign w:val="bottom"/>
          </w:tcPr>
          <w:p w:rsidR="00946F0D" w:rsidRDefault="00946F0D">
            <w:pPr>
              <w:rPr>
                <w:rFonts w:eastAsia="Arial Unicode MS" w:cs="Arial"/>
                <w:sz w:val="16"/>
                <w:szCs w:val="16"/>
              </w:rPr>
            </w:pPr>
            <w:r>
              <w:rPr>
                <w:rFonts w:cs="Arial"/>
                <w:sz w:val="16"/>
                <w:szCs w:val="16"/>
              </w:rPr>
              <w:t>Úplné střední odborné a všeobecné</w:t>
            </w:r>
          </w:p>
        </w:tc>
        <w:tc>
          <w:tcPr>
            <w:tcW w:w="912"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69,8</w:t>
            </w:r>
          </w:p>
        </w:tc>
        <w:tc>
          <w:tcPr>
            <w:tcW w:w="936"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62,2</w:t>
            </w:r>
          </w:p>
        </w:tc>
        <w:tc>
          <w:tcPr>
            <w:tcW w:w="935"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62,9</w:t>
            </w:r>
          </w:p>
        </w:tc>
        <w:tc>
          <w:tcPr>
            <w:tcW w:w="935"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63,9</w:t>
            </w:r>
          </w:p>
        </w:tc>
        <w:tc>
          <w:tcPr>
            <w:tcW w:w="935"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62,6</w:t>
            </w:r>
          </w:p>
        </w:tc>
        <w:tc>
          <w:tcPr>
            <w:tcW w:w="935"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62,8</w:t>
            </w:r>
          </w:p>
        </w:tc>
        <w:tc>
          <w:tcPr>
            <w:tcW w:w="935"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61,9</w:t>
            </w:r>
          </w:p>
        </w:tc>
      </w:tr>
      <w:tr w:rsidR="00946F0D" w:rsidTr="00937F9E">
        <w:trPr>
          <w:trHeight w:val="255"/>
        </w:trPr>
        <w:tc>
          <w:tcPr>
            <w:tcW w:w="3116" w:type="dxa"/>
            <w:tcBorders>
              <w:top w:val="nil"/>
              <w:left w:val="nil"/>
              <w:bottom w:val="nil"/>
              <w:right w:val="single" w:sz="4" w:space="0" w:color="auto"/>
            </w:tcBorders>
            <w:noWrap/>
            <w:vAlign w:val="bottom"/>
          </w:tcPr>
          <w:p w:rsidR="00946F0D" w:rsidRDefault="00946F0D">
            <w:pPr>
              <w:rPr>
                <w:rFonts w:eastAsia="Arial Unicode MS" w:cs="Arial"/>
                <w:sz w:val="16"/>
                <w:szCs w:val="16"/>
              </w:rPr>
            </w:pPr>
            <w:r>
              <w:rPr>
                <w:rFonts w:cs="Arial"/>
                <w:sz w:val="16"/>
                <w:szCs w:val="16"/>
              </w:rPr>
              <w:t>Vysokoškolské</w:t>
            </w:r>
          </w:p>
        </w:tc>
        <w:tc>
          <w:tcPr>
            <w:tcW w:w="912"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53,4</w:t>
            </w:r>
          </w:p>
        </w:tc>
        <w:tc>
          <w:tcPr>
            <w:tcW w:w="936"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48,2</w:t>
            </w:r>
          </w:p>
        </w:tc>
        <w:tc>
          <w:tcPr>
            <w:tcW w:w="935"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48,0</w:t>
            </w:r>
          </w:p>
        </w:tc>
        <w:tc>
          <w:tcPr>
            <w:tcW w:w="935"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48,1</w:t>
            </w:r>
          </w:p>
        </w:tc>
        <w:tc>
          <w:tcPr>
            <w:tcW w:w="935"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48,0</w:t>
            </w:r>
          </w:p>
        </w:tc>
        <w:tc>
          <w:tcPr>
            <w:tcW w:w="935"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46,2</w:t>
            </w:r>
          </w:p>
        </w:tc>
        <w:tc>
          <w:tcPr>
            <w:tcW w:w="935" w:type="dxa"/>
            <w:tcBorders>
              <w:top w:val="nil"/>
              <w:left w:val="nil"/>
              <w:bottom w:val="nil"/>
              <w:right w:val="nil"/>
            </w:tcBorders>
            <w:noWrap/>
            <w:tcMar>
              <w:right w:w="142" w:type="dxa"/>
            </w:tcMar>
            <w:vAlign w:val="bottom"/>
          </w:tcPr>
          <w:p w:rsidR="00946F0D" w:rsidRDefault="00946F0D">
            <w:pPr>
              <w:jc w:val="right"/>
              <w:rPr>
                <w:rFonts w:cs="Arial"/>
                <w:sz w:val="16"/>
                <w:szCs w:val="16"/>
              </w:rPr>
            </w:pPr>
            <w:r>
              <w:rPr>
                <w:rFonts w:cs="Arial"/>
                <w:sz w:val="16"/>
                <w:szCs w:val="16"/>
              </w:rPr>
              <w:t>47,0</w:t>
            </w:r>
          </w:p>
        </w:tc>
      </w:tr>
      <w:tr w:rsidR="00946F0D" w:rsidTr="00C54AEA">
        <w:trPr>
          <w:trHeight w:val="255"/>
        </w:trPr>
        <w:tc>
          <w:tcPr>
            <w:tcW w:w="3116" w:type="dxa"/>
            <w:tcBorders>
              <w:top w:val="nil"/>
              <w:left w:val="nil"/>
              <w:right w:val="single" w:sz="4" w:space="0" w:color="auto"/>
            </w:tcBorders>
            <w:noWrap/>
            <w:vAlign w:val="bottom"/>
          </w:tcPr>
          <w:p w:rsidR="00946F0D" w:rsidRDefault="00946F0D">
            <w:pPr>
              <w:rPr>
                <w:rFonts w:eastAsia="Arial Unicode MS" w:cs="Arial"/>
                <w:sz w:val="16"/>
                <w:szCs w:val="16"/>
              </w:rPr>
            </w:pPr>
            <w:r>
              <w:rPr>
                <w:rFonts w:cs="Arial"/>
                <w:sz w:val="16"/>
                <w:szCs w:val="16"/>
              </w:rPr>
              <w:t>Nezjištěno</w:t>
            </w:r>
          </w:p>
        </w:tc>
        <w:tc>
          <w:tcPr>
            <w:tcW w:w="912" w:type="dxa"/>
            <w:tcBorders>
              <w:top w:val="nil"/>
              <w:left w:val="nil"/>
              <w:right w:val="nil"/>
            </w:tcBorders>
            <w:noWrap/>
            <w:tcMar>
              <w:right w:w="142" w:type="dxa"/>
            </w:tcMar>
            <w:vAlign w:val="bottom"/>
          </w:tcPr>
          <w:p w:rsidR="00946F0D" w:rsidRDefault="00946F0D">
            <w:pPr>
              <w:jc w:val="right"/>
              <w:rPr>
                <w:rFonts w:cs="Arial"/>
                <w:sz w:val="16"/>
                <w:szCs w:val="16"/>
              </w:rPr>
            </w:pPr>
            <w:r>
              <w:rPr>
                <w:rFonts w:cs="Arial"/>
                <w:sz w:val="16"/>
                <w:szCs w:val="16"/>
              </w:rPr>
              <w:t>20,0</w:t>
            </w:r>
          </w:p>
        </w:tc>
        <w:tc>
          <w:tcPr>
            <w:tcW w:w="936" w:type="dxa"/>
            <w:tcBorders>
              <w:top w:val="nil"/>
              <w:left w:val="nil"/>
              <w:right w:val="nil"/>
            </w:tcBorders>
            <w:noWrap/>
            <w:tcMar>
              <w:right w:w="142" w:type="dxa"/>
            </w:tcMar>
            <w:vAlign w:val="bottom"/>
          </w:tcPr>
          <w:p w:rsidR="00946F0D" w:rsidRDefault="00946F0D">
            <w:pPr>
              <w:jc w:val="right"/>
              <w:rPr>
                <w:rFonts w:cs="Arial"/>
                <w:sz w:val="16"/>
                <w:szCs w:val="16"/>
              </w:rPr>
            </w:pPr>
            <w:r>
              <w:rPr>
                <w:rFonts w:cs="Arial"/>
                <w:sz w:val="16"/>
                <w:szCs w:val="16"/>
              </w:rPr>
              <w:t>31,3</w:t>
            </w:r>
          </w:p>
        </w:tc>
        <w:tc>
          <w:tcPr>
            <w:tcW w:w="935" w:type="dxa"/>
            <w:tcBorders>
              <w:top w:val="nil"/>
              <w:left w:val="nil"/>
              <w:right w:val="nil"/>
            </w:tcBorders>
            <w:noWrap/>
            <w:tcMar>
              <w:right w:w="142" w:type="dxa"/>
            </w:tcMar>
            <w:vAlign w:val="bottom"/>
          </w:tcPr>
          <w:p w:rsidR="00946F0D" w:rsidRDefault="00946F0D">
            <w:pPr>
              <w:jc w:val="right"/>
              <w:rPr>
                <w:rFonts w:cs="Arial"/>
                <w:sz w:val="16"/>
                <w:szCs w:val="16"/>
              </w:rPr>
            </w:pPr>
            <w:r>
              <w:rPr>
                <w:rFonts w:cs="Arial"/>
                <w:sz w:val="16"/>
                <w:szCs w:val="16"/>
              </w:rPr>
              <w:t>29,6</w:t>
            </w:r>
          </w:p>
        </w:tc>
        <w:tc>
          <w:tcPr>
            <w:tcW w:w="935" w:type="dxa"/>
            <w:tcBorders>
              <w:top w:val="nil"/>
              <w:left w:val="nil"/>
              <w:right w:val="nil"/>
            </w:tcBorders>
            <w:noWrap/>
            <w:tcMar>
              <w:right w:w="142" w:type="dxa"/>
            </w:tcMar>
            <w:vAlign w:val="bottom"/>
          </w:tcPr>
          <w:p w:rsidR="00946F0D" w:rsidRDefault="00946F0D">
            <w:pPr>
              <w:jc w:val="right"/>
              <w:rPr>
                <w:rFonts w:cs="Arial"/>
                <w:sz w:val="16"/>
                <w:szCs w:val="16"/>
              </w:rPr>
            </w:pPr>
            <w:r>
              <w:rPr>
                <w:rFonts w:cs="Arial"/>
                <w:sz w:val="16"/>
                <w:szCs w:val="16"/>
              </w:rPr>
              <w:t>30,5</w:t>
            </w:r>
          </w:p>
        </w:tc>
        <w:tc>
          <w:tcPr>
            <w:tcW w:w="935" w:type="dxa"/>
            <w:tcBorders>
              <w:top w:val="nil"/>
              <w:left w:val="nil"/>
              <w:right w:val="nil"/>
            </w:tcBorders>
            <w:noWrap/>
            <w:tcMar>
              <w:right w:w="142" w:type="dxa"/>
            </w:tcMar>
            <w:vAlign w:val="bottom"/>
          </w:tcPr>
          <w:p w:rsidR="00946F0D" w:rsidRDefault="00946F0D">
            <w:pPr>
              <w:jc w:val="right"/>
              <w:rPr>
                <w:rFonts w:cs="Arial"/>
                <w:sz w:val="16"/>
                <w:szCs w:val="16"/>
              </w:rPr>
            </w:pPr>
            <w:r>
              <w:rPr>
                <w:rFonts w:cs="Arial"/>
                <w:sz w:val="16"/>
                <w:szCs w:val="16"/>
              </w:rPr>
              <w:t>32,3</w:t>
            </w:r>
          </w:p>
        </w:tc>
        <w:tc>
          <w:tcPr>
            <w:tcW w:w="935" w:type="dxa"/>
            <w:tcBorders>
              <w:top w:val="nil"/>
              <w:left w:val="nil"/>
              <w:right w:val="nil"/>
            </w:tcBorders>
            <w:noWrap/>
            <w:tcMar>
              <w:right w:w="142" w:type="dxa"/>
            </w:tcMar>
            <w:vAlign w:val="bottom"/>
          </w:tcPr>
          <w:p w:rsidR="00946F0D" w:rsidRDefault="00946F0D">
            <w:pPr>
              <w:jc w:val="right"/>
              <w:rPr>
                <w:rFonts w:cs="Arial"/>
                <w:sz w:val="16"/>
                <w:szCs w:val="16"/>
              </w:rPr>
            </w:pPr>
            <w:r>
              <w:rPr>
                <w:rFonts w:cs="Arial"/>
                <w:sz w:val="16"/>
                <w:szCs w:val="16"/>
              </w:rPr>
              <w:t>31,6</w:t>
            </w:r>
          </w:p>
        </w:tc>
        <w:tc>
          <w:tcPr>
            <w:tcW w:w="935" w:type="dxa"/>
            <w:tcBorders>
              <w:top w:val="nil"/>
              <w:left w:val="nil"/>
              <w:right w:val="nil"/>
            </w:tcBorders>
            <w:noWrap/>
            <w:tcMar>
              <w:right w:w="142" w:type="dxa"/>
            </w:tcMar>
            <w:vAlign w:val="bottom"/>
          </w:tcPr>
          <w:p w:rsidR="00946F0D" w:rsidRDefault="00946F0D">
            <w:pPr>
              <w:jc w:val="right"/>
              <w:rPr>
                <w:rFonts w:cs="Arial"/>
                <w:sz w:val="16"/>
                <w:szCs w:val="16"/>
              </w:rPr>
            </w:pPr>
            <w:r>
              <w:rPr>
                <w:rFonts w:cs="Arial"/>
                <w:sz w:val="16"/>
                <w:szCs w:val="16"/>
              </w:rPr>
              <w:t>33,2</w:t>
            </w:r>
          </w:p>
        </w:tc>
      </w:tr>
      <w:tr w:rsidR="00946F0D" w:rsidTr="00C54AEA">
        <w:trPr>
          <w:trHeight w:val="255"/>
        </w:trPr>
        <w:tc>
          <w:tcPr>
            <w:tcW w:w="3116" w:type="dxa"/>
            <w:tcBorders>
              <w:top w:val="nil"/>
              <w:left w:val="nil"/>
              <w:bottom w:val="single" w:sz="4" w:space="0" w:color="auto"/>
              <w:right w:val="single" w:sz="4" w:space="0" w:color="auto"/>
            </w:tcBorders>
            <w:noWrap/>
            <w:vAlign w:val="bottom"/>
          </w:tcPr>
          <w:p w:rsidR="00946F0D" w:rsidRDefault="00946F0D" w:rsidP="00243120">
            <w:pPr>
              <w:rPr>
                <w:rFonts w:eastAsia="Arial Unicode MS" w:cs="Arial"/>
                <w:sz w:val="16"/>
                <w:szCs w:val="16"/>
              </w:rPr>
            </w:pPr>
            <w:r>
              <w:rPr>
                <w:rFonts w:cs="Arial"/>
                <w:sz w:val="16"/>
                <w:szCs w:val="16"/>
              </w:rPr>
              <w:t>Celkem</w:t>
            </w:r>
          </w:p>
        </w:tc>
        <w:tc>
          <w:tcPr>
            <w:tcW w:w="912" w:type="dxa"/>
            <w:tcBorders>
              <w:top w:val="nil"/>
              <w:left w:val="nil"/>
              <w:bottom w:val="single" w:sz="4" w:space="0" w:color="auto"/>
              <w:right w:val="nil"/>
            </w:tcBorders>
            <w:noWrap/>
            <w:tcMar>
              <w:right w:w="142" w:type="dxa"/>
            </w:tcMar>
            <w:vAlign w:val="bottom"/>
          </w:tcPr>
          <w:p w:rsidR="00946F0D" w:rsidRDefault="00946F0D">
            <w:pPr>
              <w:jc w:val="right"/>
              <w:rPr>
                <w:rFonts w:cs="Arial"/>
                <w:sz w:val="16"/>
                <w:szCs w:val="16"/>
              </w:rPr>
            </w:pPr>
            <w:r>
              <w:rPr>
                <w:rFonts w:cs="Arial"/>
                <w:sz w:val="16"/>
                <w:szCs w:val="16"/>
              </w:rPr>
              <w:t>66,7</w:t>
            </w:r>
          </w:p>
        </w:tc>
        <w:tc>
          <w:tcPr>
            <w:tcW w:w="936" w:type="dxa"/>
            <w:tcBorders>
              <w:top w:val="nil"/>
              <w:left w:val="nil"/>
              <w:bottom w:val="single" w:sz="4" w:space="0" w:color="auto"/>
              <w:right w:val="nil"/>
            </w:tcBorders>
            <w:noWrap/>
            <w:tcMar>
              <w:right w:w="142" w:type="dxa"/>
            </w:tcMar>
            <w:vAlign w:val="bottom"/>
          </w:tcPr>
          <w:p w:rsidR="00946F0D" w:rsidRDefault="00946F0D">
            <w:pPr>
              <w:jc w:val="right"/>
              <w:rPr>
                <w:rFonts w:cs="Arial"/>
                <w:sz w:val="16"/>
                <w:szCs w:val="16"/>
              </w:rPr>
            </w:pPr>
            <w:r>
              <w:rPr>
                <w:rFonts w:cs="Arial"/>
                <w:sz w:val="16"/>
                <w:szCs w:val="16"/>
              </w:rPr>
              <w:t>60,8</w:t>
            </w:r>
          </w:p>
        </w:tc>
        <w:tc>
          <w:tcPr>
            <w:tcW w:w="935" w:type="dxa"/>
            <w:tcBorders>
              <w:top w:val="nil"/>
              <w:left w:val="nil"/>
              <w:bottom w:val="single" w:sz="4" w:space="0" w:color="auto"/>
              <w:right w:val="nil"/>
            </w:tcBorders>
            <w:noWrap/>
            <w:tcMar>
              <w:right w:w="142" w:type="dxa"/>
            </w:tcMar>
            <w:vAlign w:val="bottom"/>
          </w:tcPr>
          <w:p w:rsidR="00946F0D" w:rsidRDefault="00946F0D">
            <w:pPr>
              <w:jc w:val="right"/>
              <w:rPr>
                <w:rFonts w:cs="Arial"/>
                <w:sz w:val="16"/>
                <w:szCs w:val="16"/>
              </w:rPr>
            </w:pPr>
            <w:r>
              <w:rPr>
                <w:rFonts w:cs="Arial"/>
                <w:sz w:val="16"/>
                <w:szCs w:val="16"/>
              </w:rPr>
              <w:t>61,1</w:t>
            </w:r>
          </w:p>
        </w:tc>
        <w:tc>
          <w:tcPr>
            <w:tcW w:w="935" w:type="dxa"/>
            <w:tcBorders>
              <w:top w:val="nil"/>
              <w:left w:val="nil"/>
              <w:bottom w:val="single" w:sz="4" w:space="0" w:color="auto"/>
              <w:right w:val="nil"/>
            </w:tcBorders>
            <w:noWrap/>
            <w:tcMar>
              <w:right w:w="142" w:type="dxa"/>
            </w:tcMar>
            <w:vAlign w:val="bottom"/>
          </w:tcPr>
          <w:p w:rsidR="00946F0D" w:rsidRDefault="00946F0D">
            <w:pPr>
              <w:jc w:val="right"/>
              <w:rPr>
                <w:rFonts w:cs="Arial"/>
                <w:sz w:val="16"/>
                <w:szCs w:val="16"/>
              </w:rPr>
            </w:pPr>
            <w:r>
              <w:rPr>
                <w:rFonts w:cs="Arial"/>
                <w:sz w:val="16"/>
                <w:szCs w:val="16"/>
              </w:rPr>
              <w:t>61,9</w:t>
            </w:r>
          </w:p>
        </w:tc>
        <w:tc>
          <w:tcPr>
            <w:tcW w:w="935" w:type="dxa"/>
            <w:tcBorders>
              <w:top w:val="nil"/>
              <w:left w:val="nil"/>
              <w:bottom w:val="single" w:sz="4" w:space="0" w:color="auto"/>
              <w:right w:val="nil"/>
            </w:tcBorders>
            <w:noWrap/>
            <w:tcMar>
              <w:right w:w="142" w:type="dxa"/>
            </w:tcMar>
            <w:vAlign w:val="bottom"/>
          </w:tcPr>
          <w:p w:rsidR="00946F0D" w:rsidRDefault="00946F0D">
            <w:pPr>
              <w:jc w:val="right"/>
              <w:rPr>
                <w:rFonts w:cs="Arial"/>
                <w:sz w:val="16"/>
                <w:szCs w:val="16"/>
              </w:rPr>
            </w:pPr>
            <w:r>
              <w:rPr>
                <w:rFonts w:cs="Arial"/>
                <w:sz w:val="16"/>
                <w:szCs w:val="16"/>
              </w:rPr>
              <w:t>61,0</w:t>
            </w:r>
          </w:p>
        </w:tc>
        <w:tc>
          <w:tcPr>
            <w:tcW w:w="935" w:type="dxa"/>
            <w:tcBorders>
              <w:top w:val="nil"/>
              <w:left w:val="nil"/>
              <w:bottom w:val="single" w:sz="4" w:space="0" w:color="auto"/>
              <w:right w:val="nil"/>
            </w:tcBorders>
            <w:noWrap/>
            <w:tcMar>
              <w:right w:w="142" w:type="dxa"/>
            </w:tcMar>
            <w:vAlign w:val="bottom"/>
          </w:tcPr>
          <w:p w:rsidR="00946F0D" w:rsidRDefault="00946F0D">
            <w:pPr>
              <w:jc w:val="right"/>
              <w:rPr>
                <w:rFonts w:cs="Arial"/>
                <w:sz w:val="16"/>
                <w:szCs w:val="16"/>
              </w:rPr>
            </w:pPr>
            <w:r>
              <w:rPr>
                <w:rFonts w:cs="Arial"/>
                <w:sz w:val="16"/>
                <w:szCs w:val="16"/>
              </w:rPr>
              <w:t>60,3</w:t>
            </w:r>
          </w:p>
        </w:tc>
        <w:tc>
          <w:tcPr>
            <w:tcW w:w="935" w:type="dxa"/>
            <w:tcBorders>
              <w:top w:val="nil"/>
              <w:left w:val="nil"/>
              <w:bottom w:val="single" w:sz="4" w:space="0" w:color="auto"/>
              <w:right w:val="nil"/>
            </w:tcBorders>
            <w:noWrap/>
            <w:tcMar>
              <w:right w:w="142" w:type="dxa"/>
            </w:tcMar>
            <w:vAlign w:val="bottom"/>
          </w:tcPr>
          <w:p w:rsidR="00946F0D" w:rsidRDefault="00946F0D">
            <w:pPr>
              <w:jc w:val="right"/>
              <w:rPr>
                <w:rFonts w:cs="Arial"/>
                <w:sz w:val="16"/>
                <w:szCs w:val="16"/>
              </w:rPr>
            </w:pPr>
            <w:r>
              <w:rPr>
                <w:rFonts w:cs="Arial"/>
                <w:sz w:val="16"/>
                <w:szCs w:val="16"/>
              </w:rPr>
              <w:t>59,2</w:t>
            </w:r>
          </w:p>
        </w:tc>
      </w:tr>
    </w:tbl>
    <w:p w:rsidR="00243120" w:rsidRDefault="00243120" w:rsidP="00DC0E64">
      <w:pPr>
        <w:pStyle w:val="Textpoznpodarou"/>
        <w:spacing w:before="60"/>
        <w:jc w:val="left"/>
        <w:rPr>
          <w:sz w:val="16"/>
        </w:rPr>
      </w:pPr>
      <w:r>
        <w:rPr>
          <w:rFonts w:cs="Arial"/>
          <w:sz w:val="16"/>
        </w:rPr>
        <w:t>* ÚZIS ČR</w:t>
      </w:r>
      <w:r w:rsidR="00CC1369">
        <w:rPr>
          <w:rFonts w:cs="Arial"/>
          <w:sz w:val="16"/>
        </w:rPr>
        <w:t xml:space="preserve"> </w:t>
      </w:r>
      <w:r w:rsidR="00316AC2">
        <w:rPr>
          <w:rFonts w:cs="Arial"/>
          <w:sz w:val="16"/>
        </w:rPr>
        <w:t xml:space="preserve">používá </w:t>
      </w:r>
      <w:r w:rsidR="00CC1369">
        <w:rPr>
          <w:rFonts w:cs="Arial"/>
          <w:sz w:val="16"/>
        </w:rPr>
        <w:t>na hlášení o potratu</w:t>
      </w:r>
      <w:r w:rsidR="00316AC2">
        <w:rPr>
          <w:rFonts w:cs="Arial"/>
          <w:sz w:val="16"/>
        </w:rPr>
        <w:t xml:space="preserve"> vlastní číselník vzdělání</w:t>
      </w:r>
      <w:r>
        <w:rPr>
          <w:rFonts w:cs="Arial"/>
          <w:sz w:val="16"/>
        </w:rPr>
        <w:t>.</w:t>
      </w:r>
    </w:p>
    <w:p w:rsidR="00243120" w:rsidRDefault="00243120" w:rsidP="00316AC2"/>
    <w:p w:rsidR="004C2A3F" w:rsidRDefault="00011284" w:rsidP="00316AC2">
      <w:r>
        <w:t xml:space="preserve">Struktura potratů podle rodinného stavu </w:t>
      </w:r>
      <w:r w:rsidR="00025AF5">
        <w:t>ženy byla</w:t>
      </w:r>
      <w:r>
        <w:t xml:space="preserve"> v čase výrazně ovlivněna změnami ve skladbě žen podle rodinného stavu. S růstem počtu svobodných žen v posledních deseti letech souvisí zvýšení počtu </w:t>
      </w:r>
      <w:r w:rsidR="004C2A3F">
        <w:t>potratů v</w:t>
      </w:r>
      <w:r w:rsidR="00316AC2">
        <w:t> </w:t>
      </w:r>
      <w:r w:rsidR="004C2A3F">
        <w:t>této skupině</w:t>
      </w:r>
      <w:r>
        <w:t xml:space="preserve"> </w:t>
      </w:r>
      <w:r w:rsidR="00025AF5">
        <w:t>(</w:t>
      </w:r>
      <w:r w:rsidR="00D62DDD">
        <w:t>z 14 760 v roce 2004 na 17 </w:t>
      </w:r>
      <w:r>
        <w:t>999 o deset let později</w:t>
      </w:r>
      <w:r w:rsidR="00025AF5">
        <w:t>)</w:t>
      </w:r>
      <w:r>
        <w:t xml:space="preserve">. </w:t>
      </w:r>
      <w:r w:rsidR="005A3420">
        <w:t xml:space="preserve">Naopak počty potratů vdaných žen ve stejném období zaznamenaly dramatický pokles </w:t>
      </w:r>
      <w:r w:rsidR="00025AF5">
        <w:t>(</w:t>
      </w:r>
      <w:r w:rsidR="005A3420">
        <w:t>z 20</w:t>
      </w:r>
      <w:r w:rsidR="00316AC2">
        <w:t> </w:t>
      </w:r>
      <w:r w:rsidR="005A3420">
        <w:t>966 na 14</w:t>
      </w:r>
      <w:r w:rsidR="00025AF5">
        <w:t> </w:t>
      </w:r>
      <w:r w:rsidR="005A3420">
        <w:t>214</w:t>
      </w:r>
      <w:r w:rsidR="00025AF5">
        <w:t>)</w:t>
      </w:r>
      <w:r w:rsidR="005A3420">
        <w:t>.</w:t>
      </w:r>
      <w:r w:rsidR="007D650D">
        <w:t xml:space="preserve"> </w:t>
      </w:r>
      <w:r w:rsidR="00025AF5">
        <w:t>Vyšší počet potratů svobodných žen než u vdaných je zaznamenáván o</w:t>
      </w:r>
      <w:r w:rsidR="007D650D">
        <w:t>d roku 2011</w:t>
      </w:r>
      <w:r w:rsidR="00025AF5">
        <w:t>.</w:t>
      </w:r>
      <w:r w:rsidR="007D650D">
        <w:t xml:space="preserve"> </w:t>
      </w:r>
      <w:r w:rsidR="00946F0D">
        <w:t>K poklesu</w:t>
      </w:r>
      <w:r w:rsidR="00CC1369">
        <w:t xml:space="preserve"> počtu potratů došlo i u </w:t>
      </w:r>
      <w:r w:rsidR="007D650D">
        <w:t>rozvedených</w:t>
      </w:r>
      <w:r w:rsidR="00CC1369">
        <w:t xml:space="preserve"> (z</w:t>
      </w:r>
      <w:r w:rsidR="00316AC2">
        <w:t>e</w:t>
      </w:r>
      <w:r w:rsidR="00CC1369">
        <w:t xml:space="preserve"> </w:t>
      </w:r>
      <w:r w:rsidR="004C2A3F">
        <w:t>4</w:t>
      </w:r>
      <w:r w:rsidR="00D62DDD">
        <w:t> </w:t>
      </w:r>
      <w:r w:rsidR="00CC1369">
        <w:t xml:space="preserve">913 </w:t>
      </w:r>
      <w:r w:rsidR="004C2A3F">
        <w:t>na 3</w:t>
      </w:r>
      <w:r w:rsidR="00D62DDD">
        <w:t> </w:t>
      </w:r>
      <w:r w:rsidR="004C2A3F">
        <w:t>766)</w:t>
      </w:r>
      <w:r w:rsidR="007D650D">
        <w:t xml:space="preserve"> a ovdovělých</w:t>
      </w:r>
      <w:r w:rsidR="004C2A3F">
        <w:t xml:space="preserve"> (z 243 na 183)</w:t>
      </w:r>
      <w:r w:rsidR="007D650D">
        <w:t xml:space="preserve"> žen.</w:t>
      </w:r>
    </w:p>
    <w:p w:rsidR="0051492D" w:rsidRDefault="0051492D" w:rsidP="00316AC2">
      <w:pPr>
        <w:pStyle w:val="Titulek"/>
        <w:spacing w:before="0" w:after="0"/>
      </w:pPr>
    </w:p>
    <w:p w:rsidR="0051492D" w:rsidRDefault="00E2236C" w:rsidP="00316AC2">
      <w:r>
        <w:t xml:space="preserve">Ani v případě </w:t>
      </w:r>
      <w:r w:rsidR="00025AF5">
        <w:t>UPT</w:t>
      </w:r>
      <w:r>
        <w:t xml:space="preserve"> se jejich počet </w:t>
      </w:r>
      <w:r w:rsidR="00767676">
        <w:t>u</w:t>
      </w:r>
      <w:r>
        <w:t xml:space="preserve"> </w:t>
      </w:r>
      <w:r w:rsidR="00025AF5">
        <w:t>svobodný</w:t>
      </w:r>
      <w:r w:rsidR="00767676">
        <w:t>ch</w:t>
      </w:r>
      <w:r w:rsidR="00025AF5">
        <w:t xml:space="preserve"> žen </w:t>
      </w:r>
      <w:r>
        <w:t>v uplynulé dekádě</w:t>
      </w:r>
      <w:r w:rsidR="00520CF2">
        <w:t xml:space="preserve"> díky nárůstu</w:t>
      </w:r>
      <w:r>
        <w:t xml:space="preserve"> počtu svobodných žen </w:t>
      </w:r>
      <w:r w:rsidR="00520CF2">
        <w:t>v populaci</w:t>
      </w:r>
      <w:r w:rsidR="00767676">
        <w:t xml:space="preserve"> </w:t>
      </w:r>
      <w:r>
        <w:t>nesnižoval.</w:t>
      </w:r>
      <w:r w:rsidR="00025AF5">
        <w:t xml:space="preserve"> </w:t>
      </w:r>
      <w:r w:rsidR="0051492D">
        <w:t>Naop</w:t>
      </w:r>
      <w:r w:rsidR="00D62DDD">
        <w:t>ak zatímco v roce 2004 šlo o 10 </w:t>
      </w:r>
      <w:r w:rsidR="0051492D">
        <w:t>551 př</w:t>
      </w:r>
      <w:r w:rsidR="00D62DDD">
        <w:t>ípadů, tak v roce 2014 již o 11 </w:t>
      </w:r>
      <w:r w:rsidR="0051492D">
        <w:t xml:space="preserve">604 indukovaných potratů. </w:t>
      </w:r>
      <w:r>
        <w:t>Avšak p</w:t>
      </w:r>
      <w:r w:rsidR="0051492D">
        <w:t>oslední meziroční změna přinesla pokles o 279 potratů. Podíl UPT ze všech potr</w:t>
      </w:r>
      <w:r w:rsidR="00D62DDD">
        <w:t xml:space="preserve">atů byl u této </w:t>
      </w:r>
      <w:proofErr w:type="spellStart"/>
      <w:r w:rsidR="00D62DDD">
        <w:t>subpopulace</w:t>
      </w:r>
      <w:proofErr w:type="spellEnd"/>
      <w:r w:rsidR="00D62DDD">
        <w:t xml:space="preserve"> 64,5 </w:t>
      </w:r>
      <w:r w:rsidR="0051492D">
        <w:t>%, což je o více než 5 procentních bodů více než v populaci celkem. V</w:t>
      </w:r>
      <w:r w:rsidR="00D6553A">
        <w:t> </w:t>
      </w:r>
      <w:r w:rsidR="0051492D">
        <w:t>případě vdanýc</w:t>
      </w:r>
      <w:r w:rsidR="00D62DDD">
        <w:t>h žen činil tento podíl 52,5 </w:t>
      </w:r>
      <w:r w:rsidR="005E55B7">
        <w:t xml:space="preserve">% </w:t>
      </w:r>
      <w:r w:rsidR="00D62DDD">
        <w:t>a u rozvedených byl 64,4 </w:t>
      </w:r>
      <w:r w:rsidR="0051492D">
        <w:t>%. Počet UPT u vdaných žen zaznamenal v posle</w:t>
      </w:r>
      <w:r w:rsidR="00D62DDD">
        <w:t>dní dekádě razantní propad z 13 011 na 7 </w:t>
      </w:r>
      <w:r w:rsidR="0051492D">
        <w:t>459 indukovaných potratů. Nižší množství UPT bylo sledováno i</w:t>
      </w:r>
      <w:r w:rsidR="00D62DDD">
        <w:t xml:space="preserve"> u rozvedených (z 3 586 na 2 </w:t>
      </w:r>
      <w:r w:rsidR="0051492D">
        <w:t>433) a ovdovělých (ze 179 na 114) žen. V roce 2014 došlo k poklesu ve všech těchto třech kategoriích.</w:t>
      </w:r>
    </w:p>
    <w:p w:rsidR="00273D49" w:rsidRDefault="00273D49" w:rsidP="00316AC2">
      <w:pPr>
        <w:pStyle w:val="Titulek"/>
        <w:spacing w:before="0" w:after="0"/>
      </w:pPr>
      <w:bookmarkStart w:id="1" w:name="OLE_LINK3"/>
      <w:bookmarkStart w:id="2" w:name="OLE_LINK4"/>
    </w:p>
    <w:bookmarkEnd w:id="1"/>
    <w:bookmarkEnd w:id="2"/>
    <w:p w:rsidR="0051492D" w:rsidRDefault="0051492D" w:rsidP="00316AC2">
      <w:r>
        <w:t>V případě samovolných potratů lze vysledovat opačné trendy mezi vdanými a svobodnými ženami. Zatímco počty tohoto druhu potratu u svobodných žen mezi roky 2004</w:t>
      </w:r>
      <w:r w:rsidR="00D62DDD">
        <w:t xml:space="preserve"> a 2014 podstatně narostly (z</w:t>
      </w:r>
      <w:r w:rsidR="006C6FB0">
        <w:t>e</w:t>
      </w:r>
      <w:r w:rsidR="00D62DDD">
        <w:t xml:space="preserve"> 4 209 na 5 </w:t>
      </w:r>
      <w:r>
        <w:t>879), tak v případě vdaných žen došlo k výrazném</w:t>
      </w:r>
      <w:r w:rsidR="00D62DDD">
        <w:t>u poklesu ve stejném období z</w:t>
      </w:r>
      <w:r w:rsidR="007675AD">
        <w:t>e</w:t>
      </w:r>
      <w:r w:rsidR="00D62DDD">
        <w:t> 7 955 na 6 </w:t>
      </w:r>
      <w:r>
        <w:t>241 potratů.</w:t>
      </w:r>
    </w:p>
    <w:p w:rsidR="00305D28" w:rsidRDefault="00305D28" w:rsidP="00316AC2">
      <w:pPr>
        <w:pStyle w:val="Titulek"/>
        <w:spacing w:before="0" w:after="0"/>
      </w:pPr>
    </w:p>
    <w:p w:rsidR="00987128" w:rsidRDefault="00273D49" w:rsidP="00316AC2">
      <w:r>
        <w:t>Struktura indukovaných potratů podle počtu narozených dětí se za posledních deset let příliš nezměnila. Nejčetnější skupinu tvořily v roce</w:t>
      </w:r>
      <w:r w:rsidR="00D62DDD">
        <w:t xml:space="preserve"> 2014 ženy se dvěma dětmi (32,7 </w:t>
      </w:r>
      <w:r>
        <w:t>%), u nichž došlo k poklesu zhruba o dva procentní body oproti roku 2004. Naopak obdobný nárůst zaznamenal</w:t>
      </w:r>
      <w:r w:rsidR="005E55B7">
        <w:t>a</w:t>
      </w:r>
      <w:r>
        <w:t xml:space="preserve"> subpopulace bezdětných žen, která byla ve sledovaném období druhá nejpočetnější a dosahovala </w:t>
      </w:r>
      <w:r w:rsidR="005E55B7">
        <w:t xml:space="preserve">28,3% </w:t>
      </w:r>
      <w:r>
        <w:t>zastoupení v roce 2014.</w:t>
      </w:r>
    </w:p>
    <w:p w:rsidR="005E55B7" w:rsidRDefault="005E55B7" w:rsidP="005E55B7">
      <w:r>
        <w:lastRenderedPageBreak/>
        <w:t>Z pohledu kombinace rodinného stavu a počtu narozených dětí doznalo největších změn zastoupení UPT bezdětných svobodných žen, kterých bylo v roce 2</w:t>
      </w:r>
      <w:r w:rsidR="00D62DDD">
        <w:t>014 mezi svobodnými ženami 47,0 </w:t>
      </w:r>
      <w:r>
        <w:t>% ve srovnání s</w:t>
      </w:r>
      <w:r w:rsidR="009648AD">
        <w:t> </w:t>
      </w:r>
      <w:r>
        <w:t>59,8</w:t>
      </w:r>
      <w:r w:rsidR="00D62DDD">
        <w:t> </w:t>
      </w:r>
      <w:r>
        <w:t>% v roce 2004. Naopak relativně i absolutně narostly počty indukovaných potratů u svobodných žen s</w:t>
      </w:r>
      <w:r w:rsidR="009648AD">
        <w:t> </w:t>
      </w:r>
      <w:r>
        <w:t>alespoň jedním dítětem.</w:t>
      </w:r>
    </w:p>
    <w:p w:rsidR="0048760A" w:rsidRDefault="0048760A" w:rsidP="00AD71F8">
      <w:pPr>
        <w:pStyle w:val="Titulek"/>
        <w:spacing w:before="0" w:after="0"/>
      </w:pPr>
    </w:p>
    <w:p w:rsidR="00946F0D" w:rsidRDefault="00946F0D" w:rsidP="00946F0D">
      <w:pPr>
        <w:pStyle w:val="Titulek"/>
        <w:spacing w:before="0" w:after="60"/>
      </w:pPr>
      <w:r>
        <w:t xml:space="preserve">Tab. </w:t>
      </w:r>
      <w:fldSimple w:instr=" STYLEREF 1 \s ">
        <w:r>
          <w:rPr>
            <w:noProof/>
          </w:rPr>
          <w:t>5</w:t>
        </w:r>
      </w:fldSimple>
      <w:r>
        <w:t>.4 Potraty podle druhu a rodinného stavu* ženy, 2004–2014</w:t>
      </w:r>
    </w:p>
    <w:tbl>
      <w:tblPr>
        <w:tblW w:w="9639" w:type="dxa"/>
        <w:tblLayout w:type="fixed"/>
        <w:tblCellMar>
          <w:left w:w="0" w:type="dxa"/>
          <w:right w:w="0" w:type="dxa"/>
        </w:tblCellMar>
        <w:tblLook w:val="0000"/>
      </w:tblPr>
      <w:tblGrid>
        <w:gridCol w:w="3075"/>
        <w:gridCol w:w="911"/>
        <w:gridCol w:w="943"/>
        <w:gridCol w:w="942"/>
        <w:gridCol w:w="942"/>
        <w:gridCol w:w="942"/>
        <w:gridCol w:w="942"/>
        <w:gridCol w:w="942"/>
      </w:tblGrid>
      <w:tr w:rsidR="00946F0D" w:rsidTr="008329D1">
        <w:trPr>
          <w:trHeight w:val="255"/>
        </w:trPr>
        <w:tc>
          <w:tcPr>
            <w:tcW w:w="3075" w:type="dxa"/>
            <w:tcBorders>
              <w:top w:val="single" w:sz="4" w:space="0" w:color="auto"/>
              <w:left w:val="nil"/>
              <w:bottom w:val="single" w:sz="4" w:space="0" w:color="auto"/>
              <w:right w:val="nil"/>
            </w:tcBorders>
            <w:noWrap/>
            <w:vAlign w:val="bottom"/>
          </w:tcPr>
          <w:p w:rsidR="00946F0D" w:rsidRDefault="00946F0D" w:rsidP="008329D1">
            <w:pPr>
              <w:rPr>
                <w:rFonts w:eastAsia="Arial Unicode MS" w:cs="Arial"/>
                <w:b/>
                <w:bCs/>
                <w:sz w:val="16"/>
                <w:szCs w:val="16"/>
              </w:rPr>
            </w:pPr>
            <w:r>
              <w:rPr>
                <w:rFonts w:cs="Arial"/>
                <w:b/>
                <w:bCs/>
                <w:sz w:val="16"/>
                <w:szCs w:val="16"/>
              </w:rPr>
              <w:t>Rodinný stav ženy</w:t>
            </w:r>
          </w:p>
        </w:tc>
        <w:tc>
          <w:tcPr>
            <w:tcW w:w="911" w:type="dxa"/>
            <w:tcBorders>
              <w:top w:val="single" w:sz="4" w:space="0" w:color="auto"/>
              <w:left w:val="single" w:sz="4" w:space="0" w:color="auto"/>
              <w:bottom w:val="single" w:sz="4" w:space="0" w:color="auto"/>
              <w:right w:val="nil"/>
            </w:tcBorders>
            <w:noWrap/>
            <w:tcMar>
              <w:right w:w="142" w:type="dxa"/>
            </w:tcMar>
            <w:vAlign w:val="bottom"/>
          </w:tcPr>
          <w:p w:rsidR="00946F0D" w:rsidRDefault="00946F0D" w:rsidP="008329D1">
            <w:pPr>
              <w:jc w:val="right"/>
              <w:rPr>
                <w:rFonts w:cs="Arial"/>
                <w:b/>
                <w:bCs/>
                <w:sz w:val="16"/>
                <w:szCs w:val="16"/>
              </w:rPr>
            </w:pPr>
            <w:r>
              <w:rPr>
                <w:rFonts w:cs="Arial"/>
                <w:b/>
                <w:bCs/>
                <w:sz w:val="16"/>
                <w:szCs w:val="16"/>
              </w:rPr>
              <w:t>2004</w:t>
            </w:r>
          </w:p>
        </w:tc>
        <w:tc>
          <w:tcPr>
            <w:tcW w:w="943" w:type="dxa"/>
            <w:tcBorders>
              <w:top w:val="single" w:sz="4" w:space="0" w:color="auto"/>
              <w:left w:val="nil"/>
              <w:bottom w:val="single" w:sz="4" w:space="0" w:color="auto"/>
              <w:right w:val="nil"/>
            </w:tcBorders>
            <w:noWrap/>
            <w:tcMar>
              <w:right w:w="142" w:type="dxa"/>
            </w:tcMar>
            <w:vAlign w:val="bottom"/>
          </w:tcPr>
          <w:p w:rsidR="00946F0D" w:rsidRDefault="007D7A9C" w:rsidP="008329D1">
            <w:pPr>
              <w:jc w:val="right"/>
              <w:rPr>
                <w:rFonts w:cs="Arial"/>
                <w:b/>
                <w:bCs/>
                <w:sz w:val="16"/>
                <w:szCs w:val="16"/>
              </w:rPr>
            </w:pPr>
            <w:r>
              <w:rPr>
                <w:rFonts w:cs="Arial"/>
                <w:b/>
                <w:bCs/>
                <w:sz w:val="16"/>
                <w:szCs w:val="16"/>
              </w:rPr>
              <w:t>2009</w:t>
            </w:r>
          </w:p>
        </w:tc>
        <w:tc>
          <w:tcPr>
            <w:tcW w:w="942" w:type="dxa"/>
            <w:tcBorders>
              <w:top w:val="single" w:sz="4" w:space="0" w:color="auto"/>
              <w:left w:val="nil"/>
              <w:bottom w:val="single" w:sz="4" w:space="0" w:color="auto"/>
              <w:right w:val="nil"/>
            </w:tcBorders>
            <w:noWrap/>
            <w:tcMar>
              <w:right w:w="142" w:type="dxa"/>
            </w:tcMar>
            <w:vAlign w:val="bottom"/>
          </w:tcPr>
          <w:p w:rsidR="00946F0D" w:rsidRDefault="00946F0D" w:rsidP="008329D1">
            <w:pPr>
              <w:jc w:val="right"/>
              <w:rPr>
                <w:rFonts w:cs="Arial"/>
                <w:b/>
                <w:bCs/>
                <w:sz w:val="16"/>
                <w:szCs w:val="16"/>
              </w:rPr>
            </w:pPr>
            <w:r>
              <w:rPr>
                <w:rFonts w:cs="Arial"/>
                <w:b/>
                <w:bCs/>
                <w:sz w:val="16"/>
                <w:szCs w:val="16"/>
              </w:rPr>
              <w:t>2010</w:t>
            </w:r>
          </w:p>
        </w:tc>
        <w:tc>
          <w:tcPr>
            <w:tcW w:w="942" w:type="dxa"/>
            <w:tcBorders>
              <w:top w:val="single" w:sz="4" w:space="0" w:color="auto"/>
              <w:left w:val="nil"/>
              <w:bottom w:val="single" w:sz="4" w:space="0" w:color="auto"/>
              <w:right w:val="nil"/>
            </w:tcBorders>
            <w:noWrap/>
            <w:tcMar>
              <w:right w:w="142" w:type="dxa"/>
            </w:tcMar>
            <w:vAlign w:val="bottom"/>
          </w:tcPr>
          <w:p w:rsidR="00946F0D" w:rsidRDefault="00946F0D" w:rsidP="008329D1">
            <w:pPr>
              <w:jc w:val="right"/>
              <w:rPr>
                <w:rFonts w:cs="Arial"/>
                <w:b/>
                <w:bCs/>
                <w:sz w:val="16"/>
                <w:szCs w:val="16"/>
              </w:rPr>
            </w:pPr>
            <w:r>
              <w:rPr>
                <w:rFonts w:cs="Arial"/>
                <w:b/>
                <w:bCs/>
                <w:sz w:val="16"/>
                <w:szCs w:val="16"/>
              </w:rPr>
              <w:t>2011</w:t>
            </w:r>
          </w:p>
        </w:tc>
        <w:tc>
          <w:tcPr>
            <w:tcW w:w="942" w:type="dxa"/>
            <w:tcBorders>
              <w:top w:val="single" w:sz="4" w:space="0" w:color="auto"/>
              <w:left w:val="nil"/>
              <w:bottom w:val="single" w:sz="4" w:space="0" w:color="auto"/>
              <w:right w:val="nil"/>
            </w:tcBorders>
            <w:noWrap/>
            <w:tcMar>
              <w:right w:w="142" w:type="dxa"/>
            </w:tcMar>
            <w:vAlign w:val="bottom"/>
          </w:tcPr>
          <w:p w:rsidR="00946F0D" w:rsidRDefault="00946F0D" w:rsidP="008329D1">
            <w:pPr>
              <w:jc w:val="right"/>
              <w:rPr>
                <w:rFonts w:cs="Arial"/>
                <w:b/>
                <w:bCs/>
                <w:sz w:val="16"/>
                <w:szCs w:val="16"/>
              </w:rPr>
            </w:pPr>
            <w:r>
              <w:rPr>
                <w:rFonts w:cs="Arial"/>
                <w:b/>
                <w:bCs/>
                <w:sz w:val="16"/>
                <w:szCs w:val="16"/>
              </w:rPr>
              <w:t>2012</w:t>
            </w:r>
          </w:p>
        </w:tc>
        <w:tc>
          <w:tcPr>
            <w:tcW w:w="942" w:type="dxa"/>
            <w:tcBorders>
              <w:top w:val="single" w:sz="4" w:space="0" w:color="auto"/>
              <w:left w:val="nil"/>
              <w:bottom w:val="single" w:sz="4" w:space="0" w:color="auto"/>
              <w:right w:val="nil"/>
            </w:tcBorders>
            <w:noWrap/>
            <w:tcMar>
              <w:right w:w="142" w:type="dxa"/>
            </w:tcMar>
            <w:vAlign w:val="bottom"/>
          </w:tcPr>
          <w:p w:rsidR="00946F0D" w:rsidRDefault="00946F0D" w:rsidP="008329D1">
            <w:pPr>
              <w:jc w:val="right"/>
              <w:rPr>
                <w:rFonts w:cs="Arial"/>
                <w:b/>
                <w:bCs/>
                <w:sz w:val="16"/>
                <w:szCs w:val="16"/>
              </w:rPr>
            </w:pPr>
            <w:r>
              <w:rPr>
                <w:rFonts w:cs="Arial"/>
                <w:b/>
                <w:bCs/>
                <w:sz w:val="16"/>
                <w:szCs w:val="16"/>
              </w:rPr>
              <w:t>2013</w:t>
            </w:r>
          </w:p>
        </w:tc>
        <w:tc>
          <w:tcPr>
            <w:tcW w:w="942" w:type="dxa"/>
            <w:tcBorders>
              <w:top w:val="single" w:sz="4" w:space="0" w:color="auto"/>
              <w:left w:val="nil"/>
              <w:bottom w:val="single" w:sz="4" w:space="0" w:color="auto"/>
              <w:right w:val="nil"/>
            </w:tcBorders>
            <w:noWrap/>
            <w:tcMar>
              <w:right w:w="142" w:type="dxa"/>
            </w:tcMar>
            <w:vAlign w:val="bottom"/>
          </w:tcPr>
          <w:p w:rsidR="00946F0D" w:rsidRDefault="00946F0D" w:rsidP="008329D1">
            <w:pPr>
              <w:jc w:val="right"/>
              <w:rPr>
                <w:rFonts w:cs="Arial"/>
                <w:b/>
                <w:bCs/>
                <w:sz w:val="16"/>
                <w:szCs w:val="16"/>
              </w:rPr>
            </w:pPr>
            <w:r>
              <w:rPr>
                <w:rFonts w:cs="Arial"/>
                <w:b/>
                <w:bCs/>
                <w:sz w:val="16"/>
                <w:szCs w:val="16"/>
              </w:rPr>
              <w:t>2014</w:t>
            </w:r>
          </w:p>
        </w:tc>
      </w:tr>
      <w:tr w:rsidR="00946F0D" w:rsidTr="008329D1">
        <w:trPr>
          <w:trHeight w:val="255"/>
        </w:trPr>
        <w:tc>
          <w:tcPr>
            <w:tcW w:w="3075" w:type="dxa"/>
            <w:tcBorders>
              <w:top w:val="nil"/>
              <w:left w:val="nil"/>
              <w:bottom w:val="nil"/>
              <w:right w:val="nil"/>
            </w:tcBorders>
            <w:noWrap/>
            <w:vAlign w:val="bottom"/>
          </w:tcPr>
          <w:p w:rsidR="00946F0D" w:rsidRDefault="00946F0D" w:rsidP="008329D1">
            <w:pPr>
              <w:rPr>
                <w:rFonts w:eastAsia="Arial Unicode MS" w:cs="Arial"/>
                <w:sz w:val="16"/>
                <w:szCs w:val="16"/>
              </w:rPr>
            </w:pPr>
          </w:p>
        </w:tc>
        <w:tc>
          <w:tcPr>
            <w:tcW w:w="6564" w:type="dxa"/>
            <w:gridSpan w:val="7"/>
            <w:tcBorders>
              <w:top w:val="single" w:sz="4" w:space="0" w:color="auto"/>
              <w:left w:val="single" w:sz="4" w:space="0" w:color="auto"/>
              <w:bottom w:val="nil"/>
              <w:right w:val="nil"/>
            </w:tcBorders>
            <w:noWrap/>
            <w:vAlign w:val="bottom"/>
          </w:tcPr>
          <w:p w:rsidR="00946F0D" w:rsidRDefault="00946F0D" w:rsidP="008329D1">
            <w:pPr>
              <w:jc w:val="center"/>
              <w:rPr>
                <w:rFonts w:eastAsia="Arial Unicode MS" w:cs="Arial"/>
                <w:b/>
                <w:bCs/>
                <w:sz w:val="16"/>
                <w:szCs w:val="16"/>
              </w:rPr>
            </w:pPr>
            <w:r>
              <w:rPr>
                <w:rFonts w:cs="Arial"/>
                <w:b/>
                <w:bCs/>
                <w:sz w:val="16"/>
                <w:szCs w:val="16"/>
              </w:rPr>
              <w:t>Potraty celkem</w:t>
            </w:r>
          </w:p>
        </w:tc>
      </w:tr>
      <w:tr w:rsidR="007D7A9C" w:rsidTr="008329D1">
        <w:trPr>
          <w:trHeight w:val="255"/>
        </w:trPr>
        <w:tc>
          <w:tcPr>
            <w:tcW w:w="3075" w:type="dxa"/>
            <w:tcBorders>
              <w:top w:val="nil"/>
              <w:left w:val="nil"/>
              <w:bottom w:val="nil"/>
              <w:right w:val="nil"/>
            </w:tcBorders>
            <w:noWrap/>
            <w:vAlign w:val="bottom"/>
          </w:tcPr>
          <w:p w:rsidR="007D7A9C" w:rsidRDefault="007D7A9C" w:rsidP="008329D1">
            <w:pPr>
              <w:rPr>
                <w:rFonts w:eastAsia="Arial Unicode MS" w:cs="Arial"/>
                <w:sz w:val="16"/>
                <w:szCs w:val="16"/>
              </w:rPr>
            </w:pPr>
            <w:r>
              <w:rPr>
                <w:rFonts w:cs="Arial"/>
                <w:sz w:val="16"/>
                <w:szCs w:val="16"/>
              </w:rPr>
              <w:t>Svobodná</w:t>
            </w:r>
          </w:p>
        </w:tc>
        <w:tc>
          <w:tcPr>
            <w:tcW w:w="911" w:type="dxa"/>
            <w:tcBorders>
              <w:top w:val="nil"/>
              <w:left w:val="single" w:sz="4" w:space="0" w:color="auto"/>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14 760</w:t>
            </w:r>
          </w:p>
        </w:tc>
        <w:tc>
          <w:tcPr>
            <w:tcW w:w="943" w:type="dxa"/>
            <w:tcBorders>
              <w:top w:val="nil"/>
              <w:left w:val="nil"/>
              <w:bottom w:val="nil"/>
              <w:right w:val="nil"/>
            </w:tcBorders>
            <w:tcMar>
              <w:right w:w="142" w:type="dxa"/>
            </w:tcMar>
            <w:vAlign w:val="bottom"/>
          </w:tcPr>
          <w:p w:rsidR="007D7A9C" w:rsidRDefault="007D7A9C">
            <w:pPr>
              <w:jc w:val="right"/>
              <w:rPr>
                <w:rFonts w:cs="Arial"/>
                <w:color w:val="000000"/>
                <w:sz w:val="16"/>
                <w:szCs w:val="16"/>
              </w:rPr>
            </w:pPr>
            <w:r>
              <w:rPr>
                <w:rFonts w:cs="Arial"/>
                <w:color w:val="000000"/>
                <w:sz w:val="16"/>
                <w:szCs w:val="16"/>
              </w:rPr>
              <w:t>16 822</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16 706</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17 269</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17 373</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18 050</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17 999</w:t>
            </w:r>
          </w:p>
        </w:tc>
      </w:tr>
      <w:tr w:rsidR="007D7A9C" w:rsidTr="008329D1">
        <w:trPr>
          <w:trHeight w:val="255"/>
        </w:trPr>
        <w:tc>
          <w:tcPr>
            <w:tcW w:w="3075" w:type="dxa"/>
            <w:tcBorders>
              <w:top w:val="nil"/>
              <w:left w:val="nil"/>
              <w:bottom w:val="nil"/>
              <w:right w:val="nil"/>
            </w:tcBorders>
            <w:noWrap/>
            <w:vAlign w:val="bottom"/>
          </w:tcPr>
          <w:p w:rsidR="007D7A9C" w:rsidRDefault="007D7A9C" w:rsidP="008329D1">
            <w:pPr>
              <w:rPr>
                <w:rFonts w:eastAsia="Arial Unicode MS" w:cs="Arial"/>
                <w:sz w:val="16"/>
                <w:szCs w:val="16"/>
              </w:rPr>
            </w:pPr>
            <w:r>
              <w:rPr>
                <w:rFonts w:cs="Arial"/>
                <w:sz w:val="16"/>
                <w:szCs w:val="16"/>
              </w:rPr>
              <w:t>Vdaná</w:t>
            </w:r>
          </w:p>
        </w:tc>
        <w:tc>
          <w:tcPr>
            <w:tcW w:w="911" w:type="dxa"/>
            <w:tcBorders>
              <w:top w:val="nil"/>
              <w:left w:val="single" w:sz="4" w:space="0" w:color="auto"/>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20 966</w:t>
            </w:r>
          </w:p>
        </w:tc>
        <w:tc>
          <w:tcPr>
            <w:tcW w:w="943" w:type="dxa"/>
            <w:tcBorders>
              <w:top w:val="nil"/>
              <w:left w:val="nil"/>
              <w:bottom w:val="nil"/>
              <w:right w:val="nil"/>
            </w:tcBorders>
            <w:tcMar>
              <w:right w:w="142" w:type="dxa"/>
            </w:tcMar>
            <w:vAlign w:val="bottom"/>
          </w:tcPr>
          <w:p w:rsidR="007D7A9C" w:rsidRDefault="007D7A9C">
            <w:pPr>
              <w:jc w:val="right"/>
              <w:rPr>
                <w:rFonts w:cs="Arial"/>
                <w:color w:val="000000"/>
                <w:sz w:val="16"/>
                <w:szCs w:val="16"/>
              </w:rPr>
            </w:pPr>
            <w:r>
              <w:rPr>
                <w:rFonts w:cs="Arial"/>
                <w:color w:val="000000"/>
                <w:sz w:val="16"/>
                <w:szCs w:val="16"/>
              </w:rPr>
              <w:t>18 297</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17 274</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16 347</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15 393</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14 705</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14 214</w:t>
            </w:r>
          </w:p>
        </w:tc>
      </w:tr>
      <w:tr w:rsidR="007D7A9C" w:rsidTr="008329D1">
        <w:trPr>
          <w:trHeight w:val="255"/>
        </w:trPr>
        <w:tc>
          <w:tcPr>
            <w:tcW w:w="3075" w:type="dxa"/>
            <w:tcBorders>
              <w:top w:val="nil"/>
              <w:left w:val="nil"/>
              <w:bottom w:val="nil"/>
              <w:right w:val="nil"/>
            </w:tcBorders>
            <w:noWrap/>
            <w:vAlign w:val="bottom"/>
          </w:tcPr>
          <w:p w:rsidR="007D7A9C" w:rsidRDefault="007D7A9C" w:rsidP="008329D1">
            <w:pPr>
              <w:rPr>
                <w:rFonts w:eastAsia="Arial Unicode MS" w:cs="Arial"/>
                <w:sz w:val="16"/>
                <w:szCs w:val="16"/>
              </w:rPr>
            </w:pPr>
            <w:r>
              <w:rPr>
                <w:rFonts w:cs="Arial"/>
                <w:sz w:val="16"/>
                <w:szCs w:val="16"/>
              </w:rPr>
              <w:t>Rozvedená</w:t>
            </w:r>
          </w:p>
        </w:tc>
        <w:tc>
          <w:tcPr>
            <w:tcW w:w="911" w:type="dxa"/>
            <w:tcBorders>
              <w:top w:val="nil"/>
              <w:left w:val="single" w:sz="4" w:space="0" w:color="auto"/>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4 913</w:t>
            </w:r>
          </w:p>
        </w:tc>
        <w:tc>
          <w:tcPr>
            <w:tcW w:w="943" w:type="dxa"/>
            <w:tcBorders>
              <w:top w:val="nil"/>
              <w:left w:val="nil"/>
              <w:bottom w:val="nil"/>
              <w:right w:val="nil"/>
            </w:tcBorders>
            <w:tcMar>
              <w:right w:w="142" w:type="dxa"/>
            </w:tcMar>
            <w:vAlign w:val="bottom"/>
          </w:tcPr>
          <w:p w:rsidR="007D7A9C" w:rsidRDefault="007D7A9C">
            <w:pPr>
              <w:jc w:val="right"/>
              <w:rPr>
                <w:rFonts w:cs="Arial"/>
                <w:color w:val="000000"/>
                <w:sz w:val="16"/>
                <w:szCs w:val="16"/>
              </w:rPr>
            </w:pPr>
            <w:r>
              <w:rPr>
                <w:rFonts w:cs="Arial"/>
                <w:color w:val="000000"/>
                <w:sz w:val="16"/>
                <w:szCs w:val="16"/>
              </w:rPr>
              <w:t>4 539</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4 410</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4 264</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3 949</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3 928</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3 766</w:t>
            </w:r>
          </w:p>
        </w:tc>
      </w:tr>
      <w:tr w:rsidR="007D7A9C" w:rsidTr="008329D1">
        <w:trPr>
          <w:trHeight w:val="255"/>
        </w:trPr>
        <w:tc>
          <w:tcPr>
            <w:tcW w:w="3075" w:type="dxa"/>
            <w:tcBorders>
              <w:top w:val="nil"/>
              <w:left w:val="nil"/>
              <w:bottom w:val="nil"/>
              <w:right w:val="nil"/>
            </w:tcBorders>
            <w:noWrap/>
            <w:vAlign w:val="bottom"/>
          </w:tcPr>
          <w:p w:rsidR="007D7A9C" w:rsidRDefault="007D7A9C" w:rsidP="008329D1">
            <w:pPr>
              <w:rPr>
                <w:rFonts w:eastAsia="Arial Unicode MS" w:cs="Arial"/>
                <w:sz w:val="16"/>
                <w:szCs w:val="16"/>
              </w:rPr>
            </w:pPr>
            <w:r>
              <w:rPr>
                <w:rFonts w:cs="Arial"/>
                <w:sz w:val="16"/>
                <w:szCs w:val="16"/>
              </w:rPr>
              <w:t>Ovdovělá</w:t>
            </w:r>
          </w:p>
        </w:tc>
        <w:tc>
          <w:tcPr>
            <w:tcW w:w="911" w:type="dxa"/>
            <w:tcBorders>
              <w:top w:val="nil"/>
              <w:left w:val="single" w:sz="4" w:space="0" w:color="auto"/>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243</w:t>
            </w:r>
          </w:p>
        </w:tc>
        <w:tc>
          <w:tcPr>
            <w:tcW w:w="943" w:type="dxa"/>
            <w:tcBorders>
              <w:top w:val="nil"/>
              <w:left w:val="nil"/>
              <w:bottom w:val="nil"/>
              <w:right w:val="nil"/>
            </w:tcBorders>
            <w:tcMar>
              <w:right w:w="142" w:type="dxa"/>
            </w:tcMar>
            <w:vAlign w:val="bottom"/>
          </w:tcPr>
          <w:p w:rsidR="007D7A9C" w:rsidRDefault="007D7A9C">
            <w:pPr>
              <w:jc w:val="right"/>
              <w:rPr>
                <w:rFonts w:cs="Arial"/>
                <w:color w:val="000000"/>
                <w:sz w:val="16"/>
                <w:szCs w:val="16"/>
              </w:rPr>
            </w:pPr>
            <w:r>
              <w:rPr>
                <w:rFonts w:cs="Arial"/>
                <w:color w:val="000000"/>
                <w:sz w:val="16"/>
                <w:szCs w:val="16"/>
              </w:rPr>
              <w:t>209</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191</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190</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207</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188</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183</w:t>
            </w:r>
          </w:p>
        </w:tc>
      </w:tr>
      <w:tr w:rsidR="007D7A9C" w:rsidTr="008329D1">
        <w:trPr>
          <w:trHeight w:val="255"/>
        </w:trPr>
        <w:tc>
          <w:tcPr>
            <w:tcW w:w="3075" w:type="dxa"/>
            <w:tcBorders>
              <w:top w:val="nil"/>
              <w:left w:val="nil"/>
              <w:bottom w:val="nil"/>
              <w:right w:val="nil"/>
            </w:tcBorders>
            <w:noWrap/>
            <w:vAlign w:val="bottom"/>
          </w:tcPr>
          <w:p w:rsidR="007D7A9C" w:rsidRDefault="007D7A9C" w:rsidP="008329D1">
            <w:pPr>
              <w:rPr>
                <w:rFonts w:eastAsia="Arial Unicode MS" w:cs="Arial"/>
                <w:sz w:val="16"/>
                <w:szCs w:val="16"/>
              </w:rPr>
            </w:pPr>
            <w:r>
              <w:rPr>
                <w:rFonts w:cs="Arial"/>
                <w:sz w:val="16"/>
                <w:szCs w:val="16"/>
              </w:rPr>
              <w:t>Družka</w:t>
            </w:r>
          </w:p>
        </w:tc>
        <w:tc>
          <w:tcPr>
            <w:tcW w:w="911" w:type="dxa"/>
            <w:tcBorders>
              <w:top w:val="nil"/>
              <w:left w:val="single" w:sz="4" w:space="0" w:color="auto"/>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124</w:t>
            </w:r>
          </w:p>
        </w:tc>
        <w:tc>
          <w:tcPr>
            <w:tcW w:w="943" w:type="dxa"/>
            <w:tcBorders>
              <w:top w:val="nil"/>
              <w:left w:val="nil"/>
              <w:bottom w:val="nil"/>
              <w:right w:val="nil"/>
            </w:tcBorders>
            <w:tcMar>
              <w:right w:w="142" w:type="dxa"/>
            </w:tcMar>
            <w:vAlign w:val="bottom"/>
          </w:tcPr>
          <w:p w:rsidR="007D7A9C" w:rsidRDefault="007D7A9C">
            <w:pPr>
              <w:jc w:val="right"/>
              <w:rPr>
                <w:rFonts w:cs="Arial"/>
                <w:color w:val="000000"/>
                <w:sz w:val="16"/>
                <w:szCs w:val="16"/>
              </w:rPr>
            </w:pPr>
            <w:r>
              <w:rPr>
                <w:rFonts w:cs="Arial"/>
                <w:color w:val="000000"/>
                <w:sz w:val="16"/>
                <w:szCs w:val="16"/>
              </w:rPr>
              <w:t>77</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101</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128</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123</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101</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106</w:t>
            </w:r>
          </w:p>
        </w:tc>
      </w:tr>
      <w:tr w:rsidR="007D7A9C" w:rsidTr="008329D1">
        <w:trPr>
          <w:trHeight w:val="255"/>
        </w:trPr>
        <w:tc>
          <w:tcPr>
            <w:tcW w:w="3075" w:type="dxa"/>
            <w:tcBorders>
              <w:top w:val="nil"/>
              <w:left w:val="nil"/>
              <w:bottom w:val="nil"/>
              <w:right w:val="nil"/>
            </w:tcBorders>
            <w:noWrap/>
            <w:vAlign w:val="bottom"/>
          </w:tcPr>
          <w:p w:rsidR="007D7A9C" w:rsidRDefault="007D7A9C" w:rsidP="008329D1">
            <w:pPr>
              <w:rPr>
                <w:rFonts w:eastAsia="Arial Unicode MS" w:cs="Arial"/>
                <w:sz w:val="16"/>
                <w:szCs w:val="16"/>
              </w:rPr>
            </w:pPr>
            <w:r>
              <w:rPr>
                <w:rFonts w:cs="Arial"/>
                <w:sz w:val="16"/>
                <w:szCs w:val="16"/>
              </w:rPr>
              <w:t>Nezjištěno</w:t>
            </w:r>
          </w:p>
        </w:tc>
        <w:tc>
          <w:tcPr>
            <w:tcW w:w="911" w:type="dxa"/>
            <w:tcBorders>
              <w:top w:val="nil"/>
              <w:left w:val="single" w:sz="4" w:space="0" w:color="auto"/>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318</w:t>
            </w:r>
          </w:p>
        </w:tc>
        <w:tc>
          <w:tcPr>
            <w:tcW w:w="943" w:type="dxa"/>
            <w:tcBorders>
              <w:top w:val="nil"/>
              <w:left w:val="nil"/>
              <w:bottom w:val="nil"/>
              <w:right w:val="nil"/>
            </w:tcBorders>
            <w:tcMar>
              <w:right w:w="142" w:type="dxa"/>
            </w:tcMar>
            <w:vAlign w:val="bottom"/>
          </w:tcPr>
          <w:p w:rsidR="007D7A9C" w:rsidRDefault="007D7A9C">
            <w:pPr>
              <w:jc w:val="right"/>
              <w:rPr>
                <w:rFonts w:cs="Arial"/>
                <w:color w:val="000000"/>
                <w:sz w:val="16"/>
                <w:szCs w:val="16"/>
              </w:rPr>
            </w:pPr>
            <w:r>
              <w:rPr>
                <w:rFonts w:cs="Arial"/>
                <w:color w:val="000000"/>
                <w:sz w:val="16"/>
                <w:szCs w:val="16"/>
              </w:rPr>
              <w:t>584</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591</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666</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688</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715</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688</w:t>
            </w:r>
          </w:p>
        </w:tc>
      </w:tr>
      <w:tr w:rsidR="007D7A9C" w:rsidTr="008329D1">
        <w:trPr>
          <w:trHeight w:val="255"/>
        </w:trPr>
        <w:tc>
          <w:tcPr>
            <w:tcW w:w="3075" w:type="dxa"/>
            <w:tcBorders>
              <w:top w:val="nil"/>
              <w:left w:val="nil"/>
              <w:bottom w:val="single" w:sz="4" w:space="0" w:color="auto"/>
              <w:right w:val="nil"/>
            </w:tcBorders>
            <w:noWrap/>
            <w:vAlign w:val="bottom"/>
          </w:tcPr>
          <w:p w:rsidR="007D7A9C" w:rsidRDefault="007D7A9C" w:rsidP="008329D1">
            <w:pPr>
              <w:rPr>
                <w:rFonts w:eastAsia="Arial Unicode MS" w:cs="Arial"/>
                <w:sz w:val="16"/>
                <w:szCs w:val="16"/>
              </w:rPr>
            </w:pPr>
            <w:r>
              <w:rPr>
                <w:rFonts w:cs="Arial"/>
                <w:sz w:val="16"/>
                <w:szCs w:val="16"/>
              </w:rPr>
              <w:t>Celkem</w:t>
            </w:r>
          </w:p>
        </w:tc>
        <w:tc>
          <w:tcPr>
            <w:tcW w:w="911" w:type="dxa"/>
            <w:tcBorders>
              <w:top w:val="nil"/>
              <w:left w:val="single" w:sz="4" w:space="0" w:color="auto"/>
              <w:bottom w:val="single" w:sz="4" w:space="0" w:color="auto"/>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41 324</w:t>
            </w:r>
          </w:p>
        </w:tc>
        <w:tc>
          <w:tcPr>
            <w:tcW w:w="943" w:type="dxa"/>
            <w:tcBorders>
              <w:top w:val="nil"/>
              <w:left w:val="nil"/>
              <w:bottom w:val="single" w:sz="4" w:space="0" w:color="auto"/>
              <w:right w:val="nil"/>
            </w:tcBorders>
            <w:noWrap/>
            <w:tcMar>
              <w:right w:w="142" w:type="dxa"/>
            </w:tcMar>
            <w:vAlign w:val="bottom"/>
          </w:tcPr>
          <w:p w:rsidR="007D7A9C" w:rsidRDefault="007D7A9C">
            <w:pPr>
              <w:jc w:val="right"/>
              <w:rPr>
                <w:rFonts w:cs="Arial"/>
                <w:sz w:val="16"/>
                <w:szCs w:val="16"/>
              </w:rPr>
            </w:pPr>
            <w:r>
              <w:rPr>
                <w:rFonts w:cs="Arial"/>
                <w:sz w:val="16"/>
                <w:szCs w:val="16"/>
              </w:rPr>
              <w:t>40 528</w:t>
            </w:r>
          </w:p>
        </w:tc>
        <w:tc>
          <w:tcPr>
            <w:tcW w:w="942" w:type="dxa"/>
            <w:tcBorders>
              <w:top w:val="nil"/>
              <w:left w:val="nil"/>
              <w:bottom w:val="single" w:sz="4" w:space="0" w:color="auto"/>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39 273</w:t>
            </w:r>
          </w:p>
        </w:tc>
        <w:tc>
          <w:tcPr>
            <w:tcW w:w="942" w:type="dxa"/>
            <w:tcBorders>
              <w:top w:val="nil"/>
              <w:left w:val="nil"/>
              <w:bottom w:val="single" w:sz="4" w:space="0" w:color="auto"/>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38 864</w:t>
            </w:r>
          </w:p>
        </w:tc>
        <w:tc>
          <w:tcPr>
            <w:tcW w:w="942" w:type="dxa"/>
            <w:tcBorders>
              <w:top w:val="nil"/>
              <w:left w:val="nil"/>
              <w:bottom w:val="single" w:sz="4" w:space="0" w:color="auto"/>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37 733</w:t>
            </w:r>
          </w:p>
        </w:tc>
        <w:tc>
          <w:tcPr>
            <w:tcW w:w="942" w:type="dxa"/>
            <w:tcBorders>
              <w:top w:val="nil"/>
              <w:left w:val="nil"/>
              <w:bottom w:val="single" w:sz="4" w:space="0" w:color="auto"/>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37 687</w:t>
            </w:r>
          </w:p>
        </w:tc>
        <w:tc>
          <w:tcPr>
            <w:tcW w:w="942" w:type="dxa"/>
            <w:tcBorders>
              <w:top w:val="nil"/>
              <w:left w:val="nil"/>
              <w:bottom w:val="single" w:sz="4" w:space="0" w:color="auto"/>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36 956</w:t>
            </w:r>
          </w:p>
        </w:tc>
      </w:tr>
      <w:tr w:rsidR="00946F0D" w:rsidTr="008329D1">
        <w:trPr>
          <w:trHeight w:val="255"/>
        </w:trPr>
        <w:tc>
          <w:tcPr>
            <w:tcW w:w="3075" w:type="dxa"/>
            <w:tcBorders>
              <w:top w:val="nil"/>
              <w:left w:val="nil"/>
              <w:bottom w:val="nil"/>
              <w:right w:val="nil"/>
            </w:tcBorders>
            <w:noWrap/>
            <w:vAlign w:val="bottom"/>
          </w:tcPr>
          <w:p w:rsidR="00946F0D" w:rsidRDefault="00946F0D" w:rsidP="008329D1">
            <w:pPr>
              <w:rPr>
                <w:rFonts w:eastAsia="Arial Unicode MS" w:cs="Arial"/>
                <w:sz w:val="16"/>
                <w:szCs w:val="16"/>
              </w:rPr>
            </w:pPr>
          </w:p>
        </w:tc>
        <w:tc>
          <w:tcPr>
            <w:tcW w:w="6564" w:type="dxa"/>
            <w:gridSpan w:val="7"/>
            <w:tcBorders>
              <w:top w:val="single" w:sz="4" w:space="0" w:color="auto"/>
              <w:left w:val="single" w:sz="4" w:space="0" w:color="auto"/>
              <w:bottom w:val="nil"/>
              <w:right w:val="nil"/>
            </w:tcBorders>
            <w:noWrap/>
            <w:vAlign w:val="bottom"/>
          </w:tcPr>
          <w:p w:rsidR="00946F0D" w:rsidRDefault="00946F0D" w:rsidP="008329D1">
            <w:pPr>
              <w:jc w:val="center"/>
              <w:rPr>
                <w:rFonts w:eastAsia="Arial Unicode MS" w:cs="Arial"/>
                <w:b/>
                <w:bCs/>
                <w:sz w:val="16"/>
                <w:szCs w:val="16"/>
              </w:rPr>
            </w:pPr>
            <w:r>
              <w:rPr>
                <w:rFonts w:cs="Arial"/>
                <w:b/>
                <w:bCs/>
                <w:sz w:val="16"/>
                <w:szCs w:val="16"/>
              </w:rPr>
              <w:t>Umělá přerušení těhotenství</w:t>
            </w:r>
          </w:p>
        </w:tc>
      </w:tr>
      <w:tr w:rsidR="007D7A9C" w:rsidTr="008329D1">
        <w:trPr>
          <w:trHeight w:val="255"/>
        </w:trPr>
        <w:tc>
          <w:tcPr>
            <w:tcW w:w="3075" w:type="dxa"/>
            <w:tcBorders>
              <w:top w:val="nil"/>
              <w:left w:val="nil"/>
              <w:bottom w:val="nil"/>
              <w:right w:val="nil"/>
            </w:tcBorders>
            <w:noWrap/>
            <w:vAlign w:val="bottom"/>
          </w:tcPr>
          <w:p w:rsidR="007D7A9C" w:rsidRDefault="007D7A9C" w:rsidP="008329D1">
            <w:pPr>
              <w:rPr>
                <w:rFonts w:eastAsia="Arial Unicode MS" w:cs="Arial"/>
                <w:sz w:val="16"/>
                <w:szCs w:val="16"/>
              </w:rPr>
            </w:pPr>
            <w:r>
              <w:rPr>
                <w:rFonts w:cs="Arial"/>
                <w:sz w:val="16"/>
                <w:szCs w:val="16"/>
              </w:rPr>
              <w:t>Svobodná</w:t>
            </w:r>
          </w:p>
        </w:tc>
        <w:tc>
          <w:tcPr>
            <w:tcW w:w="911" w:type="dxa"/>
            <w:tcBorders>
              <w:top w:val="nil"/>
              <w:left w:val="single" w:sz="4" w:space="0" w:color="auto"/>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10 551</w:t>
            </w:r>
          </w:p>
        </w:tc>
        <w:tc>
          <w:tcPr>
            <w:tcW w:w="943" w:type="dxa"/>
            <w:tcBorders>
              <w:top w:val="nil"/>
              <w:left w:val="nil"/>
              <w:bottom w:val="nil"/>
              <w:right w:val="nil"/>
            </w:tcBorders>
            <w:tcMar>
              <w:right w:w="142" w:type="dxa"/>
            </w:tcMar>
            <w:vAlign w:val="bottom"/>
          </w:tcPr>
          <w:p w:rsidR="007D7A9C" w:rsidRDefault="007D7A9C">
            <w:pPr>
              <w:jc w:val="right"/>
              <w:rPr>
                <w:rFonts w:cs="Arial"/>
                <w:color w:val="000000"/>
                <w:sz w:val="16"/>
                <w:szCs w:val="16"/>
              </w:rPr>
            </w:pPr>
            <w:r>
              <w:rPr>
                <w:rFonts w:cs="Arial"/>
                <w:color w:val="000000"/>
                <w:sz w:val="16"/>
                <w:szCs w:val="16"/>
              </w:rPr>
              <w:t>11 271</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11 283</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11 693</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11 566</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11 883</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11 604</w:t>
            </w:r>
          </w:p>
        </w:tc>
      </w:tr>
      <w:tr w:rsidR="007D7A9C" w:rsidTr="008329D1">
        <w:trPr>
          <w:trHeight w:val="255"/>
        </w:trPr>
        <w:tc>
          <w:tcPr>
            <w:tcW w:w="3075" w:type="dxa"/>
            <w:tcBorders>
              <w:top w:val="nil"/>
              <w:left w:val="nil"/>
              <w:bottom w:val="nil"/>
              <w:right w:val="nil"/>
            </w:tcBorders>
            <w:noWrap/>
            <w:vAlign w:val="bottom"/>
          </w:tcPr>
          <w:p w:rsidR="007D7A9C" w:rsidRDefault="007D7A9C" w:rsidP="008329D1">
            <w:pPr>
              <w:rPr>
                <w:rFonts w:eastAsia="Arial Unicode MS" w:cs="Arial"/>
                <w:sz w:val="16"/>
                <w:szCs w:val="16"/>
              </w:rPr>
            </w:pPr>
            <w:r>
              <w:rPr>
                <w:rFonts w:cs="Arial"/>
                <w:sz w:val="16"/>
                <w:szCs w:val="16"/>
              </w:rPr>
              <w:t>Vdaná</w:t>
            </w:r>
          </w:p>
        </w:tc>
        <w:tc>
          <w:tcPr>
            <w:tcW w:w="911" w:type="dxa"/>
            <w:tcBorders>
              <w:top w:val="nil"/>
              <w:left w:val="single" w:sz="4" w:space="0" w:color="auto"/>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13 011</w:t>
            </w:r>
          </w:p>
        </w:tc>
        <w:tc>
          <w:tcPr>
            <w:tcW w:w="943" w:type="dxa"/>
            <w:tcBorders>
              <w:top w:val="nil"/>
              <w:left w:val="nil"/>
              <w:bottom w:val="nil"/>
              <w:right w:val="nil"/>
            </w:tcBorders>
            <w:tcMar>
              <w:right w:w="142" w:type="dxa"/>
            </w:tcMar>
            <w:vAlign w:val="bottom"/>
          </w:tcPr>
          <w:p w:rsidR="007D7A9C" w:rsidRDefault="007D7A9C">
            <w:pPr>
              <w:jc w:val="right"/>
              <w:rPr>
                <w:rFonts w:cs="Arial"/>
                <w:color w:val="000000"/>
                <w:sz w:val="16"/>
                <w:szCs w:val="16"/>
              </w:rPr>
            </w:pPr>
            <w:r>
              <w:rPr>
                <w:rFonts w:cs="Arial"/>
                <w:color w:val="000000"/>
                <w:sz w:val="16"/>
                <w:szCs w:val="16"/>
              </w:rPr>
              <w:t>9 873</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9 296</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8 993</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8 385</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7 774</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7 459</w:t>
            </w:r>
          </w:p>
        </w:tc>
      </w:tr>
      <w:tr w:rsidR="007D7A9C" w:rsidTr="008329D1">
        <w:trPr>
          <w:trHeight w:val="255"/>
        </w:trPr>
        <w:tc>
          <w:tcPr>
            <w:tcW w:w="3075" w:type="dxa"/>
            <w:tcBorders>
              <w:top w:val="nil"/>
              <w:left w:val="nil"/>
              <w:bottom w:val="nil"/>
              <w:right w:val="nil"/>
            </w:tcBorders>
            <w:noWrap/>
            <w:vAlign w:val="bottom"/>
          </w:tcPr>
          <w:p w:rsidR="007D7A9C" w:rsidRDefault="007D7A9C" w:rsidP="008329D1">
            <w:pPr>
              <w:rPr>
                <w:rFonts w:eastAsia="Arial Unicode MS" w:cs="Arial"/>
                <w:sz w:val="16"/>
                <w:szCs w:val="16"/>
              </w:rPr>
            </w:pPr>
            <w:r>
              <w:rPr>
                <w:rFonts w:cs="Arial"/>
                <w:sz w:val="16"/>
                <w:szCs w:val="16"/>
              </w:rPr>
              <w:t>Rozvedená</w:t>
            </w:r>
          </w:p>
        </w:tc>
        <w:tc>
          <w:tcPr>
            <w:tcW w:w="911" w:type="dxa"/>
            <w:tcBorders>
              <w:top w:val="nil"/>
              <w:left w:val="single" w:sz="4" w:space="0" w:color="auto"/>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3 586</w:t>
            </w:r>
          </w:p>
        </w:tc>
        <w:tc>
          <w:tcPr>
            <w:tcW w:w="943" w:type="dxa"/>
            <w:tcBorders>
              <w:top w:val="nil"/>
              <w:left w:val="nil"/>
              <w:bottom w:val="nil"/>
              <w:right w:val="nil"/>
            </w:tcBorders>
            <w:tcMar>
              <w:right w:w="142" w:type="dxa"/>
            </w:tcMar>
            <w:vAlign w:val="bottom"/>
          </w:tcPr>
          <w:p w:rsidR="007D7A9C" w:rsidRDefault="007D7A9C">
            <w:pPr>
              <w:jc w:val="right"/>
              <w:rPr>
                <w:rFonts w:cs="Arial"/>
                <w:color w:val="000000"/>
                <w:sz w:val="16"/>
                <w:szCs w:val="16"/>
              </w:rPr>
            </w:pPr>
            <w:r>
              <w:rPr>
                <w:rFonts w:cs="Arial"/>
                <w:color w:val="000000"/>
                <w:sz w:val="16"/>
                <w:szCs w:val="16"/>
              </w:rPr>
              <w:t>3 067</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2 991</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2 915</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2 622</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2 620</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2 433</w:t>
            </w:r>
          </w:p>
        </w:tc>
      </w:tr>
      <w:tr w:rsidR="007D7A9C" w:rsidTr="008329D1">
        <w:trPr>
          <w:trHeight w:val="255"/>
        </w:trPr>
        <w:tc>
          <w:tcPr>
            <w:tcW w:w="3075" w:type="dxa"/>
            <w:tcBorders>
              <w:top w:val="nil"/>
              <w:left w:val="nil"/>
              <w:bottom w:val="nil"/>
              <w:right w:val="nil"/>
            </w:tcBorders>
            <w:noWrap/>
            <w:vAlign w:val="bottom"/>
          </w:tcPr>
          <w:p w:rsidR="007D7A9C" w:rsidRDefault="007D7A9C" w:rsidP="008329D1">
            <w:pPr>
              <w:rPr>
                <w:rFonts w:eastAsia="Arial Unicode MS" w:cs="Arial"/>
                <w:sz w:val="16"/>
                <w:szCs w:val="16"/>
              </w:rPr>
            </w:pPr>
            <w:r>
              <w:rPr>
                <w:rFonts w:cs="Arial"/>
                <w:sz w:val="16"/>
                <w:szCs w:val="16"/>
              </w:rPr>
              <w:t>Ovdovělá</w:t>
            </w:r>
          </w:p>
        </w:tc>
        <w:tc>
          <w:tcPr>
            <w:tcW w:w="911" w:type="dxa"/>
            <w:tcBorders>
              <w:top w:val="nil"/>
              <w:left w:val="single" w:sz="4" w:space="0" w:color="auto"/>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179</w:t>
            </w:r>
          </w:p>
        </w:tc>
        <w:tc>
          <w:tcPr>
            <w:tcW w:w="943" w:type="dxa"/>
            <w:tcBorders>
              <w:top w:val="nil"/>
              <w:left w:val="nil"/>
              <w:bottom w:val="nil"/>
              <w:right w:val="nil"/>
            </w:tcBorders>
            <w:tcMar>
              <w:right w:w="142" w:type="dxa"/>
            </w:tcMar>
            <w:vAlign w:val="bottom"/>
          </w:tcPr>
          <w:p w:rsidR="007D7A9C" w:rsidRDefault="007D7A9C">
            <w:pPr>
              <w:jc w:val="right"/>
              <w:rPr>
                <w:rFonts w:cs="Arial"/>
                <w:color w:val="000000"/>
                <w:sz w:val="16"/>
                <w:szCs w:val="16"/>
              </w:rPr>
            </w:pPr>
            <w:r>
              <w:rPr>
                <w:rFonts w:cs="Arial"/>
                <w:color w:val="000000"/>
                <w:sz w:val="16"/>
                <w:szCs w:val="16"/>
              </w:rPr>
              <w:t>138</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132</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125</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134</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121</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114</w:t>
            </w:r>
          </w:p>
        </w:tc>
      </w:tr>
      <w:tr w:rsidR="007D7A9C" w:rsidTr="008329D1">
        <w:trPr>
          <w:trHeight w:val="255"/>
        </w:trPr>
        <w:tc>
          <w:tcPr>
            <w:tcW w:w="3075" w:type="dxa"/>
            <w:tcBorders>
              <w:top w:val="nil"/>
              <w:left w:val="nil"/>
              <w:bottom w:val="nil"/>
              <w:right w:val="nil"/>
            </w:tcBorders>
            <w:noWrap/>
            <w:vAlign w:val="bottom"/>
          </w:tcPr>
          <w:p w:rsidR="007D7A9C" w:rsidRDefault="007D7A9C" w:rsidP="008329D1">
            <w:pPr>
              <w:rPr>
                <w:rFonts w:eastAsia="Arial Unicode MS" w:cs="Arial"/>
                <w:sz w:val="16"/>
                <w:szCs w:val="16"/>
              </w:rPr>
            </w:pPr>
            <w:r>
              <w:rPr>
                <w:rFonts w:cs="Arial"/>
                <w:sz w:val="16"/>
                <w:szCs w:val="16"/>
              </w:rPr>
              <w:t>Družka</w:t>
            </w:r>
          </w:p>
        </w:tc>
        <w:tc>
          <w:tcPr>
            <w:tcW w:w="911" w:type="dxa"/>
            <w:tcBorders>
              <w:top w:val="nil"/>
              <w:left w:val="single" w:sz="4" w:space="0" w:color="auto"/>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94</w:t>
            </w:r>
          </w:p>
        </w:tc>
        <w:tc>
          <w:tcPr>
            <w:tcW w:w="943" w:type="dxa"/>
            <w:tcBorders>
              <w:top w:val="nil"/>
              <w:left w:val="nil"/>
              <w:bottom w:val="nil"/>
              <w:right w:val="nil"/>
            </w:tcBorders>
            <w:tcMar>
              <w:right w:w="142" w:type="dxa"/>
            </w:tcMar>
            <w:vAlign w:val="bottom"/>
          </w:tcPr>
          <w:p w:rsidR="007D7A9C" w:rsidRDefault="007D7A9C">
            <w:pPr>
              <w:jc w:val="right"/>
              <w:rPr>
                <w:rFonts w:cs="Arial"/>
                <w:color w:val="000000"/>
                <w:sz w:val="16"/>
                <w:szCs w:val="16"/>
              </w:rPr>
            </w:pPr>
            <w:r>
              <w:rPr>
                <w:rFonts w:cs="Arial"/>
                <w:color w:val="000000"/>
                <w:sz w:val="16"/>
                <w:szCs w:val="16"/>
              </w:rPr>
              <w:t>58</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78</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90</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86</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72</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63</w:t>
            </w:r>
          </w:p>
        </w:tc>
      </w:tr>
      <w:tr w:rsidR="007D7A9C" w:rsidTr="008329D1">
        <w:trPr>
          <w:trHeight w:val="255"/>
        </w:trPr>
        <w:tc>
          <w:tcPr>
            <w:tcW w:w="3075" w:type="dxa"/>
            <w:tcBorders>
              <w:top w:val="nil"/>
              <w:left w:val="nil"/>
              <w:bottom w:val="nil"/>
              <w:right w:val="nil"/>
            </w:tcBorders>
            <w:noWrap/>
            <w:vAlign w:val="bottom"/>
          </w:tcPr>
          <w:p w:rsidR="007D7A9C" w:rsidRDefault="007D7A9C" w:rsidP="008329D1">
            <w:pPr>
              <w:rPr>
                <w:rFonts w:eastAsia="Arial Unicode MS" w:cs="Arial"/>
                <w:sz w:val="16"/>
                <w:szCs w:val="16"/>
              </w:rPr>
            </w:pPr>
            <w:r>
              <w:rPr>
                <w:rFonts w:cs="Arial"/>
                <w:sz w:val="16"/>
                <w:szCs w:val="16"/>
              </w:rPr>
              <w:t>Nezjištěno</w:t>
            </w:r>
          </w:p>
        </w:tc>
        <w:tc>
          <w:tcPr>
            <w:tcW w:w="911" w:type="dxa"/>
            <w:tcBorders>
              <w:top w:val="nil"/>
              <w:left w:val="single" w:sz="4" w:space="0" w:color="auto"/>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153</w:t>
            </w:r>
          </w:p>
        </w:tc>
        <w:tc>
          <w:tcPr>
            <w:tcW w:w="943" w:type="dxa"/>
            <w:tcBorders>
              <w:top w:val="nil"/>
              <w:left w:val="nil"/>
              <w:bottom w:val="nil"/>
              <w:right w:val="nil"/>
            </w:tcBorders>
            <w:tcMar>
              <w:right w:w="142" w:type="dxa"/>
            </w:tcMar>
            <w:vAlign w:val="bottom"/>
          </w:tcPr>
          <w:p w:rsidR="007D7A9C" w:rsidRDefault="007D7A9C">
            <w:pPr>
              <w:jc w:val="right"/>
              <w:rPr>
                <w:rFonts w:cs="Arial"/>
                <w:color w:val="000000"/>
                <w:sz w:val="16"/>
                <w:szCs w:val="16"/>
              </w:rPr>
            </w:pPr>
            <w:r>
              <w:rPr>
                <w:rFonts w:cs="Arial"/>
                <w:color w:val="000000"/>
                <w:sz w:val="16"/>
                <w:szCs w:val="16"/>
              </w:rPr>
              <w:t>229</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218</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239</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color w:val="000000"/>
                <w:sz w:val="16"/>
                <w:szCs w:val="16"/>
              </w:rPr>
            </w:pPr>
            <w:r>
              <w:rPr>
                <w:rFonts w:cs="Arial"/>
                <w:color w:val="000000"/>
                <w:sz w:val="16"/>
                <w:szCs w:val="16"/>
              </w:rPr>
              <w:t>239</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244</w:t>
            </w:r>
          </w:p>
        </w:tc>
        <w:tc>
          <w:tcPr>
            <w:tcW w:w="942" w:type="dxa"/>
            <w:tcBorders>
              <w:top w:val="nil"/>
              <w:left w:val="nil"/>
              <w:bottom w:val="nil"/>
              <w:right w:val="nil"/>
            </w:tcBorders>
            <w:tcMar>
              <w:right w:w="142" w:type="dxa"/>
            </w:tcMar>
            <w:vAlign w:val="bottom"/>
          </w:tcPr>
          <w:p w:rsidR="007D7A9C" w:rsidRDefault="007D7A9C" w:rsidP="008329D1">
            <w:pPr>
              <w:jc w:val="right"/>
              <w:rPr>
                <w:rFonts w:cs="Arial"/>
                <w:sz w:val="16"/>
                <w:szCs w:val="16"/>
              </w:rPr>
            </w:pPr>
            <w:r>
              <w:rPr>
                <w:rFonts w:cs="Arial"/>
                <w:sz w:val="16"/>
                <w:szCs w:val="16"/>
              </w:rPr>
              <w:t>220</w:t>
            </w:r>
          </w:p>
        </w:tc>
      </w:tr>
      <w:tr w:rsidR="007D7A9C" w:rsidTr="008329D1">
        <w:trPr>
          <w:trHeight w:val="255"/>
        </w:trPr>
        <w:tc>
          <w:tcPr>
            <w:tcW w:w="3075" w:type="dxa"/>
            <w:tcBorders>
              <w:top w:val="nil"/>
              <w:left w:val="nil"/>
              <w:bottom w:val="single" w:sz="4" w:space="0" w:color="auto"/>
              <w:right w:val="nil"/>
            </w:tcBorders>
            <w:noWrap/>
            <w:vAlign w:val="bottom"/>
          </w:tcPr>
          <w:p w:rsidR="007D7A9C" w:rsidRDefault="007D7A9C" w:rsidP="008329D1">
            <w:pPr>
              <w:rPr>
                <w:rFonts w:eastAsia="Arial Unicode MS" w:cs="Arial"/>
                <w:sz w:val="16"/>
                <w:szCs w:val="16"/>
              </w:rPr>
            </w:pPr>
            <w:r>
              <w:rPr>
                <w:rFonts w:cs="Arial"/>
                <w:sz w:val="16"/>
                <w:szCs w:val="16"/>
              </w:rPr>
              <w:t>Celkem</w:t>
            </w:r>
          </w:p>
        </w:tc>
        <w:tc>
          <w:tcPr>
            <w:tcW w:w="911" w:type="dxa"/>
            <w:tcBorders>
              <w:top w:val="nil"/>
              <w:left w:val="single" w:sz="4" w:space="0" w:color="auto"/>
              <w:bottom w:val="single" w:sz="4" w:space="0" w:color="auto"/>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27 574</w:t>
            </w:r>
          </w:p>
        </w:tc>
        <w:tc>
          <w:tcPr>
            <w:tcW w:w="943" w:type="dxa"/>
            <w:tcBorders>
              <w:top w:val="nil"/>
              <w:left w:val="nil"/>
              <w:bottom w:val="single" w:sz="4" w:space="0" w:color="auto"/>
              <w:right w:val="nil"/>
            </w:tcBorders>
            <w:noWrap/>
            <w:tcMar>
              <w:right w:w="142" w:type="dxa"/>
            </w:tcMar>
            <w:vAlign w:val="bottom"/>
          </w:tcPr>
          <w:p w:rsidR="007D7A9C" w:rsidRDefault="007D7A9C">
            <w:pPr>
              <w:jc w:val="right"/>
              <w:rPr>
                <w:rFonts w:cs="Arial"/>
                <w:sz w:val="16"/>
                <w:szCs w:val="16"/>
              </w:rPr>
            </w:pPr>
            <w:r>
              <w:rPr>
                <w:rFonts w:cs="Arial"/>
                <w:sz w:val="16"/>
                <w:szCs w:val="16"/>
              </w:rPr>
              <w:t>24 636</w:t>
            </w:r>
          </w:p>
        </w:tc>
        <w:tc>
          <w:tcPr>
            <w:tcW w:w="942" w:type="dxa"/>
            <w:tcBorders>
              <w:top w:val="nil"/>
              <w:left w:val="nil"/>
              <w:bottom w:val="single" w:sz="4" w:space="0" w:color="auto"/>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23 998</w:t>
            </w:r>
          </w:p>
        </w:tc>
        <w:tc>
          <w:tcPr>
            <w:tcW w:w="942" w:type="dxa"/>
            <w:tcBorders>
              <w:top w:val="nil"/>
              <w:left w:val="nil"/>
              <w:bottom w:val="single" w:sz="4" w:space="0" w:color="auto"/>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24 055</w:t>
            </w:r>
          </w:p>
        </w:tc>
        <w:tc>
          <w:tcPr>
            <w:tcW w:w="942" w:type="dxa"/>
            <w:tcBorders>
              <w:top w:val="nil"/>
              <w:left w:val="nil"/>
              <w:bottom w:val="single" w:sz="4" w:space="0" w:color="auto"/>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23 032</w:t>
            </w:r>
          </w:p>
        </w:tc>
        <w:tc>
          <w:tcPr>
            <w:tcW w:w="942" w:type="dxa"/>
            <w:tcBorders>
              <w:top w:val="nil"/>
              <w:left w:val="nil"/>
              <w:bottom w:val="single" w:sz="4" w:space="0" w:color="auto"/>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22 714</w:t>
            </w:r>
          </w:p>
        </w:tc>
        <w:tc>
          <w:tcPr>
            <w:tcW w:w="942" w:type="dxa"/>
            <w:tcBorders>
              <w:top w:val="nil"/>
              <w:left w:val="nil"/>
              <w:bottom w:val="single" w:sz="4" w:space="0" w:color="auto"/>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21 893</w:t>
            </w:r>
          </w:p>
        </w:tc>
      </w:tr>
      <w:tr w:rsidR="00946F0D" w:rsidTr="008329D1">
        <w:trPr>
          <w:trHeight w:val="255"/>
        </w:trPr>
        <w:tc>
          <w:tcPr>
            <w:tcW w:w="3075" w:type="dxa"/>
            <w:tcBorders>
              <w:top w:val="nil"/>
              <w:left w:val="nil"/>
              <w:bottom w:val="nil"/>
              <w:right w:val="nil"/>
            </w:tcBorders>
            <w:noWrap/>
            <w:vAlign w:val="bottom"/>
          </w:tcPr>
          <w:p w:rsidR="00946F0D" w:rsidRDefault="00946F0D" w:rsidP="008329D1">
            <w:pPr>
              <w:rPr>
                <w:rFonts w:eastAsia="Arial Unicode MS" w:cs="Arial"/>
                <w:sz w:val="16"/>
                <w:szCs w:val="16"/>
              </w:rPr>
            </w:pPr>
          </w:p>
        </w:tc>
        <w:tc>
          <w:tcPr>
            <w:tcW w:w="6564" w:type="dxa"/>
            <w:gridSpan w:val="7"/>
            <w:tcBorders>
              <w:top w:val="single" w:sz="4" w:space="0" w:color="auto"/>
              <w:left w:val="single" w:sz="4" w:space="0" w:color="auto"/>
              <w:bottom w:val="nil"/>
              <w:right w:val="nil"/>
            </w:tcBorders>
            <w:noWrap/>
            <w:vAlign w:val="bottom"/>
          </w:tcPr>
          <w:p w:rsidR="00946F0D" w:rsidRDefault="00946F0D" w:rsidP="008329D1">
            <w:pPr>
              <w:jc w:val="center"/>
              <w:rPr>
                <w:rFonts w:eastAsia="Arial Unicode MS" w:cs="Arial"/>
                <w:b/>
                <w:bCs/>
                <w:sz w:val="16"/>
                <w:szCs w:val="16"/>
              </w:rPr>
            </w:pPr>
            <w:r>
              <w:rPr>
                <w:rFonts w:cs="Arial"/>
                <w:b/>
                <w:bCs/>
                <w:sz w:val="16"/>
                <w:szCs w:val="16"/>
              </w:rPr>
              <w:t>Samovolné potraty</w:t>
            </w:r>
          </w:p>
        </w:tc>
      </w:tr>
      <w:tr w:rsidR="007D7A9C" w:rsidTr="008329D1">
        <w:trPr>
          <w:trHeight w:val="255"/>
        </w:trPr>
        <w:tc>
          <w:tcPr>
            <w:tcW w:w="3075" w:type="dxa"/>
            <w:tcBorders>
              <w:top w:val="nil"/>
              <w:left w:val="nil"/>
              <w:bottom w:val="nil"/>
              <w:right w:val="nil"/>
            </w:tcBorders>
            <w:noWrap/>
            <w:vAlign w:val="bottom"/>
          </w:tcPr>
          <w:p w:rsidR="007D7A9C" w:rsidRDefault="007D7A9C" w:rsidP="008329D1">
            <w:pPr>
              <w:rPr>
                <w:rFonts w:eastAsia="Arial Unicode MS" w:cs="Arial"/>
                <w:sz w:val="16"/>
                <w:szCs w:val="16"/>
              </w:rPr>
            </w:pPr>
            <w:r>
              <w:rPr>
                <w:rFonts w:cs="Arial"/>
                <w:sz w:val="16"/>
                <w:szCs w:val="16"/>
              </w:rPr>
              <w:t>Svobodná</w:t>
            </w:r>
          </w:p>
        </w:tc>
        <w:tc>
          <w:tcPr>
            <w:tcW w:w="911" w:type="dxa"/>
            <w:tcBorders>
              <w:top w:val="nil"/>
              <w:left w:val="single" w:sz="4" w:space="0" w:color="auto"/>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4 209</w:t>
            </w:r>
          </w:p>
        </w:tc>
        <w:tc>
          <w:tcPr>
            <w:tcW w:w="943" w:type="dxa"/>
            <w:tcBorders>
              <w:top w:val="nil"/>
              <w:left w:val="nil"/>
              <w:bottom w:val="nil"/>
              <w:right w:val="nil"/>
            </w:tcBorders>
            <w:noWrap/>
            <w:tcMar>
              <w:right w:w="142" w:type="dxa"/>
            </w:tcMar>
            <w:vAlign w:val="bottom"/>
          </w:tcPr>
          <w:p w:rsidR="007D7A9C" w:rsidRDefault="007D7A9C">
            <w:pPr>
              <w:jc w:val="right"/>
              <w:rPr>
                <w:rFonts w:cs="Arial"/>
                <w:sz w:val="16"/>
                <w:szCs w:val="16"/>
              </w:rPr>
            </w:pPr>
            <w:r>
              <w:rPr>
                <w:rFonts w:cs="Arial"/>
                <w:sz w:val="16"/>
                <w:szCs w:val="16"/>
              </w:rPr>
              <w:t>5 551</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4 982</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5 136</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5 346</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5 630</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5 879</w:t>
            </w:r>
          </w:p>
        </w:tc>
      </w:tr>
      <w:tr w:rsidR="007D7A9C" w:rsidTr="008329D1">
        <w:trPr>
          <w:trHeight w:val="255"/>
        </w:trPr>
        <w:tc>
          <w:tcPr>
            <w:tcW w:w="3075" w:type="dxa"/>
            <w:tcBorders>
              <w:top w:val="nil"/>
              <w:left w:val="nil"/>
              <w:bottom w:val="nil"/>
              <w:right w:val="nil"/>
            </w:tcBorders>
            <w:noWrap/>
            <w:vAlign w:val="bottom"/>
          </w:tcPr>
          <w:p w:rsidR="007D7A9C" w:rsidRDefault="007D7A9C" w:rsidP="008329D1">
            <w:pPr>
              <w:rPr>
                <w:rFonts w:eastAsia="Arial Unicode MS" w:cs="Arial"/>
                <w:sz w:val="16"/>
                <w:szCs w:val="16"/>
              </w:rPr>
            </w:pPr>
            <w:r>
              <w:rPr>
                <w:rFonts w:cs="Arial"/>
                <w:sz w:val="16"/>
                <w:szCs w:val="16"/>
              </w:rPr>
              <w:t>Vdaná</w:t>
            </w:r>
          </w:p>
        </w:tc>
        <w:tc>
          <w:tcPr>
            <w:tcW w:w="911" w:type="dxa"/>
            <w:tcBorders>
              <w:top w:val="nil"/>
              <w:left w:val="single" w:sz="4" w:space="0" w:color="auto"/>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7 955</w:t>
            </w:r>
          </w:p>
        </w:tc>
        <w:tc>
          <w:tcPr>
            <w:tcW w:w="943" w:type="dxa"/>
            <w:tcBorders>
              <w:top w:val="nil"/>
              <w:left w:val="nil"/>
              <w:bottom w:val="nil"/>
              <w:right w:val="nil"/>
            </w:tcBorders>
            <w:noWrap/>
            <w:tcMar>
              <w:right w:w="142" w:type="dxa"/>
            </w:tcMar>
            <w:vAlign w:val="bottom"/>
          </w:tcPr>
          <w:p w:rsidR="007D7A9C" w:rsidRDefault="007D7A9C">
            <w:pPr>
              <w:jc w:val="right"/>
              <w:rPr>
                <w:rFonts w:cs="Arial"/>
                <w:sz w:val="16"/>
                <w:szCs w:val="16"/>
              </w:rPr>
            </w:pPr>
            <w:r>
              <w:rPr>
                <w:rFonts w:cs="Arial"/>
                <w:sz w:val="16"/>
                <w:szCs w:val="16"/>
              </w:rPr>
              <w:t>8 424</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7 330</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6 773</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6 460</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6 383</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6 241</w:t>
            </w:r>
          </w:p>
        </w:tc>
      </w:tr>
      <w:tr w:rsidR="007D7A9C" w:rsidTr="008329D1">
        <w:trPr>
          <w:trHeight w:val="255"/>
        </w:trPr>
        <w:tc>
          <w:tcPr>
            <w:tcW w:w="3075" w:type="dxa"/>
            <w:tcBorders>
              <w:top w:val="nil"/>
              <w:left w:val="nil"/>
              <w:bottom w:val="nil"/>
              <w:right w:val="nil"/>
            </w:tcBorders>
            <w:noWrap/>
            <w:vAlign w:val="bottom"/>
          </w:tcPr>
          <w:p w:rsidR="007D7A9C" w:rsidRDefault="007D7A9C" w:rsidP="008329D1">
            <w:pPr>
              <w:rPr>
                <w:rFonts w:eastAsia="Arial Unicode MS" w:cs="Arial"/>
                <w:sz w:val="16"/>
                <w:szCs w:val="16"/>
              </w:rPr>
            </w:pPr>
            <w:r>
              <w:rPr>
                <w:rFonts w:cs="Arial"/>
                <w:sz w:val="16"/>
                <w:szCs w:val="16"/>
              </w:rPr>
              <w:t>Rozvedená</w:t>
            </w:r>
          </w:p>
        </w:tc>
        <w:tc>
          <w:tcPr>
            <w:tcW w:w="911" w:type="dxa"/>
            <w:tcBorders>
              <w:top w:val="nil"/>
              <w:left w:val="single" w:sz="4" w:space="0" w:color="auto"/>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1 327</w:t>
            </w:r>
          </w:p>
        </w:tc>
        <w:tc>
          <w:tcPr>
            <w:tcW w:w="943" w:type="dxa"/>
            <w:tcBorders>
              <w:top w:val="nil"/>
              <w:left w:val="nil"/>
              <w:bottom w:val="nil"/>
              <w:right w:val="nil"/>
            </w:tcBorders>
            <w:noWrap/>
            <w:tcMar>
              <w:right w:w="142" w:type="dxa"/>
            </w:tcMar>
            <w:vAlign w:val="bottom"/>
          </w:tcPr>
          <w:p w:rsidR="007D7A9C" w:rsidRDefault="007D7A9C">
            <w:pPr>
              <w:jc w:val="right"/>
              <w:rPr>
                <w:rFonts w:cs="Arial"/>
                <w:sz w:val="16"/>
                <w:szCs w:val="16"/>
              </w:rPr>
            </w:pPr>
            <w:r>
              <w:rPr>
                <w:rFonts w:cs="Arial"/>
                <w:sz w:val="16"/>
                <w:szCs w:val="16"/>
              </w:rPr>
              <w:t>1 472</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1 259</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1 245</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1 192</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1 182</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1 215</w:t>
            </w:r>
          </w:p>
        </w:tc>
      </w:tr>
      <w:tr w:rsidR="007D7A9C" w:rsidTr="008329D1">
        <w:trPr>
          <w:trHeight w:val="255"/>
        </w:trPr>
        <w:tc>
          <w:tcPr>
            <w:tcW w:w="3075" w:type="dxa"/>
            <w:tcBorders>
              <w:top w:val="nil"/>
              <w:left w:val="nil"/>
              <w:bottom w:val="nil"/>
              <w:right w:val="nil"/>
            </w:tcBorders>
            <w:noWrap/>
            <w:vAlign w:val="bottom"/>
          </w:tcPr>
          <w:p w:rsidR="007D7A9C" w:rsidRDefault="007D7A9C" w:rsidP="008329D1">
            <w:pPr>
              <w:rPr>
                <w:rFonts w:eastAsia="Arial Unicode MS" w:cs="Arial"/>
                <w:sz w:val="16"/>
                <w:szCs w:val="16"/>
              </w:rPr>
            </w:pPr>
            <w:r>
              <w:rPr>
                <w:rFonts w:cs="Arial"/>
                <w:sz w:val="16"/>
                <w:szCs w:val="16"/>
              </w:rPr>
              <w:t>Ovdovělá</w:t>
            </w:r>
          </w:p>
        </w:tc>
        <w:tc>
          <w:tcPr>
            <w:tcW w:w="911" w:type="dxa"/>
            <w:tcBorders>
              <w:top w:val="nil"/>
              <w:left w:val="single" w:sz="4" w:space="0" w:color="auto"/>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64</w:t>
            </w:r>
          </w:p>
        </w:tc>
        <w:tc>
          <w:tcPr>
            <w:tcW w:w="943" w:type="dxa"/>
            <w:tcBorders>
              <w:top w:val="nil"/>
              <w:left w:val="nil"/>
              <w:bottom w:val="nil"/>
              <w:right w:val="nil"/>
            </w:tcBorders>
            <w:noWrap/>
            <w:tcMar>
              <w:right w:w="142" w:type="dxa"/>
            </w:tcMar>
            <w:vAlign w:val="bottom"/>
          </w:tcPr>
          <w:p w:rsidR="007D7A9C" w:rsidRDefault="007D7A9C">
            <w:pPr>
              <w:jc w:val="right"/>
              <w:rPr>
                <w:rFonts w:cs="Arial"/>
                <w:sz w:val="16"/>
                <w:szCs w:val="16"/>
              </w:rPr>
            </w:pPr>
            <w:r>
              <w:rPr>
                <w:rFonts w:cs="Arial"/>
                <w:sz w:val="16"/>
                <w:szCs w:val="16"/>
              </w:rPr>
              <w:t>71</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56</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60</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65</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62</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62</w:t>
            </w:r>
          </w:p>
        </w:tc>
      </w:tr>
      <w:tr w:rsidR="007D7A9C" w:rsidTr="008329D1">
        <w:trPr>
          <w:trHeight w:val="255"/>
        </w:trPr>
        <w:tc>
          <w:tcPr>
            <w:tcW w:w="3075" w:type="dxa"/>
            <w:tcBorders>
              <w:top w:val="nil"/>
              <w:left w:val="nil"/>
              <w:bottom w:val="nil"/>
              <w:right w:val="nil"/>
            </w:tcBorders>
            <w:noWrap/>
            <w:vAlign w:val="bottom"/>
          </w:tcPr>
          <w:p w:rsidR="007D7A9C" w:rsidRDefault="007D7A9C" w:rsidP="008329D1">
            <w:pPr>
              <w:rPr>
                <w:rFonts w:eastAsia="Arial Unicode MS" w:cs="Arial"/>
                <w:sz w:val="16"/>
                <w:szCs w:val="16"/>
              </w:rPr>
            </w:pPr>
            <w:r>
              <w:rPr>
                <w:rFonts w:cs="Arial"/>
                <w:sz w:val="16"/>
                <w:szCs w:val="16"/>
              </w:rPr>
              <w:t>Družka</w:t>
            </w:r>
          </w:p>
        </w:tc>
        <w:tc>
          <w:tcPr>
            <w:tcW w:w="911" w:type="dxa"/>
            <w:tcBorders>
              <w:top w:val="nil"/>
              <w:left w:val="single" w:sz="4" w:space="0" w:color="auto"/>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30</w:t>
            </w:r>
          </w:p>
        </w:tc>
        <w:tc>
          <w:tcPr>
            <w:tcW w:w="943" w:type="dxa"/>
            <w:tcBorders>
              <w:top w:val="nil"/>
              <w:left w:val="nil"/>
              <w:bottom w:val="nil"/>
              <w:right w:val="nil"/>
            </w:tcBorders>
            <w:noWrap/>
            <w:tcMar>
              <w:right w:w="142" w:type="dxa"/>
            </w:tcMar>
            <w:vAlign w:val="bottom"/>
          </w:tcPr>
          <w:p w:rsidR="007D7A9C" w:rsidRDefault="007D7A9C">
            <w:pPr>
              <w:jc w:val="right"/>
              <w:rPr>
                <w:rFonts w:cs="Arial"/>
                <w:sz w:val="16"/>
                <w:szCs w:val="16"/>
              </w:rPr>
            </w:pPr>
            <w:r>
              <w:rPr>
                <w:rFonts w:cs="Arial"/>
                <w:sz w:val="16"/>
                <w:szCs w:val="16"/>
              </w:rPr>
              <w:t>19</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22</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35</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34</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25</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37</w:t>
            </w:r>
          </w:p>
        </w:tc>
      </w:tr>
      <w:tr w:rsidR="007D7A9C" w:rsidTr="008329D1">
        <w:trPr>
          <w:trHeight w:val="255"/>
        </w:trPr>
        <w:tc>
          <w:tcPr>
            <w:tcW w:w="3075" w:type="dxa"/>
            <w:tcBorders>
              <w:top w:val="nil"/>
              <w:left w:val="nil"/>
              <w:bottom w:val="nil"/>
              <w:right w:val="nil"/>
            </w:tcBorders>
            <w:noWrap/>
            <w:vAlign w:val="bottom"/>
          </w:tcPr>
          <w:p w:rsidR="007D7A9C" w:rsidRDefault="007D7A9C" w:rsidP="008329D1">
            <w:pPr>
              <w:rPr>
                <w:rFonts w:eastAsia="Arial Unicode MS" w:cs="Arial"/>
                <w:sz w:val="16"/>
                <w:szCs w:val="16"/>
              </w:rPr>
            </w:pPr>
            <w:r>
              <w:rPr>
                <w:rFonts w:cs="Arial"/>
                <w:sz w:val="16"/>
                <w:szCs w:val="16"/>
              </w:rPr>
              <w:t>Nezjištěno</w:t>
            </w:r>
          </w:p>
        </w:tc>
        <w:tc>
          <w:tcPr>
            <w:tcW w:w="911" w:type="dxa"/>
            <w:tcBorders>
              <w:top w:val="nil"/>
              <w:left w:val="single" w:sz="4" w:space="0" w:color="auto"/>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165</w:t>
            </w:r>
          </w:p>
        </w:tc>
        <w:tc>
          <w:tcPr>
            <w:tcW w:w="943" w:type="dxa"/>
            <w:tcBorders>
              <w:top w:val="nil"/>
              <w:left w:val="nil"/>
              <w:bottom w:val="nil"/>
              <w:right w:val="nil"/>
            </w:tcBorders>
            <w:noWrap/>
            <w:tcMar>
              <w:right w:w="142" w:type="dxa"/>
            </w:tcMar>
            <w:vAlign w:val="bottom"/>
          </w:tcPr>
          <w:p w:rsidR="007D7A9C" w:rsidRDefault="007D7A9C">
            <w:pPr>
              <w:jc w:val="right"/>
              <w:rPr>
                <w:rFonts w:cs="Arial"/>
                <w:sz w:val="16"/>
                <w:szCs w:val="16"/>
              </w:rPr>
            </w:pPr>
            <w:r>
              <w:rPr>
                <w:rFonts w:cs="Arial"/>
                <w:sz w:val="16"/>
                <w:szCs w:val="16"/>
              </w:rPr>
              <w:t>355</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332</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388</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418</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426</w:t>
            </w:r>
          </w:p>
        </w:tc>
        <w:tc>
          <w:tcPr>
            <w:tcW w:w="942" w:type="dxa"/>
            <w:tcBorders>
              <w:top w:val="nil"/>
              <w:left w:val="nil"/>
              <w:bottom w:val="nil"/>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423</w:t>
            </w:r>
          </w:p>
        </w:tc>
      </w:tr>
      <w:tr w:rsidR="007D7A9C" w:rsidTr="008329D1">
        <w:trPr>
          <w:trHeight w:val="255"/>
        </w:trPr>
        <w:tc>
          <w:tcPr>
            <w:tcW w:w="3075" w:type="dxa"/>
            <w:tcBorders>
              <w:top w:val="nil"/>
              <w:left w:val="nil"/>
              <w:bottom w:val="single" w:sz="4" w:space="0" w:color="auto"/>
              <w:right w:val="nil"/>
            </w:tcBorders>
            <w:noWrap/>
            <w:vAlign w:val="bottom"/>
          </w:tcPr>
          <w:p w:rsidR="007D7A9C" w:rsidRDefault="007D7A9C" w:rsidP="008329D1">
            <w:pPr>
              <w:rPr>
                <w:rFonts w:eastAsia="Arial Unicode MS" w:cs="Arial"/>
                <w:sz w:val="16"/>
                <w:szCs w:val="16"/>
              </w:rPr>
            </w:pPr>
            <w:r>
              <w:rPr>
                <w:rFonts w:cs="Arial"/>
                <w:sz w:val="16"/>
                <w:szCs w:val="16"/>
              </w:rPr>
              <w:t>Celkem</w:t>
            </w:r>
          </w:p>
        </w:tc>
        <w:tc>
          <w:tcPr>
            <w:tcW w:w="911" w:type="dxa"/>
            <w:tcBorders>
              <w:top w:val="nil"/>
              <w:left w:val="single" w:sz="4" w:space="0" w:color="auto"/>
              <w:bottom w:val="single" w:sz="4" w:space="0" w:color="auto"/>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13 750</w:t>
            </w:r>
          </w:p>
        </w:tc>
        <w:tc>
          <w:tcPr>
            <w:tcW w:w="943" w:type="dxa"/>
            <w:tcBorders>
              <w:top w:val="nil"/>
              <w:left w:val="nil"/>
              <w:bottom w:val="single" w:sz="4" w:space="0" w:color="auto"/>
              <w:right w:val="nil"/>
            </w:tcBorders>
            <w:noWrap/>
            <w:tcMar>
              <w:right w:w="142" w:type="dxa"/>
            </w:tcMar>
            <w:vAlign w:val="bottom"/>
          </w:tcPr>
          <w:p w:rsidR="007D7A9C" w:rsidRDefault="007D7A9C">
            <w:pPr>
              <w:jc w:val="right"/>
              <w:rPr>
                <w:rFonts w:cs="Arial"/>
                <w:sz w:val="16"/>
                <w:szCs w:val="16"/>
              </w:rPr>
            </w:pPr>
            <w:r>
              <w:rPr>
                <w:rFonts w:cs="Arial"/>
                <w:sz w:val="16"/>
                <w:szCs w:val="16"/>
              </w:rPr>
              <w:t>15 892</w:t>
            </w:r>
          </w:p>
        </w:tc>
        <w:tc>
          <w:tcPr>
            <w:tcW w:w="942" w:type="dxa"/>
            <w:tcBorders>
              <w:top w:val="nil"/>
              <w:left w:val="nil"/>
              <w:bottom w:val="single" w:sz="4" w:space="0" w:color="auto"/>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13 981</w:t>
            </w:r>
          </w:p>
        </w:tc>
        <w:tc>
          <w:tcPr>
            <w:tcW w:w="942" w:type="dxa"/>
            <w:tcBorders>
              <w:top w:val="nil"/>
              <w:left w:val="nil"/>
              <w:bottom w:val="single" w:sz="4" w:space="0" w:color="auto"/>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13 637</w:t>
            </w:r>
          </w:p>
        </w:tc>
        <w:tc>
          <w:tcPr>
            <w:tcW w:w="942" w:type="dxa"/>
            <w:tcBorders>
              <w:top w:val="nil"/>
              <w:left w:val="nil"/>
              <w:bottom w:val="single" w:sz="4" w:space="0" w:color="auto"/>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13 515</w:t>
            </w:r>
          </w:p>
        </w:tc>
        <w:tc>
          <w:tcPr>
            <w:tcW w:w="942" w:type="dxa"/>
            <w:tcBorders>
              <w:top w:val="nil"/>
              <w:left w:val="nil"/>
              <w:bottom w:val="single" w:sz="4" w:space="0" w:color="auto"/>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13 708</w:t>
            </w:r>
          </w:p>
        </w:tc>
        <w:tc>
          <w:tcPr>
            <w:tcW w:w="942" w:type="dxa"/>
            <w:tcBorders>
              <w:top w:val="nil"/>
              <w:left w:val="nil"/>
              <w:bottom w:val="single" w:sz="4" w:space="0" w:color="auto"/>
              <w:right w:val="nil"/>
            </w:tcBorders>
            <w:noWrap/>
            <w:tcMar>
              <w:right w:w="142" w:type="dxa"/>
            </w:tcMar>
            <w:vAlign w:val="bottom"/>
          </w:tcPr>
          <w:p w:rsidR="007D7A9C" w:rsidRDefault="007D7A9C" w:rsidP="008329D1">
            <w:pPr>
              <w:jc w:val="right"/>
              <w:rPr>
                <w:rFonts w:cs="Arial"/>
                <w:sz w:val="16"/>
                <w:szCs w:val="16"/>
              </w:rPr>
            </w:pPr>
            <w:r>
              <w:rPr>
                <w:rFonts w:cs="Arial"/>
                <w:sz w:val="16"/>
                <w:szCs w:val="16"/>
              </w:rPr>
              <w:t>13 857</w:t>
            </w:r>
          </w:p>
        </w:tc>
      </w:tr>
    </w:tbl>
    <w:p w:rsidR="00946F0D" w:rsidRDefault="00946F0D" w:rsidP="00DC0E64">
      <w:pPr>
        <w:pStyle w:val="Textpoznpodarou"/>
        <w:spacing w:before="60"/>
        <w:jc w:val="left"/>
        <w:rPr>
          <w:sz w:val="16"/>
        </w:rPr>
      </w:pPr>
      <w:r>
        <w:rPr>
          <w:rFonts w:cs="Arial"/>
          <w:sz w:val="16"/>
        </w:rPr>
        <w:t>* ÚZIS ČR používá vlastní číselník rodinného stavu, který zahrnuje od roku 1994 kategorie družka a nezjištěno.</w:t>
      </w:r>
    </w:p>
    <w:p w:rsidR="0051492D" w:rsidRDefault="0051492D" w:rsidP="0051492D"/>
    <w:p w:rsidR="00DC0E64" w:rsidRDefault="00DC0E64" w:rsidP="0051492D"/>
    <w:p w:rsidR="00243120" w:rsidRDefault="00243120" w:rsidP="009648AD">
      <w:pPr>
        <w:pStyle w:val="Titulek"/>
        <w:spacing w:before="0" w:after="60"/>
        <w:ind w:left="851" w:hanging="851"/>
        <w:jc w:val="left"/>
      </w:pPr>
      <w:r>
        <w:t xml:space="preserve">Obr. </w:t>
      </w:r>
      <w:proofErr w:type="gramStart"/>
      <w:r w:rsidR="00351243">
        <w:fldChar w:fldCharType="begin"/>
      </w:r>
      <w:r w:rsidR="00F1645B">
        <w:instrText xml:space="preserve"> STYLEREF 1 \s </w:instrText>
      </w:r>
      <w:r w:rsidR="00351243">
        <w:fldChar w:fldCharType="separate"/>
      </w:r>
      <w:r>
        <w:rPr>
          <w:noProof/>
        </w:rPr>
        <w:t>5</w:t>
      </w:r>
      <w:r w:rsidR="00351243">
        <w:fldChar w:fldCharType="end"/>
      </w:r>
      <w:r>
        <w:t>.</w:t>
      </w:r>
      <w:fldSimple w:instr=" SEQ Obr. \* ARABIC \s 1 ">
        <w:r>
          <w:rPr>
            <w:noProof/>
          </w:rPr>
          <w:t>1</w:t>
        </w:r>
      </w:fldSimple>
      <w:proofErr w:type="gramEnd"/>
      <w:r>
        <w:t xml:space="preserve"> Umělá přerušení těhotenství podle rodinného stavu ženy a počtu živě narozených dětí (%),</w:t>
      </w:r>
      <w:r w:rsidR="009648AD">
        <w:br/>
      </w:r>
      <w:r w:rsidR="003416F4">
        <w:t>2004–2014</w:t>
      </w:r>
    </w:p>
    <w:p w:rsidR="00113F43" w:rsidRDefault="007B00C4" w:rsidP="00113F4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7.25pt;height:233.25pt">
            <v:imagedata r:id="rId7" o:title=""/>
          </v:shape>
        </w:pict>
      </w:r>
    </w:p>
    <w:p w:rsidR="00113F43" w:rsidRDefault="00113F43" w:rsidP="0069459B">
      <w:pPr>
        <w:spacing w:after="60"/>
      </w:pPr>
    </w:p>
    <w:p w:rsidR="00946F0D" w:rsidRDefault="00DC0E64" w:rsidP="00946F0D">
      <w:r>
        <w:br w:type="page"/>
      </w:r>
      <w:r w:rsidR="00946F0D">
        <w:lastRenderedPageBreak/>
        <w:t xml:space="preserve">V kontextu struktury se u vdaných žen rozložení UPT podle počtu dětí </w:t>
      </w:r>
      <w:r w:rsidR="005E55B7">
        <w:t>příliš nezměnilo</w:t>
      </w:r>
      <w:r>
        <w:t xml:space="preserve"> (obr. 5.1)</w:t>
      </w:r>
      <w:r w:rsidR="005E55B7">
        <w:t>, avšak došlo k</w:t>
      </w:r>
      <w:r w:rsidR="00A559CF">
        <w:t> </w:t>
      </w:r>
      <w:r w:rsidR="00946F0D">
        <w:t>výraznému absolutnímu poklesu indukovaných potratů u vdaných žen u všech skupin podle počtu dětí. Vdané ženy se dvěma dětmi tvořily ještě v roce 2004 nejčastější s</w:t>
      </w:r>
      <w:r w:rsidR="005E55B7">
        <w:t>ubpopulaci, u které docházelo k</w:t>
      </w:r>
      <w:r w:rsidR="00A559CF">
        <w:t> </w:t>
      </w:r>
      <w:r w:rsidR="00D62DDD">
        <w:t>interrupcím (6 </w:t>
      </w:r>
      <w:r w:rsidR="00946F0D">
        <w:t>815 případů</w:t>
      </w:r>
      <w:r w:rsidR="001F112E">
        <w:t>, tj. 24,7</w:t>
      </w:r>
      <w:r w:rsidR="00D62DDD">
        <w:t> </w:t>
      </w:r>
      <w:r w:rsidR="00E2236C">
        <w:t>% UPT všech žen</w:t>
      </w:r>
      <w:r w:rsidR="00946F0D">
        <w:t xml:space="preserve">), ovšem o deset let později </w:t>
      </w:r>
      <w:r w:rsidR="00E2236C">
        <w:t>představovaly „až“ druhou nejpočetnější skupinu (se</w:t>
      </w:r>
      <w:r w:rsidR="001F112E">
        <w:t xml:space="preserve"> </w:t>
      </w:r>
      <w:r w:rsidR="00D62DDD">
        <w:t>3 </w:t>
      </w:r>
      <w:r w:rsidR="00946F0D">
        <w:t>889 UPT</w:t>
      </w:r>
      <w:r w:rsidR="00E2236C">
        <w:t xml:space="preserve">, tj. </w:t>
      </w:r>
      <w:r w:rsidR="001F112E">
        <w:t>17,8</w:t>
      </w:r>
      <w:r w:rsidR="00D62DDD">
        <w:t> </w:t>
      </w:r>
      <w:r w:rsidR="00E2236C">
        <w:t>%)</w:t>
      </w:r>
      <w:r w:rsidR="00946F0D">
        <w:t>. Ne</w:t>
      </w:r>
      <w:r w:rsidR="00DF1796">
        <w:t>j</w:t>
      </w:r>
      <w:r w:rsidR="00946F0D">
        <w:t xml:space="preserve">častější skupinou se </w:t>
      </w:r>
      <w:r w:rsidR="001F112E">
        <w:t>staly svobodné bezdětné ženy (5</w:t>
      </w:r>
      <w:r w:rsidR="00D62DDD">
        <w:t> </w:t>
      </w:r>
      <w:r w:rsidR="00946F0D">
        <w:t>455 interrupcí v roce 2014</w:t>
      </w:r>
      <w:r w:rsidR="001F112E">
        <w:t xml:space="preserve">, tj. </w:t>
      </w:r>
      <w:r w:rsidR="00D62DDD">
        <w:t xml:space="preserve">24,9 % </w:t>
      </w:r>
      <w:r w:rsidR="005C3971">
        <w:t>UPT všech žen</w:t>
      </w:r>
      <w:r w:rsidR="00946F0D">
        <w:t>)</w:t>
      </w:r>
      <w:r w:rsidR="005C3971">
        <w:t>, ačkoliv se relativní zastoupení bezdětných žen mezi svobodnými snížilo z 59,</w:t>
      </w:r>
      <w:r w:rsidR="00D62DDD">
        <w:t>8 </w:t>
      </w:r>
      <w:r w:rsidR="005C3971">
        <w:t xml:space="preserve">% v roce </w:t>
      </w:r>
      <w:r w:rsidR="00D62DDD">
        <w:t>2004 na 47,0 </w:t>
      </w:r>
      <w:r w:rsidR="005C3971">
        <w:t>% o deset let později.</w:t>
      </w:r>
      <w:r w:rsidR="00DF1796">
        <w:t xml:space="preserve"> Podíl svobodných žen s dětmi naopak vzrostl, nejvíce v případě </w:t>
      </w:r>
      <w:proofErr w:type="spellStart"/>
      <w:r w:rsidR="00DF1796">
        <w:t>dvoudětných</w:t>
      </w:r>
      <w:proofErr w:type="spellEnd"/>
      <w:r w:rsidR="00DF1796">
        <w:t xml:space="preserve"> žen</w:t>
      </w:r>
      <w:r w:rsidR="00D62DDD">
        <w:t xml:space="preserve"> (z 10,5 % na 17,6 </w:t>
      </w:r>
      <w:r w:rsidR="00DF1796">
        <w:t>% v poslední dekádě).</w:t>
      </w:r>
    </w:p>
    <w:p w:rsidR="005C3971" w:rsidRDefault="005C3971" w:rsidP="00946F0D"/>
    <w:p w:rsidR="00946F0D" w:rsidRDefault="00946F0D" w:rsidP="00946F0D">
      <w:r>
        <w:t>V případě rozvedených žen docházelo k všeobecnému poklesu počtu UPT bez ohledu na počet dětí. Během posledních deseti let se snížilo zastoupení indukovaných potratů u rozvedených žen s jedním dítětem a naopak narostlo u vícedětných žen. Interrupce dvoudětných žen dosáhly v roce 2014 téměř polovičního zastoupení mezi rozvedenými ženami.</w:t>
      </w:r>
    </w:p>
    <w:p w:rsidR="00946F0D" w:rsidRDefault="00946F0D" w:rsidP="00246E3C"/>
    <w:p w:rsidR="00D53DDC" w:rsidRDefault="00DC0E64" w:rsidP="00113F43">
      <w:r>
        <w:t>P</w:t>
      </w:r>
      <w:r w:rsidR="00246E3C">
        <w:t>odíl těhotenství</w:t>
      </w:r>
      <w:r>
        <w:t>, která</w:t>
      </w:r>
      <w:r w:rsidR="00246E3C">
        <w:t xml:space="preserve"> končí potratem</w:t>
      </w:r>
      <w:r>
        <w:t xml:space="preserve">, byl obecně </w:t>
      </w:r>
      <w:r w:rsidR="00C63662">
        <w:t>vyšší v</w:t>
      </w:r>
      <w:r w:rsidR="00246E3C">
        <w:t> </w:t>
      </w:r>
      <w:r>
        <w:t>nej</w:t>
      </w:r>
      <w:r w:rsidR="00C63662">
        <w:t>mladších</w:t>
      </w:r>
      <w:r w:rsidR="00246E3C">
        <w:t xml:space="preserve"> </w:t>
      </w:r>
      <w:r>
        <w:t xml:space="preserve">věcích </w:t>
      </w:r>
      <w:r w:rsidR="00246E3C">
        <w:t>(zhruba do 18 let)</w:t>
      </w:r>
      <w:r w:rsidR="00C63662">
        <w:t xml:space="preserve"> a </w:t>
      </w:r>
      <w:r w:rsidR="00E80447">
        <w:t xml:space="preserve">také </w:t>
      </w:r>
      <w:r w:rsidR="00C63662">
        <w:t>v</w:t>
      </w:r>
      <w:r w:rsidR="00E80447">
        <w:t> nej</w:t>
      </w:r>
      <w:r w:rsidR="00C63662">
        <w:t>starších</w:t>
      </w:r>
      <w:r w:rsidR="00246E3C">
        <w:t xml:space="preserve"> </w:t>
      </w:r>
      <w:r w:rsidR="00E80447">
        <w:t xml:space="preserve">věcích </w:t>
      </w:r>
      <w:r w:rsidR="00246E3C">
        <w:t>(přibližně od 40 let)</w:t>
      </w:r>
      <w:r w:rsidR="00C63662">
        <w:t xml:space="preserve">. </w:t>
      </w:r>
      <w:r w:rsidR="00246E3C">
        <w:t>V obou těchto věkových kategoriích</w:t>
      </w:r>
      <w:r w:rsidR="00C63662">
        <w:t xml:space="preserve"> byly ovšem absolutní počty potratů nízké. V roce 2014 byl nejnižší podíl těhotenství </w:t>
      </w:r>
      <w:r w:rsidR="00E80447">
        <w:t>u</w:t>
      </w:r>
      <w:r w:rsidR="00C63662">
        <w:t>konč</w:t>
      </w:r>
      <w:r w:rsidR="00E80447">
        <w:t>ených</w:t>
      </w:r>
      <w:r w:rsidR="00D62DDD">
        <w:t xml:space="preserve"> potratem u 30letých žen (17,2 </w:t>
      </w:r>
      <w:r w:rsidR="00C63662">
        <w:t>%), o</w:t>
      </w:r>
      <w:r w:rsidR="00E80447">
        <w:t> </w:t>
      </w:r>
      <w:r w:rsidR="00C63662">
        <w:t>deset let dříve to bylo</w:t>
      </w:r>
      <w:r w:rsidR="00D62DDD">
        <w:t xml:space="preserve"> již u žen ve věku 27 let (20,6 </w:t>
      </w:r>
      <w:r w:rsidR="00C63662">
        <w:t>%).</w:t>
      </w:r>
      <w:r w:rsidR="00395FBB">
        <w:t xml:space="preserve"> Mezi roky 2004 a 2014 klesal podíl těhotenství, které skončily potratem, přičemž větší dynamiku měl vývoj v první pětiletce, kde byly rozdíly výrazné od 28 let věku. V druhém pětiletém období se další, byť méně výrazný, pokles začal projevovat u</w:t>
      </w:r>
      <w:r w:rsidR="00A559CF">
        <w:t xml:space="preserve"> žen od věku 33 let a starších.</w:t>
      </w:r>
    </w:p>
    <w:p w:rsidR="00D53DDC" w:rsidRDefault="00D53DDC" w:rsidP="00113F43"/>
    <w:p w:rsidR="00243120" w:rsidRDefault="00243120" w:rsidP="0049297D">
      <w:pPr>
        <w:pStyle w:val="Titulek"/>
        <w:spacing w:before="0" w:after="60"/>
      </w:pPr>
      <w:r>
        <w:t xml:space="preserve">Obr. </w:t>
      </w:r>
      <w:proofErr w:type="gramStart"/>
      <w:r w:rsidR="00351243">
        <w:fldChar w:fldCharType="begin"/>
      </w:r>
      <w:r w:rsidR="00F1645B">
        <w:instrText xml:space="preserve"> STYLEREF 1 \s </w:instrText>
      </w:r>
      <w:r w:rsidR="00351243">
        <w:fldChar w:fldCharType="separate"/>
      </w:r>
      <w:r>
        <w:rPr>
          <w:noProof/>
        </w:rPr>
        <w:t>5</w:t>
      </w:r>
      <w:r w:rsidR="00351243">
        <w:fldChar w:fldCharType="end"/>
      </w:r>
      <w:r>
        <w:t>.</w:t>
      </w:r>
      <w:fldSimple w:instr=" SEQ Obr. \* ARABIC \s 1 ">
        <w:r>
          <w:rPr>
            <w:noProof/>
          </w:rPr>
          <w:t>2</w:t>
        </w:r>
      </w:fldSimple>
      <w:proofErr w:type="gramEnd"/>
      <w:r>
        <w:t xml:space="preserve"> Podíl těhotenství končících potratem podle věku ženy</w:t>
      </w:r>
      <w:r w:rsidR="00032F70">
        <w:t xml:space="preserve"> (%)</w:t>
      </w:r>
      <w:r>
        <w:t xml:space="preserve">, </w:t>
      </w:r>
      <w:r w:rsidR="0098634C">
        <w:t>2004–2014</w:t>
      </w:r>
    </w:p>
    <w:p w:rsidR="00243120" w:rsidRDefault="007B00C4">
      <w:r>
        <w:pict>
          <v:shape id="_x0000_i1025" type="#_x0000_t75" style="width:438pt;height:236.25pt">
            <v:imagedata r:id="rId8" o:title=""/>
          </v:shape>
        </w:pict>
      </w:r>
    </w:p>
    <w:p w:rsidR="00253C9E" w:rsidRDefault="00253C9E" w:rsidP="00A559CF">
      <w:pPr>
        <w:spacing w:after="60"/>
      </w:pPr>
    </w:p>
    <w:p w:rsidR="0066530F" w:rsidRDefault="009171FF">
      <w:r>
        <w:t>Úhrnná potratovost udává, kolik v průměru potratů by žena během svého reproduk</w:t>
      </w:r>
      <w:r w:rsidR="00A14EA6">
        <w:t xml:space="preserve">čního věku 15-49 let </w:t>
      </w:r>
      <w:r w:rsidR="000E290F">
        <w:t>prodělala</w:t>
      </w:r>
      <w:r>
        <w:t xml:space="preserve">, pokud by se nezměnily intenzity potratovosti. Mezi roky 2004 a 2014 celková úhrnná potratovost poklesla z 0,55 na 0,51 </w:t>
      </w:r>
      <w:r w:rsidR="000E290F">
        <w:t xml:space="preserve">potratu </w:t>
      </w:r>
      <w:r>
        <w:t>a úhrnná indukovaná potratovost z 0,37 na 0,31, zatímco úhrnná samovolná potratovost vzrostla z 0,16 na 0,19. V posledních pěti letech však lze sledovat stagnaci těchto ukazatelů na celkové úrovni 0,51</w:t>
      </w:r>
      <w:r w:rsidR="00A559CF">
        <w:t>-</w:t>
      </w:r>
      <w:r>
        <w:t>0,52</w:t>
      </w:r>
      <w:r w:rsidR="00A559CF">
        <w:t xml:space="preserve"> potratu</w:t>
      </w:r>
      <w:r w:rsidR="003C5296">
        <w:t>, resp.</w:t>
      </w:r>
      <w:r w:rsidR="003C5296" w:rsidRPr="003C5296">
        <w:t xml:space="preserve"> </w:t>
      </w:r>
      <w:r w:rsidR="003C5296">
        <w:t>0,31</w:t>
      </w:r>
      <w:r w:rsidR="00A559CF">
        <w:t>-</w:t>
      </w:r>
      <w:r w:rsidR="003C5296">
        <w:t>0,32</w:t>
      </w:r>
      <w:r w:rsidR="00A559CF">
        <w:t xml:space="preserve"> indukovaného</w:t>
      </w:r>
      <w:r w:rsidR="003C5296">
        <w:t>, resp.</w:t>
      </w:r>
      <w:r w:rsidR="003C5296" w:rsidRPr="003C5296">
        <w:t xml:space="preserve"> </w:t>
      </w:r>
      <w:r w:rsidR="003C5296">
        <w:t>0,18</w:t>
      </w:r>
      <w:r w:rsidR="00A559CF">
        <w:t>-</w:t>
      </w:r>
      <w:r w:rsidR="003C5296">
        <w:t>0,19</w:t>
      </w:r>
      <w:r w:rsidR="00A559CF">
        <w:t xml:space="preserve"> samovolného</w:t>
      </w:r>
      <w:r w:rsidR="003C5296">
        <w:t xml:space="preserve"> </w:t>
      </w:r>
      <w:r>
        <w:t>potratu na jednu ženu</w:t>
      </w:r>
      <w:r w:rsidR="003C5296">
        <w:t>.</w:t>
      </w:r>
      <w:r>
        <w:t xml:space="preserve"> Pokles absolutního počtu potratů tak byl při stagnaci intenzitních ukazatelů odrazem toho, že bylo v reprodukčním věku méně žen.</w:t>
      </w:r>
    </w:p>
    <w:p w:rsidR="00AD71F8" w:rsidRDefault="00AD71F8"/>
    <w:p w:rsidR="0066530F" w:rsidRDefault="0066530F" w:rsidP="00751567">
      <w:pPr>
        <w:pStyle w:val="Titulek"/>
        <w:spacing w:before="0" w:after="60"/>
      </w:pPr>
      <w:r>
        <w:t xml:space="preserve">Tab. </w:t>
      </w:r>
      <w:r w:rsidR="00351243">
        <w:fldChar w:fldCharType="begin"/>
      </w:r>
      <w:r>
        <w:instrText xml:space="preserve"> STYLEREF 1 \s </w:instrText>
      </w:r>
      <w:r w:rsidR="00351243">
        <w:fldChar w:fldCharType="separate"/>
      </w:r>
      <w:r>
        <w:rPr>
          <w:noProof/>
        </w:rPr>
        <w:t>5</w:t>
      </w:r>
      <w:r w:rsidR="00351243">
        <w:fldChar w:fldCharType="end"/>
      </w:r>
      <w:r>
        <w:t>.</w:t>
      </w:r>
      <w:r w:rsidR="00647EB0">
        <w:t>5</w:t>
      </w:r>
      <w:r w:rsidR="0098634C">
        <w:t xml:space="preserve"> Potratovost, 2004–2014</w:t>
      </w:r>
    </w:p>
    <w:tbl>
      <w:tblPr>
        <w:tblW w:w="9639" w:type="dxa"/>
        <w:tblLayout w:type="fixed"/>
        <w:tblCellMar>
          <w:left w:w="0" w:type="dxa"/>
          <w:right w:w="0" w:type="dxa"/>
        </w:tblCellMar>
        <w:tblLook w:val="0000"/>
      </w:tblPr>
      <w:tblGrid>
        <w:gridCol w:w="3205"/>
        <w:gridCol w:w="919"/>
        <w:gridCol w:w="919"/>
        <w:gridCol w:w="919"/>
        <w:gridCol w:w="919"/>
        <w:gridCol w:w="919"/>
        <w:gridCol w:w="919"/>
        <w:gridCol w:w="920"/>
      </w:tblGrid>
      <w:tr w:rsidR="00B6330D" w:rsidTr="00647EB0">
        <w:trPr>
          <w:trHeight w:val="255"/>
        </w:trPr>
        <w:tc>
          <w:tcPr>
            <w:tcW w:w="3205" w:type="dxa"/>
            <w:tcBorders>
              <w:top w:val="single" w:sz="4" w:space="0" w:color="auto"/>
              <w:left w:val="nil"/>
              <w:bottom w:val="single" w:sz="4" w:space="0" w:color="auto"/>
              <w:right w:val="single" w:sz="4" w:space="0" w:color="auto"/>
            </w:tcBorders>
            <w:noWrap/>
            <w:vAlign w:val="bottom"/>
          </w:tcPr>
          <w:p w:rsidR="00B6330D" w:rsidRDefault="00B6330D" w:rsidP="00357790">
            <w:pPr>
              <w:rPr>
                <w:rFonts w:eastAsia="Arial Unicode MS" w:cs="Arial"/>
                <w:b/>
                <w:bCs/>
                <w:sz w:val="16"/>
                <w:szCs w:val="16"/>
              </w:rPr>
            </w:pPr>
            <w:r>
              <w:rPr>
                <w:rFonts w:cs="Arial"/>
                <w:b/>
                <w:bCs/>
                <w:sz w:val="16"/>
                <w:szCs w:val="16"/>
              </w:rPr>
              <w:t> </w:t>
            </w:r>
          </w:p>
        </w:tc>
        <w:tc>
          <w:tcPr>
            <w:tcW w:w="919" w:type="dxa"/>
            <w:tcBorders>
              <w:top w:val="single" w:sz="4" w:space="0" w:color="auto"/>
              <w:left w:val="nil"/>
              <w:bottom w:val="single" w:sz="4" w:space="0" w:color="auto"/>
              <w:right w:val="nil"/>
            </w:tcBorders>
            <w:noWrap/>
            <w:tcMar>
              <w:right w:w="142" w:type="dxa"/>
            </w:tcMar>
            <w:vAlign w:val="bottom"/>
          </w:tcPr>
          <w:p w:rsidR="00B6330D" w:rsidRDefault="00B6330D" w:rsidP="00647EB0">
            <w:pPr>
              <w:jc w:val="right"/>
              <w:rPr>
                <w:rFonts w:cs="Arial"/>
                <w:b/>
                <w:bCs/>
                <w:sz w:val="16"/>
                <w:szCs w:val="16"/>
              </w:rPr>
            </w:pPr>
            <w:r>
              <w:rPr>
                <w:rFonts w:cs="Arial"/>
                <w:b/>
                <w:bCs/>
                <w:sz w:val="16"/>
                <w:szCs w:val="16"/>
              </w:rPr>
              <w:t>2004</w:t>
            </w:r>
          </w:p>
        </w:tc>
        <w:tc>
          <w:tcPr>
            <w:tcW w:w="919" w:type="dxa"/>
            <w:tcBorders>
              <w:top w:val="single" w:sz="4" w:space="0" w:color="auto"/>
              <w:left w:val="nil"/>
              <w:bottom w:val="single" w:sz="4" w:space="0" w:color="auto"/>
              <w:right w:val="nil"/>
            </w:tcBorders>
            <w:noWrap/>
            <w:tcMar>
              <w:right w:w="142" w:type="dxa"/>
            </w:tcMar>
            <w:vAlign w:val="bottom"/>
          </w:tcPr>
          <w:p w:rsidR="00B6330D" w:rsidRDefault="00B6330D" w:rsidP="00647EB0">
            <w:pPr>
              <w:jc w:val="right"/>
              <w:rPr>
                <w:rFonts w:cs="Arial"/>
                <w:b/>
                <w:bCs/>
                <w:sz w:val="16"/>
                <w:szCs w:val="16"/>
              </w:rPr>
            </w:pPr>
            <w:r>
              <w:rPr>
                <w:rFonts w:cs="Arial"/>
                <w:b/>
                <w:bCs/>
                <w:sz w:val="16"/>
                <w:szCs w:val="16"/>
              </w:rPr>
              <w:t>200</w:t>
            </w:r>
            <w:r w:rsidR="00647EB0">
              <w:rPr>
                <w:rFonts w:cs="Arial"/>
                <w:b/>
                <w:bCs/>
                <w:sz w:val="16"/>
                <w:szCs w:val="16"/>
              </w:rPr>
              <w:t>9</w:t>
            </w:r>
          </w:p>
        </w:tc>
        <w:tc>
          <w:tcPr>
            <w:tcW w:w="919" w:type="dxa"/>
            <w:tcBorders>
              <w:top w:val="single" w:sz="4" w:space="0" w:color="auto"/>
              <w:left w:val="nil"/>
              <w:bottom w:val="single" w:sz="4" w:space="0" w:color="auto"/>
              <w:right w:val="nil"/>
            </w:tcBorders>
            <w:noWrap/>
            <w:tcMar>
              <w:right w:w="142" w:type="dxa"/>
            </w:tcMar>
            <w:vAlign w:val="bottom"/>
          </w:tcPr>
          <w:p w:rsidR="00B6330D" w:rsidRDefault="00B6330D" w:rsidP="00647EB0">
            <w:pPr>
              <w:jc w:val="right"/>
              <w:rPr>
                <w:rFonts w:cs="Arial"/>
                <w:b/>
                <w:bCs/>
                <w:sz w:val="16"/>
                <w:szCs w:val="16"/>
              </w:rPr>
            </w:pPr>
            <w:r>
              <w:rPr>
                <w:rFonts w:cs="Arial"/>
                <w:b/>
                <w:bCs/>
                <w:sz w:val="16"/>
                <w:szCs w:val="16"/>
              </w:rPr>
              <w:t>2010</w:t>
            </w:r>
          </w:p>
        </w:tc>
        <w:tc>
          <w:tcPr>
            <w:tcW w:w="919" w:type="dxa"/>
            <w:tcBorders>
              <w:top w:val="single" w:sz="4" w:space="0" w:color="auto"/>
              <w:left w:val="nil"/>
              <w:bottom w:val="single" w:sz="4" w:space="0" w:color="auto"/>
              <w:right w:val="nil"/>
            </w:tcBorders>
            <w:noWrap/>
            <w:tcMar>
              <w:right w:w="142" w:type="dxa"/>
            </w:tcMar>
            <w:vAlign w:val="bottom"/>
          </w:tcPr>
          <w:p w:rsidR="00B6330D" w:rsidRDefault="00B6330D" w:rsidP="00647EB0">
            <w:pPr>
              <w:jc w:val="right"/>
              <w:rPr>
                <w:rFonts w:cs="Arial"/>
                <w:b/>
                <w:bCs/>
                <w:sz w:val="16"/>
                <w:szCs w:val="16"/>
              </w:rPr>
            </w:pPr>
            <w:r>
              <w:rPr>
                <w:rFonts w:cs="Arial"/>
                <w:b/>
                <w:bCs/>
                <w:sz w:val="16"/>
                <w:szCs w:val="16"/>
              </w:rPr>
              <w:t>2011</w:t>
            </w:r>
          </w:p>
        </w:tc>
        <w:tc>
          <w:tcPr>
            <w:tcW w:w="919" w:type="dxa"/>
            <w:tcBorders>
              <w:top w:val="single" w:sz="4" w:space="0" w:color="auto"/>
              <w:left w:val="nil"/>
              <w:bottom w:val="single" w:sz="4" w:space="0" w:color="auto"/>
              <w:right w:val="nil"/>
            </w:tcBorders>
            <w:noWrap/>
            <w:tcMar>
              <w:right w:w="142" w:type="dxa"/>
            </w:tcMar>
            <w:vAlign w:val="bottom"/>
          </w:tcPr>
          <w:p w:rsidR="00B6330D" w:rsidRDefault="00B6330D" w:rsidP="00647EB0">
            <w:pPr>
              <w:jc w:val="right"/>
              <w:rPr>
                <w:rFonts w:cs="Arial"/>
                <w:b/>
                <w:bCs/>
                <w:sz w:val="16"/>
                <w:szCs w:val="16"/>
              </w:rPr>
            </w:pPr>
            <w:r>
              <w:rPr>
                <w:rFonts w:cs="Arial"/>
                <w:b/>
                <w:bCs/>
                <w:sz w:val="16"/>
                <w:szCs w:val="16"/>
              </w:rPr>
              <w:t>2012</w:t>
            </w:r>
          </w:p>
        </w:tc>
        <w:tc>
          <w:tcPr>
            <w:tcW w:w="919" w:type="dxa"/>
            <w:tcBorders>
              <w:top w:val="single" w:sz="4" w:space="0" w:color="auto"/>
              <w:left w:val="nil"/>
              <w:bottom w:val="single" w:sz="4" w:space="0" w:color="auto"/>
              <w:right w:val="nil"/>
            </w:tcBorders>
            <w:noWrap/>
            <w:tcMar>
              <w:right w:w="142" w:type="dxa"/>
            </w:tcMar>
            <w:vAlign w:val="bottom"/>
          </w:tcPr>
          <w:p w:rsidR="00B6330D" w:rsidRDefault="00B6330D" w:rsidP="00647EB0">
            <w:pPr>
              <w:jc w:val="right"/>
              <w:rPr>
                <w:rFonts w:cs="Arial"/>
                <w:b/>
                <w:bCs/>
                <w:sz w:val="16"/>
                <w:szCs w:val="16"/>
              </w:rPr>
            </w:pPr>
            <w:r>
              <w:rPr>
                <w:rFonts w:cs="Arial"/>
                <w:b/>
                <w:bCs/>
                <w:sz w:val="16"/>
                <w:szCs w:val="16"/>
              </w:rPr>
              <w:t>2013</w:t>
            </w:r>
          </w:p>
        </w:tc>
        <w:tc>
          <w:tcPr>
            <w:tcW w:w="920" w:type="dxa"/>
            <w:tcBorders>
              <w:top w:val="single" w:sz="4" w:space="0" w:color="auto"/>
              <w:left w:val="nil"/>
              <w:bottom w:val="single" w:sz="4" w:space="0" w:color="auto"/>
              <w:right w:val="nil"/>
            </w:tcBorders>
            <w:noWrap/>
            <w:tcMar>
              <w:right w:w="142" w:type="dxa"/>
            </w:tcMar>
            <w:vAlign w:val="bottom"/>
          </w:tcPr>
          <w:p w:rsidR="00B6330D" w:rsidRDefault="00B6330D" w:rsidP="00647EB0">
            <w:pPr>
              <w:jc w:val="right"/>
              <w:rPr>
                <w:rFonts w:cs="Arial"/>
                <w:b/>
                <w:bCs/>
                <w:sz w:val="16"/>
                <w:szCs w:val="16"/>
              </w:rPr>
            </w:pPr>
            <w:r>
              <w:rPr>
                <w:rFonts w:cs="Arial"/>
                <w:b/>
                <w:bCs/>
                <w:sz w:val="16"/>
                <w:szCs w:val="16"/>
              </w:rPr>
              <w:t>2014</w:t>
            </w:r>
          </w:p>
        </w:tc>
      </w:tr>
      <w:tr w:rsidR="00647EB0" w:rsidTr="00647EB0">
        <w:trPr>
          <w:trHeight w:val="255"/>
        </w:trPr>
        <w:tc>
          <w:tcPr>
            <w:tcW w:w="3205" w:type="dxa"/>
            <w:tcBorders>
              <w:top w:val="nil"/>
              <w:left w:val="nil"/>
              <w:bottom w:val="nil"/>
              <w:right w:val="single" w:sz="4" w:space="0" w:color="auto"/>
            </w:tcBorders>
            <w:noWrap/>
            <w:vAlign w:val="bottom"/>
          </w:tcPr>
          <w:p w:rsidR="00647EB0" w:rsidRDefault="00647EB0" w:rsidP="00357790">
            <w:pPr>
              <w:rPr>
                <w:rFonts w:eastAsia="Arial Unicode MS" w:cs="Arial"/>
                <w:b/>
                <w:bCs/>
                <w:sz w:val="16"/>
                <w:szCs w:val="16"/>
              </w:rPr>
            </w:pPr>
            <w:r>
              <w:rPr>
                <w:rFonts w:cs="Arial"/>
                <w:b/>
                <w:bCs/>
                <w:sz w:val="16"/>
                <w:szCs w:val="16"/>
              </w:rPr>
              <w:t>Úhrnná potratovost</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0,55</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0,53</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0,51</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0,52</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0,51</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0,52</w:t>
            </w:r>
          </w:p>
        </w:tc>
        <w:tc>
          <w:tcPr>
            <w:tcW w:w="920"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0,51</w:t>
            </w:r>
          </w:p>
        </w:tc>
      </w:tr>
      <w:tr w:rsidR="00647EB0" w:rsidTr="00647EB0">
        <w:trPr>
          <w:trHeight w:val="255"/>
        </w:trPr>
        <w:tc>
          <w:tcPr>
            <w:tcW w:w="3205" w:type="dxa"/>
            <w:tcBorders>
              <w:top w:val="nil"/>
              <w:left w:val="nil"/>
              <w:bottom w:val="nil"/>
              <w:right w:val="single" w:sz="4" w:space="0" w:color="auto"/>
            </w:tcBorders>
            <w:noWrap/>
            <w:vAlign w:val="bottom"/>
          </w:tcPr>
          <w:p w:rsidR="00647EB0" w:rsidRDefault="00647EB0" w:rsidP="00357790">
            <w:pPr>
              <w:rPr>
                <w:rFonts w:eastAsia="Arial Unicode MS" w:cs="Arial"/>
                <w:sz w:val="16"/>
                <w:szCs w:val="16"/>
              </w:rPr>
            </w:pPr>
            <w:r>
              <w:rPr>
                <w:rFonts w:cs="Arial"/>
                <w:sz w:val="16"/>
                <w:szCs w:val="16"/>
              </w:rPr>
              <w:t>Úhrnná samovolná potratovost</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0,16</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0,19</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0,18</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0,18</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0,18</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0,18</w:t>
            </w:r>
          </w:p>
        </w:tc>
        <w:tc>
          <w:tcPr>
            <w:tcW w:w="920"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0,19</w:t>
            </w:r>
          </w:p>
        </w:tc>
      </w:tr>
      <w:tr w:rsidR="00647EB0" w:rsidTr="00647EB0">
        <w:trPr>
          <w:trHeight w:val="255"/>
        </w:trPr>
        <w:tc>
          <w:tcPr>
            <w:tcW w:w="3205" w:type="dxa"/>
            <w:tcBorders>
              <w:top w:val="nil"/>
              <w:left w:val="nil"/>
              <w:bottom w:val="single" w:sz="4" w:space="0" w:color="auto"/>
              <w:right w:val="single" w:sz="4" w:space="0" w:color="auto"/>
            </w:tcBorders>
            <w:noWrap/>
            <w:vAlign w:val="bottom"/>
          </w:tcPr>
          <w:p w:rsidR="00647EB0" w:rsidRDefault="00647EB0" w:rsidP="00357790">
            <w:pPr>
              <w:rPr>
                <w:rFonts w:eastAsia="Arial Unicode MS" w:cs="Arial"/>
                <w:sz w:val="16"/>
                <w:szCs w:val="16"/>
              </w:rPr>
            </w:pPr>
            <w:r>
              <w:rPr>
                <w:rFonts w:cs="Arial"/>
                <w:sz w:val="16"/>
                <w:szCs w:val="16"/>
              </w:rPr>
              <w:t>Úhrnná indukovaná potratovost</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0,37</w:t>
            </w:r>
          </w:p>
        </w:tc>
        <w:tc>
          <w:tcPr>
            <w:tcW w:w="919" w:type="dxa"/>
            <w:tcBorders>
              <w:top w:val="nil"/>
              <w:left w:val="nil"/>
              <w:bottom w:val="single" w:sz="4" w:space="0" w:color="auto"/>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0,33</w:t>
            </w:r>
          </w:p>
        </w:tc>
        <w:tc>
          <w:tcPr>
            <w:tcW w:w="919" w:type="dxa"/>
            <w:tcBorders>
              <w:top w:val="nil"/>
              <w:left w:val="nil"/>
              <w:bottom w:val="single" w:sz="4" w:space="0" w:color="auto"/>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0,32</w:t>
            </w:r>
          </w:p>
        </w:tc>
        <w:tc>
          <w:tcPr>
            <w:tcW w:w="919" w:type="dxa"/>
            <w:tcBorders>
              <w:top w:val="nil"/>
              <w:left w:val="nil"/>
              <w:bottom w:val="single" w:sz="4" w:space="0" w:color="auto"/>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0,32</w:t>
            </w:r>
          </w:p>
        </w:tc>
        <w:tc>
          <w:tcPr>
            <w:tcW w:w="919" w:type="dxa"/>
            <w:tcBorders>
              <w:top w:val="nil"/>
              <w:left w:val="nil"/>
              <w:bottom w:val="single" w:sz="4" w:space="0" w:color="auto"/>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0,31</w:t>
            </w:r>
          </w:p>
        </w:tc>
        <w:tc>
          <w:tcPr>
            <w:tcW w:w="919" w:type="dxa"/>
            <w:tcBorders>
              <w:top w:val="nil"/>
              <w:left w:val="nil"/>
              <w:bottom w:val="single" w:sz="4" w:space="0" w:color="auto"/>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0,32</w:t>
            </w:r>
          </w:p>
        </w:tc>
        <w:tc>
          <w:tcPr>
            <w:tcW w:w="920" w:type="dxa"/>
            <w:tcBorders>
              <w:top w:val="nil"/>
              <w:left w:val="nil"/>
              <w:bottom w:val="single" w:sz="4" w:space="0" w:color="auto"/>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0,31</w:t>
            </w:r>
          </w:p>
        </w:tc>
      </w:tr>
      <w:tr w:rsidR="00647EB0" w:rsidTr="00647EB0">
        <w:trPr>
          <w:trHeight w:val="255"/>
        </w:trPr>
        <w:tc>
          <w:tcPr>
            <w:tcW w:w="3205" w:type="dxa"/>
            <w:tcBorders>
              <w:top w:val="nil"/>
              <w:left w:val="nil"/>
              <w:bottom w:val="nil"/>
              <w:right w:val="single" w:sz="4" w:space="0" w:color="auto"/>
            </w:tcBorders>
            <w:noWrap/>
            <w:vAlign w:val="bottom"/>
          </w:tcPr>
          <w:p w:rsidR="00647EB0" w:rsidRDefault="00647EB0" w:rsidP="00357790">
            <w:pPr>
              <w:rPr>
                <w:rFonts w:eastAsia="Arial Unicode MS" w:cs="Arial"/>
                <w:b/>
                <w:bCs/>
                <w:sz w:val="16"/>
                <w:szCs w:val="16"/>
              </w:rPr>
            </w:pPr>
            <w:r>
              <w:rPr>
                <w:rFonts w:cs="Arial"/>
                <w:b/>
                <w:bCs/>
                <w:sz w:val="16"/>
                <w:szCs w:val="16"/>
              </w:rPr>
              <w:t>Průměrný věk žen při potratu</w:t>
            </w:r>
          </w:p>
        </w:tc>
        <w:tc>
          <w:tcPr>
            <w:tcW w:w="919" w:type="dxa"/>
            <w:tcBorders>
              <w:top w:val="single" w:sz="4" w:space="0" w:color="auto"/>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29,8</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30,1</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30,2</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30,1</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30,2</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30,1</w:t>
            </w:r>
          </w:p>
        </w:tc>
        <w:tc>
          <w:tcPr>
            <w:tcW w:w="920"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30,3</w:t>
            </w:r>
          </w:p>
        </w:tc>
      </w:tr>
      <w:tr w:rsidR="00647EB0" w:rsidTr="00647EB0">
        <w:trPr>
          <w:trHeight w:val="255"/>
        </w:trPr>
        <w:tc>
          <w:tcPr>
            <w:tcW w:w="3205" w:type="dxa"/>
            <w:tcBorders>
              <w:top w:val="nil"/>
              <w:left w:val="nil"/>
              <w:bottom w:val="nil"/>
              <w:right w:val="single" w:sz="4" w:space="0" w:color="auto"/>
            </w:tcBorders>
            <w:noWrap/>
            <w:vAlign w:val="bottom"/>
          </w:tcPr>
          <w:p w:rsidR="00647EB0" w:rsidRDefault="00647EB0" w:rsidP="00357790">
            <w:pPr>
              <w:rPr>
                <w:rFonts w:eastAsia="Arial Unicode MS" w:cs="Arial"/>
                <w:sz w:val="16"/>
                <w:szCs w:val="16"/>
              </w:rPr>
            </w:pPr>
            <w:r>
              <w:rPr>
                <w:rFonts w:cs="Arial"/>
                <w:sz w:val="16"/>
                <w:szCs w:val="16"/>
              </w:rPr>
              <w:t>Průměrný věk žen při samovolném potratu</w:t>
            </w:r>
          </w:p>
        </w:tc>
        <w:tc>
          <w:tcPr>
            <w:tcW w:w="919" w:type="dxa"/>
            <w:tcBorders>
              <w:top w:val="nil"/>
              <w:left w:val="nil"/>
              <w:bottom w:val="nil"/>
              <w:right w:val="nil"/>
            </w:tcBorders>
            <w:tcMar>
              <w:right w:w="142" w:type="dxa"/>
            </w:tcMar>
            <w:vAlign w:val="bottom"/>
          </w:tcPr>
          <w:p w:rsidR="00647EB0" w:rsidRDefault="00647EB0" w:rsidP="00647EB0">
            <w:pPr>
              <w:jc w:val="right"/>
              <w:rPr>
                <w:rFonts w:cs="Arial"/>
                <w:sz w:val="16"/>
                <w:szCs w:val="16"/>
              </w:rPr>
            </w:pPr>
            <w:r>
              <w:rPr>
                <w:rFonts w:cs="Arial"/>
                <w:sz w:val="16"/>
                <w:szCs w:val="16"/>
              </w:rPr>
              <w:t>29,9</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30,7</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31,0</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30,9</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31,0</w:t>
            </w:r>
          </w:p>
        </w:tc>
        <w:tc>
          <w:tcPr>
            <w:tcW w:w="919"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31,1</w:t>
            </w:r>
          </w:p>
        </w:tc>
        <w:tc>
          <w:tcPr>
            <w:tcW w:w="920" w:type="dxa"/>
            <w:tcBorders>
              <w:top w:val="nil"/>
              <w:left w:val="nil"/>
              <w:bottom w:val="nil"/>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31,2</w:t>
            </w:r>
          </w:p>
        </w:tc>
      </w:tr>
      <w:tr w:rsidR="00647EB0" w:rsidTr="00647EB0">
        <w:trPr>
          <w:trHeight w:val="255"/>
        </w:trPr>
        <w:tc>
          <w:tcPr>
            <w:tcW w:w="3205" w:type="dxa"/>
            <w:tcBorders>
              <w:top w:val="nil"/>
              <w:left w:val="nil"/>
              <w:bottom w:val="single" w:sz="4" w:space="0" w:color="auto"/>
              <w:right w:val="single" w:sz="4" w:space="0" w:color="auto"/>
            </w:tcBorders>
            <w:noWrap/>
            <w:vAlign w:val="bottom"/>
          </w:tcPr>
          <w:p w:rsidR="00647EB0" w:rsidRDefault="00647EB0" w:rsidP="00357790">
            <w:pPr>
              <w:rPr>
                <w:rFonts w:eastAsia="Arial Unicode MS" w:cs="Arial"/>
                <w:sz w:val="16"/>
                <w:szCs w:val="16"/>
              </w:rPr>
            </w:pPr>
            <w:r>
              <w:rPr>
                <w:rFonts w:cs="Arial"/>
                <w:sz w:val="16"/>
                <w:szCs w:val="16"/>
              </w:rPr>
              <w:t>Průměrný věk žen při UPT</w:t>
            </w:r>
          </w:p>
        </w:tc>
        <w:tc>
          <w:tcPr>
            <w:tcW w:w="919" w:type="dxa"/>
            <w:tcBorders>
              <w:top w:val="nil"/>
              <w:left w:val="nil"/>
              <w:bottom w:val="single" w:sz="4" w:space="0" w:color="auto"/>
              <w:right w:val="nil"/>
            </w:tcBorders>
            <w:tcMar>
              <w:right w:w="142" w:type="dxa"/>
            </w:tcMar>
            <w:vAlign w:val="bottom"/>
          </w:tcPr>
          <w:p w:rsidR="00647EB0" w:rsidRDefault="00647EB0" w:rsidP="00647EB0">
            <w:pPr>
              <w:jc w:val="right"/>
              <w:rPr>
                <w:rFonts w:cs="Arial"/>
                <w:sz w:val="16"/>
                <w:szCs w:val="16"/>
              </w:rPr>
            </w:pPr>
            <w:r>
              <w:rPr>
                <w:rFonts w:cs="Arial"/>
                <w:sz w:val="16"/>
                <w:szCs w:val="16"/>
              </w:rPr>
              <w:t>29,8</w:t>
            </w:r>
          </w:p>
        </w:tc>
        <w:tc>
          <w:tcPr>
            <w:tcW w:w="919" w:type="dxa"/>
            <w:tcBorders>
              <w:top w:val="nil"/>
              <w:left w:val="nil"/>
              <w:bottom w:val="single" w:sz="4" w:space="0" w:color="auto"/>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29,7</w:t>
            </w:r>
          </w:p>
        </w:tc>
        <w:tc>
          <w:tcPr>
            <w:tcW w:w="919" w:type="dxa"/>
            <w:tcBorders>
              <w:top w:val="nil"/>
              <w:left w:val="nil"/>
              <w:bottom w:val="single" w:sz="4" w:space="0" w:color="auto"/>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29,7</w:t>
            </w:r>
          </w:p>
        </w:tc>
        <w:tc>
          <w:tcPr>
            <w:tcW w:w="919" w:type="dxa"/>
            <w:tcBorders>
              <w:top w:val="nil"/>
              <w:left w:val="nil"/>
              <w:bottom w:val="single" w:sz="4" w:space="0" w:color="auto"/>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29,7</w:t>
            </w:r>
          </w:p>
        </w:tc>
        <w:tc>
          <w:tcPr>
            <w:tcW w:w="919" w:type="dxa"/>
            <w:tcBorders>
              <w:top w:val="nil"/>
              <w:left w:val="nil"/>
              <w:bottom w:val="single" w:sz="4" w:space="0" w:color="auto"/>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29,7</w:t>
            </w:r>
          </w:p>
        </w:tc>
        <w:tc>
          <w:tcPr>
            <w:tcW w:w="919" w:type="dxa"/>
            <w:tcBorders>
              <w:top w:val="nil"/>
              <w:left w:val="nil"/>
              <w:bottom w:val="single" w:sz="4" w:space="0" w:color="auto"/>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29,5</w:t>
            </w:r>
          </w:p>
        </w:tc>
        <w:tc>
          <w:tcPr>
            <w:tcW w:w="920" w:type="dxa"/>
            <w:tcBorders>
              <w:top w:val="nil"/>
              <w:left w:val="nil"/>
              <w:bottom w:val="single" w:sz="4" w:space="0" w:color="auto"/>
              <w:right w:val="nil"/>
            </w:tcBorders>
            <w:noWrap/>
            <w:tcMar>
              <w:right w:w="142" w:type="dxa"/>
            </w:tcMar>
            <w:vAlign w:val="bottom"/>
          </w:tcPr>
          <w:p w:rsidR="00647EB0" w:rsidRDefault="00647EB0" w:rsidP="00647EB0">
            <w:pPr>
              <w:jc w:val="right"/>
              <w:rPr>
                <w:rFonts w:cs="Arial"/>
                <w:sz w:val="16"/>
                <w:szCs w:val="16"/>
              </w:rPr>
            </w:pPr>
            <w:r>
              <w:rPr>
                <w:rFonts w:cs="Arial"/>
                <w:sz w:val="16"/>
                <w:szCs w:val="16"/>
              </w:rPr>
              <w:t>29,7</w:t>
            </w:r>
          </w:p>
        </w:tc>
      </w:tr>
    </w:tbl>
    <w:p w:rsidR="0066530F" w:rsidRDefault="0066530F" w:rsidP="00A559CF">
      <w:pPr>
        <w:spacing w:after="60"/>
      </w:pPr>
    </w:p>
    <w:p w:rsidR="000B737B" w:rsidRDefault="00946AA2" w:rsidP="00A559CF">
      <w:r>
        <w:lastRenderedPageBreak/>
        <w:t xml:space="preserve">Průměrný věk ženy při potratu se v roce 2014 zvýšil o 0,2 roku na 30,3 let. </w:t>
      </w:r>
      <w:r w:rsidR="00647EB0">
        <w:t>O stejnou hodnotu se zvýšil i průměrný věk při indukovaném potratu (na 29,7 let). U samovolných potratů šlo o nárůst o 0,1 roku na 31,2 let</w:t>
      </w:r>
      <w:r w:rsidR="00C06D20">
        <w:t xml:space="preserve">. </w:t>
      </w:r>
      <w:r w:rsidR="00F84021">
        <w:t>Ještě v roce 2004 by</w:t>
      </w:r>
      <w:r w:rsidR="00647EB0">
        <w:t>l rozdíl v hodnotách</w:t>
      </w:r>
      <w:r w:rsidR="00F84021">
        <w:t xml:space="preserve"> průměrného věku podle druhu potratu </w:t>
      </w:r>
      <w:r w:rsidR="00E65DA4">
        <w:t xml:space="preserve">pouze </w:t>
      </w:r>
      <w:r w:rsidR="00F84021">
        <w:t>0,1 roku</w:t>
      </w:r>
      <w:r w:rsidR="00D71BC1">
        <w:t xml:space="preserve">. Zvýšení </w:t>
      </w:r>
      <w:r w:rsidR="00F84021">
        <w:t>v následujících deseti letech</w:t>
      </w:r>
      <w:r w:rsidR="00E65DA4">
        <w:t xml:space="preserve"> bylo způsobeno nárůstem průměrného věku žen při samovolném potratu o 1,3 roku souvisejícím s</w:t>
      </w:r>
      <w:r w:rsidR="00F84021">
        <w:t xml:space="preserve"> </w:t>
      </w:r>
      <w:r w:rsidR="00370F4D">
        <w:t>prodlužování</w:t>
      </w:r>
      <w:r w:rsidR="00E65DA4">
        <w:t>m</w:t>
      </w:r>
      <w:r w:rsidR="00370F4D">
        <w:t xml:space="preserve"> průměrného věku matky při narození dítěte.</w:t>
      </w:r>
    </w:p>
    <w:p w:rsidR="000B737B" w:rsidRDefault="000B737B" w:rsidP="00A559CF"/>
    <w:p w:rsidR="00433381" w:rsidRDefault="00C63F2F" w:rsidP="00A559CF">
      <w:r>
        <w:t>Odrazem posunu těhotenství do vyššího věku je i vývoj měr samovolné potratovosti podle věku</w:t>
      </w:r>
      <w:r w:rsidR="00E65DA4">
        <w:t xml:space="preserve"> ženy</w:t>
      </w:r>
      <w:r>
        <w:t>. Ty ve srovnání let 2004 a 2014 klesaly do 28 let</w:t>
      </w:r>
      <w:r w:rsidR="00E65DA4">
        <w:t xml:space="preserve"> věku</w:t>
      </w:r>
      <w:r>
        <w:t xml:space="preserve">, avšak od 29 let směrem do vyšších věků žen lze pozorovat </w:t>
      </w:r>
      <w:r w:rsidRPr="00C63F2F">
        <w:t>výrazný nárůst, kter</w:t>
      </w:r>
      <w:r w:rsidR="00CC26A5">
        <w:t>ý</w:t>
      </w:r>
      <w:r w:rsidRPr="00C63F2F">
        <w:t xml:space="preserve"> byl </w:t>
      </w:r>
      <w:r>
        <w:t>podstatnější</w:t>
      </w:r>
      <w:r w:rsidRPr="00C63F2F">
        <w:t xml:space="preserve"> než pokles v mladších věcích. Tento vývoj byl dynamičtější v první</w:t>
      </w:r>
      <w:r>
        <w:t xml:space="preserve"> polovině sledovaného období</w:t>
      </w:r>
      <w:r w:rsidR="00447528">
        <w:t xml:space="preserve">. </w:t>
      </w:r>
      <w:r w:rsidR="00886958">
        <w:t>Nejvyšší intenzita samovolné potratovosti byla v roce</w:t>
      </w:r>
      <w:r>
        <w:t xml:space="preserve"> 2014 u žen ve věku 32 let (11,7</w:t>
      </w:r>
      <w:r w:rsidR="00886958">
        <w:t xml:space="preserve"> </w:t>
      </w:r>
      <w:bookmarkStart w:id="3" w:name="OLE_LINK5"/>
      <w:bookmarkStart w:id="4" w:name="OLE_LINK6"/>
      <w:r w:rsidR="00D62DDD">
        <w:t>samovolných potratů na 1 </w:t>
      </w:r>
      <w:r w:rsidR="00886958">
        <w:t>000 žen</w:t>
      </w:r>
      <w:bookmarkEnd w:id="3"/>
      <w:bookmarkEnd w:id="4"/>
      <w:r w:rsidR="00886958">
        <w:t>), zatímco v roce 2004 se jednalo o ženy 28leté</w:t>
      </w:r>
      <w:r w:rsidR="00D62DDD">
        <w:t xml:space="preserve"> (10,9 samovolných potratů na 1 </w:t>
      </w:r>
      <w:r w:rsidR="00886958">
        <w:t>000 žen).</w:t>
      </w:r>
      <w:r w:rsidR="001D03F6">
        <w:t xml:space="preserve"> Křivka měr plodnosti u tohoto druhu potrat</w:t>
      </w:r>
      <w:r w:rsidR="00560B69">
        <w:t>u</w:t>
      </w:r>
      <w:r w:rsidR="001D03F6">
        <w:t xml:space="preserve"> se v čase zaoblovala a už neměla tak výrazný vrchol jako v roce 2004.</w:t>
      </w:r>
    </w:p>
    <w:p w:rsidR="00946F0D" w:rsidRDefault="00946F0D" w:rsidP="00A559CF">
      <w:pPr>
        <w:pStyle w:val="Titulek"/>
        <w:spacing w:before="0" w:after="0"/>
      </w:pPr>
    </w:p>
    <w:p w:rsidR="00433381" w:rsidRDefault="00433381" w:rsidP="00433381">
      <w:pPr>
        <w:pStyle w:val="Titulek"/>
        <w:spacing w:before="0" w:after="60"/>
      </w:pPr>
      <w:r>
        <w:t xml:space="preserve">Tab. </w:t>
      </w:r>
      <w:r w:rsidR="00351243">
        <w:fldChar w:fldCharType="begin"/>
      </w:r>
      <w:r>
        <w:instrText xml:space="preserve"> STYLEREF 1 \s </w:instrText>
      </w:r>
      <w:r w:rsidR="00351243">
        <w:fldChar w:fldCharType="separate"/>
      </w:r>
      <w:r>
        <w:rPr>
          <w:noProof/>
        </w:rPr>
        <w:t>5</w:t>
      </w:r>
      <w:r w:rsidR="00351243">
        <w:fldChar w:fldCharType="end"/>
      </w:r>
      <w:r>
        <w:t>.</w:t>
      </w:r>
      <w:r w:rsidR="00C63F2F">
        <w:t>6</w:t>
      </w:r>
      <w:r>
        <w:t xml:space="preserve"> Míry potratovosti podle druhu potratu </w:t>
      </w:r>
      <w:r w:rsidR="00FB78B4">
        <w:t>a věku ženy (na 1 000 žen), 2004–2014</w:t>
      </w:r>
    </w:p>
    <w:tbl>
      <w:tblPr>
        <w:tblW w:w="9639" w:type="dxa"/>
        <w:tblLayout w:type="fixed"/>
        <w:tblCellMar>
          <w:left w:w="0" w:type="dxa"/>
          <w:right w:w="0" w:type="dxa"/>
        </w:tblCellMar>
        <w:tblLook w:val="0000"/>
      </w:tblPr>
      <w:tblGrid>
        <w:gridCol w:w="1050"/>
        <w:gridCol w:w="954"/>
        <w:gridCol w:w="954"/>
        <w:gridCol w:w="955"/>
        <w:gridCol w:w="953"/>
        <w:gridCol w:w="953"/>
        <w:gridCol w:w="954"/>
        <w:gridCol w:w="953"/>
        <w:gridCol w:w="953"/>
        <w:gridCol w:w="951"/>
        <w:gridCol w:w="9"/>
      </w:tblGrid>
      <w:tr w:rsidR="00433381" w:rsidTr="00F06867">
        <w:trPr>
          <w:gridAfter w:val="1"/>
          <w:wAfter w:w="9" w:type="dxa"/>
          <w:trHeight w:val="255"/>
        </w:trPr>
        <w:tc>
          <w:tcPr>
            <w:tcW w:w="1050" w:type="dxa"/>
            <w:vMerge w:val="restart"/>
            <w:tcBorders>
              <w:top w:val="single" w:sz="4" w:space="0" w:color="auto"/>
              <w:left w:val="nil"/>
              <w:bottom w:val="single" w:sz="4" w:space="0" w:color="000000"/>
              <w:right w:val="single" w:sz="4" w:space="0" w:color="auto"/>
            </w:tcBorders>
            <w:vAlign w:val="center"/>
          </w:tcPr>
          <w:p w:rsidR="00433381" w:rsidRDefault="00433381" w:rsidP="00F06867">
            <w:pPr>
              <w:rPr>
                <w:rFonts w:eastAsia="Arial Unicode MS" w:cs="Arial"/>
                <w:b/>
                <w:bCs/>
                <w:sz w:val="16"/>
                <w:szCs w:val="16"/>
              </w:rPr>
            </w:pPr>
            <w:r>
              <w:rPr>
                <w:rFonts w:eastAsia="Arial Unicode MS" w:cs="Arial"/>
                <w:b/>
                <w:bCs/>
                <w:sz w:val="16"/>
                <w:szCs w:val="16"/>
              </w:rPr>
              <w:t>Věk ženy</w:t>
            </w:r>
          </w:p>
        </w:tc>
        <w:tc>
          <w:tcPr>
            <w:tcW w:w="2863" w:type="dxa"/>
            <w:gridSpan w:val="3"/>
            <w:tcBorders>
              <w:top w:val="single" w:sz="4" w:space="0" w:color="auto"/>
              <w:left w:val="nil"/>
              <w:right w:val="single" w:sz="4" w:space="0" w:color="auto"/>
            </w:tcBorders>
            <w:noWrap/>
            <w:tcMar>
              <w:right w:w="142" w:type="dxa"/>
            </w:tcMar>
            <w:vAlign w:val="bottom"/>
          </w:tcPr>
          <w:p w:rsidR="00433381" w:rsidRDefault="00433381" w:rsidP="00F06867">
            <w:pPr>
              <w:jc w:val="center"/>
              <w:rPr>
                <w:rFonts w:cs="Arial"/>
                <w:b/>
                <w:bCs/>
                <w:sz w:val="16"/>
                <w:szCs w:val="16"/>
              </w:rPr>
            </w:pPr>
            <w:r w:rsidRPr="00265BDD">
              <w:rPr>
                <w:rFonts w:cs="Arial"/>
                <w:b/>
                <w:bCs/>
                <w:sz w:val="16"/>
                <w:szCs w:val="16"/>
              </w:rPr>
              <w:t>Potratovost celkem</w:t>
            </w:r>
          </w:p>
        </w:tc>
        <w:tc>
          <w:tcPr>
            <w:tcW w:w="2860" w:type="dxa"/>
            <w:gridSpan w:val="3"/>
            <w:tcBorders>
              <w:top w:val="single" w:sz="4" w:space="0" w:color="auto"/>
              <w:left w:val="nil"/>
              <w:right w:val="single" w:sz="4" w:space="0" w:color="auto"/>
            </w:tcBorders>
            <w:vAlign w:val="bottom"/>
          </w:tcPr>
          <w:p w:rsidR="00433381" w:rsidRDefault="00433381" w:rsidP="00F06867">
            <w:pPr>
              <w:jc w:val="center"/>
              <w:rPr>
                <w:rFonts w:cs="Arial"/>
                <w:b/>
                <w:bCs/>
                <w:sz w:val="16"/>
                <w:szCs w:val="16"/>
              </w:rPr>
            </w:pPr>
            <w:r>
              <w:rPr>
                <w:rFonts w:cs="Arial"/>
                <w:b/>
                <w:bCs/>
                <w:sz w:val="16"/>
                <w:szCs w:val="16"/>
              </w:rPr>
              <w:t>Samovolná potratovost</w:t>
            </w:r>
          </w:p>
        </w:tc>
        <w:tc>
          <w:tcPr>
            <w:tcW w:w="2857" w:type="dxa"/>
            <w:gridSpan w:val="3"/>
            <w:tcBorders>
              <w:top w:val="single" w:sz="4" w:space="0" w:color="auto"/>
              <w:left w:val="nil"/>
            </w:tcBorders>
            <w:vAlign w:val="bottom"/>
          </w:tcPr>
          <w:p w:rsidR="00433381" w:rsidRDefault="00433381" w:rsidP="00F06867">
            <w:pPr>
              <w:jc w:val="center"/>
              <w:rPr>
                <w:rFonts w:cs="Arial"/>
                <w:b/>
                <w:bCs/>
                <w:sz w:val="16"/>
                <w:szCs w:val="16"/>
              </w:rPr>
            </w:pPr>
            <w:r>
              <w:rPr>
                <w:rFonts w:cs="Arial"/>
                <w:b/>
                <w:bCs/>
                <w:sz w:val="16"/>
                <w:szCs w:val="16"/>
              </w:rPr>
              <w:t>Indukovaná potratovost</w:t>
            </w:r>
          </w:p>
        </w:tc>
      </w:tr>
      <w:tr w:rsidR="00FB78B4" w:rsidTr="00F06867">
        <w:trPr>
          <w:trHeight w:val="255"/>
        </w:trPr>
        <w:tc>
          <w:tcPr>
            <w:tcW w:w="1050" w:type="dxa"/>
            <w:vMerge/>
            <w:tcBorders>
              <w:top w:val="single" w:sz="4" w:space="0" w:color="auto"/>
              <w:left w:val="nil"/>
              <w:bottom w:val="single" w:sz="4" w:space="0" w:color="000000"/>
              <w:right w:val="single" w:sz="4" w:space="0" w:color="auto"/>
            </w:tcBorders>
            <w:vAlign w:val="center"/>
          </w:tcPr>
          <w:p w:rsidR="00FB78B4" w:rsidRDefault="00FB78B4" w:rsidP="00F06867">
            <w:pPr>
              <w:rPr>
                <w:rFonts w:eastAsia="Arial Unicode MS" w:cs="Arial"/>
                <w:b/>
                <w:bCs/>
                <w:sz w:val="16"/>
                <w:szCs w:val="16"/>
              </w:rPr>
            </w:pPr>
          </w:p>
        </w:tc>
        <w:tc>
          <w:tcPr>
            <w:tcW w:w="954" w:type="dxa"/>
            <w:tcBorders>
              <w:top w:val="nil"/>
              <w:left w:val="nil"/>
              <w:bottom w:val="single" w:sz="4" w:space="0" w:color="auto"/>
              <w:right w:val="nil"/>
            </w:tcBorders>
            <w:noWrap/>
            <w:tcMar>
              <w:right w:w="142" w:type="dxa"/>
            </w:tcMar>
            <w:vAlign w:val="bottom"/>
          </w:tcPr>
          <w:p w:rsidR="00FB78B4" w:rsidRDefault="00FB78B4">
            <w:pPr>
              <w:jc w:val="right"/>
              <w:rPr>
                <w:rFonts w:cs="Arial"/>
                <w:b/>
                <w:bCs/>
                <w:sz w:val="16"/>
                <w:szCs w:val="16"/>
              </w:rPr>
            </w:pPr>
            <w:r>
              <w:rPr>
                <w:rFonts w:cs="Arial"/>
                <w:b/>
                <w:bCs/>
                <w:sz w:val="16"/>
                <w:szCs w:val="16"/>
              </w:rPr>
              <w:t>2004</w:t>
            </w:r>
          </w:p>
        </w:tc>
        <w:tc>
          <w:tcPr>
            <w:tcW w:w="954" w:type="dxa"/>
            <w:tcBorders>
              <w:top w:val="nil"/>
              <w:left w:val="nil"/>
              <w:bottom w:val="single" w:sz="4" w:space="0" w:color="auto"/>
              <w:right w:val="nil"/>
            </w:tcBorders>
            <w:tcMar>
              <w:right w:w="142" w:type="dxa"/>
            </w:tcMar>
            <w:vAlign w:val="bottom"/>
          </w:tcPr>
          <w:p w:rsidR="00FB78B4" w:rsidRDefault="00FB78B4">
            <w:pPr>
              <w:jc w:val="right"/>
              <w:rPr>
                <w:rFonts w:cs="Arial"/>
                <w:b/>
                <w:bCs/>
                <w:sz w:val="16"/>
                <w:szCs w:val="16"/>
              </w:rPr>
            </w:pPr>
            <w:r>
              <w:rPr>
                <w:rFonts w:cs="Arial"/>
                <w:b/>
                <w:bCs/>
                <w:sz w:val="16"/>
                <w:szCs w:val="16"/>
              </w:rPr>
              <w:t>2009</w:t>
            </w:r>
          </w:p>
        </w:tc>
        <w:tc>
          <w:tcPr>
            <w:tcW w:w="955" w:type="dxa"/>
            <w:tcBorders>
              <w:top w:val="nil"/>
              <w:left w:val="nil"/>
              <w:bottom w:val="single" w:sz="4" w:space="0" w:color="auto"/>
              <w:right w:val="single" w:sz="4" w:space="0" w:color="auto"/>
            </w:tcBorders>
            <w:tcMar>
              <w:right w:w="142" w:type="dxa"/>
            </w:tcMar>
            <w:vAlign w:val="bottom"/>
          </w:tcPr>
          <w:p w:rsidR="00FB78B4" w:rsidRDefault="00FB78B4">
            <w:pPr>
              <w:jc w:val="right"/>
              <w:rPr>
                <w:rFonts w:cs="Arial"/>
                <w:b/>
                <w:bCs/>
                <w:sz w:val="16"/>
                <w:szCs w:val="16"/>
              </w:rPr>
            </w:pPr>
            <w:r>
              <w:rPr>
                <w:rFonts w:cs="Arial"/>
                <w:b/>
                <w:bCs/>
                <w:sz w:val="16"/>
                <w:szCs w:val="16"/>
              </w:rPr>
              <w:t>2014</w:t>
            </w:r>
          </w:p>
        </w:tc>
        <w:tc>
          <w:tcPr>
            <w:tcW w:w="953" w:type="dxa"/>
            <w:tcBorders>
              <w:top w:val="nil"/>
              <w:left w:val="single" w:sz="4" w:space="0" w:color="auto"/>
              <w:bottom w:val="single" w:sz="4" w:space="0" w:color="auto"/>
              <w:right w:val="nil"/>
            </w:tcBorders>
            <w:tcMar>
              <w:right w:w="142" w:type="dxa"/>
            </w:tcMar>
            <w:vAlign w:val="bottom"/>
          </w:tcPr>
          <w:p w:rsidR="00FB78B4" w:rsidRDefault="00FB78B4">
            <w:pPr>
              <w:jc w:val="right"/>
              <w:rPr>
                <w:rFonts w:cs="Arial"/>
                <w:b/>
                <w:bCs/>
                <w:sz w:val="16"/>
                <w:szCs w:val="16"/>
              </w:rPr>
            </w:pPr>
            <w:r>
              <w:rPr>
                <w:rFonts w:cs="Arial"/>
                <w:b/>
                <w:bCs/>
                <w:sz w:val="16"/>
                <w:szCs w:val="16"/>
              </w:rPr>
              <w:t>2004</w:t>
            </w:r>
          </w:p>
        </w:tc>
        <w:tc>
          <w:tcPr>
            <w:tcW w:w="953" w:type="dxa"/>
            <w:tcBorders>
              <w:top w:val="nil"/>
              <w:left w:val="nil"/>
              <w:bottom w:val="single" w:sz="4" w:space="0" w:color="auto"/>
              <w:right w:val="nil"/>
            </w:tcBorders>
            <w:tcMar>
              <w:right w:w="142" w:type="dxa"/>
            </w:tcMar>
            <w:vAlign w:val="bottom"/>
          </w:tcPr>
          <w:p w:rsidR="00FB78B4" w:rsidRDefault="00FB78B4">
            <w:pPr>
              <w:jc w:val="right"/>
              <w:rPr>
                <w:rFonts w:cs="Arial"/>
                <w:b/>
                <w:bCs/>
                <w:sz w:val="16"/>
                <w:szCs w:val="16"/>
              </w:rPr>
            </w:pPr>
            <w:r>
              <w:rPr>
                <w:rFonts w:cs="Arial"/>
                <w:b/>
                <w:bCs/>
                <w:sz w:val="16"/>
                <w:szCs w:val="16"/>
              </w:rPr>
              <w:t>2009</w:t>
            </w:r>
          </w:p>
        </w:tc>
        <w:tc>
          <w:tcPr>
            <w:tcW w:w="954" w:type="dxa"/>
            <w:tcBorders>
              <w:top w:val="nil"/>
              <w:left w:val="nil"/>
              <w:bottom w:val="single" w:sz="4" w:space="0" w:color="auto"/>
              <w:right w:val="single" w:sz="4" w:space="0" w:color="auto"/>
            </w:tcBorders>
            <w:tcMar>
              <w:right w:w="142" w:type="dxa"/>
            </w:tcMar>
            <w:vAlign w:val="bottom"/>
          </w:tcPr>
          <w:p w:rsidR="00FB78B4" w:rsidRDefault="00FB78B4">
            <w:pPr>
              <w:jc w:val="right"/>
              <w:rPr>
                <w:rFonts w:cs="Arial"/>
                <w:b/>
                <w:bCs/>
                <w:sz w:val="16"/>
                <w:szCs w:val="16"/>
              </w:rPr>
            </w:pPr>
            <w:r>
              <w:rPr>
                <w:rFonts w:cs="Arial"/>
                <w:b/>
                <w:bCs/>
                <w:sz w:val="16"/>
                <w:szCs w:val="16"/>
              </w:rPr>
              <w:t>2014</w:t>
            </w:r>
          </w:p>
        </w:tc>
        <w:tc>
          <w:tcPr>
            <w:tcW w:w="953" w:type="dxa"/>
            <w:tcBorders>
              <w:top w:val="nil"/>
              <w:left w:val="single" w:sz="4" w:space="0" w:color="auto"/>
              <w:bottom w:val="single" w:sz="4" w:space="0" w:color="auto"/>
              <w:right w:val="nil"/>
            </w:tcBorders>
            <w:tcMar>
              <w:right w:w="142" w:type="dxa"/>
            </w:tcMar>
            <w:vAlign w:val="bottom"/>
          </w:tcPr>
          <w:p w:rsidR="00FB78B4" w:rsidRDefault="00FB78B4">
            <w:pPr>
              <w:jc w:val="right"/>
              <w:rPr>
                <w:rFonts w:cs="Arial"/>
                <w:b/>
                <w:bCs/>
                <w:sz w:val="16"/>
                <w:szCs w:val="16"/>
              </w:rPr>
            </w:pPr>
            <w:r>
              <w:rPr>
                <w:rFonts w:cs="Arial"/>
                <w:b/>
                <w:bCs/>
                <w:sz w:val="16"/>
                <w:szCs w:val="16"/>
              </w:rPr>
              <w:t>2004</w:t>
            </w:r>
          </w:p>
        </w:tc>
        <w:tc>
          <w:tcPr>
            <w:tcW w:w="953" w:type="dxa"/>
            <w:tcBorders>
              <w:top w:val="nil"/>
              <w:left w:val="nil"/>
              <w:bottom w:val="single" w:sz="4" w:space="0" w:color="auto"/>
              <w:right w:val="nil"/>
            </w:tcBorders>
            <w:noWrap/>
            <w:tcMar>
              <w:right w:w="142" w:type="dxa"/>
            </w:tcMar>
            <w:vAlign w:val="bottom"/>
          </w:tcPr>
          <w:p w:rsidR="00FB78B4" w:rsidRDefault="00FB78B4">
            <w:pPr>
              <w:jc w:val="right"/>
              <w:rPr>
                <w:rFonts w:cs="Arial"/>
                <w:b/>
                <w:bCs/>
                <w:sz w:val="16"/>
                <w:szCs w:val="16"/>
              </w:rPr>
            </w:pPr>
            <w:r>
              <w:rPr>
                <w:rFonts w:cs="Arial"/>
                <w:b/>
                <w:bCs/>
                <w:sz w:val="16"/>
                <w:szCs w:val="16"/>
              </w:rPr>
              <w:t>2009</w:t>
            </w:r>
          </w:p>
        </w:tc>
        <w:tc>
          <w:tcPr>
            <w:tcW w:w="960" w:type="dxa"/>
            <w:gridSpan w:val="2"/>
            <w:tcBorders>
              <w:top w:val="nil"/>
              <w:left w:val="nil"/>
              <w:bottom w:val="single" w:sz="4" w:space="0" w:color="auto"/>
            </w:tcBorders>
            <w:noWrap/>
            <w:tcMar>
              <w:right w:w="142" w:type="dxa"/>
            </w:tcMar>
            <w:vAlign w:val="bottom"/>
          </w:tcPr>
          <w:p w:rsidR="00FB78B4" w:rsidRDefault="00FB78B4">
            <w:pPr>
              <w:jc w:val="right"/>
              <w:rPr>
                <w:rFonts w:cs="Arial"/>
                <w:b/>
                <w:bCs/>
                <w:sz w:val="16"/>
                <w:szCs w:val="16"/>
              </w:rPr>
            </w:pPr>
            <w:r>
              <w:rPr>
                <w:rFonts w:cs="Arial"/>
                <w:b/>
                <w:bCs/>
                <w:sz w:val="16"/>
                <w:szCs w:val="16"/>
              </w:rPr>
              <w:t>2014</w:t>
            </w:r>
          </w:p>
        </w:tc>
      </w:tr>
      <w:tr w:rsidR="00FB78B4" w:rsidTr="00F06867">
        <w:trPr>
          <w:trHeight w:val="255"/>
        </w:trPr>
        <w:tc>
          <w:tcPr>
            <w:tcW w:w="1050" w:type="dxa"/>
            <w:tcBorders>
              <w:top w:val="nil"/>
              <w:left w:val="nil"/>
              <w:bottom w:val="nil"/>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20</w:t>
            </w:r>
          </w:p>
        </w:tc>
        <w:tc>
          <w:tcPr>
            <w:tcW w:w="954"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19,0</w:t>
            </w:r>
          </w:p>
        </w:tc>
        <w:tc>
          <w:tcPr>
            <w:tcW w:w="954"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16,1</w:t>
            </w:r>
          </w:p>
        </w:tc>
        <w:tc>
          <w:tcPr>
            <w:tcW w:w="955"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16,1</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4,4</w:t>
            </w:r>
          </w:p>
        </w:tc>
        <w:tc>
          <w:tcPr>
            <w:tcW w:w="953"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3,9</w:t>
            </w:r>
          </w:p>
        </w:tc>
        <w:tc>
          <w:tcPr>
            <w:tcW w:w="954"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4,1</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14,5</w:t>
            </w:r>
          </w:p>
        </w:tc>
        <w:tc>
          <w:tcPr>
            <w:tcW w:w="953"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11,8</w:t>
            </w:r>
          </w:p>
        </w:tc>
        <w:tc>
          <w:tcPr>
            <w:tcW w:w="960" w:type="dxa"/>
            <w:gridSpan w:val="2"/>
            <w:tcBorders>
              <w:top w:val="nil"/>
              <w:left w:val="nil"/>
              <w:bottom w:val="nil"/>
            </w:tcBorders>
            <w:noWrap/>
            <w:tcMar>
              <w:right w:w="142" w:type="dxa"/>
            </w:tcMar>
            <w:vAlign w:val="bottom"/>
          </w:tcPr>
          <w:p w:rsidR="00FB78B4" w:rsidRDefault="00FB78B4">
            <w:pPr>
              <w:jc w:val="right"/>
              <w:rPr>
                <w:rFonts w:cs="Arial"/>
                <w:sz w:val="16"/>
                <w:szCs w:val="16"/>
              </w:rPr>
            </w:pPr>
            <w:r>
              <w:rPr>
                <w:rFonts w:cs="Arial"/>
                <w:sz w:val="16"/>
                <w:szCs w:val="16"/>
              </w:rPr>
              <w:t>11,7</w:t>
            </w:r>
          </w:p>
        </w:tc>
      </w:tr>
      <w:tr w:rsidR="00FB78B4" w:rsidTr="00F06867">
        <w:trPr>
          <w:trHeight w:val="255"/>
        </w:trPr>
        <w:tc>
          <w:tcPr>
            <w:tcW w:w="1050" w:type="dxa"/>
            <w:tcBorders>
              <w:top w:val="nil"/>
              <w:left w:val="nil"/>
              <w:bottom w:val="nil"/>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21</w:t>
            </w:r>
          </w:p>
        </w:tc>
        <w:tc>
          <w:tcPr>
            <w:tcW w:w="954"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20,3</w:t>
            </w:r>
          </w:p>
        </w:tc>
        <w:tc>
          <w:tcPr>
            <w:tcW w:w="954"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17,6</w:t>
            </w:r>
          </w:p>
        </w:tc>
        <w:tc>
          <w:tcPr>
            <w:tcW w:w="955"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16,8</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4,9</w:t>
            </w:r>
          </w:p>
        </w:tc>
        <w:tc>
          <w:tcPr>
            <w:tcW w:w="953"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4,5</w:t>
            </w:r>
          </w:p>
        </w:tc>
        <w:tc>
          <w:tcPr>
            <w:tcW w:w="954"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4,5</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15,0</w:t>
            </w:r>
          </w:p>
        </w:tc>
        <w:tc>
          <w:tcPr>
            <w:tcW w:w="953"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12,8</w:t>
            </w:r>
          </w:p>
        </w:tc>
        <w:tc>
          <w:tcPr>
            <w:tcW w:w="960" w:type="dxa"/>
            <w:gridSpan w:val="2"/>
            <w:tcBorders>
              <w:top w:val="nil"/>
              <w:left w:val="nil"/>
              <w:bottom w:val="nil"/>
            </w:tcBorders>
            <w:noWrap/>
            <w:tcMar>
              <w:right w:w="142" w:type="dxa"/>
            </w:tcMar>
            <w:vAlign w:val="bottom"/>
          </w:tcPr>
          <w:p w:rsidR="00FB78B4" w:rsidRDefault="00FB78B4">
            <w:pPr>
              <w:jc w:val="right"/>
              <w:rPr>
                <w:rFonts w:cs="Arial"/>
                <w:sz w:val="16"/>
                <w:szCs w:val="16"/>
              </w:rPr>
            </w:pPr>
            <w:r>
              <w:rPr>
                <w:rFonts w:cs="Arial"/>
                <w:sz w:val="16"/>
                <w:szCs w:val="16"/>
              </w:rPr>
              <w:t>11,9</w:t>
            </w:r>
          </w:p>
        </w:tc>
      </w:tr>
      <w:tr w:rsidR="00FB78B4" w:rsidTr="00F06867">
        <w:trPr>
          <w:trHeight w:val="255"/>
        </w:trPr>
        <w:tc>
          <w:tcPr>
            <w:tcW w:w="1050" w:type="dxa"/>
            <w:tcBorders>
              <w:top w:val="nil"/>
              <w:left w:val="nil"/>
              <w:bottom w:val="nil"/>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22</w:t>
            </w:r>
          </w:p>
        </w:tc>
        <w:tc>
          <w:tcPr>
            <w:tcW w:w="954"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20,2</w:t>
            </w:r>
          </w:p>
        </w:tc>
        <w:tc>
          <w:tcPr>
            <w:tcW w:w="954"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17,8</w:t>
            </w:r>
          </w:p>
        </w:tc>
        <w:tc>
          <w:tcPr>
            <w:tcW w:w="955"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17,0</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4,8</w:t>
            </w:r>
          </w:p>
        </w:tc>
        <w:tc>
          <w:tcPr>
            <w:tcW w:w="953"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4,9</w:t>
            </w:r>
          </w:p>
        </w:tc>
        <w:tc>
          <w:tcPr>
            <w:tcW w:w="954"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4,3</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15,1</w:t>
            </w:r>
          </w:p>
        </w:tc>
        <w:tc>
          <w:tcPr>
            <w:tcW w:w="953"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12,4</w:t>
            </w:r>
          </w:p>
        </w:tc>
        <w:tc>
          <w:tcPr>
            <w:tcW w:w="960" w:type="dxa"/>
            <w:gridSpan w:val="2"/>
            <w:tcBorders>
              <w:top w:val="nil"/>
              <w:left w:val="nil"/>
              <w:bottom w:val="nil"/>
            </w:tcBorders>
            <w:noWrap/>
            <w:tcMar>
              <w:right w:w="142" w:type="dxa"/>
            </w:tcMar>
            <w:vAlign w:val="bottom"/>
          </w:tcPr>
          <w:p w:rsidR="00FB78B4" w:rsidRDefault="00FB78B4">
            <w:pPr>
              <w:jc w:val="right"/>
              <w:rPr>
                <w:rFonts w:cs="Arial"/>
                <w:sz w:val="16"/>
                <w:szCs w:val="16"/>
              </w:rPr>
            </w:pPr>
            <w:r>
              <w:rPr>
                <w:rFonts w:cs="Arial"/>
                <w:sz w:val="16"/>
                <w:szCs w:val="16"/>
              </w:rPr>
              <w:t>12,3</w:t>
            </w:r>
          </w:p>
        </w:tc>
      </w:tr>
      <w:tr w:rsidR="00FB78B4" w:rsidTr="00F06867">
        <w:trPr>
          <w:trHeight w:val="255"/>
        </w:trPr>
        <w:tc>
          <w:tcPr>
            <w:tcW w:w="1050" w:type="dxa"/>
            <w:tcBorders>
              <w:top w:val="nil"/>
              <w:left w:val="nil"/>
              <w:bottom w:val="nil"/>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23</w:t>
            </w:r>
          </w:p>
        </w:tc>
        <w:tc>
          <w:tcPr>
            <w:tcW w:w="954"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21,0</w:t>
            </w:r>
          </w:p>
        </w:tc>
        <w:tc>
          <w:tcPr>
            <w:tcW w:w="954"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20,0</w:t>
            </w:r>
          </w:p>
        </w:tc>
        <w:tc>
          <w:tcPr>
            <w:tcW w:w="955"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18,8</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6,0</w:t>
            </w:r>
          </w:p>
        </w:tc>
        <w:tc>
          <w:tcPr>
            <w:tcW w:w="953"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5,8</w:t>
            </w:r>
          </w:p>
        </w:tc>
        <w:tc>
          <w:tcPr>
            <w:tcW w:w="954"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5,3</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14,3</w:t>
            </w:r>
          </w:p>
        </w:tc>
        <w:tc>
          <w:tcPr>
            <w:tcW w:w="953"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13,9</w:t>
            </w:r>
          </w:p>
        </w:tc>
        <w:tc>
          <w:tcPr>
            <w:tcW w:w="960" w:type="dxa"/>
            <w:gridSpan w:val="2"/>
            <w:tcBorders>
              <w:top w:val="nil"/>
              <w:left w:val="nil"/>
              <w:bottom w:val="nil"/>
            </w:tcBorders>
            <w:noWrap/>
            <w:tcMar>
              <w:right w:w="142" w:type="dxa"/>
            </w:tcMar>
            <w:vAlign w:val="bottom"/>
          </w:tcPr>
          <w:p w:rsidR="00FB78B4" w:rsidRDefault="00FB78B4">
            <w:pPr>
              <w:jc w:val="right"/>
              <w:rPr>
                <w:rFonts w:cs="Arial"/>
                <w:sz w:val="16"/>
                <w:szCs w:val="16"/>
              </w:rPr>
            </w:pPr>
            <w:r>
              <w:rPr>
                <w:rFonts w:cs="Arial"/>
                <w:sz w:val="16"/>
                <w:szCs w:val="16"/>
              </w:rPr>
              <w:t>13,0</w:t>
            </w:r>
          </w:p>
        </w:tc>
      </w:tr>
      <w:tr w:rsidR="00FB78B4" w:rsidTr="00F06867">
        <w:trPr>
          <w:trHeight w:val="255"/>
        </w:trPr>
        <w:tc>
          <w:tcPr>
            <w:tcW w:w="1050" w:type="dxa"/>
            <w:tcBorders>
              <w:top w:val="nil"/>
              <w:left w:val="nil"/>
              <w:bottom w:val="nil"/>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24</w:t>
            </w:r>
          </w:p>
        </w:tc>
        <w:tc>
          <w:tcPr>
            <w:tcW w:w="954"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22,9</w:t>
            </w:r>
          </w:p>
        </w:tc>
        <w:tc>
          <w:tcPr>
            <w:tcW w:w="954"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21,0</w:t>
            </w:r>
          </w:p>
        </w:tc>
        <w:tc>
          <w:tcPr>
            <w:tcW w:w="955"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19,3</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7,2</w:t>
            </w:r>
          </w:p>
        </w:tc>
        <w:tc>
          <w:tcPr>
            <w:tcW w:w="953"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6,6</w:t>
            </w:r>
          </w:p>
        </w:tc>
        <w:tc>
          <w:tcPr>
            <w:tcW w:w="954"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5,7</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15,1</w:t>
            </w:r>
          </w:p>
        </w:tc>
        <w:tc>
          <w:tcPr>
            <w:tcW w:w="953"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13,8</w:t>
            </w:r>
          </w:p>
        </w:tc>
        <w:tc>
          <w:tcPr>
            <w:tcW w:w="960" w:type="dxa"/>
            <w:gridSpan w:val="2"/>
            <w:tcBorders>
              <w:top w:val="nil"/>
              <w:left w:val="nil"/>
              <w:bottom w:val="nil"/>
            </w:tcBorders>
            <w:noWrap/>
            <w:tcMar>
              <w:right w:w="142" w:type="dxa"/>
            </w:tcMar>
            <w:vAlign w:val="bottom"/>
          </w:tcPr>
          <w:p w:rsidR="00FB78B4" w:rsidRDefault="00FB78B4">
            <w:pPr>
              <w:jc w:val="right"/>
              <w:rPr>
                <w:rFonts w:cs="Arial"/>
                <w:sz w:val="16"/>
                <w:szCs w:val="16"/>
              </w:rPr>
            </w:pPr>
            <w:r>
              <w:rPr>
                <w:rFonts w:cs="Arial"/>
                <w:sz w:val="16"/>
                <w:szCs w:val="16"/>
              </w:rPr>
              <w:t>13,0</w:t>
            </w:r>
          </w:p>
        </w:tc>
      </w:tr>
      <w:tr w:rsidR="00FB78B4" w:rsidTr="00F06867">
        <w:trPr>
          <w:trHeight w:val="255"/>
        </w:trPr>
        <w:tc>
          <w:tcPr>
            <w:tcW w:w="1050" w:type="dxa"/>
            <w:tcBorders>
              <w:top w:val="nil"/>
              <w:left w:val="nil"/>
              <w:bottom w:val="nil"/>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25</w:t>
            </w:r>
          </w:p>
        </w:tc>
        <w:tc>
          <w:tcPr>
            <w:tcW w:w="954"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24,4</w:t>
            </w:r>
          </w:p>
        </w:tc>
        <w:tc>
          <w:tcPr>
            <w:tcW w:w="954"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22,1</w:t>
            </w:r>
          </w:p>
        </w:tc>
        <w:tc>
          <w:tcPr>
            <w:tcW w:w="955"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21,0</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8,7</w:t>
            </w:r>
          </w:p>
        </w:tc>
        <w:tc>
          <w:tcPr>
            <w:tcW w:w="953"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7,8</w:t>
            </w:r>
          </w:p>
        </w:tc>
        <w:tc>
          <w:tcPr>
            <w:tcW w:w="954"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7,4</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14,9</w:t>
            </w:r>
          </w:p>
        </w:tc>
        <w:tc>
          <w:tcPr>
            <w:tcW w:w="953"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13,6</w:t>
            </w:r>
          </w:p>
        </w:tc>
        <w:tc>
          <w:tcPr>
            <w:tcW w:w="960" w:type="dxa"/>
            <w:gridSpan w:val="2"/>
            <w:tcBorders>
              <w:top w:val="nil"/>
              <w:left w:val="nil"/>
              <w:bottom w:val="nil"/>
            </w:tcBorders>
            <w:noWrap/>
            <w:tcMar>
              <w:right w:w="142" w:type="dxa"/>
            </w:tcMar>
            <w:vAlign w:val="bottom"/>
          </w:tcPr>
          <w:p w:rsidR="00FB78B4" w:rsidRDefault="00FB78B4">
            <w:pPr>
              <w:jc w:val="right"/>
              <w:rPr>
                <w:rFonts w:cs="Arial"/>
                <w:sz w:val="16"/>
                <w:szCs w:val="16"/>
              </w:rPr>
            </w:pPr>
            <w:r>
              <w:rPr>
                <w:rFonts w:cs="Arial"/>
                <w:sz w:val="16"/>
                <w:szCs w:val="16"/>
              </w:rPr>
              <w:t>12,9</w:t>
            </w:r>
          </w:p>
        </w:tc>
      </w:tr>
      <w:tr w:rsidR="00FB78B4" w:rsidTr="00F06867">
        <w:trPr>
          <w:trHeight w:val="255"/>
        </w:trPr>
        <w:tc>
          <w:tcPr>
            <w:tcW w:w="1050" w:type="dxa"/>
            <w:tcBorders>
              <w:top w:val="nil"/>
              <w:left w:val="nil"/>
              <w:bottom w:val="nil"/>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26</w:t>
            </w:r>
          </w:p>
        </w:tc>
        <w:tc>
          <w:tcPr>
            <w:tcW w:w="954"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25,5</w:t>
            </w:r>
          </w:p>
        </w:tc>
        <w:tc>
          <w:tcPr>
            <w:tcW w:w="954"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24,0</w:t>
            </w:r>
          </w:p>
        </w:tc>
        <w:tc>
          <w:tcPr>
            <w:tcW w:w="955"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22,3</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9,8</w:t>
            </w:r>
          </w:p>
        </w:tc>
        <w:tc>
          <w:tcPr>
            <w:tcW w:w="953"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9,8</w:t>
            </w:r>
          </w:p>
        </w:tc>
        <w:tc>
          <w:tcPr>
            <w:tcW w:w="954"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8,8</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14,8</w:t>
            </w:r>
          </w:p>
        </w:tc>
        <w:tc>
          <w:tcPr>
            <w:tcW w:w="953"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13,3</w:t>
            </w:r>
          </w:p>
        </w:tc>
        <w:tc>
          <w:tcPr>
            <w:tcW w:w="960" w:type="dxa"/>
            <w:gridSpan w:val="2"/>
            <w:tcBorders>
              <w:top w:val="nil"/>
              <w:left w:val="nil"/>
              <w:bottom w:val="nil"/>
            </w:tcBorders>
            <w:noWrap/>
            <w:tcMar>
              <w:right w:w="142" w:type="dxa"/>
            </w:tcMar>
            <w:vAlign w:val="bottom"/>
          </w:tcPr>
          <w:p w:rsidR="00FB78B4" w:rsidRDefault="00FB78B4">
            <w:pPr>
              <w:jc w:val="right"/>
              <w:rPr>
                <w:rFonts w:cs="Arial"/>
                <w:sz w:val="16"/>
                <w:szCs w:val="16"/>
              </w:rPr>
            </w:pPr>
            <w:r>
              <w:rPr>
                <w:rFonts w:cs="Arial"/>
                <w:sz w:val="16"/>
                <w:szCs w:val="16"/>
              </w:rPr>
              <w:t>12,8</w:t>
            </w:r>
          </w:p>
        </w:tc>
      </w:tr>
      <w:tr w:rsidR="00FB78B4" w:rsidTr="00F06867">
        <w:trPr>
          <w:trHeight w:val="255"/>
        </w:trPr>
        <w:tc>
          <w:tcPr>
            <w:tcW w:w="1050" w:type="dxa"/>
            <w:tcBorders>
              <w:top w:val="nil"/>
              <w:left w:val="nil"/>
              <w:bottom w:val="nil"/>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27</w:t>
            </w:r>
          </w:p>
        </w:tc>
        <w:tc>
          <w:tcPr>
            <w:tcW w:w="954"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26,6</w:t>
            </w:r>
          </w:p>
        </w:tc>
        <w:tc>
          <w:tcPr>
            <w:tcW w:w="954"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25,0</w:t>
            </w:r>
          </w:p>
        </w:tc>
        <w:tc>
          <w:tcPr>
            <w:tcW w:w="955"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23,8</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10,6</w:t>
            </w:r>
          </w:p>
        </w:tc>
        <w:tc>
          <w:tcPr>
            <w:tcW w:w="953"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11,2</w:t>
            </w:r>
          </w:p>
        </w:tc>
        <w:tc>
          <w:tcPr>
            <w:tcW w:w="954"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9,9</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14,9</w:t>
            </w:r>
          </w:p>
        </w:tc>
        <w:tc>
          <w:tcPr>
            <w:tcW w:w="953"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12,9</w:t>
            </w:r>
          </w:p>
        </w:tc>
        <w:tc>
          <w:tcPr>
            <w:tcW w:w="960" w:type="dxa"/>
            <w:gridSpan w:val="2"/>
            <w:tcBorders>
              <w:top w:val="nil"/>
              <w:left w:val="nil"/>
              <w:bottom w:val="nil"/>
            </w:tcBorders>
            <w:noWrap/>
            <w:tcMar>
              <w:right w:w="142" w:type="dxa"/>
            </w:tcMar>
            <w:vAlign w:val="bottom"/>
          </w:tcPr>
          <w:p w:rsidR="00FB78B4" w:rsidRDefault="00FB78B4">
            <w:pPr>
              <w:jc w:val="right"/>
              <w:rPr>
                <w:rFonts w:cs="Arial"/>
                <w:sz w:val="16"/>
                <w:szCs w:val="16"/>
              </w:rPr>
            </w:pPr>
            <w:r>
              <w:rPr>
                <w:rFonts w:cs="Arial"/>
                <w:sz w:val="16"/>
                <w:szCs w:val="16"/>
              </w:rPr>
              <w:t>13,1</w:t>
            </w:r>
          </w:p>
        </w:tc>
      </w:tr>
      <w:tr w:rsidR="00FB78B4" w:rsidTr="00F06867">
        <w:trPr>
          <w:trHeight w:val="255"/>
        </w:trPr>
        <w:tc>
          <w:tcPr>
            <w:tcW w:w="1050" w:type="dxa"/>
            <w:tcBorders>
              <w:top w:val="nil"/>
              <w:left w:val="nil"/>
              <w:bottom w:val="nil"/>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28</w:t>
            </w:r>
          </w:p>
        </w:tc>
        <w:tc>
          <w:tcPr>
            <w:tcW w:w="954"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27,6</w:t>
            </w:r>
          </w:p>
        </w:tc>
        <w:tc>
          <w:tcPr>
            <w:tcW w:w="954"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25,2</w:t>
            </w:r>
          </w:p>
        </w:tc>
        <w:tc>
          <w:tcPr>
            <w:tcW w:w="955"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24,3</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10,9</w:t>
            </w:r>
          </w:p>
        </w:tc>
        <w:tc>
          <w:tcPr>
            <w:tcW w:w="953"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11,5</w:t>
            </w:r>
          </w:p>
        </w:tc>
        <w:tc>
          <w:tcPr>
            <w:tcW w:w="954"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10,0</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15,3</w:t>
            </w:r>
          </w:p>
        </w:tc>
        <w:tc>
          <w:tcPr>
            <w:tcW w:w="953"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12,8</w:t>
            </w:r>
          </w:p>
        </w:tc>
        <w:tc>
          <w:tcPr>
            <w:tcW w:w="960" w:type="dxa"/>
            <w:gridSpan w:val="2"/>
            <w:tcBorders>
              <w:top w:val="nil"/>
              <w:left w:val="nil"/>
              <w:bottom w:val="nil"/>
            </w:tcBorders>
            <w:noWrap/>
            <w:tcMar>
              <w:right w:w="142" w:type="dxa"/>
            </w:tcMar>
            <w:vAlign w:val="bottom"/>
          </w:tcPr>
          <w:p w:rsidR="00FB78B4" w:rsidRDefault="00FB78B4">
            <w:pPr>
              <w:jc w:val="right"/>
              <w:rPr>
                <w:rFonts w:cs="Arial"/>
                <w:sz w:val="16"/>
                <w:szCs w:val="16"/>
              </w:rPr>
            </w:pPr>
            <w:r>
              <w:rPr>
                <w:rFonts w:cs="Arial"/>
                <w:sz w:val="16"/>
                <w:szCs w:val="16"/>
              </w:rPr>
              <w:t>13,2</w:t>
            </w:r>
          </w:p>
        </w:tc>
      </w:tr>
      <w:tr w:rsidR="00FB78B4" w:rsidTr="00F06867">
        <w:trPr>
          <w:trHeight w:val="255"/>
        </w:trPr>
        <w:tc>
          <w:tcPr>
            <w:tcW w:w="1050" w:type="dxa"/>
            <w:tcBorders>
              <w:top w:val="nil"/>
              <w:left w:val="nil"/>
              <w:bottom w:val="nil"/>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29</w:t>
            </w:r>
          </w:p>
        </w:tc>
        <w:tc>
          <w:tcPr>
            <w:tcW w:w="954"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28,1</w:t>
            </w:r>
          </w:p>
        </w:tc>
        <w:tc>
          <w:tcPr>
            <w:tcW w:w="954"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27,8</w:t>
            </w:r>
          </w:p>
        </w:tc>
        <w:tc>
          <w:tcPr>
            <w:tcW w:w="955"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25,6</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10,2</w:t>
            </w:r>
          </w:p>
        </w:tc>
        <w:tc>
          <w:tcPr>
            <w:tcW w:w="953"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13,0</w:t>
            </w:r>
          </w:p>
        </w:tc>
        <w:tc>
          <w:tcPr>
            <w:tcW w:w="954"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11,4</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16,7</w:t>
            </w:r>
          </w:p>
        </w:tc>
        <w:tc>
          <w:tcPr>
            <w:tcW w:w="953"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13,7</w:t>
            </w:r>
          </w:p>
        </w:tc>
        <w:tc>
          <w:tcPr>
            <w:tcW w:w="960" w:type="dxa"/>
            <w:gridSpan w:val="2"/>
            <w:tcBorders>
              <w:top w:val="nil"/>
              <w:left w:val="nil"/>
              <w:bottom w:val="nil"/>
            </w:tcBorders>
            <w:noWrap/>
            <w:tcMar>
              <w:right w:w="142" w:type="dxa"/>
            </w:tcMar>
            <w:vAlign w:val="bottom"/>
          </w:tcPr>
          <w:p w:rsidR="00FB78B4" w:rsidRDefault="00FB78B4">
            <w:pPr>
              <w:jc w:val="right"/>
              <w:rPr>
                <w:rFonts w:cs="Arial"/>
                <w:sz w:val="16"/>
                <w:szCs w:val="16"/>
              </w:rPr>
            </w:pPr>
            <w:r>
              <w:rPr>
                <w:rFonts w:cs="Arial"/>
                <w:sz w:val="16"/>
                <w:szCs w:val="16"/>
              </w:rPr>
              <w:t>12,8</w:t>
            </w:r>
          </w:p>
        </w:tc>
      </w:tr>
      <w:tr w:rsidR="00FB78B4" w:rsidTr="00F06867">
        <w:trPr>
          <w:trHeight w:val="255"/>
        </w:trPr>
        <w:tc>
          <w:tcPr>
            <w:tcW w:w="1050" w:type="dxa"/>
            <w:tcBorders>
              <w:top w:val="nil"/>
              <w:left w:val="nil"/>
              <w:bottom w:val="nil"/>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30</w:t>
            </w:r>
          </w:p>
        </w:tc>
        <w:tc>
          <w:tcPr>
            <w:tcW w:w="954"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27,7</w:t>
            </w:r>
          </w:p>
        </w:tc>
        <w:tc>
          <w:tcPr>
            <w:tcW w:w="954"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26,3</w:t>
            </w:r>
          </w:p>
        </w:tc>
        <w:tc>
          <w:tcPr>
            <w:tcW w:w="955"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26,0</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9,8</w:t>
            </w:r>
          </w:p>
        </w:tc>
        <w:tc>
          <w:tcPr>
            <w:tcW w:w="953"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12,1</w:t>
            </w:r>
          </w:p>
        </w:tc>
        <w:tc>
          <w:tcPr>
            <w:tcW w:w="954"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11,5</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16,7</w:t>
            </w:r>
          </w:p>
        </w:tc>
        <w:tc>
          <w:tcPr>
            <w:tcW w:w="953"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13,0</w:t>
            </w:r>
          </w:p>
        </w:tc>
        <w:tc>
          <w:tcPr>
            <w:tcW w:w="960" w:type="dxa"/>
            <w:gridSpan w:val="2"/>
            <w:tcBorders>
              <w:top w:val="nil"/>
              <w:left w:val="nil"/>
              <w:bottom w:val="nil"/>
            </w:tcBorders>
            <w:noWrap/>
            <w:tcMar>
              <w:right w:w="142" w:type="dxa"/>
            </w:tcMar>
            <w:vAlign w:val="bottom"/>
          </w:tcPr>
          <w:p w:rsidR="00FB78B4" w:rsidRDefault="00FB78B4">
            <w:pPr>
              <w:jc w:val="right"/>
              <w:rPr>
                <w:rFonts w:cs="Arial"/>
                <w:sz w:val="16"/>
                <w:szCs w:val="16"/>
              </w:rPr>
            </w:pPr>
            <w:r>
              <w:rPr>
                <w:rFonts w:cs="Arial"/>
                <w:sz w:val="16"/>
                <w:szCs w:val="16"/>
              </w:rPr>
              <w:t>13,2</w:t>
            </w:r>
          </w:p>
        </w:tc>
      </w:tr>
      <w:tr w:rsidR="00FB78B4" w:rsidTr="00F06867">
        <w:trPr>
          <w:trHeight w:val="255"/>
        </w:trPr>
        <w:tc>
          <w:tcPr>
            <w:tcW w:w="1050" w:type="dxa"/>
            <w:tcBorders>
              <w:top w:val="nil"/>
              <w:left w:val="nil"/>
              <w:bottom w:val="nil"/>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31</w:t>
            </w:r>
          </w:p>
        </w:tc>
        <w:tc>
          <w:tcPr>
            <w:tcW w:w="954"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26,8</w:t>
            </w:r>
          </w:p>
        </w:tc>
        <w:tc>
          <w:tcPr>
            <w:tcW w:w="954"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25,8</w:t>
            </w:r>
          </w:p>
        </w:tc>
        <w:tc>
          <w:tcPr>
            <w:tcW w:w="955"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26,0</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8,7</w:t>
            </w:r>
          </w:p>
        </w:tc>
        <w:tc>
          <w:tcPr>
            <w:tcW w:w="953"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10,9</w:t>
            </w:r>
          </w:p>
        </w:tc>
        <w:tc>
          <w:tcPr>
            <w:tcW w:w="954"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11,2</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17,1</w:t>
            </w:r>
          </w:p>
        </w:tc>
        <w:tc>
          <w:tcPr>
            <w:tcW w:w="953"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13,9</w:t>
            </w:r>
          </w:p>
        </w:tc>
        <w:tc>
          <w:tcPr>
            <w:tcW w:w="960" w:type="dxa"/>
            <w:gridSpan w:val="2"/>
            <w:tcBorders>
              <w:top w:val="nil"/>
              <w:left w:val="nil"/>
              <w:bottom w:val="nil"/>
            </w:tcBorders>
            <w:noWrap/>
            <w:tcMar>
              <w:right w:w="142" w:type="dxa"/>
            </w:tcMar>
            <w:vAlign w:val="bottom"/>
          </w:tcPr>
          <w:p w:rsidR="00FB78B4" w:rsidRDefault="00FB78B4">
            <w:pPr>
              <w:jc w:val="right"/>
              <w:rPr>
                <w:rFonts w:cs="Arial"/>
                <w:sz w:val="16"/>
                <w:szCs w:val="16"/>
              </w:rPr>
            </w:pPr>
            <w:r>
              <w:rPr>
                <w:rFonts w:cs="Arial"/>
                <w:sz w:val="16"/>
                <w:szCs w:val="16"/>
              </w:rPr>
              <w:t>13,8</w:t>
            </w:r>
          </w:p>
        </w:tc>
      </w:tr>
      <w:tr w:rsidR="00FB78B4" w:rsidTr="00F06867">
        <w:trPr>
          <w:trHeight w:val="255"/>
        </w:trPr>
        <w:tc>
          <w:tcPr>
            <w:tcW w:w="1050" w:type="dxa"/>
            <w:tcBorders>
              <w:top w:val="nil"/>
              <w:left w:val="nil"/>
              <w:bottom w:val="nil"/>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32</w:t>
            </w:r>
          </w:p>
        </w:tc>
        <w:tc>
          <w:tcPr>
            <w:tcW w:w="954"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25,5</w:t>
            </w:r>
          </w:p>
        </w:tc>
        <w:tc>
          <w:tcPr>
            <w:tcW w:w="954"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25,0</w:t>
            </w:r>
          </w:p>
        </w:tc>
        <w:tc>
          <w:tcPr>
            <w:tcW w:w="955"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25,6</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7,8</w:t>
            </w:r>
          </w:p>
        </w:tc>
        <w:tc>
          <w:tcPr>
            <w:tcW w:w="953"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10,6</w:t>
            </w:r>
          </w:p>
        </w:tc>
        <w:tc>
          <w:tcPr>
            <w:tcW w:w="954"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11,7</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16,4</w:t>
            </w:r>
          </w:p>
        </w:tc>
        <w:tc>
          <w:tcPr>
            <w:tcW w:w="953"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13,4</w:t>
            </w:r>
          </w:p>
        </w:tc>
        <w:tc>
          <w:tcPr>
            <w:tcW w:w="960" w:type="dxa"/>
            <w:gridSpan w:val="2"/>
            <w:tcBorders>
              <w:top w:val="nil"/>
              <w:left w:val="nil"/>
              <w:bottom w:val="nil"/>
            </w:tcBorders>
            <w:noWrap/>
            <w:tcMar>
              <w:right w:w="142" w:type="dxa"/>
            </w:tcMar>
            <w:vAlign w:val="bottom"/>
          </w:tcPr>
          <w:p w:rsidR="00FB78B4" w:rsidRDefault="00FB78B4">
            <w:pPr>
              <w:jc w:val="right"/>
              <w:rPr>
                <w:rFonts w:cs="Arial"/>
                <w:sz w:val="16"/>
                <w:szCs w:val="16"/>
              </w:rPr>
            </w:pPr>
            <w:r>
              <w:rPr>
                <w:rFonts w:cs="Arial"/>
                <w:sz w:val="16"/>
                <w:szCs w:val="16"/>
              </w:rPr>
              <w:t>12,8</w:t>
            </w:r>
          </w:p>
        </w:tc>
      </w:tr>
      <w:tr w:rsidR="00FB78B4" w:rsidTr="00F06867">
        <w:trPr>
          <w:trHeight w:val="255"/>
        </w:trPr>
        <w:tc>
          <w:tcPr>
            <w:tcW w:w="1050" w:type="dxa"/>
            <w:tcBorders>
              <w:top w:val="nil"/>
              <w:left w:val="nil"/>
              <w:bottom w:val="nil"/>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33</w:t>
            </w:r>
          </w:p>
        </w:tc>
        <w:tc>
          <w:tcPr>
            <w:tcW w:w="954"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25,3</w:t>
            </w:r>
          </w:p>
        </w:tc>
        <w:tc>
          <w:tcPr>
            <w:tcW w:w="954"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25,1</w:t>
            </w:r>
          </w:p>
        </w:tc>
        <w:tc>
          <w:tcPr>
            <w:tcW w:w="955"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24,8</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7,1</w:t>
            </w:r>
          </w:p>
        </w:tc>
        <w:tc>
          <w:tcPr>
            <w:tcW w:w="953"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10,2</w:t>
            </w:r>
          </w:p>
        </w:tc>
        <w:tc>
          <w:tcPr>
            <w:tcW w:w="954"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10,7</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17,2</w:t>
            </w:r>
          </w:p>
        </w:tc>
        <w:tc>
          <w:tcPr>
            <w:tcW w:w="953"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13,9</w:t>
            </w:r>
          </w:p>
        </w:tc>
        <w:tc>
          <w:tcPr>
            <w:tcW w:w="960" w:type="dxa"/>
            <w:gridSpan w:val="2"/>
            <w:tcBorders>
              <w:top w:val="nil"/>
              <w:left w:val="nil"/>
              <w:bottom w:val="nil"/>
            </w:tcBorders>
            <w:noWrap/>
            <w:tcMar>
              <w:right w:w="142" w:type="dxa"/>
            </w:tcMar>
            <w:vAlign w:val="bottom"/>
          </w:tcPr>
          <w:p w:rsidR="00FB78B4" w:rsidRDefault="00FB78B4">
            <w:pPr>
              <w:jc w:val="right"/>
              <w:rPr>
                <w:rFonts w:cs="Arial"/>
                <w:sz w:val="16"/>
                <w:szCs w:val="16"/>
              </w:rPr>
            </w:pPr>
            <w:r>
              <w:rPr>
                <w:rFonts w:cs="Arial"/>
                <w:sz w:val="16"/>
                <w:szCs w:val="16"/>
              </w:rPr>
              <w:t>13,2</w:t>
            </w:r>
          </w:p>
        </w:tc>
      </w:tr>
      <w:tr w:rsidR="00FB78B4" w:rsidTr="00F06867">
        <w:trPr>
          <w:trHeight w:val="255"/>
        </w:trPr>
        <w:tc>
          <w:tcPr>
            <w:tcW w:w="1050" w:type="dxa"/>
            <w:tcBorders>
              <w:top w:val="nil"/>
              <w:left w:val="nil"/>
              <w:bottom w:val="nil"/>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34</w:t>
            </w:r>
          </w:p>
        </w:tc>
        <w:tc>
          <w:tcPr>
            <w:tcW w:w="954"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23,3</w:t>
            </w:r>
          </w:p>
        </w:tc>
        <w:tc>
          <w:tcPr>
            <w:tcW w:w="954"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23,8</w:t>
            </w:r>
          </w:p>
        </w:tc>
        <w:tc>
          <w:tcPr>
            <w:tcW w:w="955"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23,0</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6,4</w:t>
            </w:r>
          </w:p>
        </w:tc>
        <w:tc>
          <w:tcPr>
            <w:tcW w:w="953"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9,0</w:t>
            </w:r>
          </w:p>
        </w:tc>
        <w:tc>
          <w:tcPr>
            <w:tcW w:w="954"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9,7</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15,8</w:t>
            </w:r>
          </w:p>
        </w:tc>
        <w:tc>
          <w:tcPr>
            <w:tcW w:w="953"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14,0</w:t>
            </w:r>
          </w:p>
        </w:tc>
        <w:tc>
          <w:tcPr>
            <w:tcW w:w="960" w:type="dxa"/>
            <w:gridSpan w:val="2"/>
            <w:tcBorders>
              <w:top w:val="nil"/>
              <w:left w:val="nil"/>
              <w:bottom w:val="nil"/>
            </w:tcBorders>
            <w:noWrap/>
            <w:tcMar>
              <w:right w:w="142" w:type="dxa"/>
            </w:tcMar>
            <w:vAlign w:val="bottom"/>
          </w:tcPr>
          <w:p w:rsidR="00FB78B4" w:rsidRDefault="00FB78B4">
            <w:pPr>
              <w:jc w:val="right"/>
              <w:rPr>
                <w:rFonts w:cs="Arial"/>
                <w:sz w:val="16"/>
                <w:szCs w:val="16"/>
              </w:rPr>
            </w:pPr>
            <w:r>
              <w:rPr>
                <w:rFonts w:cs="Arial"/>
                <w:sz w:val="16"/>
                <w:szCs w:val="16"/>
              </w:rPr>
              <w:t>12,3</w:t>
            </w:r>
          </w:p>
        </w:tc>
      </w:tr>
      <w:tr w:rsidR="00FB78B4" w:rsidTr="00F06867">
        <w:trPr>
          <w:trHeight w:val="255"/>
        </w:trPr>
        <w:tc>
          <w:tcPr>
            <w:tcW w:w="1050" w:type="dxa"/>
            <w:tcBorders>
              <w:top w:val="nil"/>
              <w:left w:val="nil"/>
              <w:bottom w:val="nil"/>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35</w:t>
            </w:r>
          </w:p>
        </w:tc>
        <w:tc>
          <w:tcPr>
            <w:tcW w:w="954"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22,3</w:t>
            </w:r>
          </w:p>
        </w:tc>
        <w:tc>
          <w:tcPr>
            <w:tcW w:w="954"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21,9</w:t>
            </w:r>
          </w:p>
        </w:tc>
        <w:tc>
          <w:tcPr>
            <w:tcW w:w="955"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22,1</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6,0</w:t>
            </w:r>
          </w:p>
        </w:tc>
        <w:tc>
          <w:tcPr>
            <w:tcW w:w="953"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8,0</w:t>
            </w:r>
          </w:p>
        </w:tc>
        <w:tc>
          <w:tcPr>
            <w:tcW w:w="954"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9,2</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15,5</w:t>
            </w:r>
          </w:p>
        </w:tc>
        <w:tc>
          <w:tcPr>
            <w:tcW w:w="953"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13,2</w:t>
            </w:r>
          </w:p>
        </w:tc>
        <w:tc>
          <w:tcPr>
            <w:tcW w:w="960" w:type="dxa"/>
            <w:gridSpan w:val="2"/>
            <w:tcBorders>
              <w:top w:val="nil"/>
              <w:left w:val="nil"/>
              <w:bottom w:val="nil"/>
            </w:tcBorders>
            <w:noWrap/>
            <w:tcMar>
              <w:right w:w="142" w:type="dxa"/>
            </w:tcMar>
            <w:vAlign w:val="bottom"/>
          </w:tcPr>
          <w:p w:rsidR="00FB78B4" w:rsidRDefault="00FB78B4">
            <w:pPr>
              <w:jc w:val="right"/>
              <w:rPr>
                <w:rFonts w:cs="Arial"/>
                <w:sz w:val="16"/>
                <w:szCs w:val="16"/>
              </w:rPr>
            </w:pPr>
            <w:r>
              <w:rPr>
                <w:rFonts w:cs="Arial"/>
                <w:sz w:val="16"/>
                <w:szCs w:val="16"/>
              </w:rPr>
              <w:t>12,2</w:t>
            </w:r>
          </w:p>
        </w:tc>
      </w:tr>
      <w:tr w:rsidR="00FB78B4" w:rsidTr="00F06867">
        <w:trPr>
          <w:trHeight w:val="255"/>
        </w:trPr>
        <w:tc>
          <w:tcPr>
            <w:tcW w:w="1050" w:type="dxa"/>
            <w:tcBorders>
              <w:top w:val="nil"/>
              <w:left w:val="nil"/>
              <w:bottom w:val="nil"/>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36</w:t>
            </w:r>
          </w:p>
        </w:tc>
        <w:tc>
          <w:tcPr>
            <w:tcW w:w="954"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20,9</w:t>
            </w:r>
          </w:p>
        </w:tc>
        <w:tc>
          <w:tcPr>
            <w:tcW w:w="954"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20,7</w:t>
            </w:r>
          </w:p>
        </w:tc>
        <w:tc>
          <w:tcPr>
            <w:tcW w:w="955"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20,6</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5,3</w:t>
            </w:r>
          </w:p>
        </w:tc>
        <w:tc>
          <w:tcPr>
            <w:tcW w:w="953"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6,9</w:t>
            </w:r>
          </w:p>
        </w:tc>
        <w:tc>
          <w:tcPr>
            <w:tcW w:w="954"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7,9</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14,9</w:t>
            </w:r>
          </w:p>
        </w:tc>
        <w:tc>
          <w:tcPr>
            <w:tcW w:w="953"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13,2</w:t>
            </w:r>
          </w:p>
        </w:tc>
        <w:tc>
          <w:tcPr>
            <w:tcW w:w="960" w:type="dxa"/>
            <w:gridSpan w:val="2"/>
            <w:tcBorders>
              <w:top w:val="nil"/>
              <w:left w:val="nil"/>
              <w:bottom w:val="nil"/>
            </w:tcBorders>
            <w:noWrap/>
            <w:tcMar>
              <w:right w:w="142" w:type="dxa"/>
            </w:tcMar>
            <w:vAlign w:val="bottom"/>
          </w:tcPr>
          <w:p w:rsidR="00FB78B4" w:rsidRDefault="00FB78B4">
            <w:pPr>
              <w:jc w:val="right"/>
              <w:rPr>
                <w:rFonts w:cs="Arial"/>
                <w:sz w:val="16"/>
                <w:szCs w:val="16"/>
              </w:rPr>
            </w:pPr>
            <w:r>
              <w:rPr>
                <w:rFonts w:cs="Arial"/>
                <w:sz w:val="16"/>
                <w:szCs w:val="16"/>
              </w:rPr>
              <w:t>12,1</w:t>
            </w:r>
          </w:p>
        </w:tc>
      </w:tr>
      <w:tr w:rsidR="00FB78B4" w:rsidTr="00F06867">
        <w:trPr>
          <w:trHeight w:val="255"/>
        </w:trPr>
        <w:tc>
          <w:tcPr>
            <w:tcW w:w="1050" w:type="dxa"/>
            <w:tcBorders>
              <w:top w:val="nil"/>
              <w:left w:val="nil"/>
              <w:bottom w:val="nil"/>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37</w:t>
            </w:r>
          </w:p>
        </w:tc>
        <w:tc>
          <w:tcPr>
            <w:tcW w:w="954"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18,5</w:t>
            </w:r>
          </w:p>
        </w:tc>
        <w:tc>
          <w:tcPr>
            <w:tcW w:w="954"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19,2</w:t>
            </w:r>
          </w:p>
        </w:tc>
        <w:tc>
          <w:tcPr>
            <w:tcW w:w="955"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18,7</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4,6</w:t>
            </w:r>
          </w:p>
        </w:tc>
        <w:tc>
          <w:tcPr>
            <w:tcW w:w="953"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6,1</w:t>
            </w:r>
          </w:p>
        </w:tc>
        <w:tc>
          <w:tcPr>
            <w:tcW w:w="954"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7,3</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13,3</w:t>
            </w:r>
          </w:p>
        </w:tc>
        <w:tc>
          <w:tcPr>
            <w:tcW w:w="953"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12,5</w:t>
            </w:r>
          </w:p>
        </w:tc>
        <w:tc>
          <w:tcPr>
            <w:tcW w:w="960" w:type="dxa"/>
            <w:gridSpan w:val="2"/>
            <w:tcBorders>
              <w:top w:val="nil"/>
              <w:left w:val="nil"/>
              <w:bottom w:val="nil"/>
            </w:tcBorders>
            <w:noWrap/>
            <w:tcMar>
              <w:right w:w="142" w:type="dxa"/>
            </w:tcMar>
            <w:vAlign w:val="bottom"/>
          </w:tcPr>
          <w:p w:rsidR="00FB78B4" w:rsidRDefault="00FB78B4">
            <w:pPr>
              <w:jc w:val="right"/>
              <w:rPr>
                <w:rFonts w:cs="Arial"/>
                <w:sz w:val="16"/>
                <w:szCs w:val="16"/>
              </w:rPr>
            </w:pPr>
            <w:r>
              <w:rPr>
                <w:rFonts w:cs="Arial"/>
                <w:sz w:val="16"/>
                <w:szCs w:val="16"/>
              </w:rPr>
              <w:t>10,9</w:t>
            </w:r>
          </w:p>
        </w:tc>
      </w:tr>
      <w:tr w:rsidR="00FB78B4" w:rsidTr="00F06867">
        <w:trPr>
          <w:trHeight w:val="255"/>
        </w:trPr>
        <w:tc>
          <w:tcPr>
            <w:tcW w:w="1050" w:type="dxa"/>
            <w:tcBorders>
              <w:top w:val="nil"/>
              <w:left w:val="nil"/>
              <w:bottom w:val="nil"/>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38</w:t>
            </w:r>
          </w:p>
        </w:tc>
        <w:tc>
          <w:tcPr>
            <w:tcW w:w="954"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17,2</w:t>
            </w:r>
          </w:p>
        </w:tc>
        <w:tc>
          <w:tcPr>
            <w:tcW w:w="954"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17,1</w:t>
            </w:r>
          </w:p>
        </w:tc>
        <w:tc>
          <w:tcPr>
            <w:tcW w:w="955"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17,6</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4,3</w:t>
            </w:r>
          </w:p>
        </w:tc>
        <w:tc>
          <w:tcPr>
            <w:tcW w:w="953"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5,8</w:t>
            </w:r>
          </w:p>
        </w:tc>
        <w:tc>
          <w:tcPr>
            <w:tcW w:w="954"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6,7</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12,4</w:t>
            </w:r>
          </w:p>
        </w:tc>
        <w:tc>
          <w:tcPr>
            <w:tcW w:w="953"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10,7</w:t>
            </w:r>
          </w:p>
        </w:tc>
        <w:tc>
          <w:tcPr>
            <w:tcW w:w="960" w:type="dxa"/>
            <w:gridSpan w:val="2"/>
            <w:tcBorders>
              <w:top w:val="nil"/>
              <w:left w:val="nil"/>
              <w:bottom w:val="nil"/>
            </w:tcBorders>
            <w:noWrap/>
            <w:tcMar>
              <w:right w:w="142" w:type="dxa"/>
            </w:tcMar>
            <w:vAlign w:val="bottom"/>
          </w:tcPr>
          <w:p w:rsidR="00FB78B4" w:rsidRDefault="00FB78B4">
            <w:pPr>
              <w:jc w:val="right"/>
              <w:rPr>
                <w:rFonts w:cs="Arial"/>
                <w:sz w:val="16"/>
                <w:szCs w:val="16"/>
              </w:rPr>
            </w:pPr>
            <w:r>
              <w:rPr>
                <w:rFonts w:cs="Arial"/>
                <w:sz w:val="16"/>
                <w:szCs w:val="16"/>
              </w:rPr>
              <w:t>10,4</w:t>
            </w:r>
          </w:p>
        </w:tc>
      </w:tr>
      <w:tr w:rsidR="00FB78B4" w:rsidTr="00F06867">
        <w:trPr>
          <w:trHeight w:val="255"/>
        </w:trPr>
        <w:tc>
          <w:tcPr>
            <w:tcW w:w="1050" w:type="dxa"/>
            <w:tcBorders>
              <w:top w:val="nil"/>
              <w:left w:val="nil"/>
              <w:bottom w:val="nil"/>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39</w:t>
            </w:r>
          </w:p>
        </w:tc>
        <w:tc>
          <w:tcPr>
            <w:tcW w:w="954"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14,9</w:t>
            </w:r>
          </w:p>
        </w:tc>
        <w:tc>
          <w:tcPr>
            <w:tcW w:w="954"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15,1</w:t>
            </w:r>
          </w:p>
        </w:tc>
        <w:tc>
          <w:tcPr>
            <w:tcW w:w="955"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15,5</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3,9</w:t>
            </w:r>
          </w:p>
        </w:tc>
        <w:tc>
          <w:tcPr>
            <w:tcW w:w="953" w:type="dxa"/>
            <w:tcBorders>
              <w:top w:val="nil"/>
              <w:left w:val="nil"/>
              <w:bottom w:val="nil"/>
              <w:right w:val="nil"/>
            </w:tcBorders>
            <w:tcMar>
              <w:right w:w="142" w:type="dxa"/>
            </w:tcMar>
            <w:vAlign w:val="bottom"/>
          </w:tcPr>
          <w:p w:rsidR="00FB78B4" w:rsidRDefault="00FB78B4">
            <w:pPr>
              <w:jc w:val="right"/>
              <w:rPr>
                <w:rFonts w:cs="Arial"/>
                <w:sz w:val="16"/>
                <w:szCs w:val="16"/>
              </w:rPr>
            </w:pPr>
            <w:r>
              <w:rPr>
                <w:rFonts w:cs="Arial"/>
                <w:sz w:val="16"/>
                <w:szCs w:val="16"/>
              </w:rPr>
              <w:t>4,8</w:t>
            </w:r>
          </w:p>
        </w:tc>
        <w:tc>
          <w:tcPr>
            <w:tcW w:w="954" w:type="dxa"/>
            <w:tcBorders>
              <w:top w:val="nil"/>
              <w:left w:val="nil"/>
              <w:bottom w:val="nil"/>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5,7</w:t>
            </w:r>
          </w:p>
        </w:tc>
        <w:tc>
          <w:tcPr>
            <w:tcW w:w="953" w:type="dxa"/>
            <w:tcBorders>
              <w:top w:val="nil"/>
              <w:left w:val="single" w:sz="4" w:space="0" w:color="auto"/>
              <w:bottom w:val="nil"/>
              <w:right w:val="nil"/>
            </w:tcBorders>
            <w:tcMar>
              <w:right w:w="142" w:type="dxa"/>
            </w:tcMar>
            <w:vAlign w:val="bottom"/>
          </w:tcPr>
          <w:p w:rsidR="00FB78B4" w:rsidRDefault="00FB78B4">
            <w:pPr>
              <w:jc w:val="right"/>
              <w:rPr>
                <w:rFonts w:cs="Arial"/>
                <w:sz w:val="16"/>
                <w:szCs w:val="16"/>
              </w:rPr>
            </w:pPr>
            <w:r>
              <w:rPr>
                <w:rFonts w:cs="Arial"/>
                <w:sz w:val="16"/>
                <w:szCs w:val="16"/>
              </w:rPr>
              <w:t>10,5</w:t>
            </w:r>
          </w:p>
        </w:tc>
        <w:tc>
          <w:tcPr>
            <w:tcW w:w="953" w:type="dxa"/>
            <w:tcBorders>
              <w:top w:val="nil"/>
              <w:left w:val="nil"/>
              <w:bottom w:val="nil"/>
              <w:right w:val="nil"/>
            </w:tcBorders>
            <w:noWrap/>
            <w:tcMar>
              <w:right w:w="142" w:type="dxa"/>
            </w:tcMar>
            <w:vAlign w:val="bottom"/>
          </w:tcPr>
          <w:p w:rsidR="00FB78B4" w:rsidRDefault="00FB78B4">
            <w:pPr>
              <w:jc w:val="right"/>
              <w:rPr>
                <w:rFonts w:cs="Arial"/>
                <w:sz w:val="16"/>
                <w:szCs w:val="16"/>
              </w:rPr>
            </w:pPr>
            <w:r>
              <w:rPr>
                <w:rFonts w:cs="Arial"/>
                <w:sz w:val="16"/>
                <w:szCs w:val="16"/>
              </w:rPr>
              <w:t>9,9</w:t>
            </w:r>
          </w:p>
        </w:tc>
        <w:tc>
          <w:tcPr>
            <w:tcW w:w="960" w:type="dxa"/>
            <w:gridSpan w:val="2"/>
            <w:tcBorders>
              <w:top w:val="nil"/>
              <w:left w:val="nil"/>
              <w:bottom w:val="nil"/>
            </w:tcBorders>
            <w:noWrap/>
            <w:tcMar>
              <w:right w:w="142" w:type="dxa"/>
            </w:tcMar>
            <w:vAlign w:val="bottom"/>
          </w:tcPr>
          <w:p w:rsidR="00FB78B4" w:rsidRDefault="00FB78B4">
            <w:pPr>
              <w:jc w:val="right"/>
              <w:rPr>
                <w:rFonts w:cs="Arial"/>
                <w:sz w:val="16"/>
                <w:szCs w:val="16"/>
              </w:rPr>
            </w:pPr>
            <w:r>
              <w:rPr>
                <w:rFonts w:cs="Arial"/>
                <w:sz w:val="16"/>
                <w:szCs w:val="16"/>
              </w:rPr>
              <w:t>9,3</w:t>
            </w:r>
          </w:p>
        </w:tc>
      </w:tr>
      <w:tr w:rsidR="00FB78B4" w:rsidTr="00F06867">
        <w:trPr>
          <w:trHeight w:val="255"/>
        </w:trPr>
        <w:tc>
          <w:tcPr>
            <w:tcW w:w="1050" w:type="dxa"/>
            <w:tcBorders>
              <w:top w:val="nil"/>
              <w:left w:val="nil"/>
              <w:bottom w:val="single" w:sz="4" w:space="0" w:color="auto"/>
              <w:right w:val="single" w:sz="4" w:space="0" w:color="auto"/>
            </w:tcBorders>
            <w:noWrap/>
            <w:vAlign w:val="bottom"/>
          </w:tcPr>
          <w:p w:rsidR="00FB78B4" w:rsidRDefault="00FB78B4" w:rsidP="00F06867">
            <w:pPr>
              <w:rPr>
                <w:rFonts w:eastAsia="Arial Unicode MS" w:cs="Arial"/>
                <w:sz w:val="16"/>
                <w:szCs w:val="16"/>
              </w:rPr>
            </w:pPr>
            <w:r>
              <w:rPr>
                <w:rFonts w:cs="Arial"/>
                <w:sz w:val="16"/>
                <w:szCs w:val="16"/>
              </w:rPr>
              <w:t>40</w:t>
            </w:r>
          </w:p>
        </w:tc>
        <w:tc>
          <w:tcPr>
            <w:tcW w:w="954" w:type="dxa"/>
            <w:tcBorders>
              <w:top w:val="nil"/>
              <w:left w:val="nil"/>
              <w:bottom w:val="single" w:sz="4" w:space="0" w:color="auto"/>
              <w:right w:val="nil"/>
            </w:tcBorders>
            <w:noWrap/>
            <w:tcMar>
              <w:right w:w="142" w:type="dxa"/>
            </w:tcMar>
            <w:vAlign w:val="bottom"/>
          </w:tcPr>
          <w:p w:rsidR="00FB78B4" w:rsidRDefault="00FB78B4">
            <w:pPr>
              <w:jc w:val="right"/>
              <w:rPr>
                <w:rFonts w:cs="Arial"/>
                <w:sz w:val="16"/>
                <w:szCs w:val="16"/>
              </w:rPr>
            </w:pPr>
            <w:r>
              <w:rPr>
                <w:rFonts w:cs="Arial"/>
                <w:sz w:val="16"/>
                <w:szCs w:val="16"/>
              </w:rPr>
              <w:t>12,1</w:t>
            </w:r>
          </w:p>
        </w:tc>
        <w:tc>
          <w:tcPr>
            <w:tcW w:w="954" w:type="dxa"/>
            <w:tcBorders>
              <w:top w:val="nil"/>
              <w:left w:val="nil"/>
              <w:bottom w:val="single" w:sz="4" w:space="0" w:color="auto"/>
              <w:right w:val="nil"/>
            </w:tcBorders>
            <w:tcMar>
              <w:right w:w="142" w:type="dxa"/>
            </w:tcMar>
            <w:vAlign w:val="bottom"/>
          </w:tcPr>
          <w:p w:rsidR="00FB78B4" w:rsidRDefault="00FB78B4">
            <w:pPr>
              <w:jc w:val="right"/>
              <w:rPr>
                <w:rFonts w:cs="Arial"/>
                <w:sz w:val="16"/>
                <w:szCs w:val="16"/>
              </w:rPr>
            </w:pPr>
            <w:r>
              <w:rPr>
                <w:rFonts w:cs="Arial"/>
                <w:sz w:val="16"/>
                <w:szCs w:val="16"/>
              </w:rPr>
              <w:t>13,8</w:t>
            </w:r>
          </w:p>
        </w:tc>
        <w:tc>
          <w:tcPr>
            <w:tcW w:w="955" w:type="dxa"/>
            <w:tcBorders>
              <w:top w:val="nil"/>
              <w:left w:val="nil"/>
              <w:bottom w:val="single" w:sz="4" w:space="0" w:color="auto"/>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14,3</w:t>
            </w:r>
          </w:p>
        </w:tc>
        <w:tc>
          <w:tcPr>
            <w:tcW w:w="953" w:type="dxa"/>
            <w:tcBorders>
              <w:top w:val="nil"/>
              <w:left w:val="single" w:sz="4" w:space="0" w:color="auto"/>
              <w:bottom w:val="single" w:sz="4" w:space="0" w:color="auto"/>
              <w:right w:val="nil"/>
            </w:tcBorders>
            <w:tcMar>
              <w:right w:w="142" w:type="dxa"/>
            </w:tcMar>
            <w:vAlign w:val="bottom"/>
          </w:tcPr>
          <w:p w:rsidR="00FB78B4" w:rsidRDefault="00FB78B4">
            <w:pPr>
              <w:jc w:val="right"/>
              <w:rPr>
                <w:rFonts w:cs="Arial"/>
                <w:sz w:val="16"/>
                <w:szCs w:val="16"/>
              </w:rPr>
            </w:pPr>
            <w:r>
              <w:rPr>
                <w:rFonts w:cs="Arial"/>
                <w:sz w:val="16"/>
                <w:szCs w:val="16"/>
              </w:rPr>
              <w:t>2,9</w:t>
            </w:r>
          </w:p>
        </w:tc>
        <w:tc>
          <w:tcPr>
            <w:tcW w:w="953" w:type="dxa"/>
            <w:tcBorders>
              <w:top w:val="nil"/>
              <w:left w:val="nil"/>
              <w:bottom w:val="single" w:sz="4" w:space="0" w:color="auto"/>
              <w:right w:val="nil"/>
            </w:tcBorders>
            <w:tcMar>
              <w:right w:w="142" w:type="dxa"/>
            </w:tcMar>
            <w:vAlign w:val="bottom"/>
          </w:tcPr>
          <w:p w:rsidR="00FB78B4" w:rsidRDefault="00FB78B4">
            <w:pPr>
              <w:jc w:val="right"/>
              <w:rPr>
                <w:rFonts w:cs="Arial"/>
                <w:sz w:val="16"/>
                <w:szCs w:val="16"/>
              </w:rPr>
            </w:pPr>
            <w:r>
              <w:rPr>
                <w:rFonts w:cs="Arial"/>
                <w:sz w:val="16"/>
                <w:szCs w:val="16"/>
              </w:rPr>
              <w:t>4,6</w:t>
            </w:r>
          </w:p>
        </w:tc>
        <w:tc>
          <w:tcPr>
            <w:tcW w:w="954" w:type="dxa"/>
            <w:tcBorders>
              <w:top w:val="nil"/>
              <w:left w:val="nil"/>
              <w:bottom w:val="single" w:sz="4" w:space="0" w:color="auto"/>
              <w:right w:val="single" w:sz="4" w:space="0" w:color="auto"/>
            </w:tcBorders>
            <w:tcMar>
              <w:right w:w="142" w:type="dxa"/>
            </w:tcMar>
            <w:vAlign w:val="bottom"/>
          </w:tcPr>
          <w:p w:rsidR="00FB78B4" w:rsidRDefault="00FB78B4">
            <w:pPr>
              <w:jc w:val="right"/>
              <w:rPr>
                <w:rFonts w:cs="Arial"/>
                <w:sz w:val="16"/>
                <w:szCs w:val="16"/>
              </w:rPr>
            </w:pPr>
            <w:r>
              <w:rPr>
                <w:rFonts w:cs="Arial"/>
                <w:sz w:val="16"/>
                <w:szCs w:val="16"/>
              </w:rPr>
              <w:t>4,8</w:t>
            </w:r>
          </w:p>
        </w:tc>
        <w:tc>
          <w:tcPr>
            <w:tcW w:w="953" w:type="dxa"/>
            <w:tcBorders>
              <w:top w:val="nil"/>
              <w:left w:val="single" w:sz="4" w:space="0" w:color="auto"/>
              <w:bottom w:val="single" w:sz="4" w:space="0" w:color="auto"/>
              <w:right w:val="nil"/>
            </w:tcBorders>
            <w:tcMar>
              <w:right w:w="142" w:type="dxa"/>
            </w:tcMar>
            <w:vAlign w:val="bottom"/>
          </w:tcPr>
          <w:p w:rsidR="00FB78B4" w:rsidRDefault="00FB78B4">
            <w:pPr>
              <w:jc w:val="right"/>
              <w:rPr>
                <w:rFonts w:cs="Arial"/>
                <w:sz w:val="16"/>
                <w:szCs w:val="16"/>
              </w:rPr>
            </w:pPr>
            <w:r>
              <w:rPr>
                <w:rFonts w:cs="Arial"/>
                <w:sz w:val="16"/>
                <w:szCs w:val="16"/>
              </w:rPr>
              <w:t>9,0</w:t>
            </w:r>
          </w:p>
        </w:tc>
        <w:tc>
          <w:tcPr>
            <w:tcW w:w="953" w:type="dxa"/>
            <w:tcBorders>
              <w:top w:val="nil"/>
              <w:left w:val="nil"/>
              <w:bottom w:val="single" w:sz="4" w:space="0" w:color="auto"/>
              <w:right w:val="nil"/>
            </w:tcBorders>
            <w:noWrap/>
            <w:tcMar>
              <w:right w:w="142" w:type="dxa"/>
            </w:tcMar>
            <w:vAlign w:val="bottom"/>
          </w:tcPr>
          <w:p w:rsidR="00FB78B4" w:rsidRDefault="00FB78B4">
            <w:pPr>
              <w:jc w:val="right"/>
              <w:rPr>
                <w:rFonts w:cs="Arial"/>
                <w:sz w:val="16"/>
                <w:szCs w:val="16"/>
              </w:rPr>
            </w:pPr>
            <w:r>
              <w:rPr>
                <w:rFonts w:cs="Arial"/>
                <w:sz w:val="16"/>
                <w:szCs w:val="16"/>
              </w:rPr>
              <w:t>8,9</w:t>
            </w:r>
          </w:p>
        </w:tc>
        <w:tc>
          <w:tcPr>
            <w:tcW w:w="960" w:type="dxa"/>
            <w:gridSpan w:val="2"/>
            <w:tcBorders>
              <w:top w:val="nil"/>
              <w:left w:val="nil"/>
              <w:bottom w:val="single" w:sz="4" w:space="0" w:color="auto"/>
            </w:tcBorders>
            <w:noWrap/>
            <w:tcMar>
              <w:right w:w="142" w:type="dxa"/>
            </w:tcMar>
            <w:vAlign w:val="bottom"/>
          </w:tcPr>
          <w:p w:rsidR="00FB78B4" w:rsidRDefault="00FB78B4">
            <w:pPr>
              <w:jc w:val="right"/>
              <w:rPr>
                <w:rFonts w:cs="Arial"/>
                <w:sz w:val="16"/>
                <w:szCs w:val="16"/>
              </w:rPr>
            </w:pPr>
            <w:r>
              <w:rPr>
                <w:rFonts w:cs="Arial"/>
                <w:sz w:val="16"/>
                <w:szCs w:val="16"/>
              </w:rPr>
              <w:t>9,1</w:t>
            </w:r>
          </w:p>
        </w:tc>
      </w:tr>
    </w:tbl>
    <w:p w:rsidR="00433381" w:rsidRDefault="00433381" w:rsidP="00E80447"/>
    <w:p w:rsidR="0066530F" w:rsidRDefault="0066530F" w:rsidP="00751567">
      <w:pPr>
        <w:pStyle w:val="Titulek"/>
        <w:spacing w:before="0" w:after="60"/>
      </w:pPr>
      <w:r>
        <w:t xml:space="preserve">Obr. </w:t>
      </w:r>
      <w:proofErr w:type="gramStart"/>
      <w:r w:rsidR="00351243">
        <w:fldChar w:fldCharType="begin"/>
      </w:r>
      <w:r>
        <w:instrText xml:space="preserve"> STYLEREF 1 \s </w:instrText>
      </w:r>
      <w:r w:rsidR="00351243">
        <w:fldChar w:fldCharType="separate"/>
      </w:r>
      <w:r>
        <w:rPr>
          <w:noProof/>
        </w:rPr>
        <w:t>5</w:t>
      </w:r>
      <w:r w:rsidR="00351243">
        <w:fldChar w:fldCharType="end"/>
      </w:r>
      <w:r>
        <w:t>.</w:t>
      </w:r>
      <w:r w:rsidR="00C86C41">
        <w:t>3</w:t>
      </w:r>
      <w:r>
        <w:t xml:space="preserve"> Míry</w:t>
      </w:r>
      <w:proofErr w:type="gramEnd"/>
      <w:r>
        <w:t xml:space="preserve"> potratovosti podle v</w:t>
      </w:r>
      <w:r w:rsidR="00C86C41">
        <w:t>ěku ženy a druhu potratu I, 2004–2014</w:t>
      </w:r>
    </w:p>
    <w:p w:rsidR="0066530F" w:rsidRDefault="00E80447" w:rsidP="0066530F">
      <w:r>
        <w:pict>
          <v:shape id="_x0000_i1026" type="#_x0000_t75" style="width:430.5pt;height:231pt">
            <v:imagedata r:id="rId9" o:title=""/>
          </v:shape>
        </w:pict>
      </w:r>
    </w:p>
    <w:p w:rsidR="00EF6503" w:rsidRDefault="00EF6503" w:rsidP="00EF6503">
      <w:r>
        <w:lastRenderedPageBreak/>
        <w:t xml:space="preserve">Míry indukované potratovosti se neposouvaly výrazně z pohledu věkového profilu, ale spíše v kontextu intenzity. </w:t>
      </w:r>
      <w:r w:rsidR="00E80447">
        <w:t xml:space="preserve">Zásadní posun se odehrál již mezi roky 2004 a 2009. </w:t>
      </w:r>
      <w:r>
        <w:t>Křivky potratovosti podle věku v letech 2009 a 2014 si byly již velice podobné. Nejvýraznější pokles intenzit byl zaznamenán ve věkových skupinách 20</w:t>
      </w:r>
      <w:r w:rsidR="00A559CF">
        <w:t>-</w:t>
      </w:r>
      <w:r>
        <w:t>22 a 28</w:t>
      </w:r>
      <w:r w:rsidR="00A559CF">
        <w:t>-</w:t>
      </w:r>
      <w:r>
        <w:t>33 let. Tento po</w:t>
      </w:r>
      <w:r w:rsidR="00D62DDD">
        <w:t>kles se pohyboval mezi 15 až 22 </w:t>
      </w:r>
      <w:r>
        <w:t>% z hodnoty v roce 2004</w:t>
      </w:r>
      <w:r w:rsidR="00DE24B7">
        <w:t>.</w:t>
      </w:r>
      <w:r>
        <w:t xml:space="preserve"> V případě indukovaných potratů </w:t>
      </w:r>
      <w:r w:rsidR="00E65DA4">
        <w:t xml:space="preserve">je </w:t>
      </w:r>
      <w:r>
        <w:t xml:space="preserve">potratovost </w:t>
      </w:r>
      <w:r w:rsidR="00E65DA4">
        <w:t>věkově méně koncentrovaná, k</w:t>
      </w:r>
      <w:r>
        <w:t xml:space="preserve">řivky </w:t>
      </w:r>
      <w:r w:rsidR="00E65DA4">
        <w:t xml:space="preserve">mají </w:t>
      </w:r>
      <w:r w:rsidR="00D62DDD">
        <w:t>výrazně zaoblený tvar a </w:t>
      </w:r>
      <w:r w:rsidR="00E80447">
        <w:t xml:space="preserve">míry potratovosti </w:t>
      </w:r>
      <w:r>
        <w:t>dosahovaly podobn</w:t>
      </w:r>
      <w:r w:rsidR="00E80447">
        <w:t xml:space="preserve">ých hodnot </w:t>
      </w:r>
      <w:r>
        <w:t>od 20 až do téměř 40 let</w:t>
      </w:r>
      <w:r w:rsidR="00E80447">
        <w:t xml:space="preserve"> věku žen</w:t>
      </w:r>
      <w:r>
        <w:t>.</w:t>
      </w:r>
    </w:p>
    <w:p w:rsidR="00EF6503" w:rsidRDefault="00EF6503" w:rsidP="00EF6503"/>
    <w:p w:rsidR="00EF6503" w:rsidRDefault="00EF6503" w:rsidP="00EF6503">
      <w:r>
        <w:t xml:space="preserve">Celkové míry potratovosti podle věku jsou vlastně vážené míry podle druhu potratu, kde mají větší váhu indukované potraty. Ve srovnání let 2004 a 2014 bylo </w:t>
      </w:r>
      <w:r w:rsidR="00DE24B7">
        <w:t>signifikantně</w:t>
      </w:r>
      <w:r>
        <w:t xml:space="preserve"> nižších hodnot v posledním sledovaném roce dosaženo ve věcích do 29 let. Od 30letých žen a směrem ke starším </w:t>
      </w:r>
      <w:r w:rsidR="00DE24B7">
        <w:t>měly</w:t>
      </w:r>
      <w:r>
        <w:t xml:space="preserve"> </w:t>
      </w:r>
      <w:r w:rsidR="00DE24B7">
        <w:t xml:space="preserve">již </w:t>
      </w:r>
      <w:r>
        <w:t xml:space="preserve">křivky </w:t>
      </w:r>
      <w:r w:rsidR="00DE24B7">
        <w:t>velice podobný tvar</w:t>
      </w:r>
      <w:r>
        <w:t>.</w:t>
      </w:r>
    </w:p>
    <w:p w:rsidR="00EF6503" w:rsidRDefault="00EF6503" w:rsidP="00EF6503"/>
    <w:p w:rsidR="0066530F" w:rsidRDefault="0066530F" w:rsidP="002046A1">
      <w:pPr>
        <w:pStyle w:val="Titulek"/>
        <w:spacing w:before="0" w:after="60"/>
      </w:pPr>
      <w:r>
        <w:t xml:space="preserve">Obr. </w:t>
      </w:r>
      <w:proofErr w:type="gramStart"/>
      <w:r w:rsidR="00351243">
        <w:fldChar w:fldCharType="begin"/>
      </w:r>
      <w:r>
        <w:instrText xml:space="preserve"> STYLEREF 1 \s </w:instrText>
      </w:r>
      <w:r w:rsidR="00351243">
        <w:fldChar w:fldCharType="separate"/>
      </w:r>
      <w:r>
        <w:rPr>
          <w:noProof/>
        </w:rPr>
        <w:t>5</w:t>
      </w:r>
      <w:r w:rsidR="00351243">
        <w:fldChar w:fldCharType="end"/>
      </w:r>
      <w:r>
        <w:t>.</w:t>
      </w:r>
      <w:r w:rsidR="00C86C41">
        <w:t>4</w:t>
      </w:r>
      <w:r>
        <w:t xml:space="preserve"> Míry</w:t>
      </w:r>
      <w:proofErr w:type="gramEnd"/>
      <w:r>
        <w:t xml:space="preserve"> potratovosti podle vě</w:t>
      </w:r>
      <w:r w:rsidR="00C86C41">
        <w:t>ku ženy a druhu potratu II, 2004–2014</w:t>
      </w:r>
    </w:p>
    <w:p w:rsidR="0066530F" w:rsidRPr="00740F04" w:rsidRDefault="00E80447" w:rsidP="0066530F">
      <w:r>
        <w:pict>
          <v:shape id="_x0000_i1027" type="#_x0000_t75" style="width:6in;height:231pt">
            <v:imagedata r:id="rId10" o:title=""/>
          </v:shape>
        </w:pict>
      </w:r>
    </w:p>
    <w:p w:rsidR="0066530F" w:rsidRDefault="0066530F" w:rsidP="00DF76E8">
      <w:pPr>
        <w:spacing w:after="60"/>
      </w:pPr>
    </w:p>
    <w:p w:rsidR="00DE24B7" w:rsidRDefault="00DE24B7" w:rsidP="00DE24B7">
      <w:r>
        <w:t>Počet potratů žen s cizím státním občanstvím měl v posledních pěti letech sestupnou tendenci a v r</w:t>
      </w:r>
      <w:r w:rsidR="00D62DDD">
        <w:t>oce 2014 se zastavil na čísle 1 </w:t>
      </w:r>
      <w:r>
        <w:t>955.  Z nich bylo 581 samovolných potratů</w:t>
      </w:r>
      <w:r w:rsidR="00E65DA4">
        <w:t>,</w:t>
      </w:r>
      <w:r>
        <w:t xml:space="preserve"> </w:t>
      </w:r>
      <w:r w:rsidR="00D62DDD">
        <w:t>1 </w:t>
      </w:r>
      <w:r>
        <w:t xml:space="preserve">337 indukovaných. </w:t>
      </w:r>
      <w:r w:rsidR="00E65DA4">
        <w:t>Snižoval se i podíl žen s cizím státním občanstvím na celkovém počtu potratů,</w:t>
      </w:r>
      <w:r w:rsidR="00D62DDD">
        <w:t xml:space="preserve"> z 6,8 % v roce 2010 na 5,3 </w:t>
      </w:r>
      <w:r w:rsidR="00E65DA4">
        <w:t>% v roce 2014.</w:t>
      </w:r>
      <w:r w:rsidR="00A559CF">
        <w:t xml:space="preserve"> </w:t>
      </w:r>
      <w:r>
        <w:t>Pokles počtu potratů byl podobně jako u žen s českým občanstvím způsoben zejména snížením počtu UPT. Podíl interrupcí však v případě cizinek zůstal vyšší, v</w:t>
      </w:r>
      <w:r w:rsidR="00D62DDD">
        <w:t xml:space="preserve"> roce 2014 dosáhl 68,4 </w:t>
      </w:r>
      <w:r>
        <w:t xml:space="preserve">%. I v případě cizinek měl ovšem sestupnou tendenci. </w:t>
      </w:r>
      <w:r w:rsidR="00E65DA4">
        <w:t xml:space="preserve">Stejně jako v případě potratů </w:t>
      </w:r>
      <w:r w:rsidR="008D4679">
        <w:t xml:space="preserve">všech </w:t>
      </w:r>
      <w:r w:rsidR="00E65DA4">
        <w:t xml:space="preserve">žen </w:t>
      </w:r>
      <w:r w:rsidR="008D4679">
        <w:t>ČR</w:t>
      </w:r>
      <w:r w:rsidR="00E65DA4">
        <w:t>, r</w:t>
      </w:r>
      <w:r>
        <w:t xml:space="preserve">ostl </w:t>
      </w:r>
      <w:r w:rsidR="00E65DA4">
        <w:t xml:space="preserve">i v případě cizinek </w:t>
      </w:r>
      <w:r>
        <w:t xml:space="preserve">podíl </w:t>
      </w:r>
      <w:r w:rsidR="00D62DDD">
        <w:t>UPT ze zdravotních důvodů (15,3 </w:t>
      </w:r>
      <w:r>
        <w:t xml:space="preserve">% v roce 2014), byť byl </w:t>
      </w:r>
      <w:r w:rsidR="00E65DA4">
        <w:t xml:space="preserve">stále nižší než </w:t>
      </w:r>
      <w:r w:rsidR="009C058F">
        <w:t>v populaci celkem.</w:t>
      </w:r>
    </w:p>
    <w:p w:rsidR="00D9770A" w:rsidRDefault="00D9770A" w:rsidP="00D83908"/>
    <w:p w:rsidR="00D83908" w:rsidRDefault="00D83908" w:rsidP="00D83908">
      <w:pPr>
        <w:pStyle w:val="Titulek"/>
        <w:spacing w:before="0" w:after="60"/>
      </w:pPr>
      <w:r>
        <w:t xml:space="preserve">Tab. </w:t>
      </w:r>
      <w:r w:rsidR="00351243">
        <w:fldChar w:fldCharType="begin"/>
      </w:r>
      <w:r>
        <w:instrText xml:space="preserve"> STYLEREF 1 \s </w:instrText>
      </w:r>
      <w:r w:rsidR="00351243">
        <w:fldChar w:fldCharType="separate"/>
      </w:r>
      <w:r>
        <w:rPr>
          <w:noProof/>
        </w:rPr>
        <w:t>5</w:t>
      </w:r>
      <w:r w:rsidR="00351243">
        <w:fldChar w:fldCharType="end"/>
      </w:r>
      <w:r>
        <w:t>.</w:t>
      </w:r>
      <w:r w:rsidR="00DE24B7">
        <w:t>7</w:t>
      </w:r>
      <w:r>
        <w:t xml:space="preserve"> Potraty žen </w:t>
      </w:r>
      <w:r w:rsidR="00342393">
        <w:t>s cizím státním občanstvím, 2004–2014</w:t>
      </w:r>
    </w:p>
    <w:tbl>
      <w:tblPr>
        <w:tblW w:w="9639" w:type="dxa"/>
        <w:tblLayout w:type="fixed"/>
        <w:tblCellMar>
          <w:left w:w="0" w:type="dxa"/>
          <w:right w:w="0" w:type="dxa"/>
        </w:tblCellMar>
        <w:tblLook w:val="0000"/>
      </w:tblPr>
      <w:tblGrid>
        <w:gridCol w:w="3402"/>
        <w:gridCol w:w="891"/>
        <w:gridCol w:w="891"/>
        <w:gridCol w:w="891"/>
        <w:gridCol w:w="891"/>
        <w:gridCol w:w="891"/>
        <w:gridCol w:w="891"/>
        <w:gridCol w:w="891"/>
      </w:tblGrid>
      <w:tr w:rsidR="00090D7D" w:rsidTr="001E59A5">
        <w:trPr>
          <w:trHeight w:val="255"/>
        </w:trPr>
        <w:tc>
          <w:tcPr>
            <w:tcW w:w="3402" w:type="dxa"/>
            <w:tcBorders>
              <w:top w:val="single" w:sz="4" w:space="0" w:color="auto"/>
              <w:left w:val="nil"/>
              <w:bottom w:val="single" w:sz="4" w:space="0" w:color="auto"/>
              <w:right w:val="single" w:sz="4" w:space="0" w:color="auto"/>
            </w:tcBorders>
            <w:noWrap/>
            <w:vAlign w:val="bottom"/>
          </w:tcPr>
          <w:p w:rsidR="00090D7D" w:rsidRDefault="00090D7D" w:rsidP="001C2AEE">
            <w:pPr>
              <w:rPr>
                <w:rFonts w:eastAsia="Arial Unicode MS" w:cs="Arial"/>
                <w:b/>
                <w:bCs/>
                <w:sz w:val="16"/>
                <w:szCs w:val="16"/>
              </w:rPr>
            </w:pPr>
            <w:r>
              <w:rPr>
                <w:rFonts w:cs="Arial"/>
                <w:b/>
                <w:bCs/>
                <w:sz w:val="16"/>
                <w:szCs w:val="16"/>
              </w:rPr>
              <w:t> </w:t>
            </w:r>
          </w:p>
        </w:tc>
        <w:tc>
          <w:tcPr>
            <w:tcW w:w="891" w:type="dxa"/>
            <w:tcBorders>
              <w:top w:val="single" w:sz="4" w:space="0" w:color="auto"/>
              <w:left w:val="nil"/>
              <w:bottom w:val="single" w:sz="4" w:space="0" w:color="auto"/>
              <w:right w:val="nil"/>
            </w:tcBorders>
            <w:noWrap/>
            <w:tcMar>
              <w:right w:w="142" w:type="dxa"/>
            </w:tcMar>
            <w:vAlign w:val="bottom"/>
          </w:tcPr>
          <w:p w:rsidR="00090D7D" w:rsidRDefault="00090D7D">
            <w:pPr>
              <w:jc w:val="right"/>
              <w:rPr>
                <w:rFonts w:cs="Arial"/>
                <w:b/>
                <w:bCs/>
                <w:sz w:val="16"/>
                <w:szCs w:val="16"/>
              </w:rPr>
            </w:pPr>
            <w:r>
              <w:rPr>
                <w:rFonts w:cs="Arial"/>
                <w:b/>
                <w:bCs/>
                <w:sz w:val="16"/>
                <w:szCs w:val="16"/>
              </w:rPr>
              <w:t>2004</w:t>
            </w:r>
          </w:p>
        </w:tc>
        <w:tc>
          <w:tcPr>
            <w:tcW w:w="891" w:type="dxa"/>
            <w:tcBorders>
              <w:top w:val="single" w:sz="4" w:space="0" w:color="auto"/>
              <w:left w:val="nil"/>
              <w:bottom w:val="single" w:sz="4" w:space="0" w:color="auto"/>
              <w:right w:val="nil"/>
            </w:tcBorders>
            <w:noWrap/>
            <w:tcMar>
              <w:right w:w="142" w:type="dxa"/>
            </w:tcMar>
            <w:vAlign w:val="bottom"/>
          </w:tcPr>
          <w:p w:rsidR="00090D7D" w:rsidRDefault="00DF7014">
            <w:pPr>
              <w:jc w:val="right"/>
              <w:rPr>
                <w:rFonts w:cs="Arial"/>
                <w:b/>
                <w:bCs/>
                <w:sz w:val="16"/>
                <w:szCs w:val="16"/>
              </w:rPr>
            </w:pPr>
            <w:r>
              <w:rPr>
                <w:rFonts w:cs="Arial"/>
                <w:b/>
                <w:bCs/>
                <w:sz w:val="16"/>
                <w:szCs w:val="16"/>
              </w:rPr>
              <w:t>2009</w:t>
            </w:r>
          </w:p>
        </w:tc>
        <w:tc>
          <w:tcPr>
            <w:tcW w:w="891" w:type="dxa"/>
            <w:tcBorders>
              <w:top w:val="single" w:sz="4" w:space="0" w:color="auto"/>
              <w:left w:val="nil"/>
              <w:bottom w:val="single" w:sz="4" w:space="0" w:color="auto"/>
              <w:right w:val="nil"/>
            </w:tcBorders>
            <w:noWrap/>
            <w:tcMar>
              <w:right w:w="142" w:type="dxa"/>
            </w:tcMar>
            <w:vAlign w:val="bottom"/>
          </w:tcPr>
          <w:p w:rsidR="00090D7D" w:rsidRDefault="00090D7D">
            <w:pPr>
              <w:jc w:val="right"/>
              <w:rPr>
                <w:rFonts w:cs="Arial"/>
                <w:b/>
                <w:bCs/>
                <w:sz w:val="16"/>
                <w:szCs w:val="16"/>
              </w:rPr>
            </w:pPr>
            <w:r>
              <w:rPr>
                <w:rFonts w:cs="Arial"/>
                <w:b/>
                <w:bCs/>
                <w:sz w:val="16"/>
                <w:szCs w:val="16"/>
              </w:rPr>
              <w:t>2010</w:t>
            </w:r>
          </w:p>
        </w:tc>
        <w:tc>
          <w:tcPr>
            <w:tcW w:w="891" w:type="dxa"/>
            <w:tcBorders>
              <w:top w:val="single" w:sz="4" w:space="0" w:color="auto"/>
              <w:left w:val="nil"/>
              <w:bottom w:val="single" w:sz="4" w:space="0" w:color="auto"/>
              <w:right w:val="nil"/>
            </w:tcBorders>
            <w:noWrap/>
            <w:tcMar>
              <w:right w:w="142" w:type="dxa"/>
            </w:tcMar>
            <w:vAlign w:val="bottom"/>
          </w:tcPr>
          <w:p w:rsidR="00090D7D" w:rsidRDefault="00090D7D">
            <w:pPr>
              <w:jc w:val="right"/>
              <w:rPr>
                <w:rFonts w:cs="Arial"/>
                <w:b/>
                <w:bCs/>
                <w:sz w:val="16"/>
                <w:szCs w:val="16"/>
              </w:rPr>
            </w:pPr>
            <w:r>
              <w:rPr>
                <w:rFonts w:cs="Arial"/>
                <w:b/>
                <w:bCs/>
                <w:sz w:val="16"/>
                <w:szCs w:val="16"/>
              </w:rPr>
              <w:t>2011</w:t>
            </w:r>
          </w:p>
        </w:tc>
        <w:tc>
          <w:tcPr>
            <w:tcW w:w="891" w:type="dxa"/>
            <w:tcBorders>
              <w:top w:val="single" w:sz="4" w:space="0" w:color="auto"/>
              <w:left w:val="nil"/>
              <w:bottom w:val="single" w:sz="4" w:space="0" w:color="auto"/>
              <w:right w:val="nil"/>
            </w:tcBorders>
            <w:noWrap/>
            <w:tcMar>
              <w:right w:w="142" w:type="dxa"/>
            </w:tcMar>
            <w:vAlign w:val="bottom"/>
          </w:tcPr>
          <w:p w:rsidR="00090D7D" w:rsidRDefault="00090D7D">
            <w:pPr>
              <w:jc w:val="right"/>
              <w:rPr>
                <w:rFonts w:cs="Arial"/>
                <w:b/>
                <w:bCs/>
                <w:sz w:val="16"/>
                <w:szCs w:val="16"/>
              </w:rPr>
            </w:pPr>
            <w:r>
              <w:rPr>
                <w:rFonts w:cs="Arial"/>
                <w:b/>
                <w:bCs/>
                <w:sz w:val="16"/>
                <w:szCs w:val="16"/>
              </w:rPr>
              <w:t>2012</w:t>
            </w:r>
          </w:p>
        </w:tc>
        <w:tc>
          <w:tcPr>
            <w:tcW w:w="891" w:type="dxa"/>
            <w:tcBorders>
              <w:top w:val="single" w:sz="4" w:space="0" w:color="auto"/>
              <w:left w:val="nil"/>
              <w:bottom w:val="single" w:sz="4" w:space="0" w:color="auto"/>
              <w:right w:val="nil"/>
            </w:tcBorders>
            <w:noWrap/>
            <w:tcMar>
              <w:right w:w="142" w:type="dxa"/>
            </w:tcMar>
            <w:vAlign w:val="bottom"/>
          </w:tcPr>
          <w:p w:rsidR="00090D7D" w:rsidRDefault="00090D7D">
            <w:pPr>
              <w:jc w:val="right"/>
              <w:rPr>
                <w:rFonts w:cs="Arial"/>
                <w:b/>
                <w:bCs/>
                <w:sz w:val="16"/>
                <w:szCs w:val="16"/>
              </w:rPr>
            </w:pPr>
            <w:r>
              <w:rPr>
                <w:rFonts w:cs="Arial"/>
                <w:b/>
                <w:bCs/>
                <w:sz w:val="16"/>
                <w:szCs w:val="16"/>
              </w:rPr>
              <w:t>2013</w:t>
            </w:r>
          </w:p>
        </w:tc>
        <w:tc>
          <w:tcPr>
            <w:tcW w:w="891" w:type="dxa"/>
            <w:tcBorders>
              <w:top w:val="single" w:sz="4" w:space="0" w:color="auto"/>
              <w:left w:val="nil"/>
              <w:bottom w:val="single" w:sz="4" w:space="0" w:color="auto"/>
              <w:right w:val="nil"/>
            </w:tcBorders>
            <w:noWrap/>
            <w:tcMar>
              <w:right w:w="142" w:type="dxa"/>
            </w:tcMar>
            <w:vAlign w:val="bottom"/>
          </w:tcPr>
          <w:p w:rsidR="00090D7D" w:rsidRDefault="00090D7D">
            <w:pPr>
              <w:jc w:val="right"/>
              <w:rPr>
                <w:rFonts w:cs="Arial"/>
                <w:b/>
                <w:bCs/>
                <w:sz w:val="16"/>
                <w:szCs w:val="16"/>
              </w:rPr>
            </w:pPr>
            <w:r>
              <w:rPr>
                <w:rFonts w:cs="Arial"/>
                <w:b/>
                <w:bCs/>
                <w:sz w:val="16"/>
                <w:szCs w:val="16"/>
              </w:rPr>
              <w:t>2014</w:t>
            </w:r>
          </w:p>
        </w:tc>
      </w:tr>
      <w:tr w:rsidR="00DF7014" w:rsidTr="001E59A5">
        <w:trPr>
          <w:trHeight w:val="255"/>
        </w:trPr>
        <w:tc>
          <w:tcPr>
            <w:tcW w:w="3402" w:type="dxa"/>
            <w:tcBorders>
              <w:top w:val="nil"/>
              <w:left w:val="nil"/>
              <w:bottom w:val="nil"/>
              <w:right w:val="single" w:sz="4" w:space="0" w:color="auto"/>
            </w:tcBorders>
            <w:noWrap/>
            <w:vAlign w:val="bottom"/>
          </w:tcPr>
          <w:p w:rsidR="00DF7014" w:rsidRDefault="00DF7014" w:rsidP="001C2AEE">
            <w:pPr>
              <w:rPr>
                <w:rFonts w:eastAsia="Arial Unicode MS" w:cs="Arial"/>
                <w:b/>
                <w:bCs/>
                <w:sz w:val="16"/>
                <w:szCs w:val="16"/>
              </w:rPr>
            </w:pPr>
            <w:r>
              <w:rPr>
                <w:rFonts w:cs="Arial"/>
                <w:b/>
                <w:bCs/>
                <w:sz w:val="16"/>
                <w:szCs w:val="16"/>
              </w:rPr>
              <w:t>Potraty celkem</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2 254</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3 020</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2 659</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2 571</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2 319</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2 171</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1 955</w:t>
            </w:r>
          </w:p>
        </w:tc>
      </w:tr>
      <w:tr w:rsidR="00DF7014" w:rsidTr="001E59A5">
        <w:trPr>
          <w:trHeight w:val="255"/>
        </w:trPr>
        <w:tc>
          <w:tcPr>
            <w:tcW w:w="3402" w:type="dxa"/>
            <w:tcBorders>
              <w:top w:val="nil"/>
              <w:left w:val="nil"/>
              <w:bottom w:val="nil"/>
              <w:right w:val="single" w:sz="4" w:space="0" w:color="auto"/>
            </w:tcBorders>
            <w:noWrap/>
            <w:vAlign w:val="bottom"/>
          </w:tcPr>
          <w:p w:rsidR="00DF7014" w:rsidRDefault="00DF7014" w:rsidP="001C2AEE">
            <w:pPr>
              <w:rPr>
                <w:rFonts w:eastAsia="Arial Unicode MS" w:cs="Arial"/>
                <w:sz w:val="16"/>
                <w:szCs w:val="16"/>
              </w:rPr>
            </w:pPr>
            <w:r>
              <w:rPr>
                <w:rFonts w:cs="Arial"/>
                <w:sz w:val="16"/>
                <w:szCs w:val="16"/>
              </w:rPr>
              <w:t>v tom: samovolné potraty</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414</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698</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591</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621</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599</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608</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581</w:t>
            </w:r>
          </w:p>
        </w:tc>
      </w:tr>
      <w:tr w:rsidR="00DF7014" w:rsidTr="001E59A5">
        <w:trPr>
          <w:trHeight w:val="255"/>
        </w:trPr>
        <w:tc>
          <w:tcPr>
            <w:tcW w:w="3402" w:type="dxa"/>
            <w:tcBorders>
              <w:top w:val="nil"/>
              <w:left w:val="nil"/>
              <w:bottom w:val="nil"/>
              <w:right w:val="single" w:sz="4" w:space="0" w:color="auto"/>
            </w:tcBorders>
            <w:noWrap/>
            <w:vAlign w:val="bottom"/>
          </w:tcPr>
          <w:p w:rsidR="00DF7014" w:rsidRDefault="00DF7014" w:rsidP="001C2AEE">
            <w:pPr>
              <w:rPr>
                <w:rFonts w:eastAsia="Arial Unicode MS" w:cs="Arial"/>
                <w:sz w:val="16"/>
                <w:szCs w:val="16"/>
              </w:rPr>
            </w:pPr>
            <w:r>
              <w:rPr>
                <w:rFonts w:cs="Arial"/>
                <w:sz w:val="16"/>
                <w:szCs w:val="16"/>
              </w:rPr>
              <w:t xml:space="preserve">           umělá přerušení těhotenství</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1 789</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2 268</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1 990</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1 885</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1 659</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1 494</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1 337</w:t>
            </w:r>
          </w:p>
        </w:tc>
      </w:tr>
      <w:tr w:rsidR="00DF7014" w:rsidTr="001E59A5">
        <w:trPr>
          <w:trHeight w:val="255"/>
        </w:trPr>
        <w:tc>
          <w:tcPr>
            <w:tcW w:w="3402" w:type="dxa"/>
            <w:tcBorders>
              <w:top w:val="nil"/>
              <w:left w:val="nil"/>
              <w:bottom w:val="nil"/>
              <w:right w:val="single" w:sz="4" w:space="0" w:color="auto"/>
            </w:tcBorders>
            <w:noWrap/>
            <w:vAlign w:val="bottom"/>
          </w:tcPr>
          <w:p w:rsidR="00DF7014" w:rsidRDefault="00DF7014" w:rsidP="001C2AEE">
            <w:pPr>
              <w:rPr>
                <w:rFonts w:eastAsia="Arial Unicode MS" w:cs="Arial"/>
                <w:sz w:val="16"/>
                <w:szCs w:val="16"/>
              </w:rPr>
            </w:pPr>
            <w:r>
              <w:rPr>
                <w:rFonts w:cs="Arial"/>
                <w:sz w:val="16"/>
                <w:szCs w:val="16"/>
              </w:rPr>
              <w:t xml:space="preserve">                 v tom: miniinterrupce</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1 460</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1 732</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1 504</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1 460</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1 237</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1 121</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952</w:t>
            </w:r>
          </w:p>
        </w:tc>
      </w:tr>
      <w:tr w:rsidR="00DF7014" w:rsidTr="001E59A5">
        <w:trPr>
          <w:trHeight w:val="255"/>
        </w:trPr>
        <w:tc>
          <w:tcPr>
            <w:tcW w:w="3402" w:type="dxa"/>
            <w:tcBorders>
              <w:top w:val="nil"/>
              <w:left w:val="nil"/>
              <w:bottom w:val="nil"/>
              <w:right w:val="single" w:sz="4" w:space="0" w:color="auto"/>
            </w:tcBorders>
            <w:noWrap/>
            <w:vAlign w:val="bottom"/>
          </w:tcPr>
          <w:p w:rsidR="00DF7014" w:rsidRDefault="00DF7014" w:rsidP="001C2AEE">
            <w:pPr>
              <w:rPr>
                <w:rFonts w:eastAsia="Arial Unicode MS" w:cs="Arial"/>
                <w:sz w:val="16"/>
                <w:szCs w:val="16"/>
              </w:rPr>
            </w:pPr>
            <w:r>
              <w:rPr>
                <w:rFonts w:cs="Arial"/>
                <w:sz w:val="16"/>
                <w:szCs w:val="16"/>
              </w:rPr>
              <w:t xml:space="preserve">                            jiné legální UPT</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329</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536</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486</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425</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422</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373</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385</w:t>
            </w:r>
          </w:p>
        </w:tc>
      </w:tr>
      <w:tr w:rsidR="00DF7014" w:rsidTr="001E59A5">
        <w:trPr>
          <w:trHeight w:val="255"/>
        </w:trPr>
        <w:tc>
          <w:tcPr>
            <w:tcW w:w="3402" w:type="dxa"/>
            <w:tcBorders>
              <w:top w:val="nil"/>
              <w:left w:val="nil"/>
              <w:bottom w:val="nil"/>
              <w:right w:val="single" w:sz="4" w:space="0" w:color="auto"/>
            </w:tcBorders>
            <w:noWrap/>
            <w:vAlign w:val="bottom"/>
          </w:tcPr>
          <w:p w:rsidR="00DF7014" w:rsidRDefault="00DF7014" w:rsidP="001C2AEE">
            <w:pPr>
              <w:rPr>
                <w:rFonts w:eastAsia="Arial Unicode MS" w:cs="Arial"/>
                <w:sz w:val="16"/>
                <w:szCs w:val="16"/>
              </w:rPr>
            </w:pPr>
            <w:r>
              <w:rPr>
                <w:rFonts w:cs="Arial"/>
                <w:sz w:val="16"/>
                <w:szCs w:val="16"/>
              </w:rPr>
              <w:t xml:space="preserve">           ostatní</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w:t>
            </w:r>
          </w:p>
        </w:tc>
      </w:tr>
      <w:tr w:rsidR="00DF7014" w:rsidTr="001E59A5">
        <w:trPr>
          <w:trHeight w:val="255"/>
        </w:trPr>
        <w:tc>
          <w:tcPr>
            <w:tcW w:w="3402" w:type="dxa"/>
            <w:tcBorders>
              <w:top w:val="nil"/>
              <w:left w:val="nil"/>
              <w:bottom w:val="single" w:sz="4" w:space="0" w:color="auto"/>
              <w:right w:val="single" w:sz="4" w:space="0" w:color="auto"/>
            </w:tcBorders>
            <w:noWrap/>
            <w:vAlign w:val="bottom"/>
          </w:tcPr>
          <w:p w:rsidR="00DF7014" w:rsidRDefault="00DF7014" w:rsidP="001C2AEE">
            <w:pPr>
              <w:rPr>
                <w:rFonts w:eastAsia="Arial Unicode MS" w:cs="Arial"/>
                <w:sz w:val="16"/>
                <w:szCs w:val="16"/>
              </w:rPr>
            </w:pPr>
            <w:r>
              <w:rPr>
                <w:rFonts w:cs="Arial"/>
                <w:sz w:val="16"/>
                <w:szCs w:val="16"/>
              </w:rPr>
              <w:t xml:space="preserve">           ukončení mimoděložních těhotenství</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51</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54</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78</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65</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61</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69</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37</w:t>
            </w:r>
          </w:p>
        </w:tc>
      </w:tr>
      <w:tr w:rsidR="00DF7014" w:rsidTr="001E59A5">
        <w:trPr>
          <w:trHeight w:val="255"/>
        </w:trPr>
        <w:tc>
          <w:tcPr>
            <w:tcW w:w="3402" w:type="dxa"/>
            <w:tcBorders>
              <w:top w:val="nil"/>
              <w:left w:val="nil"/>
              <w:bottom w:val="nil"/>
              <w:right w:val="single" w:sz="4" w:space="0" w:color="auto"/>
            </w:tcBorders>
            <w:noWrap/>
            <w:vAlign w:val="bottom"/>
          </w:tcPr>
          <w:p w:rsidR="00DF7014" w:rsidRDefault="00DF7014" w:rsidP="001C2AEE">
            <w:pPr>
              <w:rPr>
                <w:rFonts w:eastAsia="Arial Unicode MS" w:cs="Arial"/>
                <w:sz w:val="16"/>
                <w:szCs w:val="16"/>
              </w:rPr>
            </w:pPr>
            <w:r>
              <w:rPr>
                <w:rFonts w:cs="Arial"/>
                <w:sz w:val="16"/>
                <w:szCs w:val="16"/>
              </w:rPr>
              <w:t>Podíl samovolných potratů (%)</w:t>
            </w:r>
          </w:p>
        </w:tc>
        <w:tc>
          <w:tcPr>
            <w:tcW w:w="891" w:type="dxa"/>
            <w:tcBorders>
              <w:top w:val="single" w:sz="4" w:space="0" w:color="auto"/>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18,4</w:t>
            </w:r>
          </w:p>
        </w:tc>
        <w:tc>
          <w:tcPr>
            <w:tcW w:w="891" w:type="dxa"/>
            <w:tcBorders>
              <w:top w:val="single" w:sz="4" w:space="0" w:color="auto"/>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23,1</w:t>
            </w:r>
          </w:p>
        </w:tc>
        <w:tc>
          <w:tcPr>
            <w:tcW w:w="891" w:type="dxa"/>
            <w:tcBorders>
              <w:top w:val="single" w:sz="4" w:space="0" w:color="auto"/>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22,2</w:t>
            </w:r>
          </w:p>
        </w:tc>
        <w:tc>
          <w:tcPr>
            <w:tcW w:w="891" w:type="dxa"/>
            <w:tcBorders>
              <w:top w:val="single" w:sz="4" w:space="0" w:color="auto"/>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24,2</w:t>
            </w:r>
          </w:p>
        </w:tc>
        <w:tc>
          <w:tcPr>
            <w:tcW w:w="891" w:type="dxa"/>
            <w:tcBorders>
              <w:top w:val="single" w:sz="4" w:space="0" w:color="auto"/>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25,8</w:t>
            </w:r>
          </w:p>
        </w:tc>
        <w:tc>
          <w:tcPr>
            <w:tcW w:w="891" w:type="dxa"/>
            <w:tcBorders>
              <w:top w:val="single" w:sz="4" w:space="0" w:color="auto"/>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28,0</w:t>
            </w:r>
          </w:p>
        </w:tc>
        <w:tc>
          <w:tcPr>
            <w:tcW w:w="891" w:type="dxa"/>
            <w:tcBorders>
              <w:top w:val="single" w:sz="4" w:space="0" w:color="auto"/>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29,7</w:t>
            </w:r>
          </w:p>
        </w:tc>
      </w:tr>
      <w:tr w:rsidR="00DF7014" w:rsidTr="001E59A5">
        <w:trPr>
          <w:trHeight w:val="255"/>
        </w:trPr>
        <w:tc>
          <w:tcPr>
            <w:tcW w:w="3402" w:type="dxa"/>
            <w:tcBorders>
              <w:top w:val="nil"/>
              <w:left w:val="nil"/>
              <w:bottom w:val="nil"/>
              <w:right w:val="single" w:sz="4" w:space="0" w:color="auto"/>
            </w:tcBorders>
            <w:noWrap/>
            <w:vAlign w:val="bottom"/>
          </w:tcPr>
          <w:p w:rsidR="00DF7014" w:rsidRDefault="00DF7014" w:rsidP="001C2AEE">
            <w:pPr>
              <w:rPr>
                <w:rFonts w:eastAsia="Arial Unicode MS" w:cs="Arial"/>
                <w:sz w:val="16"/>
                <w:szCs w:val="16"/>
              </w:rPr>
            </w:pPr>
            <w:r>
              <w:rPr>
                <w:rFonts w:cs="Arial"/>
                <w:sz w:val="16"/>
                <w:szCs w:val="16"/>
              </w:rPr>
              <w:t>Podíl umělých přerušení těhotenství (%)</w:t>
            </w:r>
          </w:p>
        </w:tc>
        <w:tc>
          <w:tcPr>
            <w:tcW w:w="891" w:type="dxa"/>
            <w:tcBorders>
              <w:top w:val="nil"/>
              <w:left w:val="nil"/>
              <w:bottom w:val="nil"/>
              <w:right w:val="nil"/>
            </w:tcBorders>
            <w:tcMar>
              <w:right w:w="142" w:type="dxa"/>
            </w:tcMar>
            <w:vAlign w:val="bottom"/>
          </w:tcPr>
          <w:p w:rsidR="00DF7014" w:rsidRDefault="00DF7014">
            <w:pPr>
              <w:jc w:val="right"/>
              <w:rPr>
                <w:rFonts w:cs="Arial"/>
                <w:sz w:val="16"/>
                <w:szCs w:val="16"/>
              </w:rPr>
            </w:pPr>
            <w:r>
              <w:rPr>
                <w:rFonts w:cs="Arial"/>
                <w:sz w:val="16"/>
                <w:szCs w:val="16"/>
              </w:rPr>
              <w:t>79,4</w:t>
            </w:r>
          </w:p>
        </w:tc>
        <w:tc>
          <w:tcPr>
            <w:tcW w:w="891" w:type="dxa"/>
            <w:tcBorders>
              <w:top w:val="nil"/>
              <w:left w:val="nil"/>
              <w:bottom w:val="nil"/>
              <w:right w:val="nil"/>
            </w:tcBorders>
            <w:tcMar>
              <w:right w:w="142" w:type="dxa"/>
            </w:tcMar>
            <w:vAlign w:val="bottom"/>
          </w:tcPr>
          <w:p w:rsidR="00DF7014" w:rsidRDefault="00DF7014">
            <w:pPr>
              <w:jc w:val="right"/>
              <w:rPr>
                <w:rFonts w:cs="Arial"/>
                <w:sz w:val="16"/>
                <w:szCs w:val="16"/>
              </w:rPr>
            </w:pPr>
            <w:r>
              <w:rPr>
                <w:rFonts w:cs="Arial"/>
                <w:sz w:val="16"/>
                <w:szCs w:val="16"/>
              </w:rPr>
              <w:t>75,1</w:t>
            </w:r>
          </w:p>
        </w:tc>
        <w:tc>
          <w:tcPr>
            <w:tcW w:w="891" w:type="dxa"/>
            <w:tcBorders>
              <w:top w:val="nil"/>
              <w:left w:val="nil"/>
              <w:bottom w:val="nil"/>
              <w:right w:val="nil"/>
            </w:tcBorders>
            <w:tcMar>
              <w:right w:w="142" w:type="dxa"/>
            </w:tcMar>
            <w:vAlign w:val="bottom"/>
          </w:tcPr>
          <w:p w:rsidR="00DF7014" w:rsidRDefault="00DF7014">
            <w:pPr>
              <w:jc w:val="right"/>
              <w:rPr>
                <w:rFonts w:cs="Arial"/>
                <w:sz w:val="16"/>
                <w:szCs w:val="16"/>
              </w:rPr>
            </w:pPr>
            <w:r>
              <w:rPr>
                <w:rFonts w:cs="Arial"/>
                <w:sz w:val="16"/>
                <w:szCs w:val="16"/>
              </w:rPr>
              <w:t>74,8</w:t>
            </w:r>
          </w:p>
        </w:tc>
        <w:tc>
          <w:tcPr>
            <w:tcW w:w="891" w:type="dxa"/>
            <w:tcBorders>
              <w:top w:val="nil"/>
              <w:left w:val="nil"/>
              <w:bottom w:val="nil"/>
              <w:right w:val="nil"/>
            </w:tcBorders>
            <w:tcMar>
              <w:right w:w="142" w:type="dxa"/>
            </w:tcMar>
            <w:vAlign w:val="bottom"/>
          </w:tcPr>
          <w:p w:rsidR="00DF7014" w:rsidRDefault="00DF7014">
            <w:pPr>
              <w:jc w:val="right"/>
              <w:rPr>
                <w:rFonts w:cs="Arial"/>
                <w:sz w:val="16"/>
                <w:szCs w:val="16"/>
              </w:rPr>
            </w:pPr>
            <w:r>
              <w:rPr>
                <w:rFonts w:cs="Arial"/>
                <w:sz w:val="16"/>
                <w:szCs w:val="16"/>
              </w:rPr>
              <w:t>73,3</w:t>
            </w:r>
          </w:p>
        </w:tc>
        <w:tc>
          <w:tcPr>
            <w:tcW w:w="891" w:type="dxa"/>
            <w:tcBorders>
              <w:top w:val="nil"/>
              <w:left w:val="nil"/>
              <w:bottom w:val="nil"/>
              <w:right w:val="nil"/>
            </w:tcBorders>
            <w:tcMar>
              <w:right w:w="142" w:type="dxa"/>
            </w:tcMar>
            <w:vAlign w:val="bottom"/>
          </w:tcPr>
          <w:p w:rsidR="00DF7014" w:rsidRDefault="00DF7014">
            <w:pPr>
              <w:jc w:val="right"/>
              <w:rPr>
                <w:rFonts w:cs="Arial"/>
                <w:sz w:val="16"/>
                <w:szCs w:val="16"/>
              </w:rPr>
            </w:pPr>
            <w:r>
              <w:rPr>
                <w:rFonts w:cs="Arial"/>
                <w:sz w:val="16"/>
                <w:szCs w:val="16"/>
              </w:rPr>
              <w:t>71,5</w:t>
            </w:r>
          </w:p>
        </w:tc>
        <w:tc>
          <w:tcPr>
            <w:tcW w:w="891" w:type="dxa"/>
            <w:tcBorders>
              <w:top w:val="nil"/>
              <w:left w:val="nil"/>
              <w:bottom w:val="nil"/>
              <w:right w:val="nil"/>
            </w:tcBorders>
            <w:tcMar>
              <w:right w:w="142" w:type="dxa"/>
            </w:tcMar>
            <w:vAlign w:val="bottom"/>
          </w:tcPr>
          <w:p w:rsidR="00DF7014" w:rsidRDefault="00DF7014">
            <w:pPr>
              <w:jc w:val="right"/>
              <w:rPr>
                <w:rFonts w:cs="Arial"/>
                <w:sz w:val="16"/>
                <w:szCs w:val="16"/>
              </w:rPr>
            </w:pPr>
            <w:r>
              <w:rPr>
                <w:rFonts w:cs="Arial"/>
                <w:sz w:val="16"/>
                <w:szCs w:val="16"/>
              </w:rPr>
              <w:t>68,8</w:t>
            </w:r>
          </w:p>
        </w:tc>
        <w:tc>
          <w:tcPr>
            <w:tcW w:w="891" w:type="dxa"/>
            <w:tcBorders>
              <w:top w:val="nil"/>
              <w:left w:val="nil"/>
              <w:bottom w:val="nil"/>
              <w:right w:val="nil"/>
            </w:tcBorders>
            <w:tcMar>
              <w:right w:w="142" w:type="dxa"/>
            </w:tcMar>
            <w:vAlign w:val="bottom"/>
          </w:tcPr>
          <w:p w:rsidR="00DF7014" w:rsidRDefault="00DF7014">
            <w:pPr>
              <w:jc w:val="right"/>
              <w:rPr>
                <w:rFonts w:cs="Arial"/>
                <w:sz w:val="16"/>
                <w:szCs w:val="16"/>
              </w:rPr>
            </w:pPr>
            <w:r>
              <w:rPr>
                <w:rFonts w:cs="Arial"/>
                <w:sz w:val="16"/>
                <w:szCs w:val="16"/>
              </w:rPr>
              <w:t>68,4</w:t>
            </w:r>
          </w:p>
        </w:tc>
      </w:tr>
      <w:tr w:rsidR="00DF7014" w:rsidTr="001E59A5">
        <w:trPr>
          <w:trHeight w:val="255"/>
        </w:trPr>
        <w:tc>
          <w:tcPr>
            <w:tcW w:w="3402" w:type="dxa"/>
            <w:tcBorders>
              <w:top w:val="nil"/>
              <w:left w:val="nil"/>
              <w:bottom w:val="nil"/>
              <w:right w:val="single" w:sz="4" w:space="0" w:color="auto"/>
            </w:tcBorders>
            <w:noWrap/>
            <w:vAlign w:val="bottom"/>
          </w:tcPr>
          <w:p w:rsidR="00DF7014" w:rsidRDefault="00DF7014" w:rsidP="001C2AEE">
            <w:pPr>
              <w:rPr>
                <w:rFonts w:eastAsia="Arial Unicode MS" w:cs="Arial"/>
                <w:sz w:val="16"/>
                <w:szCs w:val="16"/>
              </w:rPr>
            </w:pPr>
            <w:r>
              <w:rPr>
                <w:rFonts w:cs="Arial"/>
                <w:sz w:val="16"/>
                <w:szCs w:val="16"/>
              </w:rPr>
              <w:t xml:space="preserve">  z nich ze zdravotních důvodů (%)</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6,6</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8,2</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8,7</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10,3</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11,6</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14,2</w:t>
            </w:r>
          </w:p>
        </w:tc>
        <w:tc>
          <w:tcPr>
            <w:tcW w:w="891" w:type="dxa"/>
            <w:tcBorders>
              <w:top w:val="nil"/>
              <w:left w:val="nil"/>
              <w:bottom w:val="nil"/>
              <w:right w:val="nil"/>
            </w:tcBorders>
            <w:noWrap/>
            <w:tcMar>
              <w:right w:w="142" w:type="dxa"/>
            </w:tcMar>
            <w:vAlign w:val="bottom"/>
          </w:tcPr>
          <w:p w:rsidR="00DF7014" w:rsidRDefault="00DF7014">
            <w:pPr>
              <w:jc w:val="right"/>
              <w:rPr>
                <w:rFonts w:cs="Arial"/>
                <w:sz w:val="16"/>
                <w:szCs w:val="16"/>
              </w:rPr>
            </w:pPr>
            <w:r>
              <w:rPr>
                <w:rFonts w:cs="Arial"/>
                <w:sz w:val="16"/>
                <w:szCs w:val="16"/>
              </w:rPr>
              <w:t>15,3</w:t>
            </w:r>
          </w:p>
        </w:tc>
      </w:tr>
      <w:tr w:rsidR="00090D7D" w:rsidTr="001E59A5">
        <w:trPr>
          <w:trHeight w:val="255"/>
        </w:trPr>
        <w:tc>
          <w:tcPr>
            <w:tcW w:w="3402" w:type="dxa"/>
            <w:tcBorders>
              <w:top w:val="nil"/>
              <w:left w:val="nil"/>
              <w:bottom w:val="single" w:sz="4" w:space="0" w:color="auto"/>
              <w:right w:val="single" w:sz="4" w:space="0" w:color="auto"/>
            </w:tcBorders>
            <w:noWrap/>
            <w:vAlign w:val="bottom"/>
          </w:tcPr>
          <w:p w:rsidR="00090D7D" w:rsidRDefault="00090D7D" w:rsidP="001C2AEE">
            <w:pPr>
              <w:rPr>
                <w:rFonts w:cs="Arial"/>
                <w:sz w:val="16"/>
                <w:szCs w:val="16"/>
              </w:rPr>
            </w:pPr>
            <w:r>
              <w:rPr>
                <w:rFonts w:cs="Arial"/>
                <w:sz w:val="16"/>
                <w:szCs w:val="16"/>
              </w:rPr>
              <w:t xml:space="preserve">Podíl potratů cizinek na </w:t>
            </w:r>
            <w:proofErr w:type="spellStart"/>
            <w:r>
              <w:rPr>
                <w:rFonts w:cs="Arial"/>
                <w:sz w:val="16"/>
                <w:szCs w:val="16"/>
              </w:rPr>
              <w:t>celk</w:t>
            </w:r>
            <w:proofErr w:type="spellEnd"/>
            <w:r>
              <w:rPr>
                <w:rFonts w:cs="Arial"/>
                <w:sz w:val="16"/>
                <w:szCs w:val="16"/>
              </w:rPr>
              <w:t>. počtu potratů (%)</w:t>
            </w:r>
          </w:p>
        </w:tc>
        <w:tc>
          <w:tcPr>
            <w:tcW w:w="891" w:type="dxa"/>
            <w:tcBorders>
              <w:top w:val="nil"/>
              <w:left w:val="nil"/>
              <w:bottom w:val="single" w:sz="4" w:space="0" w:color="auto"/>
              <w:right w:val="nil"/>
            </w:tcBorders>
            <w:noWrap/>
            <w:tcMar>
              <w:right w:w="142" w:type="dxa"/>
            </w:tcMar>
            <w:vAlign w:val="bottom"/>
          </w:tcPr>
          <w:p w:rsidR="00090D7D" w:rsidRDefault="00090D7D">
            <w:pPr>
              <w:jc w:val="right"/>
              <w:rPr>
                <w:rFonts w:cs="Arial"/>
                <w:sz w:val="16"/>
                <w:szCs w:val="16"/>
              </w:rPr>
            </w:pPr>
            <w:r>
              <w:rPr>
                <w:rFonts w:cs="Arial"/>
                <w:sz w:val="16"/>
                <w:szCs w:val="16"/>
              </w:rPr>
              <w:t>5,5</w:t>
            </w:r>
          </w:p>
        </w:tc>
        <w:tc>
          <w:tcPr>
            <w:tcW w:w="891" w:type="dxa"/>
            <w:tcBorders>
              <w:top w:val="nil"/>
              <w:left w:val="nil"/>
              <w:bottom w:val="single" w:sz="4" w:space="0" w:color="auto"/>
              <w:right w:val="nil"/>
            </w:tcBorders>
            <w:noWrap/>
            <w:tcMar>
              <w:right w:w="142" w:type="dxa"/>
            </w:tcMar>
            <w:vAlign w:val="bottom"/>
          </w:tcPr>
          <w:p w:rsidR="00090D7D" w:rsidRDefault="00DF7014">
            <w:pPr>
              <w:jc w:val="right"/>
              <w:rPr>
                <w:rFonts w:cs="Arial"/>
                <w:sz w:val="16"/>
                <w:szCs w:val="16"/>
              </w:rPr>
            </w:pPr>
            <w:r>
              <w:rPr>
                <w:rFonts w:cs="Arial"/>
                <w:sz w:val="16"/>
                <w:szCs w:val="16"/>
              </w:rPr>
              <w:t>7</w:t>
            </w:r>
            <w:r w:rsidR="00090D7D">
              <w:rPr>
                <w:rFonts w:cs="Arial"/>
                <w:sz w:val="16"/>
                <w:szCs w:val="16"/>
              </w:rPr>
              <w:t>,5</w:t>
            </w:r>
          </w:p>
        </w:tc>
        <w:tc>
          <w:tcPr>
            <w:tcW w:w="891" w:type="dxa"/>
            <w:tcBorders>
              <w:top w:val="nil"/>
              <w:left w:val="nil"/>
              <w:bottom w:val="single" w:sz="4" w:space="0" w:color="auto"/>
              <w:right w:val="nil"/>
            </w:tcBorders>
            <w:noWrap/>
            <w:tcMar>
              <w:right w:w="142" w:type="dxa"/>
            </w:tcMar>
            <w:vAlign w:val="bottom"/>
          </w:tcPr>
          <w:p w:rsidR="00090D7D" w:rsidRDefault="00090D7D">
            <w:pPr>
              <w:jc w:val="right"/>
              <w:rPr>
                <w:rFonts w:cs="Arial"/>
                <w:sz w:val="16"/>
                <w:szCs w:val="16"/>
              </w:rPr>
            </w:pPr>
            <w:r>
              <w:rPr>
                <w:rFonts w:cs="Arial"/>
                <w:sz w:val="16"/>
                <w:szCs w:val="16"/>
              </w:rPr>
              <w:t>6,8</w:t>
            </w:r>
          </w:p>
        </w:tc>
        <w:tc>
          <w:tcPr>
            <w:tcW w:w="891" w:type="dxa"/>
            <w:tcBorders>
              <w:top w:val="nil"/>
              <w:left w:val="nil"/>
              <w:bottom w:val="single" w:sz="4" w:space="0" w:color="auto"/>
              <w:right w:val="nil"/>
            </w:tcBorders>
            <w:noWrap/>
            <w:tcMar>
              <w:right w:w="142" w:type="dxa"/>
            </w:tcMar>
            <w:vAlign w:val="bottom"/>
          </w:tcPr>
          <w:p w:rsidR="00090D7D" w:rsidRDefault="00090D7D">
            <w:pPr>
              <w:jc w:val="right"/>
              <w:rPr>
                <w:rFonts w:cs="Arial"/>
                <w:sz w:val="16"/>
                <w:szCs w:val="16"/>
              </w:rPr>
            </w:pPr>
            <w:r>
              <w:rPr>
                <w:rFonts w:cs="Arial"/>
                <w:sz w:val="16"/>
                <w:szCs w:val="16"/>
              </w:rPr>
              <w:t>6,6</w:t>
            </w:r>
          </w:p>
        </w:tc>
        <w:tc>
          <w:tcPr>
            <w:tcW w:w="891" w:type="dxa"/>
            <w:tcBorders>
              <w:top w:val="nil"/>
              <w:left w:val="nil"/>
              <w:bottom w:val="single" w:sz="4" w:space="0" w:color="auto"/>
              <w:right w:val="nil"/>
            </w:tcBorders>
            <w:noWrap/>
            <w:tcMar>
              <w:right w:w="142" w:type="dxa"/>
            </w:tcMar>
            <w:vAlign w:val="bottom"/>
          </w:tcPr>
          <w:p w:rsidR="00090D7D" w:rsidRDefault="00090D7D">
            <w:pPr>
              <w:jc w:val="right"/>
              <w:rPr>
                <w:rFonts w:cs="Arial"/>
                <w:sz w:val="16"/>
                <w:szCs w:val="16"/>
              </w:rPr>
            </w:pPr>
            <w:r>
              <w:rPr>
                <w:rFonts w:cs="Arial"/>
                <w:sz w:val="16"/>
                <w:szCs w:val="16"/>
              </w:rPr>
              <w:t>6,1</w:t>
            </w:r>
          </w:p>
        </w:tc>
        <w:tc>
          <w:tcPr>
            <w:tcW w:w="891" w:type="dxa"/>
            <w:tcBorders>
              <w:top w:val="nil"/>
              <w:left w:val="nil"/>
              <w:bottom w:val="single" w:sz="4" w:space="0" w:color="auto"/>
              <w:right w:val="nil"/>
            </w:tcBorders>
            <w:noWrap/>
            <w:tcMar>
              <w:right w:w="142" w:type="dxa"/>
            </w:tcMar>
            <w:vAlign w:val="bottom"/>
          </w:tcPr>
          <w:p w:rsidR="00090D7D" w:rsidRDefault="00090D7D">
            <w:pPr>
              <w:jc w:val="right"/>
              <w:rPr>
                <w:rFonts w:cs="Arial"/>
                <w:sz w:val="16"/>
                <w:szCs w:val="16"/>
              </w:rPr>
            </w:pPr>
            <w:r>
              <w:rPr>
                <w:rFonts w:cs="Arial"/>
                <w:sz w:val="16"/>
                <w:szCs w:val="16"/>
              </w:rPr>
              <w:t>5,8</w:t>
            </w:r>
          </w:p>
        </w:tc>
        <w:tc>
          <w:tcPr>
            <w:tcW w:w="891" w:type="dxa"/>
            <w:tcBorders>
              <w:top w:val="nil"/>
              <w:left w:val="nil"/>
              <w:bottom w:val="single" w:sz="4" w:space="0" w:color="auto"/>
              <w:right w:val="nil"/>
            </w:tcBorders>
            <w:noWrap/>
            <w:tcMar>
              <w:right w:w="142" w:type="dxa"/>
            </w:tcMar>
            <w:vAlign w:val="bottom"/>
          </w:tcPr>
          <w:p w:rsidR="00090D7D" w:rsidRDefault="00090D7D">
            <w:pPr>
              <w:jc w:val="right"/>
              <w:rPr>
                <w:rFonts w:cs="Arial"/>
                <w:sz w:val="16"/>
                <w:szCs w:val="16"/>
              </w:rPr>
            </w:pPr>
            <w:r>
              <w:rPr>
                <w:rFonts w:cs="Arial"/>
                <w:sz w:val="16"/>
                <w:szCs w:val="16"/>
              </w:rPr>
              <w:t>5,3</w:t>
            </w:r>
          </w:p>
        </w:tc>
      </w:tr>
    </w:tbl>
    <w:p w:rsidR="00D83908" w:rsidRDefault="00D83908" w:rsidP="00D83908">
      <w:pPr>
        <w:spacing w:after="60"/>
      </w:pPr>
    </w:p>
    <w:sectPr w:rsidR="00D83908" w:rsidSect="00515181">
      <w:headerReference w:type="even" r:id="rId11"/>
      <w:headerReference w:type="default" r:id="rId12"/>
      <w:footerReference w:type="even" r:id="rId13"/>
      <w:footerReference w:type="default" r:id="rId14"/>
      <w:footnotePr>
        <w:numStart w:val="10"/>
      </w:footnotePr>
      <w:type w:val="continuous"/>
      <w:pgSz w:w="11906" w:h="16838"/>
      <w:pgMar w:top="1134" w:right="1134" w:bottom="1134" w:left="1134" w:header="680" w:footer="680" w:gutter="0"/>
      <w:pgNumType w:start="3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24D" w:rsidRDefault="00CD424D">
      <w:r>
        <w:separator/>
      </w:r>
    </w:p>
  </w:endnote>
  <w:endnote w:type="continuationSeparator" w:id="0">
    <w:p w:rsidR="00CD424D" w:rsidRDefault="00CD4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81" w:rsidRDefault="00515181" w:rsidP="00515181">
    <w:pPr>
      <w:pStyle w:val="Zpat"/>
      <w:tabs>
        <w:tab w:val="clear" w:pos="4536"/>
        <w:tab w:val="clear" w:pos="9072"/>
        <w:tab w:val="center" w:pos="4819"/>
        <w:tab w:val="right" w:pos="9638"/>
      </w:tabs>
      <w:ind w:right="360"/>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41" type="#_x0000_t75" style="position:absolute;left:0;text-align:left;margin-left:444.35pt;margin-top:-3.95pt;width:38.05pt;height:17.9pt;z-index:1;visibility:visible">
          <v:imagedata r:id="rId1" o:title=""/>
        </v:shape>
      </w:pict>
    </w:r>
    <w:r w:rsidRPr="00515181">
      <w:rPr>
        <w:sz w:val="16"/>
        <w:szCs w:val="16"/>
      </w:rPr>
      <w:fldChar w:fldCharType="begin"/>
    </w:r>
    <w:r w:rsidRPr="00515181">
      <w:rPr>
        <w:sz w:val="16"/>
        <w:szCs w:val="16"/>
      </w:rPr>
      <w:instrText xml:space="preserve"> PAGE   \* MERGEFORMAT </w:instrText>
    </w:r>
    <w:r w:rsidRPr="00515181">
      <w:rPr>
        <w:sz w:val="16"/>
        <w:szCs w:val="16"/>
      </w:rPr>
      <w:fldChar w:fldCharType="separate"/>
    </w:r>
    <w:r w:rsidR="00C17A4C">
      <w:rPr>
        <w:noProof/>
        <w:sz w:val="16"/>
        <w:szCs w:val="16"/>
      </w:rPr>
      <w:t>32</w:t>
    </w:r>
    <w:r w:rsidRPr="00515181">
      <w:rPr>
        <w:sz w:val="16"/>
        <w:szCs w:val="16"/>
      </w:rPr>
      <w:fldChar w:fldCharType="end"/>
    </w:r>
    <w:r w:rsidRPr="00515181">
      <w:rPr>
        <w:sz w:val="16"/>
        <w:szCs w:val="16"/>
      </w:rPr>
      <w:tab/>
      <w:t>2014</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81" w:rsidRDefault="00515181" w:rsidP="00515181">
    <w:pPr>
      <w:pStyle w:val="Zpat"/>
      <w:tabs>
        <w:tab w:val="clear" w:pos="4536"/>
        <w:tab w:val="clear" w:pos="9072"/>
        <w:tab w:val="center" w:pos="4819"/>
        <w:tab w:val="right" w:pos="9638"/>
      </w:tabs>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42" type="#_x0000_t75" style="position:absolute;left:0;text-align:left;margin-left:.55pt;margin-top:-7.95pt;width:39.25pt;height:20.55pt;z-index:2;visibility:visible">
          <v:imagedata r:id="rId1" o:title=""/>
        </v:shape>
      </w:pict>
    </w:r>
    <w:r>
      <w:rPr>
        <w:sz w:val="16"/>
        <w:szCs w:val="16"/>
      </w:rPr>
      <w:tab/>
      <w:t>2014</w:t>
    </w:r>
    <w:r w:rsidRPr="00515181">
      <w:rPr>
        <w:sz w:val="16"/>
        <w:szCs w:val="16"/>
      </w:rPr>
      <w:tab/>
    </w:r>
    <w:r w:rsidRPr="00515181">
      <w:rPr>
        <w:sz w:val="16"/>
        <w:szCs w:val="16"/>
      </w:rPr>
      <w:fldChar w:fldCharType="begin"/>
    </w:r>
    <w:r w:rsidRPr="00515181">
      <w:rPr>
        <w:sz w:val="16"/>
        <w:szCs w:val="16"/>
      </w:rPr>
      <w:instrText xml:space="preserve"> PAGE   \* MERGEFORMAT </w:instrText>
    </w:r>
    <w:r w:rsidRPr="00515181">
      <w:rPr>
        <w:sz w:val="16"/>
        <w:szCs w:val="16"/>
      </w:rPr>
      <w:fldChar w:fldCharType="separate"/>
    </w:r>
    <w:r w:rsidR="004D109E">
      <w:rPr>
        <w:noProof/>
        <w:sz w:val="16"/>
        <w:szCs w:val="16"/>
      </w:rPr>
      <w:t>33</w:t>
    </w:r>
    <w:r w:rsidRPr="00515181">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24D" w:rsidRDefault="00CD424D">
      <w:r>
        <w:separator/>
      </w:r>
    </w:p>
  </w:footnote>
  <w:footnote w:type="continuationSeparator" w:id="0">
    <w:p w:rsidR="00CD424D" w:rsidRDefault="00CD424D">
      <w:r>
        <w:continuationSeparator/>
      </w:r>
    </w:p>
  </w:footnote>
  <w:footnote w:id="1">
    <w:p w:rsidR="00515181" w:rsidRDefault="00515181" w:rsidP="00DC0E64">
      <w:pPr>
        <w:pStyle w:val="Textpoznpodarou"/>
        <w:jc w:val="left"/>
      </w:pPr>
      <w:r>
        <w:rPr>
          <w:rStyle w:val="Znakapoznpodarou"/>
        </w:rPr>
        <w:footnoteRef/>
      </w:r>
      <w:r>
        <w:t xml:space="preserve"> </w:t>
      </w:r>
      <w:r w:rsidRPr="002200DD">
        <w:t>Údaje o potratech poskytuje Českému statistickému úřadu Ústav zdravotnických informací a statistiky České republiky (ÚZIS ČR).</w:t>
      </w:r>
    </w:p>
  </w:footnote>
  <w:footnote w:id="2">
    <w:p w:rsidR="00515181" w:rsidRDefault="00515181">
      <w:pPr>
        <w:pStyle w:val="Textpoznpodarou"/>
      </w:pPr>
      <w:r>
        <w:rPr>
          <w:rStyle w:val="Znakapoznpodarou"/>
        </w:rPr>
        <w:footnoteRef/>
      </w:r>
      <w:r>
        <w:t xml:space="preserve"> Dále jsou v textu používány i synonymní výrazy UPT, inte</w:t>
      </w:r>
      <w:r w:rsidR="00560B69">
        <w:t>rrupce nebo indukované potraty.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81" w:rsidRPr="00515181" w:rsidRDefault="00515181">
    <w:pPr>
      <w:pStyle w:val="Zhlav"/>
      <w:rPr>
        <w:sz w:val="16"/>
        <w:szCs w:val="16"/>
      </w:rPr>
    </w:pPr>
    <w:r w:rsidRPr="00515181">
      <w:rPr>
        <w:sz w:val="16"/>
        <w:szCs w:val="16"/>
      </w:rPr>
      <w:t>Vývoj obyvatelstva České republiky</w:t>
    </w:r>
    <w:r w:rsidR="00A60F97">
      <w:rPr>
        <w:sz w:val="16"/>
        <w:szCs w:val="16"/>
      </w:rPr>
      <w:t>, Potratovost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81" w:rsidRPr="00515181" w:rsidRDefault="00515181">
    <w:pPr>
      <w:pStyle w:val="Zhlav"/>
      <w:rPr>
        <w:sz w:val="16"/>
        <w:szCs w:val="16"/>
      </w:rPr>
    </w:pPr>
    <w:r w:rsidRPr="00515181">
      <w:rPr>
        <w:sz w:val="16"/>
        <w:szCs w:val="16"/>
      </w:rPr>
      <w:t>Vývoj obyvatelstva České republiky</w:t>
    </w:r>
    <w:r w:rsidR="00A60F97">
      <w:rPr>
        <w:sz w:val="16"/>
        <w:szCs w:val="16"/>
      </w:rPr>
      <w:t>, Potratovost</w:t>
    </w:r>
  </w:p>
  <w:p w:rsidR="00515181" w:rsidRDefault="0051518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2CFA"/>
    <w:multiLevelType w:val="hybridMultilevel"/>
    <w:tmpl w:val="D5C818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6F0B7C"/>
    <w:multiLevelType w:val="hybridMultilevel"/>
    <w:tmpl w:val="99920BE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DB74E5F"/>
    <w:multiLevelType w:val="hybridMultilevel"/>
    <w:tmpl w:val="94DE9AF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611382C"/>
    <w:multiLevelType w:val="hybridMultilevel"/>
    <w:tmpl w:val="6106A4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06C0299"/>
    <w:multiLevelType w:val="hybridMultilevel"/>
    <w:tmpl w:val="B5E0FF56"/>
    <w:lvl w:ilvl="0" w:tplc="C02A922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E2349B7"/>
    <w:multiLevelType w:val="multilevel"/>
    <w:tmpl w:val="25E6577A"/>
    <w:lvl w:ilvl="0">
      <w:start w:val="5"/>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6"/>
  </w:num>
  <w:num w:numId="3">
    <w:abstractNumId w:val="4"/>
  </w:num>
  <w:num w:numId="4">
    <w:abstractNumId w:val="1"/>
  </w:num>
  <w:num w:numId="5">
    <w:abstractNumId w:val="3"/>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NotTrackMoves/>
  <w:defaultTabStop w:val="708"/>
  <w:hyphenationZone w:val="425"/>
  <w:evenAndOddHeaders/>
  <w:drawingGridHorizontalSpacing w:val="100"/>
  <w:displayHorizontalDrawingGridEvery w:val="2"/>
  <w:noPunctuationKerning/>
  <w:characterSpacingControl w:val="doNotCompress"/>
  <w:hdrShapeDefaults>
    <o:shapedefaults v:ext="edit" spidmax="11266"/>
    <o:shapelayout v:ext="edit">
      <o:idmap v:ext="edit" data="10"/>
    </o:shapelayout>
  </w:hdrShapeDefaults>
  <w:footnotePr>
    <w:numStart w:val="10"/>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9B3"/>
    <w:rsid w:val="00001296"/>
    <w:rsid w:val="00003570"/>
    <w:rsid w:val="00011284"/>
    <w:rsid w:val="00014D65"/>
    <w:rsid w:val="0001503D"/>
    <w:rsid w:val="00024EED"/>
    <w:rsid w:val="00025AF5"/>
    <w:rsid w:val="000275FD"/>
    <w:rsid w:val="00032B3E"/>
    <w:rsid w:val="00032C10"/>
    <w:rsid w:val="00032F70"/>
    <w:rsid w:val="0003409F"/>
    <w:rsid w:val="00034E6D"/>
    <w:rsid w:val="0003565B"/>
    <w:rsid w:val="00045832"/>
    <w:rsid w:val="00046F4B"/>
    <w:rsid w:val="00050079"/>
    <w:rsid w:val="00051265"/>
    <w:rsid w:val="00051559"/>
    <w:rsid w:val="0006187C"/>
    <w:rsid w:val="00064871"/>
    <w:rsid w:val="00071AE4"/>
    <w:rsid w:val="000755C8"/>
    <w:rsid w:val="000763C1"/>
    <w:rsid w:val="000767B6"/>
    <w:rsid w:val="00082E50"/>
    <w:rsid w:val="00084223"/>
    <w:rsid w:val="000872F2"/>
    <w:rsid w:val="00090D7D"/>
    <w:rsid w:val="000B2748"/>
    <w:rsid w:val="000B3832"/>
    <w:rsid w:val="000B737B"/>
    <w:rsid w:val="000D227A"/>
    <w:rsid w:val="000E047B"/>
    <w:rsid w:val="000E27F9"/>
    <w:rsid w:val="000E290F"/>
    <w:rsid w:val="000E3A9C"/>
    <w:rsid w:val="000F0737"/>
    <w:rsid w:val="00100746"/>
    <w:rsid w:val="001024A8"/>
    <w:rsid w:val="0010338A"/>
    <w:rsid w:val="00104E30"/>
    <w:rsid w:val="00113F43"/>
    <w:rsid w:val="00115C3A"/>
    <w:rsid w:val="00117248"/>
    <w:rsid w:val="001246C6"/>
    <w:rsid w:val="0013179E"/>
    <w:rsid w:val="001338AA"/>
    <w:rsid w:val="00142F0F"/>
    <w:rsid w:val="001479B0"/>
    <w:rsid w:val="00162A6C"/>
    <w:rsid w:val="00164CDE"/>
    <w:rsid w:val="00170B03"/>
    <w:rsid w:val="00171CE2"/>
    <w:rsid w:val="00182EAD"/>
    <w:rsid w:val="00186F15"/>
    <w:rsid w:val="0019799C"/>
    <w:rsid w:val="001A1BC0"/>
    <w:rsid w:val="001A30F3"/>
    <w:rsid w:val="001A50EA"/>
    <w:rsid w:val="001A54C7"/>
    <w:rsid w:val="001A6E37"/>
    <w:rsid w:val="001B780C"/>
    <w:rsid w:val="001C27F5"/>
    <w:rsid w:val="001C2AEE"/>
    <w:rsid w:val="001C4EFA"/>
    <w:rsid w:val="001C7AAF"/>
    <w:rsid w:val="001D03F6"/>
    <w:rsid w:val="001E0806"/>
    <w:rsid w:val="001E11E7"/>
    <w:rsid w:val="001E2C86"/>
    <w:rsid w:val="001E517D"/>
    <w:rsid w:val="001E59A5"/>
    <w:rsid w:val="001F0245"/>
    <w:rsid w:val="001F112E"/>
    <w:rsid w:val="002046A1"/>
    <w:rsid w:val="002059A1"/>
    <w:rsid w:val="00212CCE"/>
    <w:rsid w:val="00213D49"/>
    <w:rsid w:val="002141A1"/>
    <w:rsid w:val="0021579E"/>
    <w:rsid w:val="002165D7"/>
    <w:rsid w:val="002167C7"/>
    <w:rsid w:val="002200DD"/>
    <w:rsid w:val="00225A2F"/>
    <w:rsid w:val="00227215"/>
    <w:rsid w:val="002275E1"/>
    <w:rsid w:val="0023171E"/>
    <w:rsid w:val="00236338"/>
    <w:rsid w:val="002365F1"/>
    <w:rsid w:val="002404ED"/>
    <w:rsid w:val="00243120"/>
    <w:rsid w:val="0024467A"/>
    <w:rsid w:val="00244A8F"/>
    <w:rsid w:val="002463A0"/>
    <w:rsid w:val="00246E3C"/>
    <w:rsid w:val="00247A8E"/>
    <w:rsid w:val="00253C9E"/>
    <w:rsid w:val="00253E78"/>
    <w:rsid w:val="00257659"/>
    <w:rsid w:val="0026101D"/>
    <w:rsid w:val="002612D4"/>
    <w:rsid w:val="00265BDD"/>
    <w:rsid w:val="00270CF5"/>
    <w:rsid w:val="00270F38"/>
    <w:rsid w:val="0027231C"/>
    <w:rsid w:val="00272757"/>
    <w:rsid w:val="00273559"/>
    <w:rsid w:val="00273A5C"/>
    <w:rsid w:val="00273D49"/>
    <w:rsid w:val="00281DFC"/>
    <w:rsid w:val="002873AE"/>
    <w:rsid w:val="0029457A"/>
    <w:rsid w:val="002A0721"/>
    <w:rsid w:val="002B2334"/>
    <w:rsid w:val="002C105F"/>
    <w:rsid w:val="002D4DB0"/>
    <w:rsid w:val="002D6FF3"/>
    <w:rsid w:val="002F2566"/>
    <w:rsid w:val="00305D28"/>
    <w:rsid w:val="00306020"/>
    <w:rsid w:val="0030721B"/>
    <w:rsid w:val="00311907"/>
    <w:rsid w:val="0031305E"/>
    <w:rsid w:val="00316AC2"/>
    <w:rsid w:val="00321403"/>
    <w:rsid w:val="00325627"/>
    <w:rsid w:val="00326F1A"/>
    <w:rsid w:val="00327757"/>
    <w:rsid w:val="003416F4"/>
    <w:rsid w:val="00342393"/>
    <w:rsid w:val="00342A4C"/>
    <w:rsid w:val="00351243"/>
    <w:rsid w:val="00352B5F"/>
    <w:rsid w:val="00353B7C"/>
    <w:rsid w:val="003560D9"/>
    <w:rsid w:val="00357790"/>
    <w:rsid w:val="00362A98"/>
    <w:rsid w:val="00367D6C"/>
    <w:rsid w:val="00370F4D"/>
    <w:rsid w:val="00384097"/>
    <w:rsid w:val="00395FBB"/>
    <w:rsid w:val="003A235E"/>
    <w:rsid w:val="003A2B79"/>
    <w:rsid w:val="003B05D1"/>
    <w:rsid w:val="003C1C79"/>
    <w:rsid w:val="003C37C4"/>
    <w:rsid w:val="003C5296"/>
    <w:rsid w:val="003C6CAB"/>
    <w:rsid w:val="003C6CAC"/>
    <w:rsid w:val="003C7D3A"/>
    <w:rsid w:val="003D7B28"/>
    <w:rsid w:val="003E24B8"/>
    <w:rsid w:val="003E4F5B"/>
    <w:rsid w:val="003E5298"/>
    <w:rsid w:val="003F7436"/>
    <w:rsid w:val="003F7F8D"/>
    <w:rsid w:val="00402AC6"/>
    <w:rsid w:val="00406522"/>
    <w:rsid w:val="00406584"/>
    <w:rsid w:val="004224B7"/>
    <w:rsid w:val="00423323"/>
    <w:rsid w:val="004318B4"/>
    <w:rsid w:val="00431FF9"/>
    <w:rsid w:val="00433165"/>
    <w:rsid w:val="00433381"/>
    <w:rsid w:val="00435AEA"/>
    <w:rsid w:val="0043643E"/>
    <w:rsid w:val="00436B94"/>
    <w:rsid w:val="004444FE"/>
    <w:rsid w:val="00447528"/>
    <w:rsid w:val="00453EDC"/>
    <w:rsid w:val="004542CC"/>
    <w:rsid w:val="0045547A"/>
    <w:rsid w:val="0047282B"/>
    <w:rsid w:val="0048021A"/>
    <w:rsid w:val="004826A6"/>
    <w:rsid w:val="00486B21"/>
    <w:rsid w:val="0048760A"/>
    <w:rsid w:val="0049297D"/>
    <w:rsid w:val="00494AEC"/>
    <w:rsid w:val="00497B82"/>
    <w:rsid w:val="004A05E1"/>
    <w:rsid w:val="004B3810"/>
    <w:rsid w:val="004C2A3F"/>
    <w:rsid w:val="004C39D9"/>
    <w:rsid w:val="004C3B61"/>
    <w:rsid w:val="004C7DD9"/>
    <w:rsid w:val="004D109E"/>
    <w:rsid w:val="004D540E"/>
    <w:rsid w:val="004E3037"/>
    <w:rsid w:val="004E3CC1"/>
    <w:rsid w:val="004E7236"/>
    <w:rsid w:val="004F3A27"/>
    <w:rsid w:val="00503A09"/>
    <w:rsid w:val="00506FA3"/>
    <w:rsid w:val="0051492D"/>
    <w:rsid w:val="00515181"/>
    <w:rsid w:val="00517693"/>
    <w:rsid w:val="005176CE"/>
    <w:rsid w:val="00520CF2"/>
    <w:rsid w:val="00530E1D"/>
    <w:rsid w:val="005319FE"/>
    <w:rsid w:val="00532B64"/>
    <w:rsid w:val="005442DD"/>
    <w:rsid w:val="005539B5"/>
    <w:rsid w:val="00555C12"/>
    <w:rsid w:val="0055622E"/>
    <w:rsid w:val="00560B69"/>
    <w:rsid w:val="005655B3"/>
    <w:rsid w:val="00567977"/>
    <w:rsid w:val="0057625D"/>
    <w:rsid w:val="005807B8"/>
    <w:rsid w:val="005820A2"/>
    <w:rsid w:val="00583740"/>
    <w:rsid w:val="00584DBB"/>
    <w:rsid w:val="005868E4"/>
    <w:rsid w:val="00587D34"/>
    <w:rsid w:val="005917DA"/>
    <w:rsid w:val="00594FDE"/>
    <w:rsid w:val="005962FB"/>
    <w:rsid w:val="005A3420"/>
    <w:rsid w:val="005A3A73"/>
    <w:rsid w:val="005A44B7"/>
    <w:rsid w:val="005A75C8"/>
    <w:rsid w:val="005B34AF"/>
    <w:rsid w:val="005B59BB"/>
    <w:rsid w:val="005C013F"/>
    <w:rsid w:val="005C0856"/>
    <w:rsid w:val="005C3971"/>
    <w:rsid w:val="005C7520"/>
    <w:rsid w:val="005E13A3"/>
    <w:rsid w:val="005E4336"/>
    <w:rsid w:val="005E55B7"/>
    <w:rsid w:val="005E78EB"/>
    <w:rsid w:val="005F4812"/>
    <w:rsid w:val="005F6470"/>
    <w:rsid w:val="005F7CFA"/>
    <w:rsid w:val="006035E8"/>
    <w:rsid w:val="00621919"/>
    <w:rsid w:val="00624302"/>
    <w:rsid w:val="00624715"/>
    <w:rsid w:val="0062703A"/>
    <w:rsid w:val="00631A17"/>
    <w:rsid w:val="00631EAD"/>
    <w:rsid w:val="00633617"/>
    <w:rsid w:val="00647EB0"/>
    <w:rsid w:val="0065078A"/>
    <w:rsid w:val="00650C6D"/>
    <w:rsid w:val="00651AC7"/>
    <w:rsid w:val="006575A5"/>
    <w:rsid w:val="0066530F"/>
    <w:rsid w:val="00672A4C"/>
    <w:rsid w:val="00680030"/>
    <w:rsid w:val="00691A48"/>
    <w:rsid w:val="00693946"/>
    <w:rsid w:val="0069459B"/>
    <w:rsid w:val="00696FCD"/>
    <w:rsid w:val="0069794F"/>
    <w:rsid w:val="006A0491"/>
    <w:rsid w:val="006A2114"/>
    <w:rsid w:val="006A5E90"/>
    <w:rsid w:val="006A6620"/>
    <w:rsid w:val="006B6C5F"/>
    <w:rsid w:val="006C08DA"/>
    <w:rsid w:val="006C20DC"/>
    <w:rsid w:val="006C5BDD"/>
    <w:rsid w:val="006C6FB0"/>
    <w:rsid w:val="006C7928"/>
    <w:rsid w:val="006D5F1B"/>
    <w:rsid w:val="006F29B3"/>
    <w:rsid w:val="006F671C"/>
    <w:rsid w:val="00701FC8"/>
    <w:rsid w:val="00705C0C"/>
    <w:rsid w:val="007175BB"/>
    <w:rsid w:val="00720BA2"/>
    <w:rsid w:val="0072179E"/>
    <w:rsid w:val="00724DCE"/>
    <w:rsid w:val="0072558E"/>
    <w:rsid w:val="00736537"/>
    <w:rsid w:val="00740F04"/>
    <w:rsid w:val="0074303B"/>
    <w:rsid w:val="007457F8"/>
    <w:rsid w:val="00745C8E"/>
    <w:rsid w:val="00751567"/>
    <w:rsid w:val="0076148E"/>
    <w:rsid w:val="00764BF1"/>
    <w:rsid w:val="00765D78"/>
    <w:rsid w:val="00766B3C"/>
    <w:rsid w:val="007675AD"/>
    <w:rsid w:val="00767676"/>
    <w:rsid w:val="007730D4"/>
    <w:rsid w:val="00773CA9"/>
    <w:rsid w:val="00773F83"/>
    <w:rsid w:val="00777EDC"/>
    <w:rsid w:val="00790DAC"/>
    <w:rsid w:val="00794AD0"/>
    <w:rsid w:val="007B00C4"/>
    <w:rsid w:val="007B22BD"/>
    <w:rsid w:val="007B6297"/>
    <w:rsid w:val="007B78B6"/>
    <w:rsid w:val="007D29AF"/>
    <w:rsid w:val="007D4E44"/>
    <w:rsid w:val="007D650D"/>
    <w:rsid w:val="007D7A9C"/>
    <w:rsid w:val="007E0154"/>
    <w:rsid w:val="007E0C68"/>
    <w:rsid w:val="007E2A45"/>
    <w:rsid w:val="007F0D68"/>
    <w:rsid w:val="007F756A"/>
    <w:rsid w:val="008111FE"/>
    <w:rsid w:val="0081154E"/>
    <w:rsid w:val="0081220C"/>
    <w:rsid w:val="00813F4B"/>
    <w:rsid w:val="00823743"/>
    <w:rsid w:val="00827DBB"/>
    <w:rsid w:val="00832043"/>
    <w:rsid w:val="008329D1"/>
    <w:rsid w:val="008422B9"/>
    <w:rsid w:val="00842FC5"/>
    <w:rsid w:val="00846396"/>
    <w:rsid w:val="00853C1F"/>
    <w:rsid w:val="00853FEC"/>
    <w:rsid w:val="00854FC4"/>
    <w:rsid w:val="008568F9"/>
    <w:rsid w:val="008578C4"/>
    <w:rsid w:val="00861D88"/>
    <w:rsid w:val="00873BCB"/>
    <w:rsid w:val="008740AE"/>
    <w:rsid w:val="00874E35"/>
    <w:rsid w:val="00876021"/>
    <w:rsid w:val="00880150"/>
    <w:rsid w:val="00883227"/>
    <w:rsid w:val="00886958"/>
    <w:rsid w:val="00891114"/>
    <w:rsid w:val="00891F63"/>
    <w:rsid w:val="00894C6B"/>
    <w:rsid w:val="008957ED"/>
    <w:rsid w:val="008A074F"/>
    <w:rsid w:val="008B4A2E"/>
    <w:rsid w:val="008C348E"/>
    <w:rsid w:val="008C3A16"/>
    <w:rsid w:val="008C6151"/>
    <w:rsid w:val="008D4679"/>
    <w:rsid w:val="008F244C"/>
    <w:rsid w:val="008F7550"/>
    <w:rsid w:val="00903A9C"/>
    <w:rsid w:val="00905821"/>
    <w:rsid w:val="00905B05"/>
    <w:rsid w:val="009171FF"/>
    <w:rsid w:val="009236C8"/>
    <w:rsid w:val="00925127"/>
    <w:rsid w:val="00931580"/>
    <w:rsid w:val="00937F9E"/>
    <w:rsid w:val="00946AA2"/>
    <w:rsid w:val="00946F0D"/>
    <w:rsid w:val="009536C0"/>
    <w:rsid w:val="0095600F"/>
    <w:rsid w:val="009648AD"/>
    <w:rsid w:val="00965CA0"/>
    <w:rsid w:val="009701D3"/>
    <w:rsid w:val="00971C12"/>
    <w:rsid w:val="00971C90"/>
    <w:rsid w:val="00974482"/>
    <w:rsid w:val="00974EB9"/>
    <w:rsid w:val="0097670E"/>
    <w:rsid w:val="00981851"/>
    <w:rsid w:val="00982086"/>
    <w:rsid w:val="0098634C"/>
    <w:rsid w:val="009866D2"/>
    <w:rsid w:val="00987128"/>
    <w:rsid w:val="00993CEC"/>
    <w:rsid w:val="009A7481"/>
    <w:rsid w:val="009B1226"/>
    <w:rsid w:val="009B4CE8"/>
    <w:rsid w:val="009B7D3A"/>
    <w:rsid w:val="009C058F"/>
    <w:rsid w:val="009C57C4"/>
    <w:rsid w:val="009D1229"/>
    <w:rsid w:val="009D1BB0"/>
    <w:rsid w:val="009D2664"/>
    <w:rsid w:val="009D3DD5"/>
    <w:rsid w:val="009E45C6"/>
    <w:rsid w:val="009E5738"/>
    <w:rsid w:val="009E5C0C"/>
    <w:rsid w:val="009E6200"/>
    <w:rsid w:val="009E6CD6"/>
    <w:rsid w:val="009F6E51"/>
    <w:rsid w:val="00A0059D"/>
    <w:rsid w:val="00A02D91"/>
    <w:rsid w:val="00A1310C"/>
    <w:rsid w:val="00A14EA6"/>
    <w:rsid w:val="00A2431A"/>
    <w:rsid w:val="00A36347"/>
    <w:rsid w:val="00A36D18"/>
    <w:rsid w:val="00A40395"/>
    <w:rsid w:val="00A41A00"/>
    <w:rsid w:val="00A50311"/>
    <w:rsid w:val="00A53C7E"/>
    <w:rsid w:val="00A559CF"/>
    <w:rsid w:val="00A60F97"/>
    <w:rsid w:val="00A67834"/>
    <w:rsid w:val="00A75B9F"/>
    <w:rsid w:val="00A76872"/>
    <w:rsid w:val="00A76BAD"/>
    <w:rsid w:val="00A76C00"/>
    <w:rsid w:val="00A81EB0"/>
    <w:rsid w:val="00A91664"/>
    <w:rsid w:val="00A95A9D"/>
    <w:rsid w:val="00AA5F19"/>
    <w:rsid w:val="00AA5F84"/>
    <w:rsid w:val="00AA7B84"/>
    <w:rsid w:val="00AB4DBE"/>
    <w:rsid w:val="00AC25F0"/>
    <w:rsid w:val="00AC29BA"/>
    <w:rsid w:val="00AC4A97"/>
    <w:rsid w:val="00AC6254"/>
    <w:rsid w:val="00AD20C5"/>
    <w:rsid w:val="00AD2487"/>
    <w:rsid w:val="00AD44D8"/>
    <w:rsid w:val="00AD71F8"/>
    <w:rsid w:val="00AE078D"/>
    <w:rsid w:val="00AE0D95"/>
    <w:rsid w:val="00AE1C56"/>
    <w:rsid w:val="00AE2B0D"/>
    <w:rsid w:val="00B135A2"/>
    <w:rsid w:val="00B1631F"/>
    <w:rsid w:val="00B219EA"/>
    <w:rsid w:val="00B23FA5"/>
    <w:rsid w:val="00B247D4"/>
    <w:rsid w:val="00B26081"/>
    <w:rsid w:val="00B26823"/>
    <w:rsid w:val="00B31DEC"/>
    <w:rsid w:val="00B32D2E"/>
    <w:rsid w:val="00B33FF3"/>
    <w:rsid w:val="00B50420"/>
    <w:rsid w:val="00B53EBB"/>
    <w:rsid w:val="00B541F7"/>
    <w:rsid w:val="00B56D92"/>
    <w:rsid w:val="00B6330D"/>
    <w:rsid w:val="00B6487D"/>
    <w:rsid w:val="00B656FB"/>
    <w:rsid w:val="00B67B7D"/>
    <w:rsid w:val="00B70319"/>
    <w:rsid w:val="00B80A97"/>
    <w:rsid w:val="00B8480F"/>
    <w:rsid w:val="00B875AE"/>
    <w:rsid w:val="00B90726"/>
    <w:rsid w:val="00B93A20"/>
    <w:rsid w:val="00BA0BD3"/>
    <w:rsid w:val="00BA3DC1"/>
    <w:rsid w:val="00BA53FA"/>
    <w:rsid w:val="00BA549E"/>
    <w:rsid w:val="00BA6266"/>
    <w:rsid w:val="00BB1E0B"/>
    <w:rsid w:val="00BB51AE"/>
    <w:rsid w:val="00BC6E46"/>
    <w:rsid w:val="00BD16E3"/>
    <w:rsid w:val="00BD701A"/>
    <w:rsid w:val="00BE04AC"/>
    <w:rsid w:val="00BE3588"/>
    <w:rsid w:val="00BE73BC"/>
    <w:rsid w:val="00BF0077"/>
    <w:rsid w:val="00BF41D7"/>
    <w:rsid w:val="00BF4F45"/>
    <w:rsid w:val="00BF7057"/>
    <w:rsid w:val="00C00ECF"/>
    <w:rsid w:val="00C01E1E"/>
    <w:rsid w:val="00C03DC5"/>
    <w:rsid w:val="00C048FA"/>
    <w:rsid w:val="00C06D20"/>
    <w:rsid w:val="00C17A4C"/>
    <w:rsid w:val="00C215DB"/>
    <w:rsid w:val="00C22510"/>
    <w:rsid w:val="00C351D5"/>
    <w:rsid w:val="00C35D7C"/>
    <w:rsid w:val="00C40494"/>
    <w:rsid w:val="00C44DC3"/>
    <w:rsid w:val="00C45E2F"/>
    <w:rsid w:val="00C461E9"/>
    <w:rsid w:val="00C51356"/>
    <w:rsid w:val="00C533E8"/>
    <w:rsid w:val="00C54AEA"/>
    <w:rsid w:val="00C54F37"/>
    <w:rsid w:val="00C56DFD"/>
    <w:rsid w:val="00C63662"/>
    <w:rsid w:val="00C63F2F"/>
    <w:rsid w:val="00C717DA"/>
    <w:rsid w:val="00C747CE"/>
    <w:rsid w:val="00C758BC"/>
    <w:rsid w:val="00C77D37"/>
    <w:rsid w:val="00C81BE9"/>
    <w:rsid w:val="00C84300"/>
    <w:rsid w:val="00C86C41"/>
    <w:rsid w:val="00C93E14"/>
    <w:rsid w:val="00C95682"/>
    <w:rsid w:val="00C979B8"/>
    <w:rsid w:val="00CA0937"/>
    <w:rsid w:val="00CA0E6F"/>
    <w:rsid w:val="00CA166A"/>
    <w:rsid w:val="00CA48DD"/>
    <w:rsid w:val="00CA692C"/>
    <w:rsid w:val="00CB3B60"/>
    <w:rsid w:val="00CC1369"/>
    <w:rsid w:val="00CC26A5"/>
    <w:rsid w:val="00CC32D5"/>
    <w:rsid w:val="00CD25F2"/>
    <w:rsid w:val="00CD424D"/>
    <w:rsid w:val="00CD6767"/>
    <w:rsid w:val="00CE12C5"/>
    <w:rsid w:val="00CF0F28"/>
    <w:rsid w:val="00CF1A58"/>
    <w:rsid w:val="00CF7D63"/>
    <w:rsid w:val="00D003C0"/>
    <w:rsid w:val="00D0725A"/>
    <w:rsid w:val="00D22C13"/>
    <w:rsid w:val="00D23484"/>
    <w:rsid w:val="00D265B1"/>
    <w:rsid w:val="00D53DDC"/>
    <w:rsid w:val="00D54568"/>
    <w:rsid w:val="00D5600B"/>
    <w:rsid w:val="00D62DDD"/>
    <w:rsid w:val="00D6553A"/>
    <w:rsid w:val="00D670B2"/>
    <w:rsid w:val="00D71BC1"/>
    <w:rsid w:val="00D75B19"/>
    <w:rsid w:val="00D83908"/>
    <w:rsid w:val="00D9033E"/>
    <w:rsid w:val="00D90FC0"/>
    <w:rsid w:val="00D91B61"/>
    <w:rsid w:val="00D97221"/>
    <w:rsid w:val="00D9770A"/>
    <w:rsid w:val="00DA1D1E"/>
    <w:rsid w:val="00DA28D3"/>
    <w:rsid w:val="00DA29B1"/>
    <w:rsid w:val="00DA2D6A"/>
    <w:rsid w:val="00DA3F40"/>
    <w:rsid w:val="00DA42EF"/>
    <w:rsid w:val="00DA6E0C"/>
    <w:rsid w:val="00DB09CA"/>
    <w:rsid w:val="00DB0ED9"/>
    <w:rsid w:val="00DB14E8"/>
    <w:rsid w:val="00DC0BF0"/>
    <w:rsid w:val="00DC0E64"/>
    <w:rsid w:val="00DC2ADF"/>
    <w:rsid w:val="00DC4009"/>
    <w:rsid w:val="00DC54C0"/>
    <w:rsid w:val="00DD32DA"/>
    <w:rsid w:val="00DD4130"/>
    <w:rsid w:val="00DE11F3"/>
    <w:rsid w:val="00DE24B7"/>
    <w:rsid w:val="00DE2BBA"/>
    <w:rsid w:val="00DF166F"/>
    <w:rsid w:val="00DF1796"/>
    <w:rsid w:val="00DF4B8A"/>
    <w:rsid w:val="00DF5DAF"/>
    <w:rsid w:val="00DF7014"/>
    <w:rsid w:val="00DF76E8"/>
    <w:rsid w:val="00E01AA8"/>
    <w:rsid w:val="00E04048"/>
    <w:rsid w:val="00E07D3C"/>
    <w:rsid w:val="00E139C6"/>
    <w:rsid w:val="00E13F06"/>
    <w:rsid w:val="00E21096"/>
    <w:rsid w:val="00E2236C"/>
    <w:rsid w:val="00E260B8"/>
    <w:rsid w:val="00E27B17"/>
    <w:rsid w:val="00E27CDD"/>
    <w:rsid w:val="00E43D60"/>
    <w:rsid w:val="00E50C52"/>
    <w:rsid w:val="00E52181"/>
    <w:rsid w:val="00E651A5"/>
    <w:rsid w:val="00E6559F"/>
    <w:rsid w:val="00E65CD9"/>
    <w:rsid w:val="00E65DA4"/>
    <w:rsid w:val="00E676FE"/>
    <w:rsid w:val="00E727F8"/>
    <w:rsid w:val="00E73528"/>
    <w:rsid w:val="00E75C12"/>
    <w:rsid w:val="00E7659B"/>
    <w:rsid w:val="00E80447"/>
    <w:rsid w:val="00E855AD"/>
    <w:rsid w:val="00E9189B"/>
    <w:rsid w:val="00E965BF"/>
    <w:rsid w:val="00EA0C34"/>
    <w:rsid w:val="00EA41A5"/>
    <w:rsid w:val="00EB2129"/>
    <w:rsid w:val="00EB22A7"/>
    <w:rsid w:val="00EC1189"/>
    <w:rsid w:val="00ED3179"/>
    <w:rsid w:val="00EE3046"/>
    <w:rsid w:val="00EF6503"/>
    <w:rsid w:val="00EF7076"/>
    <w:rsid w:val="00F00192"/>
    <w:rsid w:val="00F06867"/>
    <w:rsid w:val="00F101BB"/>
    <w:rsid w:val="00F12075"/>
    <w:rsid w:val="00F1645B"/>
    <w:rsid w:val="00F178F6"/>
    <w:rsid w:val="00F213DC"/>
    <w:rsid w:val="00F26AF7"/>
    <w:rsid w:val="00F2727D"/>
    <w:rsid w:val="00F36D1B"/>
    <w:rsid w:val="00F37FE5"/>
    <w:rsid w:val="00F51D6C"/>
    <w:rsid w:val="00F54793"/>
    <w:rsid w:val="00F56DAC"/>
    <w:rsid w:val="00F65103"/>
    <w:rsid w:val="00F65D5B"/>
    <w:rsid w:val="00F732A5"/>
    <w:rsid w:val="00F7373C"/>
    <w:rsid w:val="00F76AC7"/>
    <w:rsid w:val="00F84021"/>
    <w:rsid w:val="00F9484A"/>
    <w:rsid w:val="00F97057"/>
    <w:rsid w:val="00FA340D"/>
    <w:rsid w:val="00FA5070"/>
    <w:rsid w:val="00FB6BCD"/>
    <w:rsid w:val="00FB78B4"/>
    <w:rsid w:val="00FC160C"/>
    <w:rsid w:val="00FC347C"/>
    <w:rsid w:val="00FD0557"/>
    <w:rsid w:val="00FD1D9D"/>
    <w:rsid w:val="00FD1F9E"/>
    <w:rsid w:val="00FD2AAC"/>
    <w:rsid w:val="00FD3E41"/>
    <w:rsid w:val="00FD48A5"/>
    <w:rsid w:val="00FD5784"/>
    <w:rsid w:val="00FE6168"/>
    <w:rsid w:val="00FF57B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645B"/>
    <w:pPr>
      <w:jc w:val="both"/>
    </w:pPr>
    <w:rPr>
      <w:rFonts w:ascii="Arial" w:hAnsi="Arial"/>
      <w:szCs w:val="24"/>
    </w:rPr>
  </w:style>
  <w:style w:type="paragraph" w:styleId="Nadpis1">
    <w:name w:val="heading 1"/>
    <w:basedOn w:val="Normln"/>
    <w:next w:val="Normln"/>
    <w:qFormat/>
    <w:rsid w:val="00F1645B"/>
    <w:pPr>
      <w:keepNext/>
      <w:numPr>
        <w:numId w:val="7"/>
      </w:numPr>
      <w:spacing w:before="240" w:after="120"/>
      <w:jc w:val="left"/>
      <w:outlineLvl w:val="0"/>
    </w:pPr>
    <w:rPr>
      <w:rFonts w:cs="Arial"/>
      <w:b/>
      <w:bCs/>
      <w:kern w:val="32"/>
      <w:sz w:val="32"/>
      <w:szCs w:val="32"/>
    </w:rPr>
  </w:style>
  <w:style w:type="paragraph" w:styleId="Nadpis2">
    <w:name w:val="heading 2"/>
    <w:basedOn w:val="Normln"/>
    <w:next w:val="Normln"/>
    <w:qFormat/>
    <w:rsid w:val="00F1645B"/>
    <w:pPr>
      <w:keepNext/>
      <w:numPr>
        <w:ilvl w:val="1"/>
        <w:numId w:val="7"/>
      </w:numPr>
      <w:spacing w:before="240" w:after="280"/>
      <w:jc w:val="left"/>
      <w:outlineLvl w:val="1"/>
    </w:pPr>
    <w:rPr>
      <w:rFonts w:cs="Arial"/>
      <w:b/>
      <w:i/>
      <w:iCs/>
      <w:sz w:val="28"/>
      <w:szCs w:val="28"/>
    </w:rPr>
  </w:style>
  <w:style w:type="paragraph" w:styleId="Nadpis3">
    <w:name w:val="heading 3"/>
    <w:basedOn w:val="Normln"/>
    <w:next w:val="Normln"/>
    <w:qFormat/>
    <w:rsid w:val="00F1645B"/>
    <w:pPr>
      <w:keepNext/>
      <w:numPr>
        <w:ilvl w:val="2"/>
        <w:numId w:val="7"/>
      </w:numPr>
      <w:spacing w:before="240" w:after="60"/>
      <w:jc w:val="left"/>
      <w:outlineLvl w:val="2"/>
    </w:pPr>
    <w:rPr>
      <w:rFonts w:cs="Arial"/>
      <w:b/>
      <w:bCs/>
      <w:sz w:val="24"/>
      <w:szCs w:val="26"/>
    </w:rPr>
  </w:style>
  <w:style w:type="paragraph" w:styleId="Nadpis4">
    <w:name w:val="heading 4"/>
    <w:basedOn w:val="Normln"/>
    <w:next w:val="Normln"/>
    <w:qFormat/>
    <w:rsid w:val="00F1645B"/>
    <w:pPr>
      <w:keepNext/>
      <w:numPr>
        <w:ilvl w:val="3"/>
        <w:numId w:val="7"/>
      </w:numPr>
      <w:spacing w:before="240" w:after="60"/>
      <w:outlineLvl w:val="3"/>
    </w:pPr>
    <w:rPr>
      <w:rFonts w:ascii="Times New Roman" w:hAnsi="Times New Roman"/>
      <w:b/>
      <w:bCs/>
      <w:sz w:val="28"/>
      <w:szCs w:val="28"/>
    </w:rPr>
  </w:style>
  <w:style w:type="paragraph" w:styleId="Nadpis5">
    <w:name w:val="heading 5"/>
    <w:basedOn w:val="Normln"/>
    <w:next w:val="Normln"/>
    <w:qFormat/>
    <w:rsid w:val="00F1645B"/>
    <w:pPr>
      <w:numPr>
        <w:ilvl w:val="4"/>
        <w:numId w:val="7"/>
      </w:numPr>
      <w:spacing w:before="240" w:after="60"/>
      <w:outlineLvl w:val="4"/>
    </w:pPr>
    <w:rPr>
      <w:b/>
      <w:bCs/>
      <w:i/>
      <w:iCs/>
      <w:sz w:val="26"/>
      <w:szCs w:val="26"/>
    </w:rPr>
  </w:style>
  <w:style w:type="paragraph" w:styleId="Nadpis6">
    <w:name w:val="heading 6"/>
    <w:basedOn w:val="Normln"/>
    <w:next w:val="Normln"/>
    <w:qFormat/>
    <w:rsid w:val="00F1645B"/>
    <w:pPr>
      <w:numPr>
        <w:ilvl w:val="5"/>
        <w:numId w:val="7"/>
      </w:numPr>
      <w:spacing w:before="240" w:after="60"/>
      <w:outlineLvl w:val="5"/>
    </w:pPr>
    <w:rPr>
      <w:rFonts w:ascii="Times New Roman" w:hAnsi="Times New Roman"/>
      <w:b/>
      <w:bCs/>
      <w:sz w:val="22"/>
      <w:szCs w:val="22"/>
    </w:rPr>
  </w:style>
  <w:style w:type="paragraph" w:styleId="Nadpis7">
    <w:name w:val="heading 7"/>
    <w:basedOn w:val="Normln"/>
    <w:next w:val="Normln"/>
    <w:qFormat/>
    <w:rsid w:val="00F1645B"/>
    <w:pPr>
      <w:numPr>
        <w:ilvl w:val="6"/>
        <w:numId w:val="7"/>
      </w:numPr>
      <w:spacing w:before="240" w:after="60"/>
      <w:outlineLvl w:val="6"/>
    </w:pPr>
    <w:rPr>
      <w:rFonts w:ascii="Times New Roman" w:hAnsi="Times New Roman"/>
      <w:sz w:val="24"/>
    </w:rPr>
  </w:style>
  <w:style w:type="paragraph" w:styleId="Nadpis8">
    <w:name w:val="heading 8"/>
    <w:basedOn w:val="Normln"/>
    <w:next w:val="Normln"/>
    <w:qFormat/>
    <w:rsid w:val="00F1645B"/>
    <w:pPr>
      <w:numPr>
        <w:ilvl w:val="7"/>
        <w:numId w:val="7"/>
      </w:numPr>
      <w:spacing w:before="240" w:after="60"/>
      <w:outlineLvl w:val="7"/>
    </w:pPr>
    <w:rPr>
      <w:rFonts w:ascii="Times New Roman" w:hAnsi="Times New Roman"/>
      <w:i/>
      <w:iCs/>
      <w:sz w:val="24"/>
    </w:rPr>
  </w:style>
  <w:style w:type="paragraph" w:styleId="Nadpis9">
    <w:name w:val="heading 9"/>
    <w:basedOn w:val="Normln"/>
    <w:next w:val="Normln"/>
    <w:qFormat/>
    <w:rsid w:val="00F1645B"/>
    <w:pPr>
      <w:numPr>
        <w:ilvl w:val="8"/>
        <w:numId w:val="7"/>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1645B"/>
    <w:pPr>
      <w:spacing w:before="240" w:after="240"/>
      <w:jc w:val="center"/>
      <w:outlineLvl w:val="0"/>
    </w:pPr>
    <w:rPr>
      <w:rFonts w:cs="Arial"/>
      <w:b/>
      <w:bCs/>
      <w:kern w:val="28"/>
      <w:sz w:val="28"/>
      <w:szCs w:val="32"/>
    </w:rPr>
  </w:style>
  <w:style w:type="paragraph" w:styleId="Titulek">
    <w:name w:val="caption"/>
    <w:basedOn w:val="Normln"/>
    <w:next w:val="Normln"/>
    <w:qFormat/>
    <w:rsid w:val="00F1645B"/>
    <w:pPr>
      <w:spacing w:before="120" w:after="120"/>
    </w:pPr>
    <w:rPr>
      <w:b/>
      <w:bCs/>
      <w:szCs w:val="20"/>
    </w:rPr>
  </w:style>
  <w:style w:type="paragraph" w:styleId="Zpat">
    <w:name w:val="footer"/>
    <w:basedOn w:val="Normln"/>
    <w:semiHidden/>
    <w:rsid w:val="00F1645B"/>
    <w:pPr>
      <w:tabs>
        <w:tab w:val="center" w:pos="4536"/>
        <w:tab w:val="right" w:pos="9072"/>
      </w:tabs>
    </w:pPr>
  </w:style>
  <w:style w:type="character" w:styleId="slostrnky">
    <w:name w:val="page number"/>
    <w:basedOn w:val="Standardnpsmoodstavce"/>
    <w:semiHidden/>
    <w:rsid w:val="00F1645B"/>
  </w:style>
  <w:style w:type="paragraph" w:styleId="Zhlav">
    <w:name w:val="header"/>
    <w:basedOn w:val="Normln"/>
    <w:link w:val="ZhlavChar"/>
    <w:uiPriority w:val="99"/>
    <w:rsid w:val="00F1645B"/>
    <w:pPr>
      <w:tabs>
        <w:tab w:val="center" w:pos="4536"/>
        <w:tab w:val="right" w:pos="9072"/>
      </w:tabs>
    </w:pPr>
  </w:style>
  <w:style w:type="paragraph" w:customStyle="1" w:styleId="tabulkanadpis">
    <w:name w:val="tabulka_nadpis"/>
    <w:basedOn w:val="Nadpis3"/>
    <w:rsid w:val="00F1645B"/>
    <w:pPr>
      <w:numPr>
        <w:ilvl w:val="0"/>
        <w:numId w:val="0"/>
      </w:numPr>
    </w:pPr>
    <w:rPr>
      <w:sz w:val="20"/>
    </w:rPr>
  </w:style>
  <w:style w:type="paragraph" w:customStyle="1" w:styleId="grafnadpis">
    <w:name w:val="graf_nadpis"/>
    <w:basedOn w:val="tabulkanadpis"/>
    <w:rsid w:val="00F1645B"/>
  </w:style>
  <w:style w:type="paragraph" w:styleId="Zkladntext">
    <w:name w:val="Body Text"/>
    <w:basedOn w:val="Normln"/>
    <w:semiHidden/>
    <w:rsid w:val="00F1645B"/>
    <w:rPr>
      <w:color w:val="800080"/>
    </w:rPr>
  </w:style>
  <w:style w:type="paragraph" w:customStyle="1" w:styleId="kapitola">
    <w:name w:val="kapitola"/>
    <w:next w:val="Normln"/>
    <w:rsid w:val="00F1645B"/>
    <w:pPr>
      <w:widowControl w:val="0"/>
    </w:pPr>
    <w:rPr>
      <w:rFonts w:ascii="Arial" w:hAnsi="Arial"/>
      <w:b/>
      <w:sz w:val="24"/>
    </w:rPr>
  </w:style>
  <w:style w:type="paragraph" w:styleId="Zkladntext2">
    <w:name w:val="Body Text 2"/>
    <w:basedOn w:val="Normln"/>
    <w:semiHidden/>
    <w:rsid w:val="00F1645B"/>
    <w:rPr>
      <w:color w:val="FF0000"/>
    </w:rPr>
  </w:style>
  <w:style w:type="paragraph" w:styleId="Textpoznpodarou">
    <w:name w:val="footnote text"/>
    <w:basedOn w:val="Normln"/>
    <w:semiHidden/>
    <w:rsid w:val="00F1645B"/>
    <w:rPr>
      <w:i/>
      <w:sz w:val="18"/>
      <w:szCs w:val="20"/>
    </w:rPr>
  </w:style>
  <w:style w:type="character" w:styleId="Znakapoznpodarou">
    <w:name w:val="footnote reference"/>
    <w:semiHidden/>
    <w:rsid w:val="00F1645B"/>
    <w:rPr>
      <w:vertAlign w:val="superscript"/>
    </w:rPr>
  </w:style>
  <w:style w:type="paragraph" w:customStyle="1" w:styleId="Muj-zakltext3">
    <w:name w:val="Muj-zakl.text3"/>
    <w:basedOn w:val="Normln"/>
    <w:rsid w:val="00F1645B"/>
    <w:pPr>
      <w:keepNext/>
      <w:ind w:firstLine="709"/>
    </w:pPr>
    <w:rPr>
      <w:rFonts w:cs="Arial"/>
      <w:bCs/>
    </w:rPr>
  </w:style>
  <w:style w:type="paragraph" w:customStyle="1" w:styleId="obycA10">
    <w:name w:val="obyc_A10"/>
    <w:basedOn w:val="Normln"/>
    <w:rsid w:val="00F1645B"/>
    <w:pPr>
      <w:jc w:val="left"/>
    </w:pPr>
  </w:style>
  <w:style w:type="character" w:styleId="Odkaznakoment">
    <w:name w:val="annotation reference"/>
    <w:semiHidden/>
    <w:rsid w:val="00F1645B"/>
    <w:rPr>
      <w:sz w:val="16"/>
      <w:szCs w:val="16"/>
    </w:rPr>
  </w:style>
  <w:style w:type="paragraph" w:styleId="Textkomente">
    <w:name w:val="annotation text"/>
    <w:basedOn w:val="Normln"/>
    <w:semiHidden/>
    <w:rsid w:val="00F1645B"/>
    <w:rPr>
      <w:szCs w:val="20"/>
    </w:rPr>
  </w:style>
  <w:style w:type="paragraph" w:styleId="Zkladntext3">
    <w:name w:val="Body Text 3"/>
    <w:basedOn w:val="Normln"/>
    <w:semiHidden/>
    <w:rsid w:val="00F1645B"/>
    <w:rPr>
      <w:color w:val="993300"/>
    </w:rPr>
  </w:style>
  <w:style w:type="paragraph" w:styleId="Pedmtkomente">
    <w:name w:val="annotation subject"/>
    <w:basedOn w:val="Textkomente"/>
    <w:next w:val="Textkomente"/>
    <w:semiHidden/>
    <w:unhideWhenUsed/>
    <w:rsid w:val="00F1645B"/>
    <w:rPr>
      <w:b/>
      <w:bCs/>
    </w:rPr>
  </w:style>
  <w:style w:type="character" w:customStyle="1" w:styleId="TextkomenteChar">
    <w:name w:val="Text komentáře Char"/>
    <w:semiHidden/>
    <w:rsid w:val="00F1645B"/>
    <w:rPr>
      <w:rFonts w:ascii="Arial" w:hAnsi="Arial"/>
    </w:rPr>
  </w:style>
  <w:style w:type="character" w:customStyle="1" w:styleId="PedmtkomenteChar">
    <w:name w:val="Předmět komentáře Char"/>
    <w:rsid w:val="00F1645B"/>
    <w:rPr>
      <w:rFonts w:ascii="Arial" w:hAnsi="Arial"/>
    </w:rPr>
  </w:style>
  <w:style w:type="paragraph" w:styleId="Textbubliny">
    <w:name w:val="Balloon Text"/>
    <w:basedOn w:val="Normln"/>
    <w:semiHidden/>
    <w:unhideWhenUsed/>
    <w:rsid w:val="00F1645B"/>
    <w:rPr>
      <w:rFonts w:ascii="Tahoma" w:hAnsi="Tahoma" w:cs="Tahoma"/>
      <w:sz w:val="16"/>
      <w:szCs w:val="16"/>
    </w:rPr>
  </w:style>
  <w:style w:type="character" w:customStyle="1" w:styleId="TextbublinyChar">
    <w:name w:val="Text bubliny Char"/>
    <w:semiHidden/>
    <w:rsid w:val="00F1645B"/>
    <w:rPr>
      <w:rFonts w:ascii="Tahoma" w:hAnsi="Tahoma" w:cs="Tahoma"/>
      <w:sz w:val="16"/>
      <w:szCs w:val="16"/>
    </w:rPr>
  </w:style>
  <w:style w:type="paragraph" w:styleId="Obsah2">
    <w:name w:val="toc 2"/>
    <w:basedOn w:val="Normln"/>
    <w:next w:val="Normln"/>
    <w:autoRedefine/>
    <w:semiHidden/>
    <w:rsid w:val="00F1645B"/>
    <w:pPr>
      <w:ind w:left="200"/>
    </w:pPr>
  </w:style>
  <w:style w:type="paragraph" w:styleId="Obsah1">
    <w:name w:val="toc 1"/>
    <w:basedOn w:val="Normln"/>
    <w:next w:val="Normln"/>
    <w:autoRedefine/>
    <w:semiHidden/>
    <w:rsid w:val="00F1645B"/>
  </w:style>
  <w:style w:type="paragraph" w:styleId="Obsah3">
    <w:name w:val="toc 3"/>
    <w:basedOn w:val="Normln"/>
    <w:next w:val="Normln"/>
    <w:autoRedefine/>
    <w:semiHidden/>
    <w:rsid w:val="00F1645B"/>
    <w:pPr>
      <w:ind w:left="400"/>
    </w:pPr>
  </w:style>
  <w:style w:type="paragraph" w:styleId="Obsah4">
    <w:name w:val="toc 4"/>
    <w:basedOn w:val="Normln"/>
    <w:next w:val="Normln"/>
    <w:autoRedefine/>
    <w:semiHidden/>
    <w:rsid w:val="00F1645B"/>
    <w:pPr>
      <w:ind w:left="600"/>
    </w:pPr>
  </w:style>
  <w:style w:type="paragraph" w:styleId="Obsah5">
    <w:name w:val="toc 5"/>
    <w:basedOn w:val="Normln"/>
    <w:next w:val="Normln"/>
    <w:autoRedefine/>
    <w:semiHidden/>
    <w:rsid w:val="00F1645B"/>
    <w:pPr>
      <w:ind w:left="800"/>
    </w:pPr>
  </w:style>
  <w:style w:type="paragraph" w:styleId="Obsah6">
    <w:name w:val="toc 6"/>
    <w:basedOn w:val="Normln"/>
    <w:next w:val="Normln"/>
    <w:autoRedefine/>
    <w:semiHidden/>
    <w:rsid w:val="00F1645B"/>
    <w:pPr>
      <w:ind w:left="1000"/>
    </w:pPr>
  </w:style>
  <w:style w:type="paragraph" w:styleId="Obsah7">
    <w:name w:val="toc 7"/>
    <w:basedOn w:val="Normln"/>
    <w:next w:val="Normln"/>
    <w:autoRedefine/>
    <w:semiHidden/>
    <w:rsid w:val="00F1645B"/>
    <w:pPr>
      <w:ind w:left="1200"/>
    </w:pPr>
  </w:style>
  <w:style w:type="paragraph" w:styleId="Obsah8">
    <w:name w:val="toc 8"/>
    <w:basedOn w:val="Normln"/>
    <w:next w:val="Normln"/>
    <w:autoRedefine/>
    <w:semiHidden/>
    <w:rsid w:val="00F1645B"/>
    <w:pPr>
      <w:ind w:left="1400"/>
    </w:pPr>
  </w:style>
  <w:style w:type="paragraph" w:styleId="Obsah9">
    <w:name w:val="toc 9"/>
    <w:basedOn w:val="Normln"/>
    <w:next w:val="Normln"/>
    <w:autoRedefine/>
    <w:semiHidden/>
    <w:rsid w:val="00F1645B"/>
    <w:pPr>
      <w:ind w:left="1600"/>
    </w:pPr>
  </w:style>
  <w:style w:type="character" w:styleId="Hypertextovodkaz">
    <w:name w:val="Hyperlink"/>
    <w:semiHidden/>
    <w:rsid w:val="00F1645B"/>
    <w:rPr>
      <w:color w:val="0000FF"/>
      <w:u w:val="single"/>
    </w:rPr>
  </w:style>
  <w:style w:type="character" w:styleId="Sledovanodkaz">
    <w:name w:val="FollowedHyperlink"/>
    <w:semiHidden/>
    <w:rsid w:val="00F1645B"/>
    <w:rPr>
      <w:color w:val="800080"/>
      <w:u w:val="single"/>
    </w:rPr>
  </w:style>
  <w:style w:type="paragraph" w:styleId="Zkladntextodsazen">
    <w:name w:val="Body Text Indent"/>
    <w:basedOn w:val="Normln"/>
    <w:semiHidden/>
    <w:rsid w:val="00F1645B"/>
    <w:pPr>
      <w:ind w:firstLine="540"/>
    </w:pPr>
    <w:rPr>
      <w:rFonts w:ascii="Times New Roman" w:hAnsi="Times New Roman"/>
      <w:sz w:val="24"/>
    </w:rPr>
  </w:style>
  <w:style w:type="paragraph" w:customStyle="1" w:styleId="xl98">
    <w:name w:val="xl98"/>
    <w:basedOn w:val="Normln"/>
    <w:rsid w:val="00F1645B"/>
    <w:pPr>
      <w:spacing w:before="100" w:beforeAutospacing="1" w:after="100" w:afterAutospacing="1"/>
      <w:jc w:val="right"/>
    </w:pPr>
    <w:rPr>
      <w:rFonts w:eastAsia="Arial Unicode MS" w:cs="Arial"/>
      <w:sz w:val="16"/>
      <w:szCs w:val="16"/>
    </w:rPr>
  </w:style>
  <w:style w:type="paragraph" w:customStyle="1" w:styleId="font5">
    <w:name w:val="font5"/>
    <w:basedOn w:val="Normln"/>
    <w:rsid w:val="00F1645B"/>
    <w:pPr>
      <w:spacing w:before="100" w:beforeAutospacing="1" w:after="100" w:afterAutospacing="1"/>
      <w:jc w:val="left"/>
    </w:pPr>
    <w:rPr>
      <w:rFonts w:eastAsia="Arial Unicode MS" w:cs="Arial"/>
      <w:sz w:val="16"/>
      <w:szCs w:val="16"/>
    </w:rPr>
  </w:style>
  <w:style w:type="paragraph" w:customStyle="1" w:styleId="xl97">
    <w:name w:val="xl97"/>
    <w:basedOn w:val="Normln"/>
    <w:rsid w:val="00F1645B"/>
    <w:pPr>
      <w:spacing w:before="100" w:beforeAutospacing="1" w:after="100" w:afterAutospacing="1"/>
      <w:jc w:val="left"/>
    </w:pPr>
    <w:rPr>
      <w:rFonts w:eastAsia="Arial Unicode MS" w:cs="Arial"/>
      <w:sz w:val="16"/>
      <w:szCs w:val="16"/>
    </w:rPr>
  </w:style>
  <w:style w:type="paragraph" w:customStyle="1" w:styleId="xl99">
    <w:name w:val="xl99"/>
    <w:basedOn w:val="Normln"/>
    <w:rsid w:val="00F1645B"/>
    <w:pPr>
      <w:spacing w:before="100" w:beforeAutospacing="1" w:after="100" w:afterAutospacing="1"/>
      <w:jc w:val="left"/>
    </w:pPr>
    <w:rPr>
      <w:rFonts w:eastAsia="Arial Unicode MS" w:cs="Arial"/>
      <w:sz w:val="16"/>
      <w:szCs w:val="16"/>
    </w:rPr>
  </w:style>
  <w:style w:type="paragraph" w:customStyle="1" w:styleId="xl100">
    <w:name w:val="xl100"/>
    <w:basedOn w:val="Normln"/>
    <w:rsid w:val="00F1645B"/>
    <w:pPr>
      <w:pBdr>
        <w:bottom w:val="single" w:sz="4" w:space="0" w:color="auto"/>
      </w:pBdr>
      <w:spacing w:before="100" w:beforeAutospacing="1" w:after="100" w:afterAutospacing="1"/>
      <w:jc w:val="left"/>
    </w:pPr>
    <w:rPr>
      <w:rFonts w:eastAsia="Arial Unicode MS" w:cs="Arial"/>
      <w:sz w:val="16"/>
      <w:szCs w:val="16"/>
    </w:rPr>
  </w:style>
  <w:style w:type="paragraph" w:customStyle="1" w:styleId="xl101">
    <w:name w:val="xl101"/>
    <w:basedOn w:val="Normln"/>
    <w:rsid w:val="00F1645B"/>
    <w:pPr>
      <w:pBdr>
        <w:top w:val="single" w:sz="4" w:space="0" w:color="auto"/>
      </w:pBdr>
      <w:spacing w:before="100" w:beforeAutospacing="1" w:after="100" w:afterAutospacing="1"/>
      <w:jc w:val="left"/>
    </w:pPr>
    <w:rPr>
      <w:rFonts w:eastAsia="Arial Unicode MS" w:cs="Arial"/>
      <w:sz w:val="16"/>
      <w:szCs w:val="16"/>
    </w:rPr>
  </w:style>
  <w:style w:type="paragraph" w:customStyle="1" w:styleId="xl102">
    <w:name w:val="xl102"/>
    <w:basedOn w:val="Normln"/>
    <w:rsid w:val="00F1645B"/>
    <w:pPr>
      <w:pBdr>
        <w:top w:val="single" w:sz="4" w:space="0" w:color="auto"/>
        <w:bottom w:val="single" w:sz="4" w:space="0" w:color="auto"/>
        <w:right w:val="single" w:sz="4" w:space="0" w:color="auto"/>
      </w:pBdr>
      <w:spacing w:before="100" w:beforeAutospacing="1" w:after="100" w:afterAutospacing="1"/>
      <w:jc w:val="left"/>
    </w:pPr>
    <w:rPr>
      <w:rFonts w:eastAsia="Arial Unicode MS" w:cs="Arial"/>
      <w:sz w:val="16"/>
      <w:szCs w:val="16"/>
    </w:rPr>
  </w:style>
  <w:style w:type="paragraph" w:customStyle="1" w:styleId="xl103">
    <w:name w:val="xl103"/>
    <w:basedOn w:val="Normln"/>
    <w:rsid w:val="00F1645B"/>
    <w:pPr>
      <w:pBdr>
        <w:top w:val="single" w:sz="4" w:space="0" w:color="auto"/>
        <w:bottom w:val="single" w:sz="4" w:space="0" w:color="auto"/>
      </w:pBdr>
      <w:spacing w:before="100" w:beforeAutospacing="1" w:after="100" w:afterAutospacing="1"/>
      <w:jc w:val="left"/>
    </w:pPr>
    <w:rPr>
      <w:rFonts w:eastAsia="Arial Unicode MS" w:cs="Arial"/>
      <w:b/>
      <w:bCs/>
      <w:sz w:val="16"/>
      <w:szCs w:val="16"/>
    </w:rPr>
  </w:style>
  <w:style w:type="paragraph" w:customStyle="1" w:styleId="xl104">
    <w:name w:val="xl104"/>
    <w:basedOn w:val="Normln"/>
    <w:rsid w:val="00F1645B"/>
    <w:pPr>
      <w:pBdr>
        <w:top w:val="single" w:sz="4" w:space="0" w:color="auto"/>
        <w:right w:val="single" w:sz="4" w:space="0" w:color="auto"/>
      </w:pBdr>
      <w:spacing w:before="100" w:beforeAutospacing="1" w:after="100" w:afterAutospacing="1"/>
      <w:jc w:val="left"/>
    </w:pPr>
    <w:rPr>
      <w:rFonts w:eastAsia="Arial Unicode MS" w:cs="Arial"/>
      <w:b/>
      <w:bCs/>
      <w:sz w:val="16"/>
      <w:szCs w:val="16"/>
    </w:rPr>
  </w:style>
  <w:style w:type="paragraph" w:customStyle="1" w:styleId="xl105">
    <w:name w:val="xl105"/>
    <w:basedOn w:val="Normln"/>
    <w:rsid w:val="00F1645B"/>
    <w:pPr>
      <w:pBdr>
        <w:right w:val="single" w:sz="4" w:space="0" w:color="auto"/>
      </w:pBdr>
      <w:spacing w:before="100" w:beforeAutospacing="1" w:after="100" w:afterAutospacing="1"/>
      <w:jc w:val="left"/>
    </w:pPr>
    <w:rPr>
      <w:rFonts w:eastAsia="Arial Unicode MS" w:cs="Arial"/>
      <w:sz w:val="16"/>
      <w:szCs w:val="16"/>
    </w:rPr>
  </w:style>
  <w:style w:type="paragraph" w:customStyle="1" w:styleId="xl106">
    <w:name w:val="xl106"/>
    <w:basedOn w:val="Normln"/>
    <w:rsid w:val="00F1645B"/>
    <w:pPr>
      <w:pBdr>
        <w:right w:val="single" w:sz="4" w:space="0" w:color="auto"/>
      </w:pBdr>
      <w:spacing w:before="100" w:beforeAutospacing="1" w:after="100" w:afterAutospacing="1"/>
      <w:jc w:val="left"/>
    </w:pPr>
    <w:rPr>
      <w:rFonts w:eastAsia="Arial Unicode MS" w:cs="Arial"/>
      <w:b/>
      <w:bCs/>
      <w:sz w:val="16"/>
      <w:szCs w:val="16"/>
    </w:rPr>
  </w:style>
  <w:style w:type="paragraph" w:customStyle="1" w:styleId="xl107">
    <w:name w:val="xl107"/>
    <w:basedOn w:val="Normln"/>
    <w:rsid w:val="00F1645B"/>
    <w:pPr>
      <w:pBdr>
        <w:bottom w:val="single" w:sz="4" w:space="0" w:color="auto"/>
        <w:right w:val="single" w:sz="4" w:space="0" w:color="auto"/>
      </w:pBdr>
      <w:spacing w:before="100" w:beforeAutospacing="1" w:after="100" w:afterAutospacing="1"/>
      <w:jc w:val="left"/>
    </w:pPr>
    <w:rPr>
      <w:rFonts w:eastAsia="Arial Unicode MS" w:cs="Arial"/>
      <w:sz w:val="16"/>
      <w:szCs w:val="16"/>
    </w:rPr>
  </w:style>
  <w:style w:type="paragraph" w:customStyle="1" w:styleId="xl108">
    <w:name w:val="xl108"/>
    <w:basedOn w:val="Normln"/>
    <w:rsid w:val="00F1645B"/>
    <w:pPr>
      <w:pBdr>
        <w:top w:val="single" w:sz="4" w:space="0" w:color="auto"/>
      </w:pBdr>
      <w:spacing w:before="100" w:beforeAutospacing="1" w:after="100" w:afterAutospacing="1"/>
      <w:jc w:val="left"/>
    </w:pPr>
    <w:rPr>
      <w:rFonts w:eastAsia="Arial Unicode MS" w:cs="Arial"/>
      <w:sz w:val="16"/>
      <w:szCs w:val="16"/>
    </w:rPr>
  </w:style>
  <w:style w:type="paragraph" w:customStyle="1" w:styleId="xl109">
    <w:name w:val="xl109"/>
    <w:basedOn w:val="Normln"/>
    <w:rsid w:val="00F1645B"/>
    <w:pPr>
      <w:pBdr>
        <w:right w:val="single" w:sz="4" w:space="0" w:color="auto"/>
      </w:pBdr>
      <w:spacing w:before="100" w:beforeAutospacing="1" w:after="100" w:afterAutospacing="1"/>
      <w:jc w:val="left"/>
    </w:pPr>
    <w:rPr>
      <w:rFonts w:eastAsia="Arial Unicode MS" w:cs="Arial"/>
      <w:b/>
      <w:bCs/>
      <w:sz w:val="16"/>
      <w:szCs w:val="16"/>
    </w:rPr>
  </w:style>
  <w:style w:type="paragraph" w:customStyle="1" w:styleId="xl110">
    <w:name w:val="xl110"/>
    <w:basedOn w:val="Normln"/>
    <w:rsid w:val="00F1645B"/>
    <w:pPr>
      <w:spacing w:before="100" w:beforeAutospacing="1" w:after="100" w:afterAutospacing="1"/>
      <w:jc w:val="right"/>
    </w:pPr>
    <w:rPr>
      <w:rFonts w:eastAsia="Arial Unicode MS" w:cs="Arial"/>
      <w:sz w:val="16"/>
      <w:szCs w:val="16"/>
    </w:rPr>
  </w:style>
  <w:style w:type="paragraph" w:customStyle="1" w:styleId="xl111">
    <w:name w:val="xl111"/>
    <w:basedOn w:val="Normln"/>
    <w:rsid w:val="00F1645B"/>
    <w:pPr>
      <w:pBdr>
        <w:right w:val="single" w:sz="4" w:space="0" w:color="auto"/>
      </w:pBdr>
      <w:spacing w:before="100" w:beforeAutospacing="1" w:after="100" w:afterAutospacing="1"/>
      <w:jc w:val="left"/>
    </w:pPr>
    <w:rPr>
      <w:rFonts w:eastAsia="Arial Unicode MS" w:cs="Arial"/>
      <w:sz w:val="16"/>
      <w:szCs w:val="16"/>
    </w:rPr>
  </w:style>
  <w:style w:type="paragraph" w:customStyle="1" w:styleId="xl112">
    <w:name w:val="xl112"/>
    <w:basedOn w:val="Normln"/>
    <w:rsid w:val="00F1645B"/>
    <w:pPr>
      <w:pBdr>
        <w:bottom w:val="single" w:sz="4" w:space="0" w:color="auto"/>
      </w:pBdr>
      <w:spacing w:before="100" w:beforeAutospacing="1" w:after="100" w:afterAutospacing="1"/>
      <w:jc w:val="right"/>
    </w:pPr>
    <w:rPr>
      <w:rFonts w:eastAsia="Arial Unicode MS" w:cs="Arial"/>
      <w:sz w:val="16"/>
      <w:szCs w:val="16"/>
    </w:rPr>
  </w:style>
  <w:style w:type="paragraph" w:customStyle="1" w:styleId="xl113">
    <w:name w:val="xl113"/>
    <w:basedOn w:val="Normln"/>
    <w:rsid w:val="00F1645B"/>
    <w:pPr>
      <w:pBdr>
        <w:bottom w:val="single" w:sz="4" w:space="0" w:color="auto"/>
        <w:right w:val="single" w:sz="4" w:space="0" w:color="auto"/>
      </w:pBdr>
      <w:spacing w:before="100" w:beforeAutospacing="1" w:after="100" w:afterAutospacing="1"/>
      <w:jc w:val="left"/>
    </w:pPr>
    <w:rPr>
      <w:rFonts w:eastAsia="Arial Unicode MS" w:cs="Arial"/>
      <w:sz w:val="16"/>
      <w:szCs w:val="16"/>
    </w:rPr>
  </w:style>
  <w:style w:type="paragraph" w:customStyle="1" w:styleId="xl114">
    <w:name w:val="xl114"/>
    <w:basedOn w:val="Normln"/>
    <w:rsid w:val="00F1645B"/>
    <w:pPr>
      <w:spacing w:before="100" w:beforeAutospacing="1" w:after="100" w:afterAutospacing="1"/>
      <w:jc w:val="left"/>
    </w:pPr>
    <w:rPr>
      <w:rFonts w:eastAsia="Arial Unicode MS" w:cs="Arial"/>
      <w:sz w:val="24"/>
    </w:rPr>
  </w:style>
  <w:style w:type="paragraph" w:styleId="Zkladntextodsazen2">
    <w:name w:val="Body Text Indent 2"/>
    <w:basedOn w:val="Normln"/>
    <w:semiHidden/>
    <w:rsid w:val="00F1645B"/>
    <w:pPr>
      <w:ind w:firstLine="360"/>
      <w:jc w:val="left"/>
    </w:pPr>
    <w:rPr>
      <w:rFonts w:ascii="Times New Roman" w:hAnsi="Times New Roman"/>
      <w:color w:val="FF9900"/>
      <w:sz w:val="24"/>
    </w:rPr>
  </w:style>
  <w:style w:type="paragraph" w:styleId="Zkladntextodsazen3">
    <w:name w:val="Body Text Indent 3"/>
    <w:basedOn w:val="Normln"/>
    <w:semiHidden/>
    <w:rsid w:val="00F1645B"/>
    <w:pPr>
      <w:ind w:firstLine="360"/>
    </w:pPr>
    <w:rPr>
      <w:rFonts w:cs="Arial"/>
      <w:sz w:val="24"/>
    </w:rPr>
  </w:style>
  <w:style w:type="paragraph" w:customStyle="1" w:styleId="xl72">
    <w:name w:val="xl72"/>
    <w:basedOn w:val="Normln"/>
    <w:rsid w:val="00F1645B"/>
    <w:pPr>
      <w:pBdr>
        <w:top w:val="single" w:sz="4" w:space="0" w:color="auto"/>
        <w:bottom w:val="single" w:sz="4" w:space="0" w:color="auto"/>
      </w:pBdr>
      <w:spacing w:before="100" w:beforeAutospacing="1" w:after="100" w:afterAutospacing="1"/>
      <w:jc w:val="right"/>
    </w:pPr>
    <w:rPr>
      <w:rFonts w:eastAsia="Arial Unicode MS" w:cs="Arial"/>
      <w:b/>
      <w:bCs/>
      <w:sz w:val="16"/>
      <w:szCs w:val="16"/>
    </w:rPr>
  </w:style>
  <w:style w:type="paragraph" w:customStyle="1" w:styleId="xl73">
    <w:name w:val="xl73"/>
    <w:basedOn w:val="Normln"/>
    <w:rsid w:val="00F1645B"/>
    <w:pPr>
      <w:pBdr>
        <w:right w:val="single" w:sz="4" w:space="0" w:color="auto"/>
      </w:pBdr>
      <w:spacing w:before="100" w:beforeAutospacing="1" w:after="100" w:afterAutospacing="1"/>
      <w:jc w:val="left"/>
    </w:pPr>
    <w:rPr>
      <w:rFonts w:eastAsia="Arial Unicode MS" w:cs="Arial"/>
      <w:b/>
      <w:bCs/>
      <w:sz w:val="16"/>
      <w:szCs w:val="16"/>
    </w:rPr>
  </w:style>
  <w:style w:type="paragraph" w:customStyle="1" w:styleId="xl74">
    <w:name w:val="xl74"/>
    <w:basedOn w:val="Normln"/>
    <w:rsid w:val="00F1645B"/>
    <w:pPr>
      <w:spacing w:before="100" w:beforeAutospacing="1" w:after="100" w:afterAutospacing="1"/>
      <w:jc w:val="left"/>
    </w:pPr>
    <w:rPr>
      <w:rFonts w:eastAsia="Arial Unicode MS" w:cs="Arial"/>
      <w:sz w:val="16"/>
      <w:szCs w:val="16"/>
    </w:rPr>
  </w:style>
  <w:style w:type="paragraph" w:customStyle="1" w:styleId="xl75">
    <w:name w:val="xl75"/>
    <w:basedOn w:val="Normln"/>
    <w:rsid w:val="00F1645B"/>
    <w:pPr>
      <w:pBdr>
        <w:right w:val="single" w:sz="4" w:space="0" w:color="auto"/>
      </w:pBdr>
      <w:spacing w:before="100" w:beforeAutospacing="1" w:after="100" w:afterAutospacing="1"/>
      <w:jc w:val="center"/>
    </w:pPr>
    <w:rPr>
      <w:rFonts w:eastAsia="Arial Unicode MS" w:cs="Arial"/>
      <w:sz w:val="16"/>
      <w:szCs w:val="16"/>
    </w:rPr>
  </w:style>
  <w:style w:type="paragraph" w:customStyle="1" w:styleId="xl77">
    <w:name w:val="xl77"/>
    <w:basedOn w:val="Normln"/>
    <w:rsid w:val="00F1645B"/>
    <w:pPr>
      <w:spacing w:before="100" w:beforeAutospacing="1" w:after="100" w:afterAutospacing="1"/>
      <w:jc w:val="right"/>
    </w:pPr>
    <w:rPr>
      <w:rFonts w:eastAsia="Arial Unicode MS" w:cs="Arial"/>
      <w:sz w:val="16"/>
      <w:szCs w:val="16"/>
    </w:rPr>
  </w:style>
  <w:style w:type="paragraph" w:customStyle="1" w:styleId="xl78">
    <w:name w:val="xl78"/>
    <w:basedOn w:val="Normln"/>
    <w:rsid w:val="00F1645B"/>
    <w:pPr>
      <w:pBdr>
        <w:bottom w:val="single" w:sz="4" w:space="0" w:color="auto"/>
      </w:pBdr>
      <w:spacing w:before="100" w:beforeAutospacing="1" w:after="100" w:afterAutospacing="1"/>
      <w:jc w:val="right"/>
    </w:pPr>
    <w:rPr>
      <w:rFonts w:eastAsia="Arial Unicode MS" w:cs="Arial"/>
      <w:sz w:val="16"/>
      <w:szCs w:val="16"/>
    </w:rPr>
  </w:style>
  <w:style w:type="paragraph" w:customStyle="1" w:styleId="xl79">
    <w:name w:val="xl79"/>
    <w:basedOn w:val="Normln"/>
    <w:rsid w:val="00F1645B"/>
    <w:pPr>
      <w:spacing w:before="100" w:beforeAutospacing="1" w:after="100" w:afterAutospacing="1"/>
      <w:jc w:val="left"/>
    </w:pPr>
    <w:rPr>
      <w:rFonts w:eastAsia="Arial Unicode MS" w:cs="Arial"/>
      <w:sz w:val="16"/>
      <w:szCs w:val="16"/>
    </w:rPr>
  </w:style>
  <w:style w:type="paragraph" w:customStyle="1" w:styleId="xl80">
    <w:name w:val="xl80"/>
    <w:basedOn w:val="Normln"/>
    <w:rsid w:val="00F1645B"/>
    <w:pPr>
      <w:pBdr>
        <w:bottom w:val="single" w:sz="4" w:space="0" w:color="auto"/>
      </w:pBdr>
      <w:spacing w:before="100" w:beforeAutospacing="1" w:after="100" w:afterAutospacing="1"/>
      <w:jc w:val="left"/>
    </w:pPr>
    <w:rPr>
      <w:rFonts w:eastAsia="Arial Unicode MS" w:cs="Arial"/>
      <w:sz w:val="16"/>
      <w:szCs w:val="16"/>
    </w:rPr>
  </w:style>
  <w:style w:type="paragraph" w:customStyle="1" w:styleId="xl76">
    <w:name w:val="xl76"/>
    <w:basedOn w:val="Normln"/>
    <w:rsid w:val="00F1645B"/>
    <w:pPr>
      <w:pBdr>
        <w:right w:val="single" w:sz="4" w:space="0" w:color="auto"/>
      </w:pBdr>
      <w:spacing w:before="100" w:beforeAutospacing="1" w:after="100" w:afterAutospacing="1"/>
      <w:jc w:val="left"/>
    </w:pPr>
    <w:rPr>
      <w:rFonts w:eastAsia="Arial Unicode MS" w:cs="Arial"/>
      <w:sz w:val="16"/>
      <w:szCs w:val="16"/>
    </w:rPr>
  </w:style>
  <w:style w:type="paragraph" w:customStyle="1" w:styleId="xl81">
    <w:name w:val="xl81"/>
    <w:basedOn w:val="Normln"/>
    <w:rsid w:val="00F1645B"/>
    <w:pPr>
      <w:pBdr>
        <w:bottom w:val="single" w:sz="4" w:space="0" w:color="auto"/>
      </w:pBdr>
      <w:spacing w:before="100" w:beforeAutospacing="1" w:after="100" w:afterAutospacing="1"/>
      <w:jc w:val="left"/>
    </w:pPr>
    <w:rPr>
      <w:rFonts w:eastAsia="Arial Unicode MS" w:cs="Arial"/>
      <w:sz w:val="16"/>
      <w:szCs w:val="16"/>
    </w:rPr>
  </w:style>
  <w:style w:type="paragraph" w:customStyle="1" w:styleId="xl82">
    <w:name w:val="xl82"/>
    <w:basedOn w:val="Normln"/>
    <w:rsid w:val="00F1645B"/>
    <w:pPr>
      <w:pBdr>
        <w:left w:val="single" w:sz="4" w:space="0" w:color="auto"/>
        <w:bottom w:val="single" w:sz="4" w:space="0" w:color="auto"/>
      </w:pBdr>
      <w:spacing w:before="100" w:beforeAutospacing="1" w:after="100" w:afterAutospacing="1"/>
      <w:jc w:val="left"/>
    </w:pPr>
    <w:rPr>
      <w:rFonts w:eastAsia="Arial Unicode MS" w:cs="Arial"/>
      <w:sz w:val="16"/>
      <w:szCs w:val="16"/>
    </w:rPr>
  </w:style>
  <w:style w:type="paragraph" w:customStyle="1" w:styleId="xl83">
    <w:name w:val="xl83"/>
    <w:basedOn w:val="Normln"/>
    <w:rsid w:val="00F1645B"/>
    <w:pPr>
      <w:pBdr>
        <w:right w:val="single" w:sz="4" w:space="0" w:color="auto"/>
      </w:pBdr>
      <w:spacing w:before="100" w:beforeAutospacing="1" w:after="100" w:afterAutospacing="1"/>
      <w:jc w:val="center"/>
    </w:pPr>
    <w:rPr>
      <w:rFonts w:eastAsia="Arial Unicode MS" w:cs="Arial"/>
      <w:sz w:val="16"/>
      <w:szCs w:val="16"/>
    </w:rPr>
  </w:style>
  <w:style w:type="paragraph" w:customStyle="1" w:styleId="xl84">
    <w:name w:val="xl84"/>
    <w:basedOn w:val="Normln"/>
    <w:rsid w:val="00F1645B"/>
    <w:pPr>
      <w:pBdr>
        <w:bottom w:val="single" w:sz="4" w:space="0" w:color="auto"/>
        <w:right w:val="single" w:sz="4" w:space="0" w:color="auto"/>
      </w:pBdr>
      <w:spacing w:before="100" w:beforeAutospacing="1" w:after="100" w:afterAutospacing="1"/>
      <w:jc w:val="center"/>
    </w:pPr>
    <w:rPr>
      <w:rFonts w:eastAsia="Arial Unicode MS" w:cs="Arial"/>
      <w:sz w:val="16"/>
      <w:szCs w:val="16"/>
    </w:rPr>
  </w:style>
  <w:style w:type="paragraph" w:customStyle="1" w:styleId="xl85">
    <w:name w:val="xl85"/>
    <w:basedOn w:val="Normln"/>
    <w:rsid w:val="00F1645B"/>
    <w:pPr>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 w:val="16"/>
      <w:szCs w:val="16"/>
    </w:rPr>
  </w:style>
  <w:style w:type="paragraph" w:customStyle="1" w:styleId="xl86">
    <w:name w:val="xl86"/>
    <w:basedOn w:val="Normln"/>
    <w:rsid w:val="00F1645B"/>
    <w:pPr>
      <w:pBdr>
        <w:bottom w:val="single" w:sz="4" w:space="0" w:color="auto"/>
      </w:pBdr>
      <w:spacing w:before="100" w:beforeAutospacing="1" w:after="100" w:afterAutospacing="1"/>
      <w:jc w:val="left"/>
    </w:pPr>
    <w:rPr>
      <w:rFonts w:ascii="Arial Unicode MS" w:eastAsia="Arial Unicode MS" w:hAnsi="Arial Unicode MS" w:cs="Arial Unicode MS"/>
      <w:sz w:val="16"/>
      <w:szCs w:val="16"/>
    </w:rPr>
  </w:style>
  <w:style w:type="paragraph" w:customStyle="1" w:styleId="font6">
    <w:name w:val="font6"/>
    <w:basedOn w:val="Normln"/>
    <w:rsid w:val="00F1645B"/>
    <w:pPr>
      <w:spacing w:before="100" w:beforeAutospacing="1" w:after="100" w:afterAutospacing="1"/>
      <w:jc w:val="left"/>
    </w:pPr>
    <w:rPr>
      <w:rFonts w:ascii="Tahoma" w:eastAsia="Arial Unicode MS" w:hAnsi="Tahoma" w:cs="Tahoma"/>
      <w:b/>
      <w:bCs/>
      <w:color w:val="000000"/>
      <w:sz w:val="16"/>
      <w:szCs w:val="16"/>
    </w:rPr>
  </w:style>
  <w:style w:type="paragraph" w:customStyle="1" w:styleId="xl115">
    <w:name w:val="xl115"/>
    <w:basedOn w:val="Normln"/>
    <w:rsid w:val="00F1645B"/>
    <w:pPr>
      <w:pBdr>
        <w:left w:val="single" w:sz="4" w:space="0" w:color="auto"/>
        <w:bottom w:val="single" w:sz="4" w:space="0" w:color="auto"/>
      </w:pBdr>
      <w:spacing w:before="100" w:beforeAutospacing="1" w:after="100" w:afterAutospacing="1"/>
      <w:jc w:val="left"/>
    </w:pPr>
    <w:rPr>
      <w:rFonts w:eastAsia="Arial Unicode MS" w:cs="Arial"/>
      <w:sz w:val="16"/>
      <w:szCs w:val="16"/>
    </w:rPr>
  </w:style>
  <w:style w:type="paragraph" w:customStyle="1" w:styleId="xl116">
    <w:name w:val="xl116"/>
    <w:basedOn w:val="Normln"/>
    <w:rsid w:val="00F1645B"/>
    <w:pPr>
      <w:pBdr>
        <w:left w:val="single" w:sz="4" w:space="0" w:color="auto"/>
      </w:pBdr>
      <w:spacing w:before="100" w:beforeAutospacing="1" w:after="100" w:afterAutospacing="1"/>
      <w:jc w:val="right"/>
    </w:pPr>
    <w:rPr>
      <w:rFonts w:eastAsia="Arial Unicode MS" w:cs="Arial"/>
      <w:color w:val="000000"/>
      <w:sz w:val="16"/>
      <w:szCs w:val="16"/>
    </w:rPr>
  </w:style>
  <w:style w:type="paragraph" w:customStyle="1" w:styleId="xl117">
    <w:name w:val="xl117"/>
    <w:basedOn w:val="Normln"/>
    <w:rsid w:val="00F1645B"/>
    <w:pPr>
      <w:spacing w:before="100" w:beforeAutospacing="1" w:after="100" w:afterAutospacing="1"/>
      <w:jc w:val="right"/>
    </w:pPr>
    <w:rPr>
      <w:rFonts w:eastAsia="Arial Unicode MS" w:cs="Arial"/>
      <w:color w:val="000000"/>
      <w:sz w:val="16"/>
      <w:szCs w:val="16"/>
    </w:rPr>
  </w:style>
  <w:style w:type="character" w:customStyle="1" w:styleId="ZhlavChar">
    <w:name w:val="Záhlaví Char"/>
    <w:basedOn w:val="Standardnpsmoodstavce"/>
    <w:link w:val="Zhlav"/>
    <w:uiPriority w:val="99"/>
    <w:rsid w:val="00515181"/>
    <w:rPr>
      <w:rFonts w:ascii="Arial" w:hAnsi="Arial"/>
      <w:szCs w:val="24"/>
    </w:rPr>
  </w:style>
  <w:style w:type="character" w:styleId="Siln">
    <w:name w:val="Strong"/>
    <w:basedOn w:val="Standardnpsmoodstavce"/>
    <w:uiPriority w:val="22"/>
    <w:qFormat/>
    <w:rsid w:val="006A5E90"/>
    <w:rPr>
      <w:b/>
      <w:bCs/>
    </w:rPr>
  </w:style>
</w:styles>
</file>

<file path=word/webSettings.xml><?xml version="1.0" encoding="utf-8"?>
<w:webSettings xmlns:r="http://schemas.openxmlformats.org/officeDocument/2006/relationships" xmlns:w="http://schemas.openxmlformats.org/wordprocessingml/2006/main">
  <w:divs>
    <w:div w:id="719743148">
      <w:bodyDiv w:val="1"/>
      <w:marLeft w:val="60"/>
      <w:marRight w:val="60"/>
      <w:marTop w:val="60"/>
      <w:marBottom w:val="15"/>
      <w:divBdr>
        <w:top w:val="none" w:sz="0" w:space="0" w:color="auto"/>
        <w:left w:val="none" w:sz="0" w:space="0" w:color="auto"/>
        <w:bottom w:val="none" w:sz="0" w:space="0" w:color="auto"/>
        <w:right w:val="none" w:sz="0" w:space="0" w:color="auto"/>
      </w:divBdr>
      <w:divsChild>
        <w:div w:id="1792748291">
          <w:marLeft w:val="0"/>
          <w:marRight w:val="0"/>
          <w:marTop w:val="0"/>
          <w:marBottom w:val="0"/>
          <w:divBdr>
            <w:top w:val="none" w:sz="0" w:space="0" w:color="auto"/>
            <w:left w:val="none" w:sz="0" w:space="0" w:color="auto"/>
            <w:bottom w:val="none" w:sz="0" w:space="0" w:color="auto"/>
            <w:right w:val="none" w:sz="0" w:space="0" w:color="auto"/>
          </w:divBdr>
        </w:div>
      </w:divsChild>
    </w:div>
    <w:div w:id="20413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2638</Words>
  <Characters>15571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1</vt:lpstr>
    </vt:vector>
  </TitlesOfParts>
  <Company>CSU</Company>
  <LinksUpToDate>false</LinksUpToDate>
  <CharactersWithSpaces>18173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ČSÚ</dc:creator>
  <cp:lastModifiedBy>MN</cp:lastModifiedBy>
  <cp:revision>2</cp:revision>
  <cp:lastPrinted>2013-08-19T15:44:00Z</cp:lastPrinted>
  <dcterms:created xsi:type="dcterms:W3CDTF">2015-09-15T11:58:00Z</dcterms:created>
  <dcterms:modified xsi:type="dcterms:W3CDTF">2015-09-15T11:58:00Z</dcterms:modified>
</cp:coreProperties>
</file>