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94" w:rsidRPr="00F43D2E" w:rsidRDefault="00ED3A94" w:rsidP="004762D8">
      <w:pPr>
        <w:rPr>
          <w:sz w:val="2"/>
          <w:szCs w:val="2"/>
          <w:lang w:val="en-GB" w:eastAsia="ar-SA"/>
        </w:rPr>
      </w:pPr>
    </w:p>
    <w:p w:rsidR="00576A3E" w:rsidRPr="00F43D2E" w:rsidRDefault="00576A3E" w:rsidP="00027CA8">
      <w:pPr>
        <w:pStyle w:val="Nadpis1"/>
        <w:numPr>
          <w:ilvl w:val="0"/>
          <w:numId w:val="7"/>
        </w:numPr>
        <w:jc w:val="both"/>
        <w:rPr>
          <w:lang w:val="en-GB"/>
        </w:rPr>
      </w:pPr>
      <w:bookmarkStart w:id="0" w:name="_Toc454185154"/>
      <w:r w:rsidRPr="00F43D2E">
        <w:rPr>
          <w:lang w:val="en-GB"/>
        </w:rPr>
        <w:t>M</w:t>
      </w:r>
      <w:r w:rsidR="00C17E06" w:rsidRPr="00F43D2E">
        <w:rPr>
          <w:lang w:val="en-GB"/>
        </w:rPr>
        <w:t>onetary Conditions</w:t>
      </w:r>
      <w:bookmarkEnd w:id="0"/>
    </w:p>
    <w:tbl>
      <w:tblPr>
        <w:tblW w:w="5000" w:type="pct"/>
        <w:tblLayout w:type="fixed"/>
        <w:tblLook w:val="00A0"/>
      </w:tblPr>
      <w:tblGrid>
        <w:gridCol w:w="2077"/>
        <w:gridCol w:w="282"/>
        <w:gridCol w:w="7495"/>
      </w:tblGrid>
      <w:tr w:rsidR="00F90350" w:rsidRPr="00F43D2E" w:rsidTr="00AF5D62">
        <w:tc>
          <w:tcPr>
            <w:tcW w:w="1054" w:type="pct"/>
          </w:tcPr>
          <w:p w:rsidR="00F90350" w:rsidRPr="00F43D2E" w:rsidRDefault="00C17E06" w:rsidP="00AF5D62">
            <w:pPr>
              <w:spacing w:line="240" w:lineRule="auto"/>
              <w:rPr>
                <w:color w:val="000000"/>
                <w:sz w:val="16"/>
                <w:szCs w:val="16"/>
                <w:lang w:val="en-GB"/>
              </w:rPr>
            </w:pPr>
            <w:r w:rsidRPr="00F43D2E">
              <w:rPr>
                <w:color w:val="000000"/>
                <w:sz w:val="16"/>
                <w:szCs w:val="16"/>
                <w:lang w:val="en-GB"/>
              </w:rPr>
              <w:t xml:space="preserve">Monetary policy remained still loose in the first half-year, the exchange rate of </w:t>
            </w:r>
            <w:r w:rsidR="00A95742">
              <w:rPr>
                <w:color w:val="000000"/>
                <w:sz w:val="16"/>
                <w:szCs w:val="16"/>
                <w:lang w:val="en-GB"/>
              </w:rPr>
              <w:t>Koruna</w:t>
            </w:r>
            <w:r w:rsidRPr="00F43D2E">
              <w:rPr>
                <w:color w:val="000000"/>
                <w:sz w:val="16"/>
                <w:szCs w:val="16"/>
                <w:lang w:val="en-GB"/>
              </w:rPr>
              <w:t xml:space="preserve"> against euro slightly appreciated year-on-year in relation to both euro and dollar</w:t>
            </w:r>
          </w:p>
        </w:tc>
        <w:tc>
          <w:tcPr>
            <w:tcW w:w="143" w:type="pct"/>
          </w:tcPr>
          <w:p w:rsidR="00F90350" w:rsidRPr="00F43D2E" w:rsidRDefault="00F90350" w:rsidP="00AF5D62">
            <w:pPr>
              <w:pStyle w:val="Textpoznpodarou"/>
              <w:jc w:val="both"/>
              <w:rPr>
                <w:lang w:val="en-GB"/>
              </w:rPr>
            </w:pPr>
          </w:p>
        </w:tc>
        <w:tc>
          <w:tcPr>
            <w:tcW w:w="3803" w:type="pct"/>
          </w:tcPr>
          <w:p w:rsidR="00F90350" w:rsidRPr="00F43D2E" w:rsidRDefault="00C17E06" w:rsidP="00AF5D62">
            <w:pPr>
              <w:pStyle w:val="Textpoznpodarou"/>
              <w:jc w:val="both"/>
              <w:rPr>
                <w:lang w:val="en-GB"/>
              </w:rPr>
            </w:pPr>
            <w:r w:rsidRPr="00F43D2E">
              <w:rPr>
                <w:lang w:val="en-GB"/>
              </w:rPr>
              <w:t>Loose monetary policy of the CR was still prevailing in the fi</w:t>
            </w:r>
            <w:r w:rsidR="00B17ACB" w:rsidRPr="00F43D2E">
              <w:rPr>
                <w:lang w:val="en-GB"/>
              </w:rPr>
              <w:t>r</w:t>
            </w:r>
            <w:r w:rsidRPr="00F43D2E">
              <w:rPr>
                <w:lang w:val="en-GB"/>
              </w:rPr>
              <w:t xml:space="preserve">st half year, stimulating both the economic growth of the local economy and the price growth. </w:t>
            </w:r>
            <w:r w:rsidR="00B17ACB" w:rsidRPr="00F43D2E">
              <w:rPr>
                <w:lang w:val="en-GB"/>
              </w:rPr>
              <w:t>2W repo rate as well as the discount rate (0.</w:t>
            </w:r>
            <w:r w:rsidR="00CC06C7">
              <w:rPr>
                <w:lang w:val="en-GB"/>
              </w:rPr>
              <w:t>05</w:t>
            </w:r>
            <w:r w:rsidR="00B17ACB" w:rsidRPr="00F43D2E">
              <w:rPr>
                <w:lang w:val="en-GB"/>
              </w:rPr>
              <w:t>%) also remained unchanged in the second quarter and the Lombard</w:t>
            </w:r>
            <w:r w:rsidR="00CC06C7">
              <w:rPr>
                <w:lang w:val="en-GB"/>
              </w:rPr>
              <w:t xml:space="preserve"> rate also did not change (0.25</w:t>
            </w:r>
            <w:r w:rsidR="00B17ACB" w:rsidRPr="00F43D2E">
              <w:rPr>
                <w:lang w:val="en-GB"/>
              </w:rPr>
              <w:t xml:space="preserve">%). The exchange rate of </w:t>
            </w:r>
            <w:r w:rsidR="00A95742">
              <w:rPr>
                <w:lang w:val="en-GB"/>
              </w:rPr>
              <w:t>Koruna</w:t>
            </w:r>
            <w:r w:rsidR="00B17ACB" w:rsidRPr="00F43D2E">
              <w:rPr>
                <w:lang w:val="en-GB"/>
              </w:rPr>
              <w:t xml:space="preserve"> against euro is regulated by the CNB commitment since November 2013. </w:t>
            </w:r>
            <w:r w:rsidRPr="00F43D2E">
              <w:rPr>
                <w:lang w:val="en-GB"/>
              </w:rPr>
              <w:t xml:space="preserve">Exchange rate of </w:t>
            </w:r>
            <w:r w:rsidR="00A95742">
              <w:rPr>
                <w:lang w:val="en-GB"/>
              </w:rPr>
              <w:t>Koruna</w:t>
            </w:r>
            <w:r w:rsidRPr="00F43D2E">
              <w:rPr>
                <w:lang w:val="en-GB"/>
              </w:rPr>
              <w:t xml:space="preserve"> against the American dollar fluctuates around </w:t>
            </w:r>
            <w:r w:rsidR="00A95742">
              <w:rPr>
                <w:lang w:val="en-GB"/>
              </w:rPr>
              <w:t xml:space="preserve">CZK </w:t>
            </w:r>
            <w:r w:rsidRPr="00F43D2E">
              <w:rPr>
                <w:lang w:val="en-GB"/>
              </w:rPr>
              <w:t xml:space="preserve">25 </w:t>
            </w:r>
            <w:r w:rsidR="00A95742">
              <w:rPr>
                <w:lang w:val="en-GB"/>
              </w:rPr>
              <w:t>to one dollar</w:t>
            </w:r>
            <w:r w:rsidRPr="00F43D2E">
              <w:rPr>
                <w:lang w:val="en-GB"/>
              </w:rPr>
              <w:t xml:space="preserve"> since the beginning of the last year; it fell to</w:t>
            </w:r>
            <w:r w:rsidR="00A95742">
              <w:rPr>
                <w:lang w:val="en-GB"/>
              </w:rPr>
              <w:t xml:space="preserve"> CZK</w:t>
            </w:r>
            <w:r w:rsidRPr="00F43D2E">
              <w:rPr>
                <w:lang w:val="en-GB"/>
              </w:rPr>
              <w:t xml:space="preserve"> 23.945</w:t>
            </w:r>
            <w:r w:rsidR="00A95742">
              <w:rPr>
                <w:lang w:val="en-GB"/>
              </w:rPr>
              <w:t xml:space="preserve"> to one dollar </w:t>
            </w:r>
            <w:r w:rsidRPr="00F43D2E">
              <w:rPr>
                <w:lang w:val="en-GB"/>
              </w:rPr>
              <w:t xml:space="preserve">in Q2 2016. The </w:t>
            </w:r>
            <w:r w:rsidR="00A95742">
              <w:rPr>
                <w:lang w:val="en-GB"/>
              </w:rPr>
              <w:t>Koruna</w:t>
            </w:r>
            <w:r w:rsidR="00A95742" w:rsidRPr="00F43D2E">
              <w:rPr>
                <w:lang w:val="en-GB"/>
              </w:rPr>
              <w:t xml:space="preserve"> </w:t>
            </w:r>
            <w:r w:rsidRPr="00F43D2E">
              <w:rPr>
                <w:lang w:val="en-GB"/>
              </w:rPr>
              <w:t>w</w:t>
            </w:r>
            <w:r w:rsidR="00CC06C7">
              <w:rPr>
                <w:lang w:val="en-GB"/>
              </w:rPr>
              <w:t>as against euro stronger by 1.2</w:t>
            </w:r>
            <w:r w:rsidRPr="00F43D2E">
              <w:rPr>
                <w:lang w:val="en-GB"/>
              </w:rPr>
              <w:t xml:space="preserve">% in the year-on-year comparison in Q2 2016 and remained at the same level as in Q1 2016 (close to the boundary of </w:t>
            </w:r>
            <w:r w:rsidR="00A95742">
              <w:rPr>
                <w:lang w:val="en-GB"/>
              </w:rPr>
              <w:t xml:space="preserve">CZK </w:t>
            </w:r>
            <w:r w:rsidRPr="00F43D2E">
              <w:rPr>
                <w:lang w:val="en-GB"/>
              </w:rPr>
              <w:t xml:space="preserve">27 </w:t>
            </w:r>
            <w:r w:rsidR="00A95742">
              <w:rPr>
                <w:lang w:val="en-GB"/>
              </w:rPr>
              <w:t>to euro</w:t>
            </w:r>
            <w:r w:rsidRPr="00F43D2E">
              <w:rPr>
                <w:lang w:val="en-GB"/>
              </w:rPr>
              <w:t>). The money stock expressed by the harmonised monetar</w:t>
            </w:r>
            <w:r w:rsidR="00CC06C7">
              <w:rPr>
                <w:lang w:val="en-GB"/>
              </w:rPr>
              <w:t>y aggregate M3 increased by 9.7</w:t>
            </w:r>
            <w:r w:rsidRPr="00F43D2E">
              <w:rPr>
                <w:lang w:val="en-GB"/>
              </w:rPr>
              <w:t>% year-on-year in June 2016.</w:t>
            </w:r>
          </w:p>
          <w:p w:rsidR="00C17E06" w:rsidRPr="00F43D2E" w:rsidRDefault="00C17E06" w:rsidP="00AF5D62">
            <w:pPr>
              <w:pStyle w:val="Textpoznpodarou"/>
              <w:jc w:val="both"/>
              <w:rPr>
                <w:spacing w:val="-4"/>
                <w:sz w:val="14"/>
                <w:szCs w:val="14"/>
                <w:lang w:val="en-GB"/>
              </w:rPr>
            </w:pPr>
          </w:p>
        </w:tc>
      </w:tr>
      <w:tr w:rsidR="00F90350" w:rsidRPr="00F43D2E" w:rsidTr="00AF5D62">
        <w:tc>
          <w:tcPr>
            <w:tcW w:w="1054" w:type="pct"/>
            <w:shd w:val="clear" w:color="auto" w:fill="auto"/>
          </w:tcPr>
          <w:p w:rsidR="00F90350" w:rsidRPr="00F43D2E" w:rsidRDefault="002365BA" w:rsidP="00AF5D62">
            <w:pPr>
              <w:spacing w:line="240" w:lineRule="auto"/>
              <w:rPr>
                <w:color w:val="000000"/>
                <w:sz w:val="16"/>
                <w:szCs w:val="16"/>
                <w:lang w:val="en-GB"/>
              </w:rPr>
            </w:pPr>
            <w:r w:rsidRPr="00F43D2E">
              <w:rPr>
                <w:color w:val="000000"/>
                <w:sz w:val="16"/>
                <w:szCs w:val="16"/>
                <w:lang w:val="en-GB"/>
              </w:rPr>
              <w:t>Mostly the one day deposits affected the growth of the money stock year-on-year</w:t>
            </w:r>
          </w:p>
        </w:tc>
        <w:tc>
          <w:tcPr>
            <w:tcW w:w="143" w:type="pct"/>
          </w:tcPr>
          <w:p w:rsidR="00F90350" w:rsidRPr="00F43D2E" w:rsidRDefault="00F90350" w:rsidP="00AF5D62">
            <w:pPr>
              <w:pStyle w:val="Textpoznpodarou"/>
              <w:jc w:val="both"/>
              <w:rPr>
                <w:lang w:val="en-GB"/>
              </w:rPr>
            </w:pPr>
          </w:p>
        </w:tc>
        <w:tc>
          <w:tcPr>
            <w:tcW w:w="3803" w:type="pct"/>
          </w:tcPr>
          <w:p w:rsidR="00F90350" w:rsidRPr="00F43D2E" w:rsidRDefault="002365BA" w:rsidP="002365BA">
            <w:pPr>
              <w:pStyle w:val="Textpoznpodarou"/>
              <w:jc w:val="both"/>
              <w:rPr>
                <w:lang w:val="en-GB"/>
              </w:rPr>
            </w:pPr>
            <w:r w:rsidRPr="00F43D2E">
              <w:rPr>
                <w:lang w:val="en-GB"/>
              </w:rPr>
              <w:t xml:space="preserve">Money stock (M3) reached the size of 3 708 </w:t>
            </w:r>
            <w:r w:rsidR="007A46C3" w:rsidRPr="00F43D2E">
              <w:rPr>
                <w:lang w:val="en-GB"/>
              </w:rPr>
              <w:t>CZK bn</w:t>
            </w:r>
            <w:r w:rsidRPr="00F43D2E">
              <w:rPr>
                <w:lang w:val="en-GB"/>
              </w:rPr>
              <w:t xml:space="preserve"> by the end of Q2 2016. </w:t>
            </w:r>
            <w:r w:rsidR="007B03A6">
              <w:rPr>
                <w:lang w:val="en-GB"/>
              </w:rPr>
              <w:t>The y</w:t>
            </w:r>
            <w:r w:rsidR="007B03A6" w:rsidRPr="00F43D2E">
              <w:rPr>
                <w:lang w:val="en-GB"/>
              </w:rPr>
              <w:t xml:space="preserve">ear-on-year growth of 380.8 CZK bn </w:t>
            </w:r>
            <w:r w:rsidR="007B03A6">
              <w:rPr>
                <w:lang w:val="en-GB"/>
              </w:rPr>
              <w:t xml:space="preserve">was induced by </w:t>
            </w:r>
            <w:r w:rsidRPr="00F43D2E">
              <w:rPr>
                <w:lang w:val="en-GB"/>
              </w:rPr>
              <w:t xml:space="preserve"> the increase of the volume of the most liquid money – one-day deposits (by 305 </w:t>
            </w:r>
            <w:r w:rsidR="007A46C3" w:rsidRPr="00F43D2E">
              <w:rPr>
                <w:lang w:val="en-GB"/>
              </w:rPr>
              <w:t>CZK bn</w:t>
            </w:r>
            <w:r w:rsidRPr="00F43D2E">
              <w:rPr>
                <w:lang w:val="en-GB"/>
              </w:rPr>
              <w:t xml:space="preserve">) and currency (by 41 </w:t>
            </w:r>
            <w:r w:rsidR="007A46C3" w:rsidRPr="00F43D2E">
              <w:rPr>
                <w:lang w:val="en-GB"/>
              </w:rPr>
              <w:t xml:space="preserve">CZK </w:t>
            </w:r>
            <w:proofErr w:type="spellStart"/>
            <w:r w:rsidR="007A46C3" w:rsidRPr="00F43D2E">
              <w:rPr>
                <w:lang w:val="en-GB"/>
              </w:rPr>
              <w:t>bn</w:t>
            </w:r>
            <w:proofErr w:type="spellEnd"/>
            <w:r w:rsidRPr="00F43D2E">
              <w:rPr>
                <w:lang w:val="en-GB"/>
              </w:rPr>
              <w:t>)</w:t>
            </w:r>
            <w:r w:rsidR="007B03A6">
              <w:rPr>
                <w:lang w:val="en-GB"/>
              </w:rPr>
              <w:t>.</w:t>
            </w:r>
            <w:r w:rsidRPr="00F43D2E">
              <w:rPr>
                <w:lang w:val="en-GB"/>
              </w:rPr>
              <w:t>. Their highest share on the money stock (M3) is also</w:t>
            </w:r>
            <w:r w:rsidR="00CC06C7">
              <w:rPr>
                <w:lang w:val="en-GB"/>
              </w:rPr>
              <w:t xml:space="preserve"> the evidence, arriving at 88.2</w:t>
            </w:r>
            <w:r w:rsidRPr="00F43D2E">
              <w:rPr>
                <w:lang w:val="en-GB"/>
              </w:rPr>
              <w:t xml:space="preserve">% in Q2 2016. On the contrary, the deposits with maturity within two years nearly continuously fall in the environment of low interest rates since September 2012 (by 35.5 </w:t>
            </w:r>
            <w:r w:rsidR="007A46C3" w:rsidRPr="00F43D2E">
              <w:rPr>
                <w:lang w:val="en-GB"/>
              </w:rPr>
              <w:t>CZK bn</w:t>
            </w:r>
            <w:r w:rsidRPr="00F43D2E">
              <w:rPr>
                <w:lang w:val="en-GB"/>
              </w:rPr>
              <w:t xml:space="preserve"> compared to Q2 2015), similarly to notice deposits up to three months, which declined by 32.6 bn. The less liquid money include repo operations, securities in funds of the financial market and bonds with maturity up to two ye</w:t>
            </w:r>
            <w:r w:rsidR="00CC06C7">
              <w:rPr>
                <w:lang w:val="en-GB"/>
              </w:rPr>
              <w:t>ars, which comprise less than 1</w:t>
            </w:r>
            <w:r w:rsidRPr="00F43D2E">
              <w:rPr>
                <w:lang w:val="en-GB"/>
              </w:rPr>
              <w:t>% of the money stock</w:t>
            </w:r>
            <w:r w:rsidR="007B03A6">
              <w:rPr>
                <w:lang w:val="en-GB"/>
              </w:rPr>
              <w:t>.</w:t>
            </w:r>
            <w:r w:rsidRPr="00F43D2E">
              <w:rPr>
                <w:lang w:val="en-GB"/>
              </w:rPr>
              <w:t xml:space="preserve"> These increased from 10 </w:t>
            </w:r>
            <w:r w:rsidR="007A46C3" w:rsidRPr="00F43D2E">
              <w:rPr>
                <w:lang w:val="en-GB"/>
              </w:rPr>
              <w:t>CZK bn</w:t>
            </w:r>
            <w:r w:rsidRPr="00F43D2E">
              <w:rPr>
                <w:lang w:val="en-GB"/>
              </w:rPr>
              <w:t xml:space="preserve"> in June 2015 to 17 bn in June 2016. </w:t>
            </w:r>
          </w:p>
          <w:p w:rsidR="002365BA" w:rsidRPr="00F43D2E" w:rsidRDefault="002365BA" w:rsidP="002365BA">
            <w:pPr>
              <w:pStyle w:val="Textpoznpodarou"/>
              <w:jc w:val="both"/>
              <w:rPr>
                <w:spacing w:val="-4"/>
                <w:sz w:val="14"/>
                <w:szCs w:val="14"/>
                <w:lang w:val="en-GB"/>
              </w:rPr>
            </w:pPr>
          </w:p>
        </w:tc>
      </w:tr>
      <w:tr w:rsidR="00F90350" w:rsidRPr="00F43D2E" w:rsidTr="00AF5D62">
        <w:tc>
          <w:tcPr>
            <w:tcW w:w="1054" w:type="pct"/>
            <w:shd w:val="clear" w:color="auto" w:fill="auto"/>
          </w:tcPr>
          <w:p w:rsidR="00F90350" w:rsidRPr="00F43D2E" w:rsidRDefault="00A76965" w:rsidP="00AF5D62">
            <w:pPr>
              <w:spacing w:line="240" w:lineRule="auto"/>
              <w:rPr>
                <w:color w:val="000000"/>
                <w:sz w:val="16"/>
                <w:szCs w:val="16"/>
                <w:lang w:val="en-GB"/>
              </w:rPr>
            </w:pPr>
            <w:r w:rsidRPr="00F43D2E">
              <w:rPr>
                <w:color w:val="000000"/>
                <w:sz w:val="16"/>
                <w:szCs w:val="16"/>
                <w:lang w:val="en-GB"/>
              </w:rPr>
              <w:t>Long-term preference for liquidity prevails</w:t>
            </w:r>
          </w:p>
        </w:tc>
        <w:tc>
          <w:tcPr>
            <w:tcW w:w="143" w:type="pct"/>
          </w:tcPr>
          <w:p w:rsidR="00F90350" w:rsidRPr="00F43D2E" w:rsidRDefault="00F90350" w:rsidP="00AF5D62">
            <w:pPr>
              <w:pStyle w:val="Textpoznpodarou"/>
              <w:jc w:val="both"/>
              <w:rPr>
                <w:lang w:val="en-GB"/>
              </w:rPr>
            </w:pPr>
          </w:p>
        </w:tc>
        <w:tc>
          <w:tcPr>
            <w:tcW w:w="3803" w:type="pct"/>
          </w:tcPr>
          <w:p w:rsidR="00F90350" w:rsidRPr="00F43D2E" w:rsidRDefault="00A76965" w:rsidP="00AF5D62">
            <w:pPr>
              <w:pStyle w:val="Textpoznpodarou"/>
              <w:jc w:val="both"/>
              <w:rPr>
                <w:spacing w:val="-4"/>
                <w:lang w:val="en-GB"/>
              </w:rPr>
            </w:pPr>
            <w:r w:rsidRPr="00F43D2E">
              <w:rPr>
                <w:lang w:val="en-GB"/>
              </w:rPr>
              <w:t xml:space="preserve">Long-term rise of the preference for liquidity on the part of depositors (enhanced by the low interest rates on deposits with </w:t>
            </w:r>
            <w:r w:rsidR="007F02FE" w:rsidRPr="00F43D2E">
              <w:rPr>
                <w:lang w:val="en-GB"/>
              </w:rPr>
              <w:t xml:space="preserve">agreed </w:t>
            </w:r>
            <w:r w:rsidRPr="00F43D2E">
              <w:rPr>
                <w:lang w:val="en-GB"/>
              </w:rPr>
              <w:t>maturity and deposits</w:t>
            </w:r>
            <w:r w:rsidR="007F02FE" w:rsidRPr="00F43D2E">
              <w:rPr>
                <w:lang w:val="en-GB"/>
              </w:rPr>
              <w:t xml:space="preserve"> redeemable at notice</w:t>
            </w:r>
            <w:r w:rsidRPr="00F43D2E">
              <w:rPr>
                <w:lang w:val="en-GB"/>
              </w:rPr>
              <w:t xml:space="preserve">) is apparent mainly for households and non-financial businesses (with the </w:t>
            </w:r>
            <w:r w:rsidR="006A0F1B" w:rsidRPr="00F43D2E">
              <w:rPr>
                <w:lang w:val="en-GB"/>
              </w:rPr>
              <w:t>fact that</w:t>
            </w:r>
            <w:r w:rsidRPr="00F43D2E">
              <w:rPr>
                <w:lang w:val="en-GB"/>
              </w:rPr>
              <w:t xml:space="preserve"> deposit</w:t>
            </w:r>
            <w:r w:rsidR="00CC06C7">
              <w:rPr>
                <w:lang w:val="en-GB"/>
              </w:rPr>
              <w:t>s of these sectors comprised 84</w:t>
            </w:r>
            <w:r w:rsidRPr="00F43D2E">
              <w:rPr>
                <w:lang w:val="en-GB"/>
              </w:rPr>
              <w:t>% of the resident deposits in Q2). One-day house</w:t>
            </w:r>
            <w:r w:rsidR="00CC06C7">
              <w:rPr>
                <w:lang w:val="en-GB"/>
              </w:rPr>
              <w:t>hold deposits increased by 13.3</w:t>
            </w:r>
            <w:r w:rsidRPr="00F43D2E">
              <w:rPr>
                <w:lang w:val="en-GB"/>
              </w:rPr>
              <w:t xml:space="preserve">% year-on-year and deposits of </w:t>
            </w:r>
            <w:r w:rsidR="00CC06C7">
              <w:rPr>
                <w:lang w:val="en-GB"/>
              </w:rPr>
              <w:t>non-financial businesses by 9.6</w:t>
            </w:r>
            <w:r w:rsidRPr="00F43D2E">
              <w:rPr>
                <w:lang w:val="en-GB"/>
              </w:rPr>
              <w:t>%.</w:t>
            </w:r>
            <w:r w:rsidR="00F90350" w:rsidRPr="00F43D2E">
              <w:rPr>
                <w:spacing w:val="-4"/>
                <w:lang w:val="en-GB"/>
              </w:rPr>
              <w:t xml:space="preserve">  </w:t>
            </w:r>
          </w:p>
          <w:p w:rsidR="00F90350" w:rsidRPr="00F43D2E" w:rsidRDefault="00F90350" w:rsidP="00AF5D62">
            <w:pPr>
              <w:pStyle w:val="Textpoznpodarou"/>
              <w:jc w:val="both"/>
              <w:rPr>
                <w:spacing w:val="-4"/>
                <w:sz w:val="14"/>
                <w:szCs w:val="14"/>
                <w:lang w:val="en-GB"/>
              </w:rPr>
            </w:pPr>
          </w:p>
        </w:tc>
      </w:tr>
      <w:tr w:rsidR="00F90350" w:rsidRPr="00F43D2E" w:rsidTr="00AF5D62">
        <w:tc>
          <w:tcPr>
            <w:tcW w:w="1054" w:type="pct"/>
            <w:shd w:val="clear" w:color="auto" w:fill="auto"/>
          </w:tcPr>
          <w:p w:rsidR="00F90350" w:rsidRPr="00F43D2E" w:rsidRDefault="00A76965" w:rsidP="00AF5D62">
            <w:pPr>
              <w:spacing w:line="240" w:lineRule="auto"/>
              <w:rPr>
                <w:color w:val="000000"/>
                <w:sz w:val="16"/>
                <w:szCs w:val="16"/>
                <w:lang w:val="en-GB"/>
              </w:rPr>
            </w:pPr>
            <w:r w:rsidRPr="00F43D2E">
              <w:rPr>
                <w:color w:val="000000"/>
                <w:sz w:val="16"/>
                <w:szCs w:val="16"/>
                <w:lang w:val="en-GB"/>
              </w:rPr>
              <w:t>Average yields of government bonds remain record low, even negative in some cases</w:t>
            </w:r>
          </w:p>
        </w:tc>
        <w:tc>
          <w:tcPr>
            <w:tcW w:w="143" w:type="pct"/>
          </w:tcPr>
          <w:p w:rsidR="00F90350" w:rsidRPr="00F43D2E" w:rsidRDefault="00F90350" w:rsidP="00AF5D62">
            <w:pPr>
              <w:pStyle w:val="Textpoznpodarou"/>
              <w:jc w:val="both"/>
              <w:rPr>
                <w:lang w:val="en-GB"/>
              </w:rPr>
            </w:pPr>
          </w:p>
        </w:tc>
        <w:tc>
          <w:tcPr>
            <w:tcW w:w="3803" w:type="pct"/>
          </w:tcPr>
          <w:p w:rsidR="00F90350" w:rsidRPr="00F43D2E" w:rsidRDefault="00A76965" w:rsidP="00AF5D62">
            <w:pPr>
              <w:pStyle w:val="Textpoznpodarou"/>
              <w:jc w:val="both"/>
              <w:rPr>
                <w:spacing w:val="-4"/>
                <w:lang w:val="en-GB"/>
              </w:rPr>
            </w:pPr>
            <w:r w:rsidRPr="00F43D2E">
              <w:rPr>
                <w:lang w:val="en-GB"/>
              </w:rPr>
              <w:t xml:space="preserve">Market interest rates still remain at the record low levels in the Czech </w:t>
            </w:r>
            <w:r w:rsidR="00C45806" w:rsidRPr="00F43D2E">
              <w:rPr>
                <w:lang w:val="en-GB"/>
              </w:rPr>
              <w:t>R</w:t>
            </w:r>
            <w:r w:rsidRPr="00F43D2E">
              <w:rPr>
                <w:lang w:val="en-GB"/>
              </w:rPr>
              <w:t xml:space="preserve">epublic. Rates on the interbank market reflect nearly zero basic monetary-political rates of the CNB. Discount rate, which is projected into the interest calculation for deposits of commercial banks, </w:t>
            </w:r>
            <w:r w:rsidR="004447F3" w:rsidRPr="00F43D2E">
              <w:rPr>
                <w:lang w:val="en-GB"/>
              </w:rPr>
              <w:t xml:space="preserve">has still remained </w:t>
            </w:r>
            <w:r w:rsidR="00CC06C7">
              <w:rPr>
                <w:lang w:val="en-GB"/>
              </w:rPr>
              <w:t>0.05</w:t>
            </w:r>
            <w:r w:rsidRPr="00F43D2E">
              <w:rPr>
                <w:lang w:val="en-GB"/>
              </w:rPr>
              <w:t>% since the end of 2012, similarly to the repo rate. Lombar</w:t>
            </w:r>
            <w:r w:rsidR="007B03A6">
              <w:rPr>
                <w:lang w:val="en-GB"/>
              </w:rPr>
              <w:t>d</w:t>
            </w:r>
            <w:r w:rsidRPr="00F43D2E">
              <w:rPr>
                <w:lang w:val="en-GB"/>
              </w:rPr>
              <w:t xml:space="preserve"> rate from the provided credit to commercial banks also </w:t>
            </w:r>
            <w:r w:rsidR="00CC06C7">
              <w:rPr>
                <w:lang w:val="en-GB"/>
              </w:rPr>
              <w:t>remains at the same level (0.25</w:t>
            </w:r>
            <w:r w:rsidRPr="00F43D2E">
              <w:rPr>
                <w:lang w:val="en-GB"/>
              </w:rPr>
              <w:t>%). The average yield on the ten-yea</w:t>
            </w:r>
            <w:r w:rsidR="00CC06C7">
              <w:rPr>
                <w:lang w:val="en-GB"/>
              </w:rPr>
              <w:t>r government bonds is below 0.5</w:t>
            </w:r>
            <w:r w:rsidRPr="00F43D2E">
              <w:rPr>
                <w:lang w:val="en-GB"/>
              </w:rPr>
              <w:t>% since Nov</w:t>
            </w:r>
            <w:r w:rsidR="00CC06C7">
              <w:rPr>
                <w:lang w:val="en-GB"/>
              </w:rPr>
              <w:t>ember 2015; it amounted to 0.45</w:t>
            </w:r>
            <w:r w:rsidRPr="00F43D2E">
              <w:rPr>
                <w:lang w:val="en-GB"/>
              </w:rPr>
              <w:t>% in June 2016. With respect to the state bonds with a remain</w:t>
            </w:r>
            <w:r w:rsidR="00235541">
              <w:rPr>
                <w:lang w:val="en-GB"/>
              </w:rPr>
              <w:t>ing maturity of 2 years, their “yields”</w:t>
            </w:r>
            <w:r w:rsidRPr="00F43D2E">
              <w:rPr>
                <w:lang w:val="en-GB"/>
              </w:rPr>
              <w:t xml:space="preserve"> have been </w:t>
            </w:r>
            <w:r w:rsidR="00CC06C7">
              <w:rPr>
                <w:lang w:val="en-GB"/>
              </w:rPr>
              <w:t>negative since July 2015 (-0.05% in June 2016 compared to 0.11</w:t>
            </w:r>
            <w:r w:rsidRPr="00F43D2E">
              <w:rPr>
                <w:lang w:val="en-GB"/>
              </w:rPr>
              <w:t>% in June 2015). All PRIBOR interest rates stay basically at the same level in the second quarter of 2016, specifically since October 2015, with one-day PRIBOR showing th</w:t>
            </w:r>
            <w:r w:rsidR="00CC06C7">
              <w:rPr>
                <w:lang w:val="en-GB"/>
              </w:rPr>
              <w:t>e relatively lowest rate ( 0.13</w:t>
            </w:r>
            <w:r w:rsidRPr="00F43D2E">
              <w:rPr>
                <w:lang w:val="en-GB"/>
              </w:rPr>
              <w:t>%) and 9month PRIBOR re</w:t>
            </w:r>
            <w:r w:rsidR="00CC06C7">
              <w:rPr>
                <w:lang w:val="en-GB"/>
              </w:rPr>
              <w:t>latively the highest rate (0.41</w:t>
            </w:r>
            <w:r w:rsidRPr="00F43D2E">
              <w:rPr>
                <w:lang w:val="en-GB"/>
              </w:rPr>
              <w:t>% since February 2016).</w:t>
            </w:r>
            <w:r w:rsidRPr="00F43D2E">
              <w:rPr>
                <w:spacing w:val="-4"/>
                <w:lang w:val="en-GB"/>
              </w:rPr>
              <w:t xml:space="preserve">  </w:t>
            </w:r>
          </w:p>
          <w:p w:rsidR="00F90350" w:rsidRPr="00F43D2E" w:rsidRDefault="00F90350" w:rsidP="00AF5D62">
            <w:pPr>
              <w:pStyle w:val="Textpoznpodarou"/>
              <w:jc w:val="both"/>
              <w:rPr>
                <w:spacing w:val="-4"/>
                <w:sz w:val="6"/>
                <w:szCs w:val="6"/>
                <w:lang w:val="en-GB"/>
              </w:rPr>
            </w:pPr>
          </w:p>
        </w:tc>
      </w:tr>
      <w:tr w:rsidR="00F90350" w:rsidRPr="00F43D2E" w:rsidTr="00AF5D62">
        <w:tc>
          <w:tcPr>
            <w:tcW w:w="1054" w:type="pct"/>
            <w:shd w:val="clear" w:color="auto" w:fill="auto"/>
          </w:tcPr>
          <w:p w:rsidR="00F90350" w:rsidRPr="00F43D2E" w:rsidRDefault="00D27941" w:rsidP="00AF5D62">
            <w:pPr>
              <w:spacing w:line="240" w:lineRule="auto"/>
              <w:rPr>
                <w:color w:val="000000"/>
                <w:sz w:val="16"/>
                <w:szCs w:val="16"/>
                <w:lang w:val="en-GB"/>
              </w:rPr>
            </w:pPr>
            <w:r w:rsidRPr="00F43D2E">
              <w:rPr>
                <w:color w:val="000000"/>
                <w:sz w:val="16"/>
                <w:szCs w:val="16"/>
                <w:lang w:val="en-GB"/>
              </w:rPr>
              <w:t>Savers face historically the lowest interest rates on their deposits</w:t>
            </w:r>
          </w:p>
        </w:tc>
        <w:tc>
          <w:tcPr>
            <w:tcW w:w="143" w:type="pct"/>
          </w:tcPr>
          <w:p w:rsidR="00F90350" w:rsidRPr="00F43D2E" w:rsidRDefault="00F90350" w:rsidP="00AF5D62">
            <w:pPr>
              <w:pStyle w:val="Textpoznpodarou"/>
              <w:jc w:val="both"/>
              <w:rPr>
                <w:lang w:val="en-GB"/>
              </w:rPr>
            </w:pPr>
          </w:p>
        </w:tc>
        <w:tc>
          <w:tcPr>
            <w:tcW w:w="3803" w:type="pct"/>
          </w:tcPr>
          <w:p w:rsidR="00F90350" w:rsidRPr="00F43D2E" w:rsidRDefault="00D27941" w:rsidP="00AF5D62">
            <w:pPr>
              <w:pStyle w:val="Textpoznpodarou"/>
              <w:jc w:val="both"/>
              <w:rPr>
                <w:spacing w:val="-4"/>
                <w:lang w:val="en-GB"/>
              </w:rPr>
            </w:pPr>
            <w:r w:rsidRPr="00F43D2E">
              <w:rPr>
                <w:lang w:val="en-GB"/>
              </w:rPr>
              <w:t>Development on the financial markets also transmits into the low level of interest rates – deposit rates and credit rates. Interest rates on the newly contracted one-day deposits of household and</w:t>
            </w:r>
            <w:r w:rsidR="001D7390" w:rsidRPr="00F43D2E">
              <w:rPr>
                <w:lang w:val="en-GB"/>
              </w:rPr>
              <w:t xml:space="preserve"> non-profit institutions serving households (NPISH) </w:t>
            </w:r>
            <w:r w:rsidRPr="00F43D2E">
              <w:rPr>
                <w:lang w:val="en-GB"/>
              </w:rPr>
              <w:t>have been falling in the long-term and amounted to 0</w:t>
            </w:r>
            <w:r w:rsidR="00CC06C7">
              <w:rPr>
                <w:lang w:val="en-GB"/>
              </w:rPr>
              <w:t>.15</w:t>
            </w:r>
            <w:r w:rsidRPr="00F43D2E">
              <w:rPr>
                <w:lang w:val="en-GB"/>
              </w:rPr>
              <w:t>% in June 2016 as the lowest i</w:t>
            </w:r>
            <w:r w:rsidR="00CC06C7">
              <w:rPr>
                <w:lang w:val="en-GB"/>
              </w:rPr>
              <w:t>n the history (compared to 0.19</w:t>
            </w:r>
            <w:r w:rsidRPr="00F43D2E">
              <w:rPr>
                <w:lang w:val="en-GB"/>
              </w:rPr>
              <w:t>% in June 2015). The non-financial businesses also attained a record low yields on the</w:t>
            </w:r>
            <w:r w:rsidR="00235541">
              <w:rPr>
                <w:lang w:val="en-GB"/>
              </w:rPr>
              <w:t>ir “new”</w:t>
            </w:r>
            <w:r w:rsidR="00CC06C7">
              <w:rPr>
                <w:lang w:val="en-GB"/>
              </w:rPr>
              <w:t xml:space="preserve"> one-day deposits (0.06%, compared to 0.12</w:t>
            </w:r>
            <w:r w:rsidRPr="00F43D2E">
              <w:rPr>
                <w:lang w:val="en-GB"/>
              </w:rPr>
              <w:t xml:space="preserve">% in June 2015). Rates on the term deposits (deposits with maturity and </w:t>
            </w:r>
            <w:r w:rsidR="001D7390" w:rsidRPr="00F43D2E">
              <w:rPr>
                <w:lang w:val="en-GB"/>
              </w:rPr>
              <w:t>at</w:t>
            </w:r>
            <w:r w:rsidRPr="00F43D2E">
              <w:rPr>
                <w:lang w:val="en-GB"/>
              </w:rPr>
              <w:t xml:space="preserve"> notice) also in total move around the low levels. Even though the interest rates from the term deposits of households and</w:t>
            </w:r>
            <w:r w:rsidR="001D7390" w:rsidRPr="00F43D2E">
              <w:rPr>
                <w:lang w:val="en-GB"/>
              </w:rPr>
              <w:t xml:space="preserve"> NPISH a</w:t>
            </w:r>
            <w:r w:rsidRPr="00F43D2E">
              <w:rPr>
                <w:lang w:val="en-GB"/>
              </w:rPr>
              <w:t>lso permanently fall, their level is higher in comparison to the rates for the non-financial businesses.</w:t>
            </w:r>
            <w:r w:rsidR="00CC06C7">
              <w:rPr>
                <w:lang w:val="en-GB"/>
              </w:rPr>
              <w:t xml:space="preserve"> They amounted to 1.27</w:t>
            </w:r>
            <w:r w:rsidRPr="00F43D2E">
              <w:rPr>
                <w:lang w:val="en-GB"/>
              </w:rPr>
              <w:t>% on the deposits with an agreed maturity for households and N</w:t>
            </w:r>
            <w:r w:rsidR="001D7390" w:rsidRPr="00F43D2E">
              <w:rPr>
                <w:lang w:val="en-GB"/>
              </w:rPr>
              <w:t xml:space="preserve">PISH </w:t>
            </w:r>
            <w:r w:rsidRPr="00F43D2E">
              <w:rPr>
                <w:lang w:val="en-GB"/>
              </w:rPr>
              <w:t>in the second quarter</w:t>
            </w:r>
            <w:r w:rsidR="00CC06C7">
              <w:rPr>
                <w:lang w:val="en-GB"/>
              </w:rPr>
              <w:t xml:space="preserve"> of this year (compared to 1.57</w:t>
            </w:r>
            <w:r w:rsidRPr="00F43D2E">
              <w:rPr>
                <w:lang w:val="en-GB"/>
              </w:rPr>
              <w:t>% in th</w:t>
            </w:r>
            <w:r w:rsidR="00CC06C7">
              <w:rPr>
                <w:lang w:val="en-GB"/>
              </w:rPr>
              <w:t>e same period of 2015) and 1.11</w:t>
            </w:r>
            <w:r w:rsidRPr="00F43D2E">
              <w:rPr>
                <w:lang w:val="en-GB"/>
              </w:rPr>
              <w:t xml:space="preserve">% </w:t>
            </w:r>
            <w:r w:rsidR="001D7390" w:rsidRPr="00F43D2E">
              <w:rPr>
                <w:lang w:val="en-GB"/>
              </w:rPr>
              <w:t xml:space="preserve">for </w:t>
            </w:r>
            <w:r w:rsidRPr="00F43D2E">
              <w:rPr>
                <w:lang w:val="en-GB"/>
              </w:rPr>
              <w:t>deposits</w:t>
            </w:r>
            <w:r w:rsidR="001D7390" w:rsidRPr="00F43D2E">
              <w:rPr>
                <w:lang w:val="en-GB"/>
              </w:rPr>
              <w:t xml:space="preserve"> redeemable at notice</w:t>
            </w:r>
            <w:r w:rsidR="00CC06C7">
              <w:rPr>
                <w:lang w:val="en-GB"/>
              </w:rPr>
              <w:t xml:space="preserve"> (against 1.4</w:t>
            </w:r>
            <w:r w:rsidRPr="00F43D2E">
              <w:rPr>
                <w:lang w:val="en-GB"/>
              </w:rPr>
              <w:t>%); interest rates on deposits with a</w:t>
            </w:r>
            <w:r w:rsidR="00CC06C7">
              <w:rPr>
                <w:lang w:val="en-GB"/>
              </w:rPr>
              <w:t xml:space="preserve">n agreed maturity added to </w:t>
            </w:r>
            <w:r w:rsidR="00CC06C7">
              <w:rPr>
                <w:lang w:val="en-GB"/>
              </w:rPr>
              <w:lastRenderedPageBreak/>
              <w:t>0.08</w:t>
            </w:r>
            <w:r w:rsidRPr="00F43D2E">
              <w:rPr>
                <w:lang w:val="en-GB"/>
              </w:rPr>
              <w:t>% for non-fin</w:t>
            </w:r>
            <w:r w:rsidR="00CC06C7">
              <w:rPr>
                <w:lang w:val="en-GB"/>
              </w:rPr>
              <w:t>ancial businesses (against 0.24%) and 0.47</w:t>
            </w:r>
            <w:r w:rsidRPr="00F43D2E">
              <w:rPr>
                <w:lang w:val="en-GB"/>
              </w:rPr>
              <w:t>% f</w:t>
            </w:r>
            <w:r w:rsidR="00CC06C7">
              <w:rPr>
                <w:lang w:val="en-GB"/>
              </w:rPr>
              <w:t>or notice deposits (against 0.7</w:t>
            </w:r>
            <w:r w:rsidRPr="00F43D2E">
              <w:rPr>
                <w:lang w:val="en-GB"/>
              </w:rPr>
              <w:t>%). </w:t>
            </w:r>
            <w:r w:rsidRPr="00F43D2E">
              <w:rPr>
                <w:spacing w:val="-4"/>
                <w:lang w:val="en-GB"/>
              </w:rPr>
              <w:t xml:space="preserve"> </w:t>
            </w:r>
          </w:p>
          <w:p w:rsidR="00F90350" w:rsidRPr="00F43D2E" w:rsidRDefault="00F90350" w:rsidP="00AF5D62">
            <w:pPr>
              <w:pStyle w:val="Textpoznpodarou"/>
              <w:jc w:val="both"/>
              <w:rPr>
                <w:spacing w:val="-4"/>
                <w:sz w:val="14"/>
                <w:szCs w:val="14"/>
                <w:lang w:val="en-GB"/>
              </w:rPr>
            </w:pPr>
          </w:p>
        </w:tc>
      </w:tr>
      <w:tr w:rsidR="00F90350" w:rsidRPr="00F43D2E" w:rsidTr="00AF5D62">
        <w:tc>
          <w:tcPr>
            <w:tcW w:w="1054" w:type="pct"/>
          </w:tcPr>
          <w:p w:rsidR="00F90350" w:rsidRPr="00F43D2E" w:rsidRDefault="00F1476A" w:rsidP="00F1476A">
            <w:pPr>
              <w:spacing w:line="240" w:lineRule="auto"/>
              <w:rPr>
                <w:color w:val="000000"/>
                <w:sz w:val="16"/>
                <w:szCs w:val="16"/>
                <w:lang w:val="en-GB"/>
              </w:rPr>
            </w:pPr>
            <w:r w:rsidRPr="00F43D2E">
              <w:rPr>
                <w:color w:val="000000"/>
                <w:sz w:val="16"/>
                <w:szCs w:val="16"/>
                <w:lang w:val="en-GB"/>
              </w:rPr>
              <w:lastRenderedPageBreak/>
              <w:t xml:space="preserve">Record low interest rates are also on mortgages and consumption </w:t>
            </w:r>
          </w:p>
        </w:tc>
        <w:tc>
          <w:tcPr>
            <w:tcW w:w="143" w:type="pct"/>
          </w:tcPr>
          <w:p w:rsidR="00F90350" w:rsidRPr="00F43D2E" w:rsidRDefault="00F90350" w:rsidP="00AF5D62">
            <w:pPr>
              <w:pStyle w:val="Textpoznpodarou"/>
              <w:jc w:val="both"/>
              <w:rPr>
                <w:lang w:val="en-GB"/>
              </w:rPr>
            </w:pPr>
          </w:p>
        </w:tc>
        <w:tc>
          <w:tcPr>
            <w:tcW w:w="3803" w:type="pct"/>
          </w:tcPr>
          <w:p w:rsidR="00F90350" w:rsidRPr="00F43D2E" w:rsidRDefault="00F1476A" w:rsidP="00AF5D62">
            <w:pPr>
              <w:pStyle w:val="Textpoznpodarou"/>
              <w:jc w:val="both"/>
              <w:rPr>
                <w:spacing w:val="-4"/>
                <w:lang w:val="en-GB"/>
              </w:rPr>
            </w:pPr>
            <w:r w:rsidRPr="00F43D2E">
              <w:rPr>
                <w:lang w:val="en-GB"/>
              </w:rPr>
              <w:t>Interest rates on mortgages and consumption provided to households and N</w:t>
            </w:r>
            <w:r w:rsidR="003B4683" w:rsidRPr="00F43D2E">
              <w:rPr>
                <w:lang w:val="en-GB"/>
              </w:rPr>
              <w:t>PISH</w:t>
            </w:r>
            <w:r w:rsidRPr="00F43D2E">
              <w:rPr>
                <w:lang w:val="en-GB"/>
              </w:rPr>
              <w:t xml:space="preserve"> show (with a certain small fluctuations) a permanent decrease since the year 2012. Interest rates on credit</w:t>
            </w:r>
            <w:r w:rsidR="00CC06C7">
              <w:rPr>
                <w:lang w:val="en-GB"/>
              </w:rPr>
              <w:t xml:space="preserve"> on consumption lowered to 10.7</w:t>
            </w:r>
            <w:r w:rsidRPr="00F43D2E">
              <w:rPr>
                <w:lang w:val="en-GB"/>
              </w:rPr>
              <w:t>% in June 2016 i</w:t>
            </w:r>
            <w:r w:rsidR="00CC06C7">
              <w:rPr>
                <w:lang w:val="en-GB"/>
              </w:rPr>
              <w:t>n comparison to June 2015 (12.6</w:t>
            </w:r>
            <w:r w:rsidRPr="00F43D2E">
              <w:rPr>
                <w:lang w:val="en-GB"/>
              </w:rPr>
              <w:t xml:space="preserve">%) and rates on purchase of the housing </w:t>
            </w:r>
            <w:r w:rsidR="00CC06C7">
              <w:rPr>
                <w:lang w:val="en-GB"/>
              </w:rPr>
              <w:t>real estate decreased from 2.51% to 2.25</w:t>
            </w:r>
            <w:r w:rsidRPr="00F43D2E">
              <w:rPr>
                <w:lang w:val="en-GB"/>
              </w:rPr>
              <w:t>% in the same time period. Interest rates on credit provided to the non-financial businesses (excluding overdraft, revolving credit, liabilities and c</w:t>
            </w:r>
            <w:r w:rsidR="00CC06C7">
              <w:rPr>
                <w:lang w:val="en-GB"/>
              </w:rPr>
              <w:t>redit cards) oscillate around 2% and increased to 2.12</w:t>
            </w:r>
            <w:r w:rsidRPr="00F43D2E">
              <w:rPr>
                <w:lang w:val="en-GB"/>
              </w:rPr>
              <w:t>% in Q</w:t>
            </w:r>
            <w:r w:rsidR="00CC06C7">
              <w:rPr>
                <w:lang w:val="en-GB"/>
              </w:rPr>
              <w:t>2 2016 from 1.92</w:t>
            </w:r>
            <w:r w:rsidRPr="00F43D2E">
              <w:rPr>
                <w:lang w:val="en-GB"/>
              </w:rPr>
              <w:t>% in Q2 2015.</w:t>
            </w:r>
          </w:p>
          <w:p w:rsidR="00F90350" w:rsidRPr="00F43D2E" w:rsidRDefault="00F90350" w:rsidP="00AF5D62">
            <w:pPr>
              <w:pStyle w:val="Textpoznpodarou"/>
              <w:jc w:val="both"/>
              <w:rPr>
                <w:spacing w:val="-4"/>
                <w:sz w:val="14"/>
                <w:szCs w:val="14"/>
                <w:lang w:val="en-GB"/>
              </w:rPr>
            </w:pPr>
          </w:p>
        </w:tc>
      </w:tr>
      <w:tr w:rsidR="00F90350" w:rsidRPr="00F43D2E" w:rsidTr="00AF5D62">
        <w:tc>
          <w:tcPr>
            <w:tcW w:w="1054" w:type="pct"/>
          </w:tcPr>
          <w:p w:rsidR="00F90350" w:rsidRPr="00F43D2E" w:rsidRDefault="00F1476A" w:rsidP="00AF5D62">
            <w:pPr>
              <w:spacing w:line="240" w:lineRule="auto"/>
              <w:rPr>
                <w:color w:val="000000"/>
                <w:sz w:val="16"/>
                <w:szCs w:val="16"/>
                <w:lang w:val="en-GB"/>
              </w:rPr>
            </w:pPr>
            <w:r w:rsidRPr="00F43D2E">
              <w:rPr>
                <w:color w:val="000000"/>
                <w:sz w:val="16"/>
                <w:szCs w:val="16"/>
                <w:lang w:val="en-GB"/>
              </w:rPr>
              <w:t>Record interest of households in mortgages</w:t>
            </w:r>
          </w:p>
        </w:tc>
        <w:tc>
          <w:tcPr>
            <w:tcW w:w="143" w:type="pct"/>
          </w:tcPr>
          <w:p w:rsidR="00F90350" w:rsidRPr="00F43D2E" w:rsidRDefault="00F90350" w:rsidP="00AF5D62">
            <w:pPr>
              <w:pStyle w:val="Textpoznpodarou"/>
              <w:jc w:val="both"/>
              <w:rPr>
                <w:lang w:val="en-GB"/>
              </w:rPr>
            </w:pPr>
          </w:p>
        </w:tc>
        <w:tc>
          <w:tcPr>
            <w:tcW w:w="3803" w:type="pct"/>
          </w:tcPr>
          <w:p w:rsidR="00F90350" w:rsidRPr="00F43D2E" w:rsidRDefault="00F1476A" w:rsidP="00AF5D62">
            <w:pPr>
              <w:pStyle w:val="Textpoznpodarou"/>
              <w:jc w:val="both"/>
              <w:rPr>
                <w:spacing w:val="-4"/>
                <w:lang w:val="en-GB"/>
              </w:rPr>
            </w:pPr>
            <w:r w:rsidRPr="00F43D2E">
              <w:rPr>
                <w:lang w:val="en-GB"/>
              </w:rPr>
              <w:t xml:space="preserve">The interest of households in a credit financing prevailed also in the second quarter. It was evident consequently in the increase of the total level of credit, which arrived at 1 358.6 </w:t>
            </w:r>
            <w:r w:rsidR="007A46C3" w:rsidRPr="00F43D2E">
              <w:rPr>
                <w:lang w:val="en-GB"/>
              </w:rPr>
              <w:t>CZK bn</w:t>
            </w:r>
            <w:r w:rsidRPr="00F43D2E">
              <w:rPr>
                <w:lang w:val="en-GB"/>
              </w:rPr>
              <w:t xml:space="preserve"> towards the end of the second quarter of 2</w:t>
            </w:r>
            <w:r w:rsidR="00CC06C7">
              <w:rPr>
                <w:lang w:val="en-GB"/>
              </w:rPr>
              <w:t>016. Thus they increased by 6.4</w:t>
            </w:r>
            <w:r w:rsidRPr="00F43D2E">
              <w:rPr>
                <w:lang w:val="en-GB"/>
              </w:rPr>
              <w:t xml:space="preserve">% </w:t>
            </w:r>
            <w:proofErr w:type="gramStart"/>
            <w:r w:rsidRPr="00F43D2E">
              <w:rPr>
                <w:lang w:val="en-GB"/>
              </w:rPr>
              <w:t>year-on-year</w:t>
            </w:r>
            <w:proofErr w:type="gramEnd"/>
            <w:r w:rsidRPr="00F43D2E">
              <w:rPr>
                <w:lang w:val="en-GB"/>
              </w:rPr>
              <w:t xml:space="preserve">. In that credit in the national currency amounted to 1 356 </w:t>
            </w:r>
            <w:r w:rsidR="003B4683" w:rsidRPr="00F43D2E">
              <w:rPr>
                <w:lang w:val="en-GB"/>
              </w:rPr>
              <w:t xml:space="preserve">CZK </w:t>
            </w:r>
            <w:r w:rsidRPr="00F43D2E">
              <w:rPr>
                <w:lang w:val="en-GB"/>
              </w:rPr>
              <w:t>bn</w:t>
            </w:r>
            <w:r w:rsidR="003B4683" w:rsidRPr="00F43D2E">
              <w:rPr>
                <w:lang w:val="en-GB"/>
              </w:rPr>
              <w:t xml:space="preserve"> </w:t>
            </w:r>
            <w:r w:rsidR="00CC06C7">
              <w:rPr>
                <w:lang w:val="en-GB"/>
              </w:rPr>
              <w:t>(they increased also by 6.4</w:t>
            </w:r>
            <w:r w:rsidRPr="00F43D2E">
              <w:rPr>
                <w:lang w:val="en-GB"/>
              </w:rPr>
              <w:t xml:space="preserve">% year-on-year). The population devotes the stated credit resources mainly </w:t>
            </w:r>
            <w:r w:rsidR="003B4683" w:rsidRPr="00F43D2E">
              <w:rPr>
                <w:lang w:val="en-GB"/>
              </w:rPr>
              <w:t>to</w:t>
            </w:r>
            <w:r w:rsidRPr="00F43D2E">
              <w:rPr>
                <w:lang w:val="en-GB"/>
              </w:rPr>
              <w:t xml:space="preserve"> housing, which share comprises nearly three quarters of t</w:t>
            </w:r>
            <w:r w:rsidR="00CC06C7">
              <w:rPr>
                <w:lang w:val="en-GB"/>
              </w:rPr>
              <w:t>otal credit of households (73.9</w:t>
            </w:r>
            <w:r w:rsidRPr="00F43D2E">
              <w:rPr>
                <w:lang w:val="en-GB"/>
              </w:rPr>
              <w:t>%). Simultaneously, the improved economic status of households due to the increasing economic performance is evident here to a certain extent, specifically in the development of credit in default. Credit of households for housi</w:t>
            </w:r>
            <w:r w:rsidR="00CC06C7">
              <w:rPr>
                <w:lang w:val="en-GB"/>
              </w:rPr>
              <w:t>ng in default decreased by 16.5</w:t>
            </w:r>
            <w:r w:rsidRPr="00F43D2E">
              <w:rPr>
                <w:lang w:val="en-GB"/>
              </w:rPr>
              <w:t xml:space="preserve">% year-on-year to 22.9 </w:t>
            </w:r>
            <w:r w:rsidR="007A46C3" w:rsidRPr="00F43D2E">
              <w:rPr>
                <w:lang w:val="en-GB"/>
              </w:rPr>
              <w:t>CZK bn</w:t>
            </w:r>
            <w:r w:rsidRPr="00F43D2E">
              <w:rPr>
                <w:lang w:val="en-GB"/>
              </w:rPr>
              <w:t>. Consumption credit and mortgages also registered a drop of credit in default.</w:t>
            </w:r>
          </w:p>
          <w:p w:rsidR="00F90350" w:rsidRPr="00F43D2E" w:rsidRDefault="00F90350" w:rsidP="00AF5D62">
            <w:pPr>
              <w:pStyle w:val="Textpoznpodarou"/>
              <w:jc w:val="both"/>
              <w:rPr>
                <w:spacing w:val="-4"/>
                <w:sz w:val="14"/>
                <w:szCs w:val="14"/>
                <w:lang w:val="en-GB"/>
              </w:rPr>
            </w:pPr>
          </w:p>
        </w:tc>
      </w:tr>
      <w:tr w:rsidR="00F90350" w:rsidRPr="00F43D2E" w:rsidTr="00AF5D62">
        <w:tc>
          <w:tcPr>
            <w:tcW w:w="1054" w:type="pct"/>
          </w:tcPr>
          <w:p w:rsidR="00F90350" w:rsidRPr="00F43D2E" w:rsidRDefault="00FB6798" w:rsidP="00AF5D62">
            <w:pPr>
              <w:spacing w:line="240" w:lineRule="auto"/>
              <w:rPr>
                <w:color w:val="000000"/>
                <w:sz w:val="16"/>
                <w:szCs w:val="16"/>
                <w:lang w:val="en-GB"/>
              </w:rPr>
            </w:pPr>
            <w:r w:rsidRPr="00F43D2E">
              <w:rPr>
                <w:color w:val="000000"/>
                <w:sz w:val="16"/>
                <w:szCs w:val="16"/>
                <w:lang w:val="en-GB"/>
              </w:rPr>
              <w:t>Drawing of credit by non-financial businesses grows</w:t>
            </w:r>
          </w:p>
        </w:tc>
        <w:tc>
          <w:tcPr>
            <w:tcW w:w="143" w:type="pct"/>
          </w:tcPr>
          <w:p w:rsidR="00F90350" w:rsidRPr="00F43D2E" w:rsidRDefault="00F90350" w:rsidP="00AF5D62">
            <w:pPr>
              <w:pStyle w:val="Textpoznpodarou"/>
              <w:jc w:val="both"/>
              <w:rPr>
                <w:lang w:val="en-GB"/>
              </w:rPr>
            </w:pPr>
          </w:p>
        </w:tc>
        <w:tc>
          <w:tcPr>
            <w:tcW w:w="3803" w:type="pct"/>
          </w:tcPr>
          <w:p w:rsidR="00F90350" w:rsidRPr="00F43D2E" w:rsidRDefault="00FB6798" w:rsidP="00AF5D62">
            <w:pPr>
              <w:pStyle w:val="Textpoznpodarou"/>
              <w:jc w:val="both"/>
              <w:rPr>
                <w:spacing w:val="-4"/>
                <w:sz w:val="14"/>
                <w:szCs w:val="14"/>
                <w:lang w:val="en-GB"/>
              </w:rPr>
            </w:pPr>
            <w:r w:rsidRPr="00F43D2E">
              <w:rPr>
                <w:lang w:val="en-GB"/>
              </w:rPr>
              <w:t xml:space="preserve">Drawing of credit funds increases also for the non-financial businesses. They received credit in the amount of 966.6 </w:t>
            </w:r>
            <w:r w:rsidR="007A46C3" w:rsidRPr="00F43D2E">
              <w:rPr>
                <w:lang w:val="en-GB"/>
              </w:rPr>
              <w:t>CZK bn</w:t>
            </w:r>
            <w:r w:rsidRPr="00F43D2E">
              <w:rPr>
                <w:lang w:val="en-GB"/>
              </w:rPr>
              <w:t xml:space="preserve"> in June 2016 (including the credit denominated in</w:t>
            </w:r>
            <w:r w:rsidR="00CC06C7">
              <w:rPr>
                <w:lang w:val="en-GB"/>
              </w:rPr>
              <w:t xml:space="preserve"> foreign currency), i.e. by 6.6</w:t>
            </w:r>
            <w:r w:rsidRPr="00F43D2E">
              <w:rPr>
                <w:lang w:val="en-GB"/>
              </w:rPr>
              <w:t xml:space="preserve">% compared to June 2015. A certain oscillations are evident in credit provided to public non-financial businesses (which share in the credit to </w:t>
            </w:r>
            <w:r w:rsidR="00CC06C7">
              <w:rPr>
                <w:lang w:val="en-GB"/>
              </w:rPr>
              <w:t>non-financial businesses by 2.7</w:t>
            </w:r>
            <w:r w:rsidRPr="00F43D2E">
              <w:rPr>
                <w:lang w:val="en-GB"/>
              </w:rPr>
              <w:t>%).</w:t>
            </w:r>
            <w:r w:rsidRPr="00F43D2E">
              <w:rPr>
                <w:spacing w:val="-4"/>
                <w:sz w:val="14"/>
                <w:szCs w:val="14"/>
                <w:lang w:val="en-GB"/>
              </w:rPr>
              <w:t xml:space="preserve"> </w:t>
            </w:r>
          </w:p>
          <w:p w:rsidR="00FB6798" w:rsidRPr="00F43D2E" w:rsidRDefault="00FB6798" w:rsidP="00AF5D62">
            <w:pPr>
              <w:pStyle w:val="Textpoznpodarou"/>
              <w:jc w:val="both"/>
              <w:rPr>
                <w:spacing w:val="-4"/>
                <w:sz w:val="14"/>
                <w:szCs w:val="14"/>
                <w:lang w:val="en-GB"/>
              </w:rPr>
            </w:pPr>
          </w:p>
        </w:tc>
      </w:tr>
      <w:tr w:rsidR="00F90350" w:rsidRPr="00F43D2E" w:rsidTr="00AF5D62">
        <w:tc>
          <w:tcPr>
            <w:tcW w:w="1054" w:type="pct"/>
          </w:tcPr>
          <w:p w:rsidR="00F90350" w:rsidRPr="00F43D2E" w:rsidRDefault="00FB6798" w:rsidP="00AF5D62">
            <w:pPr>
              <w:spacing w:line="240" w:lineRule="auto"/>
              <w:rPr>
                <w:color w:val="000000"/>
                <w:sz w:val="16"/>
                <w:szCs w:val="16"/>
                <w:highlight w:val="yellow"/>
                <w:lang w:val="en-GB"/>
              </w:rPr>
            </w:pPr>
            <w:r w:rsidRPr="00F43D2E">
              <w:rPr>
                <w:color w:val="000000"/>
                <w:sz w:val="16"/>
                <w:szCs w:val="16"/>
                <w:lang w:val="en-GB"/>
              </w:rPr>
              <w:t xml:space="preserve">Total debt of households grows, by 82 </w:t>
            </w:r>
            <w:r w:rsidR="007A46C3" w:rsidRPr="00F43D2E">
              <w:rPr>
                <w:color w:val="000000"/>
                <w:sz w:val="16"/>
                <w:szCs w:val="16"/>
                <w:lang w:val="en-GB"/>
              </w:rPr>
              <w:t>CZK bn</w:t>
            </w:r>
            <w:r w:rsidRPr="00F43D2E">
              <w:rPr>
                <w:color w:val="000000"/>
                <w:sz w:val="16"/>
                <w:szCs w:val="16"/>
                <w:lang w:val="en-GB"/>
              </w:rPr>
              <w:t xml:space="preserve"> year-on-year, especially thanks to mortgages</w:t>
            </w:r>
          </w:p>
        </w:tc>
        <w:tc>
          <w:tcPr>
            <w:tcW w:w="143" w:type="pct"/>
          </w:tcPr>
          <w:p w:rsidR="00F90350" w:rsidRPr="00F43D2E" w:rsidRDefault="00F90350" w:rsidP="00AF5D62">
            <w:pPr>
              <w:pStyle w:val="Textpoznpodarou"/>
              <w:jc w:val="both"/>
              <w:rPr>
                <w:color w:val="FF0000"/>
                <w:lang w:val="en-GB"/>
              </w:rPr>
            </w:pPr>
          </w:p>
        </w:tc>
        <w:tc>
          <w:tcPr>
            <w:tcW w:w="3803" w:type="pct"/>
          </w:tcPr>
          <w:p w:rsidR="00F90350" w:rsidRPr="00F43D2E" w:rsidRDefault="00FB6798" w:rsidP="00AF5D62">
            <w:pPr>
              <w:pStyle w:val="Textpoznpodarou"/>
              <w:jc w:val="both"/>
              <w:rPr>
                <w:spacing w:val="-4"/>
                <w:lang w:val="en-GB"/>
              </w:rPr>
            </w:pPr>
            <w:r w:rsidRPr="00F43D2E">
              <w:rPr>
                <w:lang w:val="en-GB"/>
              </w:rPr>
              <w:t xml:space="preserve">Total household debt reached 1 369 </w:t>
            </w:r>
            <w:r w:rsidR="007A46C3" w:rsidRPr="00F43D2E">
              <w:rPr>
                <w:lang w:val="en-GB"/>
              </w:rPr>
              <w:t>CZK bn</w:t>
            </w:r>
            <w:r w:rsidRPr="00F43D2E">
              <w:rPr>
                <w:lang w:val="en-GB"/>
              </w:rPr>
              <w:t xml:space="preserve"> in June 2016 and increased by 82 bn compared to the same month of the previous year. Mainly the credit for housing, which increased by 79 </w:t>
            </w:r>
            <w:r w:rsidR="007A46C3" w:rsidRPr="00F43D2E">
              <w:rPr>
                <w:lang w:val="en-GB"/>
              </w:rPr>
              <w:t>CZK bn</w:t>
            </w:r>
            <w:r w:rsidRPr="00F43D2E">
              <w:rPr>
                <w:lang w:val="en-GB"/>
              </w:rPr>
              <w:t xml:space="preserve"> </w:t>
            </w:r>
            <w:proofErr w:type="gramStart"/>
            <w:r w:rsidRPr="00F43D2E">
              <w:rPr>
                <w:lang w:val="en-GB"/>
              </w:rPr>
              <w:t>year-on-year</w:t>
            </w:r>
            <w:proofErr w:type="gramEnd"/>
            <w:r w:rsidRPr="00F43D2E">
              <w:rPr>
                <w:lang w:val="en-GB"/>
              </w:rPr>
              <w:t xml:space="preserve"> participated on the growth of debt similarly to Q1.</w:t>
            </w:r>
          </w:p>
        </w:tc>
      </w:tr>
    </w:tbl>
    <w:p w:rsidR="00ED3A94" w:rsidRPr="00F43D2E" w:rsidRDefault="00ED3A94" w:rsidP="00960769">
      <w:pPr>
        <w:rPr>
          <w:sz w:val="14"/>
          <w:szCs w:val="14"/>
          <w:lang w:val="en-GB"/>
        </w:rPr>
      </w:pPr>
    </w:p>
    <w:tbl>
      <w:tblPr>
        <w:tblW w:w="5000" w:type="pct"/>
        <w:tblLook w:val="04A0"/>
      </w:tblPr>
      <w:tblGrid>
        <w:gridCol w:w="989"/>
        <w:gridCol w:w="3932"/>
        <w:gridCol w:w="1070"/>
        <w:gridCol w:w="3863"/>
      </w:tblGrid>
      <w:tr w:rsidR="000F74B6" w:rsidRPr="00F43D2E" w:rsidTr="00475CF8">
        <w:tc>
          <w:tcPr>
            <w:tcW w:w="502" w:type="pct"/>
          </w:tcPr>
          <w:p w:rsidR="000F74B6" w:rsidRPr="00F43D2E" w:rsidRDefault="00827E77" w:rsidP="00827E77">
            <w:pPr>
              <w:pStyle w:val="Textpoznpodarou"/>
              <w:rPr>
                <w:color w:val="000000"/>
                <w:lang w:val="en-GB"/>
              </w:rPr>
            </w:pPr>
            <w:r w:rsidRPr="00F43D2E">
              <w:rPr>
                <w:color w:val="000000"/>
                <w:lang w:val="en-GB"/>
              </w:rPr>
              <w:t>Chart 17</w:t>
            </w:r>
          </w:p>
        </w:tc>
        <w:tc>
          <w:tcPr>
            <w:tcW w:w="1995" w:type="pct"/>
          </w:tcPr>
          <w:p w:rsidR="000F74B6" w:rsidRPr="00F43D2E" w:rsidRDefault="00475CF8" w:rsidP="00827E77">
            <w:pPr>
              <w:pStyle w:val="Textpoznpodarou"/>
              <w:rPr>
                <w:color w:val="FF0000"/>
                <w:lang w:val="en-GB"/>
              </w:rPr>
            </w:pPr>
            <w:r w:rsidRPr="00F43D2E">
              <w:rPr>
                <w:b/>
                <w:lang w:val="en-GB"/>
              </w:rPr>
              <w:t xml:space="preserve">Monetary aggregates and gross domestic product </w:t>
            </w:r>
            <w:r w:rsidR="000F74B6" w:rsidRPr="00F43D2E">
              <w:rPr>
                <w:color w:val="000000"/>
                <w:lang w:val="en-GB"/>
              </w:rPr>
              <w:t xml:space="preserve">(y/y </w:t>
            </w:r>
            <w:r w:rsidR="00827E77" w:rsidRPr="00F43D2E">
              <w:rPr>
                <w:color w:val="000000"/>
                <w:lang w:val="en-GB"/>
              </w:rPr>
              <w:t>in</w:t>
            </w:r>
            <w:r w:rsidR="000F74B6" w:rsidRPr="00F43D2E">
              <w:rPr>
                <w:color w:val="000000"/>
                <w:lang w:val="en-GB"/>
              </w:rPr>
              <w:t xml:space="preserve"> %)</w:t>
            </w:r>
          </w:p>
        </w:tc>
        <w:tc>
          <w:tcPr>
            <w:tcW w:w="543" w:type="pct"/>
          </w:tcPr>
          <w:p w:rsidR="000F74B6" w:rsidRPr="00F43D2E" w:rsidRDefault="00827E77" w:rsidP="00827E77">
            <w:pPr>
              <w:pStyle w:val="Textpoznpodarou"/>
              <w:rPr>
                <w:lang w:val="en-GB"/>
              </w:rPr>
            </w:pPr>
            <w:r w:rsidRPr="00F43D2E">
              <w:rPr>
                <w:lang w:val="en-GB"/>
              </w:rPr>
              <w:t xml:space="preserve">Chart </w:t>
            </w:r>
            <w:r w:rsidR="000F74B6" w:rsidRPr="00F43D2E">
              <w:rPr>
                <w:lang w:val="en-GB"/>
              </w:rPr>
              <w:t>18</w:t>
            </w:r>
          </w:p>
        </w:tc>
        <w:tc>
          <w:tcPr>
            <w:tcW w:w="1960" w:type="pct"/>
          </w:tcPr>
          <w:p w:rsidR="000F74B6" w:rsidRPr="00F43D2E" w:rsidRDefault="00475CF8" w:rsidP="00475CF8">
            <w:pPr>
              <w:pStyle w:val="Textpoznpodarou"/>
              <w:rPr>
                <w:lang w:val="en-GB"/>
              </w:rPr>
            </w:pPr>
            <w:r w:rsidRPr="00F43D2E">
              <w:rPr>
                <w:b/>
                <w:lang w:val="en-GB"/>
              </w:rPr>
              <w:t xml:space="preserve">Market interest rates </w:t>
            </w:r>
            <w:r w:rsidR="000F74B6" w:rsidRPr="00F43D2E">
              <w:rPr>
                <w:lang w:val="en-GB"/>
              </w:rPr>
              <w:t>(</w:t>
            </w:r>
            <w:r w:rsidR="00827E77" w:rsidRPr="00F43D2E">
              <w:rPr>
                <w:lang w:val="en-GB"/>
              </w:rPr>
              <w:t>in</w:t>
            </w:r>
            <w:r w:rsidR="000F74B6" w:rsidRPr="00F43D2E">
              <w:rPr>
                <w:lang w:val="en-GB"/>
              </w:rPr>
              <w:t xml:space="preserve"> %)</w:t>
            </w:r>
          </w:p>
        </w:tc>
      </w:tr>
      <w:tr w:rsidR="000F74B6" w:rsidRPr="00F43D2E" w:rsidTr="00AF5D62">
        <w:tblPrEx>
          <w:tblCellMar>
            <w:left w:w="70" w:type="dxa"/>
            <w:right w:w="70" w:type="dxa"/>
          </w:tblCellMar>
        </w:tblPrEx>
        <w:tc>
          <w:tcPr>
            <w:tcW w:w="2497" w:type="pct"/>
            <w:gridSpan w:val="2"/>
          </w:tcPr>
          <w:p w:rsidR="000F74B6" w:rsidRPr="00F43D2E" w:rsidRDefault="00F77D04" w:rsidP="00AF5D62">
            <w:pPr>
              <w:pStyle w:val="Textpoznpodarou"/>
              <w:jc w:val="both"/>
              <w:rPr>
                <w:lang w:val="en-GB"/>
              </w:rPr>
            </w:pPr>
            <w:r>
              <w:rPr>
                <w:noProof/>
              </w:rPr>
              <w:drawing>
                <wp:inline distT="0" distB="0" distL="0" distR="0">
                  <wp:extent cx="2981962" cy="2354400"/>
                  <wp:effectExtent l="19050" t="0" r="8888" b="0"/>
                  <wp:docPr id="44"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981962" cy="2354400"/>
                          </a:xfrm>
                          <a:prstGeom prst="rect">
                            <a:avLst/>
                          </a:prstGeom>
                          <a:noFill/>
                          <a:ln w="9525">
                            <a:noFill/>
                            <a:miter lim="800000"/>
                            <a:headEnd/>
                            <a:tailEnd/>
                          </a:ln>
                        </pic:spPr>
                      </pic:pic>
                    </a:graphicData>
                  </a:graphic>
                </wp:inline>
              </w:drawing>
            </w:r>
          </w:p>
        </w:tc>
        <w:tc>
          <w:tcPr>
            <w:tcW w:w="2503" w:type="pct"/>
            <w:gridSpan w:val="2"/>
          </w:tcPr>
          <w:p w:rsidR="000F74B6" w:rsidRPr="00F43D2E" w:rsidRDefault="00C772C1" w:rsidP="00AF5D62">
            <w:pPr>
              <w:pStyle w:val="Textpoznpodarou"/>
              <w:jc w:val="both"/>
              <w:rPr>
                <w:lang w:val="en-GB"/>
              </w:rPr>
            </w:pPr>
            <w:r>
              <w:rPr>
                <w:noProof/>
              </w:rPr>
              <w:drawing>
                <wp:inline distT="0" distB="0" distL="0" distR="0">
                  <wp:extent cx="2991967" cy="2354400"/>
                  <wp:effectExtent l="19050" t="0" r="0" b="0"/>
                  <wp:docPr id="45"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2991967" cy="2354400"/>
                          </a:xfrm>
                          <a:prstGeom prst="rect">
                            <a:avLst/>
                          </a:prstGeom>
                          <a:noFill/>
                          <a:ln w="9525">
                            <a:noFill/>
                            <a:miter lim="800000"/>
                            <a:headEnd/>
                            <a:tailEnd/>
                          </a:ln>
                        </pic:spPr>
                      </pic:pic>
                    </a:graphicData>
                  </a:graphic>
                </wp:inline>
              </w:drawing>
            </w:r>
          </w:p>
        </w:tc>
      </w:tr>
      <w:tr w:rsidR="000F74B6" w:rsidRPr="00F43D2E" w:rsidTr="00AF5D62">
        <w:tc>
          <w:tcPr>
            <w:tcW w:w="2497" w:type="pct"/>
            <w:gridSpan w:val="2"/>
          </w:tcPr>
          <w:p w:rsidR="000F74B6" w:rsidRPr="00F43D2E" w:rsidRDefault="000F74B6" w:rsidP="00AF5D62">
            <w:pPr>
              <w:pStyle w:val="Textpoznpodarou"/>
              <w:rPr>
                <w:noProof/>
                <w:sz w:val="18"/>
                <w:szCs w:val="18"/>
                <w:lang w:val="en-GB"/>
              </w:rPr>
            </w:pPr>
          </w:p>
        </w:tc>
        <w:tc>
          <w:tcPr>
            <w:tcW w:w="2503" w:type="pct"/>
            <w:gridSpan w:val="2"/>
          </w:tcPr>
          <w:p w:rsidR="00475CF8" w:rsidRPr="00436227" w:rsidRDefault="00827E77" w:rsidP="00436227">
            <w:pPr>
              <w:pStyle w:val="Textpoznpodarou"/>
              <w:jc w:val="right"/>
              <w:rPr>
                <w:sz w:val="18"/>
                <w:szCs w:val="18"/>
                <w:lang w:val="en-GB"/>
              </w:rPr>
            </w:pPr>
            <w:r w:rsidRPr="00F43D2E">
              <w:rPr>
                <w:sz w:val="18"/>
                <w:szCs w:val="18"/>
                <w:lang w:val="en-GB"/>
              </w:rPr>
              <w:t>Source:</w:t>
            </w:r>
            <w:r w:rsidR="000F74B6" w:rsidRPr="00F43D2E">
              <w:rPr>
                <w:sz w:val="18"/>
                <w:szCs w:val="18"/>
                <w:lang w:val="en-GB"/>
              </w:rPr>
              <w:t xml:space="preserve"> </w:t>
            </w:r>
            <w:r w:rsidRPr="00F43D2E">
              <w:rPr>
                <w:sz w:val="18"/>
                <w:szCs w:val="18"/>
                <w:lang w:val="en-GB"/>
              </w:rPr>
              <w:t>CZSO</w:t>
            </w:r>
            <w:r w:rsidR="000F74B6" w:rsidRPr="00F43D2E">
              <w:rPr>
                <w:sz w:val="18"/>
                <w:szCs w:val="18"/>
                <w:lang w:val="en-GB"/>
              </w:rPr>
              <w:t xml:space="preserve">, </w:t>
            </w:r>
            <w:r w:rsidRPr="00F43D2E">
              <w:rPr>
                <w:sz w:val="18"/>
                <w:szCs w:val="18"/>
                <w:lang w:val="en-GB"/>
              </w:rPr>
              <w:t>C</w:t>
            </w:r>
            <w:r w:rsidR="000F74B6" w:rsidRPr="00F43D2E">
              <w:rPr>
                <w:sz w:val="18"/>
                <w:szCs w:val="18"/>
                <w:lang w:val="en-GB"/>
              </w:rPr>
              <w:t>NB</w:t>
            </w:r>
          </w:p>
        </w:tc>
      </w:tr>
    </w:tbl>
    <w:p w:rsidR="003B4683" w:rsidRDefault="003B4683" w:rsidP="00475CF8">
      <w:pPr>
        <w:rPr>
          <w:sz w:val="16"/>
          <w:szCs w:val="16"/>
          <w:lang w:val="en-GB"/>
        </w:rPr>
      </w:pPr>
    </w:p>
    <w:p w:rsidR="00436227" w:rsidRDefault="00436227" w:rsidP="00475CF8">
      <w:pPr>
        <w:rPr>
          <w:sz w:val="16"/>
          <w:szCs w:val="16"/>
          <w:lang w:val="en-GB"/>
        </w:rPr>
      </w:pPr>
    </w:p>
    <w:p w:rsidR="00436227" w:rsidRDefault="00436227" w:rsidP="00475CF8">
      <w:pPr>
        <w:rPr>
          <w:sz w:val="16"/>
          <w:szCs w:val="16"/>
          <w:lang w:val="en-GB"/>
        </w:rPr>
      </w:pPr>
    </w:p>
    <w:p w:rsidR="00436227" w:rsidRDefault="00436227" w:rsidP="00475CF8">
      <w:pPr>
        <w:rPr>
          <w:sz w:val="16"/>
          <w:szCs w:val="16"/>
          <w:lang w:val="en-GB"/>
        </w:rPr>
      </w:pPr>
    </w:p>
    <w:sectPr w:rsidR="00436227" w:rsidSect="00D43998">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77" w:rsidRDefault="008C2B77" w:rsidP="00E71A58">
      <w:r>
        <w:separator/>
      </w:r>
    </w:p>
  </w:endnote>
  <w:endnote w:type="continuationSeparator" w:id="0">
    <w:p w:rsidR="008C2B77" w:rsidRDefault="008C2B77"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Default="008437F0"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4A3D8C" w:rsidRPr="005A21E0">
      <w:rPr>
        <w:rFonts w:ascii="Arial" w:hAnsi="Arial" w:cs="Arial"/>
        <w:sz w:val="16"/>
        <w:szCs w:val="16"/>
      </w:rPr>
      <w:fldChar w:fldCharType="begin"/>
    </w:r>
    <w:r w:rsidRPr="005A21E0">
      <w:rPr>
        <w:rFonts w:ascii="Arial" w:hAnsi="Arial" w:cs="Arial"/>
        <w:sz w:val="16"/>
        <w:szCs w:val="16"/>
      </w:rPr>
      <w:instrText>PAGE   \* MERGEFORMAT</w:instrText>
    </w:r>
    <w:r w:rsidR="004A3D8C" w:rsidRPr="005A21E0">
      <w:rPr>
        <w:rFonts w:ascii="Arial" w:hAnsi="Arial" w:cs="Arial"/>
        <w:sz w:val="16"/>
        <w:szCs w:val="16"/>
      </w:rPr>
      <w:fldChar w:fldCharType="separate"/>
    </w:r>
    <w:r w:rsidR="00027CA8">
      <w:rPr>
        <w:rFonts w:ascii="Arial" w:hAnsi="Arial" w:cs="Arial"/>
        <w:noProof/>
        <w:sz w:val="16"/>
        <w:szCs w:val="16"/>
      </w:rPr>
      <w:t>2</w:t>
    </w:r>
    <w:r w:rsidR="004A3D8C" w:rsidRPr="005A21E0">
      <w:rPr>
        <w:rFonts w:ascii="Arial" w:hAnsi="Arial" w:cs="Arial"/>
        <w:sz w:val="16"/>
        <w:szCs w:val="16"/>
      </w:rPr>
      <w:fldChar w:fldCharType="end"/>
    </w:r>
    <w:r>
      <w:rPr>
        <w:rFonts w:ascii="Arial" w:hAnsi="Arial" w:cs="Arial"/>
        <w:sz w:val="16"/>
        <w:szCs w:val="16"/>
      </w:rPr>
      <w:tab/>
      <w:t>2016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Default="00667271" w:rsidP="00357449">
    <w:pPr>
      <w:pStyle w:val="Zpat"/>
      <w:tabs>
        <w:tab w:val="clear" w:pos="4536"/>
        <w:tab w:val="clear" w:pos="9072"/>
        <w:tab w:val="left" w:pos="1134"/>
        <w:tab w:val="left" w:pos="1920"/>
        <w:tab w:val="center" w:pos="4820"/>
        <w:tab w:val="right" w:pos="9639"/>
      </w:tabs>
    </w:pPr>
    <w:r w:rsidRPr="00667271">
      <w:rPr>
        <w:noProof/>
        <w:lang w:eastAsia="cs-CZ"/>
      </w:rPr>
      <w:drawing>
        <wp:anchor distT="0" distB="0" distL="114300" distR="114300" simplePos="0" relativeHeight="251662848" behindDoc="0" locked="0" layoutInCell="1" allowOverlap="1">
          <wp:simplePos x="0" y="0"/>
          <wp:positionH relativeFrom="column">
            <wp:posOffset>67504</wp:posOffset>
          </wp:positionH>
          <wp:positionV relativeFrom="paragraph">
            <wp:posOffset>159704</wp:posOffset>
          </wp:positionV>
          <wp:extent cx="687787" cy="201954"/>
          <wp:effectExtent l="19050" t="0" r="0" b="0"/>
          <wp:wrapNone/>
          <wp:docPr id="13"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87787" cy="201954"/>
                  </a:xfrm>
                  <a:prstGeom prst="rect">
                    <a:avLst/>
                  </a:prstGeom>
                  <a:noFill/>
                  <a:ln w="9525">
                    <a:noFill/>
                    <a:miter lim="800000"/>
                    <a:headEnd/>
                    <a:tailEnd/>
                  </a:ln>
                </pic:spPr>
              </pic:pic>
            </a:graphicData>
          </a:graphic>
        </wp:anchor>
      </w:drawing>
    </w:r>
    <w:r w:rsidR="008437F0">
      <w:tab/>
    </w:r>
    <w:r w:rsidR="008437F0">
      <w:tab/>
    </w:r>
    <w:r w:rsidR="008437F0" w:rsidRPr="00DC5B3B">
      <w:t xml:space="preserve">                              </w:t>
    </w:r>
  </w:p>
  <w:p w:rsidR="008437F0" w:rsidRPr="00223E00" w:rsidRDefault="008437F0"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4A3D8C"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4A3D8C" w:rsidRPr="00223E00">
      <w:rPr>
        <w:rFonts w:ascii="Arial" w:hAnsi="Arial" w:cs="Arial"/>
        <w:sz w:val="16"/>
        <w:szCs w:val="16"/>
      </w:rPr>
      <w:fldChar w:fldCharType="separate"/>
    </w:r>
    <w:r w:rsidR="00027CA8">
      <w:rPr>
        <w:rFonts w:ascii="Arial" w:hAnsi="Arial" w:cs="Arial"/>
        <w:noProof/>
        <w:sz w:val="16"/>
        <w:szCs w:val="16"/>
      </w:rPr>
      <w:t>1</w:t>
    </w:r>
    <w:r w:rsidR="004A3D8C"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77" w:rsidRDefault="008C2B77" w:rsidP="00E71A58">
      <w:r>
        <w:separator/>
      </w:r>
    </w:p>
  </w:footnote>
  <w:footnote w:type="continuationSeparator" w:id="0">
    <w:p w:rsidR="008C2B77" w:rsidRDefault="008C2B77"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Pr="00163521" w:rsidRDefault="008437F0" w:rsidP="00163521">
    <w:pPr>
      <w:pStyle w:val="Zhlav"/>
      <w:tabs>
        <w:tab w:val="clear" w:pos="4536"/>
        <w:tab w:val="clear" w:pos="9072"/>
        <w:tab w:val="left" w:pos="-6379"/>
        <w:tab w:val="center" w:pos="4820"/>
        <w:tab w:val="right" w:pos="9639"/>
      </w:tabs>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First</w:t>
    </w:r>
    <w:proofErr w:type="spellEnd"/>
    <w:r>
      <w:rPr>
        <w:rFonts w:ascii="Arial" w:hAnsi="Arial" w:cs="Arial"/>
        <w:sz w:val="16"/>
        <w:szCs w:val="16"/>
      </w:rPr>
      <w:t xml:space="preserve"> Half </w:t>
    </w:r>
    <w:proofErr w:type="spellStart"/>
    <w:r>
      <w:rPr>
        <w:rFonts w:ascii="Arial" w:hAnsi="Arial" w:cs="Arial"/>
        <w:sz w:val="16"/>
        <w:szCs w:val="16"/>
      </w:rPr>
      <w:t>of</w:t>
    </w:r>
    <w:proofErr w:type="spellEnd"/>
    <w:r>
      <w:rPr>
        <w:rFonts w:ascii="Arial" w:hAnsi="Arial" w:cs="Arial"/>
        <w:sz w:val="16"/>
        <w:szCs w:val="16"/>
      </w:rPr>
      <w:t xml:space="preserve">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Pr="00D766EF" w:rsidRDefault="008437F0"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First</w:t>
    </w:r>
    <w:proofErr w:type="spellEnd"/>
    <w:r>
      <w:rPr>
        <w:rFonts w:ascii="Arial" w:hAnsi="Arial" w:cs="Arial"/>
        <w:sz w:val="16"/>
        <w:szCs w:val="16"/>
      </w:rPr>
      <w:t xml:space="preserve"> Half </w:t>
    </w:r>
    <w:proofErr w:type="spellStart"/>
    <w:r>
      <w:rPr>
        <w:rFonts w:ascii="Arial" w:hAnsi="Arial" w:cs="Arial"/>
        <w:sz w:val="16"/>
        <w:szCs w:val="16"/>
      </w:rPr>
      <w:t>of</w:t>
    </w:r>
    <w:proofErr w:type="spellEnd"/>
    <w:r>
      <w:rPr>
        <w:rFonts w:ascii="Arial" w:hAnsi="Arial" w:cs="Arial"/>
        <w:sz w:val="16"/>
        <w:szCs w:val="16"/>
      </w:rPr>
      <w:t xml:space="preserv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BAF5C34"/>
    <w:multiLevelType w:val="hybridMultilevel"/>
    <w:tmpl w:val="E564E4F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9B70BD"/>
    <w:rsid w:val="00000FA7"/>
    <w:rsid w:val="00001981"/>
    <w:rsid w:val="00001EFF"/>
    <w:rsid w:val="00003687"/>
    <w:rsid w:val="00003C43"/>
    <w:rsid w:val="00007044"/>
    <w:rsid w:val="00007498"/>
    <w:rsid w:val="0000767A"/>
    <w:rsid w:val="000101F5"/>
    <w:rsid w:val="000104B9"/>
    <w:rsid w:val="00010702"/>
    <w:rsid w:val="00011191"/>
    <w:rsid w:val="0001159B"/>
    <w:rsid w:val="00012986"/>
    <w:rsid w:val="00014028"/>
    <w:rsid w:val="00015195"/>
    <w:rsid w:val="0001519F"/>
    <w:rsid w:val="0001572B"/>
    <w:rsid w:val="0001573E"/>
    <w:rsid w:val="000157DA"/>
    <w:rsid w:val="000162DB"/>
    <w:rsid w:val="00017F05"/>
    <w:rsid w:val="000202C6"/>
    <w:rsid w:val="00020946"/>
    <w:rsid w:val="00022081"/>
    <w:rsid w:val="0002292C"/>
    <w:rsid w:val="00022B41"/>
    <w:rsid w:val="0002434F"/>
    <w:rsid w:val="00024887"/>
    <w:rsid w:val="00024CBA"/>
    <w:rsid w:val="00025501"/>
    <w:rsid w:val="00026998"/>
    <w:rsid w:val="00027CA8"/>
    <w:rsid w:val="000304C4"/>
    <w:rsid w:val="0003066A"/>
    <w:rsid w:val="00030F14"/>
    <w:rsid w:val="000311C5"/>
    <w:rsid w:val="00031A9D"/>
    <w:rsid w:val="00032838"/>
    <w:rsid w:val="00032C12"/>
    <w:rsid w:val="00032E0C"/>
    <w:rsid w:val="00035CCF"/>
    <w:rsid w:val="00035DC9"/>
    <w:rsid w:val="00035FC6"/>
    <w:rsid w:val="0003705E"/>
    <w:rsid w:val="00037667"/>
    <w:rsid w:val="0004075D"/>
    <w:rsid w:val="000411E1"/>
    <w:rsid w:val="00041476"/>
    <w:rsid w:val="00041F1F"/>
    <w:rsid w:val="000426E5"/>
    <w:rsid w:val="00043E05"/>
    <w:rsid w:val="0004694F"/>
    <w:rsid w:val="000500DC"/>
    <w:rsid w:val="00052052"/>
    <w:rsid w:val="00052172"/>
    <w:rsid w:val="00053CBA"/>
    <w:rsid w:val="00053F27"/>
    <w:rsid w:val="00054E43"/>
    <w:rsid w:val="00055059"/>
    <w:rsid w:val="000553E4"/>
    <w:rsid w:val="000567FA"/>
    <w:rsid w:val="00056B26"/>
    <w:rsid w:val="00057C16"/>
    <w:rsid w:val="00057C8B"/>
    <w:rsid w:val="00060F26"/>
    <w:rsid w:val="00062D43"/>
    <w:rsid w:val="00062EC5"/>
    <w:rsid w:val="00064256"/>
    <w:rsid w:val="00066C0B"/>
    <w:rsid w:val="000706A4"/>
    <w:rsid w:val="00070A0C"/>
    <w:rsid w:val="00071F80"/>
    <w:rsid w:val="00072118"/>
    <w:rsid w:val="00073173"/>
    <w:rsid w:val="000779AC"/>
    <w:rsid w:val="00080AA8"/>
    <w:rsid w:val="00083803"/>
    <w:rsid w:val="00084393"/>
    <w:rsid w:val="0008716A"/>
    <w:rsid w:val="00087634"/>
    <w:rsid w:val="00091237"/>
    <w:rsid w:val="0009191B"/>
    <w:rsid w:val="000920EC"/>
    <w:rsid w:val="00092208"/>
    <w:rsid w:val="00092505"/>
    <w:rsid w:val="00092C9A"/>
    <w:rsid w:val="00095C0E"/>
    <w:rsid w:val="00096459"/>
    <w:rsid w:val="0009716E"/>
    <w:rsid w:val="00097D02"/>
    <w:rsid w:val="000A1183"/>
    <w:rsid w:val="000A2121"/>
    <w:rsid w:val="000A2484"/>
    <w:rsid w:val="000A36CE"/>
    <w:rsid w:val="000A59BF"/>
    <w:rsid w:val="000A66C2"/>
    <w:rsid w:val="000B1CFE"/>
    <w:rsid w:val="000B210A"/>
    <w:rsid w:val="000B249B"/>
    <w:rsid w:val="000B3B01"/>
    <w:rsid w:val="000B3DB9"/>
    <w:rsid w:val="000B3F02"/>
    <w:rsid w:val="000B48A2"/>
    <w:rsid w:val="000B48E7"/>
    <w:rsid w:val="000B4F41"/>
    <w:rsid w:val="000B7663"/>
    <w:rsid w:val="000C1106"/>
    <w:rsid w:val="000C11D3"/>
    <w:rsid w:val="000C12F5"/>
    <w:rsid w:val="000C3408"/>
    <w:rsid w:val="000C5C0F"/>
    <w:rsid w:val="000C5D56"/>
    <w:rsid w:val="000C6498"/>
    <w:rsid w:val="000C6E0B"/>
    <w:rsid w:val="000C73BF"/>
    <w:rsid w:val="000D0D51"/>
    <w:rsid w:val="000D14B3"/>
    <w:rsid w:val="000D208B"/>
    <w:rsid w:val="000D263E"/>
    <w:rsid w:val="000D2B8D"/>
    <w:rsid w:val="000D2E41"/>
    <w:rsid w:val="000D342A"/>
    <w:rsid w:val="000D431B"/>
    <w:rsid w:val="000D5E7A"/>
    <w:rsid w:val="000D5FAA"/>
    <w:rsid w:val="000D65A4"/>
    <w:rsid w:val="000D6AEF"/>
    <w:rsid w:val="000E025B"/>
    <w:rsid w:val="000E0ECB"/>
    <w:rsid w:val="000E153A"/>
    <w:rsid w:val="000E19A8"/>
    <w:rsid w:val="000E1EEA"/>
    <w:rsid w:val="000E4A42"/>
    <w:rsid w:val="000E6476"/>
    <w:rsid w:val="000E78D2"/>
    <w:rsid w:val="000F3332"/>
    <w:rsid w:val="000F33EE"/>
    <w:rsid w:val="000F401E"/>
    <w:rsid w:val="000F40CD"/>
    <w:rsid w:val="000F5445"/>
    <w:rsid w:val="000F5673"/>
    <w:rsid w:val="000F67B2"/>
    <w:rsid w:val="000F74B6"/>
    <w:rsid w:val="000F790F"/>
    <w:rsid w:val="000F7E1B"/>
    <w:rsid w:val="00100014"/>
    <w:rsid w:val="0010039A"/>
    <w:rsid w:val="00101E94"/>
    <w:rsid w:val="00101FB2"/>
    <w:rsid w:val="00102CB8"/>
    <w:rsid w:val="00102F02"/>
    <w:rsid w:val="0010385D"/>
    <w:rsid w:val="00103E41"/>
    <w:rsid w:val="00104174"/>
    <w:rsid w:val="001041B6"/>
    <w:rsid w:val="001070EA"/>
    <w:rsid w:val="0011002A"/>
    <w:rsid w:val="001107CE"/>
    <w:rsid w:val="0011110A"/>
    <w:rsid w:val="001118AF"/>
    <w:rsid w:val="00111CA5"/>
    <w:rsid w:val="0011256E"/>
    <w:rsid w:val="0011352E"/>
    <w:rsid w:val="00114779"/>
    <w:rsid w:val="00114FC0"/>
    <w:rsid w:val="00115496"/>
    <w:rsid w:val="001165F9"/>
    <w:rsid w:val="00116DB9"/>
    <w:rsid w:val="00116F28"/>
    <w:rsid w:val="00121C39"/>
    <w:rsid w:val="00123255"/>
    <w:rsid w:val="00124572"/>
    <w:rsid w:val="00124D2D"/>
    <w:rsid w:val="00124DA1"/>
    <w:rsid w:val="00125326"/>
    <w:rsid w:val="00125CB5"/>
    <w:rsid w:val="00127535"/>
    <w:rsid w:val="001307BE"/>
    <w:rsid w:val="00130C8F"/>
    <w:rsid w:val="001314F2"/>
    <w:rsid w:val="001317DA"/>
    <w:rsid w:val="001323BA"/>
    <w:rsid w:val="0013254D"/>
    <w:rsid w:val="00133AAC"/>
    <w:rsid w:val="00133FBD"/>
    <w:rsid w:val="00135767"/>
    <w:rsid w:val="00136561"/>
    <w:rsid w:val="001400E1"/>
    <w:rsid w:val="001405FA"/>
    <w:rsid w:val="001413B3"/>
    <w:rsid w:val="001425C3"/>
    <w:rsid w:val="00142F16"/>
    <w:rsid w:val="00143E03"/>
    <w:rsid w:val="00143E93"/>
    <w:rsid w:val="0014428D"/>
    <w:rsid w:val="001500FC"/>
    <w:rsid w:val="00151AC0"/>
    <w:rsid w:val="00151B27"/>
    <w:rsid w:val="00152046"/>
    <w:rsid w:val="00154147"/>
    <w:rsid w:val="001550F3"/>
    <w:rsid w:val="00155746"/>
    <w:rsid w:val="00155D03"/>
    <w:rsid w:val="001561B7"/>
    <w:rsid w:val="00156318"/>
    <w:rsid w:val="0015639A"/>
    <w:rsid w:val="0016081D"/>
    <w:rsid w:val="00160CF3"/>
    <w:rsid w:val="00160E61"/>
    <w:rsid w:val="001620FA"/>
    <w:rsid w:val="00162853"/>
    <w:rsid w:val="00163521"/>
    <w:rsid w:val="00163793"/>
    <w:rsid w:val="00167FB2"/>
    <w:rsid w:val="001707DE"/>
    <w:rsid w:val="00170B04"/>
    <w:rsid w:val="00170F47"/>
    <w:rsid w:val="001711F2"/>
    <w:rsid w:val="001714F2"/>
    <w:rsid w:val="00172264"/>
    <w:rsid w:val="00173642"/>
    <w:rsid w:val="00173AF4"/>
    <w:rsid w:val="00173CB0"/>
    <w:rsid w:val="00174CE8"/>
    <w:rsid w:val="00175351"/>
    <w:rsid w:val="00175F60"/>
    <w:rsid w:val="00176050"/>
    <w:rsid w:val="001764D8"/>
    <w:rsid w:val="00176A8F"/>
    <w:rsid w:val="00180D58"/>
    <w:rsid w:val="00182981"/>
    <w:rsid w:val="00184CF9"/>
    <w:rsid w:val="00185010"/>
    <w:rsid w:val="001852EC"/>
    <w:rsid w:val="00186447"/>
    <w:rsid w:val="001874CF"/>
    <w:rsid w:val="00190214"/>
    <w:rsid w:val="00190D9B"/>
    <w:rsid w:val="001916BC"/>
    <w:rsid w:val="00191BAE"/>
    <w:rsid w:val="00193432"/>
    <w:rsid w:val="0019346C"/>
    <w:rsid w:val="00195444"/>
    <w:rsid w:val="001A0B1F"/>
    <w:rsid w:val="001A199D"/>
    <w:rsid w:val="001A2BDB"/>
    <w:rsid w:val="001A30F4"/>
    <w:rsid w:val="001A4C0D"/>
    <w:rsid w:val="001A5202"/>
    <w:rsid w:val="001A552F"/>
    <w:rsid w:val="001A56F3"/>
    <w:rsid w:val="001A737B"/>
    <w:rsid w:val="001A750C"/>
    <w:rsid w:val="001B1D89"/>
    <w:rsid w:val="001B3110"/>
    <w:rsid w:val="001B4198"/>
    <w:rsid w:val="001B44BC"/>
    <w:rsid w:val="001B5888"/>
    <w:rsid w:val="001B618F"/>
    <w:rsid w:val="001B6545"/>
    <w:rsid w:val="001B681B"/>
    <w:rsid w:val="001B6A49"/>
    <w:rsid w:val="001B7231"/>
    <w:rsid w:val="001B74FB"/>
    <w:rsid w:val="001B77A1"/>
    <w:rsid w:val="001C0422"/>
    <w:rsid w:val="001C0E0E"/>
    <w:rsid w:val="001C0EB9"/>
    <w:rsid w:val="001C1219"/>
    <w:rsid w:val="001C357A"/>
    <w:rsid w:val="001C3A37"/>
    <w:rsid w:val="001C3F60"/>
    <w:rsid w:val="001C4384"/>
    <w:rsid w:val="001C65FF"/>
    <w:rsid w:val="001D47E5"/>
    <w:rsid w:val="001D584C"/>
    <w:rsid w:val="001D5E1B"/>
    <w:rsid w:val="001D6655"/>
    <w:rsid w:val="001D66C1"/>
    <w:rsid w:val="001D70E4"/>
    <w:rsid w:val="001D7390"/>
    <w:rsid w:val="001D7C6F"/>
    <w:rsid w:val="001E0024"/>
    <w:rsid w:val="001E0C65"/>
    <w:rsid w:val="001E23E3"/>
    <w:rsid w:val="001E387A"/>
    <w:rsid w:val="001E3DA4"/>
    <w:rsid w:val="001E5830"/>
    <w:rsid w:val="001E684C"/>
    <w:rsid w:val="001E701C"/>
    <w:rsid w:val="001E724F"/>
    <w:rsid w:val="001E7C03"/>
    <w:rsid w:val="001F02AF"/>
    <w:rsid w:val="001F0649"/>
    <w:rsid w:val="001F28F4"/>
    <w:rsid w:val="001F2CC6"/>
    <w:rsid w:val="001F3055"/>
    <w:rsid w:val="001F31BC"/>
    <w:rsid w:val="001F378E"/>
    <w:rsid w:val="001F3C79"/>
    <w:rsid w:val="001F3E68"/>
    <w:rsid w:val="001F4597"/>
    <w:rsid w:val="001F56A9"/>
    <w:rsid w:val="001F5C6A"/>
    <w:rsid w:val="001F5E8F"/>
    <w:rsid w:val="001F63A7"/>
    <w:rsid w:val="001F670A"/>
    <w:rsid w:val="001F6A0E"/>
    <w:rsid w:val="001F6E5B"/>
    <w:rsid w:val="00200D15"/>
    <w:rsid w:val="0020223B"/>
    <w:rsid w:val="00203074"/>
    <w:rsid w:val="00203B46"/>
    <w:rsid w:val="00203DB3"/>
    <w:rsid w:val="002048E1"/>
    <w:rsid w:val="00207DB6"/>
    <w:rsid w:val="00210278"/>
    <w:rsid w:val="00210CC2"/>
    <w:rsid w:val="00210F5B"/>
    <w:rsid w:val="00210FFA"/>
    <w:rsid w:val="00211262"/>
    <w:rsid w:val="002115F5"/>
    <w:rsid w:val="00211AC9"/>
    <w:rsid w:val="00212B33"/>
    <w:rsid w:val="0021355B"/>
    <w:rsid w:val="0021385F"/>
    <w:rsid w:val="002179F9"/>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0F82"/>
    <w:rsid w:val="002310F1"/>
    <w:rsid w:val="0023229C"/>
    <w:rsid w:val="0023355C"/>
    <w:rsid w:val="00234280"/>
    <w:rsid w:val="00235000"/>
    <w:rsid w:val="002350E3"/>
    <w:rsid w:val="00235330"/>
    <w:rsid w:val="00235541"/>
    <w:rsid w:val="00236443"/>
    <w:rsid w:val="002365BA"/>
    <w:rsid w:val="00240773"/>
    <w:rsid w:val="00240815"/>
    <w:rsid w:val="00240A5B"/>
    <w:rsid w:val="00240C76"/>
    <w:rsid w:val="002411EF"/>
    <w:rsid w:val="00241446"/>
    <w:rsid w:val="00242730"/>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E5B"/>
    <w:rsid w:val="00262F34"/>
    <w:rsid w:val="00263470"/>
    <w:rsid w:val="00263733"/>
    <w:rsid w:val="00264676"/>
    <w:rsid w:val="00265536"/>
    <w:rsid w:val="00265E54"/>
    <w:rsid w:val="00266F3E"/>
    <w:rsid w:val="00270785"/>
    <w:rsid w:val="00272464"/>
    <w:rsid w:val="00273DCD"/>
    <w:rsid w:val="00274291"/>
    <w:rsid w:val="00276CFE"/>
    <w:rsid w:val="00277071"/>
    <w:rsid w:val="0027786C"/>
    <w:rsid w:val="00277BF7"/>
    <w:rsid w:val="00281416"/>
    <w:rsid w:val="00282556"/>
    <w:rsid w:val="0028471E"/>
    <w:rsid w:val="00285CD3"/>
    <w:rsid w:val="0028686A"/>
    <w:rsid w:val="00286E66"/>
    <w:rsid w:val="002870B7"/>
    <w:rsid w:val="0028751D"/>
    <w:rsid w:val="002919B5"/>
    <w:rsid w:val="00293441"/>
    <w:rsid w:val="00294238"/>
    <w:rsid w:val="0029493E"/>
    <w:rsid w:val="002962E0"/>
    <w:rsid w:val="00296C2E"/>
    <w:rsid w:val="002A0814"/>
    <w:rsid w:val="002A1B05"/>
    <w:rsid w:val="002A267F"/>
    <w:rsid w:val="002A3354"/>
    <w:rsid w:val="002A35EA"/>
    <w:rsid w:val="002A37B6"/>
    <w:rsid w:val="002A3BD5"/>
    <w:rsid w:val="002A43A2"/>
    <w:rsid w:val="002A44ED"/>
    <w:rsid w:val="002A4612"/>
    <w:rsid w:val="002A4F70"/>
    <w:rsid w:val="002A5263"/>
    <w:rsid w:val="002A6821"/>
    <w:rsid w:val="002A7239"/>
    <w:rsid w:val="002A74D2"/>
    <w:rsid w:val="002A7CDA"/>
    <w:rsid w:val="002A7F47"/>
    <w:rsid w:val="002B1544"/>
    <w:rsid w:val="002B1BF4"/>
    <w:rsid w:val="002B1DC1"/>
    <w:rsid w:val="002B2789"/>
    <w:rsid w:val="002B36C8"/>
    <w:rsid w:val="002B46DE"/>
    <w:rsid w:val="002B71B4"/>
    <w:rsid w:val="002B7240"/>
    <w:rsid w:val="002C0E23"/>
    <w:rsid w:val="002C0FF4"/>
    <w:rsid w:val="002C125A"/>
    <w:rsid w:val="002C2668"/>
    <w:rsid w:val="002C43BD"/>
    <w:rsid w:val="002C493D"/>
    <w:rsid w:val="002C5261"/>
    <w:rsid w:val="002C6091"/>
    <w:rsid w:val="002D0562"/>
    <w:rsid w:val="002D1B5A"/>
    <w:rsid w:val="002D2500"/>
    <w:rsid w:val="002D338A"/>
    <w:rsid w:val="002D3738"/>
    <w:rsid w:val="002D3F00"/>
    <w:rsid w:val="002D4B81"/>
    <w:rsid w:val="002D4D59"/>
    <w:rsid w:val="002D54BF"/>
    <w:rsid w:val="002D5E94"/>
    <w:rsid w:val="002D632D"/>
    <w:rsid w:val="002D6FC7"/>
    <w:rsid w:val="002E02A1"/>
    <w:rsid w:val="002E0982"/>
    <w:rsid w:val="002E0DB9"/>
    <w:rsid w:val="002E2CE4"/>
    <w:rsid w:val="002E34F3"/>
    <w:rsid w:val="002E435E"/>
    <w:rsid w:val="002E5B78"/>
    <w:rsid w:val="002E73F2"/>
    <w:rsid w:val="002F33FB"/>
    <w:rsid w:val="002F663A"/>
    <w:rsid w:val="002F68A4"/>
    <w:rsid w:val="002F7594"/>
    <w:rsid w:val="00300D6F"/>
    <w:rsid w:val="00301357"/>
    <w:rsid w:val="003016F6"/>
    <w:rsid w:val="00301D04"/>
    <w:rsid w:val="003035D4"/>
    <w:rsid w:val="00303DCB"/>
    <w:rsid w:val="00304771"/>
    <w:rsid w:val="00305736"/>
    <w:rsid w:val="00306C5B"/>
    <w:rsid w:val="00306E3B"/>
    <w:rsid w:val="003119B6"/>
    <w:rsid w:val="00312C3D"/>
    <w:rsid w:val="00314331"/>
    <w:rsid w:val="00314AA7"/>
    <w:rsid w:val="00317E31"/>
    <w:rsid w:val="00320214"/>
    <w:rsid w:val="003209D6"/>
    <w:rsid w:val="0032109A"/>
    <w:rsid w:val="0032214F"/>
    <w:rsid w:val="00322164"/>
    <w:rsid w:val="00323CF7"/>
    <w:rsid w:val="00323E61"/>
    <w:rsid w:val="0032513D"/>
    <w:rsid w:val="00326251"/>
    <w:rsid w:val="0032739C"/>
    <w:rsid w:val="00327DEE"/>
    <w:rsid w:val="00327FF5"/>
    <w:rsid w:val="003302DA"/>
    <w:rsid w:val="00330EB0"/>
    <w:rsid w:val="00332214"/>
    <w:rsid w:val="0033229B"/>
    <w:rsid w:val="003329F3"/>
    <w:rsid w:val="0033352E"/>
    <w:rsid w:val="00333690"/>
    <w:rsid w:val="00333D20"/>
    <w:rsid w:val="00333F53"/>
    <w:rsid w:val="003340EF"/>
    <w:rsid w:val="00334A49"/>
    <w:rsid w:val="0033536F"/>
    <w:rsid w:val="00335BB0"/>
    <w:rsid w:val="0033627B"/>
    <w:rsid w:val="003366FC"/>
    <w:rsid w:val="00337107"/>
    <w:rsid w:val="003406BD"/>
    <w:rsid w:val="00343474"/>
    <w:rsid w:val="00343553"/>
    <w:rsid w:val="00343F84"/>
    <w:rsid w:val="00344135"/>
    <w:rsid w:val="003450E2"/>
    <w:rsid w:val="00351B63"/>
    <w:rsid w:val="00352E57"/>
    <w:rsid w:val="003541B0"/>
    <w:rsid w:val="0035457E"/>
    <w:rsid w:val="00355885"/>
    <w:rsid w:val="0035605E"/>
    <w:rsid w:val="00357449"/>
    <w:rsid w:val="0036238B"/>
    <w:rsid w:val="003651A4"/>
    <w:rsid w:val="00365680"/>
    <w:rsid w:val="003657F3"/>
    <w:rsid w:val="00366D4D"/>
    <w:rsid w:val="00367038"/>
    <w:rsid w:val="00370963"/>
    <w:rsid w:val="0037144E"/>
    <w:rsid w:val="003736B5"/>
    <w:rsid w:val="00374F1E"/>
    <w:rsid w:val="00376DEC"/>
    <w:rsid w:val="00377200"/>
    <w:rsid w:val="0038034A"/>
    <w:rsid w:val="00380E04"/>
    <w:rsid w:val="00380E6C"/>
    <w:rsid w:val="00383227"/>
    <w:rsid w:val="003839C9"/>
    <w:rsid w:val="00384B8E"/>
    <w:rsid w:val="00384D8F"/>
    <w:rsid w:val="00385D98"/>
    <w:rsid w:val="00385EC5"/>
    <w:rsid w:val="0038658E"/>
    <w:rsid w:val="0039066E"/>
    <w:rsid w:val="00391C95"/>
    <w:rsid w:val="00392110"/>
    <w:rsid w:val="00394D49"/>
    <w:rsid w:val="00396DAC"/>
    <w:rsid w:val="003A0214"/>
    <w:rsid w:val="003A027D"/>
    <w:rsid w:val="003A1D74"/>
    <w:rsid w:val="003A2B4D"/>
    <w:rsid w:val="003A2D2B"/>
    <w:rsid w:val="003A2DD4"/>
    <w:rsid w:val="003A3B1C"/>
    <w:rsid w:val="003A4088"/>
    <w:rsid w:val="003A478C"/>
    <w:rsid w:val="003A4F82"/>
    <w:rsid w:val="003A5525"/>
    <w:rsid w:val="003A6750"/>
    <w:rsid w:val="003A6B38"/>
    <w:rsid w:val="003B0218"/>
    <w:rsid w:val="003B20D9"/>
    <w:rsid w:val="003B2580"/>
    <w:rsid w:val="003B2E63"/>
    <w:rsid w:val="003B3189"/>
    <w:rsid w:val="003B3A9D"/>
    <w:rsid w:val="003B3DDD"/>
    <w:rsid w:val="003B4683"/>
    <w:rsid w:val="003B5031"/>
    <w:rsid w:val="003B5A32"/>
    <w:rsid w:val="003B6105"/>
    <w:rsid w:val="003C03CC"/>
    <w:rsid w:val="003C04C4"/>
    <w:rsid w:val="003C26F4"/>
    <w:rsid w:val="003C3686"/>
    <w:rsid w:val="003C4852"/>
    <w:rsid w:val="003C5BC7"/>
    <w:rsid w:val="003C601E"/>
    <w:rsid w:val="003C66C4"/>
    <w:rsid w:val="003D2C4E"/>
    <w:rsid w:val="003D2CA4"/>
    <w:rsid w:val="003D3600"/>
    <w:rsid w:val="003D3825"/>
    <w:rsid w:val="003D3D90"/>
    <w:rsid w:val="003D3EC4"/>
    <w:rsid w:val="003D4760"/>
    <w:rsid w:val="003D49DC"/>
    <w:rsid w:val="003D4DD9"/>
    <w:rsid w:val="003D5D7A"/>
    <w:rsid w:val="003D653F"/>
    <w:rsid w:val="003E0663"/>
    <w:rsid w:val="003E0E1D"/>
    <w:rsid w:val="003E133F"/>
    <w:rsid w:val="003E2DA8"/>
    <w:rsid w:val="003E49F6"/>
    <w:rsid w:val="003E699C"/>
    <w:rsid w:val="003E69F3"/>
    <w:rsid w:val="003E782E"/>
    <w:rsid w:val="003E7A0B"/>
    <w:rsid w:val="003E7B2B"/>
    <w:rsid w:val="003F181F"/>
    <w:rsid w:val="003F1A48"/>
    <w:rsid w:val="003F1E23"/>
    <w:rsid w:val="003F22F6"/>
    <w:rsid w:val="003F2B0A"/>
    <w:rsid w:val="003F313C"/>
    <w:rsid w:val="003F341B"/>
    <w:rsid w:val="003F37FC"/>
    <w:rsid w:val="003F3A26"/>
    <w:rsid w:val="003F49A6"/>
    <w:rsid w:val="003F5098"/>
    <w:rsid w:val="003F5568"/>
    <w:rsid w:val="003F5A95"/>
    <w:rsid w:val="003F6D19"/>
    <w:rsid w:val="004000D5"/>
    <w:rsid w:val="00400244"/>
    <w:rsid w:val="004005C1"/>
    <w:rsid w:val="00401716"/>
    <w:rsid w:val="00401A09"/>
    <w:rsid w:val="0040273A"/>
    <w:rsid w:val="00402C25"/>
    <w:rsid w:val="004050D7"/>
    <w:rsid w:val="00405EC9"/>
    <w:rsid w:val="00406292"/>
    <w:rsid w:val="00406769"/>
    <w:rsid w:val="004078BD"/>
    <w:rsid w:val="00410132"/>
    <w:rsid w:val="00410B3B"/>
    <w:rsid w:val="00410BCD"/>
    <w:rsid w:val="00410DE5"/>
    <w:rsid w:val="0041175D"/>
    <w:rsid w:val="004117CE"/>
    <w:rsid w:val="004123BE"/>
    <w:rsid w:val="00414CE5"/>
    <w:rsid w:val="00416673"/>
    <w:rsid w:val="00420C0B"/>
    <w:rsid w:val="0042160D"/>
    <w:rsid w:val="00423A3C"/>
    <w:rsid w:val="0042681B"/>
    <w:rsid w:val="00427193"/>
    <w:rsid w:val="00430627"/>
    <w:rsid w:val="0043068A"/>
    <w:rsid w:val="004306E0"/>
    <w:rsid w:val="00431A03"/>
    <w:rsid w:val="00431D54"/>
    <w:rsid w:val="004329BE"/>
    <w:rsid w:val="00432C38"/>
    <w:rsid w:val="004342EC"/>
    <w:rsid w:val="00436227"/>
    <w:rsid w:val="00437C76"/>
    <w:rsid w:val="0044105C"/>
    <w:rsid w:val="00443E95"/>
    <w:rsid w:val="004441A0"/>
    <w:rsid w:val="00444268"/>
    <w:rsid w:val="00444326"/>
    <w:rsid w:val="004443BF"/>
    <w:rsid w:val="004447F3"/>
    <w:rsid w:val="00444C19"/>
    <w:rsid w:val="00445218"/>
    <w:rsid w:val="00445CDD"/>
    <w:rsid w:val="00446043"/>
    <w:rsid w:val="00446892"/>
    <w:rsid w:val="00447E36"/>
    <w:rsid w:val="00450700"/>
    <w:rsid w:val="00450C30"/>
    <w:rsid w:val="004529C7"/>
    <w:rsid w:val="004540FF"/>
    <w:rsid w:val="004541F1"/>
    <w:rsid w:val="00455ECA"/>
    <w:rsid w:val="00457296"/>
    <w:rsid w:val="00457320"/>
    <w:rsid w:val="00460164"/>
    <w:rsid w:val="0046039A"/>
    <w:rsid w:val="00460A6B"/>
    <w:rsid w:val="00461977"/>
    <w:rsid w:val="00461A3F"/>
    <w:rsid w:val="004627A6"/>
    <w:rsid w:val="00462843"/>
    <w:rsid w:val="004629FD"/>
    <w:rsid w:val="00462AD2"/>
    <w:rsid w:val="00463B4B"/>
    <w:rsid w:val="00463F4D"/>
    <w:rsid w:val="0046471F"/>
    <w:rsid w:val="00464BE8"/>
    <w:rsid w:val="00465019"/>
    <w:rsid w:val="00465FA4"/>
    <w:rsid w:val="0046613F"/>
    <w:rsid w:val="0046655D"/>
    <w:rsid w:val="00466AAE"/>
    <w:rsid w:val="0046765E"/>
    <w:rsid w:val="004676E2"/>
    <w:rsid w:val="00471EDD"/>
    <w:rsid w:val="00473E94"/>
    <w:rsid w:val="00473FB6"/>
    <w:rsid w:val="0047400C"/>
    <w:rsid w:val="004745D9"/>
    <w:rsid w:val="00475CF8"/>
    <w:rsid w:val="004762D8"/>
    <w:rsid w:val="004765B3"/>
    <w:rsid w:val="00476D29"/>
    <w:rsid w:val="00477241"/>
    <w:rsid w:val="00477EAF"/>
    <w:rsid w:val="00477EE0"/>
    <w:rsid w:val="00480AB8"/>
    <w:rsid w:val="00480C5D"/>
    <w:rsid w:val="0048139F"/>
    <w:rsid w:val="00481C00"/>
    <w:rsid w:val="00483053"/>
    <w:rsid w:val="00484874"/>
    <w:rsid w:val="00485230"/>
    <w:rsid w:val="004879E9"/>
    <w:rsid w:val="00487F81"/>
    <w:rsid w:val="00490247"/>
    <w:rsid w:val="0049104F"/>
    <w:rsid w:val="00491218"/>
    <w:rsid w:val="00491CFD"/>
    <w:rsid w:val="00493362"/>
    <w:rsid w:val="00494343"/>
    <w:rsid w:val="0049438A"/>
    <w:rsid w:val="00496B60"/>
    <w:rsid w:val="00496C2F"/>
    <w:rsid w:val="0049740D"/>
    <w:rsid w:val="004978D3"/>
    <w:rsid w:val="004A11F8"/>
    <w:rsid w:val="004A22BD"/>
    <w:rsid w:val="004A22FA"/>
    <w:rsid w:val="004A2517"/>
    <w:rsid w:val="004A269A"/>
    <w:rsid w:val="004A30FB"/>
    <w:rsid w:val="004A35DD"/>
    <w:rsid w:val="004A37D3"/>
    <w:rsid w:val="004A3AD6"/>
    <w:rsid w:val="004A3D8C"/>
    <w:rsid w:val="004A4F28"/>
    <w:rsid w:val="004A52AA"/>
    <w:rsid w:val="004A5865"/>
    <w:rsid w:val="004A77DF"/>
    <w:rsid w:val="004B0295"/>
    <w:rsid w:val="004B0803"/>
    <w:rsid w:val="004B10A8"/>
    <w:rsid w:val="004B22DA"/>
    <w:rsid w:val="004B3CB7"/>
    <w:rsid w:val="004B3D55"/>
    <w:rsid w:val="004B55B7"/>
    <w:rsid w:val="004B5836"/>
    <w:rsid w:val="004B5F05"/>
    <w:rsid w:val="004C00A6"/>
    <w:rsid w:val="004C0BBB"/>
    <w:rsid w:val="004C1AD6"/>
    <w:rsid w:val="004C1B86"/>
    <w:rsid w:val="004C3382"/>
    <w:rsid w:val="004C3867"/>
    <w:rsid w:val="004C4AB7"/>
    <w:rsid w:val="004C4B88"/>
    <w:rsid w:val="004C4CD0"/>
    <w:rsid w:val="004C57B5"/>
    <w:rsid w:val="004C5C25"/>
    <w:rsid w:val="004C6717"/>
    <w:rsid w:val="004C6CFF"/>
    <w:rsid w:val="004C70DC"/>
    <w:rsid w:val="004C7268"/>
    <w:rsid w:val="004D0211"/>
    <w:rsid w:val="004D1C9C"/>
    <w:rsid w:val="004D2872"/>
    <w:rsid w:val="004D458D"/>
    <w:rsid w:val="004D504B"/>
    <w:rsid w:val="004D536E"/>
    <w:rsid w:val="004D76CC"/>
    <w:rsid w:val="004E1839"/>
    <w:rsid w:val="004E4A75"/>
    <w:rsid w:val="004E4DE8"/>
    <w:rsid w:val="004E541A"/>
    <w:rsid w:val="004E5A5C"/>
    <w:rsid w:val="004E7007"/>
    <w:rsid w:val="004E75F9"/>
    <w:rsid w:val="004E76D6"/>
    <w:rsid w:val="004E7F57"/>
    <w:rsid w:val="004F06F5"/>
    <w:rsid w:val="004F191F"/>
    <w:rsid w:val="004F2A4D"/>
    <w:rsid w:val="004F2A73"/>
    <w:rsid w:val="004F33A0"/>
    <w:rsid w:val="004F4353"/>
    <w:rsid w:val="004F447D"/>
    <w:rsid w:val="004F4C28"/>
    <w:rsid w:val="004F4E82"/>
    <w:rsid w:val="004F5470"/>
    <w:rsid w:val="004F5CC5"/>
    <w:rsid w:val="004F6350"/>
    <w:rsid w:val="005010BA"/>
    <w:rsid w:val="005028E1"/>
    <w:rsid w:val="0050692E"/>
    <w:rsid w:val="00507040"/>
    <w:rsid w:val="005073E8"/>
    <w:rsid w:val="005079F8"/>
    <w:rsid w:val="00510189"/>
    <w:rsid w:val="005108C0"/>
    <w:rsid w:val="00511873"/>
    <w:rsid w:val="0051367B"/>
    <w:rsid w:val="00513B7E"/>
    <w:rsid w:val="005140DE"/>
    <w:rsid w:val="00514474"/>
    <w:rsid w:val="005147E9"/>
    <w:rsid w:val="005175BC"/>
    <w:rsid w:val="0051778E"/>
    <w:rsid w:val="00521210"/>
    <w:rsid w:val="005215EF"/>
    <w:rsid w:val="00524637"/>
    <w:rsid w:val="00524FDD"/>
    <w:rsid w:val="00525128"/>
    <w:rsid w:val="00525137"/>
    <w:rsid w:val="005251DD"/>
    <w:rsid w:val="00526DB6"/>
    <w:rsid w:val="0053017A"/>
    <w:rsid w:val="00530492"/>
    <w:rsid w:val="00532854"/>
    <w:rsid w:val="005329D6"/>
    <w:rsid w:val="005350F2"/>
    <w:rsid w:val="00535152"/>
    <w:rsid w:val="00535359"/>
    <w:rsid w:val="005357A2"/>
    <w:rsid w:val="005359E3"/>
    <w:rsid w:val="00535D87"/>
    <w:rsid w:val="00535EF0"/>
    <w:rsid w:val="005363DF"/>
    <w:rsid w:val="005369F9"/>
    <w:rsid w:val="0053734B"/>
    <w:rsid w:val="005375B1"/>
    <w:rsid w:val="00537AFD"/>
    <w:rsid w:val="00537CB4"/>
    <w:rsid w:val="00540CD4"/>
    <w:rsid w:val="0054516B"/>
    <w:rsid w:val="0054559E"/>
    <w:rsid w:val="00550ACB"/>
    <w:rsid w:val="005513D5"/>
    <w:rsid w:val="005523B9"/>
    <w:rsid w:val="005545E0"/>
    <w:rsid w:val="00554865"/>
    <w:rsid w:val="00554E57"/>
    <w:rsid w:val="00555463"/>
    <w:rsid w:val="00562749"/>
    <w:rsid w:val="00562DE9"/>
    <w:rsid w:val="005638A5"/>
    <w:rsid w:val="00566381"/>
    <w:rsid w:val="00566A03"/>
    <w:rsid w:val="005700EF"/>
    <w:rsid w:val="00571932"/>
    <w:rsid w:val="00573C97"/>
    <w:rsid w:val="00574240"/>
    <w:rsid w:val="00575CDC"/>
    <w:rsid w:val="005765D5"/>
    <w:rsid w:val="00576A3E"/>
    <w:rsid w:val="0057703D"/>
    <w:rsid w:val="00580733"/>
    <w:rsid w:val="0058366F"/>
    <w:rsid w:val="00583715"/>
    <w:rsid w:val="00583D5B"/>
    <w:rsid w:val="00583FFD"/>
    <w:rsid w:val="00587CCD"/>
    <w:rsid w:val="005908AE"/>
    <w:rsid w:val="0059176E"/>
    <w:rsid w:val="00592854"/>
    <w:rsid w:val="00592A9F"/>
    <w:rsid w:val="00593152"/>
    <w:rsid w:val="00593CA3"/>
    <w:rsid w:val="00594161"/>
    <w:rsid w:val="00594969"/>
    <w:rsid w:val="00594B91"/>
    <w:rsid w:val="00596C5E"/>
    <w:rsid w:val="005A2194"/>
    <w:rsid w:val="005A21E0"/>
    <w:rsid w:val="005A33A1"/>
    <w:rsid w:val="005A54EE"/>
    <w:rsid w:val="005A563B"/>
    <w:rsid w:val="005A7500"/>
    <w:rsid w:val="005A77E4"/>
    <w:rsid w:val="005B1BDB"/>
    <w:rsid w:val="005B2BAA"/>
    <w:rsid w:val="005B2D53"/>
    <w:rsid w:val="005B3247"/>
    <w:rsid w:val="005B3409"/>
    <w:rsid w:val="005B498A"/>
    <w:rsid w:val="005B7B12"/>
    <w:rsid w:val="005C16CB"/>
    <w:rsid w:val="005C21D6"/>
    <w:rsid w:val="005C3C24"/>
    <w:rsid w:val="005C3F9F"/>
    <w:rsid w:val="005C406F"/>
    <w:rsid w:val="005C4A23"/>
    <w:rsid w:val="005C562C"/>
    <w:rsid w:val="005C5812"/>
    <w:rsid w:val="005C6400"/>
    <w:rsid w:val="005C700A"/>
    <w:rsid w:val="005C74F2"/>
    <w:rsid w:val="005C7F1E"/>
    <w:rsid w:val="005D25B4"/>
    <w:rsid w:val="005D374F"/>
    <w:rsid w:val="005D5802"/>
    <w:rsid w:val="005D6CFC"/>
    <w:rsid w:val="005D73E2"/>
    <w:rsid w:val="005D757A"/>
    <w:rsid w:val="005D7C4B"/>
    <w:rsid w:val="005E1E4B"/>
    <w:rsid w:val="005E223E"/>
    <w:rsid w:val="005E3006"/>
    <w:rsid w:val="005E362D"/>
    <w:rsid w:val="005E3A0C"/>
    <w:rsid w:val="005E3FAC"/>
    <w:rsid w:val="005E492C"/>
    <w:rsid w:val="005E4BAA"/>
    <w:rsid w:val="005E52EF"/>
    <w:rsid w:val="005E5B56"/>
    <w:rsid w:val="005E6059"/>
    <w:rsid w:val="005E6088"/>
    <w:rsid w:val="005E61DF"/>
    <w:rsid w:val="005E6B65"/>
    <w:rsid w:val="005E6B78"/>
    <w:rsid w:val="005E75B8"/>
    <w:rsid w:val="005F0976"/>
    <w:rsid w:val="005F26CE"/>
    <w:rsid w:val="005F4057"/>
    <w:rsid w:val="005F4088"/>
    <w:rsid w:val="005F4C83"/>
    <w:rsid w:val="005F601D"/>
    <w:rsid w:val="005F6119"/>
    <w:rsid w:val="005F7940"/>
    <w:rsid w:val="006000F4"/>
    <w:rsid w:val="0060107A"/>
    <w:rsid w:val="00601AFF"/>
    <w:rsid w:val="00602D1D"/>
    <w:rsid w:val="00604307"/>
    <w:rsid w:val="0060487F"/>
    <w:rsid w:val="00605814"/>
    <w:rsid w:val="00606B93"/>
    <w:rsid w:val="00607727"/>
    <w:rsid w:val="00610BD5"/>
    <w:rsid w:val="00611363"/>
    <w:rsid w:val="00611531"/>
    <w:rsid w:val="006118AA"/>
    <w:rsid w:val="006139C7"/>
    <w:rsid w:val="006153E3"/>
    <w:rsid w:val="00615BE6"/>
    <w:rsid w:val="006167AB"/>
    <w:rsid w:val="00617D2D"/>
    <w:rsid w:val="00617D83"/>
    <w:rsid w:val="00620430"/>
    <w:rsid w:val="00620AC5"/>
    <w:rsid w:val="00621575"/>
    <w:rsid w:val="006215FC"/>
    <w:rsid w:val="00624093"/>
    <w:rsid w:val="00624A23"/>
    <w:rsid w:val="00630F66"/>
    <w:rsid w:val="00631FC2"/>
    <w:rsid w:val="00632171"/>
    <w:rsid w:val="0063332A"/>
    <w:rsid w:val="006347F9"/>
    <w:rsid w:val="0063494E"/>
    <w:rsid w:val="00634C90"/>
    <w:rsid w:val="00635E79"/>
    <w:rsid w:val="00636E5E"/>
    <w:rsid w:val="0063769A"/>
    <w:rsid w:val="006379E0"/>
    <w:rsid w:val="006404A7"/>
    <w:rsid w:val="006407F3"/>
    <w:rsid w:val="006408EC"/>
    <w:rsid w:val="00640C96"/>
    <w:rsid w:val="0064129B"/>
    <w:rsid w:val="00641DF7"/>
    <w:rsid w:val="00643A80"/>
    <w:rsid w:val="00644DFC"/>
    <w:rsid w:val="006451E4"/>
    <w:rsid w:val="006454B4"/>
    <w:rsid w:val="00645A9C"/>
    <w:rsid w:val="006460B8"/>
    <w:rsid w:val="006504A0"/>
    <w:rsid w:val="006520C7"/>
    <w:rsid w:val="006520D5"/>
    <w:rsid w:val="00652CBB"/>
    <w:rsid w:val="006530B8"/>
    <w:rsid w:val="006535D6"/>
    <w:rsid w:val="00656716"/>
    <w:rsid w:val="006572ED"/>
    <w:rsid w:val="00657E87"/>
    <w:rsid w:val="00660457"/>
    <w:rsid w:val="00660CB4"/>
    <w:rsid w:val="00660E1E"/>
    <w:rsid w:val="006637B1"/>
    <w:rsid w:val="00663FFB"/>
    <w:rsid w:val="00664B64"/>
    <w:rsid w:val="00665D67"/>
    <w:rsid w:val="00665D77"/>
    <w:rsid w:val="006660CD"/>
    <w:rsid w:val="00666EC8"/>
    <w:rsid w:val="00666F4B"/>
    <w:rsid w:val="00667271"/>
    <w:rsid w:val="006676D0"/>
    <w:rsid w:val="0066796E"/>
    <w:rsid w:val="00670FAC"/>
    <w:rsid w:val="006710C9"/>
    <w:rsid w:val="006716A5"/>
    <w:rsid w:val="00675CF1"/>
    <w:rsid w:val="00675E37"/>
    <w:rsid w:val="006764ED"/>
    <w:rsid w:val="00676AFC"/>
    <w:rsid w:val="00676F11"/>
    <w:rsid w:val="00677BFE"/>
    <w:rsid w:val="00680079"/>
    <w:rsid w:val="00680F68"/>
    <w:rsid w:val="0068260E"/>
    <w:rsid w:val="0068373D"/>
    <w:rsid w:val="00683BFE"/>
    <w:rsid w:val="0068437D"/>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AA5"/>
    <w:rsid w:val="006977F6"/>
    <w:rsid w:val="00697A13"/>
    <w:rsid w:val="006A0F1B"/>
    <w:rsid w:val="006A109C"/>
    <w:rsid w:val="006A18AE"/>
    <w:rsid w:val="006A2EE8"/>
    <w:rsid w:val="006A3CF3"/>
    <w:rsid w:val="006A568F"/>
    <w:rsid w:val="006A65EF"/>
    <w:rsid w:val="006A672B"/>
    <w:rsid w:val="006B23A9"/>
    <w:rsid w:val="006B281D"/>
    <w:rsid w:val="006B3F8A"/>
    <w:rsid w:val="006B5CA3"/>
    <w:rsid w:val="006B6B3B"/>
    <w:rsid w:val="006B7248"/>
    <w:rsid w:val="006B7714"/>
    <w:rsid w:val="006B78D8"/>
    <w:rsid w:val="006B7B66"/>
    <w:rsid w:val="006B7BE9"/>
    <w:rsid w:val="006C090F"/>
    <w:rsid w:val="006C0935"/>
    <w:rsid w:val="006C0BCE"/>
    <w:rsid w:val="006C113F"/>
    <w:rsid w:val="006C2AED"/>
    <w:rsid w:val="006C38DD"/>
    <w:rsid w:val="006C457F"/>
    <w:rsid w:val="006C53C7"/>
    <w:rsid w:val="006C5577"/>
    <w:rsid w:val="006C559A"/>
    <w:rsid w:val="006C58FA"/>
    <w:rsid w:val="006D042D"/>
    <w:rsid w:val="006D06EF"/>
    <w:rsid w:val="006D142E"/>
    <w:rsid w:val="006D4497"/>
    <w:rsid w:val="006D4927"/>
    <w:rsid w:val="006D4E6F"/>
    <w:rsid w:val="006D5A0C"/>
    <w:rsid w:val="006D61F6"/>
    <w:rsid w:val="006E0EB0"/>
    <w:rsid w:val="006E1F4C"/>
    <w:rsid w:val="006E22C8"/>
    <w:rsid w:val="006E279A"/>
    <w:rsid w:val="006E2F3F"/>
    <w:rsid w:val="006E313B"/>
    <w:rsid w:val="006E442A"/>
    <w:rsid w:val="006E4434"/>
    <w:rsid w:val="006E59FC"/>
    <w:rsid w:val="006E5CFD"/>
    <w:rsid w:val="006E5D21"/>
    <w:rsid w:val="006E7E2C"/>
    <w:rsid w:val="006F1326"/>
    <w:rsid w:val="006F2BEE"/>
    <w:rsid w:val="006F3708"/>
    <w:rsid w:val="006F394E"/>
    <w:rsid w:val="006F3E6B"/>
    <w:rsid w:val="006F4619"/>
    <w:rsid w:val="006F4A59"/>
    <w:rsid w:val="00700232"/>
    <w:rsid w:val="007014C7"/>
    <w:rsid w:val="00702D6F"/>
    <w:rsid w:val="00703B6C"/>
    <w:rsid w:val="00703C6B"/>
    <w:rsid w:val="007047D5"/>
    <w:rsid w:val="00705D98"/>
    <w:rsid w:val="00707891"/>
    <w:rsid w:val="00707D23"/>
    <w:rsid w:val="00707D43"/>
    <w:rsid w:val="00711EF1"/>
    <w:rsid w:val="0071229A"/>
    <w:rsid w:val="00712572"/>
    <w:rsid w:val="00713495"/>
    <w:rsid w:val="00713EEB"/>
    <w:rsid w:val="007159D2"/>
    <w:rsid w:val="0072050E"/>
    <w:rsid w:val="00720FA2"/>
    <w:rsid w:val="007211F5"/>
    <w:rsid w:val="00722CE0"/>
    <w:rsid w:val="00724666"/>
    <w:rsid w:val="00725492"/>
    <w:rsid w:val="00726043"/>
    <w:rsid w:val="0072704A"/>
    <w:rsid w:val="00730AE8"/>
    <w:rsid w:val="007315DA"/>
    <w:rsid w:val="00731963"/>
    <w:rsid w:val="00733AF9"/>
    <w:rsid w:val="00734321"/>
    <w:rsid w:val="0073532E"/>
    <w:rsid w:val="00740310"/>
    <w:rsid w:val="00740652"/>
    <w:rsid w:val="00740F02"/>
    <w:rsid w:val="00740FEC"/>
    <w:rsid w:val="0074132E"/>
    <w:rsid w:val="00741493"/>
    <w:rsid w:val="007426B3"/>
    <w:rsid w:val="007426FD"/>
    <w:rsid w:val="0074329D"/>
    <w:rsid w:val="007442F7"/>
    <w:rsid w:val="00744376"/>
    <w:rsid w:val="007449EA"/>
    <w:rsid w:val="00744D00"/>
    <w:rsid w:val="00744D2B"/>
    <w:rsid w:val="00745273"/>
    <w:rsid w:val="00746DD9"/>
    <w:rsid w:val="0075057A"/>
    <w:rsid w:val="00751771"/>
    <w:rsid w:val="00751C1C"/>
    <w:rsid w:val="00752180"/>
    <w:rsid w:val="007521A1"/>
    <w:rsid w:val="00752BC3"/>
    <w:rsid w:val="00752FA1"/>
    <w:rsid w:val="0075315D"/>
    <w:rsid w:val="007538F9"/>
    <w:rsid w:val="00754253"/>
    <w:rsid w:val="007552BB"/>
    <w:rsid w:val="007558D3"/>
    <w:rsid w:val="007559D7"/>
    <w:rsid w:val="00755D3A"/>
    <w:rsid w:val="00760141"/>
    <w:rsid w:val="007609C6"/>
    <w:rsid w:val="007610A0"/>
    <w:rsid w:val="00762036"/>
    <w:rsid w:val="007620F2"/>
    <w:rsid w:val="00762EBA"/>
    <w:rsid w:val="0076359D"/>
    <w:rsid w:val="0076370B"/>
    <w:rsid w:val="007642C3"/>
    <w:rsid w:val="0077058D"/>
    <w:rsid w:val="00772536"/>
    <w:rsid w:val="00773613"/>
    <w:rsid w:val="00774782"/>
    <w:rsid w:val="00776476"/>
    <w:rsid w:val="00776527"/>
    <w:rsid w:val="007805E1"/>
    <w:rsid w:val="0078113E"/>
    <w:rsid w:val="00781834"/>
    <w:rsid w:val="007821DB"/>
    <w:rsid w:val="00782818"/>
    <w:rsid w:val="007838F1"/>
    <w:rsid w:val="00784C4A"/>
    <w:rsid w:val="00787432"/>
    <w:rsid w:val="00787507"/>
    <w:rsid w:val="007879F2"/>
    <w:rsid w:val="00791804"/>
    <w:rsid w:val="00791CF8"/>
    <w:rsid w:val="00791EF9"/>
    <w:rsid w:val="00792262"/>
    <w:rsid w:val="00793387"/>
    <w:rsid w:val="007934A6"/>
    <w:rsid w:val="00793BAE"/>
    <w:rsid w:val="00794E0A"/>
    <w:rsid w:val="00796642"/>
    <w:rsid w:val="007A11D9"/>
    <w:rsid w:val="007A327B"/>
    <w:rsid w:val="007A4048"/>
    <w:rsid w:val="007A45B1"/>
    <w:rsid w:val="007A4606"/>
    <w:rsid w:val="007A46C3"/>
    <w:rsid w:val="007A4CDD"/>
    <w:rsid w:val="007A62A6"/>
    <w:rsid w:val="007B03A6"/>
    <w:rsid w:val="007B0D67"/>
    <w:rsid w:val="007B1966"/>
    <w:rsid w:val="007B2779"/>
    <w:rsid w:val="007B3DCC"/>
    <w:rsid w:val="007B4518"/>
    <w:rsid w:val="007B5031"/>
    <w:rsid w:val="007B573F"/>
    <w:rsid w:val="007B78F8"/>
    <w:rsid w:val="007C0065"/>
    <w:rsid w:val="007C010B"/>
    <w:rsid w:val="007C0A4B"/>
    <w:rsid w:val="007C0CB9"/>
    <w:rsid w:val="007C3AE3"/>
    <w:rsid w:val="007C605B"/>
    <w:rsid w:val="007D2A5A"/>
    <w:rsid w:val="007D2AD8"/>
    <w:rsid w:val="007D2C47"/>
    <w:rsid w:val="007D2F81"/>
    <w:rsid w:val="007D3167"/>
    <w:rsid w:val="007D4128"/>
    <w:rsid w:val="007D4281"/>
    <w:rsid w:val="007D42F5"/>
    <w:rsid w:val="007D44C3"/>
    <w:rsid w:val="007D5947"/>
    <w:rsid w:val="007D65C1"/>
    <w:rsid w:val="007E030F"/>
    <w:rsid w:val="007E0E59"/>
    <w:rsid w:val="007E0F4B"/>
    <w:rsid w:val="007E3715"/>
    <w:rsid w:val="007E7E61"/>
    <w:rsid w:val="007F02FE"/>
    <w:rsid w:val="007F0845"/>
    <w:rsid w:val="007F16F9"/>
    <w:rsid w:val="007F17DF"/>
    <w:rsid w:val="007F3E3E"/>
    <w:rsid w:val="007F42E0"/>
    <w:rsid w:val="007F500D"/>
    <w:rsid w:val="007F5F14"/>
    <w:rsid w:val="007F7B54"/>
    <w:rsid w:val="00800073"/>
    <w:rsid w:val="008005D7"/>
    <w:rsid w:val="00801FDD"/>
    <w:rsid w:val="008020C2"/>
    <w:rsid w:val="0080255C"/>
    <w:rsid w:val="00806088"/>
    <w:rsid w:val="00806D07"/>
    <w:rsid w:val="0081019B"/>
    <w:rsid w:val="0081187C"/>
    <w:rsid w:val="00811E24"/>
    <w:rsid w:val="00812386"/>
    <w:rsid w:val="00812E2B"/>
    <w:rsid w:val="0081315E"/>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9C3"/>
    <w:rsid w:val="00826ED1"/>
    <w:rsid w:val="00827181"/>
    <w:rsid w:val="0082733C"/>
    <w:rsid w:val="00827746"/>
    <w:rsid w:val="00827E77"/>
    <w:rsid w:val="0083017F"/>
    <w:rsid w:val="0083102D"/>
    <w:rsid w:val="0083143E"/>
    <w:rsid w:val="0083159D"/>
    <w:rsid w:val="008318FF"/>
    <w:rsid w:val="00832187"/>
    <w:rsid w:val="00832493"/>
    <w:rsid w:val="008329BD"/>
    <w:rsid w:val="008336D8"/>
    <w:rsid w:val="008339C4"/>
    <w:rsid w:val="00834F0A"/>
    <w:rsid w:val="00834FAA"/>
    <w:rsid w:val="00835181"/>
    <w:rsid w:val="00835991"/>
    <w:rsid w:val="00836086"/>
    <w:rsid w:val="00840699"/>
    <w:rsid w:val="008410CF"/>
    <w:rsid w:val="00841D9F"/>
    <w:rsid w:val="00842604"/>
    <w:rsid w:val="008437F0"/>
    <w:rsid w:val="00843ECF"/>
    <w:rsid w:val="00845AB1"/>
    <w:rsid w:val="00846673"/>
    <w:rsid w:val="00846772"/>
    <w:rsid w:val="00850DFC"/>
    <w:rsid w:val="0085281A"/>
    <w:rsid w:val="00853F33"/>
    <w:rsid w:val="008559FE"/>
    <w:rsid w:val="00857339"/>
    <w:rsid w:val="00860706"/>
    <w:rsid w:val="00862A7A"/>
    <w:rsid w:val="00863104"/>
    <w:rsid w:val="008636CD"/>
    <w:rsid w:val="00863702"/>
    <w:rsid w:val="00863D9E"/>
    <w:rsid w:val="00863FDC"/>
    <w:rsid w:val="008642AF"/>
    <w:rsid w:val="00865729"/>
    <w:rsid w:val="00865ED4"/>
    <w:rsid w:val="008669A7"/>
    <w:rsid w:val="00867464"/>
    <w:rsid w:val="00867E29"/>
    <w:rsid w:val="00870F2B"/>
    <w:rsid w:val="00873B2E"/>
    <w:rsid w:val="008746E6"/>
    <w:rsid w:val="008752B9"/>
    <w:rsid w:val="0087594C"/>
    <w:rsid w:val="00876086"/>
    <w:rsid w:val="008765FA"/>
    <w:rsid w:val="008768D6"/>
    <w:rsid w:val="008775D1"/>
    <w:rsid w:val="008777BB"/>
    <w:rsid w:val="0087798D"/>
    <w:rsid w:val="00877D68"/>
    <w:rsid w:val="00877E5D"/>
    <w:rsid w:val="00880150"/>
    <w:rsid w:val="00880ABA"/>
    <w:rsid w:val="00883A67"/>
    <w:rsid w:val="00883D45"/>
    <w:rsid w:val="00884D69"/>
    <w:rsid w:val="0088503D"/>
    <w:rsid w:val="00886A8F"/>
    <w:rsid w:val="0088733A"/>
    <w:rsid w:val="00891BE0"/>
    <w:rsid w:val="00893302"/>
    <w:rsid w:val="00893648"/>
    <w:rsid w:val="00893F3C"/>
    <w:rsid w:val="008945A1"/>
    <w:rsid w:val="00894A63"/>
    <w:rsid w:val="00895A54"/>
    <w:rsid w:val="00896916"/>
    <w:rsid w:val="00896BDE"/>
    <w:rsid w:val="008A0861"/>
    <w:rsid w:val="008A0BB2"/>
    <w:rsid w:val="008A1AB3"/>
    <w:rsid w:val="008A1D5C"/>
    <w:rsid w:val="008A3292"/>
    <w:rsid w:val="008A3371"/>
    <w:rsid w:val="008A3A85"/>
    <w:rsid w:val="008A43E9"/>
    <w:rsid w:val="008A4CB1"/>
    <w:rsid w:val="008A615E"/>
    <w:rsid w:val="008A632B"/>
    <w:rsid w:val="008A6680"/>
    <w:rsid w:val="008A6BFE"/>
    <w:rsid w:val="008A7EB8"/>
    <w:rsid w:val="008B00C2"/>
    <w:rsid w:val="008B07EF"/>
    <w:rsid w:val="008B16DE"/>
    <w:rsid w:val="008B190E"/>
    <w:rsid w:val="008B1A8A"/>
    <w:rsid w:val="008B1FC9"/>
    <w:rsid w:val="008B531F"/>
    <w:rsid w:val="008B54A3"/>
    <w:rsid w:val="008B6B67"/>
    <w:rsid w:val="008B7306"/>
    <w:rsid w:val="008B775F"/>
    <w:rsid w:val="008B7C02"/>
    <w:rsid w:val="008B7D13"/>
    <w:rsid w:val="008B7F9E"/>
    <w:rsid w:val="008C034E"/>
    <w:rsid w:val="008C0E88"/>
    <w:rsid w:val="008C1399"/>
    <w:rsid w:val="008C1AA8"/>
    <w:rsid w:val="008C22A8"/>
    <w:rsid w:val="008C2B77"/>
    <w:rsid w:val="008C3C7A"/>
    <w:rsid w:val="008C5B43"/>
    <w:rsid w:val="008C63FD"/>
    <w:rsid w:val="008C6CB8"/>
    <w:rsid w:val="008C7815"/>
    <w:rsid w:val="008C7A07"/>
    <w:rsid w:val="008C7EB3"/>
    <w:rsid w:val="008D0171"/>
    <w:rsid w:val="008D13EA"/>
    <w:rsid w:val="008D2671"/>
    <w:rsid w:val="008D2A16"/>
    <w:rsid w:val="008D2ECF"/>
    <w:rsid w:val="008D347D"/>
    <w:rsid w:val="008D3F3D"/>
    <w:rsid w:val="008D4376"/>
    <w:rsid w:val="008E0367"/>
    <w:rsid w:val="008E308D"/>
    <w:rsid w:val="008E31FF"/>
    <w:rsid w:val="008E46A3"/>
    <w:rsid w:val="008E5DE6"/>
    <w:rsid w:val="008E6113"/>
    <w:rsid w:val="008E67B2"/>
    <w:rsid w:val="008E6AB3"/>
    <w:rsid w:val="008E6AD3"/>
    <w:rsid w:val="008E71A6"/>
    <w:rsid w:val="008E7695"/>
    <w:rsid w:val="008E77B6"/>
    <w:rsid w:val="008E7C55"/>
    <w:rsid w:val="008F032E"/>
    <w:rsid w:val="008F0F14"/>
    <w:rsid w:val="008F2F44"/>
    <w:rsid w:val="008F3423"/>
    <w:rsid w:val="008F3A8A"/>
    <w:rsid w:val="008F4FCE"/>
    <w:rsid w:val="008F5301"/>
    <w:rsid w:val="008F6627"/>
    <w:rsid w:val="008F6967"/>
    <w:rsid w:val="008F6A0C"/>
    <w:rsid w:val="008F6F38"/>
    <w:rsid w:val="008F7721"/>
    <w:rsid w:val="008F7D28"/>
    <w:rsid w:val="009003A8"/>
    <w:rsid w:val="009010A7"/>
    <w:rsid w:val="009010E3"/>
    <w:rsid w:val="00901AF3"/>
    <w:rsid w:val="00901CA8"/>
    <w:rsid w:val="00902BDD"/>
    <w:rsid w:val="00902CBE"/>
    <w:rsid w:val="00902D09"/>
    <w:rsid w:val="00902D74"/>
    <w:rsid w:val="00902EFF"/>
    <w:rsid w:val="00903E06"/>
    <w:rsid w:val="009040B3"/>
    <w:rsid w:val="00904B9D"/>
    <w:rsid w:val="00905A11"/>
    <w:rsid w:val="00905E96"/>
    <w:rsid w:val="009066E1"/>
    <w:rsid w:val="00907A41"/>
    <w:rsid w:val="009102BD"/>
    <w:rsid w:val="00910F93"/>
    <w:rsid w:val="0091255A"/>
    <w:rsid w:val="00913BCD"/>
    <w:rsid w:val="00914426"/>
    <w:rsid w:val="0091675F"/>
    <w:rsid w:val="00917709"/>
    <w:rsid w:val="00917918"/>
    <w:rsid w:val="00920874"/>
    <w:rsid w:val="00921F14"/>
    <w:rsid w:val="00923750"/>
    <w:rsid w:val="009243A5"/>
    <w:rsid w:val="0092500F"/>
    <w:rsid w:val="009250D2"/>
    <w:rsid w:val="0092519D"/>
    <w:rsid w:val="0092540B"/>
    <w:rsid w:val="009256C5"/>
    <w:rsid w:val="00926283"/>
    <w:rsid w:val="00927D62"/>
    <w:rsid w:val="009306BE"/>
    <w:rsid w:val="00930F8D"/>
    <w:rsid w:val="009319E3"/>
    <w:rsid w:val="00937B11"/>
    <w:rsid w:val="00940F1F"/>
    <w:rsid w:val="00941250"/>
    <w:rsid w:val="00941F4F"/>
    <w:rsid w:val="0094427A"/>
    <w:rsid w:val="00944380"/>
    <w:rsid w:val="009459C5"/>
    <w:rsid w:val="0094626C"/>
    <w:rsid w:val="0095013A"/>
    <w:rsid w:val="00953AEF"/>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63EB"/>
    <w:rsid w:val="0096650F"/>
    <w:rsid w:val="00967801"/>
    <w:rsid w:val="00967AD2"/>
    <w:rsid w:val="009700DB"/>
    <w:rsid w:val="00971DC6"/>
    <w:rsid w:val="00972263"/>
    <w:rsid w:val="00972502"/>
    <w:rsid w:val="00972D8D"/>
    <w:rsid w:val="00973A7A"/>
    <w:rsid w:val="00973AAE"/>
    <w:rsid w:val="0097476C"/>
    <w:rsid w:val="00974923"/>
    <w:rsid w:val="00974D48"/>
    <w:rsid w:val="00974D5F"/>
    <w:rsid w:val="00975017"/>
    <w:rsid w:val="0097562D"/>
    <w:rsid w:val="009759DF"/>
    <w:rsid w:val="0098019B"/>
    <w:rsid w:val="00980373"/>
    <w:rsid w:val="00980621"/>
    <w:rsid w:val="0098095B"/>
    <w:rsid w:val="00982072"/>
    <w:rsid w:val="009833FA"/>
    <w:rsid w:val="00983DBB"/>
    <w:rsid w:val="00983ECF"/>
    <w:rsid w:val="00986745"/>
    <w:rsid w:val="009867BC"/>
    <w:rsid w:val="00987109"/>
    <w:rsid w:val="00987309"/>
    <w:rsid w:val="0099012D"/>
    <w:rsid w:val="00990363"/>
    <w:rsid w:val="009954FF"/>
    <w:rsid w:val="00995E2F"/>
    <w:rsid w:val="009961BC"/>
    <w:rsid w:val="00996355"/>
    <w:rsid w:val="0099684C"/>
    <w:rsid w:val="009A2014"/>
    <w:rsid w:val="009A3030"/>
    <w:rsid w:val="009A3A87"/>
    <w:rsid w:val="009A434E"/>
    <w:rsid w:val="009A4E12"/>
    <w:rsid w:val="009A5C68"/>
    <w:rsid w:val="009A6EF7"/>
    <w:rsid w:val="009B04D0"/>
    <w:rsid w:val="009B052C"/>
    <w:rsid w:val="009B0EF2"/>
    <w:rsid w:val="009B23A3"/>
    <w:rsid w:val="009B2C0E"/>
    <w:rsid w:val="009B4925"/>
    <w:rsid w:val="009B4B4B"/>
    <w:rsid w:val="009B68B8"/>
    <w:rsid w:val="009B6FD3"/>
    <w:rsid w:val="009B70BD"/>
    <w:rsid w:val="009C07A5"/>
    <w:rsid w:val="009C13A4"/>
    <w:rsid w:val="009C2A52"/>
    <w:rsid w:val="009C3705"/>
    <w:rsid w:val="009C7388"/>
    <w:rsid w:val="009D0CFF"/>
    <w:rsid w:val="009D1551"/>
    <w:rsid w:val="009D2859"/>
    <w:rsid w:val="009D36EC"/>
    <w:rsid w:val="009D4173"/>
    <w:rsid w:val="009D6095"/>
    <w:rsid w:val="009D6306"/>
    <w:rsid w:val="009E048A"/>
    <w:rsid w:val="009E1FBA"/>
    <w:rsid w:val="009E2C54"/>
    <w:rsid w:val="009E3710"/>
    <w:rsid w:val="009E6F65"/>
    <w:rsid w:val="009E7340"/>
    <w:rsid w:val="009E7B1F"/>
    <w:rsid w:val="009F3FC3"/>
    <w:rsid w:val="009F4126"/>
    <w:rsid w:val="009F41C4"/>
    <w:rsid w:val="009F5846"/>
    <w:rsid w:val="009F63D2"/>
    <w:rsid w:val="009F7B52"/>
    <w:rsid w:val="009F7D77"/>
    <w:rsid w:val="00A004D2"/>
    <w:rsid w:val="00A015EA"/>
    <w:rsid w:val="00A041F3"/>
    <w:rsid w:val="00A10CB1"/>
    <w:rsid w:val="00A10D66"/>
    <w:rsid w:val="00A12BA8"/>
    <w:rsid w:val="00A13993"/>
    <w:rsid w:val="00A1420C"/>
    <w:rsid w:val="00A1456C"/>
    <w:rsid w:val="00A14821"/>
    <w:rsid w:val="00A15E65"/>
    <w:rsid w:val="00A17754"/>
    <w:rsid w:val="00A2055B"/>
    <w:rsid w:val="00A20AAE"/>
    <w:rsid w:val="00A2253C"/>
    <w:rsid w:val="00A23545"/>
    <w:rsid w:val="00A23A55"/>
    <w:rsid w:val="00A23E43"/>
    <w:rsid w:val="00A23EF0"/>
    <w:rsid w:val="00A24F8C"/>
    <w:rsid w:val="00A2565B"/>
    <w:rsid w:val="00A262BF"/>
    <w:rsid w:val="00A271AD"/>
    <w:rsid w:val="00A276D5"/>
    <w:rsid w:val="00A30336"/>
    <w:rsid w:val="00A30BB5"/>
    <w:rsid w:val="00A30C37"/>
    <w:rsid w:val="00A3128F"/>
    <w:rsid w:val="00A31BE3"/>
    <w:rsid w:val="00A326D0"/>
    <w:rsid w:val="00A35287"/>
    <w:rsid w:val="00A378F8"/>
    <w:rsid w:val="00A40B19"/>
    <w:rsid w:val="00A41D07"/>
    <w:rsid w:val="00A424F8"/>
    <w:rsid w:val="00A42883"/>
    <w:rsid w:val="00A437B7"/>
    <w:rsid w:val="00A44D3A"/>
    <w:rsid w:val="00A46D48"/>
    <w:rsid w:val="00A46DE0"/>
    <w:rsid w:val="00A4778A"/>
    <w:rsid w:val="00A47C94"/>
    <w:rsid w:val="00A504C0"/>
    <w:rsid w:val="00A5067F"/>
    <w:rsid w:val="00A517C1"/>
    <w:rsid w:val="00A518E0"/>
    <w:rsid w:val="00A55301"/>
    <w:rsid w:val="00A572FB"/>
    <w:rsid w:val="00A57B3C"/>
    <w:rsid w:val="00A57F1B"/>
    <w:rsid w:val="00A600D2"/>
    <w:rsid w:val="00A6127D"/>
    <w:rsid w:val="00A6128E"/>
    <w:rsid w:val="00A62CE1"/>
    <w:rsid w:val="00A63114"/>
    <w:rsid w:val="00A631FA"/>
    <w:rsid w:val="00A64203"/>
    <w:rsid w:val="00A64348"/>
    <w:rsid w:val="00A644E1"/>
    <w:rsid w:val="00A711B0"/>
    <w:rsid w:val="00A721FB"/>
    <w:rsid w:val="00A727BA"/>
    <w:rsid w:val="00A72D4B"/>
    <w:rsid w:val="00A732AE"/>
    <w:rsid w:val="00A75E40"/>
    <w:rsid w:val="00A76965"/>
    <w:rsid w:val="00A76F5B"/>
    <w:rsid w:val="00A77AE4"/>
    <w:rsid w:val="00A77EB2"/>
    <w:rsid w:val="00A81094"/>
    <w:rsid w:val="00A82B66"/>
    <w:rsid w:val="00A83B58"/>
    <w:rsid w:val="00A84FAF"/>
    <w:rsid w:val="00A851B6"/>
    <w:rsid w:val="00A85729"/>
    <w:rsid w:val="00A8574B"/>
    <w:rsid w:val="00A857C0"/>
    <w:rsid w:val="00A90343"/>
    <w:rsid w:val="00A91336"/>
    <w:rsid w:val="00A9221C"/>
    <w:rsid w:val="00A94628"/>
    <w:rsid w:val="00A94954"/>
    <w:rsid w:val="00A94EAE"/>
    <w:rsid w:val="00A95742"/>
    <w:rsid w:val="00A96463"/>
    <w:rsid w:val="00A97E3F"/>
    <w:rsid w:val="00AA020E"/>
    <w:rsid w:val="00AA09D3"/>
    <w:rsid w:val="00AA23FB"/>
    <w:rsid w:val="00AA34FE"/>
    <w:rsid w:val="00AA42AB"/>
    <w:rsid w:val="00AA559A"/>
    <w:rsid w:val="00AA5F10"/>
    <w:rsid w:val="00AB104D"/>
    <w:rsid w:val="00AB1441"/>
    <w:rsid w:val="00AB2AF1"/>
    <w:rsid w:val="00AB440B"/>
    <w:rsid w:val="00AB47E3"/>
    <w:rsid w:val="00AB7170"/>
    <w:rsid w:val="00AB74C5"/>
    <w:rsid w:val="00AB7BEE"/>
    <w:rsid w:val="00AB7DF2"/>
    <w:rsid w:val="00AC1E3F"/>
    <w:rsid w:val="00AC1E88"/>
    <w:rsid w:val="00AC219A"/>
    <w:rsid w:val="00AC4F18"/>
    <w:rsid w:val="00AD0B46"/>
    <w:rsid w:val="00AD1094"/>
    <w:rsid w:val="00AD2565"/>
    <w:rsid w:val="00AD306C"/>
    <w:rsid w:val="00AD3424"/>
    <w:rsid w:val="00AD50D1"/>
    <w:rsid w:val="00AD59BB"/>
    <w:rsid w:val="00AD5D68"/>
    <w:rsid w:val="00AD6C73"/>
    <w:rsid w:val="00AD7D49"/>
    <w:rsid w:val="00AE06D0"/>
    <w:rsid w:val="00AE1B8A"/>
    <w:rsid w:val="00AE39DC"/>
    <w:rsid w:val="00AE3CDA"/>
    <w:rsid w:val="00AE6331"/>
    <w:rsid w:val="00AE7968"/>
    <w:rsid w:val="00AE7B2B"/>
    <w:rsid w:val="00AE7DFF"/>
    <w:rsid w:val="00AF128B"/>
    <w:rsid w:val="00AF1AEA"/>
    <w:rsid w:val="00AF2852"/>
    <w:rsid w:val="00AF3225"/>
    <w:rsid w:val="00AF4983"/>
    <w:rsid w:val="00AF518B"/>
    <w:rsid w:val="00AF5275"/>
    <w:rsid w:val="00AF5D62"/>
    <w:rsid w:val="00AF6367"/>
    <w:rsid w:val="00AF6A79"/>
    <w:rsid w:val="00AF724E"/>
    <w:rsid w:val="00AF73A9"/>
    <w:rsid w:val="00B01436"/>
    <w:rsid w:val="00B01C2C"/>
    <w:rsid w:val="00B01E40"/>
    <w:rsid w:val="00B0231C"/>
    <w:rsid w:val="00B07C2A"/>
    <w:rsid w:val="00B13681"/>
    <w:rsid w:val="00B15DCD"/>
    <w:rsid w:val="00B17ACB"/>
    <w:rsid w:val="00B17E71"/>
    <w:rsid w:val="00B17FDE"/>
    <w:rsid w:val="00B208FC"/>
    <w:rsid w:val="00B20C65"/>
    <w:rsid w:val="00B22E17"/>
    <w:rsid w:val="00B25567"/>
    <w:rsid w:val="00B266C5"/>
    <w:rsid w:val="00B27293"/>
    <w:rsid w:val="00B301BB"/>
    <w:rsid w:val="00B321E3"/>
    <w:rsid w:val="00B3229E"/>
    <w:rsid w:val="00B32DDB"/>
    <w:rsid w:val="00B34931"/>
    <w:rsid w:val="00B35174"/>
    <w:rsid w:val="00B35BEA"/>
    <w:rsid w:val="00B378C5"/>
    <w:rsid w:val="00B37915"/>
    <w:rsid w:val="00B3793D"/>
    <w:rsid w:val="00B41BE6"/>
    <w:rsid w:val="00B42831"/>
    <w:rsid w:val="00B428A4"/>
    <w:rsid w:val="00B44FC4"/>
    <w:rsid w:val="00B457E7"/>
    <w:rsid w:val="00B45D1B"/>
    <w:rsid w:val="00B463F5"/>
    <w:rsid w:val="00B46D25"/>
    <w:rsid w:val="00B47430"/>
    <w:rsid w:val="00B47AC6"/>
    <w:rsid w:val="00B52D2D"/>
    <w:rsid w:val="00B52F8A"/>
    <w:rsid w:val="00B534EF"/>
    <w:rsid w:val="00B55BA8"/>
    <w:rsid w:val="00B55F15"/>
    <w:rsid w:val="00B561A6"/>
    <w:rsid w:val="00B60062"/>
    <w:rsid w:val="00B62960"/>
    <w:rsid w:val="00B63A11"/>
    <w:rsid w:val="00B63D16"/>
    <w:rsid w:val="00B63FD0"/>
    <w:rsid w:val="00B65C84"/>
    <w:rsid w:val="00B6608F"/>
    <w:rsid w:val="00B74317"/>
    <w:rsid w:val="00B76D1E"/>
    <w:rsid w:val="00B77BC8"/>
    <w:rsid w:val="00B800EB"/>
    <w:rsid w:val="00B822D2"/>
    <w:rsid w:val="00B83308"/>
    <w:rsid w:val="00B83D46"/>
    <w:rsid w:val="00B848B8"/>
    <w:rsid w:val="00B84A41"/>
    <w:rsid w:val="00B84D57"/>
    <w:rsid w:val="00B8504B"/>
    <w:rsid w:val="00B85689"/>
    <w:rsid w:val="00B86748"/>
    <w:rsid w:val="00B87C5F"/>
    <w:rsid w:val="00B907EA"/>
    <w:rsid w:val="00B91EC9"/>
    <w:rsid w:val="00B924CA"/>
    <w:rsid w:val="00B92A34"/>
    <w:rsid w:val="00B92A4B"/>
    <w:rsid w:val="00B92C76"/>
    <w:rsid w:val="00B93384"/>
    <w:rsid w:val="00B93616"/>
    <w:rsid w:val="00B94417"/>
    <w:rsid w:val="00B95566"/>
    <w:rsid w:val="00B95940"/>
    <w:rsid w:val="00B95EF8"/>
    <w:rsid w:val="00B95F50"/>
    <w:rsid w:val="00B96BD9"/>
    <w:rsid w:val="00B97DCE"/>
    <w:rsid w:val="00BA4358"/>
    <w:rsid w:val="00BB0274"/>
    <w:rsid w:val="00BB1CFD"/>
    <w:rsid w:val="00BB2C53"/>
    <w:rsid w:val="00BB32DA"/>
    <w:rsid w:val="00BB3A54"/>
    <w:rsid w:val="00BB4D26"/>
    <w:rsid w:val="00BB4E21"/>
    <w:rsid w:val="00BB7746"/>
    <w:rsid w:val="00BC22EB"/>
    <w:rsid w:val="00BC682B"/>
    <w:rsid w:val="00BC6B04"/>
    <w:rsid w:val="00BC6D27"/>
    <w:rsid w:val="00BD059A"/>
    <w:rsid w:val="00BD1708"/>
    <w:rsid w:val="00BD186B"/>
    <w:rsid w:val="00BD1EAC"/>
    <w:rsid w:val="00BD254C"/>
    <w:rsid w:val="00BD3428"/>
    <w:rsid w:val="00BD366B"/>
    <w:rsid w:val="00BD534C"/>
    <w:rsid w:val="00BD55A9"/>
    <w:rsid w:val="00BD56BC"/>
    <w:rsid w:val="00BD5D91"/>
    <w:rsid w:val="00BD6445"/>
    <w:rsid w:val="00BD6615"/>
    <w:rsid w:val="00BD6D50"/>
    <w:rsid w:val="00BE0D79"/>
    <w:rsid w:val="00BE0DB0"/>
    <w:rsid w:val="00BE272F"/>
    <w:rsid w:val="00BE3282"/>
    <w:rsid w:val="00BE3381"/>
    <w:rsid w:val="00BE3F09"/>
    <w:rsid w:val="00BE670A"/>
    <w:rsid w:val="00BE6906"/>
    <w:rsid w:val="00BF18F4"/>
    <w:rsid w:val="00BF1A69"/>
    <w:rsid w:val="00BF3BC8"/>
    <w:rsid w:val="00BF3DF1"/>
    <w:rsid w:val="00BF4C31"/>
    <w:rsid w:val="00BF4E57"/>
    <w:rsid w:val="00BF537B"/>
    <w:rsid w:val="00BF53B8"/>
    <w:rsid w:val="00BF5F8B"/>
    <w:rsid w:val="00BF786A"/>
    <w:rsid w:val="00BF7CB8"/>
    <w:rsid w:val="00C00F20"/>
    <w:rsid w:val="00C01700"/>
    <w:rsid w:val="00C034E6"/>
    <w:rsid w:val="00C05715"/>
    <w:rsid w:val="00C05926"/>
    <w:rsid w:val="00C0784A"/>
    <w:rsid w:val="00C10B28"/>
    <w:rsid w:val="00C10D62"/>
    <w:rsid w:val="00C10FAE"/>
    <w:rsid w:val="00C11DAF"/>
    <w:rsid w:val="00C123B4"/>
    <w:rsid w:val="00C12A69"/>
    <w:rsid w:val="00C13737"/>
    <w:rsid w:val="00C150BE"/>
    <w:rsid w:val="00C158B0"/>
    <w:rsid w:val="00C15A0C"/>
    <w:rsid w:val="00C15DCB"/>
    <w:rsid w:val="00C16208"/>
    <w:rsid w:val="00C1711F"/>
    <w:rsid w:val="00C17E06"/>
    <w:rsid w:val="00C17E38"/>
    <w:rsid w:val="00C20744"/>
    <w:rsid w:val="00C20B1C"/>
    <w:rsid w:val="00C20C4D"/>
    <w:rsid w:val="00C2150A"/>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3609E"/>
    <w:rsid w:val="00C40F81"/>
    <w:rsid w:val="00C41463"/>
    <w:rsid w:val="00C419B4"/>
    <w:rsid w:val="00C41A72"/>
    <w:rsid w:val="00C42D45"/>
    <w:rsid w:val="00C4422D"/>
    <w:rsid w:val="00C45806"/>
    <w:rsid w:val="00C45ECA"/>
    <w:rsid w:val="00C476C5"/>
    <w:rsid w:val="00C503B0"/>
    <w:rsid w:val="00C511C2"/>
    <w:rsid w:val="00C5253B"/>
    <w:rsid w:val="00C527C6"/>
    <w:rsid w:val="00C53CDB"/>
    <w:rsid w:val="00C53D82"/>
    <w:rsid w:val="00C54748"/>
    <w:rsid w:val="00C55C1B"/>
    <w:rsid w:val="00C575FB"/>
    <w:rsid w:val="00C60696"/>
    <w:rsid w:val="00C60943"/>
    <w:rsid w:val="00C60EEF"/>
    <w:rsid w:val="00C6121D"/>
    <w:rsid w:val="00C615F1"/>
    <w:rsid w:val="00C61627"/>
    <w:rsid w:val="00C63B1A"/>
    <w:rsid w:val="00C64E60"/>
    <w:rsid w:val="00C657A4"/>
    <w:rsid w:val="00C6736C"/>
    <w:rsid w:val="00C71A1D"/>
    <w:rsid w:val="00C71EC4"/>
    <w:rsid w:val="00C71FD7"/>
    <w:rsid w:val="00C7591E"/>
    <w:rsid w:val="00C75C7E"/>
    <w:rsid w:val="00C75C9B"/>
    <w:rsid w:val="00C76D8E"/>
    <w:rsid w:val="00C772C1"/>
    <w:rsid w:val="00C77833"/>
    <w:rsid w:val="00C80C9B"/>
    <w:rsid w:val="00C8335E"/>
    <w:rsid w:val="00C83A6D"/>
    <w:rsid w:val="00C83F9C"/>
    <w:rsid w:val="00C84CE3"/>
    <w:rsid w:val="00C85614"/>
    <w:rsid w:val="00C86127"/>
    <w:rsid w:val="00C90CF4"/>
    <w:rsid w:val="00C91C19"/>
    <w:rsid w:val="00C929A0"/>
    <w:rsid w:val="00C93389"/>
    <w:rsid w:val="00C937DB"/>
    <w:rsid w:val="00C94519"/>
    <w:rsid w:val="00C94E83"/>
    <w:rsid w:val="00C97038"/>
    <w:rsid w:val="00CA02B2"/>
    <w:rsid w:val="00CA0883"/>
    <w:rsid w:val="00CA1085"/>
    <w:rsid w:val="00CA140F"/>
    <w:rsid w:val="00CA25C2"/>
    <w:rsid w:val="00CA37BB"/>
    <w:rsid w:val="00CA37CA"/>
    <w:rsid w:val="00CA5724"/>
    <w:rsid w:val="00CA6508"/>
    <w:rsid w:val="00CA6BA1"/>
    <w:rsid w:val="00CA6CD5"/>
    <w:rsid w:val="00CA7C47"/>
    <w:rsid w:val="00CB1910"/>
    <w:rsid w:val="00CB2150"/>
    <w:rsid w:val="00CB28EE"/>
    <w:rsid w:val="00CB43A7"/>
    <w:rsid w:val="00CB4DF1"/>
    <w:rsid w:val="00CB5996"/>
    <w:rsid w:val="00CB6809"/>
    <w:rsid w:val="00CB7452"/>
    <w:rsid w:val="00CC06C7"/>
    <w:rsid w:val="00CC0E10"/>
    <w:rsid w:val="00CC1DAF"/>
    <w:rsid w:val="00CC2642"/>
    <w:rsid w:val="00CC2967"/>
    <w:rsid w:val="00CC2A36"/>
    <w:rsid w:val="00CC2E15"/>
    <w:rsid w:val="00CC3440"/>
    <w:rsid w:val="00CC3641"/>
    <w:rsid w:val="00CC3908"/>
    <w:rsid w:val="00CC62AD"/>
    <w:rsid w:val="00CC6CA2"/>
    <w:rsid w:val="00CC7B80"/>
    <w:rsid w:val="00CD2B3C"/>
    <w:rsid w:val="00CD30F6"/>
    <w:rsid w:val="00CD3B07"/>
    <w:rsid w:val="00CD482D"/>
    <w:rsid w:val="00CD4B29"/>
    <w:rsid w:val="00CD6954"/>
    <w:rsid w:val="00CD6DA3"/>
    <w:rsid w:val="00CD6EF1"/>
    <w:rsid w:val="00CD7E35"/>
    <w:rsid w:val="00CE21C7"/>
    <w:rsid w:val="00CE2682"/>
    <w:rsid w:val="00CE2756"/>
    <w:rsid w:val="00CE442A"/>
    <w:rsid w:val="00CE57D8"/>
    <w:rsid w:val="00CE617A"/>
    <w:rsid w:val="00CE6E3C"/>
    <w:rsid w:val="00CE74FE"/>
    <w:rsid w:val="00CE797F"/>
    <w:rsid w:val="00CF25D2"/>
    <w:rsid w:val="00CF28C2"/>
    <w:rsid w:val="00CF42BD"/>
    <w:rsid w:val="00CF51EC"/>
    <w:rsid w:val="00CF6A9D"/>
    <w:rsid w:val="00CF6CD7"/>
    <w:rsid w:val="00CF75EC"/>
    <w:rsid w:val="00D0037A"/>
    <w:rsid w:val="00D0061E"/>
    <w:rsid w:val="00D00DAF"/>
    <w:rsid w:val="00D017EC"/>
    <w:rsid w:val="00D01CDA"/>
    <w:rsid w:val="00D020FC"/>
    <w:rsid w:val="00D040DD"/>
    <w:rsid w:val="00D04E1B"/>
    <w:rsid w:val="00D0547B"/>
    <w:rsid w:val="00D076DB"/>
    <w:rsid w:val="00D07EFF"/>
    <w:rsid w:val="00D1067C"/>
    <w:rsid w:val="00D10DC5"/>
    <w:rsid w:val="00D11CBB"/>
    <w:rsid w:val="00D132AE"/>
    <w:rsid w:val="00D136D4"/>
    <w:rsid w:val="00D13830"/>
    <w:rsid w:val="00D13ECF"/>
    <w:rsid w:val="00D142E5"/>
    <w:rsid w:val="00D148CD"/>
    <w:rsid w:val="00D14E11"/>
    <w:rsid w:val="00D1611E"/>
    <w:rsid w:val="00D163CC"/>
    <w:rsid w:val="00D16E69"/>
    <w:rsid w:val="00D17F4A"/>
    <w:rsid w:val="00D205A9"/>
    <w:rsid w:val="00D217EE"/>
    <w:rsid w:val="00D245BA"/>
    <w:rsid w:val="00D26923"/>
    <w:rsid w:val="00D27856"/>
    <w:rsid w:val="00D27941"/>
    <w:rsid w:val="00D27D34"/>
    <w:rsid w:val="00D3006B"/>
    <w:rsid w:val="00D301CA"/>
    <w:rsid w:val="00D30740"/>
    <w:rsid w:val="00D31075"/>
    <w:rsid w:val="00D31445"/>
    <w:rsid w:val="00D31932"/>
    <w:rsid w:val="00D32AE0"/>
    <w:rsid w:val="00D33531"/>
    <w:rsid w:val="00D360DA"/>
    <w:rsid w:val="00D37689"/>
    <w:rsid w:val="00D378CC"/>
    <w:rsid w:val="00D4042C"/>
    <w:rsid w:val="00D40B9E"/>
    <w:rsid w:val="00D41281"/>
    <w:rsid w:val="00D42312"/>
    <w:rsid w:val="00D42F89"/>
    <w:rsid w:val="00D433F5"/>
    <w:rsid w:val="00D43998"/>
    <w:rsid w:val="00D439C2"/>
    <w:rsid w:val="00D446E3"/>
    <w:rsid w:val="00D451E0"/>
    <w:rsid w:val="00D45A1D"/>
    <w:rsid w:val="00D4615E"/>
    <w:rsid w:val="00D478E2"/>
    <w:rsid w:val="00D51535"/>
    <w:rsid w:val="00D5264C"/>
    <w:rsid w:val="00D547BA"/>
    <w:rsid w:val="00D55626"/>
    <w:rsid w:val="00D556BC"/>
    <w:rsid w:val="00D5626D"/>
    <w:rsid w:val="00D56631"/>
    <w:rsid w:val="00D56B60"/>
    <w:rsid w:val="00D56BA2"/>
    <w:rsid w:val="00D60277"/>
    <w:rsid w:val="00D60336"/>
    <w:rsid w:val="00D61F88"/>
    <w:rsid w:val="00D62901"/>
    <w:rsid w:val="00D63415"/>
    <w:rsid w:val="00D6470C"/>
    <w:rsid w:val="00D64853"/>
    <w:rsid w:val="00D64CB5"/>
    <w:rsid w:val="00D66D48"/>
    <w:rsid w:val="00D7162F"/>
    <w:rsid w:val="00D72897"/>
    <w:rsid w:val="00D73256"/>
    <w:rsid w:val="00D7344B"/>
    <w:rsid w:val="00D73A30"/>
    <w:rsid w:val="00D74C65"/>
    <w:rsid w:val="00D74F21"/>
    <w:rsid w:val="00D75DC2"/>
    <w:rsid w:val="00D766EF"/>
    <w:rsid w:val="00D76C03"/>
    <w:rsid w:val="00D77F8D"/>
    <w:rsid w:val="00D8119B"/>
    <w:rsid w:val="00D815C0"/>
    <w:rsid w:val="00D82462"/>
    <w:rsid w:val="00D868CE"/>
    <w:rsid w:val="00D86DAE"/>
    <w:rsid w:val="00D90116"/>
    <w:rsid w:val="00D90C1E"/>
    <w:rsid w:val="00D91BDF"/>
    <w:rsid w:val="00D91F2C"/>
    <w:rsid w:val="00D92EC1"/>
    <w:rsid w:val="00D93F09"/>
    <w:rsid w:val="00D954C2"/>
    <w:rsid w:val="00D97BB8"/>
    <w:rsid w:val="00DA097A"/>
    <w:rsid w:val="00DA1318"/>
    <w:rsid w:val="00DA1382"/>
    <w:rsid w:val="00DA28B7"/>
    <w:rsid w:val="00DA2FE8"/>
    <w:rsid w:val="00DA380E"/>
    <w:rsid w:val="00DA4AF6"/>
    <w:rsid w:val="00DB016E"/>
    <w:rsid w:val="00DB06E9"/>
    <w:rsid w:val="00DB19BD"/>
    <w:rsid w:val="00DB1D55"/>
    <w:rsid w:val="00DB378E"/>
    <w:rsid w:val="00DB3E9D"/>
    <w:rsid w:val="00DB47B9"/>
    <w:rsid w:val="00DB4FB8"/>
    <w:rsid w:val="00DB53CE"/>
    <w:rsid w:val="00DB549D"/>
    <w:rsid w:val="00DB5792"/>
    <w:rsid w:val="00DB6A88"/>
    <w:rsid w:val="00DB76AC"/>
    <w:rsid w:val="00DB7BA4"/>
    <w:rsid w:val="00DC213A"/>
    <w:rsid w:val="00DC226A"/>
    <w:rsid w:val="00DC257F"/>
    <w:rsid w:val="00DC2A9F"/>
    <w:rsid w:val="00DC350B"/>
    <w:rsid w:val="00DC3790"/>
    <w:rsid w:val="00DC408A"/>
    <w:rsid w:val="00DC436D"/>
    <w:rsid w:val="00DC519B"/>
    <w:rsid w:val="00DC5B3B"/>
    <w:rsid w:val="00DC6796"/>
    <w:rsid w:val="00DC78DF"/>
    <w:rsid w:val="00DC7D4C"/>
    <w:rsid w:val="00DD0821"/>
    <w:rsid w:val="00DD0E32"/>
    <w:rsid w:val="00DD2872"/>
    <w:rsid w:val="00DD2A62"/>
    <w:rsid w:val="00DD2BFE"/>
    <w:rsid w:val="00DD373E"/>
    <w:rsid w:val="00DD57AD"/>
    <w:rsid w:val="00DD7435"/>
    <w:rsid w:val="00DD7C6D"/>
    <w:rsid w:val="00DE009B"/>
    <w:rsid w:val="00DE0243"/>
    <w:rsid w:val="00DE08F8"/>
    <w:rsid w:val="00DE0C31"/>
    <w:rsid w:val="00DE2ED9"/>
    <w:rsid w:val="00DE319A"/>
    <w:rsid w:val="00DF0615"/>
    <w:rsid w:val="00DF0DC3"/>
    <w:rsid w:val="00DF21FD"/>
    <w:rsid w:val="00DF2873"/>
    <w:rsid w:val="00DF293C"/>
    <w:rsid w:val="00DF4C74"/>
    <w:rsid w:val="00DF5578"/>
    <w:rsid w:val="00DF78DD"/>
    <w:rsid w:val="00DF7FEC"/>
    <w:rsid w:val="00E01C0E"/>
    <w:rsid w:val="00E02086"/>
    <w:rsid w:val="00E02740"/>
    <w:rsid w:val="00E03B27"/>
    <w:rsid w:val="00E04694"/>
    <w:rsid w:val="00E049F6"/>
    <w:rsid w:val="00E04CA9"/>
    <w:rsid w:val="00E05B2B"/>
    <w:rsid w:val="00E06A2A"/>
    <w:rsid w:val="00E07F05"/>
    <w:rsid w:val="00E127E1"/>
    <w:rsid w:val="00E142B3"/>
    <w:rsid w:val="00E144D2"/>
    <w:rsid w:val="00E144D6"/>
    <w:rsid w:val="00E15346"/>
    <w:rsid w:val="00E15B7D"/>
    <w:rsid w:val="00E2097E"/>
    <w:rsid w:val="00E21337"/>
    <w:rsid w:val="00E215EA"/>
    <w:rsid w:val="00E21CAB"/>
    <w:rsid w:val="00E221FC"/>
    <w:rsid w:val="00E225C8"/>
    <w:rsid w:val="00E22E78"/>
    <w:rsid w:val="00E24619"/>
    <w:rsid w:val="00E25223"/>
    <w:rsid w:val="00E25999"/>
    <w:rsid w:val="00E263A8"/>
    <w:rsid w:val="00E30BEA"/>
    <w:rsid w:val="00E31764"/>
    <w:rsid w:val="00E32BC2"/>
    <w:rsid w:val="00E33433"/>
    <w:rsid w:val="00E34985"/>
    <w:rsid w:val="00E34E4A"/>
    <w:rsid w:val="00E365B3"/>
    <w:rsid w:val="00E366BB"/>
    <w:rsid w:val="00E37C45"/>
    <w:rsid w:val="00E40AAA"/>
    <w:rsid w:val="00E42444"/>
    <w:rsid w:val="00E438CF"/>
    <w:rsid w:val="00E43B06"/>
    <w:rsid w:val="00E43C41"/>
    <w:rsid w:val="00E4500E"/>
    <w:rsid w:val="00E450CE"/>
    <w:rsid w:val="00E45A00"/>
    <w:rsid w:val="00E45CE7"/>
    <w:rsid w:val="00E4631F"/>
    <w:rsid w:val="00E46A4A"/>
    <w:rsid w:val="00E47CB8"/>
    <w:rsid w:val="00E522BB"/>
    <w:rsid w:val="00E539E4"/>
    <w:rsid w:val="00E569C7"/>
    <w:rsid w:val="00E571F2"/>
    <w:rsid w:val="00E57429"/>
    <w:rsid w:val="00E61726"/>
    <w:rsid w:val="00E61EA8"/>
    <w:rsid w:val="00E630CB"/>
    <w:rsid w:val="00E63221"/>
    <w:rsid w:val="00E63672"/>
    <w:rsid w:val="00E64EA1"/>
    <w:rsid w:val="00E65898"/>
    <w:rsid w:val="00E668A6"/>
    <w:rsid w:val="00E669C7"/>
    <w:rsid w:val="00E703AD"/>
    <w:rsid w:val="00E70510"/>
    <w:rsid w:val="00E71262"/>
    <w:rsid w:val="00E71A58"/>
    <w:rsid w:val="00E737F6"/>
    <w:rsid w:val="00E737FB"/>
    <w:rsid w:val="00E7568F"/>
    <w:rsid w:val="00E764AE"/>
    <w:rsid w:val="00E7724B"/>
    <w:rsid w:val="00E81543"/>
    <w:rsid w:val="00E84F21"/>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AF3"/>
    <w:rsid w:val="00EA0C68"/>
    <w:rsid w:val="00EA19E2"/>
    <w:rsid w:val="00EA3EBE"/>
    <w:rsid w:val="00EA3FAC"/>
    <w:rsid w:val="00EA4153"/>
    <w:rsid w:val="00EA5CD6"/>
    <w:rsid w:val="00EA76FD"/>
    <w:rsid w:val="00EB03D4"/>
    <w:rsid w:val="00EB0555"/>
    <w:rsid w:val="00EB20A0"/>
    <w:rsid w:val="00EB30B6"/>
    <w:rsid w:val="00EB4FA4"/>
    <w:rsid w:val="00EB5146"/>
    <w:rsid w:val="00EB522B"/>
    <w:rsid w:val="00EB55E9"/>
    <w:rsid w:val="00EB5641"/>
    <w:rsid w:val="00EB5CA9"/>
    <w:rsid w:val="00EB5ED4"/>
    <w:rsid w:val="00EB6537"/>
    <w:rsid w:val="00EB70E1"/>
    <w:rsid w:val="00EB7EB5"/>
    <w:rsid w:val="00EC0860"/>
    <w:rsid w:val="00EC424C"/>
    <w:rsid w:val="00EC454B"/>
    <w:rsid w:val="00EC6153"/>
    <w:rsid w:val="00EC7F92"/>
    <w:rsid w:val="00ED00A8"/>
    <w:rsid w:val="00ED0A79"/>
    <w:rsid w:val="00ED2989"/>
    <w:rsid w:val="00ED2CA5"/>
    <w:rsid w:val="00ED336F"/>
    <w:rsid w:val="00ED3A94"/>
    <w:rsid w:val="00ED40F0"/>
    <w:rsid w:val="00ED4AC0"/>
    <w:rsid w:val="00ED53D3"/>
    <w:rsid w:val="00ED54D6"/>
    <w:rsid w:val="00ED5726"/>
    <w:rsid w:val="00EE0113"/>
    <w:rsid w:val="00EE0298"/>
    <w:rsid w:val="00EE0384"/>
    <w:rsid w:val="00EE1057"/>
    <w:rsid w:val="00EE10AA"/>
    <w:rsid w:val="00EE1637"/>
    <w:rsid w:val="00EE3679"/>
    <w:rsid w:val="00EE3B7A"/>
    <w:rsid w:val="00EE3E78"/>
    <w:rsid w:val="00EE495A"/>
    <w:rsid w:val="00EE5E02"/>
    <w:rsid w:val="00EE617D"/>
    <w:rsid w:val="00EE61BF"/>
    <w:rsid w:val="00EE6538"/>
    <w:rsid w:val="00EE6748"/>
    <w:rsid w:val="00EE6C6B"/>
    <w:rsid w:val="00EF0E75"/>
    <w:rsid w:val="00EF1542"/>
    <w:rsid w:val="00EF164E"/>
    <w:rsid w:val="00EF1F5A"/>
    <w:rsid w:val="00EF4685"/>
    <w:rsid w:val="00EF4CE3"/>
    <w:rsid w:val="00EF5397"/>
    <w:rsid w:val="00EF6BE3"/>
    <w:rsid w:val="00EF75D0"/>
    <w:rsid w:val="00EF76A9"/>
    <w:rsid w:val="00F00381"/>
    <w:rsid w:val="00F00D0E"/>
    <w:rsid w:val="00F00D3C"/>
    <w:rsid w:val="00F04811"/>
    <w:rsid w:val="00F0488C"/>
    <w:rsid w:val="00F0496E"/>
    <w:rsid w:val="00F04D10"/>
    <w:rsid w:val="00F053EA"/>
    <w:rsid w:val="00F0625B"/>
    <w:rsid w:val="00F101FF"/>
    <w:rsid w:val="00F104DF"/>
    <w:rsid w:val="00F10A33"/>
    <w:rsid w:val="00F10B64"/>
    <w:rsid w:val="00F1186C"/>
    <w:rsid w:val="00F1476A"/>
    <w:rsid w:val="00F14ACD"/>
    <w:rsid w:val="00F15BEF"/>
    <w:rsid w:val="00F172BE"/>
    <w:rsid w:val="00F1744E"/>
    <w:rsid w:val="00F1776C"/>
    <w:rsid w:val="00F2037E"/>
    <w:rsid w:val="00F20D17"/>
    <w:rsid w:val="00F2103E"/>
    <w:rsid w:val="00F214FC"/>
    <w:rsid w:val="00F21C31"/>
    <w:rsid w:val="00F220A9"/>
    <w:rsid w:val="00F23825"/>
    <w:rsid w:val="00F2389A"/>
    <w:rsid w:val="00F23FFF"/>
    <w:rsid w:val="00F2441D"/>
    <w:rsid w:val="00F24FAA"/>
    <w:rsid w:val="00F26197"/>
    <w:rsid w:val="00F264D6"/>
    <w:rsid w:val="00F26FDA"/>
    <w:rsid w:val="00F273D4"/>
    <w:rsid w:val="00F27D6C"/>
    <w:rsid w:val="00F307DD"/>
    <w:rsid w:val="00F3159B"/>
    <w:rsid w:val="00F318FC"/>
    <w:rsid w:val="00F31F76"/>
    <w:rsid w:val="00F325A3"/>
    <w:rsid w:val="00F32939"/>
    <w:rsid w:val="00F3364D"/>
    <w:rsid w:val="00F35ACD"/>
    <w:rsid w:val="00F365BF"/>
    <w:rsid w:val="00F36BF8"/>
    <w:rsid w:val="00F375BA"/>
    <w:rsid w:val="00F37760"/>
    <w:rsid w:val="00F403D1"/>
    <w:rsid w:val="00F43921"/>
    <w:rsid w:val="00F43D2E"/>
    <w:rsid w:val="00F44E1B"/>
    <w:rsid w:val="00F4524F"/>
    <w:rsid w:val="00F45530"/>
    <w:rsid w:val="00F4591F"/>
    <w:rsid w:val="00F47321"/>
    <w:rsid w:val="00F4736B"/>
    <w:rsid w:val="00F47997"/>
    <w:rsid w:val="00F47D05"/>
    <w:rsid w:val="00F50030"/>
    <w:rsid w:val="00F502F5"/>
    <w:rsid w:val="00F50B9D"/>
    <w:rsid w:val="00F51FC9"/>
    <w:rsid w:val="00F53243"/>
    <w:rsid w:val="00F53579"/>
    <w:rsid w:val="00F541ED"/>
    <w:rsid w:val="00F54B30"/>
    <w:rsid w:val="00F54B31"/>
    <w:rsid w:val="00F54FD3"/>
    <w:rsid w:val="00F55605"/>
    <w:rsid w:val="00F57CD7"/>
    <w:rsid w:val="00F62F02"/>
    <w:rsid w:val="00F6339F"/>
    <w:rsid w:val="00F63DDE"/>
    <w:rsid w:val="00F63FB7"/>
    <w:rsid w:val="00F64726"/>
    <w:rsid w:val="00F6561A"/>
    <w:rsid w:val="00F66243"/>
    <w:rsid w:val="00F665EB"/>
    <w:rsid w:val="00F70309"/>
    <w:rsid w:val="00F7078A"/>
    <w:rsid w:val="00F70E45"/>
    <w:rsid w:val="00F727D5"/>
    <w:rsid w:val="00F72F44"/>
    <w:rsid w:val="00F73A0C"/>
    <w:rsid w:val="00F7596B"/>
    <w:rsid w:val="00F759DC"/>
    <w:rsid w:val="00F7717C"/>
    <w:rsid w:val="00F771A5"/>
    <w:rsid w:val="00F77693"/>
    <w:rsid w:val="00F77D04"/>
    <w:rsid w:val="00F81697"/>
    <w:rsid w:val="00F817A4"/>
    <w:rsid w:val="00F81C3A"/>
    <w:rsid w:val="00F835E1"/>
    <w:rsid w:val="00F835FC"/>
    <w:rsid w:val="00F8373A"/>
    <w:rsid w:val="00F83E21"/>
    <w:rsid w:val="00F83FA4"/>
    <w:rsid w:val="00F84E18"/>
    <w:rsid w:val="00F852E5"/>
    <w:rsid w:val="00F90350"/>
    <w:rsid w:val="00F9310A"/>
    <w:rsid w:val="00F95117"/>
    <w:rsid w:val="00F97ED2"/>
    <w:rsid w:val="00FA05D7"/>
    <w:rsid w:val="00FA1992"/>
    <w:rsid w:val="00FA1C6C"/>
    <w:rsid w:val="00FA2447"/>
    <w:rsid w:val="00FA2C2A"/>
    <w:rsid w:val="00FA309A"/>
    <w:rsid w:val="00FA36EF"/>
    <w:rsid w:val="00FA7644"/>
    <w:rsid w:val="00FB0A9A"/>
    <w:rsid w:val="00FB16AD"/>
    <w:rsid w:val="00FB483B"/>
    <w:rsid w:val="00FB56F1"/>
    <w:rsid w:val="00FB5FD4"/>
    <w:rsid w:val="00FB6555"/>
    <w:rsid w:val="00FB6798"/>
    <w:rsid w:val="00FB67F3"/>
    <w:rsid w:val="00FC0D8A"/>
    <w:rsid w:val="00FC0E5F"/>
    <w:rsid w:val="00FC135D"/>
    <w:rsid w:val="00FC34A6"/>
    <w:rsid w:val="00FC3C84"/>
    <w:rsid w:val="00FC4660"/>
    <w:rsid w:val="00FC56DE"/>
    <w:rsid w:val="00FC5E01"/>
    <w:rsid w:val="00FD1261"/>
    <w:rsid w:val="00FD1627"/>
    <w:rsid w:val="00FD1BBD"/>
    <w:rsid w:val="00FD3B11"/>
    <w:rsid w:val="00FD473D"/>
    <w:rsid w:val="00FD4AAA"/>
    <w:rsid w:val="00FD61C8"/>
    <w:rsid w:val="00FD63CE"/>
    <w:rsid w:val="00FD7D49"/>
    <w:rsid w:val="00FE1251"/>
    <w:rsid w:val="00FE16E6"/>
    <w:rsid w:val="00FE2F78"/>
    <w:rsid w:val="00FE3510"/>
    <w:rsid w:val="00FE371D"/>
    <w:rsid w:val="00FE375F"/>
    <w:rsid w:val="00FE3D8B"/>
    <w:rsid w:val="00FE4FCB"/>
    <w:rsid w:val="00FE688F"/>
    <w:rsid w:val="00FE705E"/>
    <w:rsid w:val="00FF02E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uiPriority w:val="99"/>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uiPriority w:val="99"/>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B655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uiPriority w:val="99"/>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uiPriority w:val="99"/>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B655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5325993">
      <w:bodyDiv w:val="1"/>
      <w:marLeft w:val="0"/>
      <w:marRight w:val="0"/>
      <w:marTop w:val="0"/>
      <w:marBottom w:val="0"/>
      <w:divBdr>
        <w:top w:val="none" w:sz="0" w:space="0" w:color="auto"/>
        <w:left w:val="none" w:sz="0" w:space="0" w:color="auto"/>
        <w:bottom w:val="none" w:sz="0" w:space="0" w:color="auto"/>
        <w:right w:val="none" w:sz="0" w:space="0" w:color="auto"/>
      </w:divBdr>
    </w:div>
    <w:div w:id="63526688">
      <w:bodyDiv w:val="1"/>
      <w:marLeft w:val="0"/>
      <w:marRight w:val="0"/>
      <w:marTop w:val="0"/>
      <w:marBottom w:val="0"/>
      <w:divBdr>
        <w:top w:val="none" w:sz="0" w:space="0" w:color="auto"/>
        <w:left w:val="none" w:sz="0" w:space="0" w:color="auto"/>
        <w:bottom w:val="none" w:sz="0" w:space="0" w:color="auto"/>
        <w:right w:val="none" w:sz="0" w:space="0" w:color="auto"/>
      </w:divBdr>
    </w:div>
    <w:div w:id="114445636">
      <w:bodyDiv w:val="1"/>
      <w:marLeft w:val="0"/>
      <w:marRight w:val="0"/>
      <w:marTop w:val="0"/>
      <w:marBottom w:val="0"/>
      <w:divBdr>
        <w:top w:val="none" w:sz="0" w:space="0" w:color="auto"/>
        <w:left w:val="none" w:sz="0" w:space="0" w:color="auto"/>
        <w:bottom w:val="none" w:sz="0" w:space="0" w:color="auto"/>
        <w:right w:val="none" w:sz="0" w:space="0" w:color="auto"/>
      </w:divBdr>
    </w:div>
    <w:div w:id="228855498">
      <w:bodyDiv w:val="1"/>
      <w:marLeft w:val="0"/>
      <w:marRight w:val="0"/>
      <w:marTop w:val="0"/>
      <w:marBottom w:val="0"/>
      <w:divBdr>
        <w:top w:val="none" w:sz="0" w:space="0" w:color="auto"/>
        <w:left w:val="none" w:sz="0" w:space="0" w:color="auto"/>
        <w:bottom w:val="none" w:sz="0" w:space="0" w:color="auto"/>
        <w:right w:val="none" w:sz="0" w:space="0" w:color="auto"/>
      </w:divBdr>
    </w:div>
    <w:div w:id="484053728">
      <w:bodyDiv w:val="1"/>
      <w:marLeft w:val="0"/>
      <w:marRight w:val="0"/>
      <w:marTop w:val="0"/>
      <w:marBottom w:val="0"/>
      <w:divBdr>
        <w:top w:val="none" w:sz="0" w:space="0" w:color="auto"/>
        <w:left w:val="none" w:sz="0" w:space="0" w:color="auto"/>
        <w:bottom w:val="none" w:sz="0" w:space="0" w:color="auto"/>
        <w:right w:val="none" w:sz="0" w:space="0" w:color="auto"/>
      </w:divBdr>
    </w:div>
    <w:div w:id="506218342">
      <w:bodyDiv w:val="1"/>
      <w:marLeft w:val="0"/>
      <w:marRight w:val="0"/>
      <w:marTop w:val="0"/>
      <w:marBottom w:val="0"/>
      <w:divBdr>
        <w:top w:val="none" w:sz="0" w:space="0" w:color="auto"/>
        <w:left w:val="none" w:sz="0" w:space="0" w:color="auto"/>
        <w:bottom w:val="none" w:sz="0" w:space="0" w:color="auto"/>
        <w:right w:val="none" w:sz="0" w:space="0" w:color="auto"/>
      </w:divBdr>
    </w:div>
    <w:div w:id="529296442">
      <w:bodyDiv w:val="1"/>
      <w:marLeft w:val="0"/>
      <w:marRight w:val="0"/>
      <w:marTop w:val="0"/>
      <w:marBottom w:val="0"/>
      <w:divBdr>
        <w:top w:val="none" w:sz="0" w:space="0" w:color="auto"/>
        <w:left w:val="none" w:sz="0" w:space="0" w:color="auto"/>
        <w:bottom w:val="none" w:sz="0" w:space="0" w:color="auto"/>
        <w:right w:val="none" w:sz="0" w:space="0" w:color="auto"/>
      </w:divBdr>
    </w:div>
    <w:div w:id="603079723">
      <w:bodyDiv w:val="1"/>
      <w:marLeft w:val="0"/>
      <w:marRight w:val="0"/>
      <w:marTop w:val="0"/>
      <w:marBottom w:val="0"/>
      <w:divBdr>
        <w:top w:val="none" w:sz="0" w:space="0" w:color="auto"/>
        <w:left w:val="none" w:sz="0" w:space="0" w:color="auto"/>
        <w:bottom w:val="none" w:sz="0" w:space="0" w:color="auto"/>
        <w:right w:val="none" w:sz="0" w:space="0" w:color="auto"/>
      </w:divBdr>
    </w:div>
    <w:div w:id="614944147">
      <w:bodyDiv w:val="1"/>
      <w:marLeft w:val="0"/>
      <w:marRight w:val="0"/>
      <w:marTop w:val="0"/>
      <w:marBottom w:val="0"/>
      <w:divBdr>
        <w:top w:val="none" w:sz="0" w:space="0" w:color="auto"/>
        <w:left w:val="none" w:sz="0" w:space="0" w:color="auto"/>
        <w:bottom w:val="none" w:sz="0" w:space="0" w:color="auto"/>
        <w:right w:val="none" w:sz="0" w:space="0" w:color="auto"/>
      </w:divBdr>
    </w:div>
    <w:div w:id="628823926">
      <w:bodyDiv w:val="1"/>
      <w:marLeft w:val="0"/>
      <w:marRight w:val="0"/>
      <w:marTop w:val="0"/>
      <w:marBottom w:val="0"/>
      <w:divBdr>
        <w:top w:val="none" w:sz="0" w:space="0" w:color="auto"/>
        <w:left w:val="none" w:sz="0" w:space="0" w:color="auto"/>
        <w:bottom w:val="none" w:sz="0" w:space="0" w:color="auto"/>
        <w:right w:val="none" w:sz="0" w:space="0" w:color="auto"/>
      </w:divBdr>
    </w:div>
    <w:div w:id="732390569">
      <w:bodyDiv w:val="1"/>
      <w:marLeft w:val="0"/>
      <w:marRight w:val="0"/>
      <w:marTop w:val="0"/>
      <w:marBottom w:val="0"/>
      <w:divBdr>
        <w:top w:val="none" w:sz="0" w:space="0" w:color="auto"/>
        <w:left w:val="none" w:sz="0" w:space="0" w:color="auto"/>
        <w:bottom w:val="none" w:sz="0" w:space="0" w:color="auto"/>
        <w:right w:val="none" w:sz="0" w:space="0" w:color="auto"/>
      </w:divBdr>
    </w:div>
    <w:div w:id="748962139">
      <w:bodyDiv w:val="1"/>
      <w:marLeft w:val="0"/>
      <w:marRight w:val="0"/>
      <w:marTop w:val="0"/>
      <w:marBottom w:val="0"/>
      <w:divBdr>
        <w:top w:val="none" w:sz="0" w:space="0" w:color="auto"/>
        <w:left w:val="none" w:sz="0" w:space="0" w:color="auto"/>
        <w:bottom w:val="none" w:sz="0" w:space="0" w:color="auto"/>
        <w:right w:val="none" w:sz="0" w:space="0" w:color="auto"/>
      </w:divBdr>
    </w:div>
    <w:div w:id="767968854">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034768594">
      <w:bodyDiv w:val="1"/>
      <w:marLeft w:val="0"/>
      <w:marRight w:val="0"/>
      <w:marTop w:val="0"/>
      <w:marBottom w:val="0"/>
      <w:divBdr>
        <w:top w:val="none" w:sz="0" w:space="0" w:color="auto"/>
        <w:left w:val="none" w:sz="0" w:space="0" w:color="auto"/>
        <w:bottom w:val="none" w:sz="0" w:space="0" w:color="auto"/>
        <w:right w:val="none" w:sz="0" w:space="0" w:color="auto"/>
      </w:divBdr>
    </w:div>
    <w:div w:id="1069040061">
      <w:bodyDiv w:val="1"/>
      <w:marLeft w:val="0"/>
      <w:marRight w:val="0"/>
      <w:marTop w:val="0"/>
      <w:marBottom w:val="0"/>
      <w:divBdr>
        <w:top w:val="none" w:sz="0" w:space="0" w:color="auto"/>
        <w:left w:val="none" w:sz="0" w:space="0" w:color="auto"/>
        <w:bottom w:val="none" w:sz="0" w:space="0" w:color="auto"/>
        <w:right w:val="none" w:sz="0" w:space="0" w:color="auto"/>
      </w:divBdr>
    </w:div>
    <w:div w:id="1082026530">
      <w:bodyDiv w:val="1"/>
      <w:marLeft w:val="0"/>
      <w:marRight w:val="0"/>
      <w:marTop w:val="0"/>
      <w:marBottom w:val="0"/>
      <w:divBdr>
        <w:top w:val="none" w:sz="0" w:space="0" w:color="auto"/>
        <w:left w:val="none" w:sz="0" w:space="0" w:color="auto"/>
        <w:bottom w:val="none" w:sz="0" w:space="0" w:color="auto"/>
        <w:right w:val="none" w:sz="0" w:space="0" w:color="auto"/>
      </w:divBdr>
    </w:div>
    <w:div w:id="1212232217">
      <w:bodyDiv w:val="1"/>
      <w:marLeft w:val="0"/>
      <w:marRight w:val="0"/>
      <w:marTop w:val="0"/>
      <w:marBottom w:val="0"/>
      <w:divBdr>
        <w:top w:val="none" w:sz="0" w:space="0" w:color="auto"/>
        <w:left w:val="none" w:sz="0" w:space="0" w:color="auto"/>
        <w:bottom w:val="none" w:sz="0" w:space="0" w:color="auto"/>
        <w:right w:val="none" w:sz="0" w:space="0" w:color="auto"/>
      </w:divBdr>
    </w:div>
    <w:div w:id="1273784873">
      <w:bodyDiv w:val="1"/>
      <w:marLeft w:val="0"/>
      <w:marRight w:val="0"/>
      <w:marTop w:val="0"/>
      <w:marBottom w:val="0"/>
      <w:divBdr>
        <w:top w:val="none" w:sz="0" w:space="0" w:color="auto"/>
        <w:left w:val="none" w:sz="0" w:space="0" w:color="auto"/>
        <w:bottom w:val="none" w:sz="0" w:space="0" w:color="auto"/>
        <w:right w:val="none" w:sz="0" w:space="0" w:color="auto"/>
      </w:divBdr>
    </w:div>
    <w:div w:id="1305233296">
      <w:bodyDiv w:val="1"/>
      <w:marLeft w:val="0"/>
      <w:marRight w:val="0"/>
      <w:marTop w:val="0"/>
      <w:marBottom w:val="0"/>
      <w:divBdr>
        <w:top w:val="none" w:sz="0" w:space="0" w:color="auto"/>
        <w:left w:val="none" w:sz="0" w:space="0" w:color="auto"/>
        <w:bottom w:val="none" w:sz="0" w:space="0" w:color="auto"/>
        <w:right w:val="none" w:sz="0" w:space="0" w:color="auto"/>
      </w:divBdr>
    </w:div>
    <w:div w:id="1305769490">
      <w:bodyDiv w:val="1"/>
      <w:marLeft w:val="0"/>
      <w:marRight w:val="0"/>
      <w:marTop w:val="0"/>
      <w:marBottom w:val="0"/>
      <w:divBdr>
        <w:top w:val="none" w:sz="0" w:space="0" w:color="auto"/>
        <w:left w:val="none" w:sz="0" w:space="0" w:color="auto"/>
        <w:bottom w:val="none" w:sz="0" w:space="0" w:color="auto"/>
        <w:right w:val="none" w:sz="0" w:space="0" w:color="auto"/>
      </w:divBdr>
    </w:div>
    <w:div w:id="1328821066">
      <w:bodyDiv w:val="1"/>
      <w:marLeft w:val="0"/>
      <w:marRight w:val="0"/>
      <w:marTop w:val="0"/>
      <w:marBottom w:val="0"/>
      <w:divBdr>
        <w:top w:val="none" w:sz="0" w:space="0" w:color="auto"/>
        <w:left w:val="none" w:sz="0" w:space="0" w:color="auto"/>
        <w:bottom w:val="none" w:sz="0" w:space="0" w:color="auto"/>
        <w:right w:val="none" w:sz="0" w:space="0" w:color="auto"/>
      </w:divBdr>
    </w:div>
    <w:div w:id="1335111794">
      <w:bodyDiv w:val="1"/>
      <w:marLeft w:val="0"/>
      <w:marRight w:val="0"/>
      <w:marTop w:val="0"/>
      <w:marBottom w:val="0"/>
      <w:divBdr>
        <w:top w:val="none" w:sz="0" w:space="0" w:color="auto"/>
        <w:left w:val="none" w:sz="0" w:space="0" w:color="auto"/>
        <w:bottom w:val="none" w:sz="0" w:space="0" w:color="auto"/>
        <w:right w:val="none" w:sz="0" w:space="0" w:color="auto"/>
      </w:divBdr>
    </w:div>
    <w:div w:id="1337685621">
      <w:bodyDiv w:val="1"/>
      <w:marLeft w:val="0"/>
      <w:marRight w:val="0"/>
      <w:marTop w:val="0"/>
      <w:marBottom w:val="0"/>
      <w:divBdr>
        <w:top w:val="none" w:sz="0" w:space="0" w:color="auto"/>
        <w:left w:val="none" w:sz="0" w:space="0" w:color="auto"/>
        <w:bottom w:val="none" w:sz="0" w:space="0" w:color="auto"/>
        <w:right w:val="none" w:sz="0" w:space="0" w:color="auto"/>
      </w:divBdr>
    </w:div>
    <w:div w:id="1338507400">
      <w:bodyDiv w:val="1"/>
      <w:marLeft w:val="0"/>
      <w:marRight w:val="0"/>
      <w:marTop w:val="0"/>
      <w:marBottom w:val="0"/>
      <w:divBdr>
        <w:top w:val="none" w:sz="0" w:space="0" w:color="auto"/>
        <w:left w:val="none" w:sz="0" w:space="0" w:color="auto"/>
        <w:bottom w:val="none" w:sz="0" w:space="0" w:color="auto"/>
        <w:right w:val="none" w:sz="0" w:space="0" w:color="auto"/>
      </w:divBdr>
    </w:div>
    <w:div w:id="1450736267">
      <w:bodyDiv w:val="1"/>
      <w:marLeft w:val="0"/>
      <w:marRight w:val="0"/>
      <w:marTop w:val="0"/>
      <w:marBottom w:val="0"/>
      <w:divBdr>
        <w:top w:val="none" w:sz="0" w:space="0" w:color="auto"/>
        <w:left w:val="none" w:sz="0" w:space="0" w:color="auto"/>
        <w:bottom w:val="none" w:sz="0" w:space="0" w:color="auto"/>
        <w:right w:val="none" w:sz="0" w:space="0" w:color="auto"/>
      </w:divBdr>
    </w:div>
    <w:div w:id="1510412218">
      <w:bodyDiv w:val="1"/>
      <w:marLeft w:val="0"/>
      <w:marRight w:val="0"/>
      <w:marTop w:val="0"/>
      <w:marBottom w:val="0"/>
      <w:divBdr>
        <w:top w:val="none" w:sz="0" w:space="0" w:color="auto"/>
        <w:left w:val="none" w:sz="0" w:space="0" w:color="auto"/>
        <w:bottom w:val="none" w:sz="0" w:space="0" w:color="auto"/>
        <w:right w:val="none" w:sz="0" w:space="0" w:color="auto"/>
      </w:divBdr>
    </w:div>
    <w:div w:id="1526557819">
      <w:bodyDiv w:val="1"/>
      <w:marLeft w:val="0"/>
      <w:marRight w:val="0"/>
      <w:marTop w:val="0"/>
      <w:marBottom w:val="0"/>
      <w:divBdr>
        <w:top w:val="none" w:sz="0" w:space="0" w:color="auto"/>
        <w:left w:val="none" w:sz="0" w:space="0" w:color="auto"/>
        <w:bottom w:val="none" w:sz="0" w:space="0" w:color="auto"/>
        <w:right w:val="none" w:sz="0" w:space="0" w:color="auto"/>
      </w:divBdr>
    </w:div>
    <w:div w:id="1601647280">
      <w:bodyDiv w:val="1"/>
      <w:marLeft w:val="0"/>
      <w:marRight w:val="0"/>
      <w:marTop w:val="0"/>
      <w:marBottom w:val="0"/>
      <w:divBdr>
        <w:top w:val="none" w:sz="0" w:space="0" w:color="auto"/>
        <w:left w:val="none" w:sz="0" w:space="0" w:color="auto"/>
        <w:bottom w:val="none" w:sz="0" w:space="0" w:color="auto"/>
        <w:right w:val="none" w:sz="0" w:space="0" w:color="auto"/>
      </w:divBdr>
    </w:div>
    <w:div w:id="1619215650">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82510105">
      <w:bodyDiv w:val="1"/>
      <w:marLeft w:val="0"/>
      <w:marRight w:val="0"/>
      <w:marTop w:val="0"/>
      <w:marBottom w:val="0"/>
      <w:divBdr>
        <w:top w:val="none" w:sz="0" w:space="0" w:color="auto"/>
        <w:left w:val="none" w:sz="0" w:space="0" w:color="auto"/>
        <w:bottom w:val="none" w:sz="0" w:space="0" w:color="auto"/>
        <w:right w:val="none" w:sz="0" w:space="0" w:color="auto"/>
      </w:divBdr>
    </w:div>
    <w:div w:id="1698966458">
      <w:bodyDiv w:val="1"/>
      <w:marLeft w:val="0"/>
      <w:marRight w:val="0"/>
      <w:marTop w:val="0"/>
      <w:marBottom w:val="0"/>
      <w:divBdr>
        <w:top w:val="none" w:sz="0" w:space="0" w:color="auto"/>
        <w:left w:val="none" w:sz="0" w:space="0" w:color="auto"/>
        <w:bottom w:val="none" w:sz="0" w:space="0" w:color="auto"/>
        <w:right w:val="none" w:sz="0" w:space="0" w:color="auto"/>
      </w:divBdr>
    </w:div>
    <w:div w:id="1719623276">
      <w:bodyDiv w:val="1"/>
      <w:marLeft w:val="0"/>
      <w:marRight w:val="0"/>
      <w:marTop w:val="0"/>
      <w:marBottom w:val="0"/>
      <w:divBdr>
        <w:top w:val="none" w:sz="0" w:space="0" w:color="auto"/>
        <w:left w:val="none" w:sz="0" w:space="0" w:color="auto"/>
        <w:bottom w:val="none" w:sz="0" w:space="0" w:color="auto"/>
        <w:right w:val="none" w:sz="0" w:space="0" w:color="auto"/>
      </w:divBdr>
    </w:div>
    <w:div w:id="1877886469">
      <w:bodyDiv w:val="1"/>
      <w:marLeft w:val="0"/>
      <w:marRight w:val="0"/>
      <w:marTop w:val="0"/>
      <w:marBottom w:val="0"/>
      <w:divBdr>
        <w:top w:val="none" w:sz="0" w:space="0" w:color="auto"/>
        <w:left w:val="none" w:sz="0" w:space="0" w:color="auto"/>
        <w:bottom w:val="none" w:sz="0" w:space="0" w:color="auto"/>
        <w:right w:val="none" w:sz="0" w:space="0" w:color="auto"/>
      </w:divBdr>
    </w:div>
    <w:div w:id="1911116916">
      <w:bodyDiv w:val="1"/>
      <w:marLeft w:val="0"/>
      <w:marRight w:val="0"/>
      <w:marTop w:val="0"/>
      <w:marBottom w:val="0"/>
      <w:divBdr>
        <w:top w:val="none" w:sz="0" w:space="0" w:color="auto"/>
        <w:left w:val="none" w:sz="0" w:space="0" w:color="auto"/>
        <w:bottom w:val="none" w:sz="0" w:space="0" w:color="auto"/>
        <w:right w:val="none" w:sz="0" w:space="0" w:color="auto"/>
      </w:divBdr>
    </w:div>
    <w:div w:id="2040230636">
      <w:bodyDiv w:val="1"/>
      <w:marLeft w:val="0"/>
      <w:marRight w:val="0"/>
      <w:marTop w:val="0"/>
      <w:marBottom w:val="0"/>
      <w:divBdr>
        <w:top w:val="none" w:sz="0" w:space="0" w:color="auto"/>
        <w:left w:val="none" w:sz="0" w:space="0" w:color="auto"/>
        <w:bottom w:val="none" w:sz="0" w:space="0" w:color="auto"/>
        <w:right w:val="none" w:sz="0" w:space="0" w:color="auto"/>
      </w:divBdr>
    </w:div>
    <w:div w:id="2085099298">
      <w:bodyDiv w:val="1"/>
      <w:marLeft w:val="0"/>
      <w:marRight w:val="0"/>
      <w:marTop w:val="0"/>
      <w:marBottom w:val="0"/>
      <w:divBdr>
        <w:top w:val="none" w:sz="0" w:space="0" w:color="auto"/>
        <w:left w:val="none" w:sz="0" w:space="0" w:color="auto"/>
        <w:bottom w:val="none" w:sz="0" w:space="0" w:color="auto"/>
        <w:right w:val="none" w:sz="0" w:space="0" w:color="auto"/>
      </w:divBdr>
    </w:div>
    <w:div w:id="2097482922">
      <w:bodyDiv w:val="1"/>
      <w:marLeft w:val="0"/>
      <w:marRight w:val="0"/>
      <w:marTop w:val="0"/>
      <w:marBottom w:val="0"/>
      <w:divBdr>
        <w:top w:val="none" w:sz="0" w:space="0" w:color="auto"/>
        <w:left w:val="none" w:sz="0" w:space="0" w:color="auto"/>
        <w:bottom w:val="none" w:sz="0" w:space="0" w:color="auto"/>
        <w:right w:val="none" w:sz="0" w:space="0" w:color="auto"/>
      </w:divBdr>
    </w:div>
    <w:div w:id="21245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CC86D-C223-4230-A8A1-7CA3B032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1</TotalTime>
  <Pages>2</Pages>
  <Words>1067</Words>
  <Characters>6301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2016-10-19T12:45:00Z</cp:lastPrinted>
  <dcterms:created xsi:type="dcterms:W3CDTF">2016-10-21T17:06:00Z</dcterms:created>
  <dcterms:modified xsi:type="dcterms:W3CDTF">2016-10-21T17:07:00Z</dcterms:modified>
</cp:coreProperties>
</file>