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A1" w:rsidRDefault="006E5FA1">
      <w:pPr>
        <w:pStyle w:val="Nadpis2"/>
        <w:keepNext w:val="0"/>
        <w:pageBreakBefore/>
        <w:jc w:val="center"/>
        <w:rPr>
          <w:rFonts w:ascii="Arial" w:hAnsi="Arial" w:cs="Arial"/>
          <w:caps/>
          <w:sz w:val="28"/>
        </w:rPr>
      </w:pPr>
      <w:bookmarkStart w:id="0" w:name="_GoBack"/>
      <w:bookmarkEnd w:id="0"/>
      <w:r>
        <w:rPr>
          <w:rFonts w:ascii="Arial" w:hAnsi="Arial" w:cs="Arial"/>
          <w:caps/>
          <w:sz w:val="28"/>
        </w:rPr>
        <w:t>I. Metodický úvod</w:t>
      </w:r>
    </w:p>
    <w:p w:rsidR="006E5FA1" w:rsidRDefault="006E5FA1">
      <w:pPr>
        <w:rPr>
          <w:sz w:val="20"/>
        </w:rPr>
      </w:pPr>
    </w:p>
    <w:p w:rsidR="006E5FA1" w:rsidRDefault="006E5FA1">
      <w:pPr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sz w:val="20"/>
        </w:rPr>
        <w:t>Publikace Ekonomické výsledky průmyslu ČR v letech 20</w:t>
      </w:r>
      <w:r w:rsidR="008C489A">
        <w:rPr>
          <w:sz w:val="20"/>
        </w:rPr>
        <w:t>10</w:t>
      </w:r>
      <w:r>
        <w:rPr>
          <w:sz w:val="20"/>
        </w:rPr>
        <w:t xml:space="preserve"> až 201</w:t>
      </w:r>
      <w:r w:rsidR="00E160EA">
        <w:rPr>
          <w:sz w:val="20"/>
        </w:rPr>
        <w:t>9</w:t>
      </w:r>
      <w:r>
        <w:rPr>
          <w:sz w:val="20"/>
        </w:rPr>
        <w:t xml:space="preserve"> obsahuje vybrané ukazatele hospodaření z ročního strukturálního statistického šetření v ekonomických subjektech s hlavní (převažující) průmyslovou činností.</w:t>
      </w:r>
    </w:p>
    <w:p w:rsidR="006E5FA1" w:rsidRDefault="006E5FA1">
      <w:pPr>
        <w:ind w:firstLine="708"/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Průmyslovým odvětvím</w:t>
      </w:r>
      <w:r>
        <w:rPr>
          <w:sz w:val="20"/>
        </w:rPr>
        <w:t xml:space="preserve"> (dále jen průmysl) se rozumí soubor podnikatelských subjektů, které vyrábějí průmyslové výrobky s obdobným ekonomickým určením, při jejichž výrobě byly použity stejné nebo obdobné druhy surovin a materiálů nebo stejné technologické postupy. Do průmyslového odvětví se zahrnuje průmyslová činnost celého podnikatelského subjektu. Vyrábí-li podnikatelský subjekt výrobky patřící do několika odvětví, zařazuje se do toho odvětví, které kvantitativně převažuje.</w:t>
      </w:r>
    </w:p>
    <w:p w:rsidR="006E5FA1" w:rsidRDefault="006E5FA1">
      <w:pPr>
        <w:ind w:firstLine="708"/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</w:p>
    <w:p w:rsidR="006E5FA1" w:rsidRDefault="006E5FA1">
      <w:pPr>
        <w:pStyle w:val="Nadpis9"/>
        <w:ind w:firstLine="0"/>
        <w:jc w:val="center"/>
        <w:rPr>
          <w:sz w:val="26"/>
        </w:rPr>
      </w:pPr>
      <w:r>
        <w:rPr>
          <w:sz w:val="26"/>
        </w:rPr>
        <w:t>TŘÍDĚNÍ UKAZATELŮ</w:t>
      </w:r>
    </w:p>
    <w:p w:rsidR="006E5FA1" w:rsidRDefault="006E5FA1">
      <w:pPr>
        <w:ind w:firstLine="708"/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sz w:val="20"/>
        </w:rPr>
        <w:t xml:space="preserve">Ukazatele jsou tříděny podle </w:t>
      </w:r>
      <w:r>
        <w:rPr>
          <w:b/>
          <w:bCs/>
          <w:sz w:val="20"/>
        </w:rPr>
        <w:t>Klasifikace ekonomických činností (CZ-NACE)</w:t>
      </w:r>
      <w:r>
        <w:rPr>
          <w:sz w:val="20"/>
        </w:rPr>
        <w:t xml:space="preserve">. Tato klasifikace je platná od 1.1.2008 a člení průmysl na čtyři základní skupiny (sekce): Těžba a dobývání, Zpracovatelský průmysl, Výroba a rozvod elektřiny, plynu, tepla a klimatizovaného vzduchu a Zásobování vodou; činnosti související s odpadními vodami, odpady a sanacemi. Podrobnější členění pak zahrnuje </w:t>
      </w:r>
      <w:r w:rsidR="00F66392">
        <w:rPr>
          <w:sz w:val="20"/>
        </w:rPr>
        <w:t>34</w:t>
      </w:r>
      <w:r>
        <w:rPr>
          <w:sz w:val="20"/>
        </w:rPr>
        <w:t> odvětví (oddílů).</w:t>
      </w:r>
    </w:p>
    <w:p w:rsidR="006E5FA1" w:rsidRDefault="006E5FA1">
      <w:pPr>
        <w:ind w:firstLine="708"/>
        <w:jc w:val="both"/>
        <w:rPr>
          <w:sz w:val="20"/>
        </w:rPr>
      </w:pPr>
      <w:r>
        <w:rPr>
          <w:sz w:val="20"/>
        </w:rPr>
        <w:t>Vybrané ukazatele jsou tříděny podle velikostní skupiny podle počtu zaměstnaných osob (podnikatelské subjekty s 0 až 49, 50 až 249 a 250 a více zaměstnanými osobami).</w:t>
      </w:r>
    </w:p>
    <w:p w:rsidR="006E5FA1" w:rsidRDefault="006E5FA1">
      <w:pPr>
        <w:tabs>
          <w:tab w:val="left" w:pos="720"/>
        </w:tabs>
        <w:jc w:val="both"/>
        <w:rPr>
          <w:b/>
          <w:sz w:val="20"/>
        </w:rPr>
      </w:pPr>
    </w:p>
    <w:p w:rsidR="006E5FA1" w:rsidRDefault="006E5FA1">
      <w:pPr>
        <w:tabs>
          <w:tab w:val="left" w:pos="720"/>
        </w:tabs>
        <w:jc w:val="both"/>
        <w:rPr>
          <w:b/>
          <w:sz w:val="20"/>
        </w:rPr>
      </w:pPr>
    </w:p>
    <w:p w:rsidR="006E5FA1" w:rsidRDefault="006E5FA1">
      <w:pPr>
        <w:pStyle w:val="Nadpis9"/>
        <w:ind w:firstLine="0"/>
        <w:jc w:val="center"/>
        <w:rPr>
          <w:sz w:val="26"/>
        </w:rPr>
      </w:pPr>
      <w:r>
        <w:rPr>
          <w:sz w:val="26"/>
        </w:rPr>
        <w:t>obsah šetření</w:t>
      </w:r>
    </w:p>
    <w:p w:rsidR="006E5FA1" w:rsidRDefault="006E5FA1">
      <w:pPr>
        <w:jc w:val="both"/>
        <w:rPr>
          <w:b/>
          <w:bCs/>
          <w:sz w:val="20"/>
        </w:rPr>
      </w:pPr>
    </w:p>
    <w:p w:rsidR="006E5FA1" w:rsidRDefault="006E5FA1">
      <w:pPr>
        <w:jc w:val="both"/>
        <w:rPr>
          <w:b/>
          <w:bCs/>
          <w:sz w:val="20"/>
        </w:rPr>
      </w:pPr>
    </w:p>
    <w:p w:rsidR="006E5FA1" w:rsidRDefault="006E5FA1">
      <w:pPr>
        <w:ind w:firstLine="720"/>
        <w:jc w:val="both"/>
        <w:rPr>
          <w:noProof/>
          <w:sz w:val="20"/>
        </w:rPr>
      </w:pPr>
      <w:r>
        <w:rPr>
          <w:b/>
          <w:bCs/>
          <w:sz w:val="20"/>
        </w:rPr>
        <w:t>Základní zpravodajskou jednotkou</w:t>
      </w:r>
      <w:r>
        <w:rPr>
          <w:sz w:val="20"/>
        </w:rPr>
        <w:t xml:space="preserve"> průmyslové statistiky je podnikatelský subjekt, tj. právnická nebo fyzická osoba, která má postavení podnikatele. Subjekty</w:t>
      </w:r>
      <w:r>
        <w:rPr>
          <w:noProof/>
          <w:sz w:val="20"/>
        </w:rPr>
        <w:t xml:space="preserve"> jsou rozděleny, bez ohledu na svou hlavní činnost, do dvou skupin:</w:t>
      </w:r>
    </w:p>
    <w:p w:rsidR="006E5FA1" w:rsidRDefault="006E5F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5" w:hanging="705"/>
        <w:jc w:val="both"/>
        <w:rPr>
          <w:noProof/>
          <w:sz w:val="20"/>
        </w:rPr>
      </w:pPr>
      <w:r>
        <w:rPr>
          <w:noProof/>
          <w:sz w:val="20"/>
        </w:rPr>
        <w:t>-</w:t>
      </w:r>
      <w:r>
        <w:rPr>
          <w:noProof/>
          <w:sz w:val="20"/>
        </w:rPr>
        <w:tab/>
        <w:t>fyzické osoby podnikající na základě Živnostenského zákona (a obdobných předpisů)</w:t>
      </w:r>
    </w:p>
    <w:p w:rsidR="006E5FA1" w:rsidRDefault="006E5FA1">
      <w:pPr>
        <w:pStyle w:val="Zkladntextodsazen3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 xml:space="preserve">právnické osoby, podnikající na základě </w:t>
      </w:r>
      <w:r w:rsidR="00E94344">
        <w:rPr>
          <w:sz w:val="20"/>
        </w:rPr>
        <w:t>zákona o obchodních korporacích</w:t>
      </w:r>
      <w:r>
        <w:rPr>
          <w:sz w:val="20"/>
        </w:rPr>
        <w:t xml:space="preserve">, tedy obchodní společnosti (mezi ně patří i fyzické osoby zapsané v Obchodním rejstříku) </w:t>
      </w:r>
    </w:p>
    <w:p w:rsidR="006E5FA1" w:rsidRDefault="006E5F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noProof/>
          <w:sz w:val="20"/>
        </w:rPr>
      </w:pPr>
    </w:p>
    <w:p w:rsidR="006E5FA1" w:rsidRDefault="006E5FA1">
      <w:pPr>
        <w:pStyle w:val="Zkladntextodsazen"/>
      </w:pPr>
      <w:r>
        <w:tab/>
        <w:t>Protože pro tyto dvě skupiny platí předpisy, upravující jejich účetní systém různým způsobem, byly tomu přizpůsobeny i dotazníky.</w:t>
      </w:r>
    </w:p>
    <w:p w:rsidR="006E5FA1" w:rsidRDefault="006E5FA1">
      <w:pPr>
        <w:jc w:val="both"/>
        <w:rPr>
          <w:b/>
          <w:sz w:val="20"/>
        </w:rPr>
      </w:pPr>
    </w:p>
    <w:p w:rsidR="006E5FA1" w:rsidRDefault="006E5FA1">
      <w:pPr>
        <w:pStyle w:val="Zkladntext"/>
        <w:spacing w:before="0" w:after="0"/>
        <w:rPr>
          <w:rFonts w:ascii="Arial" w:hAnsi="Arial" w:cs="Arial"/>
          <w:noProof/>
          <w:sz w:val="20"/>
          <w:lang w:val="cs-CZ"/>
        </w:rPr>
      </w:pPr>
      <w:r>
        <w:rPr>
          <w:rFonts w:ascii="Arial" w:hAnsi="Arial" w:cs="Arial"/>
          <w:noProof/>
          <w:sz w:val="20"/>
          <w:lang w:val="cs-CZ"/>
        </w:rPr>
        <w:tab/>
      </w:r>
      <w:r>
        <w:rPr>
          <w:rFonts w:ascii="Arial" w:hAnsi="Arial" w:cs="Arial"/>
          <w:b/>
          <w:bCs/>
          <w:noProof/>
          <w:sz w:val="20"/>
          <w:lang w:val="cs-CZ"/>
        </w:rPr>
        <w:t xml:space="preserve">Právnické osoby </w:t>
      </w:r>
      <w:r>
        <w:rPr>
          <w:rFonts w:ascii="Arial" w:hAnsi="Arial" w:cs="Arial"/>
          <w:noProof/>
          <w:sz w:val="20"/>
          <w:lang w:val="cs-CZ"/>
        </w:rPr>
        <w:t>a fyzické osoby, zapsané v Obchodním rejstříku (účtující ze zákona v soustavě podvojného účetnictví), jsou obesílány výkazem P 5-01.</w:t>
      </w:r>
    </w:p>
    <w:p w:rsidR="006E5FA1" w:rsidRDefault="006E5FA1">
      <w:pPr>
        <w:pStyle w:val="Zkladntext"/>
        <w:spacing w:before="0" w:after="0"/>
        <w:rPr>
          <w:rFonts w:ascii="Arial" w:hAnsi="Arial" w:cs="Arial"/>
          <w:noProof/>
          <w:sz w:val="20"/>
          <w:lang w:val="cs-CZ"/>
        </w:rPr>
      </w:pPr>
    </w:p>
    <w:p w:rsidR="006E5FA1" w:rsidRDefault="006E5FA1">
      <w:pPr>
        <w:pStyle w:val="Zkladntext"/>
        <w:spacing w:before="0" w:after="0"/>
        <w:rPr>
          <w:rFonts w:ascii="Arial" w:hAnsi="Arial" w:cs="Arial"/>
          <w:noProof/>
          <w:sz w:val="20"/>
          <w:lang w:val="cs-CZ"/>
        </w:rPr>
      </w:pPr>
      <w:r>
        <w:rPr>
          <w:rFonts w:ascii="Arial" w:hAnsi="Arial" w:cs="Arial"/>
          <w:noProof/>
          <w:sz w:val="20"/>
          <w:lang w:val="cs-CZ"/>
        </w:rPr>
        <w:tab/>
      </w:r>
      <w:r>
        <w:rPr>
          <w:rFonts w:ascii="Arial" w:hAnsi="Arial" w:cs="Arial"/>
          <w:b/>
          <w:noProof/>
          <w:sz w:val="20"/>
          <w:lang w:val="cs-CZ"/>
        </w:rPr>
        <w:t>Fyzické osoby</w:t>
      </w:r>
      <w:r>
        <w:rPr>
          <w:rFonts w:ascii="Arial" w:hAnsi="Arial" w:cs="Arial"/>
          <w:noProof/>
          <w:sz w:val="20"/>
          <w:lang w:val="cs-CZ"/>
        </w:rPr>
        <w:t xml:space="preserve"> (nezapsané v obchodním rejstříku) nejsou počínaje rokem 2010 předmětem žádného statistického šetření. Výsledky za tyto subjekty jsou proto modelovány na základě údajů z administrativních zdrojů dat (daň z příjmu, daň z přidané hodnoty, údaje z České správy sociálního zabezpečení). Historické údaje do roku 2009 byly založeny na přímém zjišťování prostřednictvím výkazu P 4-01.</w:t>
      </w:r>
    </w:p>
    <w:p w:rsidR="006E5FA1" w:rsidRDefault="006E5FA1">
      <w:pPr>
        <w:pStyle w:val="Zkladntext"/>
        <w:spacing w:before="0" w:after="0"/>
        <w:rPr>
          <w:rFonts w:ascii="Arial" w:hAnsi="Arial" w:cs="Arial"/>
          <w:noProof/>
          <w:sz w:val="20"/>
          <w:lang w:val="cs-CZ"/>
        </w:rPr>
      </w:pPr>
    </w:p>
    <w:p w:rsidR="006E5FA1" w:rsidRDefault="006E5FA1">
      <w:pPr>
        <w:tabs>
          <w:tab w:val="left" w:pos="720"/>
        </w:tabs>
        <w:jc w:val="both"/>
        <w:rPr>
          <w:b/>
          <w:color w:val="auto"/>
          <w:sz w:val="20"/>
        </w:rPr>
      </w:pPr>
    </w:p>
    <w:p w:rsidR="006E5FA1" w:rsidRDefault="006E5FA1">
      <w:pPr>
        <w:pStyle w:val="Nadpis8"/>
        <w:rPr>
          <w:i/>
          <w:iCs/>
          <w:sz w:val="26"/>
        </w:rPr>
      </w:pPr>
      <w:r>
        <w:rPr>
          <w:i/>
          <w:iCs/>
          <w:sz w:val="26"/>
        </w:rPr>
        <w:t>METODIKA UKAZATELŮ</w:t>
      </w:r>
    </w:p>
    <w:p w:rsidR="006E5FA1" w:rsidRDefault="006E5FA1">
      <w:pPr>
        <w:jc w:val="both"/>
        <w:rPr>
          <w:b/>
          <w:sz w:val="20"/>
        </w:rPr>
      </w:pPr>
    </w:p>
    <w:p w:rsidR="006E5FA1" w:rsidRDefault="006E5FA1">
      <w:pPr>
        <w:jc w:val="both"/>
        <w:rPr>
          <w:b/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 xml:space="preserve">Počet aktivních subjektů </w:t>
      </w:r>
      <w:r>
        <w:rPr>
          <w:sz w:val="20"/>
        </w:rPr>
        <w:t>je počet podnikatelských subjektů, které byly aktivní alespoň po část roku. Uváděné počty subjektů jsou počty ze zjišťování, po dopočtu na základní soubor. Základní soubor je generován z Registru ekonomických subjektů.</w:t>
      </w: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tabs>
          <w:tab w:val="left" w:pos="720"/>
        </w:tabs>
        <w:jc w:val="both"/>
        <w:rPr>
          <w:bCs/>
          <w:color w:val="auto"/>
          <w:sz w:val="20"/>
        </w:rPr>
      </w:pPr>
      <w:r>
        <w:rPr>
          <w:b/>
          <w:color w:val="auto"/>
          <w:sz w:val="20"/>
        </w:rPr>
        <w:t xml:space="preserve">             Počet zaměstnaných osob </w:t>
      </w:r>
      <w:r>
        <w:rPr>
          <w:bCs/>
          <w:color w:val="auto"/>
          <w:sz w:val="20"/>
        </w:rPr>
        <w:t xml:space="preserve">je součet evidenčního počtu zaměstnanců ve fyzických osobách, počtu pracujících majitelů firmy a spolupracujících členů domácnosti, pro které je práce ve firmě hlavní </w:t>
      </w:r>
      <w:r>
        <w:rPr>
          <w:bCs/>
          <w:color w:val="auto"/>
          <w:sz w:val="20"/>
        </w:rPr>
        <w:lastRenderedPageBreak/>
        <w:t>ekonomickou činností a počtu osob pracujících na dohodu o provedení práce a na dohodu o pracovní činnosti.</w:t>
      </w:r>
    </w:p>
    <w:p w:rsidR="00B303C1" w:rsidRPr="007B1AF0" w:rsidRDefault="00B303C1">
      <w:pPr>
        <w:tabs>
          <w:tab w:val="left" w:pos="720"/>
        </w:tabs>
        <w:jc w:val="both"/>
        <w:rPr>
          <w:bCs/>
          <w:color w:val="auto"/>
          <w:sz w:val="20"/>
        </w:rPr>
      </w:pPr>
    </w:p>
    <w:p w:rsidR="00B303C1" w:rsidRPr="007B1AF0" w:rsidRDefault="00B303C1">
      <w:pPr>
        <w:tabs>
          <w:tab w:val="left" w:pos="720"/>
        </w:tabs>
        <w:jc w:val="both"/>
        <w:rPr>
          <w:bCs/>
          <w:color w:val="auto"/>
          <w:sz w:val="20"/>
        </w:rPr>
      </w:pPr>
      <w:r w:rsidRPr="007B1AF0">
        <w:rPr>
          <w:bCs/>
          <w:color w:val="auto"/>
          <w:sz w:val="20"/>
        </w:rPr>
        <w:tab/>
      </w:r>
      <w:r w:rsidRPr="007B1AF0">
        <w:rPr>
          <w:b/>
          <w:bCs/>
          <w:color w:val="auto"/>
          <w:sz w:val="20"/>
        </w:rPr>
        <w:t>Počet pracujících majitelů a spolupracujících členů domácnosti</w:t>
      </w:r>
      <w:r w:rsidRPr="007B1AF0">
        <w:rPr>
          <w:bCs/>
          <w:color w:val="auto"/>
          <w:sz w:val="20"/>
        </w:rPr>
        <w:t xml:space="preserve"> zahrnuje pracující majitele a spolupracující členy, pro které je samostatná výdělečná činnost, případně práce v podniku, který vlastní, jejich hlavní činností.</w:t>
      </w:r>
    </w:p>
    <w:p w:rsidR="006E5FA1" w:rsidRDefault="006E5FA1">
      <w:pPr>
        <w:jc w:val="both"/>
        <w:rPr>
          <w:b/>
          <w:sz w:val="20"/>
        </w:rPr>
      </w:pPr>
    </w:p>
    <w:p w:rsidR="006E5FA1" w:rsidRDefault="006E5FA1">
      <w:pPr>
        <w:ind w:firstLine="708"/>
        <w:jc w:val="both"/>
        <w:rPr>
          <w:color w:val="auto"/>
          <w:sz w:val="20"/>
        </w:rPr>
      </w:pPr>
      <w:r>
        <w:rPr>
          <w:b/>
          <w:color w:val="auto"/>
          <w:sz w:val="20"/>
        </w:rPr>
        <w:t xml:space="preserve">Průměrný evidenční počet zaměstnanců </w:t>
      </w:r>
      <w:r>
        <w:rPr>
          <w:color w:val="auto"/>
          <w:sz w:val="20"/>
        </w:rPr>
        <w:t>(ve fyzických osobách)</w:t>
      </w:r>
      <w:r>
        <w:rPr>
          <w:b/>
          <w:color w:val="auto"/>
          <w:sz w:val="20"/>
        </w:rPr>
        <w:t xml:space="preserve"> </w:t>
      </w:r>
      <w:r>
        <w:rPr>
          <w:bCs/>
          <w:color w:val="auto"/>
          <w:sz w:val="20"/>
        </w:rPr>
        <w:t xml:space="preserve">je počítán jako aritmetický průměr průměrného počtu zaměstnanců v jednotlivých měsících a </w:t>
      </w:r>
      <w:r>
        <w:rPr>
          <w:color w:val="auto"/>
          <w:sz w:val="20"/>
        </w:rPr>
        <w:t>zahrnuje všechny kategorie stálých, sezónních i dočasných zaměstnanců, kteří jsou v pracovním poměru k zaměstnavateli.</w:t>
      </w: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napToGrid w:val="0"/>
          <w:sz w:val="20"/>
        </w:rPr>
      </w:pPr>
      <w:r>
        <w:rPr>
          <w:b/>
          <w:sz w:val="20"/>
        </w:rPr>
        <w:t>Průměrná hrubá měsíční mzda</w:t>
      </w:r>
      <w:r>
        <w:rPr>
          <w:sz w:val="20"/>
        </w:rPr>
        <w:t xml:space="preserve"> jednoho zaměstnance vyjadřuje všechny pracovní příjmy (základní mzdy, osobní příplatky a ohodnocení, prémie a odměny, podíly na výsledcích hospodaření a náhrady mzdy), které byly zúčtovány zaměstnancům v evidenčním počtu podle příslušných platových a mzdových předpisů.</w:t>
      </w:r>
    </w:p>
    <w:p w:rsidR="006E5FA1" w:rsidRDefault="006E5FA1">
      <w:pPr>
        <w:jc w:val="both"/>
        <w:rPr>
          <w:sz w:val="20"/>
        </w:rPr>
      </w:pPr>
    </w:p>
    <w:p w:rsidR="00AC7C73" w:rsidRDefault="006E5FA1" w:rsidP="00AC7C73">
      <w:pPr>
        <w:ind w:firstLine="708"/>
        <w:jc w:val="both"/>
        <w:rPr>
          <w:sz w:val="20"/>
        </w:rPr>
      </w:pPr>
      <w:r>
        <w:rPr>
          <w:b/>
          <w:sz w:val="20"/>
        </w:rPr>
        <w:t>Hodnoty</w:t>
      </w:r>
      <w:r>
        <w:rPr>
          <w:sz w:val="20"/>
        </w:rPr>
        <w:t xml:space="preserve"> </w:t>
      </w:r>
      <w:r>
        <w:rPr>
          <w:b/>
          <w:sz w:val="20"/>
        </w:rPr>
        <w:t xml:space="preserve">aktiv, pasiv a jejich složek </w:t>
      </w:r>
      <w:r>
        <w:rPr>
          <w:sz w:val="20"/>
        </w:rPr>
        <w:t>vyjadřují stavy na rozvahových účtech ke konci kalendářního roku. Za fyzické osoby, účtující v systému jednoduchého účetnictví se jedná o stav jednotlivých složek majetku a závazků ke konci kalendářního roku. Náplň ukazatelů odpovídá účtové osnově pro podnikatele.</w:t>
      </w:r>
    </w:p>
    <w:p w:rsidR="00AC7C73" w:rsidRDefault="00AC7C73" w:rsidP="00AC7C73">
      <w:pPr>
        <w:ind w:firstLine="708"/>
        <w:jc w:val="both"/>
        <w:rPr>
          <w:sz w:val="20"/>
        </w:rPr>
      </w:pPr>
    </w:p>
    <w:p w:rsidR="00AC7C73" w:rsidRPr="00A65762" w:rsidRDefault="002E251D" w:rsidP="00AC7C73">
      <w:pPr>
        <w:ind w:firstLine="708"/>
        <w:jc w:val="both"/>
        <w:rPr>
          <w:color w:val="auto"/>
          <w:sz w:val="20"/>
        </w:rPr>
      </w:pPr>
      <w:r w:rsidRPr="00A65762">
        <w:rPr>
          <w:b/>
          <w:color w:val="auto"/>
          <w:sz w:val="20"/>
        </w:rPr>
        <w:t>Závazky</w:t>
      </w:r>
      <w:r w:rsidRPr="00A65762">
        <w:rPr>
          <w:color w:val="auto"/>
          <w:sz w:val="20"/>
        </w:rPr>
        <w:t xml:space="preserve"> </w:t>
      </w:r>
      <w:r w:rsidR="006A4C6E" w:rsidRPr="00A65762">
        <w:rPr>
          <w:color w:val="auto"/>
          <w:sz w:val="20"/>
        </w:rPr>
        <w:t xml:space="preserve">zahrnují závazky z obchodních vztahů a přijaté zálohy a dohadné účty pasivní, dluhové cenné papíry, opční listy a finanční deriváty (pasivní), zápůjčky a finanční výpomoci přijaté, zúčtování dotací a </w:t>
      </w:r>
      <w:r w:rsidRPr="00A65762">
        <w:rPr>
          <w:color w:val="auto"/>
          <w:sz w:val="20"/>
        </w:rPr>
        <w:t>od roku 2016 zahrnují rovněž závazky k úvěrovým institucím. Za účelem meziroční srovnatelnosti byly zpětně přepočítány roky 2010-2015 v metodice roku 2016.</w:t>
      </w:r>
    </w:p>
    <w:p w:rsidR="006E5FA1" w:rsidRDefault="006E5FA1" w:rsidP="00AC7C73">
      <w:pPr>
        <w:ind w:firstLine="708"/>
        <w:jc w:val="both"/>
        <w:rPr>
          <w:sz w:val="20"/>
        </w:rPr>
      </w:pPr>
      <w:r>
        <w:rPr>
          <w:sz w:val="20"/>
        </w:rPr>
        <w:t xml:space="preserve"> </w:t>
      </w:r>
    </w:p>
    <w:p w:rsidR="006E5FA1" w:rsidRDefault="006E5FA1">
      <w:pPr>
        <w:pStyle w:val="BodyTextIndent"/>
        <w:spacing w:before="120"/>
        <w:ind w:left="0" w:firstLine="709"/>
        <w:jc w:val="both"/>
        <w:rPr>
          <w:b w:val="0"/>
          <w:bCs w:val="0"/>
        </w:rPr>
      </w:pPr>
      <w:r>
        <w:rPr>
          <w:bCs w:val="0"/>
        </w:rPr>
        <w:t xml:space="preserve">Pořízení dlouhodobého nehmotného a hmotného majetku </w:t>
      </w:r>
      <w:r>
        <w:rPr>
          <w:b w:val="0"/>
          <w:bCs w:val="0"/>
        </w:rPr>
        <w:t>představuje sumu výdajů, které vykazující jednotky vynaložily na pořízení dlouhodobého majetku (koupí, vytvořením vlastní činností, nabytím práv k výsledkům duševní tvořivé činnosti) Dlouhodobým majetkem se stávají věci uvedené do užívání. Uvedením do užívání se rozumí zabezpečení všech technických funkcí potřebných k užívání a splnění všech povinností stanovených právními předpisy, např. stavebními, ekologickými, požárními, bezpečnostními a hygienickými. Ukazatel nezahrnuje bezúplatně nabytý majetek a zahrnuje majetek pořízený na finanční leasing.</w:t>
      </w:r>
    </w:p>
    <w:p w:rsidR="006E5FA1" w:rsidRDefault="006E5FA1">
      <w:pPr>
        <w:ind w:firstLine="708"/>
        <w:jc w:val="both"/>
        <w:rPr>
          <w:bCs/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 xml:space="preserve">Pořízení dlouhodobého nehmotného majetku </w:t>
      </w:r>
      <w:r>
        <w:rPr>
          <w:sz w:val="20"/>
        </w:rPr>
        <w:t>zahrnuje zřizovací výdaje, nehmotné výsledky vědeckovýzkumné a obdobné činnosti, výdaje na software a ocenitelná práva (např. know how, licence, předměty průmyslových práv a jiné výsledky duševní činnosti). Ukazatel nezahrnuje dlouhodobý nehmotný majetek nabytý bezúplatně.</w:t>
      </w:r>
    </w:p>
    <w:p w:rsidR="006E5FA1" w:rsidRDefault="006E5FA1">
      <w:pPr>
        <w:ind w:firstLine="708"/>
        <w:jc w:val="both"/>
        <w:rPr>
          <w:b/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 xml:space="preserve">Pořízení dlouhodobého hmotného majetku </w:t>
      </w:r>
      <w:r>
        <w:rPr>
          <w:sz w:val="20"/>
        </w:rPr>
        <w:t xml:space="preserve">nezahrnuje bezúplatné nabytí a převzetí dlouhodobého hmotného majetku a naopak zahrnuje majetek najatý na finanční leasing.                                                        </w:t>
      </w:r>
    </w:p>
    <w:p w:rsidR="006E5FA1" w:rsidRPr="00A65762" w:rsidRDefault="006E5FA1">
      <w:pPr>
        <w:pStyle w:val="Nadpis9"/>
        <w:ind w:firstLine="0"/>
        <w:jc w:val="center"/>
        <w:rPr>
          <w:color w:val="auto"/>
          <w:sz w:val="26"/>
        </w:rPr>
      </w:pPr>
    </w:p>
    <w:p w:rsidR="006E5FA1" w:rsidRPr="00A65762" w:rsidRDefault="002E251D" w:rsidP="002E251D">
      <w:pPr>
        <w:ind w:firstLine="708"/>
        <w:jc w:val="both"/>
        <w:rPr>
          <w:color w:val="auto"/>
          <w:sz w:val="20"/>
        </w:rPr>
      </w:pPr>
      <w:r w:rsidRPr="00A65762">
        <w:rPr>
          <w:b/>
          <w:color w:val="auto"/>
          <w:sz w:val="20"/>
        </w:rPr>
        <w:t>Čistý obrat</w:t>
      </w:r>
      <w:r w:rsidRPr="00A65762">
        <w:rPr>
          <w:color w:val="auto"/>
          <w:sz w:val="20"/>
        </w:rPr>
        <w:t xml:space="preserve"> obsahuje</w:t>
      </w:r>
      <w:r w:rsidR="006E5FA1" w:rsidRPr="00A65762">
        <w:rPr>
          <w:color w:val="auto"/>
          <w:sz w:val="20"/>
        </w:rPr>
        <w:t xml:space="preserve"> součet tržeb za vlastní </w:t>
      </w:r>
      <w:r w:rsidRPr="00A65762">
        <w:rPr>
          <w:color w:val="auto"/>
          <w:sz w:val="20"/>
        </w:rPr>
        <w:t>výrobky a služby</w:t>
      </w:r>
      <w:r w:rsidR="006E5FA1" w:rsidRPr="00A65762">
        <w:rPr>
          <w:color w:val="auto"/>
          <w:sz w:val="20"/>
        </w:rPr>
        <w:t xml:space="preserve"> a </w:t>
      </w:r>
      <w:r w:rsidRPr="00A65762">
        <w:rPr>
          <w:color w:val="auto"/>
          <w:sz w:val="20"/>
        </w:rPr>
        <w:t xml:space="preserve">tržby za </w:t>
      </w:r>
      <w:r w:rsidR="006E5FA1" w:rsidRPr="00A65762">
        <w:rPr>
          <w:color w:val="auto"/>
          <w:sz w:val="20"/>
        </w:rPr>
        <w:t xml:space="preserve">zboží, </w:t>
      </w:r>
      <w:r w:rsidRPr="00A65762">
        <w:rPr>
          <w:color w:val="auto"/>
          <w:sz w:val="20"/>
        </w:rPr>
        <w:t>ostatní provozní výnosy</w:t>
      </w:r>
      <w:r w:rsidR="006E5FA1" w:rsidRPr="00A65762">
        <w:rPr>
          <w:color w:val="auto"/>
          <w:sz w:val="20"/>
        </w:rPr>
        <w:t xml:space="preserve">, </w:t>
      </w:r>
      <w:r w:rsidR="008E219F" w:rsidRPr="00A65762">
        <w:rPr>
          <w:color w:val="auto"/>
          <w:sz w:val="20"/>
        </w:rPr>
        <w:t>výnosy z dlouhodobého finančního majetku, výnosy z ostatního dlouhodobého finančního majetku</w:t>
      </w:r>
      <w:r w:rsidR="00A65762" w:rsidRPr="00A65762">
        <w:rPr>
          <w:color w:val="auto"/>
          <w:sz w:val="20"/>
        </w:rPr>
        <w:t xml:space="preserve">, </w:t>
      </w:r>
      <w:r w:rsidR="008E219F" w:rsidRPr="00A65762">
        <w:rPr>
          <w:color w:val="auto"/>
          <w:sz w:val="20"/>
        </w:rPr>
        <w:t>výnosové úroky a podobné výnosy</w:t>
      </w:r>
      <w:r w:rsidR="00A65762" w:rsidRPr="00A65762">
        <w:rPr>
          <w:color w:val="auto"/>
          <w:sz w:val="20"/>
        </w:rPr>
        <w:t xml:space="preserve"> a ostatní finanční výnosy</w:t>
      </w:r>
      <w:r w:rsidR="006E5FA1" w:rsidRPr="00A65762">
        <w:rPr>
          <w:color w:val="auto"/>
          <w:sz w:val="20"/>
        </w:rPr>
        <w:t>. U fyzických osob jsou příjmy dány jako součet příjmů za prodej výrobků, služeb, zboží, ostatních příjmů a uzávěrkových úprav příjmů.</w:t>
      </w:r>
      <w:r w:rsidR="008E219F" w:rsidRPr="00A65762">
        <w:rPr>
          <w:color w:val="auto"/>
          <w:sz w:val="20"/>
        </w:rPr>
        <w:t xml:space="preserve"> Vzhledem k metodickým změnám byly roky 2010-2015 přepočítány v metodice roku 2016. </w:t>
      </w:r>
    </w:p>
    <w:p w:rsidR="006E5FA1" w:rsidRDefault="006E5FA1">
      <w:pPr>
        <w:ind w:firstLine="708"/>
        <w:jc w:val="both"/>
        <w:rPr>
          <w:b/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 xml:space="preserve">Tržby </w:t>
      </w:r>
      <w:r w:rsidR="00106ECE">
        <w:rPr>
          <w:b/>
          <w:sz w:val="20"/>
        </w:rPr>
        <w:t>z</w:t>
      </w:r>
      <w:r>
        <w:rPr>
          <w:b/>
          <w:sz w:val="20"/>
        </w:rPr>
        <w:t xml:space="preserve"> prodej</w:t>
      </w:r>
      <w:r w:rsidR="00106ECE">
        <w:rPr>
          <w:b/>
          <w:sz w:val="20"/>
        </w:rPr>
        <w:t>e</w:t>
      </w:r>
      <w:r>
        <w:rPr>
          <w:b/>
          <w:sz w:val="20"/>
        </w:rPr>
        <w:t xml:space="preserve"> výrobků a služeb</w:t>
      </w:r>
      <w:r>
        <w:rPr>
          <w:sz w:val="20"/>
        </w:rPr>
        <w:t xml:space="preserve"> představují tržby za prodej vlastní hmotné a nehmotné produkce externím odběratelům.</w:t>
      </w: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Tržby za prodej zboží</w:t>
      </w:r>
      <w:r>
        <w:rPr>
          <w:sz w:val="20"/>
        </w:rPr>
        <w:t xml:space="preserve"> představují tržby za prodej obchodního zboží, tj. produktů nakoupených za účelem dalšího prodeje v nezměněném stavu.</w:t>
      </w:r>
    </w:p>
    <w:p w:rsidR="006E5FA1" w:rsidRDefault="006E5FA1">
      <w:pPr>
        <w:jc w:val="both"/>
        <w:rPr>
          <w:sz w:val="20"/>
        </w:rPr>
      </w:pPr>
    </w:p>
    <w:p w:rsidR="00B72514" w:rsidRPr="00F706BF" w:rsidRDefault="006E5FA1" w:rsidP="00B72514">
      <w:pPr>
        <w:ind w:firstLine="708"/>
        <w:jc w:val="both"/>
        <w:rPr>
          <w:color w:val="auto"/>
          <w:sz w:val="20"/>
        </w:rPr>
      </w:pPr>
      <w:r w:rsidRPr="00F706BF">
        <w:rPr>
          <w:b/>
          <w:color w:val="auto"/>
          <w:sz w:val="20"/>
        </w:rPr>
        <w:t>Náklady celkem</w:t>
      </w:r>
      <w:r w:rsidRPr="00F706BF">
        <w:rPr>
          <w:color w:val="auto"/>
          <w:sz w:val="20"/>
        </w:rPr>
        <w:t xml:space="preserve"> </w:t>
      </w:r>
      <w:r w:rsidR="0006539B" w:rsidRPr="00F706BF">
        <w:rPr>
          <w:color w:val="auto"/>
          <w:sz w:val="20"/>
        </w:rPr>
        <w:t>zahrnují náklady na prodané zboží, spotřebu materiálu a energie a náklady na služby, změnu stavu zásob vlastní činnosti, aktivaci, osobní náklady, úpravy hodnot v provozní oblasti, ostatní provozní náklady, náklady vynaložené na prodané podíly, náklady související s ostatním dlouhodobým finančním majetkem, úpravy hodnot a rezervy ve finanční oblasti, nákladové úroky a podobné náklady, ostatní finanční náklady, daň z příjmů a převod podílu na výsledku hospodaření společníkům</w:t>
      </w:r>
      <w:r w:rsidRPr="00F706BF">
        <w:rPr>
          <w:color w:val="auto"/>
          <w:sz w:val="20"/>
        </w:rPr>
        <w:t xml:space="preserve">. U fyzických osob je to součet výdajů na nákup materiálu, zboží, výdajů na mzdy a platby </w:t>
      </w:r>
      <w:r w:rsidRPr="00F706BF">
        <w:rPr>
          <w:color w:val="auto"/>
          <w:sz w:val="20"/>
        </w:rPr>
        <w:lastRenderedPageBreak/>
        <w:t>pojistného (sociální a zdravotní pojištění), provozní režie a uzávěrkových úprav výdajů.</w:t>
      </w:r>
      <w:r w:rsidR="00B72514" w:rsidRPr="00F706BF">
        <w:rPr>
          <w:color w:val="auto"/>
          <w:sz w:val="20"/>
        </w:rPr>
        <w:t xml:space="preserve"> Vzhledem k metodickým změnám byly roky 2010-2015 přepočítány v metodice roku 2016. </w:t>
      </w:r>
    </w:p>
    <w:p w:rsidR="006E5FA1" w:rsidRDefault="006E5FA1">
      <w:pPr>
        <w:ind w:firstLine="708"/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Osobní náklady</w:t>
      </w:r>
      <w:r>
        <w:rPr>
          <w:sz w:val="20"/>
        </w:rPr>
        <w:t xml:space="preserve"> zahrnují veškeré požitky zaměstnanců, osob na dohodu o provedení práce nebo dohodu o činnosti, včetně příjmů společníků a členů družstev ze závislé činnosti, odměny členům orgánů společností a náklady na zákonné i ostatní sociální pojištění. V soustavě podvojného účetnictví jsou dány rozdílem obratů strany Má dáti a strany Dal účtů účtové skupiny 52 - Osobní náklady. Obsahují i naturální plnění, pokud jsou součástí mezd. V soustavě jednoduchého účetnictví se jedná o součet výdajů na mzdy a platby sociálního a zdravotního pojištění.</w:t>
      </w:r>
    </w:p>
    <w:p w:rsidR="006E5FA1" w:rsidRDefault="006E5FA1">
      <w:pPr>
        <w:jc w:val="both"/>
        <w:rPr>
          <w:b/>
          <w:bCs/>
          <w:sz w:val="20"/>
        </w:rPr>
      </w:pPr>
    </w:p>
    <w:p w:rsidR="006E5FA1" w:rsidRDefault="006E5FA1">
      <w:pPr>
        <w:ind w:firstLine="708"/>
        <w:jc w:val="both"/>
        <w:rPr>
          <w:snapToGrid w:val="0"/>
          <w:sz w:val="20"/>
        </w:rPr>
      </w:pPr>
      <w:r>
        <w:rPr>
          <w:b/>
          <w:bCs/>
          <w:sz w:val="20"/>
        </w:rPr>
        <w:t>Mzdy bez OON</w:t>
      </w:r>
      <w:r>
        <w:rPr>
          <w:sz w:val="20"/>
        </w:rPr>
        <w:t xml:space="preserve"> (ostatních osobních nákladů) zahrnují všechna peněžitá plnění (základní mzdy, osobní příplatky a ohodnocení, prémie a odměny, podíly na hospodářském výsledku a náhrady mzdy), které byly zúčtovány zaměstnancům </w:t>
      </w:r>
      <w:r>
        <w:rPr>
          <w:b/>
          <w:bCs/>
          <w:i/>
          <w:iCs/>
          <w:sz w:val="20"/>
        </w:rPr>
        <w:t>v evidenčním počtu</w:t>
      </w:r>
      <w:r>
        <w:rPr>
          <w:sz w:val="20"/>
        </w:rPr>
        <w:t xml:space="preserve"> podle příslušných platových a mzdových předpisů. O</w:t>
      </w:r>
      <w:r>
        <w:rPr>
          <w:snapToGrid w:val="0"/>
          <w:sz w:val="20"/>
        </w:rPr>
        <w:t>bsahují i příjmy společníků a členů družstva, pokud jsou v pracovním poměru ke společnosti a jsou vedeni v evidenčním počtu zaměstnanců. Obsahují i odměny z použitelného zisku nebo z fondů, tvořených ze zisku. Nezahrnují plnění v souvislosti s dohodami o provedení práce nebo o činnosti a odměny členům orgánů společností, tedy plnění osobám, které nejsou zahrnuty v průměrném evidenčním počtu zaměstnanců.</w:t>
      </w:r>
    </w:p>
    <w:p w:rsidR="006E5FA1" w:rsidRPr="00C42F0E" w:rsidRDefault="006E5FA1">
      <w:pPr>
        <w:jc w:val="both"/>
        <w:rPr>
          <w:b/>
          <w:bCs/>
          <w:i/>
          <w:iCs/>
          <w:color w:val="auto"/>
          <w:sz w:val="20"/>
        </w:rPr>
      </w:pPr>
    </w:p>
    <w:p w:rsidR="006E5FA1" w:rsidRPr="00C42F0E" w:rsidRDefault="006E5FA1">
      <w:pPr>
        <w:ind w:firstLine="708"/>
        <w:jc w:val="both"/>
        <w:rPr>
          <w:color w:val="auto"/>
          <w:sz w:val="20"/>
        </w:rPr>
      </w:pPr>
      <w:r w:rsidRPr="00C42F0E">
        <w:rPr>
          <w:b/>
          <w:color w:val="auto"/>
          <w:sz w:val="20"/>
        </w:rPr>
        <w:t xml:space="preserve">Hospodářský výsledek po zdanění </w:t>
      </w:r>
      <w:r w:rsidRPr="00C42F0E">
        <w:rPr>
          <w:color w:val="auto"/>
          <w:sz w:val="20"/>
        </w:rPr>
        <w:t xml:space="preserve">představuje rozdíl mezi </w:t>
      </w:r>
      <w:r w:rsidR="00B72514" w:rsidRPr="00C42F0E">
        <w:rPr>
          <w:color w:val="auto"/>
          <w:sz w:val="20"/>
        </w:rPr>
        <w:t>čistým obratem</w:t>
      </w:r>
      <w:r w:rsidRPr="00C42F0E">
        <w:rPr>
          <w:color w:val="auto"/>
          <w:sz w:val="20"/>
        </w:rPr>
        <w:t xml:space="preserve"> a náklady celkem za sledované období. Nabývá buď podoby zisku (kladný výsledek hospodaření) nebo ztráty (záporný výsledek hospodaření).</w:t>
      </w: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Výkony včetně obchodní marže</w:t>
      </w:r>
      <w:r>
        <w:rPr>
          <w:sz w:val="20"/>
        </w:rPr>
        <w:t xml:space="preserve"> zahrnují tržby za prodej vlastních výrobků a služeb, obchodní marži (rozdíl mezi tržbami za prodané zboží a náklady na prodané zboží), změnu stavu zásob vlastní výroby a aktivaci materiálu, zboží, služeb a dlouhodobého majetku.</w:t>
      </w:r>
    </w:p>
    <w:p w:rsidR="006E5FA1" w:rsidRDefault="006E5FA1">
      <w:pPr>
        <w:jc w:val="both"/>
        <w:rPr>
          <w:sz w:val="20"/>
        </w:rPr>
      </w:pPr>
    </w:p>
    <w:p w:rsidR="006C4135" w:rsidRDefault="006C4135" w:rsidP="006C4135">
      <w:pPr>
        <w:ind w:firstLine="708"/>
        <w:jc w:val="both"/>
        <w:rPr>
          <w:sz w:val="20"/>
        </w:rPr>
      </w:pPr>
      <w:r w:rsidRPr="00C42F0E">
        <w:rPr>
          <w:b/>
          <w:color w:val="auto"/>
          <w:sz w:val="20"/>
        </w:rPr>
        <w:t>Spotřeba materiálu a energie a náklady na služby</w:t>
      </w:r>
      <w:r w:rsidR="00106ECE">
        <w:rPr>
          <w:sz w:val="20"/>
        </w:rPr>
        <w:t xml:space="preserve"> </w:t>
      </w:r>
      <w:r w:rsidR="006E5FA1">
        <w:rPr>
          <w:sz w:val="20"/>
        </w:rPr>
        <w:t>zahrnuje spotřebované nákupy (hodnota spotřebovaného materiálu a energií) a služby (externí služby, náklady na reprezentaci a drobný nehmotný majetek, o kterém účetní jednotka rozhodla, že není dlouhodobým majetkem).</w:t>
      </w:r>
    </w:p>
    <w:p w:rsidR="006E5FA1" w:rsidRDefault="006E5FA1">
      <w:pPr>
        <w:jc w:val="both"/>
        <w:rPr>
          <w:sz w:val="20"/>
        </w:rPr>
      </w:pPr>
    </w:p>
    <w:p w:rsidR="006E5FA1" w:rsidRPr="00C42F0E" w:rsidRDefault="006E5FA1">
      <w:pPr>
        <w:ind w:firstLine="708"/>
        <w:jc w:val="both"/>
        <w:rPr>
          <w:color w:val="auto"/>
          <w:sz w:val="20"/>
        </w:rPr>
      </w:pPr>
      <w:r w:rsidRPr="00C42F0E">
        <w:rPr>
          <w:b/>
          <w:color w:val="auto"/>
          <w:sz w:val="20"/>
        </w:rPr>
        <w:t>Přidaná hodnota</w:t>
      </w:r>
      <w:r w:rsidRPr="00C42F0E">
        <w:rPr>
          <w:color w:val="auto"/>
          <w:sz w:val="20"/>
        </w:rPr>
        <w:t xml:space="preserve"> je rozdíl mezi výkony vč. obchodní marže a </w:t>
      </w:r>
      <w:r w:rsidR="009C06A2" w:rsidRPr="00C42F0E">
        <w:rPr>
          <w:color w:val="auto"/>
          <w:sz w:val="20"/>
        </w:rPr>
        <w:t>spotřebou materiálu, energie a nákladů na služby</w:t>
      </w:r>
      <w:r w:rsidRPr="00C42F0E">
        <w:rPr>
          <w:color w:val="auto"/>
          <w:sz w:val="20"/>
        </w:rPr>
        <w:t>.</w:t>
      </w: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Obchodní marže</w:t>
      </w:r>
      <w:r>
        <w:rPr>
          <w:sz w:val="20"/>
        </w:rPr>
        <w:t xml:space="preserve"> je vypočtena jako rozdíl mezi tržbami (příjmy) za prodej zboží a náklady, vynaloženými na prodané zboží (tj. na nákup zboží, které bylo prodáno v nezměněném stavu).</w:t>
      </w:r>
    </w:p>
    <w:p w:rsidR="006E5FA1" w:rsidRDefault="006E5FA1">
      <w:pPr>
        <w:ind w:firstLine="708"/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Přidaná hodnota na zaměstnance</w:t>
      </w:r>
      <w:r>
        <w:rPr>
          <w:sz w:val="20"/>
        </w:rPr>
        <w:t xml:space="preserve"> (v tisících Kč) je vypočtena jako podíl přidané hodnoty a počtu zaměstnanců v evidenčním počtu (přepočteného na plně zaměstnané).</w:t>
      </w: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Rentabilita celkových aktiv</w:t>
      </w:r>
      <w:r>
        <w:rPr>
          <w:sz w:val="20"/>
        </w:rPr>
        <w:t xml:space="preserve"> (v procentech) je podíl hospodářského výsledku po zdanění a majetku (aktiv) celkem.</w:t>
      </w: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Rentabilita vlastního kapitálu</w:t>
      </w:r>
      <w:r>
        <w:rPr>
          <w:sz w:val="20"/>
        </w:rPr>
        <w:t xml:space="preserve"> (v procentech) je podíl hospodářského výsledku po zdanění a vlastního kapitálu. </w:t>
      </w: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Rentabilita tržeb</w:t>
      </w:r>
      <w:r>
        <w:rPr>
          <w:sz w:val="20"/>
        </w:rPr>
        <w:t xml:space="preserve"> (v procentech) je podíl hospodářského výsledku po zdanění a součtu tržeb (příjmů) za prodej vlastních výrobků, služeb a zboží.</w:t>
      </w:r>
    </w:p>
    <w:p w:rsidR="006E5FA1" w:rsidRDefault="006E5FA1">
      <w:pPr>
        <w:jc w:val="both"/>
        <w:rPr>
          <w:b/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Rentabilita nákladů</w:t>
      </w:r>
      <w:r>
        <w:rPr>
          <w:sz w:val="20"/>
        </w:rPr>
        <w:t xml:space="preserve"> (v procentech) je podíl hospodářského výsledku po zdanění a celkových nákladů (výdajů).</w:t>
      </w:r>
    </w:p>
    <w:p w:rsidR="006E5FA1" w:rsidRDefault="006E5FA1">
      <w:pPr>
        <w:jc w:val="both"/>
        <w:rPr>
          <w:sz w:val="20"/>
        </w:rPr>
      </w:pPr>
    </w:p>
    <w:p w:rsidR="006E5FA1" w:rsidRPr="00C42F0E" w:rsidRDefault="006E5FA1">
      <w:pPr>
        <w:ind w:firstLine="708"/>
        <w:jc w:val="both"/>
        <w:rPr>
          <w:color w:val="auto"/>
          <w:sz w:val="20"/>
        </w:rPr>
      </w:pPr>
      <w:r w:rsidRPr="00C42F0E">
        <w:rPr>
          <w:b/>
          <w:color w:val="auto"/>
          <w:sz w:val="20"/>
        </w:rPr>
        <w:t>Nákladovost</w:t>
      </w:r>
      <w:r w:rsidRPr="00C42F0E">
        <w:rPr>
          <w:color w:val="auto"/>
          <w:sz w:val="20"/>
        </w:rPr>
        <w:t xml:space="preserve"> (v procentech) je podíl celkových nákladů a </w:t>
      </w:r>
      <w:r w:rsidR="00C135D9" w:rsidRPr="00C42F0E">
        <w:rPr>
          <w:color w:val="auto"/>
          <w:sz w:val="20"/>
        </w:rPr>
        <w:t>čistého obratu</w:t>
      </w:r>
      <w:r w:rsidRPr="00C42F0E">
        <w:rPr>
          <w:color w:val="auto"/>
          <w:sz w:val="20"/>
        </w:rPr>
        <w:t>.</w:t>
      </w:r>
    </w:p>
    <w:p w:rsidR="006E5FA1" w:rsidRPr="00C42F0E" w:rsidRDefault="006E5FA1">
      <w:pPr>
        <w:jc w:val="both"/>
        <w:rPr>
          <w:color w:val="auto"/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Doba obratu zásob</w:t>
      </w:r>
      <w:r>
        <w:rPr>
          <w:sz w:val="20"/>
        </w:rPr>
        <w:t xml:space="preserve"> (ve dnech) je podíl celkových zásob a průměrných denních tržeb (celkové tržby děleno 360). Vyjadřuje počet dnů, na který by vystačil stav zásob.</w:t>
      </w:r>
    </w:p>
    <w:p w:rsidR="006E5FA1" w:rsidRDefault="006E5FA1">
      <w:pPr>
        <w:pStyle w:val="Nadpis9"/>
        <w:ind w:firstLine="0"/>
        <w:jc w:val="center"/>
        <w:rPr>
          <w:sz w:val="26"/>
        </w:rPr>
      </w:pPr>
    </w:p>
    <w:p w:rsidR="006E5FA1" w:rsidRDefault="006E5FA1">
      <w:pPr>
        <w:jc w:val="both"/>
        <w:rPr>
          <w:b/>
          <w:bCs/>
          <w:sz w:val="20"/>
        </w:rPr>
      </w:pPr>
    </w:p>
    <w:p w:rsidR="002F2F56" w:rsidRDefault="00AC48ED" w:rsidP="00B45D5B">
      <w:pPr>
        <w:jc w:val="both"/>
        <w:rPr>
          <w:b/>
          <w:color w:val="auto"/>
          <w:sz w:val="20"/>
        </w:rPr>
      </w:pPr>
      <w:r w:rsidRPr="00A25A35">
        <w:rPr>
          <w:b/>
          <w:color w:val="auto"/>
          <w:sz w:val="20"/>
        </w:rPr>
        <w:t xml:space="preserve">V souladu s novelou vyhlášky č. 500/2002 Sb. platnou od 1. 1. 2016 byly upraveny názvy některých ukazatelů. Ukazatel „Spotřeba materiálu a energie a náklady na služby“ je obsahově </w:t>
      </w:r>
      <w:r w:rsidRPr="00A25A35">
        <w:rPr>
          <w:b/>
          <w:color w:val="auto"/>
          <w:sz w:val="20"/>
        </w:rPr>
        <w:lastRenderedPageBreak/>
        <w:t>shodný s ukazatelem „Výkonov</w:t>
      </w:r>
      <w:r w:rsidR="00B45D5B" w:rsidRPr="00A25A35">
        <w:rPr>
          <w:b/>
          <w:color w:val="auto"/>
          <w:sz w:val="20"/>
        </w:rPr>
        <w:t>á spotřeba“ v dřívějším pojetí, u</w:t>
      </w:r>
      <w:r w:rsidRPr="00A25A35">
        <w:rPr>
          <w:b/>
          <w:color w:val="auto"/>
          <w:sz w:val="20"/>
        </w:rPr>
        <w:t>kazatel „Krátkodobý finanční majetek</w:t>
      </w:r>
      <w:r w:rsidR="00B45D5B" w:rsidRPr="00A25A35">
        <w:rPr>
          <w:b/>
          <w:color w:val="auto"/>
          <w:sz w:val="20"/>
        </w:rPr>
        <w:t xml:space="preserve"> a peněžní prostředky“ odpovídá </w:t>
      </w:r>
      <w:r w:rsidRPr="00A25A35">
        <w:rPr>
          <w:b/>
          <w:color w:val="auto"/>
          <w:sz w:val="20"/>
        </w:rPr>
        <w:t>ukazatel</w:t>
      </w:r>
      <w:r w:rsidR="00B45D5B" w:rsidRPr="00A25A35">
        <w:rPr>
          <w:b/>
          <w:color w:val="auto"/>
          <w:sz w:val="20"/>
        </w:rPr>
        <w:t>i</w:t>
      </w:r>
      <w:r w:rsidRPr="00A25A35">
        <w:rPr>
          <w:b/>
          <w:color w:val="auto"/>
          <w:sz w:val="20"/>
        </w:rPr>
        <w:t xml:space="preserve"> „Krátkodobý finanční majetek</w:t>
      </w:r>
      <w:r w:rsidR="00B45D5B" w:rsidRPr="00A25A35">
        <w:rPr>
          <w:b/>
          <w:color w:val="auto"/>
          <w:sz w:val="20"/>
        </w:rPr>
        <w:t>“ v dřívějším pojetí a</w:t>
      </w:r>
      <w:r w:rsidRPr="00A25A35">
        <w:rPr>
          <w:b/>
          <w:color w:val="auto"/>
          <w:sz w:val="20"/>
        </w:rPr>
        <w:t xml:space="preserve"> </w:t>
      </w:r>
      <w:r w:rsidR="00B45D5B" w:rsidRPr="00A25A35">
        <w:rPr>
          <w:b/>
          <w:color w:val="auto"/>
          <w:sz w:val="20"/>
        </w:rPr>
        <w:t>uk</w:t>
      </w:r>
      <w:r w:rsidRPr="00A25A35">
        <w:rPr>
          <w:b/>
          <w:color w:val="auto"/>
          <w:sz w:val="20"/>
        </w:rPr>
        <w:t>azatel „</w:t>
      </w:r>
      <w:r w:rsidR="00B45D5B" w:rsidRPr="00A25A35">
        <w:rPr>
          <w:b/>
          <w:color w:val="auto"/>
          <w:sz w:val="20"/>
        </w:rPr>
        <w:t>Tržby z prodeje výrobků a služeb a za prodej zboží</w:t>
      </w:r>
      <w:r w:rsidRPr="00A25A35">
        <w:rPr>
          <w:b/>
          <w:color w:val="auto"/>
          <w:sz w:val="20"/>
        </w:rPr>
        <w:t>“</w:t>
      </w:r>
      <w:r w:rsidR="00F41E07" w:rsidRPr="00A25A35">
        <w:rPr>
          <w:b/>
          <w:color w:val="auto"/>
          <w:sz w:val="20"/>
        </w:rPr>
        <w:t xml:space="preserve"> je srovnatelný s ukazatelem</w:t>
      </w:r>
      <w:r w:rsidRPr="00A25A35">
        <w:rPr>
          <w:b/>
          <w:color w:val="auto"/>
          <w:sz w:val="20"/>
        </w:rPr>
        <w:t xml:space="preserve"> „</w:t>
      </w:r>
      <w:r w:rsidR="00B45D5B" w:rsidRPr="00A25A35">
        <w:rPr>
          <w:b/>
          <w:color w:val="auto"/>
          <w:sz w:val="20"/>
        </w:rPr>
        <w:t>Tržby za vlastní výkony a zboží</w:t>
      </w:r>
      <w:r w:rsidRPr="00A25A35">
        <w:rPr>
          <w:b/>
          <w:color w:val="auto"/>
          <w:sz w:val="20"/>
        </w:rPr>
        <w:t>“ v dřívějším pojetí.</w:t>
      </w:r>
      <w:r w:rsidR="00160A53">
        <w:rPr>
          <w:b/>
          <w:color w:val="auto"/>
          <w:sz w:val="20"/>
        </w:rPr>
        <w:t xml:space="preserve">                                                                            </w:t>
      </w:r>
    </w:p>
    <w:p w:rsidR="00160A53" w:rsidRDefault="00160A53" w:rsidP="00160A53">
      <w:pPr>
        <w:jc w:val="both"/>
        <w:rPr>
          <w:b/>
          <w:bCs/>
          <w:sz w:val="20"/>
        </w:rPr>
      </w:pPr>
    </w:p>
    <w:p w:rsidR="00160A53" w:rsidRPr="00A25A35" w:rsidRDefault="00160A53" w:rsidP="00B45D5B">
      <w:pPr>
        <w:jc w:val="both"/>
        <w:rPr>
          <w:b/>
          <w:bCs/>
          <w:color w:val="auto"/>
          <w:sz w:val="20"/>
        </w:rPr>
      </w:pPr>
    </w:p>
    <w:p w:rsidR="006E5FA1" w:rsidRDefault="006E5FA1">
      <w:pPr>
        <w:ind w:firstLine="720"/>
        <w:jc w:val="both"/>
        <w:rPr>
          <w:b/>
          <w:bCs/>
          <w:sz w:val="20"/>
        </w:rPr>
      </w:pPr>
    </w:p>
    <w:p w:rsidR="00160A53" w:rsidRDefault="00160A53">
      <w:pPr>
        <w:ind w:firstLine="720"/>
        <w:jc w:val="both"/>
        <w:rPr>
          <w:b/>
          <w:bCs/>
          <w:sz w:val="20"/>
        </w:rPr>
      </w:pPr>
    </w:p>
    <w:p w:rsidR="00160A53" w:rsidRDefault="00160A53">
      <w:pPr>
        <w:ind w:firstLine="720"/>
        <w:jc w:val="both"/>
        <w:rPr>
          <w:b/>
          <w:bCs/>
          <w:sz w:val="20"/>
        </w:rPr>
      </w:pPr>
    </w:p>
    <w:p w:rsidR="006E5FA1" w:rsidRDefault="006E5FA1">
      <w:pPr>
        <w:pStyle w:val="Nadpis8"/>
        <w:rPr>
          <w:i/>
          <w:iCs/>
          <w:sz w:val="26"/>
        </w:rPr>
      </w:pPr>
      <w:r>
        <w:rPr>
          <w:i/>
          <w:iCs/>
          <w:sz w:val="26"/>
        </w:rPr>
        <w:t>UPOZORNĚNÍ</w:t>
      </w: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pStyle w:val="Zkladntext"/>
        <w:spacing w:before="0"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  <w:t xml:space="preserve">Údaje uvedené v této publikaci reprezentují základní soubor všech </w:t>
      </w:r>
      <w:r>
        <w:rPr>
          <w:rFonts w:ascii="Arial" w:hAnsi="Arial" w:cs="Arial"/>
          <w:b/>
          <w:bCs/>
          <w:i/>
          <w:iCs/>
          <w:sz w:val="20"/>
          <w:lang w:val="cs-CZ"/>
        </w:rPr>
        <w:t>aktivních podniků</w:t>
      </w:r>
      <w:r>
        <w:rPr>
          <w:rFonts w:ascii="Arial" w:hAnsi="Arial" w:cs="Arial"/>
          <w:sz w:val="20"/>
          <w:lang w:val="cs-CZ"/>
        </w:rPr>
        <w:t>.</w:t>
      </w: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pStyle w:val="Zkladntextodsazen2"/>
      </w:pPr>
      <w:r>
        <w:t>Meziroční indexy jsou propočteny z běžných cen.</w:t>
      </w:r>
    </w:p>
    <w:p w:rsidR="006E5FA1" w:rsidRDefault="006E5FA1">
      <w:pPr>
        <w:pStyle w:val="Zkladntext"/>
        <w:spacing w:before="0" w:after="0"/>
        <w:rPr>
          <w:rFonts w:ascii="Arial" w:hAnsi="Arial" w:cs="Arial"/>
          <w:sz w:val="20"/>
          <w:lang w:val="cs-CZ"/>
        </w:rPr>
      </w:pPr>
    </w:p>
    <w:p w:rsidR="006E5FA1" w:rsidRDefault="006E5FA1">
      <w:pPr>
        <w:pStyle w:val="Zkladntext"/>
        <w:spacing w:before="0"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  <w:t>Peněžní údaje v tabulkách jsou uvedeny v mil. Kč. Propočty byly provedeny ze zdrojových dat, která byla v tis. Kč. Případný nesoulad mezi propočtenými či sumovanými údaji může být způsoben zaokrouhlením.</w:t>
      </w:r>
    </w:p>
    <w:p w:rsidR="006E5FA1" w:rsidRDefault="006E5FA1">
      <w:pPr>
        <w:pStyle w:val="Zkladntext"/>
        <w:spacing w:before="0" w:after="0"/>
        <w:rPr>
          <w:rFonts w:ascii="Arial" w:hAnsi="Arial" w:cs="Arial"/>
          <w:b/>
          <w:bCs/>
          <w:i/>
          <w:sz w:val="20"/>
          <w:lang w:val="cs-CZ"/>
        </w:rPr>
      </w:pPr>
    </w:p>
    <w:p w:rsidR="006E5FA1" w:rsidRDefault="006E5FA1">
      <w:pPr>
        <w:pStyle w:val="Nadpis3"/>
        <w:spacing w:before="0" w:after="0"/>
        <w:rPr>
          <w:rFonts w:ascii="Arial" w:hAnsi="Arial" w:cs="Arial"/>
          <w:b w:val="0"/>
          <w:bCs w:val="0"/>
          <w:i w:val="0"/>
          <w:iCs w:val="0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0"/>
          <w:lang w:val="cs-CZ"/>
        </w:rPr>
        <w:t>Pokud budou data, uvedená v této publikaci (a to i za ukazatele metodicky shodné), porovnávána s daty, zjišťovanými v jiných šetřeních s rozdílnou periodicitou - měsíční či čtvrtletní, nebudou shodná hodnotově. Rozdíly jsou způsobeny stavem registru k datu generování souboru pro šetření, tedy i různým výběrovým souborem, systémem dopočtů na základní soubor a v případě ročních dat i uzávěrkovými operacemi. Tyto operace nejsou zachyceny v měsíčních či čtvrtletních datech, protože účetním obdobím byl kalendářní rok.</w:t>
      </w:r>
    </w:p>
    <w:p w:rsidR="006E5FA1" w:rsidRDefault="006E5FA1"/>
    <w:p w:rsidR="003B4613" w:rsidRPr="00E57D28" w:rsidRDefault="006E5FA1" w:rsidP="003B4613">
      <w:pPr>
        <w:pStyle w:val="Nadpis3"/>
        <w:spacing w:before="0" w:after="0"/>
        <w:rPr>
          <w:rFonts w:ascii="Arial" w:hAnsi="Arial" w:cs="Arial"/>
          <w:b w:val="0"/>
          <w:bCs w:val="0"/>
          <w:i w:val="0"/>
          <w:iCs w:val="0"/>
          <w:sz w:val="20"/>
          <w:lang w:val="cs-CZ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lang w:val="cs-CZ"/>
        </w:rPr>
        <w:tab/>
      </w:r>
    </w:p>
    <w:p w:rsidR="006E5FA1" w:rsidRDefault="006E5FA1">
      <w:pPr>
        <w:pStyle w:val="Nadpis3"/>
        <w:spacing w:before="0" w:after="0"/>
        <w:rPr>
          <w:rFonts w:ascii="Arial" w:hAnsi="Arial" w:cs="Arial"/>
          <w:b w:val="0"/>
          <w:bCs w:val="0"/>
          <w:i w:val="0"/>
          <w:iCs w:val="0"/>
          <w:sz w:val="20"/>
          <w:lang w:val="cs-CZ"/>
        </w:rPr>
      </w:pPr>
    </w:p>
    <w:p w:rsidR="006E5FA1" w:rsidRDefault="006E5FA1"/>
    <w:sectPr w:rsidR="006E5FA1">
      <w:footerReference w:type="even" r:id="rId7"/>
      <w:pgSz w:w="11906" w:h="16838" w:code="9"/>
      <w:pgMar w:top="1418" w:right="1418" w:bottom="1418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9F" w:rsidRDefault="00CE1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E159F" w:rsidRDefault="00CE1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FA1" w:rsidRDefault="006E5FA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E5FA1" w:rsidRDefault="006E5FA1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9F" w:rsidRDefault="00CE1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E159F" w:rsidRDefault="00CE1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CF4"/>
    <w:multiLevelType w:val="hybridMultilevel"/>
    <w:tmpl w:val="8BA24AFE"/>
    <w:lvl w:ilvl="0" w:tplc="FFFFFFFF">
      <w:start w:val="1"/>
      <w:numFmt w:val="bullet"/>
      <w:lvlText w:val="—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42A3B0B"/>
    <w:multiLevelType w:val="singleLevel"/>
    <w:tmpl w:val="AA18101C"/>
    <w:lvl w:ilvl="0">
      <w:start w:val="3210"/>
      <w:numFmt w:val="decimal"/>
      <w:lvlText w:val="%1"/>
      <w:lvlJc w:val="left"/>
      <w:pPr>
        <w:tabs>
          <w:tab w:val="num" w:pos="2136"/>
        </w:tabs>
        <w:ind w:left="2136" w:hanging="7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5471F4"/>
    <w:multiLevelType w:val="hybridMultilevel"/>
    <w:tmpl w:val="FE6AECC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44B0FBE"/>
    <w:multiLevelType w:val="hybridMultilevel"/>
    <w:tmpl w:val="26D4E5F8"/>
    <w:lvl w:ilvl="0" w:tplc="FFFFFFFF">
      <w:start w:val="1"/>
      <w:numFmt w:val="bullet"/>
      <w:lvlText w:val="—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992A85"/>
    <w:multiLevelType w:val="hybridMultilevel"/>
    <w:tmpl w:val="ECDAF3F2"/>
    <w:lvl w:ilvl="0" w:tplc="FFFFFFFF">
      <w:start w:val="1"/>
      <w:numFmt w:val="bullet"/>
      <w:lvlText w:val="—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3F75903"/>
    <w:multiLevelType w:val="hybridMultilevel"/>
    <w:tmpl w:val="ED70886E"/>
    <w:lvl w:ilvl="0" w:tplc="FFFFFFFF">
      <w:start w:val="1"/>
      <w:numFmt w:val="bullet"/>
      <w:lvlText w:val="―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7963F7C"/>
    <w:multiLevelType w:val="hybridMultilevel"/>
    <w:tmpl w:val="5082DE1C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98844B2"/>
    <w:multiLevelType w:val="hybridMultilevel"/>
    <w:tmpl w:val="6EA677A8"/>
    <w:lvl w:ilvl="0" w:tplc="5B5E8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A1A4837"/>
    <w:multiLevelType w:val="singleLevel"/>
    <w:tmpl w:val="6A1E5E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E7C4ADE"/>
    <w:multiLevelType w:val="hybridMultilevel"/>
    <w:tmpl w:val="6CCA0D10"/>
    <w:lvl w:ilvl="0" w:tplc="447246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6EC0947"/>
    <w:multiLevelType w:val="hybridMultilevel"/>
    <w:tmpl w:val="576A0C44"/>
    <w:lvl w:ilvl="0" w:tplc="FFFFFFFF">
      <w:start w:val="1"/>
      <w:numFmt w:val="bullet"/>
      <w:pStyle w:val="odrka2"/>
      <w:lvlText w:val="―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76123C4"/>
    <w:multiLevelType w:val="singleLevel"/>
    <w:tmpl w:val="98FEDD94"/>
    <w:lvl w:ilvl="0">
      <w:start w:val="3230"/>
      <w:numFmt w:val="decimal"/>
      <w:lvlText w:val="%1"/>
      <w:lvlJc w:val="left"/>
      <w:pPr>
        <w:tabs>
          <w:tab w:val="num" w:pos="2136"/>
        </w:tabs>
        <w:ind w:left="2136" w:hanging="72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88E272D"/>
    <w:multiLevelType w:val="singleLevel"/>
    <w:tmpl w:val="40403CCE"/>
    <w:lvl w:ilvl="0">
      <w:start w:val="3130"/>
      <w:numFmt w:val="decimal"/>
      <w:lvlText w:val="%1"/>
      <w:lvlJc w:val="left"/>
      <w:pPr>
        <w:tabs>
          <w:tab w:val="num" w:pos="2136"/>
        </w:tabs>
        <w:ind w:left="2136" w:hanging="7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F1B7902"/>
    <w:multiLevelType w:val="hybridMultilevel"/>
    <w:tmpl w:val="5A20E780"/>
    <w:lvl w:ilvl="0" w:tplc="FFFFFFFF">
      <w:start w:val="1"/>
      <w:numFmt w:val="bullet"/>
      <w:lvlText w:val="―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65012E29"/>
    <w:multiLevelType w:val="hybridMultilevel"/>
    <w:tmpl w:val="1ADA8006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F9A2C44"/>
    <w:multiLevelType w:val="hybridMultilevel"/>
    <w:tmpl w:val="D3806E94"/>
    <w:lvl w:ilvl="0" w:tplc="352E9C5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76AB57F8"/>
    <w:multiLevelType w:val="hybridMultilevel"/>
    <w:tmpl w:val="B8005E3E"/>
    <w:lvl w:ilvl="0" w:tplc="FFFFFFFF">
      <w:start w:val="1"/>
      <w:numFmt w:val="bullet"/>
      <w:lvlText w:val="—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7E97337E"/>
    <w:multiLevelType w:val="singleLevel"/>
    <w:tmpl w:val="4EA0C7FC"/>
    <w:lvl w:ilvl="0">
      <w:start w:val="3220"/>
      <w:numFmt w:val="decimal"/>
      <w:lvlText w:val="%1"/>
      <w:lvlJc w:val="left"/>
      <w:pPr>
        <w:tabs>
          <w:tab w:val="num" w:pos="2136"/>
        </w:tabs>
        <w:ind w:left="2136" w:hanging="720"/>
      </w:pPr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6"/>
  </w:num>
  <w:num w:numId="5">
    <w:abstractNumId w:val="16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12"/>
  </w:num>
  <w:num w:numId="13">
    <w:abstractNumId w:val="1"/>
  </w:num>
  <w:num w:numId="14">
    <w:abstractNumId w:val="17"/>
  </w:num>
  <w:num w:numId="15">
    <w:abstractNumId w:val="11"/>
  </w:num>
  <w:num w:numId="16">
    <w:abstractNumId w:val="7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13"/>
    <w:rsid w:val="0006539B"/>
    <w:rsid w:val="000A184C"/>
    <w:rsid w:val="000D4367"/>
    <w:rsid w:val="00106ECE"/>
    <w:rsid w:val="001444CB"/>
    <w:rsid w:val="00160A53"/>
    <w:rsid w:val="00171AD2"/>
    <w:rsid w:val="001E1E96"/>
    <w:rsid w:val="00231775"/>
    <w:rsid w:val="00241FF4"/>
    <w:rsid w:val="002E251D"/>
    <w:rsid w:val="002F2F56"/>
    <w:rsid w:val="003B4613"/>
    <w:rsid w:val="003F2D6D"/>
    <w:rsid w:val="0058185E"/>
    <w:rsid w:val="005D7FAC"/>
    <w:rsid w:val="005F300D"/>
    <w:rsid w:val="00694C8A"/>
    <w:rsid w:val="006A4C6E"/>
    <w:rsid w:val="006C4135"/>
    <w:rsid w:val="006D1B92"/>
    <w:rsid w:val="006E5FA1"/>
    <w:rsid w:val="007B1AF0"/>
    <w:rsid w:val="008A308F"/>
    <w:rsid w:val="008C489A"/>
    <w:rsid w:val="008E219F"/>
    <w:rsid w:val="009152A8"/>
    <w:rsid w:val="009349AF"/>
    <w:rsid w:val="00953B60"/>
    <w:rsid w:val="009632DB"/>
    <w:rsid w:val="0098589D"/>
    <w:rsid w:val="0099028E"/>
    <w:rsid w:val="009C06A2"/>
    <w:rsid w:val="009D438E"/>
    <w:rsid w:val="00A05922"/>
    <w:rsid w:val="00A25A35"/>
    <w:rsid w:val="00A31517"/>
    <w:rsid w:val="00A35FDF"/>
    <w:rsid w:val="00A418E6"/>
    <w:rsid w:val="00A449CF"/>
    <w:rsid w:val="00A65762"/>
    <w:rsid w:val="00AC48ED"/>
    <w:rsid w:val="00AC7C73"/>
    <w:rsid w:val="00B303C1"/>
    <w:rsid w:val="00B45D5B"/>
    <w:rsid w:val="00B72514"/>
    <w:rsid w:val="00C135D9"/>
    <w:rsid w:val="00C42F0E"/>
    <w:rsid w:val="00CE159F"/>
    <w:rsid w:val="00D155D3"/>
    <w:rsid w:val="00DF30C3"/>
    <w:rsid w:val="00E160EA"/>
    <w:rsid w:val="00E275D9"/>
    <w:rsid w:val="00E348AA"/>
    <w:rsid w:val="00E57185"/>
    <w:rsid w:val="00E94344"/>
    <w:rsid w:val="00F154D1"/>
    <w:rsid w:val="00F41E07"/>
    <w:rsid w:val="00F66392"/>
    <w:rsid w:val="00F67053"/>
    <w:rsid w:val="00F7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381108-999E-45F9-B7AD-DB892AC8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 w:cs="Times New Roman"/>
      <w:b/>
      <w:bCs/>
      <w:color w:val="auto"/>
      <w:szCs w:val="20"/>
      <w:lang w:val="en-GB"/>
    </w:rPr>
  </w:style>
  <w:style w:type="paragraph" w:styleId="Nadpis3">
    <w:name w:val="heading 3"/>
    <w:basedOn w:val="Normln"/>
    <w:next w:val="Normln"/>
    <w:qFormat/>
    <w:pPr>
      <w:keepNext/>
      <w:tabs>
        <w:tab w:val="left" w:pos="709"/>
        <w:tab w:val="left" w:pos="1418"/>
        <w:tab w:val="left" w:pos="2126"/>
        <w:tab w:val="left" w:pos="2835"/>
      </w:tabs>
      <w:spacing w:before="60" w:after="60"/>
      <w:jc w:val="both"/>
      <w:outlineLvl w:val="2"/>
    </w:pPr>
    <w:rPr>
      <w:rFonts w:ascii="Times New Roman" w:hAnsi="Times New Roman" w:cs="Times New Roman"/>
      <w:b/>
      <w:bCs/>
      <w:i/>
      <w:iCs/>
      <w:color w:val="auto"/>
      <w:szCs w:val="20"/>
      <w:lang w:val="en-GB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0"/>
    </w:rPr>
  </w:style>
  <w:style w:type="paragraph" w:styleId="Nadpis5">
    <w:name w:val="heading 5"/>
    <w:basedOn w:val="Normln"/>
    <w:next w:val="Normln"/>
    <w:qFormat/>
    <w:pPr>
      <w:keepNext/>
      <w:tabs>
        <w:tab w:val="left" w:pos="709"/>
        <w:tab w:val="left" w:pos="1418"/>
        <w:tab w:val="left" w:pos="2126"/>
        <w:tab w:val="left" w:pos="2835"/>
      </w:tabs>
      <w:spacing w:before="60" w:after="60"/>
      <w:ind w:left="2832" w:hanging="2832"/>
      <w:jc w:val="both"/>
      <w:outlineLvl w:val="4"/>
    </w:pPr>
    <w:rPr>
      <w:rFonts w:ascii="Times New Roman" w:hAnsi="Times New Roman" w:cs="Times New Roman"/>
      <w:i/>
      <w:iCs/>
      <w:color w:val="auto"/>
      <w:szCs w:val="20"/>
      <w:u w:val="single"/>
      <w:lang w:val="en-GB"/>
    </w:rPr>
  </w:style>
  <w:style w:type="paragraph" w:styleId="Nadpis6">
    <w:name w:val="heading 6"/>
    <w:basedOn w:val="Normln"/>
    <w:next w:val="Normln"/>
    <w:qFormat/>
    <w:pPr>
      <w:keepNext/>
      <w:tabs>
        <w:tab w:val="left" w:pos="709"/>
        <w:tab w:val="left" w:pos="1418"/>
        <w:tab w:val="left" w:pos="2126"/>
        <w:tab w:val="left" w:pos="2835"/>
      </w:tabs>
      <w:spacing w:before="60" w:after="60"/>
      <w:ind w:left="2832" w:hanging="2832"/>
      <w:jc w:val="both"/>
      <w:outlineLvl w:val="5"/>
    </w:pPr>
    <w:rPr>
      <w:rFonts w:ascii="Times New Roman" w:hAnsi="Times New Roman" w:cs="Times New Roman"/>
      <w:b/>
      <w:bCs/>
      <w:i/>
      <w:iCs/>
      <w:color w:val="auto"/>
      <w:szCs w:val="20"/>
      <w:lang w:val="en-GB"/>
    </w:rPr>
  </w:style>
  <w:style w:type="paragraph" w:styleId="Nadpis7">
    <w:name w:val="heading 7"/>
    <w:basedOn w:val="Normln"/>
    <w:next w:val="Normln"/>
    <w:qFormat/>
    <w:pPr>
      <w:keepNext/>
      <w:tabs>
        <w:tab w:val="left" w:pos="709"/>
        <w:tab w:val="left" w:pos="1418"/>
        <w:tab w:val="left" w:pos="2126"/>
        <w:tab w:val="left" w:pos="2835"/>
      </w:tabs>
      <w:spacing w:before="60" w:after="60"/>
      <w:jc w:val="both"/>
      <w:outlineLvl w:val="6"/>
    </w:pPr>
    <w:rPr>
      <w:b/>
      <w:color w:val="auto"/>
      <w:szCs w:val="20"/>
      <w:lang w:val="en-GB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08"/>
      <w:outlineLvl w:val="8"/>
    </w:pPr>
    <w:rPr>
      <w:b/>
      <w:i/>
      <w:cap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customStyle="1" w:styleId="BodyTextIndent">
    <w:name w:val="Body Text Indent"/>
    <w:basedOn w:val="Normln"/>
    <w:pPr>
      <w:ind w:left="705"/>
    </w:pPr>
    <w:rPr>
      <w:b/>
      <w:bCs/>
      <w:sz w:val="20"/>
    </w:rPr>
  </w:style>
  <w:style w:type="paragraph" w:customStyle="1" w:styleId="odrka2">
    <w:name w:val="odrážka 2"/>
    <w:aliases w:val="5"/>
    <w:basedOn w:val="Zkladntext"/>
    <w:next w:val="Zkladntext"/>
    <w:pPr>
      <w:numPr>
        <w:numId w:val="3"/>
      </w:numPr>
      <w:tabs>
        <w:tab w:val="clear" w:pos="709"/>
        <w:tab w:val="clear" w:pos="1418"/>
        <w:tab w:val="clear" w:pos="2835"/>
      </w:tabs>
      <w:spacing w:before="0" w:after="0" w:line="360" w:lineRule="auto"/>
      <w:jc w:val="left"/>
    </w:pPr>
  </w:style>
  <w:style w:type="paragraph" w:styleId="Zkladntext">
    <w:name w:val="Body Text"/>
    <w:basedOn w:val="Normln"/>
    <w:semiHidden/>
    <w:pPr>
      <w:tabs>
        <w:tab w:val="left" w:pos="709"/>
        <w:tab w:val="left" w:pos="1418"/>
        <w:tab w:val="left" w:pos="2126"/>
        <w:tab w:val="left" w:pos="2835"/>
      </w:tabs>
      <w:spacing w:before="60" w:after="120"/>
      <w:jc w:val="both"/>
    </w:pPr>
    <w:rPr>
      <w:rFonts w:ascii="Times New Roman" w:hAnsi="Times New Roman" w:cs="Times New Roman"/>
      <w:color w:val="auto"/>
      <w:szCs w:val="20"/>
      <w:lang w:val="en-GB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Cs w:val="20"/>
    </w:rPr>
  </w:style>
  <w:style w:type="paragraph" w:customStyle="1" w:styleId="Normln-A">
    <w:name w:val="Normální - A"/>
    <w:basedOn w:val="Normln"/>
    <w:pPr>
      <w:tabs>
        <w:tab w:val="left" w:pos="709"/>
        <w:tab w:val="left" w:pos="1418"/>
        <w:tab w:val="left" w:pos="2126"/>
        <w:tab w:val="left" w:pos="2835"/>
      </w:tabs>
      <w:spacing w:before="60" w:after="60"/>
      <w:jc w:val="both"/>
    </w:pPr>
    <w:rPr>
      <w:rFonts w:ascii="Times New Roman" w:hAnsi="Times New Roman" w:cs="Times New Roman"/>
      <w:color w:val="auto"/>
      <w:szCs w:val="20"/>
      <w:lang w:val="en-GB"/>
    </w:rPr>
  </w:style>
  <w:style w:type="paragraph" w:styleId="Zkladntextodsazen3">
    <w:name w:val="Body Text Indent 3"/>
    <w:basedOn w:val="Normln"/>
    <w:semiHidden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708" w:hanging="708"/>
      <w:jc w:val="both"/>
    </w:pPr>
    <w:rPr>
      <w:noProof/>
      <w:color w:val="auto"/>
    </w:rPr>
  </w:style>
  <w:style w:type="paragraph" w:styleId="Zkladntextodsazen">
    <w:name w:val="Body Text Indent"/>
    <w:basedOn w:val="Normln"/>
    <w:semiHidden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noProof/>
      <w:sz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semiHidden/>
    <w:rPr>
      <w:rFonts w:ascii="Times New Roman" w:hAnsi="Times New Roman" w:cs="Times New Roman"/>
      <w:sz w:val="14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0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1">
    <w:name w:val="toc 1"/>
    <w:basedOn w:val="Normln"/>
    <w:next w:val="Normln"/>
    <w:autoRedefine/>
    <w:semiHidden/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Hypertextovodkaz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styleId="Zkladntext3">
    <w:name w:val="Body Text 3"/>
    <w:basedOn w:val="Normln"/>
    <w:semiHidden/>
    <w:pPr>
      <w:autoSpaceDE w:val="0"/>
      <w:autoSpaceDN w:val="0"/>
      <w:adjustRightInd w:val="0"/>
    </w:pPr>
    <w:rPr>
      <w:color w:val="auto"/>
      <w:sz w:val="20"/>
    </w:rPr>
  </w:style>
  <w:style w:type="paragraph" w:customStyle="1" w:styleId="BalloonText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6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C06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1605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</vt:lpstr>
    </vt:vector>
  </TitlesOfParts>
  <Company>ČSÚ</Company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</dc:title>
  <dc:subject/>
  <dc:creator>ČSÚ</dc:creator>
  <cp:keywords/>
  <cp:lastModifiedBy>Ing. Marta Ortová</cp:lastModifiedBy>
  <cp:revision>2</cp:revision>
  <cp:lastPrinted>2018-08-27T10:20:00Z</cp:lastPrinted>
  <dcterms:created xsi:type="dcterms:W3CDTF">2021-06-14T11:47:00Z</dcterms:created>
  <dcterms:modified xsi:type="dcterms:W3CDTF">2021-06-14T11:47:00Z</dcterms:modified>
</cp:coreProperties>
</file>