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29" w:type="dxa"/>
        <w:tblInd w:w="55" w:type="dxa"/>
        <w:tblBorders>
          <w:top w:val="single" w:sz="4" w:space="0" w:color="943634"/>
          <w:bottom w:val="single" w:sz="4" w:space="0" w:color="943634"/>
          <w:insideH w:val="single" w:sz="4" w:space="0" w:color="943634"/>
        </w:tblBorders>
        <w:tblLayout w:type="fixed"/>
        <w:tblCellMar>
          <w:top w:w="113" w:type="dxa"/>
          <w:left w:w="70" w:type="dxa"/>
          <w:bottom w:w="113" w:type="dxa"/>
          <w:right w:w="70" w:type="dxa"/>
        </w:tblCellMar>
        <w:tblLook w:val="04A0" w:firstRow="1" w:lastRow="0" w:firstColumn="1" w:lastColumn="0" w:noHBand="0" w:noVBand="1"/>
      </w:tblPr>
      <w:tblGrid>
        <w:gridCol w:w="2425"/>
        <w:gridCol w:w="6804"/>
      </w:tblGrid>
      <w:tr w:rsidR="00BA121F" w:rsidRPr="00BA121F" w:rsidTr="00906650">
        <w:trPr>
          <w:trHeight w:val="300"/>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0" w:name="_Absolvent"/>
            <w:bookmarkStart w:id="1" w:name="_Toc458510841"/>
            <w:bookmarkStart w:id="2" w:name="_GoBack"/>
            <w:bookmarkEnd w:id="0"/>
            <w:bookmarkEnd w:id="2"/>
            <w:r w:rsidRPr="00BA121F">
              <w:rPr>
                <w:b/>
                <w:bCs/>
                <w:iCs/>
                <w:color w:val="BC091B"/>
              </w:rPr>
              <w:t>Absolvent</w:t>
            </w:r>
            <w:bookmarkEnd w:id="1"/>
          </w:p>
        </w:tc>
        <w:tc>
          <w:tcPr>
            <w:tcW w:w="6804" w:type="dxa"/>
            <w:shd w:val="clear" w:color="auto" w:fill="auto"/>
            <w:vAlign w:val="center"/>
            <w:hideMark/>
          </w:tcPr>
          <w:p w:rsidR="00BA121F" w:rsidRPr="00BA121F" w:rsidRDefault="00BA121F" w:rsidP="00BA121F">
            <w:pPr>
              <w:keepNext/>
              <w:spacing w:after="0" w:line="240" w:lineRule="auto"/>
              <w:jc w:val="both"/>
              <w:rPr>
                <w:rFonts w:cs="Arial"/>
                <w:szCs w:val="20"/>
              </w:rPr>
            </w:pPr>
            <w:r w:rsidRPr="00BA121F">
              <w:rPr>
                <w:rFonts w:cs="Arial"/>
                <w:szCs w:val="20"/>
              </w:rPr>
              <w:t>Absolventem je osoba, která úspěšně dokončila, tj. absolvovala, určitý stupeň školního vzdělávání.</w:t>
            </w:r>
          </w:p>
          <w:p w:rsidR="00BA121F" w:rsidRPr="00BA121F" w:rsidRDefault="00BA121F" w:rsidP="00BA121F">
            <w:pPr>
              <w:keepNext/>
              <w:spacing w:after="0" w:line="240" w:lineRule="auto"/>
              <w:jc w:val="both"/>
              <w:rPr>
                <w:rFonts w:cs="Arial"/>
                <w:szCs w:val="20"/>
              </w:rPr>
            </w:pPr>
            <w:r w:rsidRPr="00BA121F">
              <w:rPr>
                <w:rFonts w:cs="Arial"/>
                <w:szCs w:val="20"/>
              </w:rPr>
              <w:t xml:space="preserve">Počet absolventů je v tabulkách uváděn za aktuální či předchozí </w:t>
            </w:r>
            <w:hyperlink w:anchor="_Školní_rok" w:history="1">
              <w:r w:rsidRPr="00BA121F">
                <w:rPr>
                  <w:rFonts w:cs="Arial"/>
                  <w:color w:val="0000FF"/>
                  <w:szCs w:val="20"/>
                  <w:u w:val="single"/>
                </w:rPr>
                <w:t>školní</w:t>
              </w:r>
            </w:hyperlink>
            <w:r w:rsidRPr="00BA121F">
              <w:rPr>
                <w:rFonts w:cs="Arial"/>
                <w:szCs w:val="20"/>
              </w:rPr>
              <w:t xml:space="preserve"> či </w:t>
            </w:r>
            <w:hyperlink w:anchor="_Rok" w:history="1">
              <w:r w:rsidRPr="00BA121F">
                <w:rPr>
                  <w:rFonts w:cs="Arial"/>
                  <w:color w:val="0000FF"/>
                  <w:szCs w:val="20"/>
                  <w:u w:val="single"/>
                </w:rPr>
                <w:t>kalendářní rok</w:t>
              </w:r>
            </w:hyperlink>
            <w:r w:rsidRPr="00BA121F">
              <w:rPr>
                <w:rFonts w:cs="Arial"/>
                <w:szCs w:val="20"/>
              </w:rPr>
              <w:t xml:space="preserve"> a je součtem žáků či studentů, kteří absolvovali vzdělávání buď v období mezi 1. září až 31. srpnem (pokud se jedná o jiné vzdělávání než vysokoškolské), nebo v průběhu jednoho kalendářního roku (jedná-li se o vzdělávání vysokoškolské).    </w:t>
            </w:r>
          </w:p>
          <w:p w:rsidR="00BA121F" w:rsidRPr="00BA121F" w:rsidRDefault="00BA121F" w:rsidP="00BA121F">
            <w:pPr>
              <w:keepNext/>
              <w:spacing w:after="0" w:line="240" w:lineRule="auto"/>
              <w:jc w:val="both"/>
              <w:rPr>
                <w:rFonts w:cs="Arial"/>
                <w:iCs/>
                <w:szCs w:val="20"/>
              </w:rPr>
            </w:pPr>
            <w:r w:rsidRPr="00BA121F">
              <w:rPr>
                <w:rFonts w:cs="Arial"/>
                <w:iCs/>
                <w:szCs w:val="20"/>
              </w:rPr>
              <w:t xml:space="preserve">Do celkového počtu absolventů se zahrnují všichni absolventi bez ohledu na to, zda již někdy v minulosti nějaké vzdělávání té samé úrovně absolvovali. </w:t>
            </w:r>
          </w:p>
          <w:p w:rsidR="00BA121F" w:rsidRPr="00BA121F" w:rsidRDefault="00BA121F" w:rsidP="00BA121F">
            <w:pPr>
              <w:keepNext/>
              <w:spacing w:after="0" w:line="240" w:lineRule="auto"/>
              <w:jc w:val="both"/>
              <w:rPr>
                <w:rFonts w:cs="Arial"/>
                <w:iCs/>
                <w:szCs w:val="20"/>
              </w:rPr>
            </w:pPr>
            <w:r w:rsidRPr="00BA121F">
              <w:rPr>
                <w:rFonts w:cs="Arial"/>
                <w:iCs/>
                <w:szCs w:val="20"/>
              </w:rPr>
              <w:t>Jeden absolvent může v tom samém roce absolvovat jeden i více studijních programů, oborů studia, na různých vysokých školách, fakultách apod. Celkový počet absolventů tedy nemusí souhlasit se součtem počtu absolventů v jednotlivých tříděních.</w:t>
            </w:r>
          </w:p>
        </w:tc>
      </w:tr>
      <w:tr w:rsidR="00BA121F" w:rsidRPr="00BA121F" w:rsidTr="00906650">
        <w:trPr>
          <w:trHeight w:val="759"/>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3" w:name="_Toc458510842"/>
            <w:r w:rsidRPr="00BA121F">
              <w:rPr>
                <w:b/>
                <w:bCs/>
                <w:iCs/>
                <w:color w:val="BC091B"/>
              </w:rPr>
              <w:t>Bakalářský studijní program</w:t>
            </w:r>
            <w:bookmarkEnd w:id="3"/>
          </w:p>
        </w:tc>
        <w:tc>
          <w:tcPr>
            <w:tcW w:w="6804" w:type="dxa"/>
            <w:shd w:val="clear" w:color="auto" w:fill="auto"/>
            <w:vAlign w:val="center"/>
            <w:hideMark/>
          </w:tcPr>
          <w:p w:rsidR="00BA121F" w:rsidRPr="00BA121F" w:rsidRDefault="00BA121F" w:rsidP="00BA121F">
            <w:pPr>
              <w:spacing w:after="0" w:line="240" w:lineRule="auto"/>
              <w:jc w:val="both"/>
              <w:rPr>
                <w:rFonts w:cs="Arial"/>
                <w:iCs/>
                <w:szCs w:val="20"/>
              </w:rPr>
            </w:pPr>
            <w:r w:rsidRPr="00BA121F">
              <w:rPr>
                <w:rFonts w:cs="Arial"/>
                <w:iCs/>
                <w:szCs w:val="20"/>
              </w:rPr>
              <w:t>Bakalářský studijní program je zaměřen na přípravu k výkonu povolání a ke studiu v </w:t>
            </w:r>
            <w:hyperlink w:anchor="_Magisterský_studijní_program" w:history="1">
              <w:r w:rsidRPr="00BA121F">
                <w:rPr>
                  <w:rFonts w:cs="Arial"/>
                  <w:iCs/>
                  <w:color w:val="0000FF"/>
                  <w:szCs w:val="20"/>
                  <w:u w:val="single"/>
                </w:rPr>
                <w:t>magisterském studijním programu</w:t>
              </w:r>
            </w:hyperlink>
            <w:r w:rsidRPr="00BA121F">
              <w:rPr>
                <w:rFonts w:cs="Arial"/>
                <w:iCs/>
                <w:szCs w:val="20"/>
              </w:rPr>
              <w:t>. Standardní doba studia včetně praxe je nejméně tři a nejvýše čtyři roky. Studium se řádně ukončuje státní závěrečnou zkouškou, jejíž součástí je zpravidla obhajoba bakalářské práce. Absolventům studia v bakalářských studijních programech se uděluje akademický titul „bakalář“ (ve zkratce „Bc.“ uváděné před jménem).</w:t>
            </w:r>
          </w:p>
          <w:p w:rsidR="00BA121F" w:rsidRPr="00BA121F" w:rsidRDefault="00BA121F" w:rsidP="00BA121F">
            <w:pPr>
              <w:spacing w:after="0" w:line="240" w:lineRule="auto"/>
              <w:jc w:val="both"/>
              <w:rPr>
                <w:rFonts w:cs="Arial"/>
                <w:szCs w:val="20"/>
              </w:rPr>
            </w:pPr>
            <w:r w:rsidRPr="00BA121F">
              <w:rPr>
                <w:rFonts w:cs="Arial"/>
                <w:szCs w:val="20"/>
              </w:rPr>
              <w:t xml:space="preserve">Více viz </w:t>
            </w:r>
            <w:hyperlink r:id="rId8" w:history="1">
              <w:r w:rsidRPr="00BA121F">
                <w:rPr>
                  <w:rFonts w:cs="Arial"/>
                  <w:color w:val="0000FF"/>
                  <w:szCs w:val="20"/>
                  <w:u w:val="single"/>
                </w:rPr>
                <w:t>Zákon o vysokých školách</w:t>
              </w:r>
            </w:hyperlink>
            <w:r w:rsidRPr="00BA121F">
              <w:t xml:space="preserve"> </w:t>
            </w:r>
            <w:r w:rsidRPr="00BA121F">
              <w:rPr>
                <w:rFonts w:cs="Arial"/>
                <w:szCs w:val="20"/>
              </w:rPr>
              <w:t>(č. 111/1998 Sb., § 45).</w:t>
            </w:r>
          </w:p>
        </w:tc>
      </w:tr>
      <w:tr w:rsidR="00BA121F" w:rsidRPr="00BA121F" w:rsidTr="00906650">
        <w:trPr>
          <w:trHeight w:val="759"/>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4" w:name="_Toc458510843"/>
            <w:r w:rsidRPr="00BA121F">
              <w:rPr>
                <w:b/>
                <w:bCs/>
                <w:iCs/>
                <w:color w:val="BC091B"/>
              </w:rPr>
              <w:t>Běžná škola</w:t>
            </w:r>
            <w:bookmarkEnd w:id="4"/>
          </w:p>
        </w:tc>
        <w:tc>
          <w:tcPr>
            <w:tcW w:w="6804" w:type="dxa"/>
            <w:shd w:val="clear" w:color="auto" w:fill="auto"/>
            <w:vAlign w:val="center"/>
            <w:hideMark/>
          </w:tcPr>
          <w:p w:rsidR="00BA121F" w:rsidRPr="00BA121F" w:rsidRDefault="00BA121F" w:rsidP="00BA121F">
            <w:pPr>
              <w:keepNext/>
              <w:spacing w:after="0" w:line="240" w:lineRule="auto"/>
              <w:jc w:val="both"/>
              <w:rPr>
                <w:rFonts w:cs="Arial"/>
                <w:szCs w:val="20"/>
              </w:rPr>
            </w:pPr>
            <w:r w:rsidRPr="00BA121F">
              <w:rPr>
                <w:rFonts w:cs="Arial"/>
                <w:szCs w:val="20"/>
              </w:rPr>
              <w:t xml:space="preserve">Běžné třídy nejsou primárně určeny pro žáky se </w:t>
            </w:r>
            <w:hyperlink w:anchor="_SVP_(speciální_vzdělávací" w:history="1">
              <w:r w:rsidRPr="00BA121F">
                <w:rPr>
                  <w:rFonts w:cs="Arial"/>
                  <w:color w:val="0000FF"/>
                  <w:szCs w:val="20"/>
                  <w:u w:val="single"/>
                </w:rPr>
                <w:t>speciálními vzdělávacími potřebami (</w:t>
              </w:r>
              <w:r w:rsidRPr="00BA121F">
                <w:rPr>
                  <w:rFonts w:eastAsia="MS Gothic" w:cs="Arial"/>
                  <w:color w:val="0000FF"/>
                  <w:szCs w:val="20"/>
                  <w:u w:val="single"/>
                </w:rPr>
                <w:t>SVP</w:t>
              </w:r>
              <w:r w:rsidRPr="00BA121F">
                <w:rPr>
                  <w:color w:val="0000FF"/>
                  <w:u w:val="single"/>
                </w:rPr>
                <w:t>)</w:t>
              </w:r>
            </w:hyperlink>
            <w:r w:rsidRPr="00BA121F">
              <w:rPr>
                <w:rFonts w:cs="Arial"/>
                <w:szCs w:val="20"/>
              </w:rPr>
              <w:t xml:space="preserve">, může v nich však docházet k individuální integraci těchto žáků. Třídy zřízené podle § 16, odst. 9 </w:t>
            </w:r>
            <w:hyperlink r:id="rId9" w:history="1">
              <w:r w:rsidRPr="00BA121F">
                <w:rPr>
                  <w:rFonts w:eastAsia="MS Gothic" w:cs="Arial"/>
                  <w:color w:val="0000FF"/>
                  <w:szCs w:val="20"/>
                  <w:u w:val="single"/>
                </w:rPr>
                <w:t>Školského zákona</w:t>
              </w:r>
            </w:hyperlink>
            <w:r w:rsidRPr="00BA121F">
              <w:rPr>
                <w:rFonts w:cs="Arial"/>
                <w:szCs w:val="20"/>
              </w:rPr>
              <w:t xml:space="preserve"> (č. 561/2004 Sb.) se pro potřeby výkaznictví označují jako „</w:t>
            </w:r>
            <w:hyperlink w:anchor="_Speciální_třída" w:history="1">
              <w:r w:rsidRPr="00BA121F">
                <w:rPr>
                  <w:rFonts w:eastAsia="MS Gothic" w:cs="Arial"/>
                  <w:color w:val="0000FF"/>
                  <w:szCs w:val="20"/>
                  <w:u w:val="single"/>
                </w:rPr>
                <w:t>speciální třídy</w:t>
              </w:r>
            </w:hyperlink>
            <w:r w:rsidRPr="00BA121F">
              <w:rPr>
                <w:rFonts w:cs="Arial"/>
                <w:szCs w:val="20"/>
              </w:rPr>
              <w:t>“. Ostatní třídy se označují jako „běžné třídy“.</w:t>
            </w:r>
          </w:p>
        </w:tc>
      </w:tr>
      <w:tr w:rsidR="00BA121F" w:rsidRPr="00BA121F" w:rsidTr="00906650">
        <w:trPr>
          <w:trHeight w:val="759"/>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5" w:name="_Toc458510844"/>
            <w:r w:rsidRPr="00BA121F">
              <w:rPr>
                <w:b/>
                <w:bCs/>
                <w:iCs/>
                <w:color w:val="BC091B"/>
              </w:rPr>
              <w:t>Běžná třída</w:t>
            </w:r>
            <w:bookmarkEnd w:id="5"/>
          </w:p>
        </w:tc>
        <w:tc>
          <w:tcPr>
            <w:tcW w:w="6804" w:type="dxa"/>
            <w:shd w:val="clear" w:color="auto" w:fill="auto"/>
            <w:vAlign w:val="center"/>
            <w:hideMark/>
          </w:tcPr>
          <w:p w:rsidR="00BA121F" w:rsidRPr="00BA121F" w:rsidRDefault="00BA121F" w:rsidP="00BA121F">
            <w:pPr>
              <w:keepNext/>
              <w:spacing w:after="0" w:line="240" w:lineRule="auto"/>
              <w:jc w:val="both"/>
              <w:rPr>
                <w:rFonts w:cs="Arial"/>
                <w:szCs w:val="20"/>
              </w:rPr>
            </w:pPr>
            <w:r w:rsidRPr="00BA121F">
              <w:rPr>
                <w:rFonts w:cs="Arial"/>
                <w:szCs w:val="20"/>
              </w:rPr>
              <w:t xml:space="preserve">Běžné třídy nejsou primárně určeny pro žáky se </w:t>
            </w:r>
            <w:hyperlink w:anchor="_SVP_(speciální_vzdělávací" w:history="1">
              <w:r w:rsidRPr="00BA121F">
                <w:rPr>
                  <w:rFonts w:cs="Arial"/>
                  <w:color w:val="0000FF"/>
                  <w:szCs w:val="20"/>
                  <w:u w:val="single"/>
                </w:rPr>
                <w:t>speciálními vzdělávacími potřebami (</w:t>
              </w:r>
              <w:r w:rsidRPr="00BA121F">
                <w:rPr>
                  <w:rFonts w:eastAsia="MS Gothic" w:cs="Arial"/>
                  <w:color w:val="0000FF"/>
                  <w:szCs w:val="20"/>
                  <w:u w:val="single"/>
                </w:rPr>
                <w:t>SVP</w:t>
              </w:r>
              <w:r w:rsidRPr="00BA121F">
                <w:rPr>
                  <w:color w:val="0000FF"/>
                  <w:u w:val="single"/>
                </w:rPr>
                <w:t>)</w:t>
              </w:r>
            </w:hyperlink>
            <w:r w:rsidRPr="00BA121F">
              <w:rPr>
                <w:rFonts w:cs="Arial"/>
                <w:szCs w:val="20"/>
              </w:rPr>
              <w:t xml:space="preserve">, může v nich však docházet k individuální integraci těchto žáků. Třídy zřízené podle § 16, odst. 9 </w:t>
            </w:r>
            <w:hyperlink r:id="rId10" w:history="1">
              <w:r w:rsidRPr="00BA121F">
                <w:rPr>
                  <w:rFonts w:eastAsia="MS Gothic" w:cs="Arial"/>
                  <w:color w:val="0000FF"/>
                  <w:szCs w:val="20"/>
                  <w:u w:val="single"/>
                </w:rPr>
                <w:t>Školského zákona</w:t>
              </w:r>
            </w:hyperlink>
            <w:r w:rsidRPr="00BA121F">
              <w:rPr>
                <w:rFonts w:cs="Arial"/>
                <w:szCs w:val="20"/>
              </w:rPr>
              <w:t xml:space="preserve"> (č. 561/2004 Sb.) se pro potřeby výkaznictví označují jako „</w:t>
            </w:r>
            <w:hyperlink w:anchor="_Speciální_třída" w:history="1">
              <w:r w:rsidRPr="00BA121F">
                <w:rPr>
                  <w:rFonts w:eastAsia="MS Gothic" w:cs="Arial"/>
                  <w:color w:val="0000FF"/>
                  <w:szCs w:val="20"/>
                  <w:u w:val="single"/>
                </w:rPr>
                <w:t>speciální třídy</w:t>
              </w:r>
            </w:hyperlink>
            <w:r w:rsidRPr="00BA121F">
              <w:rPr>
                <w:rFonts w:cs="Arial"/>
                <w:szCs w:val="20"/>
              </w:rPr>
              <w:t>“. Ostatní třídy se označují jako „běžné třídy“.</w:t>
            </w:r>
          </w:p>
        </w:tc>
      </w:tr>
      <w:tr w:rsidR="00BA121F" w:rsidRPr="00BA121F" w:rsidTr="00906650">
        <w:trPr>
          <w:trHeight w:val="759"/>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6" w:name="_Toc458510845"/>
            <w:r w:rsidRPr="00BA121F">
              <w:rPr>
                <w:b/>
                <w:bCs/>
                <w:iCs/>
                <w:color w:val="BC091B"/>
              </w:rPr>
              <w:t>Cizí státní občanství</w:t>
            </w:r>
            <w:bookmarkEnd w:id="6"/>
          </w:p>
        </w:tc>
        <w:tc>
          <w:tcPr>
            <w:tcW w:w="6804" w:type="dxa"/>
            <w:shd w:val="clear" w:color="auto" w:fill="auto"/>
            <w:vAlign w:val="center"/>
            <w:hideMark/>
          </w:tcPr>
          <w:p w:rsidR="00BA121F" w:rsidRPr="00BA121F" w:rsidRDefault="00BA121F" w:rsidP="00BA121F">
            <w:pPr>
              <w:keepNext/>
              <w:spacing w:after="0" w:line="240" w:lineRule="auto"/>
              <w:jc w:val="both"/>
              <w:rPr>
                <w:rFonts w:cs="Arial"/>
                <w:szCs w:val="20"/>
              </w:rPr>
            </w:pPr>
            <w:r w:rsidRPr="00BA121F">
              <w:rPr>
                <w:rFonts w:cs="Arial"/>
                <w:szCs w:val="20"/>
              </w:rPr>
              <w:t xml:space="preserve">U každého </w:t>
            </w:r>
            <w:hyperlink w:anchor="_Děti" w:history="1">
              <w:r w:rsidRPr="00BA121F">
                <w:rPr>
                  <w:rFonts w:eastAsia="MS Gothic" w:cs="Arial"/>
                  <w:color w:val="0000FF"/>
                  <w:szCs w:val="20"/>
                  <w:u w:val="single"/>
                </w:rPr>
                <w:t>dítěte</w:t>
              </w:r>
            </w:hyperlink>
            <w:r w:rsidRPr="00BA121F">
              <w:rPr>
                <w:rFonts w:cs="Arial"/>
                <w:szCs w:val="20"/>
              </w:rPr>
              <w:t xml:space="preserve"> či </w:t>
            </w:r>
            <w:hyperlink w:anchor="_Žáci" w:history="1">
              <w:r w:rsidRPr="00BA121F">
                <w:rPr>
                  <w:rFonts w:eastAsia="MS Gothic" w:cs="Arial"/>
                  <w:color w:val="0000FF"/>
                  <w:szCs w:val="20"/>
                  <w:u w:val="single"/>
                </w:rPr>
                <w:t>žáka</w:t>
              </w:r>
            </w:hyperlink>
            <w:r w:rsidRPr="00BA121F">
              <w:t xml:space="preserve"> či </w:t>
            </w:r>
            <w:hyperlink w:anchor="_Studenti" w:history="1">
              <w:r w:rsidRPr="00BA121F">
                <w:rPr>
                  <w:color w:val="0000FF"/>
                  <w:u w:val="single"/>
                </w:rPr>
                <w:t>studenta</w:t>
              </w:r>
            </w:hyperlink>
            <w:r w:rsidRPr="00BA121F">
              <w:t xml:space="preserve"> </w:t>
            </w:r>
            <w:hyperlink w:anchor="_Vyšší_odborná_škola" w:history="1">
              <w:r w:rsidRPr="00BA121F">
                <w:rPr>
                  <w:color w:val="0000FF"/>
                  <w:u w:val="single"/>
                </w:rPr>
                <w:t>vyšší odborné školy</w:t>
              </w:r>
            </w:hyperlink>
            <w:r w:rsidRPr="00BA121F">
              <w:rPr>
                <w:rFonts w:cs="Arial"/>
                <w:szCs w:val="20"/>
              </w:rPr>
              <w:t xml:space="preserve"> se eviduje pouze jedno státní občanství. Pokud má dítě dvojí občanství, upřednostní se české, dále občanství státu EU.</w:t>
            </w:r>
          </w:p>
          <w:p w:rsidR="00BA121F" w:rsidRPr="00BA121F" w:rsidRDefault="00721450" w:rsidP="00BA121F">
            <w:pPr>
              <w:keepNext/>
              <w:spacing w:after="0" w:line="240" w:lineRule="auto"/>
              <w:jc w:val="both"/>
              <w:rPr>
                <w:rFonts w:cs="Arial"/>
                <w:szCs w:val="20"/>
              </w:rPr>
            </w:pPr>
            <w:hyperlink w:anchor="_Studenti" w:history="1">
              <w:r w:rsidR="00BA121F" w:rsidRPr="00BA121F">
                <w:rPr>
                  <w:rFonts w:eastAsia="MS Gothic" w:cs="Arial"/>
                  <w:color w:val="0000FF"/>
                  <w:szCs w:val="20"/>
                  <w:u w:val="single"/>
                </w:rPr>
                <w:t>Studenti</w:t>
              </w:r>
            </w:hyperlink>
            <w:r w:rsidR="00BA121F" w:rsidRPr="00BA121F">
              <w:t xml:space="preserve"> </w:t>
            </w:r>
            <w:hyperlink w:anchor="_Vysoká_škola" w:history="1">
              <w:r w:rsidR="00BA121F" w:rsidRPr="00BA121F">
                <w:rPr>
                  <w:rFonts w:cs="Arial"/>
                  <w:color w:val="0000FF"/>
                  <w:szCs w:val="20"/>
                  <w:u w:val="single"/>
                </w:rPr>
                <w:t>vysokých škol</w:t>
              </w:r>
            </w:hyperlink>
            <w:r w:rsidR="00BA121F" w:rsidRPr="00BA121F">
              <w:rPr>
                <w:rFonts w:cs="Arial"/>
                <w:szCs w:val="20"/>
              </w:rPr>
              <w:t xml:space="preserve"> však mohou být evidováni pod více občanstvími.</w:t>
            </w:r>
          </w:p>
        </w:tc>
      </w:tr>
      <w:tr w:rsidR="00BA121F" w:rsidRPr="00BA121F" w:rsidTr="00906650">
        <w:trPr>
          <w:trHeight w:val="620"/>
        </w:trPr>
        <w:tc>
          <w:tcPr>
            <w:tcW w:w="2425" w:type="dxa"/>
            <w:shd w:val="clear" w:color="auto" w:fill="auto"/>
            <w:hideMark/>
          </w:tcPr>
          <w:p w:rsidR="00BA121F" w:rsidRPr="00BA121F" w:rsidRDefault="00BA121F" w:rsidP="00BA121F">
            <w:pPr>
              <w:keepNext/>
              <w:keepLines/>
              <w:spacing w:before="40" w:after="0" w:line="240" w:lineRule="auto"/>
              <w:outlineLvl w:val="3"/>
              <w:rPr>
                <w:b/>
                <w:bCs/>
                <w:iCs/>
                <w:color w:val="BC091B"/>
              </w:rPr>
            </w:pPr>
            <w:bookmarkStart w:id="7" w:name="_Toc458510846"/>
            <w:r w:rsidRPr="00BA121F">
              <w:rPr>
                <w:b/>
                <w:bCs/>
                <w:iCs/>
                <w:color w:val="BC091B"/>
              </w:rPr>
              <w:t>Čtyřleté gymnázium</w:t>
            </w:r>
            <w:bookmarkEnd w:id="7"/>
          </w:p>
        </w:tc>
        <w:tc>
          <w:tcPr>
            <w:tcW w:w="6804" w:type="dxa"/>
            <w:shd w:val="clear" w:color="auto" w:fill="auto"/>
            <w:vAlign w:val="center"/>
            <w:hideMark/>
          </w:tcPr>
          <w:p w:rsidR="00BA121F" w:rsidRPr="00BA121F" w:rsidRDefault="00BA121F" w:rsidP="00BA121F">
            <w:pPr>
              <w:keepNext/>
              <w:spacing w:before="40" w:after="0" w:line="240" w:lineRule="auto"/>
              <w:jc w:val="both"/>
              <w:rPr>
                <w:rFonts w:cs="Arial"/>
                <w:szCs w:val="20"/>
              </w:rPr>
            </w:pPr>
            <w:r w:rsidRPr="00BA121F">
              <w:rPr>
                <w:rFonts w:cs="Arial"/>
                <w:color w:val="000000"/>
                <w:szCs w:val="20"/>
              </w:rPr>
              <w:t xml:space="preserve">Čtyřleté gymnázium se řadí do kategorie </w:t>
            </w:r>
            <w:hyperlink w:anchor="_Střední_vzdělávání" w:history="1">
              <w:r w:rsidRPr="00BA121F">
                <w:rPr>
                  <w:rFonts w:cs="Arial"/>
                  <w:color w:val="0000FF"/>
                  <w:szCs w:val="20"/>
                  <w:u w:val="single"/>
                </w:rPr>
                <w:t>středního vzdělávání</w:t>
              </w:r>
            </w:hyperlink>
            <w:r w:rsidRPr="00BA121F">
              <w:rPr>
                <w:rFonts w:cs="Arial"/>
                <w:color w:val="000000"/>
                <w:szCs w:val="20"/>
              </w:rPr>
              <w:t xml:space="preserve"> všeobecného zaměření a poskytuje vyšší sekundární vzdělávání. Více viz výklad k pojmu </w:t>
            </w:r>
            <w:hyperlink w:anchor="_Gymnázium" w:history="1">
              <w:r w:rsidRPr="00BA121F">
                <w:rPr>
                  <w:rFonts w:cs="Arial"/>
                  <w:color w:val="0000FF"/>
                  <w:szCs w:val="20"/>
                  <w:u w:val="single"/>
                </w:rPr>
                <w:t>gymnázium</w:t>
              </w:r>
            </w:hyperlink>
            <w:r w:rsidRPr="00BA121F">
              <w:rPr>
                <w:rFonts w:cs="Arial"/>
                <w:color w:val="000000"/>
                <w:szCs w:val="20"/>
              </w:rPr>
              <w:t>.</w:t>
            </w:r>
          </w:p>
        </w:tc>
      </w:tr>
      <w:tr w:rsidR="00BA121F" w:rsidRPr="00BA121F" w:rsidTr="00906650">
        <w:trPr>
          <w:trHeight w:val="2995"/>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8" w:name="_Toc458510847"/>
            <w:r w:rsidRPr="00BA121F">
              <w:rPr>
                <w:b/>
                <w:bCs/>
                <w:iCs/>
                <w:color w:val="BC091B"/>
              </w:rPr>
              <w:t>Denní forma vzdělávání</w:t>
            </w:r>
            <w:bookmarkEnd w:id="8"/>
          </w:p>
        </w:tc>
        <w:tc>
          <w:tcPr>
            <w:tcW w:w="6804" w:type="dxa"/>
            <w:shd w:val="clear" w:color="auto" w:fill="auto"/>
            <w:vAlign w:val="center"/>
            <w:hideMark/>
          </w:tcPr>
          <w:p w:rsidR="00BA121F" w:rsidRPr="00BA121F" w:rsidRDefault="00BA121F" w:rsidP="00BA121F">
            <w:pPr>
              <w:keepNext/>
              <w:spacing w:after="0" w:line="240" w:lineRule="auto"/>
              <w:jc w:val="both"/>
              <w:rPr>
                <w:rFonts w:cs="Arial"/>
                <w:szCs w:val="20"/>
              </w:rPr>
            </w:pPr>
            <w:r w:rsidRPr="00BA121F">
              <w:rPr>
                <w:rFonts w:cs="Arial"/>
                <w:szCs w:val="20"/>
              </w:rPr>
              <w:t xml:space="preserve">Pojem denní forma vzdělávání se užívá u </w:t>
            </w:r>
            <w:hyperlink w:anchor="_Základní_vzdělávání" w:history="1">
              <w:r w:rsidRPr="00BA121F">
                <w:rPr>
                  <w:rFonts w:cs="Arial"/>
                  <w:color w:val="0000FF"/>
                  <w:szCs w:val="20"/>
                  <w:u w:val="single"/>
                </w:rPr>
                <w:t>základního</w:t>
              </w:r>
            </w:hyperlink>
            <w:r w:rsidRPr="00BA121F">
              <w:rPr>
                <w:rFonts w:cs="Arial"/>
                <w:szCs w:val="20"/>
              </w:rPr>
              <w:t xml:space="preserve">, </w:t>
            </w:r>
            <w:hyperlink w:anchor="_Střední_vzdělávání" w:history="1">
              <w:r w:rsidRPr="00BA121F">
                <w:rPr>
                  <w:rFonts w:cs="Arial"/>
                  <w:color w:val="0000FF"/>
                  <w:szCs w:val="20"/>
                  <w:u w:val="single"/>
                </w:rPr>
                <w:t>středního</w:t>
              </w:r>
            </w:hyperlink>
            <w:r w:rsidRPr="00BA121F">
              <w:rPr>
                <w:rFonts w:cs="Arial"/>
                <w:szCs w:val="20"/>
              </w:rPr>
              <w:t xml:space="preserve"> a </w:t>
            </w:r>
            <w:hyperlink w:anchor="_Vyšší_odborné_vzdělávání" w:history="1">
              <w:r w:rsidRPr="00BA121F">
                <w:rPr>
                  <w:rFonts w:cs="Arial"/>
                  <w:color w:val="0000FF"/>
                  <w:szCs w:val="20"/>
                  <w:u w:val="single"/>
                </w:rPr>
                <w:t>vyššího odborného vzdělávání</w:t>
              </w:r>
            </w:hyperlink>
            <w:r w:rsidRPr="00BA121F">
              <w:rPr>
                <w:rFonts w:cs="Arial"/>
                <w:szCs w:val="20"/>
              </w:rPr>
              <w:t xml:space="preserve">. Představuje klasickou formu školní docházky s pravidelnou výukou realizovanou ve škole ve všedních dnech v týdnu. </w:t>
            </w:r>
          </w:p>
          <w:p w:rsidR="00BA121F" w:rsidRPr="00BA121F" w:rsidRDefault="00BA121F" w:rsidP="00BA121F">
            <w:pPr>
              <w:widowControl w:val="0"/>
              <w:autoSpaceDE w:val="0"/>
              <w:autoSpaceDN w:val="0"/>
              <w:adjustRightInd w:val="0"/>
              <w:spacing w:after="0" w:line="240" w:lineRule="auto"/>
              <w:jc w:val="both"/>
              <w:rPr>
                <w:rFonts w:cs="Arial"/>
                <w:szCs w:val="20"/>
              </w:rPr>
            </w:pPr>
            <w:r w:rsidRPr="00BA121F">
              <w:rPr>
                <w:rFonts w:cs="Arial"/>
                <w:iCs/>
                <w:szCs w:val="20"/>
              </w:rPr>
              <w:t xml:space="preserve">Pro střední a vyšší odborné vzdělávání upravuje </w:t>
            </w:r>
            <w:hyperlink r:id="rId11" w:history="1">
              <w:r w:rsidRPr="00BA121F">
                <w:rPr>
                  <w:rFonts w:eastAsia="MS Gothic" w:cs="Arial"/>
                  <w:iCs/>
                  <w:color w:val="0000FF"/>
                  <w:szCs w:val="20"/>
                  <w:u w:val="single"/>
                </w:rPr>
                <w:t>Školský zákon</w:t>
              </w:r>
            </w:hyperlink>
            <w:r w:rsidRPr="00BA121F">
              <w:rPr>
                <w:rFonts w:cs="Arial"/>
                <w:szCs w:val="20"/>
              </w:rPr>
              <w:t xml:space="preserve"> (č. 561/2004 Sb., </w:t>
            </w:r>
            <w:r w:rsidRPr="00BA121F">
              <w:rPr>
                <w:rFonts w:cs="Arial"/>
                <w:iCs/>
                <w:szCs w:val="20"/>
              </w:rPr>
              <w:t>§ 25</w:t>
            </w:r>
            <w:r w:rsidRPr="00BA121F">
              <w:rPr>
                <w:rFonts w:cs="Arial"/>
                <w:szCs w:val="20"/>
              </w:rPr>
              <w:t>) i </w:t>
            </w:r>
            <w:hyperlink w:anchor="_Ostatní_formy_vzdělávání" w:history="1">
              <w:r w:rsidRPr="00BA121F">
                <w:rPr>
                  <w:rFonts w:eastAsia="MS Gothic" w:cs="Arial"/>
                  <w:color w:val="0000FF"/>
                  <w:szCs w:val="20"/>
                  <w:u w:val="single"/>
                </w:rPr>
                <w:t>ostatní formy vzdělávání</w:t>
              </w:r>
            </w:hyperlink>
            <w:r w:rsidRPr="00BA121F">
              <w:rPr>
                <w:rFonts w:cs="Arial"/>
                <w:szCs w:val="20"/>
              </w:rPr>
              <w:t xml:space="preserve">, tj. večerní, dálkovou, distanční a kombinovanou. Vzdělání dosažené ve všech formách vzdělávání je rovnocenné. </w:t>
            </w:r>
          </w:p>
          <w:p w:rsidR="00BA121F" w:rsidRPr="00BA121F" w:rsidRDefault="00BA121F" w:rsidP="00BA121F">
            <w:pPr>
              <w:spacing w:after="0" w:line="240" w:lineRule="auto"/>
              <w:jc w:val="both"/>
              <w:rPr>
                <w:rFonts w:cs="Arial"/>
                <w:szCs w:val="20"/>
              </w:rPr>
            </w:pPr>
            <w:r w:rsidRPr="00BA121F">
              <w:rPr>
                <w:rFonts w:cs="Arial"/>
                <w:szCs w:val="20"/>
              </w:rPr>
              <w:t xml:space="preserve">Zákon také udává, že délka dálkového, večerního, </w:t>
            </w:r>
            <w:hyperlink w:anchor="_Distanční_a_kombinované" w:history="1">
              <w:r w:rsidRPr="00BA121F">
                <w:rPr>
                  <w:rFonts w:eastAsia="MS Gothic" w:cs="Arial"/>
                  <w:color w:val="0000FF"/>
                  <w:szCs w:val="20"/>
                  <w:u w:val="single"/>
                </w:rPr>
                <w:t>distančního nebo kombinovaného</w:t>
              </w:r>
            </w:hyperlink>
            <w:r w:rsidRPr="00BA121F">
              <w:rPr>
                <w:rFonts w:ascii="Times New Roman" w:hAnsi="Times New Roman"/>
                <w:sz w:val="24"/>
              </w:rPr>
              <w:t xml:space="preserve"> </w:t>
            </w:r>
            <w:r w:rsidRPr="00BA121F">
              <w:rPr>
                <w:rFonts w:cs="Arial"/>
                <w:szCs w:val="20"/>
              </w:rPr>
              <w:t xml:space="preserve">vzdělávání je nejvýše o 1 rok delší než doba vzdělávání v denní formě. </w:t>
            </w:r>
          </w:p>
          <w:p w:rsidR="00BA121F" w:rsidRPr="00BA121F" w:rsidRDefault="00BA121F" w:rsidP="00BA121F">
            <w:pPr>
              <w:keepNext/>
              <w:spacing w:after="0" w:line="240" w:lineRule="auto"/>
              <w:jc w:val="both"/>
              <w:rPr>
                <w:rFonts w:cs="Arial"/>
                <w:szCs w:val="20"/>
              </w:rPr>
            </w:pPr>
            <w:r w:rsidRPr="00BA121F">
              <w:rPr>
                <w:rFonts w:cs="Arial"/>
                <w:szCs w:val="20"/>
              </w:rPr>
              <w:t>Jeden žák/student může být zapsán do více forem vzdělávání, např. studovat jeden obor v denní formě a druhý v dálkové. Součet žáků/studentů jednotlivých forem vzdělávání tak nemusí odpovídat celkovému počtu žáků/studentů.</w:t>
            </w:r>
          </w:p>
        </w:tc>
      </w:tr>
      <w:tr w:rsidR="00BA121F" w:rsidRPr="00BA121F" w:rsidTr="00906650">
        <w:trPr>
          <w:trHeight w:val="300"/>
        </w:trPr>
        <w:tc>
          <w:tcPr>
            <w:tcW w:w="2425" w:type="dxa"/>
            <w:shd w:val="clear" w:color="auto" w:fill="auto"/>
            <w:hideMark/>
          </w:tcPr>
          <w:p w:rsidR="00BA121F" w:rsidRPr="00BA121F" w:rsidRDefault="00BA121F" w:rsidP="00BA121F">
            <w:pPr>
              <w:keepNext/>
              <w:keepLines/>
              <w:spacing w:after="0"/>
              <w:outlineLvl w:val="3"/>
              <w:rPr>
                <w:rFonts w:eastAsia="MS Gothic"/>
                <w:b/>
                <w:bCs/>
                <w:iCs/>
                <w:color w:val="BC091B"/>
              </w:rPr>
            </w:pPr>
            <w:bookmarkStart w:id="9" w:name="_Toc458510849"/>
            <w:r w:rsidRPr="00BA121F">
              <w:rPr>
                <w:rFonts w:eastAsia="MS Gothic"/>
                <w:b/>
                <w:bCs/>
                <w:iCs/>
                <w:color w:val="BC091B"/>
              </w:rPr>
              <w:lastRenderedPageBreak/>
              <w:t>Dětský domov</w:t>
            </w:r>
            <w:bookmarkEnd w:id="9"/>
          </w:p>
          <w:p w:rsidR="00BA121F" w:rsidRPr="00BA121F" w:rsidRDefault="00BA121F" w:rsidP="00BA121F">
            <w:pPr>
              <w:keepNext/>
              <w:keepLines/>
              <w:spacing w:after="0"/>
              <w:outlineLvl w:val="3"/>
              <w:rPr>
                <w:b/>
                <w:bCs/>
                <w:iCs/>
                <w:color w:val="BC091B"/>
              </w:rPr>
            </w:pPr>
          </w:p>
        </w:tc>
        <w:tc>
          <w:tcPr>
            <w:tcW w:w="6804" w:type="dxa"/>
            <w:shd w:val="clear" w:color="auto" w:fill="auto"/>
            <w:vAlign w:val="center"/>
            <w:hideMark/>
          </w:tcPr>
          <w:p w:rsidR="00BA121F" w:rsidRPr="00BA121F" w:rsidRDefault="00BA121F" w:rsidP="00BA121F">
            <w:pPr>
              <w:spacing w:after="0" w:line="240" w:lineRule="auto"/>
              <w:jc w:val="both"/>
              <w:rPr>
                <w:rFonts w:cs="Arial"/>
                <w:color w:val="000000"/>
                <w:szCs w:val="20"/>
              </w:rPr>
            </w:pPr>
            <w:r w:rsidRPr="00BA121F">
              <w:rPr>
                <w:rFonts w:cs="Arial"/>
                <w:color w:val="000000"/>
                <w:szCs w:val="20"/>
              </w:rPr>
              <w:t xml:space="preserve">Dětský domov je školským </w:t>
            </w:r>
            <w:hyperlink w:anchor="_Zařízení_pro_výkon" w:history="1">
              <w:r w:rsidRPr="00BA121F">
                <w:rPr>
                  <w:rFonts w:eastAsia="MS Gothic" w:cs="Arial"/>
                  <w:color w:val="0000FF"/>
                  <w:szCs w:val="20"/>
                  <w:u w:val="single"/>
                </w:rPr>
                <w:t>zařízením pro výkon ústavní a ochranné výchovy</w:t>
              </w:r>
            </w:hyperlink>
            <w:r w:rsidRPr="00BA121F">
              <w:rPr>
                <w:rFonts w:cs="Arial"/>
                <w:color w:val="000000"/>
                <w:szCs w:val="20"/>
              </w:rPr>
              <w:t xml:space="preserve">. Dle § 12 </w:t>
            </w:r>
            <w:hyperlink r:id="rId12" w:history="1">
              <w:r w:rsidRPr="00BA121F">
                <w:rPr>
                  <w:rFonts w:eastAsia="MS Gothic" w:cs="Arial"/>
                  <w:color w:val="0000FF"/>
                  <w:szCs w:val="20"/>
                  <w:u w:val="single"/>
                </w:rPr>
                <w:t>zákona č. 109/2002 Sb.</w:t>
              </w:r>
            </w:hyperlink>
            <w:r w:rsidRPr="00BA121F">
              <w:rPr>
                <w:rFonts w:eastAsia="MS Gothic" w:cs="Arial"/>
                <w:szCs w:val="20"/>
              </w:rPr>
              <w:t xml:space="preserve"> je ú</w:t>
            </w:r>
            <w:r w:rsidRPr="00BA121F">
              <w:rPr>
                <w:rFonts w:cs="Arial"/>
                <w:color w:val="000000"/>
                <w:szCs w:val="20"/>
              </w:rPr>
              <w:t xml:space="preserve">čelem dětského domova zajišťovat péči o děti s nařízenou ústavní výchovou, které nemají závažné poruchy chování. </w:t>
            </w:r>
            <w:r w:rsidRPr="00BA121F">
              <w:rPr>
                <w:rFonts w:eastAsia="MS Gothic" w:cs="Arial"/>
                <w:szCs w:val="20"/>
              </w:rPr>
              <w:t>Dětský domov p</w:t>
            </w:r>
            <w:r w:rsidRPr="00BA121F">
              <w:rPr>
                <w:rFonts w:cs="Arial"/>
                <w:szCs w:val="20"/>
              </w:rPr>
              <w:t>ečuje</w:t>
            </w:r>
            <w:r w:rsidRPr="00BA121F">
              <w:rPr>
                <w:rFonts w:cs="Arial"/>
                <w:color w:val="000000"/>
                <w:szCs w:val="20"/>
              </w:rPr>
              <w:t xml:space="preserve"> o děti podle jejich individuálních potřeb, přičemž plní zejména úkoly výchovné, vzdělávací a sociální. Děti se vzdělávají ve školách, které nejsou součástí dětského domova. </w:t>
            </w:r>
          </w:p>
        </w:tc>
      </w:tr>
      <w:tr w:rsidR="00BA121F" w:rsidRPr="00BA121F" w:rsidTr="00906650">
        <w:trPr>
          <w:trHeight w:val="300"/>
        </w:trPr>
        <w:tc>
          <w:tcPr>
            <w:tcW w:w="2425" w:type="dxa"/>
            <w:shd w:val="clear" w:color="auto" w:fill="auto"/>
            <w:hideMark/>
          </w:tcPr>
          <w:p w:rsidR="00BA121F" w:rsidRPr="00BA121F" w:rsidRDefault="00BA121F" w:rsidP="00BA121F">
            <w:pPr>
              <w:keepNext/>
              <w:keepLines/>
              <w:spacing w:after="0"/>
              <w:outlineLvl w:val="3"/>
              <w:rPr>
                <w:rFonts w:eastAsia="MS Gothic"/>
                <w:b/>
                <w:bCs/>
                <w:iCs/>
                <w:color w:val="BC091B"/>
              </w:rPr>
            </w:pPr>
            <w:bookmarkStart w:id="10" w:name="_Toc458510850"/>
            <w:r w:rsidRPr="00BA121F">
              <w:rPr>
                <w:rFonts w:eastAsia="MS Gothic"/>
                <w:b/>
                <w:bCs/>
                <w:iCs/>
                <w:color w:val="BC091B"/>
              </w:rPr>
              <w:t>Dětský domov se školou</w:t>
            </w:r>
            <w:bookmarkEnd w:id="10"/>
          </w:p>
        </w:tc>
        <w:tc>
          <w:tcPr>
            <w:tcW w:w="6804" w:type="dxa"/>
            <w:shd w:val="clear" w:color="auto" w:fill="auto"/>
            <w:vAlign w:val="center"/>
            <w:hideMark/>
          </w:tcPr>
          <w:p w:rsidR="00BA121F" w:rsidRPr="00BA121F" w:rsidRDefault="00BA121F" w:rsidP="00BA121F">
            <w:pPr>
              <w:spacing w:after="0" w:line="240" w:lineRule="auto"/>
              <w:jc w:val="both"/>
              <w:rPr>
                <w:rFonts w:cs="Arial"/>
                <w:color w:val="000000"/>
                <w:szCs w:val="20"/>
              </w:rPr>
            </w:pPr>
            <w:r w:rsidRPr="00BA121F">
              <w:rPr>
                <w:rFonts w:cs="Arial"/>
                <w:color w:val="000000"/>
                <w:szCs w:val="20"/>
              </w:rPr>
              <w:t xml:space="preserve">Dětský domov je školským </w:t>
            </w:r>
            <w:hyperlink w:anchor="_Zařízení_pro_výkon" w:history="1">
              <w:r w:rsidRPr="00BA121F">
                <w:rPr>
                  <w:rFonts w:eastAsia="MS Gothic" w:cs="Arial"/>
                  <w:color w:val="0000FF"/>
                  <w:szCs w:val="20"/>
                  <w:u w:val="single"/>
                </w:rPr>
                <w:t>zařízením pro výkon ústavní a ochranné výchovy</w:t>
              </w:r>
            </w:hyperlink>
            <w:r w:rsidRPr="00BA121F">
              <w:rPr>
                <w:rFonts w:cs="Arial"/>
                <w:color w:val="000000"/>
                <w:szCs w:val="20"/>
              </w:rPr>
              <w:t xml:space="preserve">. Dle § 13 </w:t>
            </w:r>
            <w:hyperlink r:id="rId13" w:history="1">
              <w:r w:rsidRPr="00BA121F">
                <w:rPr>
                  <w:rFonts w:eastAsia="MS Gothic" w:cs="Arial"/>
                  <w:color w:val="0000FF"/>
                  <w:szCs w:val="20"/>
                  <w:u w:val="single"/>
                </w:rPr>
                <w:t>zákona č. 109/2002 Sb.</w:t>
              </w:r>
            </w:hyperlink>
            <w:r w:rsidRPr="00BA121F">
              <w:rPr>
                <w:rFonts w:eastAsia="MS Gothic" w:cs="Arial"/>
                <w:szCs w:val="20"/>
              </w:rPr>
              <w:t xml:space="preserve"> je </w:t>
            </w:r>
            <w:r w:rsidRPr="00BA121F">
              <w:rPr>
                <w:rFonts w:cs="Arial"/>
                <w:color w:val="000000"/>
                <w:szCs w:val="20"/>
              </w:rPr>
              <w:t xml:space="preserve">účelem dětského domova se školou zajišťovat péči o děti s nařízenou ústavní výchovou, mají-li závažné poruchy chování, nebo které pro svou přechodnou nebo trvalou duševní poruchu vyžadují výchovně léčebnou péči, nebo s uloženou ochrannou výchovou. Do dětského domova se školou mohou být umísťovány děti zpravidla od šesti let do ukončení povinné školní docházky. </w:t>
            </w:r>
          </w:p>
        </w:tc>
      </w:tr>
      <w:tr w:rsidR="00BA121F" w:rsidRPr="00BA121F" w:rsidTr="00906650">
        <w:trPr>
          <w:trHeight w:val="1071"/>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11" w:name="_Toc458510851"/>
            <w:r w:rsidRPr="00BA121F">
              <w:rPr>
                <w:b/>
                <w:bCs/>
                <w:iCs/>
                <w:color w:val="BC091B"/>
              </w:rPr>
              <w:t>Diagnostický ústav</w:t>
            </w:r>
            <w:bookmarkEnd w:id="11"/>
          </w:p>
        </w:tc>
        <w:tc>
          <w:tcPr>
            <w:tcW w:w="6804" w:type="dxa"/>
            <w:shd w:val="clear" w:color="auto" w:fill="auto"/>
            <w:vAlign w:val="center"/>
            <w:hideMark/>
          </w:tcPr>
          <w:p w:rsidR="00BA121F" w:rsidRPr="00BA121F" w:rsidRDefault="00BA121F" w:rsidP="00BA121F">
            <w:pPr>
              <w:widowControl w:val="0"/>
              <w:autoSpaceDE w:val="0"/>
              <w:autoSpaceDN w:val="0"/>
              <w:adjustRightInd w:val="0"/>
              <w:spacing w:after="0" w:line="240" w:lineRule="auto"/>
              <w:jc w:val="both"/>
              <w:rPr>
                <w:rFonts w:cs="Arial"/>
                <w:color w:val="000000"/>
                <w:szCs w:val="20"/>
              </w:rPr>
            </w:pPr>
            <w:r w:rsidRPr="00BA121F">
              <w:rPr>
                <w:rFonts w:cs="Arial"/>
                <w:color w:val="000000"/>
                <w:szCs w:val="20"/>
              </w:rPr>
              <w:t xml:space="preserve">Diagnostický ústav je školským </w:t>
            </w:r>
            <w:hyperlink w:anchor="_Zařízení_pro_výkon" w:history="1">
              <w:r w:rsidRPr="00BA121F">
                <w:rPr>
                  <w:rFonts w:cs="Arial"/>
                  <w:color w:val="0000FF"/>
                  <w:szCs w:val="20"/>
                  <w:u w:val="single"/>
                </w:rPr>
                <w:t>zařízením pro výkon ústavní a ochranné výchovy</w:t>
              </w:r>
            </w:hyperlink>
            <w:r w:rsidRPr="00BA121F">
              <w:rPr>
                <w:rFonts w:cs="Arial"/>
                <w:color w:val="000000"/>
                <w:szCs w:val="20"/>
              </w:rPr>
              <w:t xml:space="preserve">. Dle </w:t>
            </w:r>
            <w:hyperlink r:id="rId14" w:history="1">
              <w:r w:rsidRPr="00BA121F">
                <w:rPr>
                  <w:rFonts w:cs="Arial"/>
                  <w:color w:val="0000FF"/>
                  <w:szCs w:val="20"/>
                  <w:u w:val="single"/>
                </w:rPr>
                <w:t>zákona č. 109/2002 Sb.</w:t>
              </w:r>
            </w:hyperlink>
            <w:r w:rsidRPr="00BA121F">
              <w:rPr>
                <w:rFonts w:cs="Arial"/>
                <w:color w:val="000000"/>
                <w:szCs w:val="20"/>
              </w:rPr>
              <w:t>, § 5 přijímá děti s nařízeným předběžným opatřením, nařízenou ústavní výchovou nebo uloženou ochrannou výchovou; děti s uloženou ochrannou výchovou také na základě výsledků komplexního vyšetření, zdravotního stavu dětí a volné kapacity jednotlivých zařízení umísťuje do dětských domovů se školou nebo výchovných ústavů. Podle potřeb dítěte plní úkoly diagnostické, vzdělávací, terapeutické, výchovné a sociální, organizační a koordinační.</w:t>
            </w:r>
          </w:p>
        </w:tc>
      </w:tr>
      <w:tr w:rsidR="00BA121F" w:rsidRPr="00BA121F" w:rsidTr="00906650">
        <w:trPr>
          <w:trHeight w:val="300"/>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12" w:name="_Toc458510852"/>
            <w:r w:rsidRPr="00BA121F">
              <w:rPr>
                <w:b/>
                <w:bCs/>
                <w:iCs/>
                <w:color w:val="BC091B"/>
              </w:rPr>
              <w:t>Distanční a kombinované studium</w:t>
            </w:r>
            <w:bookmarkEnd w:id="12"/>
          </w:p>
        </w:tc>
        <w:tc>
          <w:tcPr>
            <w:tcW w:w="6804" w:type="dxa"/>
            <w:shd w:val="clear" w:color="auto" w:fill="auto"/>
            <w:vAlign w:val="center"/>
            <w:hideMark/>
          </w:tcPr>
          <w:p w:rsidR="00BA121F" w:rsidRPr="00BA121F" w:rsidRDefault="00BA121F" w:rsidP="00BA121F">
            <w:pPr>
              <w:widowControl w:val="0"/>
              <w:autoSpaceDE w:val="0"/>
              <w:autoSpaceDN w:val="0"/>
              <w:adjustRightInd w:val="0"/>
              <w:spacing w:after="0" w:line="240" w:lineRule="auto"/>
              <w:jc w:val="both"/>
              <w:rPr>
                <w:rFonts w:cs="Arial"/>
                <w:szCs w:val="20"/>
              </w:rPr>
            </w:pPr>
            <w:r w:rsidRPr="00BA121F">
              <w:rPr>
                <w:rFonts w:cs="Arial"/>
                <w:szCs w:val="20"/>
              </w:rPr>
              <w:t xml:space="preserve">Pojem „distanční a kombinované studium“ je v této publikaci užíván výhradně v tabulkách o vzdělávání na </w:t>
            </w:r>
            <w:hyperlink w:anchor="_Vysoká_škola" w:history="1">
              <w:r w:rsidRPr="00BA121F">
                <w:rPr>
                  <w:rFonts w:cs="Arial"/>
                  <w:color w:val="0000FF"/>
                  <w:szCs w:val="20"/>
                  <w:u w:val="single"/>
                </w:rPr>
                <w:t>vysokých školách</w:t>
              </w:r>
            </w:hyperlink>
            <w:r w:rsidRPr="00BA121F">
              <w:rPr>
                <w:rFonts w:cs="Arial"/>
                <w:szCs w:val="20"/>
              </w:rPr>
              <w:t xml:space="preserve">. Dle </w:t>
            </w:r>
            <w:hyperlink r:id="rId15" w:history="1">
              <w:r w:rsidRPr="00BA121F">
                <w:rPr>
                  <w:rFonts w:eastAsia="MS Gothic" w:cs="Arial"/>
                  <w:color w:val="0000FF"/>
                  <w:szCs w:val="20"/>
                  <w:u w:val="single"/>
                </w:rPr>
                <w:t>Školského zákona</w:t>
              </w:r>
            </w:hyperlink>
            <w:r w:rsidRPr="00BA121F">
              <w:rPr>
                <w:rFonts w:cs="Arial"/>
                <w:szCs w:val="20"/>
              </w:rPr>
              <w:t xml:space="preserve"> (č. 561/2004 Sb., § 25) je distanční forma vzdělávání samostatné studium uskutečňované převážně nebo zcela prostřednictvím informačních technologií, popřípadě spojené s individuálními konzultacemi.</w:t>
            </w:r>
          </w:p>
          <w:p w:rsidR="00BA121F" w:rsidRPr="00BA121F" w:rsidRDefault="00BA121F" w:rsidP="00BA121F">
            <w:pPr>
              <w:spacing w:after="0" w:line="240" w:lineRule="auto"/>
              <w:jc w:val="both"/>
              <w:rPr>
                <w:rFonts w:cs="Arial"/>
                <w:szCs w:val="20"/>
              </w:rPr>
            </w:pPr>
            <w:r w:rsidRPr="00BA121F">
              <w:rPr>
                <w:rFonts w:cs="Arial"/>
                <w:szCs w:val="20"/>
              </w:rPr>
              <w:t xml:space="preserve">Kombinovaná forma vzdělávání znamená dle </w:t>
            </w:r>
            <w:hyperlink r:id="rId16" w:history="1">
              <w:r w:rsidRPr="00BA121F">
                <w:rPr>
                  <w:rFonts w:cs="Arial"/>
                  <w:color w:val="0000FF"/>
                  <w:szCs w:val="20"/>
                  <w:u w:val="single"/>
                </w:rPr>
                <w:t>Zákona o vysokých školách</w:t>
              </w:r>
            </w:hyperlink>
            <w:r w:rsidRPr="00BA121F">
              <w:rPr>
                <w:rFonts w:cs="Arial"/>
                <w:szCs w:val="20"/>
              </w:rPr>
              <w:t xml:space="preserve"> (č. 111/1998 Sb. § 44) kombinaci prezenční a distanční formy.</w:t>
            </w:r>
          </w:p>
          <w:p w:rsidR="00BA121F" w:rsidRPr="00BA121F" w:rsidRDefault="00BA121F" w:rsidP="00BA121F">
            <w:pPr>
              <w:keepNext/>
              <w:spacing w:after="0" w:line="240" w:lineRule="auto"/>
              <w:jc w:val="both"/>
              <w:rPr>
                <w:rFonts w:cs="Arial"/>
                <w:szCs w:val="20"/>
              </w:rPr>
            </w:pPr>
            <w:r w:rsidRPr="00BA121F">
              <w:rPr>
                <w:rFonts w:cs="Arial"/>
                <w:szCs w:val="20"/>
              </w:rPr>
              <w:t xml:space="preserve">Jeden student může být zapsán do více forem vzdělávání, např. studovat jeden obor v prezenční formě a druhý v distanční. Součet studentů jednotlivých forem vzdělávání tak nemusí odpovídat celkovému počtu studentů. </w:t>
            </w:r>
          </w:p>
        </w:tc>
      </w:tr>
      <w:tr w:rsidR="00BA121F" w:rsidRPr="00BA121F" w:rsidTr="00906650">
        <w:trPr>
          <w:trHeight w:val="2853"/>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13" w:name="_Toc458510853"/>
            <w:r w:rsidRPr="00BA121F">
              <w:rPr>
                <w:b/>
                <w:bCs/>
                <w:iCs/>
                <w:color w:val="BC091B"/>
              </w:rPr>
              <w:t>Doktorský studijní program</w:t>
            </w:r>
            <w:bookmarkEnd w:id="13"/>
          </w:p>
        </w:tc>
        <w:tc>
          <w:tcPr>
            <w:tcW w:w="6804" w:type="dxa"/>
            <w:shd w:val="clear" w:color="auto" w:fill="auto"/>
            <w:vAlign w:val="center"/>
            <w:hideMark/>
          </w:tcPr>
          <w:p w:rsidR="00BA121F" w:rsidRPr="00BA121F" w:rsidRDefault="00BA121F" w:rsidP="00BA121F">
            <w:pPr>
              <w:spacing w:after="0" w:line="240" w:lineRule="auto"/>
              <w:jc w:val="both"/>
              <w:rPr>
                <w:rFonts w:cs="Arial"/>
                <w:szCs w:val="20"/>
              </w:rPr>
            </w:pPr>
            <w:r w:rsidRPr="00BA121F">
              <w:rPr>
                <w:rFonts w:cs="Arial"/>
                <w:szCs w:val="20"/>
              </w:rPr>
              <w:t xml:space="preserve">Doktorský studijní program je zaměřen na vědecké bádání a samostatnou tvůrčí činnost v oblasti výzkumu nebo vývoje nebo na samostatnou teoretickou a tvůrčí činnost v oblasti umění. Standardní doba studia je nejméně tři a nejvýše čtyři roky a je určené pro absolventy </w:t>
            </w:r>
            <w:hyperlink w:anchor="_Magisterský_studijní_program" w:history="1">
              <w:r w:rsidRPr="00BA121F">
                <w:rPr>
                  <w:rFonts w:cs="Arial"/>
                  <w:color w:val="0000FF"/>
                  <w:szCs w:val="20"/>
                  <w:u w:val="single"/>
                </w:rPr>
                <w:t>magisterského studijního programu</w:t>
              </w:r>
            </w:hyperlink>
            <w:r w:rsidRPr="00BA121F">
              <w:rPr>
                <w:rFonts w:cs="Arial"/>
                <w:szCs w:val="20"/>
              </w:rPr>
              <w:t>. Studium v doktorském studijním programu probíhá podle individuálního studijního plánu pod vedením školitele.</w:t>
            </w:r>
          </w:p>
          <w:p w:rsidR="00BA121F" w:rsidRPr="00BA121F" w:rsidRDefault="00BA121F" w:rsidP="00BA121F">
            <w:pPr>
              <w:spacing w:after="0" w:line="240" w:lineRule="auto"/>
              <w:jc w:val="both"/>
              <w:rPr>
                <w:rFonts w:cs="Arial"/>
                <w:szCs w:val="20"/>
              </w:rPr>
            </w:pPr>
            <w:r w:rsidRPr="00BA121F">
              <w:rPr>
                <w:rFonts w:cs="Arial"/>
                <w:szCs w:val="20"/>
              </w:rPr>
              <w:t xml:space="preserve">Studium se řádně ukončuje státní doktorskou zkouškou a obhajobou disertační práce, kterými se prokazuje schopnost a připravenost k samostatné činnosti v oblasti výzkumu nebo vývoje nebo k samostatné teoretické a tvůrčí umělecké činnosti. </w:t>
            </w:r>
          </w:p>
          <w:p w:rsidR="00BA121F" w:rsidRPr="00BA121F" w:rsidRDefault="00BA121F" w:rsidP="00BA121F">
            <w:pPr>
              <w:spacing w:after="0" w:line="240" w:lineRule="auto"/>
              <w:jc w:val="both"/>
              <w:rPr>
                <w:rFonts w:cs="Arial"/>
                <w:szCs w:val="20"/>
              </w:rPr>
            </w:pPr>
            <w:r w:rsidRPr="00BA121F">
              <w:rPr>
                <w:rFonts w:cs="Arial"/>
                <w:szCs w:val="20"/>
              </w:rPr>
              <w:t>Absolventům studia v doktorských studijních programech se uděluje akademický titul "doktor".</w:t>
            </w:r>
          </w:p>
          <w:p w:rsidR="00BA121F" w:rsidRPr="00BA121F" w:rsidRDefault="00BA121F" w:rsidP="00BA121F">
            <w:pPr>
              <w:spacing w:after="0" w:line="240" w:lineRule="auto"/>
              <w:jc w:val="both"/>
              <w:rPr>
                <w:rFonts w:cs="Arial"/>
                <w:color w:val="000000"/>
                <w:szCs w:val="20"/>
              </w:rPr>
            </w:pPr>
            <w:r w:rsidRPr="00BA121F">
              <w:rPr>
                <w:rFonts w:cs="Arial"/>
                <w:szCs w:val="20"/>
              </w:rPr>
              <w:t xml:space="preserve">Více viz </w:t>
            </w:r>
            <w:hyperlink r:id="rId17" w:history="1">
              <w:r w:rsidRPr="00BA121F">
                <w:rPr>
                  <w:rFonts w:cs="Arial"/>
                  <w:color w:val="0000FF"/>
                  <w:szCs w:val="20"/>
                  <w:u w:val="single"/>
                </w:rPr>
                <w:t>Zákon o vysokých školách</w:t>
              </w:r>
            </w:hyperlink>
            <w:r w:rsidRPr="00BA121F">
              <w:rPr>
                <w:rFonts w:cs="Arial"/>
                <w:szCs w:val="20"/>
              </w:rPr>
              <w:t xml:space="preserve"> (č. 111/1998 Sb., § 47).</w:t>
            </w:r>
          </w:p>
        </w:tc>
      </w:tr>
      <w:tr w:rsidR="00BA121F" w:rsidRPr="00BA121F" w:rsidTr="00906650">
        <w:trPr>
          <w:trHeight w:val="300"/>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14" w:name="_Toc458510854"/>
            <w:r w:rsidRPr="00BA121F">
              <w:rPr>
                <w:b/>
                <w:bCs/>
                <w:iCs/>
                <w:color w:val="BC091B"/>
              </w:rPr>
              <w:t>Gymnázium</w:t>
            </w:r>
            <w:bookmarkEnd w:id="14"/>
          </w:p>
        </w:tc>
        <w:tc>
          <w:tcPr>
            <w:tcW w:w="6804" w:type="dxa"/>
            <w:shd w:val="clear" w:color="auto" w:fill="auto"/>
            <w:vAlign w:val="center"/>
            <w:hideMark/>
          </w:tcPr>
          <w:p w:rsidR="00BA121F" w:rsidRPr="00BA121F" w:rsidRDefault="00BA121F" w:rsidP="00BA121F">
            <w:pPr>
              <w:spacing w:after="0" w:line="240" w:lineRule="auto"/>
              <w:jc w:val="both"/>
              <w:rPr>
                <w:rFonts w:cs="Arial"/>
                <w:color w:val="000000"/>
                <w:szCs w:val="20"/>
              </w:rPr>
            </w:pPr>
            <w:r w:rsidRPr="00BA121F">
              <w:rPr>
                <w:rFonts w:cs="Arial"/>
                <w:color w:val="000000"/>
                <w:szCs w:val="20"/>
              </w:rPr>
              <w:t xml:space="preserve">Gymnázia se řadí do </w:t>
            </w:r>
            <w:hyperlink w:anchor="_Střední_vzdělávání_s" w:history="1">
              <w:r w:rsidRPr="00BA121F">
                <w:rPr>
                  <w:rFonts w:cs="Arial"/>
                  <w:color w:val="0000FF"/>
                  <w:szCs w:val="20"/>
                  <w:u w:val="single"/>
                </w:rPr>
                <w:t>středního vzdělávání s maturitní zkouškou</w:t>
              </w:r>
            </w:hyperlink>
            <w:r w:rsidRPr="00BA121F">
              <w:rPr>
                <w:rFonts w:cs="Arial"/>
                <w:color w:val="000000"/>
                <w:szCs w:val="20"/>
              </w:rPr>
              <w:t xml:space="preserve"> všeobecného zaměření (cílem je tedy připravit žáka pro další studium). Dle délky studia se gymnázia dělí na </w:t>
            </w:r>
            <w:hyperlink w:anchor="_Čtyřleté_gymnázium" w:history="1">
              <w:r w:rsidRPr="00BA121F">
                <w:rPr>
                  <w:rFonts w:cs="Arial"/>
                  <w:color w:val="0000FF"/>
                  <w:szCs w:val="20"/>
                  <w:u w:val="single"/>
                </w:rPr>
                <w:t>čtyřletá</w:t>
              </w:r>
            </w:hyperlink>
            <w:r w:rsidRPr="00BA121F">
              <w:rPr>
                <w:rFonts w:cs="Arial"/>
                <w:color w:val="000000"/>
                <w:szCs w:val="20"/>
              </w:rPr>
              <w:t xml:space="preserve">, </w:t>
            </w:r>
            <w:hyperlink w:anchor="_Šestileté_gymnázium" w:history="1">
              <w:r w:rsidRPr="00BA121F">
                <w:rPr>
                  <w:rFonts w:cs="Arial"/>
                  <w:color w:val="0000FF"/>
                  <w:szCs w:val="20"/>
                  <w:u w:val="single"/>
                </w:rPr>
                <w:t>šestiletá</w:t>
              </w:r>
            </w:hyperlink>
            <w:r w:rsidRPr="00BA121F">
              <w:rPr>
                <w:rFonts w:cs="Arial"/>
                <w:color w:val="000000"/>
                <w:szCs w:val="20"/>
              </w:rPr>
              <w:t xml:space="preserve"> a </w:t>
            </w:r>
            <w:hyperlink w:anchor="_Osmileté_gymnázium" w:history="1">
              <w:r w:rsidRPr="00BA121F">
                <w:rPr>
                  <w:rFonts w:cs="Arial"/>
                  <w:color w:val="0000FF"/>
                  <w:szCs w:val="20"/>
                  <w:u w:val="single"/>
                </w:rPr>
                <w:t>osmiletá</w:t>
              </w:r>
            </w:hyperlink>
            <w:r w:rsidRPr="00BA121F">
              <w:rPr>
                <w:rFonts w:cs="Arial"/>
                <w:color w:val="000000"/>
                <w:szCs w:val="20"/>
              </w:rPr>
              <w:t xml:space="preserve">. Osmiletá a šestiletá gymnázia bývají společně nazývána </w:t>
            </w:r>
            <w:hyperlink w:anchor="_Víceleté_gymnázium" w:history="1">
              <w:r w:rsidRPr="00BA121F">
                <w:rPr>
                  <w:rFonts w:cs="Arial"/>
                  <w:color w:val="0000FF"/>
                  <w:szCs w:val="20"/>
                  <w:u w:val="single"/>
                </w:rPr>
                <w:t>víceletými gymnázii</w:t>
              </w:r>
            </w:hyperlink>
            <w:r w:rsidRPr="00BA121F">
              <w:rPr>
                <w:rFonts w:cs="Arial"/>
                <w:color w:val="000000"/>
                <w:szCs w:val="20"/>
              </w:rPr>
              <w:t xml:space="preserve"> a žáci do nich nastupují po ukončení 5., resp. 7. ročníku základní školy. V nižších ročnících (1. až 4., resp. 1. až 2.) žáci plní </w:t>
            </w:r>
            <w:hyperlink w:anchor="_Povinná_školní_docházka" w:history="1">
              <w:r w:rsidRPr="00BA121F">
                <w:rPr>
                  <w:rFonts w:cs="Arial"/>
                  <w:color w:val="0000FF"/>
                  <w:szCs w:val="20"/>
                  <w:u w:val="single"/>
                </w:rPr>
                <w:t>povinnou školní docházku</w:t>
              </w:r>
            </w:hyperlink>
            <w:r w:rsidRPr="00BA121F">
              <w:t xml:space="preserve"> odpovídající nižšímu sekundárnímu vzdělávání</w:t>
            </w:r>
            <w:r w:rsidRPr="00BA121F">
              <w:rPr>
                <w:rFonts w:cs="Arial"/>
                <w:color w:val="000000"/>
                <w:szCs w:val="20"/>
              </w:rPr>
              <w:t xml:space="preserve">. Ve vyšších ročnících (5. až 8., resp. 3. až 6.) pak vzdělávání ve víceletých gymnáziích odpovídá vzdělávání v 1. až 4. ročníku čtyřletého gymnázia a řadí se do </w:t>
            </w:r>
            <w:hyperlink w:anchor="_Střední_vzdělávání_s" w:history="1">
              <w:r w:rsidRPr="00BA121F">
                <w:rPr>
                  <w:rFonts w:cs="Arial"/>
                  <w:szCs w:val="20"/>
                </w:rPr>
                <w:t>vyššího</w:t>
              </w:r>
            </w:hyperlink>
            <w:r w:rsidRPr="00BA121F">
              <w:t xml:space="preserve"> sekundárního vzdělávání</w:t>
            </w:r>
            <w:r w:rsidRPr="00BA121F">
              <w:rPr>
                <w:rFonts w:cs="Arial"/>
                <w:color w:val="000000"/>
                <w:szCs w:val="20"/>
              </w:rPr>
              <w:t xml:space="preserve"> všeobecného zaměření. </w:t>
            </w:r>
          </w:p>
        </w:tc>
      </w:tr>
      <w:tr w:rsidR="00BA121F" w:rsidRPr="00BA121F" w:rsidTr="00906650">
        <w:trPr>
          <w:trHeight w:val="218"/>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15" w:name="_Toc458510855"/>
            <w:r w:rsidRPr="00BA121F">
              <w:rPr>
                <w:b/>
                <w:bCs/>
                <w:iCs/>
                <w:color w:val="BC091B"/>
              </w:rPr>
              <w:lastRenderedPageBreak/>
              <w:t>KKOV (</w:t>
            </w:r>
            <w:r w:rsidRPr="00BA121F">
              <w:rPr>
                <w:rFonts w:eastAsia="MS Gothic"/>
                <w:b/>
                <w:bCs/>
                <w:iCs/>
                <w:color w:val="BC091B"/>
              </w:rPr>
              <w:t>Klasifikace kmenových oborů vzdělání)</w:t>
            </w:r>
            <w:bookmarkEnd w:id="15"/>
          </w:p>
        </w:tc>
        <w:tc>
          <w:tcPr>
            <w:tcW w:w="6804" w:type="dxa"/>
            <w:shd w:val="clear" w:color="auto" w:fill="auto"/>
            <w:vAlign w:val="center"/>
            <w:hideMark/>
          </w:tcPr>
          <w:p w:rsidR="00BA121F" w:rsidRPr="00BA121F" w:rsidRDefault="00BA121F" w:rsidP="00BA121F">
            <w:pPr>
              <w:spacing w:after="0" w:line="240" w:lineRule="auto"/>
              <w:jc w:val="both"/>
              <w:rPr>
                <w:rFonts w:cs="Arial"/>
                <w:bCs/>
                <w:strike/>
                <w:szCs w:val="20"/>
              </w:rPr>
            </w:pPr>
            <w:r w:rsidRPr="00BA121F">
              <w:rPr>
                <w:rFonts w:cs="Arial"/>
                <w:color w:val="000000"/>
                <w:szCs w:val="20"/>
              </w:rPr>
              <w:t xml:space="preserve">Klasifikace kmenových oborů vzdělání je národní klasifikace, která rozlišuje mezi různými kategoriemi oborů a skupin oborů vzdělávání. </w:t>
            </w:r>
            <w:r w:rsidRPr="00BA121F">
              <w:rPr>
                <w:rFonts w:cs="Arial"/>
                <w:szCs w:val="20"/>
              </w:rPr>
              <w:t>Správcem klasifikace je Ministerstvo školství, mládeže a tělovýchovy.</w:t>
            </w:r>
            <w:r w:rsidRPr="00BA121F">
              <w:rPr>
                <w:rFonts w:cs="Arial"/>
                <w:color w:val="000000"/>
                <w:szCs w:val="20"/>
              </w:rPr>
              <w:t xml:space="preserve"> Více viz </w:t>
            </w:r>
            <w:hyperlink r:id="rId18" w:history="1">
              <w:r w:rsidRPr="00BA121F">
                <w:rPr>
                  <w:rFonts w:cs="Arial"/>
                  <w:color w:val="0000FF"/>
                  <w:szCs w:val="20"/>
                  <w:u w:val="single"/>
                </w:rPr>
                <w:t>zde</w:t>
              </w:r>
            </w:hyperlink>
            <w:r w:rsidRPr="00BA121F">
              <w:rPr>
                <w:rFonts w:cs="Arial"/>
                <w:bCs/>
                <w:szCs w:val="20"/>
              </w:rPr>
              <w:t>.</w:t>
            </w:r>
          </w:p>
        </w:tc>
      </w:tr>
      <w:tr w:rsidR="00BA121F" w:rsidRPr="00BA121F" w:rsidTr="00906650">
        <w:trPr>
          <w:trHeight w:val="300"/>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16" w:name="_Toc458510856"/>
            <w:r w:rsidRPr="00BA121F">
              <w:rPr>
                <w:b/>
                <w:bCs/>
                <w:iCs/>
                <w:color w:val="BC091B"/>
              </w:rPr>
              <w:t>Knihovní jednotka</w:t>
            </w:r>
            <w:bookmarkEnd w:id="16"/>
          </w:p>
        </w:tc>
        <w:tc>
          <w:tcPr>
            <w:tcW w:w="6804" w:type="dxa"/>
            <w:shd w:val="clear" w:color="auto" w:fill="auto"/>
            <w:vAlign w:val="center"/>
            <w:hideMark/>
          </w:tcPr>
          <w:p w:rsidR="00BA121F" w:rsidRPr="00BA121F" w:rsidRDefault="00BA121F" w:rsidP="00BA121F">
            <w:pPr>
              <w:autoSpaceDE w:val="0"/>
              <w:autoSpaceDN w:val="0"/>
              <w:adjustRightInd w:val="0"/>
              <w:spacing w:after="0" w:line="240" w:lineRule="auto"/>
              <w:jc w:val="both"/>
              <w:rPr>
                <w:rFonts w:cs="Arial"/>
                <w:szCs w:val="20"/>
              </w:rPr>
            </w:pPr>
            <w:r w:rsidRPr="00BA121F">
              <w:rPr>
                <w:rFonts w:cs="Arial"/>
                <w:szCs w:val="20"/>
              </w:rPr>
              <w:t>Jakákoli samostatně evidovaná jednotka z fondu knihovny (např. kniha, časopis, noviny, obraz, fotografie, audio či video dokument v podobě CD, DVD apod.).</w:t>
            </w:r>
          </w:p>
        </w:tc>
      </w:tr>
      <w:tr w:rsidR="00BA121F" w:rsidRPr="00BA121F" w:rsidTr="00906650">
        <w:trPr>
          <w:trHeight w:val="3636"/>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17" w:name="_Toc458510857"/>
            <w:r w:rsidRPr="00BA121F">
              <w:rPr>
                <w:b/>
                <w:bCs/>
                <w:iCs/>
                <w:color w:val="BC091B"/>
              </w:rPr>
              <w:t>Konzervatoř</w:t>
            </w:r>
            <w:bookmarkEnd w:id="17"/>
          </w:p>
        </w:tc>
        <w:tc>
          <w:tcPr>
            <w:tcW w:w="6804" w:type="dxa"/>
            <w:shd w:val="clear" w:color="auto" w:fill="auto"/>
            <w:vAlign w:val="center"/>
            <w:hideMark/>
          </w:tcPr>
          <w:p w:rsidR="00BA121F" w:rsidRPr="00BA121F" w:rsidRDefault="00BA121F" w:rsidP="00BA121F">
            <w:pPr>
              <w:autoSpaceDE w:val="0"/>
              <w:autoSpaceDN w:val="0"/>
              <w:adjustRightInd w:val="0"/>
              <w:spacing w:after="0" w:line="240" w:lineRule="auto"/>
              <w:jc w:val="both"/>
              <w:rPr>
                <w:rFonts w:cs="Arial"/>
                <w:color w:val="FF0000"/>
                <w:szCs w:val="20"/>
              </w:rPr>
            </w:pPr>
            <w:r w:rsidRPr="00BA121F">
              <w:rPr>
                <w:rFonts w:cs="Arial"/>
                <w:szCs w:val="20"/>
              </w:rPr>
              <w:t>Vzdělávání v konzervatoři rozvíjí znalosti, dovednosti a další schopnosti žáka získané v </w:t>
            </w:r>
            <w:hyperlink w:anchor="_Základní_vzdělávání" w:history="1">
              <w:r w:rsidRPr="00BA121F">
                <w:rPr>
                  <w:rFonts w:cs="Arial"/>
                  <w:color w:val="0000FF"/>
                  <w:szCs w:val="20"/>
                  <w:u w:val="single"/>
                </w:rPr>
                <w:t>základním</w:t>
              </w:r>
            </w:hyperlink>
            <w:r w:rsidRPr="00BA121F">
              <w:rPr>
                <w:rFonts w:cs="Arial"/>
                <w:szCs w:val="20"/>
              </w:rPr>
              <w:t xml:space="preserve"> a v </w:t>
            </w:r>
            <w:hyperlink w:anchor="_Základní_umělecká_škola" w:history="1">
              <w:r w:rsidRPr="00BA121F">
                <w:rPr>
                  <w:rFonts w:cs="Arial"/>
                  <w:color w:val="0000FF"/>
                  <w:szCs w:val="20"/>
                  <w:u w:val="single"/>
                </w:rPr>
                <w:t>základním uměleckém vzdělávání</w:t>
              </w:r>
            </w:hyperlink>
            <w:r w:rsidRPr="00BA121F">
              <w:rPr>
                <w:rFonts w:cs="Arial"/>
                <w:szCs w:val="20"/>
              </w:rPr>
              <w:t xml:space="preserve">, poskytuje všeobecné vzdělání a připravuje žáky pro výkon náročných uměleckých nebo uměleckých a umělecko-pedagogických činností v oborech hudba, tanec, zpěv a hudebně dramatické umění. </w:t>
            </w:r>
          </w:p>
          <w:p w:rsidR="00BA121F" w:rsidRPr="00BA121F" w:rsidRDefault="00BA121F" w:rsidP="00BA121F">
            <w:pPr>
              <w:spacing w:after="0" w:line="240" w:lineRule="auto"/>
              <w:jc w:val="both"/>
              <w:rPr>
                <w:rFonts w:cs="Arial"/>
                <w:color w:val="000000"/>
                <w:szCs w:val="20"/>
              </w:rPr>
            </w:pPr>
            <w:r w:rsidRPr="00BA121F">
              <w:rPr>
                <w:rFonts w:cs="Arial"/>
                <w:color w:val="000000"/>
                <w:szCs w:val="20"/>
              </w:rPr>
              <w:t xml:space="preserve">V denní formě vzdělávání se konzervatoře dělí dle délky trvání na </w:t>
            </w:r>
            <w:hyperlink w:anchor="_Šestiletá_konzervatoř" w:history="1">
              <w:r w:rsidRPr="00BA121F">
                <w:rPr>
                  <w:rFonts w:cs="Arial"/>
                  <w:color w:val="0000FF"/>
                  <w:szCs w:val="20"/>
                  <w:u w:val="single"/>
                </w:rPr>
                <w:t>šestileté</w:t>
              </w:r>
            </w:hyperlink>
            <w:r w:rsidRPr="00BA121F">
              <w:rPr>
                <w:rFonts w:cs="Arial"/>
                <w:color w:val="000000"/>
                <w:szCs w:val="20"/>
              </w:rPr>
              <w:t xml:space="preserve"> a </w:t>
            </w:r>
            <w:hyperlink w:anchor="_Osmiletá_konzervatoř" w:history="1">
              <w:r w:rsidRPr="00BA121F">
                <w:rPr>
                  <w:rFonts w:cs="Arial"/>
                  <w:color w:val="0000FF"/>
                  <w:szCs w:val="20"/>
                  <w:u w:val="single"/>
                </w:rPr>
                <w:t>osmileté</w:t>
              </w:r>
            </w:hyperlink>
            <w:r w:rsidRPr="00BA121F">
              <w:rPr>
                <w:rFonts w:cs="Arial"/>
                <w:color w:val="000000"/>
                <w:szCs w:val="20"/>
              </w:rPr>
              <w:t xml:space="preserve">. Pro žáky se </w:t>
            </w:r>
            <w:hyperlink w:anchor="_SVP_(speciální_vzdělávací" w:history="1">
              <w:r w:rsidRPr="00BA121F">
                <w:rPr>
                  <w:rFonts w:cs="Arial"/>
                  <w:color w:val="0000FF"/>
                  <w:szCs w:val="20"/>
                  <w:u w:val="single"/>
                </w:rPr>
                <w:t>speciálními vzdělávacími potřebami (SVP</w:t>
              </w:r>
              <w:r w:rsidRPr="00BA121F">
                <w:rPr>
                  <w:color w:val="0000FF"/>
                  <w:u w:val="single"/>
                </w:rPr>
                <w:t>)</w:t>
              </w:r>
            </w:hyperlink>
            <w:r w:rsidRPr="00BA121F">
              <w:rPr>
                <w:rFonts w:cs="Arial"/>
                <w:color w:val="000000"/>
                <w:szCs w:val="20"/>
              </w:rPr>
              <w:t xml:space="preserve"> může být délka studia upravena, pro tyto obory konzervatoří se užívá označení „</w:t>
            </w:r>
            <w:hyperlink w:anchor="_Ostatní_konzervatoře" w:history="1">
              <w:r w:rsidRPr="00BA121F">
                <w:rPr>
                  <w:rFonts w:cs="Arial"/>
                  <w:color w:val="0000FF"/>
                  <w:szCs w:val="20"/>
                  <w:u w:val="single"/>
                </w:rPr>
                <w:t>ostatní</w:t>
              </w:r>
            </w:hyperlink>
            <w:r w:rsidRPr="00BA121F">
              <w:rPr>
                <w:rFonts w:cs="Arial"/>
                <w:color w:val="000000"/>
                <w:szCs w:val="20"/>
              </w:rPr>
              <w:t xml:space="preserve">“. V osmiletých konzervatořích žáci v 1. až 4. ročníku plní </w:t>
            </w:r>
            <w:hyperlink w:anchor="_Povinná_školní_docházka" w:history="1">
              <w:r w:rsidRPr="00BA121F">
                <w:rPr>
                  <w:rFonts w:cs="Arial"/>
                  <w:color w:val="0000FF"/>
                  <w:szCs w:val="20"/>
                  <w:u w:val="single"/>
                </w:rPr>
                <w:t>povinnou školní docházku</w:t>
              </w:r>
            </w:hyperlink>
            <w:r w:rsidRPr="00BA121F">
              <w:rPr>
                <w:rFonts w:cs="Arial"/>
                <w:color w:val="000000"/>
                <w:szCs w:val="20"/>
              </w:rPr>
              <w:t xml:space="preserve">. Na konci 8. ročníku skládají maturitní zkoušku a absolutorium, na základě kterého získávají titul Dis. Do šestiletých konzervatoří nastupují žáci, kteří již mají </w:t>
            </w:r>
            <w:hyperlink w:anchor="_Povinná_školní_docházka" w:history="1">
              <w:r w:rsidRPr="00BA121F">
                <w:rPr>
                  <w:rFonts w:cs="Arial"/>
                  <w:color w:val="0000FF"/>
                  <w:szCs w:val="20"/>
                  <w:u w:val="single"/>
                </w:rPr>
                <w:t>povinnou školní docházku</w:t>
              </w:r>
            </w:hyperlink>
            <w:r w:rsidRPr="00BA121F">
              <w:rPr>
                <w:rFonts w:cs="Arial"/>
                <w:color w:val="000000"/>
                <w:szCs w:val="20"/>
              </w:rPr>
              <w:t xml:space="preserve"> splněnou. Nejdříve po čtyřech letech studia skládají maturitní zkoušku, na konci šestiletého studia skládají absolutorium a získávají titul Dis.</w:t>
            </w:r>
          </w:p>
          <w:p w:rsidR="00BA121F" w:rsidRPr="00BA121F" w:rsidRDefault="00BA121F" w:rsidP="00BA121F">
            <w:pPr>
              <w:autoSpaceDE w:val="0"/>
              <w:autoSpaceDN w:val="0"/>
              <w:adjustRightInd w:val="0"/>
              <w:spacing w:after="0" w:line="240" w:lineRule="auto"/>
              <w:jc w:val="both"/>
              <w:rPr>
                <w:rFonts w:cs="Arial"/>
                <w:szCs w:val="20"/>
              </w:rPr>
            </w:pPr>
            <w:r w:rsidRPr="00BA121F">
              <w:rPr>
                <w:rFonts w:cs="Arial"/>
                <w:szCs w:val="20"/>
              </w:rPr>
              <w:t xml:space="preserve">Více viz </w:t>
            </w:r>
            <w:hyperlink r:id="rId19" w:history="1">
              <w:r w:rsidRPr="00BA121F">
                <w:rPr>
                  <w:rFonts w:eastAsia="MS Gothic" w:cs="Arial"/>
                  <w:color w:val="0000FF"/>
                  <w:szCs w:val="20"/>
                  <w:u w:val="single"/>
                </w:rPr>
                <w:t>Školský zákon</w:t>
              </w:r>
            </w:hyperlink>
            <w:r w:rsidRPr="00BA121F">
              <w:rPr>
                <w:rFonts w:cs="Arial"/>
                <w:szCs w:val="20"/>
              </w:rPr>
              <w:t xml:space="preserve"> (č. 561/2004 Sb., Část pátá).</w:t>
            </w:r>
          </w:p>
        </w:tc>
      </w:tr>
      <w:tr w:rsidR="00BA121F" w:rsidRPr="00BA121F" w:rsidTr="00906650">
        <w:trPr>
          <w:trHeight w:val="600"/>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18" w:name="_Toc458510858"/>
            <w:r w:rsidRPr="00BA121F">
              <w:rPr>
                <w:b/>
                <w:bCs/>
                <w:iCs/>
                <w:color w:val="BC091B"/>
              </w:rPr>
              <w:t>Kvalifikace</w:t>
            </w:r>
            <w:bookmarkEnd w:id="18"/>
          </w:p>
        </w:tc>
        <w:tc>
          <w:tcPr>
            <w:tcW w:w="6804" w:type="dxa"/>
            <w:shd w:val="clear" w:color="auto" w:fill="auto"/>
            <w:vAlign w:val="center"/>
            <w:hideMark/>
          </w:tcPr>
          <w:p w:rsidR="00BA121F" w:rsidRPr="00BA121F" w:rsidRDefault="00BA121F" w:rsidP="00BA121F">
            <w:pPr>
              <w:spacing w:after="0" w:line="240" w:lineRule="auto"/>
              <w:jc w:val="both"/>
              <w:rPr>
                <w:rFonts w:cs="Arial"/>
                <w:szCs w:val="20"/>
              </w:rPr>
            </w:pPr>
            <w:r w:rsidRPr="00BA121F">
              <w:rPr>
                <w:rFonts w:cs="Arial"/>
                <w:szCs w:val="20"/>
              </w:rPr>
              <w:t xml:space="preserve">Kvalifikovanost učitelů je posuzována podle </w:t>
            </w:r>
            <w:hyperlink r:id="rId20" w:history="1">
              <w:r w:rsidRPr="00BA121F">
                <w:rPr>
                  <w:rFonts w:cs="Arial"/>
                  <w:color w:val="0000FF"/>
                  <w:szCs w:val="20"/>
                  <w:u w:val="single"/>
                </w:rPr>
                <w:t>Zákona o pedagogických pracovnících</w:t>
              </w:r>
            </w:hyperlink>
            <w:r w:rsidRPr="00BA121F">
              <w:rPr>
                <w:rFonts w:cs="Arial"/>
                <w:szCs w:val="20"/>
              </w:rPr>
              <w:t xml:space="preserve"> (č. 563/2004 Sb.), ve znění pozdějších předpisů, a příslušných výjimek (§ 22 odst. 5 a 6, § 32 odst. 1, § 8, odst. 3, § 9, odst. 8, § 10, odst. 2, § 11).</w:t>
            </w:r>
          </w:p>
        </w:tc>
      </w:tr>
      <w:tr w:rsidR="00BA121F" w:rsidRPr="00BA121F" w:rsidTr="00906650">
        <w:trPr>
          <w:trHeight w:val="4412"/>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19" w:name="_Toc458510859"/>
            <w:r w:rsidRPr="00BA121F">
              <w:rPr>
                <w:b/>
                <w:bCs/>
                <w:iCs/>
                <w:color w:val="BC091B"/>
              </w:rPr>
              <w:t>Magisterský studijní program</w:t>
            </w:r>
            <w:bookmarkEnd w:id="19"/>
          </w:p>
        </w:tc>
        <w:tc>
          <w:tcPr>
            <w:tcW w:w="6804" w:type="dxa"/>
            <w:shd w:val="clear" w:color="auto" w:fill="auto"/>
            <w:vAlign w:val="center"/>
            <w:hideMark/>
          </w:tcPr>
          <w:p w:rsidR="00BA121F" w:rsidRPr="00BA121F" w:rsidRDefault="00BA121F" w:rsidP="00BA121F">
            <w:pPr>
              <w:spacing w:after="0" w:line="240" w:lineRule="auto"/>
              <w:jc w:val="both"/>
              <w:rPr>
                <w:rFonts w:cs="Arial"/>
                <w:szCs w:val="20"/>
              </w:rPr>
            </w:pPr>
            <w:r w:rsidRPr="00BA121F">
              <w:rPr>
                <w:rFonts w:cs="Arial"/>
                <w:szCs w:val="20"/>
              </w:rPr>
              <w:t xml:space="preserve">Magisterský studijní program je zaměřen na získání teoretických poznatků založených na soudobém stavu vědeckého poznání, výzkumu a vývoje, na zvládnutí jejich aplikace a na rozvinutí schopností k tvůrčí činnosti; v oblasti umění je zaměřen na náročnou uměleckou přípravu a rozvíjení talentu. </w:t>
            </w:r>
          </w:p>
          <w:p w:rsidR="00BA121F" w:rsidRPr="00BA121F" w:rsidRDefault="00BA121F" w:rsidP="00BA121F">
            <w:pPr>
              <w:spacing w:after="0" w:line="240" w:lineRule="auto"/>
              <w:jc w:val="both"/>
              <w:rPr>
                <w:rFonts w:cs="Arial"/>
                <w:szCs w:val="20"/>
              </w:rPr>
            </w:pPr>
            <w:r w:rsidRPr="00BA121F">
              <w:rPr>
                <w:rFonts w:cs="Arial"/>
                <w:szCs w:val="20"/>
              </w:rPr>
              <w:t xml:space="preserve">Magisterský studijní program obvykle navazuje na </w:t>
            </w:r>
            <w:hyperlink w:anchor="_Bakalářský_studijní_program" w:history="1">
              <w:r w:rsidRPr="00BA121F">
                <w:rPr>
                  <w:rFonts w:cs="Arial"/>
                  <w:color w:val="0000FF"/>
                  <w:szCs w:val="20"/>
                  <w:u w:val="single"/>
                </w:rPr>
                <w:t>bakalářský studijní program</w:t>
              </w:r>
            </w:hyperlink>
            <w:r w:rsidRPr="00BA121F">
              <w:rPr>
                <w:rFonts w:cs="Arial"/>
                <w:szCs w:val="20"/>
              </w:rPr>
              <w:t xml:space="preserve">; standardní doba tohoto studia je nejméně jeden a nejvýše tři roky. V případech, kdy to vyžaduje charakter studijního programu (např. v oblastech lékařství, práva či umění), může být udělena akreditace magisterskému studijnímu programu, který nenavazuje na bakalářský studijní program, ale je určený pro absolventy </w:t>
            </w:r>
            <w:hyperlink w:anchor="_Střední_vzdělávání_s" w:history="1">
              <w:r w:rsidRPr="00BA121F">
                <w:rPr>
                  <w:rFonts w:cs="Arial"/>
                  <w:color w:val="0000FF"/>
                  <w:szCs w:val="20"/>
                  <w:u w:val="single"/>
                </w:rPr>
                <w:t xml:space="preserve">středního vzdělávání </w:t>
              </w:r>
              <w:r w:rsidRPr="00BA121F">
                <w:rPr>
                  <w:color w:val="0000FF"/>
                  <w:u w:val="single"/>
                </w:rPr>
                <w:t>s maturitní zkouškou</w:t>
              </w:r>
            </w:hyperlink>
            <w:r w:rsidRPr="00BA121F">
              <w:rPr>
                <w:rFonts w:cs="Arial"/>
                <w:szCs w:val="20"/>
              </w:rPr>
              <w:t xml:space="preserve"> a jeho standardní doba studia je nejméně čtyři a nejvýše šest roků. V obou případech se studium řádně ukončuje státní závěrečnou zkouškou, jejíž součástí je obhajoba diplomové práce. V oblasti lékařství a veterinárního lékařství a hygieny se studium řádně ukončuje státní rigorózní zkouškou. Více viz </w:t>
            </w:r>
            <w:hyperlink r:id="rId21" w:history="1">
              <w:r w:rsidRPr="00BA121F">
                <w:rPr>
                  <w:rFonts w:cs="Arial"/>
                  <w:color w:val="0000FF"/>
                  <w:szCs w:val="20"/>
                  <w:u w:val="single"/>
                </w:rPr>
                <w:t>Zákon o vysokých školách</w:t>
              </w:r>
            </w:hyperlink>
            <w:r w:rsidRPr="00BA121F">
              <w:rPr>
                <w:rFonts w:cs="Arial"/>
                <w:szCs w:val="20"/>
              </w:rPr>
              <w:t xml:space="preserve"> (č. 111/1998 Sb., § 46). </w:t>
            </w:r>
          </w:p>
          <w:p w:rsidR="00BA121F" w:rsidRPr="00BA121F" w:rsidRDefault="00BA121F" w:rsidP="00BA121F">
            <w:pPr>
              <w:spacing w:after="0" w:line="240" w:lineRule="auto"/>
              <w:jc w:val="both"/>
              <w:rPr>
                <w:rFonts w:cs="Arial"/>
                <w:color w:val="000000"/>
                <w:szCs w:val="20"/>
              </w:rPr>
            </w:pPr>
            <w:r w:rsidRPr="00BA121F">
              <w:rPr>
                <w:rFonts w:cs="Arial"/>
                <w:szCs w:val="20"/>
              </w:rPr>
              <w:t xml:space="preserve">V tabulkách v této publikaci je sledován „magisterský studijní program“ jako celek (zahrnující navazující i nenavazující magisterský studijní program), nebo v dělení na „magisterský studijní program“ (tj. nenavazující) a „navazující magisterský studijní program“. </w:t>
            </w:r>
          </w:p>
        </w:tc>
      </w:tr>
      <w:tr w:rsidR="00BA121F" w:rsidRPr="00BA121F" w:rsidTr="00906650">
        <w:trPr>
          <w:trHeight w:val="600"/>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20" w:name="_Toc458510860"/>
            <w:r w:rsidRPr="00BA121F">
              <w:rPr>
                <w:b/>
                <w:bCs/>
                <w:iCs/>
                <w:color w:val="BC091B"/>
              </w:rPr>
              <w:t>Mateřská škola</w:t>
            </w:r>
            <w:bookmarkEnd w:id="20"/>
          </w:p>
        </w:tc>
        <w:tc>
          <w:tcPr>
            <w:tcW w:w="6804" w:type="dxa"/>
            <w:shd w:val="clear" w:color="auto" w:fill="auto"/>
            <w:vAlign w:val="center"/>
            <w:hideMark/>
          </w:tcPr>
          <w:p w:rsidR="00BA121F" w:rsidRPr="00BA121F" w:rsidRDefault="00BA121F" w:rsidP="00BA121F">
            <w:pPr>
              <w:spacing w:after="0" w:line="240" w:lineRule="auto"/>
              <w:jc w:val="both"/>
              <w:rPr>
                <w:rFonts w:cs="Arial"/>
                <w:color w:val="000000"/>
                <w:szCs w:val="20"/>
              </w:rPr>
            </w:pPr>
            <w:r w:rsidRPr="00BA121F">
              <w:t>Předškolní vzdělávání se organizuje pro děti ve věku zpravidla od 3 do 6 let, nejdříve však pro děti od 2 let. Od počátku školního roku, který následuje po dni, kdy dítě dosáhne pátého roku věku, do zahájení povinné školní docházky dítěte, je předškolní vzdělávání povinné.</w:t>
            </w:r>
          </w:p>
        </w:tc>
      </w:tr>
      <w:tr w:rsidR="00BA121F" w:rsidRPr="00BA121F" w:rsidTr="00906650">
        <w:trPr>
          <w:trHeight w:val="600"/>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21" w:name="_Toc458510861"/>
            <w:r w:rsidRPr="00BA121F">
              <w:rPr>
                <w:b/>
                <w:bCs/>
                <w:iCs/>
                <w:color w:val="BC091B"/>
              </w:rPr>
              <w:lastRenderedPageBreak/>
              <w:t>Nástavbové studium</w:t>
            </w:r>
            <w:bookmarkEnd w:id="21"/>
          </w:p>
        </w:tc>
        <w:tc>
          <w:tcPr>
            <w:tcW w:w="6804" w:type="dxa"/>
            <w:shd w:val="clear" w:color="auto" w:fill="auto"/>
            <w:vAlign w:val="center"/>
            <w:hideMark/>
          </w:tcPr>
          <w:p w:rsidR="00BA121F" w:rsidRPr="00BA121F" w:rsidRDefault="00BA121F" w:rsidP="00BA121F">
            <w:pPr>
              <w:spacing w:after="0" w:line="240" w:lineRule="auto"/>
              <w:jc w:val="both"/>
              <w:rPr>
                <w:rFonts w:cs="Arial"/>
                <w:szCs w:val="20"/>
              </w:rPr>
            </w:pPr>
            <w:r w:rsidRPr="00BA121F">
              <w:rPr>
                <w:rFonts w:cs="Arial"/>
                <w:color w:val="000000"/>
                <w:szCs w:val="20"/>
              </w:rPr>
              <w:t>Nástavbové studium je studium zakončené maturitní zkouškou a je určené pro uchazeče, kteří získali střední vzdělání s </w:t>
            </w:r>
            <w:r w:rsidRPr="00BA121F">
              <w:rPr>
                <w:rFonts w:cs="Arial"/>
                <w:szCs w:val="20"/>
              </w:rPr>
              <w:t>výučním listem (v délce 3 let denní formy studia) v příbuzném oboru vzdělání. V denní formě trvá dva roky.</w:t>
            </w:r>
          </w:p>
          <w:p w:rsidR="00BA121F" w:rsidRPr="00BA121F" w:rsidRDefault="00BA121F" w:rsidP="00BA121F">
            <w:pPr>
              <w:spacing w:after="0" w:line="240" w:lineRule="auto"/>
              <w:jc w:val="both"/>
              <w:rPr>
                <w:rFonts w:cs="Arial"/>
                <w:szCs w:val="20"/>
              </w:rPr>
            </w:pPr>
            <w:r w:rsidRPr="00BA121F">
              <w:rPr>
                <w:rFonts w:cs="Arial"/>
                <w:szCs w:val="20"/>
              </w:rPr>
              <w:t xml:space="preserve">Více viz </w:t>
            </w:r>
            <w:hyperlink r:id="rId22" w:history="1">
              <w:r w:rsidRPr="00BA121F">
                <w:rPr>
                  <w:rFonts w:eastAsia="MS Gothic" w:cs="Arial"/>
                  <w:color w:val="0000FF"/>
                  <w:szCs w:val="20"/>
                  <w:u w:val="single"/>
                </w:rPr>
                <w:t>Školský zákon</w:t>
              </w:r>
            </w:hyperlink>
            <w:r w:rsidRPr="00BA121F">
              <w:rPr>
                <w:rFonts w:cs="Arial"/>
                <w:szCs w:val="20"/>
              </w:rPr>
              <w:t xml:space="preserve"> (č. 561/2004 Sb., § 83).</w:t>
            </w:r>
          </w:p>
        </w:tc>
      </w:tr>
      <w:tr w:rsidR="00BA121F" w:rsidRPr="00BA121F" w:rsidTr="00906650">
        <w:trPr>
          <w:trHeight w:val="300"/>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22" w:name="_Toc458510862"/>
            <w:r w:rsidRPr="00BA121F">
              <w:rPr>
                <w:b/>
                <w:bCs/>
                <w:iCs/>
                <w:color w:val="BC091B"/>
              </w:rPr>
              <w:t>Navazující magisterský studijní program</w:t>
            </w:r>
            <w:bookmarkEnd w:id="22"/>
          </w:p>
        </w:tc>
        <w:tc>
          <w:tcPr>
            <w:tcW w:w="6804" w:type="dxa"/>
            <w:shd w:val="clear" w:color="auto" w:fill="auto"/>
            <w:vAlign w:val="center"/>
            <w:hideMark/>
          </w:tcPr>
          <w:p w:rsidR="00BA121F" w:rsidRPr="00BA121F" w:rsidRDefault="00BA121F" w:rsidP="00BA121F">
            <w:pPr>
              <w:spacing w:after="0" w:line="240" w:lineRule="auto"/>
              <w:jc w:val="both"/>
              <w:rPr>
                <w:rFonts w:cs="Arial"/>
                <w:color w:val="000000"/>
                <w:szCs w:val="20"/>
              </w:rPr>
            </w:pPr>
            <w:r w:rsidRPr="00BA121F">
              <w:rPr>
                <w:rFonts w:cs="Arial"/>
                <w:szCs w:val="20"/>
              </w:rPr>
              <w:t xml:space="preserve">Navazující magisterský studijní program navazuje na </w:t>
            </w:r>
            <w:hyperlink w:anchor="_Bakalářský_studijní_program" w:history="1">
              <w:r w:rsidRPr="00BA121F">
                <w:rPr>
                  <w:rFonts w:cs="Arial"/>
                  <w:color w:val="0000FF"/>
                  <w:szCs w:val="20"/>
                  <w:u w:val="single"/>
                </w:rPr>
                <w:t>bakalářský studijní program</w:t>
              </w:r>
            </w:hyperlink>
            <w:r w:rsidRPr="00BA121F">
              <w:rPr>
                <w:rFonts w:cs="Arial"/>
                <w:szCs w:val="20"/>
              </w:rPr>
              <w:t xml:space="preserve"> a standardní doba tohoto studia je nejméně jeden a nejvýše tři roky. Více viz pojem </w:t>
            </w:r>
            <w:hyperlink w:anchor="_Magisterský_studijní_program" w:history="1">
              <w:r w:rsidRPr="00BA121F">
                <w:rPr>
                  <w:rFonts w:cs="Arial"/>
                  <w:color w:val="0000FF"/>
                  <w:szCs w:val="20"/>
                  <w:u w:val="single"/>
                </w:rPr>
                <w:t>magisterský studijní program</w:t>
              </w:r>
            </w:hyperlink>
            <w:r w:rsidRPr="00BA121F">
              <w:rPr>
                <w:rFonts w:cs="Arial"/>
                <w:szCs w:val="20"/>
              </w:rPr>
              <w:t>.</w:t>
            </w:r>
          </w:p>
        </w:tc>
      </w:tr>
      <w:tr w:rsidR="00BA121F" w:rsidRPr="00BA121F" w:rsidTr="00906650">
        <w:trPr>
          <w:trHeight w:val="300"/>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23" w:name="_Toc458510863"/>
            <w:r w:rsidRPr="00BA121F">
              <w:rPr>
                <w:b/>
                <w:bCs/>
                <w:iCs/>
                <w:color w:val="BC091B"/>
              </w:rPr>
              <w:t>(Nižší) střední vzdělání</w:t>
            </w:r>
            <w:bookmarkEnd w:id="23"/>
          </w:p>
        </w:tc>
        <w:tc>
          <w:tcPr>
            <w:tcW w:w="6804" w:type="dxa"/>
            <w:shd w:val="clear" w:color="auto" w:fill="auto"/>
            <w:vAlign w:val="center"/>
            <w:hideMark/>
          </w:tcPr>
          <w:p w:rsidR="00BA121F" w:rsidRPr="00BA121F" w:rsidRDefault="00BA121F" w:rsidP="00BA121F">
            <w:pPr>
              <w:spacing w:after="0" w:line="240" w:lineRule="auto"/>
              <w:jc w:val="both"/>
              <w:rPr>
                <w:rFonts w:cs="Arial"/>
                <w:szCs w:val="20"/>
              </w:rPr>
            </w:pPr>
            <w:r w:rsidRPr="00BA121F">
              <w:rPr>
                <w:rFonts w:cs="Arial"/>
                <w:color w:val="000000"/>
                <w:szCs w:val="20"/>
              </w:rPr>
              <w:t>(Nižší) střední vzdělání je ve statistikách Ministerstva školství, mládeže a tělovýchovy v </w:t>
            </w:r>
            <w:hyperlink r:id="rId23" w:history="1">
              <w:r w:rsidRPr="00BA121F">
                <w:rPr>
                  <w:rFonts w:cs="Arial"/>
                  <w:color w:val="0000FF"/>
                  <w:szCs w:val="20"/>
                  <w:u w:val="single"/>
                </w:rPr>
                <w:t>Školském zákoně</w:t>
              </w:r>
            </w:hyperlink>
            <w:r w:rsidRPr="00BA121F">
              <w:t xml:space="preserve"> </w:t>
            </w:r>
            <w:r w:rsidRPr="00BA121F">
              <w:rPr>
                <w:rFonts w:cs="Arial"/>
                <w:szCs w:val="20"/>
              </w:rPr>
              <w:t xml:space="preserve">(č. 561/2004 Sb., </w:t>
            </w:r>
            <w:r w:rsidRPr="00BA121F">
              <w:rPr>
                <w:rFonts w:cs="Arial"/>
                <w:color w:val="000000"/>
                <w:szCs w:val="20"/>
              </w:rPr>
              <w:t>§ 58</w:t>
            </w:r>
            <w:r w:rsidRPr="00BA121F">
              <w:rPr>
                <w:rFonts w:cs="Arial"/>
                <w:szCs w:val="20"/>
              </w:rPr>
              <w:t xml:space="preserve">) </w:t>
            </w:r>
            <w:r w:rsidRPr="00BA121F">
              <w:rPr>
                <w:rFonts w:cs="Arial"/>
                <w:color w:val="000000"/>
                <w:szCs w:val="20"/>
              </w:rPr>
              <w:t xml:space="preserve">označováno jako střední vzdělání. Řadí se do širší kategorie </w:t>
            </w:r>
            <w:hyperlink w:anchor="_Střední_vzdělávání" w:history="1">
              <w:r w:rsidRPr="00BA121F">
                <w:rPr>
                  <w:rFonts w:cs="Arial"/>
                  <w:color w:val="0000FF"/>
                  <w:szCs w:val="20"/>
                  <w:u w:val="single"/>
                </w:rPr>
                <w:t>středního vzdělávání</w:t>
              </w:r>
            </w:hyperlink>
            <w:r w:rsidRPr="00BA121F">
              <w:rPr>
                <w:rFonts w:cs="Arial"/>
                <w:color w:val="000000"/>
                <w:szCs w:val="20"/>
              </w:rPr>
              <w:t xml:space="preserve"> a jsou jím označovány (zpravidla dvouleté) studijní programy ukončené závěrečnou zkouškou (tj. bez získání výučního listu či maturitního vysvědčení). Do tohoto druhu vzdělávání patří také 1 až 2 leté vzdělávání v oboru rodinné školy, které je určeno pro žáky s těžšími a kombinovanými formami zdravotního postižení.</w:t>
            </w:r>
          </w:p>
        </w:tc>
      </w:tr>
      <w:tr w:rsidR="00BA121F" w:rsidRPr="00BA121F" w:rsidTr="00906650">
        <w:trPr>
          <w:trHeight w:val="300"/>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24" w:name="_Toc458510864"/>
            <w:r w:rsidRPr="00BA121F">
              <w:rPr>
                <w:b/>
                <w:bCs/>
                <w:iCs/>
                <w:color w:val="BC091B"/>
              </w:rPr>
              <w:t>Nově přijatí</w:t>
            </w:r>
            <w:bookmarkEnd w:id="24"/>
          </w:p>
          <w:p w:rsidR="00BA121F" w:rsidRPr="00BA121F" w:rsidRDefault="00BA121F" w:rsidP="00BA121F">
            <w:pPr>
              <w:keepNext/>
              <w:keepLines/>
              <w:spacing w:after="0"/>
              <w:outlineLvl w:val="3"/>
              <w:rPr>
                <w:b/>
                <w:bCs/>
                <w:iCs/>
                <w:color w:val="BC091B"/>
              </w:rPr>
            </w:pPr>
            <w:bookmarkStart w:id="25" w:name="_Toc458510865"/>
            <w:r w:rsidRPr="00BA121F">
              <w:rPr>
                <w:b/>
                <w:bCs/>
                <w:iCs/>
                <w:color w:val="BC091B"/>
              </w:rPr>
              <w:t>do 1. ročníku</w:t>
            </w:r>
            <w:bookmarkEnd w:id="25"/>
          </w:p>
        </w:tc>
        <w:tc>
          <w:tcPr>
            <w:tcW w:w="6804" w:type="dxa"/>
            <w:shd w:val="clear" w:color="auto" w:fill="auto"/>
            <w:vAlign w:val="center"/>
            <w:hideMark/>
          </w:tcPr>
          <w:p w:rsidR="00BA121F" w:rsidRPr="00BA121F" w:rsidRDefault="00BA121F" w:rsidP="00BA121F">
            <w:pPr>
              <w:spacing w:after="0" w:line="240" w:lineRule="auto"/>
              <w:jc w:val="both"/>
              <w:rPr>
                <w:rFonts w:cs="Arial"/>
                <w:color w:val="000000"/>
                <w:szCs w:val="20"/>
              </w:rPr>
            </w:pPr>
            <w:r w:rsidRPr="00BA121F">
              <w:rPr>
                <w:rFonts w:cs="Arial"/>
                <w:color w:val="000000"/>
                <w:szCs w:val="20"/>
              </w:rPr>
              <w:t>Do nově přijatých do 1. ročníku jsou zahrnuti všichni žáci přijatí do 1. ročníku bez žáků, kteří opakují 1. ročník, a bez žáků, kteří ve studiu pokračují po jeho přerušení.</w:t>
            </w:r>
          </w:p>
        </w:tc>
      </w:tr>
      <w:tr w:rsidR="00BA121F" w:rsidRPr="00BA121F" w:rsidTr="00906650">
        <w:trPr>
          <w:trHeight w:val="365"/>
        </w:trPr>
        <w:tc>
          <w:tcPr>
            <w:tcW w:w="2425" w:type="dxa"/>
            <w:shd w:val="clear" w:color="auto" w:fill="auto"/>
            <w:vAlign w:val="center"/>
            <w:hideMark/>
          </w:tcPr>
          <w:p w:rsidR="00BA121F" w:rsidRPr="00BA121F" w:rsidRDefault="00BA121F" w:rsidP="00BA121F">
            <w:pPr>
              <w:keepNext/>
              <w:keepLines/>
              <w:spacing w:after="0"/>
              <w:outlineLvl w:val="3"/>
              <w:rPr>
                <w:b/>
                <w:bCs/>
                <w:iCs/>
                <w:color w:val="BC091B"/>
              </w:rPr>
            </w:pPr>
            <w:bookmarkStart w:id="26" w:name="_Toc458510866"/>
            <w:r w:rsidRPr="00BA121F">
              <w:rPr>
                <w:b/>
                <w:bCs/>
                <w:iCs/>
                <w:color w:val="BC091B"/>
              </w:rPr>
              <w:t>Osmileté gymnázium</w:t>
            </w:r>
            <w:bookmarkEnd w:id="26"/>
          </w:p>
        </w:tc>
        <w:tc>
          <w:tcPr>
            <w:tcW w:w="6804" w:type="dxa"/>
            <w:shd w:val="clear" w:color="auto" w:fill="auto"/>
            <w:vAlign w:val="center"/>
            <w:hideMark/>
          </w:tcPr>
          <w:p w:rsidR="00BA121F" w:rsidRPr="00BA121F" w:rsidRDefault="00BA121F" w:rsidP="00BA121F">
            <w:pPr>
              <w:spacing w:after="0" w:line="240" w:lineRule="auto"/>
              <w:jc w:val="both"/>
              <w:rPr>
                <w:rFonts w:cs="Arial"/>
                <w:color w:val="000000"/>
                <w:szCs w:val="20"/>
              </w:rPr>
            </w:pPr>
            <w:r w:rsidRPr="00BA121F">
              <w:rPr>
                <w:rFonts w:cs="Arial"/>
                <w:color w:val="000000"/>
                <w:szCs w:val="20"/>
              </w:rPr>
              <w:t xml:space="preserve">V osmiletých gymnáziích žáci v 1. až 4. ročníku plní </w:t>
            </w:r>
            <w:hyperlink w:anchor="_Povinná_školní_docházka" w:history="1">
              <w:r w:rsidRPr="00BA121F">
                <w:rPr>
                  <w:rFonts w:cs="Arial"/>
                  <w:color w:val="0000FF"/>
                  <w:szCs w:val="20"/>
                  <w:u w:val="single"/>
                </w:rPr>
                <w:t>povinnou školní docházku</w:t>
              </w:r>
            </w:hyperlink>
            <w:r w:rsidRPr="00BA121F">
              <w:rPr>
                <w:rFonts w:cs="Arial"/>
                <w:color w:val="000000"/>
                <w:szCs w:val="20"/>
              </w:rPr>
              <w:t xml:space="preserve">. Osmileté gymnázium se řadí do kategorie </w:t>
            </w:r>
            <w:hyperlink w:anchor="_Střední_vzdělávání" w:history="1">
              <w:r w:rsidRPr="00BA121F">
                <w:rPr>
                  <w:rFonts w:cs="Arial"/>
                  <w:color w:val="0000FF"/>
                  <w:szCs w:val="20"/>
                  <w:u w:val="single"/>
                </w:rPr>
                <w:t>středního vzdělávání</w:t>
              </w:r>
            </w:hyperlink>
            <w:r w:rsidRPr="00BA121F">
              <w:rPr>
                <w:rFonts w:cs="Arial"/>
                <w:color w:val="000000"/>
                <w:szCs w:val="20"/>
              </w:rPr>
              <w:t xml:space="preserve"> všeobecného zaměření a poskytuje nižší (1. až 4. ročník) a vyšší (5. až 8. ročník) sekundární vzdělávání. Spolu s </w:t>
            </w:r>
            <w:hyperlink w:anchor="_Šestileté_gymnázium" w:history="1">
              <w:r w:rsidRPr="00BA121F">
                <w:rPr>
                  <w:rFonts w:cs="Arial"/>
                  <w:color w:val="0000FF"/>
                  <w:szCs w:val="20"/>
                  <w:u w:val="single"/>
                </w:rPr>
                <w:t>šestiletým gymnáziem</w:t>
              </w:r>
            </w:hyperlink>
            <w:r w:rsidRPr="00BA121F">
              <w:rPr>
                <w:rFonts w:cs="Arial"/>
                <w:color w:val="000000"/>
                <w:szCs w:val="20"/>
              </w:rPr>
              <w:t xml:space="preserve"> bývá též označováno jako </w:t>
            </w:r>
            <w:hyperlink w:anchor="_Víceleté_gymnázium" w:history="1">
              <w:r w:rsidRPr="00BA121F">
                <w:rPr>
                  <w:rFonts w:cs="Arial"/>
                  <w:color w:val="0000FF"/>
                  <w:szCs w:val="20"/>
                  <w:u w:val="single"/>
                </w:rPr>
                <w:t>víceleté gymnázium</w:t>
              </w:r>
            </w:hyperlink>
            <w:r w:rsidRPr="00BA121F">
              <w:rPr>
                <w:rFonts w:cs="Arial"/>
                <w:color w:val="000000"/>
                <w:szCs w:val="20"/>
              </w:rPr>
              <w:t xml:space="preserve"> (viz též výklad k pojmu </w:t>
            </w:r>
            <w:hyperlink w:anchor="_Gymnázium" w:history="1">
              <w:r w:rsidRPr="00BA121F">
                <w:rPr>
                  <w:rFonts w:cs="Arial"/>
                  <w:color w:val="0000FF"/>
                  <w:szCs w:val="20"/>
                  <w:u w:val="single"/>
                </w:rPr>
                <w:t>gymnázium</w:t>
              </w:r>
            </w:hyperlink>
            <w:r w:rsidRPr="00BA121F">
              <w:rPr>
                <w:rFonts w:cs="Arial"/>
                <w:color w:val="000000"/>
                <w:szCs w:val="20"/>
              </w:rPr>
              <w:t>).</w:t>
            </w:r>
          </w:p>
        </w:tc>
      </w:tr>
      <w:tr w:rsidR="00BA121F" w:rsidRPr="00BA121F" w:rsidTr="00906650">
        <w:trPr>
          <w:trHeight w:val="2287"/>
        </w:trPr>
        <w:tc>
          <w:tcPr>
            <w:tcW w:w="2425" w:type="dxa"/>
            <w:shd w:val="clear" w:color="auto" w:fill="auto"/>
            <w:vAlign w:val="center"/>
            <w:hideMark/>
          </w:tcPr>
          <w:p w:rsidR="00BA121F" w:rsidRPr="00BA121F" w:rsidRDefault="00BA121F" w:rsidP="00BA121F">
            <w:pPr>
              <w:keepNext/>
              <w:keepLines/>
              <w:spacing w:after="0"/>
              <w:outlineLvl w:val="3"/>
              <w:rPr>
                <w:b/>
                <w:bCs/>
                <w:iCs/>
                <w:color w:val="BC091B"/>
              </w:rPr>
            </w:pPr>
            <w:bookmarkStart w:id="27" w:name="_Toc458510867"/>
            <w:r w:rsidRPr="00BA121F">
              <w:rPr>
                <w:b/>
                <w:bCs/>
                <w:iCs/>
                <w:color w:val="BC091B"/>
              </w:rPr>
              <w:t>Osmiletá konzervatoř</w:t>
            </w:r>
            <w:bookmarkEnd w:id="27"/>
          </w:p>
        </w:tc>
        <w:tc>
          <w:tcPr>
            <w:tcW w:w="6804" w:type="dxa"/>
            <w:shd w:val="clear" w:color="auto" w:fill="auto"/>
            <w:vAlign w:val="center"/>
            <w:hideMark/>
          </w:tcPr>
          <w:p w:rsidR="00BA121F" w:rsidRPr="00BA121F" w:rsidRDefault="00BA121F" w:rsidP="00BA121F">
            <w:pPr>
              <w:spacing w:after="0" w:line="240" w:lineRule="auto"/>
              <w:jc w:val="both"/>
              <w:rPr>
                <w:rFonts w:cs="Arial"/>
                <w:color w:val="000000"/>
                <w:szCs w:val="20"/>
              </w:rPr>
            </w:pPr>
            <w:r w:rsidRPr="00BA121F">
              <w:rPr>
                <w:rFonts w:cs="Arial"/>
                <w:color w:val="000000"/>
                <w:szCs w:val="20"/>
              </w:rPr>
              <w:t xml:space="preserve">V osmiletých konzervatořích žáci v 1. až 4. ročníku plní </w:t>
            </w:r>
            <w:hyperlink w:anchor="_Povinná_školní_docházka" w:history="1">
              <w:r w:rsidRPr="00BA121F">
                <w:rPr>
                  <w:rFonts w:cs="Arial"/>
                  <w:color w:val="0000FF"/>
                  <w:szCs w:val="20"/>
                  <w:u w:val="single"/>
                </w:rPr>
                <w:t>povinnou školní docházku</w:t>
              </w:r>
            </w:hyperlink>
            <w:r w:rsidRPr="00BA121F">
              <w:rPr>
                <w:rFonts w:cs="Arial"/>
                <w:color w:val="000000"/>
                <w:szCs w:val="20"/>
              </w:rPr>
              <w:t xml:space="preserve">. Na konci 8. ročníku skládají maturitní zkoušku (tj. dokončí </w:t>
            </w:r>
            <w:hyperlink w:anchor="_Střední_vzdělávání" w:history="1">
              <w:r w:rsidRPr="00BA121F">
                <w:rPr>
                  <w:rFonts w:cs="Arial"/>
                  <w:color w:val="0000FF"/>
                  <w:szCs w:val="20"/>
                  <w:u w:val="single"/>
                </w:rPr>
                <w:t>střední vzdělávání</w:t>
              </w:r>
            </w:hyperlink>
            <w:r w:rsidRPr="00BA121F">
              <w:rPr>
                <w:rFonts w:cs="Arial"/>
                <w:color w:val="000000"/>
                <w:szCs w:val="20"/>
              </w:rPr>
              <w:t xml:space="preserve">) a následně absolutorium, na základě kterého získávají titul Dis. (tj. dokončí </w:t>
            </w:r>
            <w:hyperlink w:anchor="_Vyšší_odborné_vzdělávání" w:history="1">
              <w:r w:rsidRPr="00BA121F">
                <w:rPr>
                  <w:rFonts w:cs="Arial"/>
                  <w:color w:val="0000FF"/>
                  <w:szCs w:val="20"/>
                  <w:u w:val="single"/>
                </w:rPr>
                <w:t>vyšší odborné vzdělání</w:t>
              </w:r>
            </w:hyperlink>
            <w:r w:rsidRPr="00BA121F">
              <w:rPr>
                <w:rFonts w:cs="Arial"/>
                <w:color w:val="000000"/>
                <w:szCs w:val="20"/>
              </w:rPr>
              <w:t xml:space="preserve"> na konzervatoři).</w:t>
            </w:r>
          </w:p>
          <w:p w:rsidR="00BA121F" w:rsidRPr="00BA121F" w:rsidRDefault="00BA121F" w:rsidP="00BA121F">
            <w:pPr>
              <w:spacing w:after="0" w:line="240" w:lineRule="auto"/>
              <w:jc w:val="both"/>
              <w:rPr>
                <w:rFonts w:cs="Arial"/>
                <w:color w:val="000000"/>
                <w:szCs w:val="20"/>
              </w:rPr>
            </w:pPr>
            <w:r w:rsidRPr="00BA121F">
              <w:rPr>
                <w:rFonts w:cs="Arial"/>
                <w:color w:val="000000"/>
                <w:szCs w:val="20"/>
              </w:rPr>
              <w:t xml:space="preserve">Viz též výklad u pojmu </w:t>
            </w:r>
            <w:hyperlink w:anchor="_Konzervatoř" w:history="1">
              <w:r w:rsidRPr="00BA121F">
                <w:rPr>
                  <w:rFonts w:cs="Arial"/>
                  <w:color w:val="0000FF"/>
                  <w:szCs w:val="20"/>
                  <w:u w:val="single"/>
                </w:rPr>
                <w:t>konzervatoř</w:t>
              </w:r>
            </w:hyperlink>
            <w:r w:rsidRPr="00BA121F">
              <w:rPr>
                <w:rFonts w:cs="Arial"/>
                <w:color w:val="000000"/>
                <w:szCs w:val="20"/>
              </w:rPr>
              <w:t>.</w:t>
            </w:r>
          </w:p>
        </w:tc>
      </w:tr>
      <w:tr w:rsidR="00BA121F" w:rsidRPr="00BA121F" w:rsidTr="00906650">
        <w:trPr>
          <w:trHeight w:val="4271"/>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28" w:name="_Toc458510868"/>
            <w:r w:rsidRPr="00BA121F">
              <w:rPr>
                <w:b/>
                <w:bCs/>
                <w:iCs/>
                <w:color w:val="BC091B"/>
              </w:rPr>
              <w:lastRenderedPageBreak/>
              <w:t>Ostatní formy vzdělávání</w:t>
            </w:r>
            <w:bookmarkEnd w:id="28"/>
          </w:p>
        </w:tc>
        <w:tc>
          <w:tcPr>
            <w:tcW w:w="6804" w:type="dxa"/>
            <w:shd w:val="clear" w:color="auto" w:fill="auto"/>
            <w:vAlign w:val="center"/>
            <w:hideMark/>
          </w:tcPr>
          <w:p w:rsidR="00BA121F" w:rsidRPr="00BA121F" w:rsidRDefault="00BA121F" w:rsidP="00BA121F">
            <w:pPr>
              <w:spacing w:after="0" w:line="240" w:lineRule="auto"/>
              <w:jc w:val="both"/>
              <w:rPr>
                <w:rFonts w:cs="Arial"/>
                <w:szCs w:val="20"/>
              </w:rPr>
            </w:pPr>
            <w:r w:rsidRPr="00BA121F">
              <w:rPr>
                <w:rFonts w:cs="Arial"/>
                <w:szCs w:val="20"/>
              </w:rPr>
              <w:t>Pojem „ostatní formy vzdělávání“ je v této publikaci užíván výhradně v tabulkách o </w:t>
            </w:r>
            <w:hyperlink w:anchor="_Střední_vzdělávání" w:history="1">
              <w:r w:rsidRPr="00BA121F">
                <w:rPr>
                  <w:rFonts w:eastAsia="MS Gothic" w:cs="Arial"/>
                  <w:color w:val="0000FF"/>
                  <w:szCs w:val="20"/>
                  <w:u w:val="single"/>
                </w:rPr>
                <w:t>středním</w:t>
              </w:r>
            </w:hyperlink>
            <w:r w:rsidRPr="00BA121F">
              <w:rPr>
                <w:rFonts w:cs="Arial"/>
                <w:szCs w:val="20"/>
              </w:rPr>
              <w:t xml:space="preserve"> a </w:t>
            </w:r>
            <w:hyperlink w:anchor="_Vyšší_odborné_vzdělávání" w:history="1">
              <w:r w:rsidRPr="00BA121F">
                <w:rPr>
                  <w:rFonts w:eastAsia="MS Gothic" w:cs="Arial"/>
                  <w:color w:val="0000FF"/>
                  <w:szCs w:val="20"/>
                  <w:u w:val="single"/>
                </w:rPr>
                <w:t>vyšším odborném vzdělávání</w:t>
              </w:r>
            </w:hyperlink>
            <w:r w:rsidRPr="00BA121F">
              <w:rPr>
                <w:rFonts w:cs="Arial"/>
                <w:szCs w:val="20"/>
              </w:rPr>
              <w:t xml:space="preserve"> a označuje jakékoli jiné formy vzdělávání než </w:t>
            </w:r>
            <w:hyperlink w:anchor="_Denní_forma_vzdělávání" w:history="1">
              <w:r w:rsidRPr="00BA121F">
                <w:rPr>
                  <w:rFonts w:eastAsia="MS Gothic" w:cs="Arial"/>
                  <w:color w:val="0000FF"/>
                  <w:szCs w:val="20"/>
                  <w:u w:val="single"/>
                </w:rPr>
                <w:t>denní</w:t>
              </w:r>
            </w:hyperlink>
            <w:r w:rsidRPr="00BA121F">
              <w:rPr>
                <w:rFonts w:cs="Arial"/>
                <w:szCs w:val="20"/>
              </w:rPr>
              <w:t>. Mezi tyto formy vzdělávání řadíme večerní, dálkovou, distanční a kombinovanou formu.</w:t>
            </w:r>
          </w:p>
          <w:p w:rsidR="00BA121F" w:rsidRPr="00BA121F" w:rsidRDefault="00BA121F" w:rsidP="00BA121F">
            <w:pPr>
              <w:spacing w:after="0" w:line="240" w:lineRule="auto"/>
              <w:jc w:val="both"/>
              <w:rPr>
                <w:rFonts w:cs="Arial"/>
                <w:szCs w:val="20"/>
              </w:rPr>
            </w:pPr>
            <w:r w:rsidRPr="00BA121F">
              <w:rPr>
                <w:rFonts w:cs="Arial"/>
                <w:iCs/>
                <w:szCs w:val="20"/>
              </w:rPr>
              <w:t>Ve </w:t>
            </w:r>
            <w:hyperlink r:id="rId24" w:history="1">
              <w:r w:rsidRPr="00BA121F">
                <w:rPr>
                  <w:rFonts w:eastAsia="MS Gothic" w:cs="Arial"/>
                  <w:iCs/>
                  <w:color w:val="0000FF"/>
                  <w:szCs w:val="20"/>
                  <w:u w:val="single"/>
                </w:rPr>
                <w:t>Školském zákoně</w:t>
              </w:r>
            </w:hyperlink>
            <w:r w:rsidRPr="00BA121F">
              <w:rPr>
                <w:rFonts w:cs="Arial"/>
                <w:szCs w:val="20"/>
              </w:rPr>
              <w:t xml:space="preserve"> (č. 561/2004 Sb., § 25) jsou tyto formy vzdělávání definovány následovně:</w:t>
            </w:r>
          </w:p>
          <w:p w:rsidR="00BA121F" w:rsidRPr="00BA121F" w:rsidRDefault="00BA121F" w:rsidP="00BA121F">
            <w:pPr>
              <w:numPr>
                <w:ilvl w:val="0"/>
                <w:numId w:val="19"/>
              </w:numPr>
              <w:spacing w:after="0" w:line="240" w:lineRule="auto"/>
              <w:jc w:val="both"/>
              <w:rPr>
                <w:rFonts w:cs="Arial"/>
                <w:szCs w:val="20"/>
              </w:rPr>
            </w:pPr>
            <w:r w:rsidRPr="00BA121F">
              <w:rPr>
                <w:rFonts w:cs="Arial"/>
                <w:bCs/>
                <w:szCs w:val="20"/>
              </w:rPr>
              <w:t>Večerní formou vzdělávání</w:t>
            </w:r>
            <w:r w:rsidRPr="00BA121F">
              <w:rPr>
                <w:rFonts w:cs="Arial"/>
                <w:szCs w:val="20"/>
              </w:rPr>
              <w:t xml:space="preserve"> je výuka organizovaná pravidelně několikrát v týdnu v rozsahu 10 až 18 hodin týdně v průběhu školního roku zpravidla v odpoledních a večerních hodinách.</w:t>
            </w:r>
          </w:p>
          <w:p w:rsidR="00BA121F" w:rsidRPr="00BA121F" w:rsidRDefault="00BA121F" w:rsidP="00BA121F">
            <w:pPr>
              <w:numPr>
                <w:ilvl w:val="0"/>
                <w:numId w:val="19"/>
              </w:numPr>
              <w:spacing w:after="0" w:line="240" w:lineRule="auto"/>
              <w:jc w:val="both"/>
              <w:rPr>
                <w:rFonts w:cs="Arial"/>
                <w:i/>
                <w:iCs/>
                <w:szCs w:val="20"/>
              </w:rPr>
            </w:pPr>
            <w:r w:rsidRPr="00BA121F">
              <w:rPr>
                <w:rFonts w:cs="Arial"/>
                <w:bCs/>
                <w:szCs w:val="20"/>
              </w:rPr>
              <w:t>Dálkovou formou vzdělávání</w:t>
            </w:r>
            <w:r w:rsidRPr="00BA121F">
              <w:rPr>
                <w:rFonts w:cs="Arial"/>
                <w:szCs w:val="20"/>
              </w:rPr>
              <w:t xml:space="preserve"> je myšleno samostatné studium spojené s konzultacemi v rozsahu 200 až 220 konzultačních hodin ve školním roce</w:t>
            </w:r>
            <w:r w:rsidRPr="00BA121F">
              <w:rPr>
                <w:rFonts w:cs="Arial"/>
                <w:i/>
                <w:iCs/>
                <w:szCs w:val="20"/>
              </w:rPr>
              <w:t>.</w:t>
            </w:r>
          </w:p>
          <w:p w:rsidR="00BA121F" w:rsidRPr="00BA121F" w:rsidRDefault="00BA121F" w:rsidP="00BA121F">
            <w:pPr>
              <w:numPr>
                <w:ilvl w:val="0"/>
                <w:numId w:val="19"/>
              </w:numPr>
              <w:spacing w:after="0" w:line="240" w:lineRule="auto"/>
              <w:jc w:val="both"/>
              <w:rPr>
                <w:rFonts w:cs="Arial"/>
                <w:szCs w:val="20"/>
              </w:rPr>
            </w:pPr>
            <w:r w:rsidRPr="00BA121F">
              <w:rPr>
                <w:rFonts w:cs="Arial"/>
                <w:bCs/>
                <w:szCs w:val="20"/>
              </w:rPr>
              <w:t>Distanční formou vzdělávání</w:t>
            </w:r>
            <w:r w:rsidRPr="00BA121F">
              <w:rPr>
                <w:rFonts w:cs="Arial"/>
                <w:szCs w:val="20"/>
              </w:rPr>
              <w:t xml:space="preserve"> se rozumí samostatné studium uskutečňované převážně nebo zcela prostřednictvím informačních technologií, popřípadě spojené s individuálními konzultacemi.</w:t>
            </w:r>
          </w:p>
          <w:p w:rsidR="00BA121F" w:rsidRPr="00BA121F" w:rsidRDefault="00BA121F" w:rsidP="00BA121F">
            <w:pPr>
              <w:numPr>
                <w:ilvl w:val="0"/>
                <w:numId w:val="19"/>
              </w:numPr>
              <w:spacing w:after="0" w:line="240" w:lineRule="auto"/>
              <w:jc w:val="both"/>
              <w:rPr>
                <w:rFonts w:cs="Arial"/>
                <w:szCs w:val="20"/>
              </w:rPr>
            </w:pPr>
            <w:r w:rsidRPr="00BA121F">
              <w:rPr>
                <w:rFonts w:cs="Arial"/>
                <w:bCs/>
                <w:szCs w:val="20"/>
              </w:rPr>
              <w:t>Kombinovanou formou vzdělávání</w:t>
            </w:r>
            <w:r w:rsidRPr="00BA121F">
              <w:rPr>
                <w:rFonts w:cs="Arial"/>
                <w:szCs w:val="20"/>
              </w:rPr>
              <w:t xml:space="preserve"> je střídání </w:t>
            </w:r>
            <w:r w:rsidRPr="00BA121F">
              <w:rPr>
                <w:rFonts w:eastAsia="MS Gothic" w:cs="Arial"/>
                <w:szCs w:val="20"/>
              </w:rPr>
              <w:t>denní</w:t>
            </w:r>
            <w:r w:rsidRPr="00BA121F">
              <w:rPr>
                <w:rFonts w:cs="Arial"/>
                <w:szCs w:val="20"/>
              </w:rPr>
              <w:t xml:space="preserve"> a jiné formy vzdělávání stanovené tímto zákonem.</w:t>
            </w:r>
          </w:p>
          <w:p w:rsidR="00BA121F" w:rsidRPr="00BA121F" w:rsidRDefault="00BA121F" w:rsidP="00BA121F">
            <w:pPr>
              <w:spacing w:after="0" w:line="240" w:lineRule="auto"/>
              <w:ind w:left="720"/>
              <w:jc w:val="both"/>
              <w:rPr>
                <w:rFonts w:cs="Arial"/>
                <w:szCs w:val="20"/>
              </w:rPr>
            </w:pPr>
          </w:p>
          <w:p w:rsidR="00BA121F" w:rsidRPr="00BA121F" w:rsidRDefault="00BA121F" w:rsidP="00BA121F">
            <w:pPr>
              <w:keepNext/>
              <w:spacing w:after="0" w:line="240" w:lineRule="auto"/>
              <w:jc w:val="both"/>
              <w:rPr>
                <w:rFonts w:cs="Arial"/>
                <w:szCs w:val="20"/>
              </w:rPr>
            </w:pPr>
            <w:r w:rsidRPr="00BA121F">
              <w:rPr>
                <w:rFonts w:cs="Arial"/>
                <w:szCs w:val="20"/>
              </w:rPr>
              <w:t>Jeden žák/student může být zapsán do více forem vzdělávání, např. studovat jeden obor v denní formě a druhý v dálkové. Součet žáků/studentů jednotlivých forem vzdělávání tak nemusí odpovídat celkovému počtu žáků/studentů.</w:t>
            </w:r>
          </w:p>
        </w:tc>
      </w:tr>
      <w:tr w:rsidR="00BA121F" w:rsidRPr="00BA121F" w:rsidTr="00906650">
        <w:trPr>
          <w:trHeight w:val="365"/>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29" w:name="_Toc458510869"/>
            <w:r w:rsidRPr="00BA121F">
              <w:rPr>
                <w:b/>
                <w:bCs/>
                <w:iCs/>
                <w:color w:val="BC091B"/>
              </w:rPr>
              <w:t>Ostatní konzervatoře</w:t>
            </w:r>
            <w:bookmarkEnd w:id="29"/>
          </w:p>
        </w:tc>
        <w:tc>
          <w:tcPr>
            <w:tcW w:w="6804" w:type="dxa"/>
            <w:shd w:val="clear" w:color="auto" w:fill="auto"/>
            <w:vAlign w:val="center"/>
            <w:hideMark/>
          </w:tcPr>
          <w:p w:rsidR="00BA121F" w:rsidRPr="00BA121F" w:rsidRDefault="00BA121F" w:rsidP="00BA121F">
            <w:pPr>
              <w:spacing w:after="0" w:line="240" w:lineRule="auto"/>
              <w:jc w:val="both"/>
              <w:rPr>
                <w:rFonts w:cs="Arial"/>
                <w:color w:val="000000"/>
                <w:szCs w:val="20"/>
              </w:rPr>
            </w:pPr>
            <w:r w:rsidRPr="00BA121F">
              <w:rPr>
                <w:rFonts w:cs="Arial"/>
                <w:color w:val="000000"/>
                <w:szCs w:val="20"/>
              </w:rPr>
              <w:t xml:space="preserve">Ostatní konzervatoře jsou jiné konzervatoře než </w:t>
            </w:r>
            <w:hyperlink w:anchor="_Šestiletá_konzervatoř" w:history="1">
              <w:r w:rsidRPr="00BA121F">
                <w:rPr>
                  <w:rFonts w:cs="Arial"/>
                  <w:color w:val="0000FF"/>
                  <w:szCs w:val="20"/>
                  <w:u w:val="single"/>
                </w:rPr>
                <w:t>šestileté</w:t>
              </w:r>
            </w:hyperlink>
            <w:r w:rsidRPr="00BA121F">
              <w:rPr>
                <w:rFonts w:cs="Arial"/>
                <w:color w:val="000000"/>
                <w:szCs w:val="20"/>
              </w:rPr>
              <w:t xml:space="preserve"> a </w:t>
            </w:r>
            <w:hyperlink w:anchor="_Osmiletá_konzervatoř" w:history="1">
              <w:r w:rsidRPr="00BA121F">
                <w:rPr>
                  <w:rFonts w:cs="Arial"/>
                  <w:color w:val="0000FF"/>
                  <w:szCs w:val="20"/>
                  <w:u w:val="single"/>
                </w:rPr>
                <w:t>osmileté</w:t>
              </w:r>
            </w:hyperlink>
            <w:r w:rsidRPr="00BA121F">
              <w:rPr>
                <w:rFonts w:cs="Arial"/>
                <w:color w:val="000000"/>
                <w:szCs w:val="20"/>
              </w:rPr>
              <w:t xml:space="preserve">. </w:t>
            </w:r>
          </w:p>
        </w:tc>
      </w:tr>
      <w:tr w:rsidR="00BA121F" w:rsidRPr="00BA121F" w:rsidTr="00906650">
        <w:trPr>
          <w:trHeight w:val="3445"/>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30" w:name="_Toc458510870"/>
            <w:r w:rsidRPr="00BA121F">
              <w:rPr>
                <w:b/>
                <w:bCs/>
                <w:iCs/>
                <w:color w:val="BC091B"/>
              </w:rPr>
              <w:t>Pedagogický pracovník</w:t>
            </w:r>
            <w:bookmarkEnd w:id="30"/>
          </w:p>
        </w:tc>
        <w:tc>
          <w:tcPr>
            <w:tcW w:w="6804" w:type="dxa"/>
            <w:shd w:val="clear" w:color="auto" w:fill="auto"/>
            <w:vAlign w:val="center"/>
            <w:hideMark/>
          </w:tcPr>
          <w:p w:rsidR="00BA121F" w:rsidRPr="00BA121F" w:rsidRDefault="00BA121F" w:rsidP="00BA121F">
            <w:pPr>
              <w:spacing w:after="0" w:line="240" w:lineRule="auto"/>
              <w:jc w:val="both"/>
              <w:rPr>
                <w:rFonts w:cs="Arial"/>
                <w:color w:val="000000"/>
                <w:szCs w:val="20"/>
              </w:rPr>
            </w:pPr>
            <w:r w:rsidRPr="00BA121F">
              <w:rPr>
                <w:rFonts w:cs="Arial"/>
                <w:color w:val="000000"/>
                <w:szCs w:val="20"/>
              </w:rPr>
              <w:t>Pedagogickým pracovníkem je ten, kdo koná přímou vyučovací, přímou výchovnou, přímou speciálně pedagogickou nebo přímou pedagogicko-psychologickou činnost. Taková činnost se vyznačuje přímým působením na vzdělávaného, pomocí kterého je uskutečňována výchova a vzdělávání na základě zvláštního právního předpisu ("přímá pedagogická činnost").</w:t>
            </w:r>
            <w:r w:rsidRPr="00BA121F">
              <w:rPr>
                <w:rFonts w:cs="Arial"/>
                <w:color w:val="000000"/>
                <w:szCs w:val="20"/>
              </w:rPr>
              <w:br/>
              <w:t xml:space="preserve">Na úrovni </w:t>
            </w:r>
            <w:hyperlink w:anchor="_Předškolní_vzdělávání" w:history="1">
              <w:r w:rsidRPr="00BA121F">
                <w:rPr>
                  <w:rFonts w:cs="Arial"/>
                  <w:color w:val="0000FF"/>
                  <w:szCs w:val="20"/>
                  <w:u w:val="single"/>
                </w:rPr>
                <w:t>předškolního</w:t>
              </w:r>
            </w:hyperlink>
            <w:r w:rsidRPr="00BA121F">
              <w:rPr>
                <w:rFonts w:cs="Arial"/>
                <w:color w:val="000000"/>
                <w:szCs w:val="20"/>
              </w:rPr>
              <w:t xml:space="preserve"> až </w:t>
            </w:r>
            <w:hyperlink w:anchor="_Vyšší_odborné_vzdělávání" w:history="1">
              <w:r w:rsidRPr="00BA121F">
                <w:rPr>
                  <w:rFonts w:cs="Arial"/>
                  <w:color w:val="0000FF"/>
                  <w:szCs w:val="20"/>
                  <w:u w:val="single"/>
                </w:rPr>
                <w:t>vyššího odborného vzdělávání</w:t>
              </w:r>
            </w:hyperlink>
            <w:r w:rsidRPr="00BA121F">
              <w:rPr>
                <w:rFonts w:cs="Arial"/>
                <w:color w:val="000000"/>
                <w:szCs w:val="20"/>
              </w:rPr>
              <w:t xml:space="preserve"> se mezi pedagogické pracovníky řadí </w:t>
            </w:r>
            <w:hyperlink w:anchor="_Učitel" w:history="1">
              <w:r w:rsidRPr="00BA121F">
                <w:rPr>
                  <w:rFonts w:cs="Arial"/>
                  <w:color w:val="0000FF"/>
                  <w:szCs w:val="20"/>
                  <w:u w:val="single"/>
                </w:rPr>
                <w:t>učitelé</w:t>
              </w:r>
            </w:hyperlink>
            <w:r w:rsidRPr="00BA121F">
              <w:rPr>
                <w:rFonts w:cs="Arial"/>
                <w:color w:val="000000"/>
                <w:szCs w:val="20"/>
              </w:rPr>
              <w:t xml:space="preserve">, vychovatelé, speciální pedagogové, psychologové, pedagogové volného času, asistenti pedagoga, trenéři, vedoucí pedagogičtí pracovníci (viz </w:t>
            </w:r>
            <w:hyperlink r:id="rId25" w:history="1">
              <w:r w:rsidRPr="00BA121F">
                <w:rPr>
                  <w:rFonts w:cs="Arial"/>
                  <w:color w:val="0000FF"/>
                  <w:szCs w:val="20"/>
                  <w:u w:val="single"/>
                </w:rPr>
                <w:t>Zákon o pedagogických pracovnících</w:t>
              </w:r>
            </w:hyperlink>
            <w:r w:rsidRPr="00BA121F">
              <w:rPr>
                <w:rFonts w:cs="Arial"/>
                <w:szCs w:val="20"/>
              </w:rPr>
              <w:t>, č. 563/2004 Sb.</w:t>
            </w:r>
            <w:r w:rsidRPr="00BA121F">
              <w:rPr>
                <w:rFonts w:cs="Arial"/>
                <w:color w:val="000000"/>
                <w:szCs w:val="20"/>
              </w:rPr>
              <w:t xml:space="preserve">, </w:t>
            </w:r>
            <w:r w:rsidRPr="00BA121F">
              <w:rPr>
                <w:rFonts w:cs="Arial"/>
                <w:szCs w:val="20"/>
              </w:rPr>
              <w:t>§</w:t>
            </w:r>
            <w:r w:rsidRPr="00BA121F">
              <w:rPr>
                <w:rFonts w:cs="Arial"/>
                <w:color w:val="000000"/>
                <w:szCs w:val="20"/>
              </w:rPr>
              <w:t xml:space="preserve"> 2, odstavce 1, 2). </w:t>
            </w:r>
          </w:p>
          <w:p w:rsidR="00BA121F" w:rsidRPr="00BA121F" w:rsidRDefault="00BA121F" w:rsidP="00BA121F">
            <w:pPr>
              <w:spacing w:after="0" w:line="240" w:lineRule="auto"/>
              <w:jc w:val="both"/>
              <w:rPr>
                <w:rFonts w:cs="Arial"/>
                <w:color w:val="000000"/>
                <w:szCs w:val="20"/>
              </w:rPr>
            </w:pPr>
            <w:r w:rsidRPr="00BA121F">
              <w:rPr>
                <w:rFonts w:cs="Arial"/>
                <w:color w:val="000000"/>
                <w:szCs w:val="20"/>
              </w:rPr>
              <w:t>Na úrovni </w:t>
            </w:r>
            <w:hyperlink w:anchor="_Vysoká_škola" w:history="1">
              <w:r w:rsidRPr="00BA121F">
                <w:rPr>
                  <w:rFonts w:cs="Arial"/>
                  <w:color w:val="0000FF"/>
                  <w:szCs w:val="20"/>
                  <w:u w:val="single"/>
                </w:rPr>
                <w:t>vysokých škol</w:t>
              </w:r>
            </w:hyperlink>
            <w:r w:rsidRPr="00BA121F">
              <w:rPr>
                <w:rFonts w:cs="Arial"/>
                <w:color w:val="000000"/>
                <w:szCs w:val="20"/>
              </w:rPr>
              <w:t xml:space="preserve"> jsou pod pedagogické pracovníky zahrnuti pedagogičtí pracovníci vědy a výzkumu, profesoři, docenti, odborní asistenti, asistenti, lektoři a vědečtí pracovníci.</w:t>
            </w:r>
          </w:p>
        </w:tc>
      </w:tr>
      <w:tr w:rsidR="00BA121F" w:rsidRPr="00BA121F" w:rsidTr="00906650">
        <w:trPr>
          <w:trHeight w:val="3048"/>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31" w:name="_Toc458510871"/>
            <w:r w:rsidRPr="00BA121F">
              <w:rPr>
                <w:b/>
                <w:bCs/>
                <w:iCs/>
                <w:color w:val="BC091B"/>
              </w:rPr>
              <w:t>Povinná školní docházka</w:t>
            </w:r>
            <w:bookmarkEnd w:id="31"/>
          </w:p>
        </w:tc>
        <w:tc>
          <w:tcPr>
            <w:tcW w:w="6804" w:type="dxa"/>
            <w:shd w:val="clear" w:color="auto" w:fill="auto"/>
            <w:vAlign w:val="center"/>
            <w:hideMark/>
          </w:tcPr>
          <w:p w:rsidR="00BA121F" w:rsidRPr="00BA121F" w:rsidRDefault="00BA121F" w:rsidP="00BA121F">
            <w:pPr>
              <w:spacing w:after="0" w:line="240" w:lineRule="auto"/>
              <w:jc w:val="both"/>
              <w:rPr>
                <w:rFonts w:cs="Arial"/>
                <w:color w:val="000000"/>
                <w:szCs w:val="20"/>
              </w:rPr>
            </w:pPr>
            <w:bookmarkStart w:id="32" w:name="_Toc431985621"/>
            <w:r w:rsidRPr="00BA121F">
              <w:rPr>
                <w:rFonts w:cs="Arial"/>
                <w:szCs w:val="20"/>
              </w:rPr>
              <w:t>Školní docházka je povinná po dobu devíti školních roků, nejvýše však do konce školního roku, v němž žák dosáhne sedmnáctého roku věku. Povinná školní docházka se vztahuje na státní občany České republiky a na občany jiného členského státu Evropské unie, kteří na území České republiky pobývají déle než 90 dnů, cizince, kteří jsou oprávněni pobývat na území České republiky trvale nebo přechodně po dobu delší než 90 dnů, a na účastníky řízení o udělení mezinárodní ochrany. Povinná školní docházka začíná počátkem školního roku, který následuje po dni, kdy dítě dosáhne šestého roku věku, pokud mu není povolen odklad.</w:t>
            </w:r>
            <w:bookmarkEnd w:id="32"/>
            <w:r w:rsidRPr="00BA121F">
              <w:rPr>
                <w:rFonts w:cs="Arial"/>
                <w:szCs w:val="20"/>
              </w:rPr>
              <w:t xml:space="preserve"> Viz </w:t>
            </w:r>
            <w:hyperlink r:id="rId26" w:history="1">
              <w:r w:rsidRPr="00BA121F">
                <w:rPr>
                  <w:rFonts w:eastAsia="MS Gothic" w:cs="Arial"/>
                  <w:color w:val="0000FF"/>
                  <w:szCs w:val="20"/>
                  <w:u w:val="single"/>
                </w:rPr>
                <w:t>Školský zákon</w:t>
              </w:r>
            </w:hyperlink>
            <w:r w:rsidRPr="00BA121F">
              <w:rPr>
                <w:rFonts w:cs="Arial"/>
                <w:szCs w:val="20"/>
              </w:rPr>
              <w:t xml:space="preserve"> (č. 561/2004 Sb., § 36).</w:t>
            </w:r>
            <w:r w:rsidRPr="00BA121F">
              <w:rPr>
                <w:rFonts w:cs="Arial"/>
                <w:color w:val="000000"/>
                <w:szCs w:val="20"/>
              </w:rPr>
              <w:tab/>
            </w:r>
          </w:p>
          <w:p w:rsidR="00BA121F" w:rsidRPr="00BA121F" w:rsidRDefault="00BA121F" w:rsidP="00BA121F">
            <w:pPr>
              <w:spacing w:after="0" w:line="240" w:lineRule="auto"/>
              <w:jc w:val="both"/>
              <w:rPr>
                <w:rFonts w:cs="Arial"/>
                <w:szCs w:val="20"/>
              </w:rPr>
            </w:pPr>
            <w:r w:rsidRPr="00BA121F">
              <w:rPr>
                <w:rFonts w:cs="Arial"/>
                <w:color w:val="000000"/>
                <w:szCs w:val="20"/>
              </w:rPr>
              <w:t>V ČR se povinná školní docházka uskutečňuje v </w:t>
            </w:r>
            <w:hyperlink w:anchor="_Základní_škola" w:history="1">
              <w:r w:rsidRPr="00BA121F">
                <w:rPr>
                  <w:rFonts w:cs="Arial"/>
                  <w:color w:val="0000FF"/>
                  <w:szCs w:val="20"/>
                  <w:u w:val="single"/>
                </w:rPr>
                <w:t>základních školách</w:t>
              </w:r>
            </w:hyperlink>
            <w:r w:rsidRPr="00BA121F">
              <w:rPr>
                <w:rFonts w:cs="Arial"/>
                <w:color w:val="000000"/>
                <w:szCs w:val="20"/>
              </w:rPr>
              <w:t xml:space="preserve">, v 1. až 4. ročníku </w:t>
            </w:r>
            <w:hyperlink w:anchor="_Osmileté_gymnázium" w:history="1">
              <w:r w:rsidRPr="00BA121F">
                <w:rPr>
                  <w:rFonts w:cs="Arial"/>
                  <w:color w:val="0000FF"/>
                  <w:szCs w:val="20"/>
                  <w:u w:val="single"/>
                </w:rPr>
                <w:t>osmiletého gymnázia</w:t>
              </w:r>
            </w:hyperlink>
            <w:r w:rsidRPr="00BA121F">
              <w:rPr>
                <w:rFonts w:cs="Arial"/>
                <w:color w:val="000000"/>
                <w:szCs w:val="20"/>
              </w:rPr>
              <w:t xml:space="preserve"> či </w:t>
            </w:r>
            <w:hyperlink w:anchor="_Osmiletá_konzervatoř" w:history="1">
              <w:r w:rsidRPr="00BA121F">
                <w:rPr>
                  <w:rFonts w:cs="Arial"/>
                  <w:color w:val="0000FF"/>
                  <w:szCs w:val="20"/>
                  <w:u w:val="single"/>
                </w:rPr>
                <w:t>osmileté konzervatoře</w:t>
              </w:r>
            </w:hyperlink>
            <w:r w:rsidRPr="00BA121F">
              <w:rPr>
                <w:rFonts w:cs="Arial"/>
                <w:color w:val="000000"/>
                <w:szCs w:val="20"/>
              </w:rPr>
              <w:t xml:space="preserve"> a v 1. až 2. ročníku </w:t>
            </w:r>
            <w:hyperlink w:anchor="_Šestileté_gymnázium" w:history="1">
              <w:r w:rsidRPr="00BA121F">
                <w:rPr>
                  <w:rFonts w:cs="Arial"/>
                  <w:color w:val="0000FF"/>
                  <w:szCs w:val="20"/>
                  <w:u w:val="single"/>
                </w:rPr>
                <w:t>šestiletého gymnázia</w:t>
              </w:r>
            </w:hyperlink>
            <w:r w:rsidRPr="00BA121F">
              <w:rPr>
                <w:rFonts w:cs="Arial"/>
                <w:color w:val="000000"/>
                <w:szCs w:val="20"/>
              </w:rPr>
              <w:t xml:space="preserve">. </w:t>
            </w:r>
          </w:p>
        </w:tc>
      </w:tr>
      <w:tr w:rsidR="00BA121F" w:rsidRPr="00BA121F" w:rsidTr="00906650">
        <w:trPr>
          <w:trHeight w:val="2428"/>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33" w:name="_Toc458510872"/>
            <w:r w:rsidRPr="00BA121F">
              <w:rPr>
                <w:b/>
                <w:bCs/>
                <w:iCs/>
                <w:color w:val="BC091B"/>
              </w:rPr>
              <w:lastRenderedPageBreak/>
              <w:t>Prezenční studium</w:t>
            </w:r>
            <w:bookmarkEnd w:id="33"/>
          </w:p>
        </w:tc>
        <w:tc>
          <w:tcPr>
            <w:tcW w:w="6804" w:type="dxa"/>
            <w:shd w:val="clear" w:color="auto" w:fill="auto"/>
            <w:vAlign w:val="center"/>
            <w:hideMark/>
          </w:tcPr>
          <w:p w:rsidR="00BA121F" w:rsidRPr="00BA121F" w:rsidRDefault="00BA121F" w:rsidP="00BA121F">
            <w:pPr>
              <w:spacing w:after="0" w:line="240" w:lineRule="auto"/>
              <w:jc w:val="both"/>
              <w:rPr>
                <w:rFonts w:cs="Arial"/>
                <w:szCs w:val="20"/>
              </w:rPr>
            </w:pPr>
            <w:r w:rsidRPr="00BA121F">
              <w:rPr>
                <w:rFonts w:cs="Arial"/>
                <w:szCs w:val="20"/>
              </w:rPr>
              <w:t xml:space="preserve">Na </w:t>
            </w:r>
            <w:hyperlink w:anchor="_Vysoká_škola" w:history="1">
              <w:r w:rsidRPr="00BA121F">
                <w:rPr>
                  <w:rFonts w:eastAsia="MS Gothic" w:cs="Arial"/>
                  <w:color w:val="0000FF"/>
                  <w:szCs w:val="20"/>
                  <w:u w:val="single"/>
                </w:rPr>
                <w:t>vysokých školách</w:t>
              </w:r>
            </w:hyperlink>
            <w:r w:rsidRPr="00BA121F">
              <w:rPr>
                <w:rFonts w:cs="Arial"/>
                <w:szCs w:val="20"/>
              </w:rPr>
              <w:t xml:space="preserve"> se uskutečňuje studium ve formě prezenční, </w:t>
            </w:r>
            <w:hyperlink w:anchor="_Distanční_a_kombinované" w:history="1">
              <w:r w:rsidRPr="00BA121F">
                <w:rPr>
                  <w:rFonts w:eastAsia="MS Gothic" w:cs="Arial"/>
                  <w:color w:val="0000FF"/>
                  <w:szCs w:val="20"/>
                  <w:u w:val="single"/>
                </w:rPr>
                <w:t>distanční a kombinované</w:t>
              </w:r>
            </w:hyperlink>
            <w:r w:rsidRPr="00BA121F">
              <w:rPr>
                <w:rFonts w:cs="Arial"/>
                <w:szCs w:val="20"/>
              </w:rPr>
              <w:t>.</w:t>
            </w:r>
          </w:p>
          <w:p w:rsidR="00BA121F" w:rsidRPr="00BA121F" w:rsidRDefault="00BA121F" w:rsidP="00BA121F">
            <w:pPr>
              <w:spacing w:after="0" w:line="240" w:lineRule="auto"/>
              <w:jc w:val="both"/>
              <w:rPr>
                <w:rFonts w:cs="Arial"/>
                <w:szCs w:val="20"/>
              </w:rPr>
            </w:pPr>
            <w:r w:rsidRPr="00BA121F">
              <w:rPr>
                <w:rFonts w:cs="Arial"/>
                <w:szCs w:val="20"/>
              </w:rPr>
              <w:t xml:space="preserve">V případě prezenční formy studia (dříve denní formy) může výuka probíhat kterýkoli všední den, dopoledne i odpoledne, přičemž student má obvykle povinnost navštěvovat povinné semináře (příp. je stanoveno procento povinné účasti).  </w:t>
            </w:r>
          </w:p>
          <w:p w:rsidR="00BA121F" w:rsidRPr="00BA121F" w:rsidRDefault="00BA121F" w:rsidP="00BA121F">
            <w:pPr>
              <w:spacing w:after="0" w:line="240" w:lineRule="auto"/>
              <w:jc w:val="both"/>
              <w:rPr>
                <w:rFonts w:cs="Arial"/>
                <w:color w:val="000000"/>
                <w:szCs w:val="20"/>
              </w:rPr>
            </w:pPr>
            <w:r w:rsidRPr="00BA121F">
              <w:rPr>
                <w:rFonts w:cs="Arial"/>
                <w:color w:val="000000"/>
                <w:szCs w:val="20"/>
              </w:rPr>
              <w:t>Jeden student může být zapsán do více forem vzdělávání, např. studovat jeden obor v prezenční formě a druhý v distanční. V takovém případě je zahrnut do obou kategorií a součet studentů v jednotlivých formách tak nemusí odpovídat celkovému počtu studentů.</w:t>
            </w:r>
          </w:p>
        </w:tc>
      </w:tr>
      <w:tr w:rsidR="00BA121F" w:rsidRPr="00BA121F" w:rsidTr="00906650">
        <w:trPr>
          <w:trHeight w:val="905"/>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34" w:name="_Toc458510873"/>
            <w:r w:rsidRPr="00BA121F">
              <w:rPr>
                <w:b/>
                <w:bCs/>
                <w:iCs/>
                <w:color w:val="BC091B"/>
              </w:rPr>
              <w:t>Předškolní vzdělávání</w:t>
            </w:r>
            <w:bookmarkEnd w:id="34"/>
          </w:p>
        </w:tc>
        <w:tc>
          <w:tcPr>
            <w:tcW w:w="6804" w:type="dxa"/>
            <w:shd w:val="clear" w:color="auto" w:fill="auto"/>
            <w:vAlign w:val="center"/>
            <w:hideMark/>
          </w:tcPr>
          <w:p w:rsidR="00BA121F" w:rsidRPr="00BA121F" w:rsidRDefault="00BA121F" w:rsidP="00BA121F">
            <w:pPr>
              <w:spacing w:after="0" w:line="240" w:lineRule="auto"/>
              <w:jc w:val="both"/>
              <w:rPr>
                <w:rFonts w:cs="Arial"/>
                <w:color w:val="000000"/>
                <w:szCs w:val="20"/>
              </w:rPr>
            </w:pPr>
            <w:r w:rsidRPr="00BA121F">
              <w:rPr>
                <w:rFonts w:cs="Arial"/>
                <w:color w:val="000000"/>
                <w:szCs w:val="20"/>
              </w:rPr>
              <w:t xml:space="preserve">Předškolní vzdělávání slouží k přípravě dětí pro vstup do </w:t>
            </w:r>
            <w:hyperlink w:anchor="_Povinná_školní_docházka" w:history="1">
              <w:r w:rsidRPr="00BA121F">
                <w:rPr>
                  <w:rFonts w:cs="Arial"/>
                  <w:color w:val="0000FF"/>
                  <w:szCs w:val="20"/>
                  <w:u w:val="single"/>
                </w:rPr>
                <w:t>povinné školní docházky</w:t>
              </w:r>
            </w:hyperlink>
            <w:r w:rsidRPr="00BA121F">
              <w:rPr>
                <w:rFonts w:cs="Arial"/>
                <w:color w:val="000000"/>
                <w:szCs w:val="20"/>
              </w:rPr>
              <w:t xml:space="preserve">. Kromě </w:t>
            </w:r>
            <w:hyperlink w:anchor="_Mateřská_škola" w:history="1">
              <w:r w:rsidRPr="00BA121F">
                <w:rPr>
                  <w:rFonts w:cs="Arial"/>
                  <w:color w:val="0000FF"/>
                  <w:szCs w:val="20"/>
                  <w:u w:val="single"/>
                </w:rPr>
                <w:t>mateřských škol</w:t>
              </w:r>
            </w:hyperlink>
            <w:r w:rsidRPr="00BA121F">
              <w:rPr>
                <w:rFonts w:cs="Arial"/>
                <w:color w:val="000000"/>
                <w:szCs w:val="20"/>
              </w:rPr>
              <w:t xml:space="preserve"> jej zajišťují </w:t>
            </w:r>
            <w:hyperlink w:anchor="_Přípravné_třídy" w:history="1">
              <w:r w:rsidRPr="00BA121F">
                <w:rPr>
                  <w:rFonts w:cs="Arial"/>
                  <w:color w:val="0000FF"/>
                  <w:szCs w:val="20"/>
                  <w:u w:val="single"/>
                </w:rPr>
                <w:t>přípravné třídy</w:t>
              </w:r>
            </w:hyperlink>
            <w:r w:rsidRPr="00BA121F">
              <w:rPr>
                <w:rFonts w:cs="Arial"/>
                <w:color w:val="000000"/>
                <w:szCs w:val="20"/>
              </w:rPr>
              <w:t xml:space="preserve"> základních škol a </w:t>
            </w:r>
            <w:r w:rsidRPr="00BA121F">
              <w:rPr>
                <w:rFonts w:cs="Arial"/>
                <w:szCs w:val="20"/>
              </w:rPr>
              <w:t>přípravné třídy základních škol speciálních</w:t>
            </w:r>
            <w:r w:rsidRPr="00BA121F">
              <w:rPr>
                <w:rFonts w:cs="Arial"/>
                <w:color w:val="000000"/>
                <w:szCs w:val="20"/>
              </w:rPr>
              <w:t xml:space="preserve">. </w:t>
            </w:r>
          </w:p>
        </w:tc>
      </w:tr>
      <w:tr w:rsidR="00BA121F" w:rsidRPr="00BA121F" w:rsidTr="00906650">
        <w:trPr>
          <w:trHeight w:val="600"/>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35" w:name="_Toc458510874"/>
            <w:r w:rsidRPr="00BA121F">
              <w:rPr>
                <w:b/>
                <w:bCs/>
                <w:iCs/>
                <w:color w:val="BC091B"/>
              </w:rPr>
              <w:t>Přípravné třídy</w:t>
            </w:r>
            <w:bookmarkEnd w:id="35"/>
          </w:p>
        </w:tc>
        <w:tc>
          <w:tcPr>
            <w:tcW w:w="6804" w:type="dxa"/>
            <w:shd w:val="clear" w:color="auto" w:fill="auto"/>
            <w:vAlign w:val="center"/>
            <w:hideMark/>
          </w:tcPr>
          <w:p w:rsidR="00BA121F" w:rsidRPr="00BA121F" w:rsidRDefault="00BA121F" w:rsidP="00BA121F">
            <w:pPr>
              <w:spacing w:after="0" w:line="240" w:lineRule="auto"/>
              <w:jc w:val="both"/>
              <w:rPr>
                <w:rFonts w:cs="Arial"/>
                <w:szCs w:val="20"/>
              </w:rPr>
            </w:pPr>
            <w:r w:rsidRPr="00BA121F">
              <w:rPr>
                <w:rFonts w:cs="Arial"/>
                <w:color w:val="000000"/>
                <w:szCs w:val="20"/>
              </w:rPr>
              <w:t>Přípravné třídy jsou zřizované při </w:t>
            </w:r>
            <w:hyperlink w:anchor="_Základní_škola" w:history="1">
              <w:r w:rsidRPr="00BA121F">
                <w:rPr>
                  <w:rFonts w:cs="Arial"/>
                  <w:color w:val="0000FF"/>
                  <w:szCs w:val="20"/>
                  <w:u w:val="single"/>
                </w:rPr>
                <w:t>základních školách</w:t>
              </w:r>
            </w:hyperlink>
            <w:r w:rsidRPr="00BA121F">
              <w:rPr>
                <w:rFonts w:cs="Arial"/>
                <w:color w:val="000000"/>
                <w:szCs w:val="20"/>
              </w:rPr>
              <w:t>. M</w:t>
            </w:r>
            <w:r w:rsidRPr="00BA121F">
              <w:rPr>
                <w:rFonts w:cs="Arial"/>
                <w:szCs w:val="20"/>
              </w:rPr>
              <w:t xml:space="preserve">ůže je </w:t>
            </w:r>
            <w:hyperlink w:anchor="_Zřizovatel_školy" w:history="1">
              <w:r w:rsidRPr="00BA121F">
                <w:rPr>
                  <w:rFonts w:eastAsia="MS Gothic" w:cs="Arial"/>
                  <w:color w:val="0000FF"/>
                  <w:szCs w:val="20"/>
                  <w:u w:val="single"/>
                </w:rPr>
                <w:t>zřizovat</w:t>
              </w:r>
            </w:hyperlink>
            <w:r w:rsidRPr="00BA121F">
              <w:rPr>
                <w:rFonts w:cs="Arial"/>
                <w:szCs w:val="20"/>
              </w:rPr>
              <w:t xml:space="preserve"> obec, svazek obcí nebo kraj se souhlasem krajského úřadu a jsou určeny pro děti v posledním roce před zahájením </w:t>
            </w:r>
            <w:hyperlink w:anchor="_Povinná_školní_docházka" w:history="1">
              <w:r w:rsidRPr="00BA121F">
                <w:rPr>
                  <w:rFonts w:eastAsia="MS Gothic" w:cs="Arial"/>
                  <w:color w:val="0000FF"/>
                  <w:szCs w:val="20"/>
                  <w:u w:val="single"/>
                </w:rPr>
                <w:t>povinné školní docházky</w:t>
              </w:r>
            </w:hyperlink>
            <w:r w:rsidRPr="00BA121F">
              <w:rPr>
                <w:rFonts w:cs="Arial"/>
                <w:szCs w:val="20"/>
              </w:rPr>
              <w:t xml:space="preserve">, u kterých je předpoklad, že zařazení do přípravné třídy vyrovná jejich vývoj a kterým byl povolen odklad školní docházky. Přípravnou třídu lze zřídit, pokud se v ní bude vzdělávat nejméně deset dětí. Viz </w:t>
            </w:r>
            <w:hyperlink r:id="rId27" w:history="1">
              <w:r w:rsidRPr="00BA121F">
                <w:rPr>
                  <w:rFonts w:eastAsia="MS Gothic" w:cs="Arial"/>
                  <w:color w:val="0000FF"/>
                  <w:szCs w:val="20"/>
                  <w:u w:val="single"/>
                </w:rPr>
                <w:t>Školský zákon</w:t>
              </w:r>
            </w:hyperlink>
            <w:r w:rsidRPr="00BA121F">
              <w:rPr>
                <w:rFonts w:cs="Arial"/>
                <w:szCs w:val="20"/>
              </w:rPr>
              <w:t xml:space="preserve"> (č. 561/2004 Sb., § 47).</w:t>
            </w:r>
          </w:p>
        </w:tc>
      </w:tr>
      <w:tr w:rsidR="00BA121F" w:rsidRPr="00BA121F" w:rsidTr="00906650">
        <w:trPr>
          <w:trHeight w:val="600"/>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36" w:name="_Toc458510875"/>
            <w:r w:rsidRPr="00BA121F">
              <w:rPr>
                <w:b/>
                <w:bCs/>
                <w:iCs/>
                <w:color w:val="BC091B"/>
              </w:rPr>
              <w:t>Přípravný stupeň</w:t>
            </w:r>
            <w:bookmarkEnd w:id="36"/>
            <w:r w:rsidRPr="00BA121F">
              <w:rPr>
                <w:b/>
                <w:bCs/>
                <w:iCs/>
                <w:color w:val="BC091B"/>
              </w:rPr>
              <w:t xml:space="preserve"> základní školy speciální</w:t>
            </w:r>
          </w:p>
        </w:tc>
        <w:tc>
          <w:tcPr>
            <w:tcW w:w="6804" w:type="dxa"/>
            <w:shd w:val="clear" w:color="auto" w:fill="auto"/>
            <w:vAlign w:val="center"/>
            <w:hideMark/>
          </w:tcPr>
          <w:p w:rsidR="00BA121F" w:rsidRPr="00BA121F" w:rsidRDefault="00BA121F" w:rsidP="00BA121F">
            <w:pPr>
              <w:spacing w:after="0" w:line="240" w:lineRule="auto"/>
              <w:jc w:val="both"/>
              <w:rPr>
                <w:rFonts w:cs="Arial"/>
                <w:szCs w:val="20"/>
              </w:rPr>
            </w:pPr>
            <w:r w:rsidRPr="00BA121F">
              <w:rPr>
                <w:rFonts w:cs="Arial"/>
                <w:color w:val="000000"/>
                <w:szCs w:val="20"/>
              </w:rPr>
              <w:t xml:space="preserve">Přípravný stupeň je zřizován při základních školách speciálních. Poskytuje přípravu na vzdělávání v základní škole speciální dětem se středně těžkým a těžkým mentálním postižením, se souběžným postižením více vadami nebo s autismem.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 Vzdělávání v přípravném stupni základní školy speciální trvá nejvýše 3 školní roky. Viz </w:t>
            </w:r>
            <w:hyperlink r:id="rId28" w:history="1">
              <w:r w:rsidRPr="00BA121F">
                <w:rPr>
                  <w:rFonts w:eastAsia="MS Gothic" w:cs="Arial"/>
                  <w:color w:val="0000FF"/>
                  <w:szCs w:val="20"/>
                  <w:u w:val="single"/>
                </w:rPr>
                <w:t>Školský zákon</w:t>
              </w:r>
            </w:hyperlink>
            <w:r w:rsidRPr="00BA121F">
              <w:rPr>
                <w:rFonts w:cs="Arial"/>
                <w:szCs w:val="20"/>
              </w:rPr>
              <w:t xml:space="preserve"> (č. 561/2004 Sb., § 48a).</w:t>
            </w:r>
          </w:p>
        </w:tc>
      </w:tr>
      <w:tr w:rsidR="00BA121F" w:rsidRPr="00BA121F" w:rsidTr="00906650">
        <w:trPr>
          <w:trHeight w:val="600"/>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37" w:name="_Toc458510876"/>
            <w:r w:rsidRPr="00BA121F">
              <w:rPr>
                <w:b/>
                <w:bCs/>
                <w:iCs/>
                <w:color w:val="BC091B"/>
              </w:rPr>
              <w:t>Rok</w:t>
            </w:r>
            <w:bookmarkEnd w:id="37"/>
          </w:p>
        </w:tc>
        <w:tc>
          <w:tcPr>
            <w:tcW w:w="6804" w:type="dxa"/>
            <w:shd w:val="clear" w:color="auto" w:fill="auto"/>
            <w:vAlign w:val="center"/>
            <w:hideMark/>
          </w:tcPr>
          <w:p w:rsidR="00BA121F" w:rsidRPr="00BA121F" w:rsidRDefault="00BA121F" w:rsidP="00BA121F">
            <w:pPr>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cs="Arial"/>
                <w:szCs w:val="20"/>
              </w:rPr>
            </w:pPr>
            <w:r w:rsidRPr="00BA121F">
              <w:rPr>
                <w:rFonts w:cs="Arial"/>
                <w:color w:val="000000"/>
                <w:szCs w:val="20"/>
              </w:rPr>
              <w:t xml:space="preserve">V případě </w:t>
            </w:r>
            <w:hyperlink w:anchor="_Vysoká_škola" w:history="1">
              <w:r w:rsidRPr="00BA121F">
                <w:rPr>
                  <w:rFonts w:cs="Arial"/>
                  <w:color w:val="0000FF"/>
                  <w:szCs w:val="20"/>
                  <w:u w:val="single"/>
                </w:rPr>
                <w:t>vysokých škol</w:t>
              </w:r>
            </w:hyperlink>
            <w:r w:rsidRPr="00BA121F">
              <w:t xml:space="preserve"> </w:t>
            </w:r>
            <w:r w:rsidRPr="00BA121F">
              <w:rPr>
                <w:rFonts w:cs="Arial"/>
                <w:color w:val="000000"/>
                <w:szCs w:val="20"/>
              </w:rPr>
              <w:t xml:space="preserve">není statisticky sledován </w:t>
            </w:r>
            <w:hyperlink w:anchor="_Školní_rok" w:history="1">
              <w:r w:rsidRPr="00BA121F">
                <w:rPr>
                  <w:rFonts w:cs="Arial"/>
                  <w:color w:val="0000FF"/>
                  <w:szCs w:val="20"/>
                  <w:u w:val="single"/>
                </w:rPr>
                <w:t>školní rok</w:t>
              </w:r>
            </w:hyperlink>
            <w:r w:rsidRPr="00BA121F">
              <w:rPr>
                <w:rFonts w:cs="Arial"/>
                <w:color w:val="000000"/>
                <w:szCs w:val="20"/>
              </w:rPr>
              <w:t xml:space="preserve">, ale rok kalendářní. Publikované údaje jsou v případě počtu </w:t>
            </w:r>
            <w:hyperlink w:anchor="_Studenti" w:history="1">
              <w:r w:rsidRPr="00BA121F">
                <w:rPr>
                  <w:rFonts w:cs="Arial"/>
                  <w:color w:val="0000FF"/>
                  <w:szCs w:val="20"/>
                  <w:u w:val="single"/>
                </w:rPr>
                <w:t>studentů</w:t>
              </w:r>
            </w:hyperlink>
            <w:r w:rsidRPr="00BA121F">
              <w:rPr>
                <w:rFonts w:cs="Arial"/>
                <w:color w:val="000000"/>
                <w:szCs w:val="20"/>
              </w:rPr>
              <w:t xml:space="preserve"> podle stavu k 31. prosinci daného roku, údaje o poprvé zapsaných studentech a </w:t>
            </w:r>
            <w:hyperlink w:anchor="_Absolvent" w:history="1">
              <w:r w:rsidRPr="00BA121F">
                <w:rPr>
                  <w:rFonts w:cs="Arial"/>
                  <w:color w:val="0000FF"/>
                  <w:szCs w:val="20"/>
                  <w:u w:val="single"/>
                </w:rPr>
                <w:t>absolventech</w:t>
              </w:r>
            </w:hyperlink>
            <w:r w:rsidRPr="00BA121F">
              <w:rPr>
                <w:rFonts w:cs="Arial"/>
                <w:color w:val="000000"/>
                <w:szCs w:val="20"/>
              </w:rPr>
              <w:t xml:space="preserve"> vypovídají o celkovém počtu za celý kalendářní rok. </w:t>
            </w:r>
          </w:p>
        </w:tc>
      </w:tr>
      <w:tr w:rsidR="00BA121F" w:rsidRPr="00BA121F" w:rsidTr="00906650">
        <w:trPr>
          <w:trHeight w:val="1344"/>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38" w:name="_Toc458510877"/>
            <w:r w:rsidRPr="00BA121F">
              <w:rPr>
                <w:b/>
                <w:bCs/>
                <w:iCs/>
                <w:color w:val="BC091B"/>
              </w:rPr>
              <w:t>Speciální třída</w:t>
            </w:r>
            <w:bookmarkEnd w:id="38"/>
          </w:p>
        </w:tc>
        <w:tc>
          <w:tcPr>
            <w:tcW w:w="6804" w:type="dxa"/>
            <w:shd w:val="clear" w:color="auto" w:fill="auto"/>
            <w:vAlign w:val="center"/>
            <w:hideMark/>
          </w:tcPr>
          <w:p w:rsidR="00BA121F" w:rsidRPr="00BA121F" w:rsidRDefault="00BA121F" w:rsidP="00BA121F">
            <w:pPr>
              <w:spacing w:after="0" w:line="240" w:lineRule="auto"/>
              <w:jc w:val="both"/>
              <w:rPr>
                <w:rFonts w:cs="Arial"/>
                <w:szCs w:val="20"/>
              </w:rPr>
            </w:pPr>
            <w:r w:rsidRPr="00BA121F">
              <w:rPr>
                <w:rFonts w:cs="Arial"/>
                <w:color w:val="000000"/>
                <w:szCs w:val="20"/>
              </w:rPr>
              <w:t xml:space="preserve">Speciální třídy jsou třídy určené výhradně pro žáky se </w:t>
            </w:r>
            <w:hyperlink w:anchor="_SVP_(speciální_vzdělávací" w:history="1">
              <w:r w:rsidRPr="00BA121F">
                <w:rPr>
                  <w:rFonts w:cs="Arial"/>
                  <w:color w:val="0000FF"/>
                  <w:szCs w:val="20"/>
                  <w:u w:val="single"/>
                </w:rPr>
                <w:t>speciálními vzdělávacími potřebami (SVP)</w:t>
              </w:r>
            </w:hyperlink>
            <w:r w:rsidRPr="00BA121F">
              <w:rPr>
                <w:rFonts w:cs="Arial"/>
                <w:color w:val="000000"/>
                <w:szCs w:val="20"/>
              </w:rPr>
              <w:t xml:space="preserve">. Kromě </w:t>
            </w:r>
            <w:hyperlink w:anchor="_Škola_pro_žáky" w:history="1">
              <w:r w:rsidRPr="00BA121F">
                <w:rPr>
                  <w:rFonts w:cs="Arial"/>
                  <w:color w:val="0000FF"/>
                  <w:szCs w:val="20"/>
                  <w:u w:val="single"/>
                </w:rPr>
                <w:t>škol pro žáky se SVP</w:t>
              </w:r>
            </w:hyperlink>
            <w:r w:rsidRPr="00BA121F">
              <w:rPr>
                <w:rFonts w:cs="Arial"/>
                <w:color w:val="000000"/>
                <w:szCs w:val="20"/>
              </w:rPr>
              <w:t xml:space="preserve">, kde jsou všechny třídy označeny jako speciální, se speciální třídy zřizují i na </w:t>
            </w:r>
            <w:hyperlink w:anchor="_Běžná_škola" w:history="1">
              <w:r w:rsidRPr="00BA121F">
                <w:rPr>
                  <w:rFonts w:cs="Arial"/>
                  <w:color w:val="0000FF"/>
                  <w:szCs w:val="20"/>
                  <w:u w:val="single"/>
                </w:rPr>
                <w:t>běžných školách</w:t>
              </w:r>
            </w:hyperlink>
            <w:r w:rsidRPr="00BA121F">
              <w:rPr>
                <w:rFonts w:cs="Arial"/>
                <w:color w:val="000000"/>
                <w:szCs w:val="20"/>
              </w:rPr>
              <w:t xml:space="preserve">. </w:t>
            </w:r>
            <w:r w:rsidRPr="00BA121F">
              <w:rPr>
                <w:rFonts w:cs="Arial"/>
                <w:szCs w:val="20"/>
              </w:rPr>
              <w:t xml:space="preserve">Třídy zřízené podle § 16, odst. 9 </w:t>
            </w:r>
            <w:hyperlink r:id="rId29" w:history="1">
              <w:r w:rsidRPr="00BA121F">
                <w:rPr>
                  <w:rFonts w:eastAsia="MS Gothic" w:cs="Arial"/>
                  <w:color w:val="0000FF"/>
                  <w:szCs w:val="20"/>
                  <w:u w:val="single"/>
                </w:rPr>
                <w:t>Školského zákona</w:t>
              </w:r>
            </w:hyperlink>
            <w:r w:rsidRPr="00BA121F">
              <w:rPr>
                <w:rFonts w:cs="Arial"/>
                <w:szCs w:val="20"/>
              </w:rPr>
              <w:t xml:space="preserve"> (č. 561/2004 Sb.) se pro potřeby výkaznictví označují jako „speciální třídy“. Ostatní třídy se označují jako „</w:t>
            </w:r>
            <w:hyperlink w:anchor="_Běžná_třída" w:history="1">
              <w:r w:rsidRPr="00BA121F">
                <w:rPr>
                  <w:rFonts w:eastAsia="MS Gothic" w:cs="Arial"/>
                  <w:color w:val="0000FF"/>
                  <w:szCs w:val="20"/>
                  <w:u w:val="single"/>
                </w:rPr>
                <w:t>běžné třídy</w:t>
              </w:r>
            </w:hyperlink>
            <w:r w:rsidRPr="00BA121F">
              <w:rPr>
                <w:rFonts w:cs="Arial"/>
                <w:szCs w:val="20"/>
              </w:rPr>
              <w:t>“.</w:t>
            </w:r>
          </w:p>
        </w:tc>
      </w:tr>
      <w:tr w:rsidR="00BA121F" w:rsidRPr="00BA121F" w:rsidTr="00906650">
        <w:trPr>
          <w:trHeight w:val="3279"/>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39" w:name="_Toc458510878"/>
            <w:r w:rsidRPr="00BA121F">
              <w:rPr>
                <w:b/>
                <w:bCs/>
                <w:iCs/>
                <w:color w:val="BC091B"/>
              </w:rPr>
              <w:lastRenderedPageBreak/>
              <w:t>Střední vzdělávání</w:t>
            </w:r>
            <w:bookmarkEnd w:id="39"/>
          </w:p>
        </w:tc>
        <w:tc>
          <w:tcPr>
            <w:tcW w:w="6804" w:type="dxa"/>
            <w:shd w:val="clear" w:color="auto" w:fill="auto"/>
            <w:vAlign w:val="center"/>
            <w:hideMark/>
          </w:tcPr>
          <w:p w:rsidR="00BA121F" w:rsidRPr="00BA121F" w:rsidRDefault="00BA121F" w:rsidP="00BA121F">
            <w:pPr>
              <w:spacing w:after="0" w:line="240" w:lineRule="auto"/>
              <w:jc w:val="both"/>
              <w:rPr>
                <w:rFonts w:cs="Arial"/>
                <w:color w:val="000000"/>
                <w:szCs w:val="20"/>
              </w:rPr>
            </w:pPr>
            <w:r w:rsidRPr="00BA121F">
              <w:rPr>
                <w:rFonts w:cs="Arial"/>
                <w:color w:val="000000"/>
                <w:szCs w:val="20"/>
              </w:rPr>
              <w:t xml:space="preserve">Střední (středoškolské) vzdělávání navazuje na základní vzdělávání a zahrnuje několik druhů. Zejména jsou to: </w:t>
            </w:r>
            <w:r w:rsidRPr="00BA121F">
              <w:rPr>
                <w:rFonts w:cs="Arial"/>
                <w:szCs w:val="20"/>
              </w:rPr>
              <w:t>(</w:t>
            </w:r>
            <w:hyperlink w:anchor="_(Nižší)_střední_vzdělání" w:history="1">
              <w:r w:rsidRPr="00BA121F">
                <w:rPr>
                  <w:rFonts w:cs="Arial"/>
                  <w:color w:val="0000FF"/>
                  <w:szCs w:val="20"/>
                  <w:u w:val="single"/>
                </w:rPr>
                <w:t xml:space="preserve">nižší) </w:t>
              </w:r>
              <w:r w:rsidRPr="00BA121F">
                <w:rPr>
                  <w:rFonts w:cs="Arial"/>
                  <w:iCs/>
                  <w:color w:val="0000FF"/>
                  <w:szCs w:val="20"/>
                  <w:u w:val="single"/>
                </w:rPr>
                <w:t>střední vzdělávání</w:t>
              </w:r>
            </w:hyperlink>
            <w:r w:rsidRPr="00BA121F">
              <w:rPr>
                <w:rFonts w:cs="Arial"/>
                <w:iCs/>
                <w:color w:val="000000"/>
                <w:szCs w:val="20"/>
              </w:rPr>
              <w:t xml:space="preserve">, </w:t>
            </w:r>
            <w:hyperlink w:anchor="_Střední_vzdělávání_s_1" w:history="1">
              <w:r w:rsidRPr="00BA121F">
                <w:rPr>
                  <w:rFonts w:cs="Arial"/>
                  <w:iCs/>
                  <w:color w:val="0000FF"/>
                  <w:szCs w:val="20"/>
                  <w:u w:val="single"/>
                </w:rPr>
                <w:t>s</w:t>
              </w:r>
              <w:r w:rsidRPr="00BA121F">
                <w:rPr>
                  <w:rFonts w:cs="Arial"/>
                  <w:color w:val="0000FF"/>
                  <w:szCs w:val="20"/>
                  <w:u w:val="single"/>
                </w:rPr>
                <w:t>třední vzdělávání s výučním listem</w:t>
              </w:r>
            </w:hyperlink>
            <w:r w:rsidRPr="00BA121F">
              <w:rPr>
                <w:rFonts w:cs="Arial"/>
                <w:color w:val="000000"/>
                <w:szCs w:val="20"/>
              </w:rPr>
              <w:t xml:space="preserve">, </w:t>
            </w:r>
            <w:hyperlink w:anchor="_Střední_vzdělávání_s" w:history="1">
              <w:r w:rsidRPr="00BA121F">
                <w:rPr>
                  <w:rFonts w:cs="Arial"/>
                  <w:color w:val="0000FF"/>
                  <w:szCs w:val="20"/>
                  <w:u w:val="single"/>
                </w:rPr>
                <w:t>střední vzdělávání s maturitní zkouškou</w:t>
              </w:r>
            </w:hyperlink>
            <w:r w:rsidRPr="00BA121F">
              <w:rPr>
                <w:rFonts w:cs="Arial"/>
                <w:color w:val="000000"/>
                <w:szCs w:val="20"/>
              </w:rPr>
              <w:t xml:space="preserve">, </w:t>
            </w:r>
            <w:hyperlink w:anchor="_Zkrácené_studium_pro" w:history="1">
              <w:r w:rsidRPr="00BA121F">
                <w:rPr>
                  <w:rFonts w:cs="Arial"/>
                  <w:color w:val="0000FF"/>
                  <w:szCs w:val="20"/>
                  <w:u w:val="single"/>
                </w:rPr>
                <w:t>zkrácené studium pro získání středního vzdělání s výučním listem</w:t>
              </w:r>
            </w:hyperlink>
            <w:r w:rsidRPr="00BA121F">
              <w:rPr>
                <w:rFonts w:cs="Arial"/>
                <w:color w:val="000000"/>
                <w:szCs w:val="20"/>
              </w:rPr>
              <w:t xml:space="preserve">, </w:t>
            </w:r>
            <w:hyperlink w:anchor="_Zkrácené_studium_pro_1" w:history="1">
              <w:r w:rsidRPr="00BA121F">
                <w:rPr>
                  <w:rFonts w:cs="Arial"/>
                  <w:color w:val="0000FF"/>
                  <w:szCs w:val="20"/>
                  <w:u w:val="single"/>
                </w:rPr>
                <w:t>zkrácené studium pro získání středního vzdělání s maturitní zkouškou</w:t>
              </w:r>
            </w:hyperlink>
            <w:r w:rsidRPr="00BA121F">
              <w:rPr>
                <w:rFonts w:cs="Arial"/>
                <w:color w:val="000000"/>
                <w:szCs w:val="20"/>
              </w:rPr>
              <w:t xml:space="preserve"> a </w:t>
            </w:r>
            <w:hyperlink w:anchor="_Nástavbové_studium" w:history="1">
              <w:r w:rsidRPr="00BA121F">
                <w:rPr>
                  <w:rFonts w:cs="Arial"/>
                  <w:color w:val="0000FF"/>
                  <w:szCs w:val="20"/>
                  <w:u w:val="single"/>
                </w:rPr>
                <w:t>nástavbové studium</w:t>
              </w:r>
            </w:hyperlink>
          </w:p>
          <w:p w:rsidR="00BA121F" w:rsidRPr="00BA121F" w:rsidRDefault="00BA121F" w:rsidP="00BA121F">
            <w:pPr>
              <w:spacing w:after="0" w:line="240" w:lineRule="auto"/>
              <w:jc w:val="both"/>
              <w:rPr>
                <w:rFonts w:cs="Arial"/>
                <w:color w:val="000000"/>
                <w:szCs w:val="20"/>
              </w:rPr>
            </w:pPr>
            <w:r w:rsidRPr="00BA121F">
              <w:rPr>
                <w:rFonts w:cs="Arial"/>
                <w:color w:val="000000"/>
                <w:szCs w:val="20"/>
              </w:rPr>
              <w:t xml:space="preserve">Střední vzdělání lze v ČR získat též na </w:t>
            </w:r>
            <w:hyperlink w:anchor="_Konzervatoř" w:history="1">
              <w:r w:rsidRPr="00BA121F">
                <w:rPr>
                  <w:rFonts w:cs="Arial"/>
                  <w:color w:val="0000FF"/>
                  <w:szCs w:val="20"/>
                  <w:u w:val="single"/>
                </w:rPr>
                <w:t>konzervatoři</w:t>
              </w:r>
            </w:hyperlink>
            <w:r w:rsidRPr="00BA121F">
              <w:rPr>
                <w:rFonts w:cs="Arial"/>
                <w:color w:val="000000"/>
                <w:szCs w:val="20"/>
              </w:rPr>
              <w:t xml:space="preserve">, a sice nejdříve po čtyřech letech v denní formě šestiletého vzdělávacího programu (určeného pro absolventy základních škol), nebo po osmi letech v denní formě vzdělávání v osmiletém vzdělávacím programu (v tomto případě žáci v prvních čtyřech ročnících plní </w:t>
            </w:r>
            <w:hyperlink w:anchor="_Povinná_školní_docházka" w:history="1">
              <w:r w:rsidRPr="00BA121F">
                <w:rPr>
                  <w:rFonts w:cs="Arial"/>
                  <w:color w:val="0000FF"/>
                  <w:szCs w:val="20"/>
                  <w:u w:val="single"/>
                </w:rPr>
                <w:t>povinnou školní docházku</w:t>
              </w:r>
            </w:hyperlink>
            <w:r w:rsidRPr="00BA121F">
              <w:rPr>
                <w:rFonts w:cs="Arial"/>
                <w:color w:val="000000"/>
                <w:szCs w:val="20"/>
              </w:rPr>
              <w:t>). Absolutoriem na konzervatoři dále student ukončí krátký cyklus terciárního vzdělávání. Žákům, kteří se vzdělávají na konzervatoři, jsou však věnovány samostatné tabulky a nejsou zahrnuti v celkových počtech žáků středního vzdělávání.</w:t>
            </w:r>
          </w:p>
          <w:p w:rsidR="00BA121F" w:rsidRPr="00BA121F" w:rsidRDefault="00BA121F" w:rsidP="00BA121F">
            <w:pPr>
              <w:spacing w:after="0" w:line="240" w:lineRule="auto"/>
              <w:jc w:val="both"/>
              <w:rPr>
                <w:rFonts w:cs="Arial"/>
                <w:color w:val="000000"/>
                <w:szCs w:val="20"/>
              </w:rPr>
            </w:pPr>
            <w:r w:rsidRPr="00BA121F">
              <w:rPr>
                <w:rFonts w:cs="Arial"/>
                <w:color w:val="000000"/>
                <w:szCs w:val="20"/>
              </w:rPr>
              <w:t xml:space="preserve">Střední vzdělávání lze dále dělit na odborné (zahrnuje školy zaměřené na určitý obor s cílem připravit žáky na výkon konkrétního povolání) a všeobecné (zahrnuje zejména </w:t>
            </w:r>
            <w:hyperlink w:anchor="_Gymnázium" w:history="1">
              <w:r w:rsidRPr="00BA121F">
                <w:rPr>
                  <w:rFonts w:cs="Arial"/>
                  <w:color w:val="0000FF"/>
                  <w:szCs w:val="20"/>
                  <w:u w:val="single"/>
                </w:rPr>
                <w:t>gymnázia</w:t>
              </w:r>
            </w:hyperlink>
            <w:r w:rsidRPr="00BA121F">
              <w:rPr>
                <w:rFonts w:cs="Arial"/>
                <w:color w:val="000000"/>
                <w:szCs w:val="20"/>
              </w:rPr>
              <w:t xml:space="preserve"> a cílem je připravit žáky pro další studium). Střední vzdělávání se řadí do vyššího sekundárního vzdělávání, ovšem s výjimkou </w:t>
            </w:r>
            <w:hyperlink w:anchor="_Šestileté_gymnázium" w:history="1">
              <w:r w:rsidRPr="00BA121F">
                <w:rPr>
                  <w:rFonts w:cs="Arial"/>
                  <w:color w:val="0000FF"/>
                  <w:szCs w:val="20"/>
                  <w:u w:val="single"/>
                </w:rPr>
                <w:t>šestiletých</w:t>
              </w:r>
            </w:hyperlink>
            <w:r w:rsidRPr="00BA121F">
              <w:rPr>
                <w:rFonts w:cs="Arial"/>
                <w:color w:val="000000"/>
                <w:szCs w:val="20"/>
              </w:rPr>
              <w:t xml:space="preserve"> a </w:t>
            </w:r>
            <w:hyperlink w:anchor="_Osmileté_gymnázium" w:history="1">
              <w:r w:rsidRPr="00BA121F">
                <w:rPr>
                  <w:rFonts w:cs="Arial"/>
                  <w:color w:val="0000FF"/>
                  <w:szCs w:val="20"/>
                  <w:u w:val="single"/>
                </w:rPr>
                <w:t>osmiletých gymnázií</w:t>
              </w:r>
            </w:hyperlink>
            <w:r w:rsidRPr="00BA121F">
              <w:rPr>
                <w:rFonts w:cs="Arial"/>
                <w:color w:val="000000"/>
                <w:szCs w:val="20"/>
              </w:rPr>
              <w:t xml:space="preserve"> a </w:t>
            </w:r>
            <w:hyperlink w:anchor="_Osmiletá_konzervatoř" w:history="1">
              <w:r w:rsidRPr="00BA121F">
                <w:rPr>
                  <w:rFonts w:cs="Arial"/>
                  <w:color w:val="0000FF"/>
                  <w:szCs w:val="20"/>
                  <w:u w:val="single"/>
                </w:rPr>
                <w:t>osmiletých konzervatoří</w:t>
              </w:r>
            </w:hyperlink>
            <w:r w:rsidRPr="00BA121F">
              <w:rPr>
                <w:rFonts w:cs="Arial"/>
                <w:color w:val="000000"/>
                <w:szCs w:val="20"/>
              </w:rPr>
              <w:t>, ve kterých si žáci v nižších ročnících plní povinnou školní docházku spadající do nižší sekundární úrovně.</w:t>
            </w:r>
          </w:p>
        </w:tc>
      </w:tr>
      <w:tr w:rsidR="00BA121F" w:rsidRPr="00BA121F" w:rsidTr="00906650">
        <w:trPr>
          <w:trHeight w:val="566"/>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40" w:name="_Toc458510879"/>
            <w:r w:rsidRPr="00BA121F">
              <w:rPr>
                <w:b/>
                <w:bCs/>
                <w:iCs/>
                <w:color w:val="BC091B"/>
              </w:rPr>
              <w:t>Střední vzdělávání s  maturitní zkouškou</w:t>
            </w:r>
            <w:bookmarkEnd w:id="40"/>
          </w:p>
        </w:tc>
        <w:tc>
          <w:tcPr>
            <w:tcW w:w="6804" w:type="dxa"/>
            <w:shd w:val="clear" w:color="auto" w:fill="auto"/>
            <w:vAlign w:val="center"/>
            <w:hideMark/>
          </w:tcPr>
          <w:p w:rsidR="00BA121F" w:rsidRPr="00BA121F" w:rsidRDefault="00BA121F" w:rsidP="00BA121F">
            <w:pPr>
              <w:spacing w:after="0" w:line="240" w:lineRule="auto"/>
              <w:jc w:val="both"/>
              <w:rPr>
                <w:rFonts w:cs="Arial"/>
                <w:color w:val="000000"/>
                <w:szCs w:val="20"/>
              </w:rPr>
            </w:pPr>
            <w:r w:rsidRPr="00BA121F">
              <w:rPr>
                <w:rFonts w:cs="Arial"/>
                <w:color w:val="000000"/>
                <w:szCs w:val="20"/>
              </w:rPr>
              <w:t xml:space="preserve">Ukončením tohoto typu vzdělávání </w:t>
            </w:r>
            <w:hyperlink w:anchor="_Absolvent" w:history="1">
              <w:r w:rsidRPr="00BA121F">
                <w:rPr>
                  <w:rFonts w:cs="Arial"/>
                  <w:color w:val="0000FF"/>
                  <w:szCs w:val="20"/>
                  <w:u w:val="single"/>
                </w:rPr>
                <w:t>absolvent</w:t>
              </w:r>
            </w:hyperlink>
            <w:r w:rsidRPr="00BA121F">
              <w:rPr>
                <w:rFonts w:cs="Arial"/>
                <w:color w:val="000000"/>
                <w:szCs w:val="20"/>
              </w:rPr>
              <w:t xml:space="preserve"> získá maturitní vysvědčení. Toto vzdělávání je realizováno ve dvou základních formách:</w:t>
            </w:r>
          </w:p>
          <w:p w:rsidR="00BA121F" w:rsidRPr="00BA121F" w:rsidRDefault="00BA121F" w:rsidP="00BA121F">
            <w:pPr>
              <w:numPr>
                <w:ilvl w:val="0"/>
                <w:numId w:val="20"/>
              </w:numPr>
              <w:spacing w:after="0" w:line="240" w:lineRule="auto"/>
              <w:jc w:val="both"/>
              <w:rPr>
                <w:rFonts w:cs="Arial"/>
                <w:color w:val="000000"/>
                <w:szCs w:val="20"/>
              </w:rPr>
            </w:pPr>
            <w:r w:rsidRPr="00BA121F">
              <w:rPr>
                <w:rFonts w:cs="Arial"/>
                <w:color w:val="000000"/>
                <w:szCs w:val="20"/>
              </w:rPr>
              <w:t xml:space="preserve">Střední vzdělávání s maturitní zkouškou všeobecné má neprofesní charakter a je určeno pro přípravu žáků na další studium. Jedná se zpravidla o obory </w:t>
            </w:r>
            <w:hyperlink w:anchor="_Gymnázium" w:history="1">
              <w:r w:rsidRPr="00BA121F">
                <w:rPr>
                  <w:rFonts w:cs="Arial"/>
                  <w:color w:val="0000FF"/>
                  <w:szCs w:val="20"/>
                  <w:u w:val="single"/>
                </w:rPr>
                <w:t>gymnázií</w:t>
              </w:r>
            </w:hyperlink>
            <w:r w:rsidRPr="00BA121F">
              <w:rPr>
                <w:rFonts w:cs="Arial"/>
                <w:color w:val="000000"/>
                <w:szCs w:val="20"/>
              </w:rPr>
              <w:t xml:space="preserve">, jejichž studium v rámci denní formy vzdělávání trvá čtyři roky (pro absolventy základních škol), příp. šest či osm let, kdy žáci v nižších ročnících plní </w:t>
            </w:r>
            <w:hyperlink w:anchor="_Povinná_školní_docházka" w:history="1">
              <w:r w:rsidRPr="00BA121F">
                <w:rPr>
                  <w:rFonts w:cs="Arial"/>
                  <w:color w:val="0000FF"/>
                  <w:szCs w:val="20"/>
                  <w:u w:val="single"/>
                </w:rPr>
                <w:t>povinnou školní docházku</w:t>
              </w:r>
            </w:hyperlink>
            <w:r w:rsidRPr="00BA121F">
              <w:rPr>
                <w:rFonts w:cs="Arial"/>
                <w:color w:val="000000"/>
                <w:szCs w:val="20"/>
              </w:rPr>
              <w:t xml:space="preserve">. </w:t>
            </w:r>
          </w:p>
          <w:p w:rsidR="00BA121F" w:rsidRPr="00BA121F" w:rsidRDefault="00BA121F" w:rsidP="00BA121F">
            <w:pPr>
              <w:numPr>
                <w:ilvl w:val="0"/>
                <w:numId w:val="20"/>
              </w:numPr>
              <w:spacing w:after="0" w:line="240" w:lineRule="auto"/>
              <w:jc w:val="both"/>
              <w:rPr>
                <w:rFonts w:cs="Arial"/>
                <w:color w:val="000000"/>
                <w:szCs w:val="20"/>
              </w:rPr>
            </w:pPr>
            <w:r w:rsidRPr="00BA121F">
              <w:rPr>
                <w:rFonts w:cs="Arial"/>
                <w:color w:val="000000"/>
                <w:szCs w:val="20"/>
              </w:rPr>
              <w:t xml:space="preserve">Střední vzdělávání s maturitní zkouškou odborné je přípravou na konkrétní povolání či skupinu povolání a denní forma trvá čtyři roky. </w:t>
            </w:r>
          </w:p>
        </w:tc>
      </w:tr>
      <w:tr w:rsidR="00BA121F" w:rsidRPr="00BA121F" w:rsidTr="00906650">
        <w:trPr>
          <w:trHeight w:val="300"/>
        </w:trPr>
        <w:tc>
          <w:tcPr>
            <w:tcW w:w="2425" w:type="dxa"/>
            <w:shd w:val="clear" w:color="auto" w:fill="auto"/>
            <w:hideMark/>
          </w:tcPr>
          <w:p w:rsidR="00BA121F" w:rsidRPr="00BA121F" w:rsidRDefault="00BA121F" w:rsidP="00BA121F">
            <w:pPr>
              <w:keepNext/>
              <w:keepLines/>
              <w:spacing w:before="40" w:after="0"/>
              <w:outlineLvl w:val="3"/>
              <w:rPr>
                <w:b/>
                <w:bCs/>
                <w:iCs/>
                <w:color w:val="BC091B"/>
              </w:rPr>
            </w:pPr>
            <w:bookmarkStart w:id="41" w:name="_Toc458510880"/>
            <w:r w:rsidRPr="00BA121F">
              <w:rPr>
                <w:b/>
                <w:bCs/>
                <w:iCs/>
                <w:color w:val="BC091B"/>
              </w:rPr>
              <w:t>Střední vzdělávání s výučním listem</w:t>
            </w:r>
            <w:bookmarkEnd w:id="41"/>
          </w:p>
        </w:tc>
        <w:tc>
          <w:tcPr>
            <w:tcW w:w="6804" w:type="dxa"/>
            <w:shd w:val="clear" w:color="auto" w:fill="auto"/>
            <w:vAlign w:val="center"/>
            <w:hideMark/>
          </w:tcPr>
          <w:p w:rsidR="00BA121F" w:rsidRPr="00BA121F" w:rsidRDefault="00BA121F" w:rsidP="00BA121F">
            <w:pPr>
              <w:spacing w:before="40" w:after="0" w:line="240" w:lineRule="auto"/>
              <w:jc w:val="both"/>
              <w:rPr>
                <w:rFonts w:cs="Arial"/>
                <w:szCs w:val="20"/>
              </w:rPr>
            </w:pPr>
            <w:r w:rsidRPr="00BA121F">
              <w:rPr>
                <w:rFonts w:cs="Arial"/>
                <w:color w:val="000000"/>
                <w:szCs w:val="20"/>
              </w:rPr>
              <w:t xml:space="preserve">Střední vzdělání s výučním listem se dle </w:t>
            </w:r>
            <w:hyperlink r:id="rId30" w:history="1">
              <w:r w:rsidRPr="00BA121F">
                <w:rPr>
                  <w:rFonts w:cs="Arial"/>
                  <w:color w:val="0000FF"/>
                  <w:szCs w:val="20"/>
                  <w:u w:val="single"/>
                </w:rPr>
                <w:t>Školského zákona</w:t>
              </w:r>
            </w:hyperlink>
            <w:r w:rsidRPr="00BA121F">
              <w:rPr>
                <w:rFonts w:cs="Arial"/>
                <w:color w:val="0000FF"/>
                <w:szCs w:val="20"/>
                <w:u w:val="single"/>
              </w:rPr>
              <w:t xml:space="preserve"> </w:t>
            </w:r>
            <w:r w:rsidRPr="00BA121F">
              <w:rPr>
                <w:rFonts w:cs="Arial"/>
                <w:szCs w:val="20"/>
              </w:rPr>
              <w:t xml:space="preserve">(č. 561/2004 Sb., </w:t>
            </w:r>
            <w:r w:rsidRPr="00BA121F">
              <w:rPr>
                <w:rFonts w:cs="Arial"/>
                <w:color w:val="000000"/>
                <w:szCs w:val="20"/>
              </w:rPr>
              <w:t>§ 58</w:t>
            </w:r>
            <w:r w:rsidRPr="00BA121F">
              <w:rPr>
                <w:rFonts w:cs="Arial"/>
                <w:szCs w:val="20"/>
              </w:rPr>
              <w:t xml:space="preserve">) </w:t>
            </w:r>
            <w:r w:rsidRPr="00BA121F">
              <w:rPr>
                <w:rFonts w:cs="Arial"/>
                <w:color w:val="000000"/>
                <w:szCs w:val="20"/>
              </w:rPr>
              <w:t xml:space="preserve">řadí do </w:t>
            </w:r>
            <w:hyperlink w:anchor="_Střední_vzdělávání" w:history="1">
              <w:r w:rsidRPr="00BA121F">
                <w:rPr>
                  <w:rFonts w:cs="Arial"/>
                  <w:color w:val="0000FF"/>
                  <w:szCs w:val="20"/>
                  <w:u w:val="single"/>
                </w:rPr>
                <w:t>středního vzdělávání</w:t>
              </w:r>
            </w:hyperlink>
            <w:r w:rsidRPr="00BA121F">
              <w:t xml:space="preserve"> </w:t>
            </w:r>
            <w:r w:rsidRPr="00BA121F">
              <w:rPr>
                <w:rFonts w:cs="Arial"/>
                <w:color w:val="000000"/>
                <w:szCs w:val="20"/>
              </w:rPr>
              <w:t>odborného zaměření (jedná se o přípravu na konkrétní povolání) a žák jej získá úspěšným ukončením vzdělávacího programu v délce 2 nebo 3 let denní formy vzdělávání nebo vzdělávacího programu zkráceného studia pro získání středního vzdělání s výučním listem (§ 84).</w:t>
            </w:r>
          </w:p>
        </w:tc>
      </w:tr>
      <w:tr w:rsidR="00BA121F" w:rsidRPr="00BA121F" w:rsidTr="00906650">
        <w:trPr>
          <w:trHeight w:val="600"/>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42" w:name="_Toc458510881"/>
            <w:r w:rsidRPr="00BA121F">
              <w:rPr>
                <w:b/>
                <w:bCs/>
                <w:iCs/>
                <w:color w:val="BC091B"/>
              </w:rPr>
              <w:t>Studenti</w:t>
            </w:r>
            <w:bookmarkEnd w:id="42"/>
          </w:p>
        </w:tc>
        <w:tc>
          <w:tcPr>
            <w:tcW w:w="6804" w:type="dxa"/>
            <w:shd w:val="clear" w:color="auto" w:fill="auto"/>
            <w:vAlign w:val="center"/>
            <w:hideMark/>
          </w:tcPr>
          <w:p w:rsidR="00BA121F" w:rsidRPr="00BA121F" w:rsidRDefault="00BA121F" w:rsidP="00BA121F">
            <w:pPr>
              <w:spacing w:after="0" w:line="240" w:lineRule="auto"/>
              <w:jc w:val="both"/>
              <w:rPr>
                <w:rFonts w:cs="Arial"/>
                <w:color w:val="000000"/>
                <w:szCs w:val="20"/>
              </w:rPr>
            </w:pPr>
            <w:r w:rsidRPr="00BA121F">
              <w:rPr>
                <w:rFonts w:cs="Arial"/>
                <w:color w:val="000000"/>
                <w:szCs w:val="20"/>
              </w:rPr>
              <w:t>Jako studenti jsou označováni účastníci </w:t>
            </w:r>
            <w:hyperlink w:anchor="_Vyšší_odborné_vzdělávání" w:history="1">
              <w:r w:rsidRPr="00BA121F">
                <w:rPr>
                  <w:rFonts w:cs="Arial"/>
                  <w:color w:val="0000FF"/>
                  <w:szCs w:val="20"/>
                  <w:u w:val="single"/>
                </w:rPr>
                <w:t>vyššího odborného</w:t>
              </w:r>
            </w:hyperlink>
            <w:r w:rsidRPr="00BA121F">
              <w:rPr>
                <w:rFonts w:cs="Arial"/>
                <w:color w:val="000000"/>
                <w:szCs w:val="20"/>
              </w:rPr>
              <w:t xml:space="preserve"> a </w:t>
            </w:r>
            <w:hyperlink w:anchor="_Vysoká_škola" w:history="1">
              <w:r w:rsidRPr="00BA121F">
                <w:rPr>
                  <w:rFonts w:cs="Arial"/>
                  <w:color w:val="0000FF"/>
                  <w:szCs w:val="20"/>
                  <w:u w:val="single"/>
                </w:rPr>
                <w:t>vysokoškolského vzdělávání</w:t>
              </w:r>
            </w:hyperlink>
            <w:r w:rsidRPr="00BA121F">
              <w:rPr>
                <w:rFonts w:cs="Arial"/>
                <w:color w:val="000000"/>
                <w:szCs w:val="20"/>
              </w:rPr>
              <w:t>.</w:t>
            </w:r>
          </w:p>
          <w:p w:rsidR="00BA121F" w:rsidRPr="00BA121F" w:rsidRDefault="00BA121F" w:rsidP="00BA121F">
            <w:pPr>
              <w:spacing w:after="0" w:line="240" w:lineRule="auto"/>
              <w:jc w:val="both"/>
              <w:rPr>
                <w:rFonts w:cs="Arial"/>
                <w:color w:val="000000"/>
                <w:szCs w:val="20"/>
              </w:rPr>
            </w:pPr>
            <w:r w:rsidRPr="00BA121F">
              <w:rPr>
                <w:rFonts w:cs="Arial"/>
                <w:color w:val="000000"/>
                <w:szCs w:val="20"/>
              </w:rPr>
              <w:t>Studenti vyšších odborných škol nejsou uváděni v počtu fyzických osob, ale v počtu studií. Výjimkou je pouze třídění dle národnosti, v rámci kterého jsou studenti vyšších odborných škol vykazováni ve fyzických osobách.</w:t>
            </w:r>
          </w:p>
          <w:p w:rsidR="00BA121F" w:rsidRPr="00BA121F" w:rsidRDefault="00BA121F" w:rsidP="00BA121F">
            <w:pPr>
              <w:spacing w:after="0" w:line="240" w:lineRule="auto"/>
              <w:jc w:val="both"/>
              <w:rPr>
                <w:rFonts w:cs="Arial"/>
                <w:color w:val="000000"/>
                <w:szCs w:val="20"/>
              </w:rPr>
            </w:pPr>
            <w:r w:rsidRPr="00BA121F">
              <w:rPr>
                <w:rFonts w:cs="Arial"/>
                <w:color w:val="000000"/>
                <w:szCs w:val="20"/>
              </w:rPr>
              <w:t xml:space="preserve">Oproti tomu studenti vysokých škol jsou, s výjimkou dvou vysokých škol státních, vykazováni ve fyzických osobách (v případě vysokých škol státních se jedná o počty studií). Pro správné pochopení statistických ukazatelů je důležité si uvědomit, že jeden student může být </w:t>
            </w:r>
            <w:r w:rsidRPr="00BA121F">
              <w:rPr>
                <w:rFonts w:cs="Arial"/>
                <w:szCs w:val="20"/>
              </w:rPr>
              <w:t>zapsán do více druhů</w:t>
            </w:r>
            <w:r w:rsidRPr="00BA121F">
              <w:rPr>
                <w:rFonts w:cs="Arial"/>
                <w:color w:val="000000"/>
                <w:szCs w:val="20"/>
              </w:rPr>
              <w:t xml:space="preserve"> a forem vzdělávání, studijních programů apod., a to i ve více školách najednou. Celkový počet studentů uváděný ve fyzických osobách tedy nemusí odpovídat součtu studentů v dílčích kategoriích.</w:t>
            </w:r>
          </w:p>
          <w:p w:rsidR="00BA121F" w:rsidRPr="00BA121F" w:rsidRDefault="00BA121F" w:rsidP="00BA121F">
            <w:pPr>
              <w:spacing w:after="0" w:line="240" w:lineRule="auto"/>
              <w:jc w:val="both"/>
              <w:rPr>
                <w:rFonts w:cs="Arial"/>
                <w:color w:val="000000"/>
                <w:szCs w:val="20"/>
              </w:rPr>
            </w:pPr>
            <w:r w:rsidRPr="00BA121F">
              <w:rPr>
                <w:rFonts w:cs="Arial"/>
                <w:color w:val="000000"/>
                <w:szCs w:val="20"/>
              </w:rPr>
              <w:t xml:space="preserve">Počet studentů vysokých škol se vykazuje k 31. prosinci daného kalendářního </w:t>
            </w:r>
            <w:hyperlink w:anchor="_Rok" w:history="1">
              <w:r w:rsidRPr="00BA121F">
                <w:rPr>
                  <w:rFonts w:cs="Arial"/>
                  <w:color w:val="0000FF"/>
                  <w:szCs w:val="20"/>
                  <w:u w:val="single"/>
                </w:rPr>
                <w:t>roku</w:t>
              </w:r>
            </w:hyperlink>
            <w:r w:rsidRPr="00BA121F">
              <w:rPr>
                <w:rFonts w:cs="Arial"/>
                <w:color w:val="000000"/>
                <w:szCs w:val="20"/>
              </w:rPr>
              <w:t xml:space="preserve">, počet studentů vyšších odborných škol k 30. září daného </w:t>
            </w:r>
            <w:hyperlink w:anchor="_Školní_rok" w:history="1">
              <w:r w:rsidRPr="00BA121F">
                <w:rPr>
                  <w:rFonts w:cs="Arial"/>
                  <w:color w:val="0000FF"/>
                  <w:szCs w:val="20"/>
                  <w:u w:val="single"/>
                </w:rPr>
                <w:t>školního roku</w:t>
              </w:r>
            </w:hyperlink>
            <w:r w:rsidRPr="00BA121F">
              <w:rPr>
                <w:rFonts w:cs="Arial"/>
                <w:color w:val="000000"/>
                <w:szCs w:val="20"/>
              </w:rPr>
              <w:t>.</w:t>
            </w:r>
          </w:p>
        </w:tc>
      </w:tr>
      <w:tr w:rsidR="00BA121F" w:rsidRPr="00BA121F" w:rsidTr="00906650">
        <w:trPr>
          <w:trHeight w:val="5546"/>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43" w:name="_Toc458510882"/>
            <w:r w:rsidRPr="00BA121F">
              <w:rPr>
                <w:b/>
                <w:bCs/>
                <w:iCs/>
                <w:color w:val="BC091B"/>
              </w:rPr>
              <w:lastRenderedPageBreak/>
              <w:t>SVP (speciální vzdělávací potřeby)</w:t>
            </w:r>
            <w:bookmarkEnd w:id="43"/>
          </w:p>
        </w:tc>
        <w:tc>
          <w:tcPr>
            <w:tcW w:w="6804" w:type="dxa"/>
            <w:shd w:val="clear" w:color="auto" w:fill="auto"/>
            <w:vAlign w:val="center"/>
            <w:hideMark/>
          </w:tcPr>
          <w:p w:rsidR="00BA121F" w:rsidRPr="00BA121F" w:rsidRDefault="00BA121F" w:rsidP="00BA121F">
            <w:pPr>
              <w:spacing w:after="0" w:line="240" w:lineRule="auto"/>
              <w:jc w:val="both"/>
              <w:rPr>
                <w:rFonts w:cs="Arial"/>
                <w:color w:val="000000"/>
                <w:szCs w:val="20"/>
              </w:rPr>
            </w:pPr>
            <w:r w:rsidRPr="00BA121F">
              <w:rPr>
                <w:rFonts w:cs="Arial"/>
                <w:color w:val="000000"/>
                <w:szCs w:val="20"/>
              </w:rPr>
              <w:t xml:space="preserve">Podle </w:t>
            </w:r>
            <w:hyperlink r:id="rId31" w:history="1">
              <w:r w:rsidRPr="00BA121F">
                <w:rPr>
                  <w:rFonts w:cs="Arial"/>
                  <w:color w:val="0000FF"/>
                  <w:szCs w:val="20"/>
                  <w:u w:val="single"/>
                </w:rPr>
                <w:t>Školského zákona</w:t>
              </w:r>
            </w:hyperlink>
            <w:r w:rsidRPr="00BA121F">
              <w:t xml:space="preserve"> </w:t>
            </w:r>
            <w:r w:rsidRPr="00BA121F">
              <w:rPr>
                <w:rFonts w:cs="Arial"/>
                <w:szCs w:val="20"/>
              </w:rPr>
              <w:t xml:space="preserve">(č. 561/2004 Sb., § 16) </w:t>
            </w:r>
            <w:r w:rsidRPr="00BA121F">
              <w:rPr>
                <w:rFonts w:cs="Arial"/>
                <w:color w:val="000000"/>
                <w:szCs w:val="20"/>
              </w:rPr>
              <w:t xml:space="preserve">je </w:t>
            </w:r>
            <w:hyperlink w:anchor="_Děti" w:history="1">
              <w:r w:rsidRPr="00BA121F">
                <w:rPr>
                  <w:rFonts w:cs="Arial"/>
                  <w:color w:val="0000FF"/>
                  <w:szCs w:val="20"/>
                  <w:u w:val="single"/>
                </w:rPr>
                <w:t>dítětem</w:t>
              </w:r>
            </w:hyperlink>
            <w:r w:rsidRPr="00BA121F">
              <w:rPr>
                <w:rFonts w:cs="Arial"/>
                <w:color w:val="000000"/>
                <w:szCs w:val="20"/>
              </w:rPr>
              <w:t xml:space="preserve">, </w:t>
            </w:r>
            <w:hyperlink w:anchor="_Žáci" w:history="1">
              <w:r w:rsidRPr="00BA121F">
                <w:rPr>
                  <w:rFonts w:cs="Arial"/>
                  <w:color w:val="0000FF"/>
                  <w:szCs w:val="20"/>
                  <w:u w:val="single"/>
                </w:rPr>
                <w:t>žákem</w:t>
              </w:r>
            </w:hyperlink>
            <w:r w:rsidRPr="00BA121F">
              <w:rPr>
                <w:rFonts w:cs="Arial"/>
                <w:color w:val="000000"/>
                <w:szCs w:val="20"/>
              </w:rPr>
              <w:t xml:space="preserve"> a </w:t>
            </w:r>
            <w:hyperlink w:anchor="_Studenti" w:history="1">
              <w:r w:rsidRPr="00BA121F">
                <w:rPr>
                  <w:rFonts w:cs="Arial"/>
                  <w:color w:val="0000FF"/>
                  <w:szCs w:val="20"/>
                  <w:u w:val="single"/>
                </w:rPr>
                <w:t>studentem</w:t>
              </w:r>
            </w:hyperlink>
            <w:r w:rsidRPr="00BA121F">
              <w:rPr>
                <w:rFonts w:cs="Arial"/>
                <w:color w:val="000000"/>
                <w:szCs w:val="20"/>
              </w:rPr>
              <w:t xml:space="preserve"> se speciálními vzdělávacími potřebami osoba, </w:t>
            </w:r>
            <w:r w:rsidRPr="00BA121F">
              <w:t>která k naplnění svých vzdělávacích možností nebo k uplatnění nebo užívání svých práv na rovnoprávném základě s ostatními potřebuje poskytnutí podpůrných opatření.</w:t>
            </w:r>
          </w:p>
          <w:p w:rsidR="00BA121F" w:rsidRPr="00BA121F" w:rsidRDefault="00BA121F" w:rsidP="00BA121F">
            <w:pPr>
              <w:spacing w:after="0" w:line="240" w:lineRule="auto"/>
              <w:jc w:val="both"/>
              <w:rPr>
                <w:rFonts w:cs="Arial"/>
                <w:color w:val="000000"/>
                <w:szCs w:val="20"/>
              </w:rPr>
            </w:pPr>
            <w:r w:rsidRPr="00BA121F">
              <w:rPr>
                <w:rFonts w:cs="Arial"/>
                <w:color w:val="222222"/>
                <w:szCs w:val="20"/>
              </w:rPr>
              <w:t>Při interpretaci počtu žáků se speciálními vzdělávacími potřebami, včetně v dělení dle druhu postižení, je třeba mít na paměti, že absolutní nárůsty v jednotlivých kategoriích nemusejí vždy vypovídat o vyšším výskytu zdravotně postižených či dětí s poruchami v populaci. Čísla mohou být ovlivněna změnami v systému, vzdělávací politice či metodice vykazování. Např. zavedení výhod či úlev pro žáky se SVP může mít za následek vyšší zájem o oficiální potvrzení diagnózy, může docházet k </w:t>
            </w:r>
            <w:proofErr w:type="spellStart"/>
            <w:r w:rsidRPr="00BA121F">
              <w:rPr>
                <w:rFonts w:cs="Arial"/>
                <w:color w:val="222222"/>
                <w:szCs w:val="20"/>
              </w:rPr>
              <w:t>rediagnostikám</w:t>
            </w:r>
            <w:proofErr w:type="spellEnd"/>
            <w:r w:rsidRPr="00BA121F">
              <w:rPr>
                <w:rFonts w:cs="Arial"/>
                <w:color w:val="222222"/>
                <w:szCs w:val="20"/>
              </w:rPr>
              <w:t xml:space="preserve"> postižení z jedné kategorie do jiné apod., viz např. </w:t>
            </w:r>
            <w:hyperlink r:id="rId32" w:history="1">
              <w:r w:rsidRPr="00BA121F">
                <w:rPr>
                  <w:rFonts w:cs="Arial"/>
                  <w:color w:val="0000FF"/>
                  <w:szCs w:val="20"/>
                  <w:u w:val="single"/>
                </w:rPr>
                <w:t>zde</w:t>
              </w:r>
            </w:hyperlink>
            <w:r w:rsidRPr="00BA121F">
              <w:rPr>
                <w:rFonts w:cs="Arial"/>
                <w:color w:val="222222"/>
                <w:szCs w:val="20"/>
              </w:rPr>
              <w:t>.</w:t>
            </w:r>
          </w:p>
          <w:p w:rsidR="00BA121F" w:rsidRPr="00BA121F" w:rsidRDefault="00BA121F" w:rsidP="00BA121F">
            <w:pPr>
              <w:spacing w:after="0" w:line="240" w:lineRule="auto"/>
              <w:jc w:val="both"/>
              <w:rPr>
                <w:rFonts w:cs="Arial"/>
                <w:color w:val="000000"/>
                <w:szCs w:val="20"/>
              </w:rPr>
            </w:pPr>
            <w:r w:rsidRPr="00BA121F">
              <w:rPr>
                <w:rFonts w:cs="Arial"/>
                <w:color w:val="000000"/>
                <w:szCs w:val="20"/>
              </w:rPr>
              <w:t xml:space="preserve">Děti, žáci a studenti se speciálními vzdělávacími potřebami mohou být integrováni do </w:t>
            </w:r>
            <w:hyperlink w:anchor="_Běžná_třída" w:history="1">
              <w:r w:rsidRPr="00BA121F">
                <w:rPr>
                  <w:rFonts w:cs="Arial"/>
                  <w:color w:val="0000FF"/>
                  <w:szCs w:val="20"/>
                  <w:u w:val="single"/>
                </w:rPr>
                <w:t>běžných tříd</w:t>
              </w:r>
            </w:hyperlink>
            <w:r w:rsidRPr="00BA121F">
              <w:t xml:space="preserve"> </w:t>
            </w:r>
            <w:hyperlink w:anchor="_Běžná_škola" w:history="1">
              <w:r w:rsidRPr="00BA121F">
                <w:rPr>
                  <w:color w:val="0000FF"/>
                  <w:u w:val="single"/>
                </w:rPr>
                <w:t>běžných škol</w:t>
              </w:r>
            </w:hyperlink>
            <w:r w:rsidRPr="00BA121F">
              <w:rPr>
                <w:rFonts w:cs="Arial"/>
                <w:color w:val="000000"/>
                <w:szCs w:val="20"/>
              </w:rPr>
              <w:t xml:space="preserve">, nebo pro ně mohou být na běžných školách zřízeny </w:t>
            </w:r>
            <w:hyperlink w:anchor="_Speciální_třída" w:history="1">
              <w:r w:rsidRPr="00BA121F">
                <w:rPr>
                  <w:rFonts w:cs="Arial"/>
                  <w:color w:val="0000FF"/>
                  <w:szCs w:val="20"/>
                  <w:u w:val="single"/>
                </w:rPr>
                <w:t>speciální třídy</w:t>
              </w:r>
            </w:hyperlink>
            <w:r w:rsidRPr="00BA121F">
              <w:rPr>
                <w:rFonts w:cs="Arial"/>
                <w:color w:val="000000"/>
                <w:szCs w:val="20"/>
              </w:rPr>
              <w:t xml:space="preserve">, popř. navštěvují </w:t>
            </w:r>
            <w:hyperlink w:anchor="_Škola_pro_žáky" w:history="1">
              <w:r w:rsidRPr="00BA121F">
                <w:rPr>
                  <w:rFonts w:cs="Arial"/>
                  <w:color w:val="0000FF"/>
                  <w:szCs w:val="20"/>
                  <w:u w:val="single"/>
                </w:rPr>
                <w:t>školy určené přímo pro žáky</w:t>
              </w:r>
              <w:r w:rsidRPr="00BA121F">
                <w:rPr>
                  <w:color w:val="0000FF"/>
                  <w:u w:val="single"/>
                </w:rPr>
                <w:t xml:space="preserve"> se speciálními vzdělávacími potřebami</w:t>
              </w:r>
            </w:hyperlink>
            <w:r w:rsidRPr="00BA121F">
              <w:t xml:space="preserve">. </w:t>
            </w:r>
          </w:p>
        </w:tc>
      </w:tr>
      <w:tr w:rsidR="00BA121F" w:rsidRPr="00BA121F" w:rsidTr="00906650">
        <w:trPr>
          <w:trHeight w:val="283"/>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44" w:name="_Toc458510883"/>
            <w:r w:rsidRPr="00BA121F">
              <w:rPr>
                <w:b/>
                <w:bCs/>
                <w:iCs/>
                <w:color w:val="BC091B"/>
              </w:rPr>
              <w:t>Šestiletá konzervatoř</w:t>
            </w:r>
            <w:bookmarkEnd w:id="44"/>
          </w:p>
        </w:tc>
        <w:tc>
          <w:tcPr>
            <w:tcW w:w="6804" w:type="dxa"/>
            <w:shd w:val="clear" w:color="auto" w:fill="auto"/>
            <w:vAlign w:val="center"/>
            <w:hideMark/>
          </w:tcPr>
          <w:p w:rsidR="00BA121F" w:rsidRPr="00BA121F" w:rsidRDefault="00BA121F" w:rsidP="00BA121F">
            <w:pPr>
              <w:spacing w:after="0" w:line="240" w:lineRule="auto"/>
              <w:jc w:val="both"/>
              <w:rPr>
                <w:rFonts w:cs="Arial"/>
                <w:color w:val="000000"/>
                <w:szCs w:val="20"/>
              </w:rPr>
            </w:pPr>
            <w:r w:rsidRPr="00BA121F">
              <w:rPr>
                <w:rFonts w:cs="Arial"/>
                <w:color w:val="000000"/>
                <w:szCs w:val="20"/>
              </w:rPr>
              <w:t xml:space="preserve">Do šestiletých konzervatoří nastupují žáci, kteří mají splněnou </w:t>
            </w:r>
            <w:hyperlink w:anchor="_Povinná_školní_docházka" w:history="1">
              <w:r w:rsidRPr="00BA121F">
                <w:rPr>
                  <w:rFonts w:cs="Arial"/>
                  <w:color w:val="0000FF"/>
                  <w:szCs w:val="20"/>
                  <w:u w:val="single"/>
                </w:rPr>
                <w:t>povinnou školní docházku</w:t>
              </w:r>
            </w:hyperlink>
            <w:r w:rsidRPr="00BA121F">
              <w:rPr>
                <w:rFonts w:cs="Arial"/>
                <w:color w:val="000000"/>
                <w:szCs w:val="20"/>
              </w:rPr>
              <w:t xml:space="preserve">. Nejdříve po čtyřech letech studia skládají maturitní zkoušku (tj. dokončí </w:t>
            </w:r>
            <w:hyperlink w:anchor="_Střední_vzdělávání" w:history="1">
              <w:r w:rsidRPr="00BA121F">
                <w:rPr>
                  <w:rFonts w:cs="Arial"/>
                  <w:color w:val="0000FF"/>
                  <w:szCs w:val="20"/>
                  <w:u w:val="single"/>
                </w:rPr>
                <w:t>střední vzdělávání</w:t>
              </w:r>
            </w:hyperlink>
            <w:r w:rsidRPr="00BA121F">
              <w:rPr>
                <w:rFonts w:cs="Arial"/>
                <w:color w:val="000000"/>
                <w:szCs w:val="20"/>
              </w:rPr>
              <w:t xml:space="preserve">), na konci šestého roku studia skládají absolutorium a získávají titul Dis. (tj. dokončí </w:t>
            </w:r>
            <w:hyperlink w:anchor="_Vyšší_odborné_vzdělávání" w:history="1">
              <w:r w:rsidRPr="00BA121F">
                <w:rPr>
                  <w:rFonts w:cs="Arial"/>
                  <w:color w:val="0000FF"/>
                  <w:szCs w:val="20"/>
                  <w:u w:val="single"/>
                </w:rPr>
                <w:t>vyšší odborné vzdělání</w:t>
              </w:r>
            </w:hyperlink>
            <w:r w:rsidRPr="00BA121F">
              <w:rPr>
                <w:rFonts w:cs="Arial"/>
                <w:color w:val="000000"/>
                <w:szCs w:val="20"/>
              </w:rPr>
              <w:t xml:space="preserve"> na konzervatoři). Viz též pojem </w:t>
            </w:r>
            <w:hyperlink w:anchor="_Konzervatoř" w:history="1">
              <w:r w:rsidRPr="00BA121F">
                <w:rPr>
                  <w:rFonts w:cs="Arial"/>
                  <w:color w:val="0000FF"/>
                  <w:szCs w:val="20"/>
                  <w:u w:val="single"/>
                </w:rPr>
                <w:t>konzervatoř</w:t>
              </w:r>
            </w:hyperlink>
            <w:r w:rsidRPr="00BA121F">
              <w:rPr>
                <w:rFonts w:cs="Arial"/>
                <w:color w:val="000000"/>
                <w:szCs w:val="20"/>
              </w:rPr>
              <w:t>.</w:t>
            </w:r>
          </w:p>
        </w:tc>
      </w:tr>
      <w:tr w:rsidR="00BA121F" w:rsidRPr="00BA121F" w:rsidTr="00906650">
        <w:trPr>
          <w:trHeight w:val="283"/>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45" w:name="_Toc458510884"/>
            <w:r w:rsidRPr="00BA121F">
              <w:rPr>
                <w:b/>
                <w:bCs/>
                <w:iCs/>
                <w:color w:val="BC091B"/>
              </w:rPr>
              <w:t>Šestileté gymnázium</w:t>
            </w:r>
            <w:bookmarkEnd w:id="45"/>
          </w:p>
        </w:tc>
        <w:tc>
          <w:tcPr>
            <w:tcW w:w="6804" w:type="dxa"/>
            <w:shd w:val="clear" w:color="auto" w:fill="auto"/>
            <w:vAlign w:val="center"/>
            <w:hideMark/>
          </w:tcPr>
          <w:p w:rsidR="00BA121F" w:rsidRPr="00BA121F" w:rsidRDefault="00BA121F" w:rsidP="00BA121F">
            <w:pPr>
              <w:spacing w:after="0" w:line="240" w:lineRule="auto"/>
              <w:jc w:val="both"/>
              <w:rPr>
                <w:rFonts w:cs="Arial"/>
                <w:color w:val="000000"/>
                <w:szCs w:val="20"/>
              </w:rPr>
            </w:pPr>
            <w:r w:rsidRPr="00BA121F">
              <w:rPr>
                <w:rFonts w:cs="Arial"/>
                <w:color w:val="000000"/>
                <w:szCs w:val="20"/>
              </w:rPr>
              <w:t xml:space="preserve">Šestileté gymnázium se řadí do kategorie </w:t>
            </w:r>
            <w:hyperlink w:anchor="_Střední_vzdělávání" w:history="1">
              <w:r w:rsidRPr="00BA121F">
                <w:rPr>
                  <w:rFonts w:cs="Arial"/>
                  <w:color w:val="0000FF"/>
                  <w:szCs w:val="20"/>
                  <w:u w:val="single"/>
                </w:rPr>
                <w:t>středního vzdělávání</w:t>
              </w:r>
            </w:hyperlink>
            <w:r w:rsidRPr="00BA121F">
              <w:rPr>
                <w:rFonts w:cs="Arial"/>
                <w:color w:val="000000"/>
                <w:szCs w:val="20"/>
              </w:rPr>
              <w:t xml:space="preserve"> všeobecného zaměření a poskytuje nižší (1. až 2. ročník) a vyšší (3. až 6. ročník) sekundární vzdělávání. Šestileté gymnázium bývá spolu s </w:t>
            </w:r>
            <w:hyperlink w:anchor="_Osmileté_gymnázium" w:history="1">
              <w:r w:rsidRPr="00BA121F">
                <w:rPr>
                  <w:rFonts w:cs="Arial"/>
                  <w:color w:val="0000FF"/>
                  <w:szCs w:val="20"/>
                  <w:u w:val="single"/>
                </w:rPr>
                <w:t>osmiletým gymnáziem</w:t>
              </w:r>
            </w:hyperlink>
            <w:r w:rsidRPr="00BA121F">
              <w:rPr>
                <w:rFonts w:cs="Arial"/>
                <w:color w:val="000000"/>
                <w:szCs w:val="20"/>
              </w:rPr>
              <w:t xml:space="preserve"> též označováno jako </w:t>
            </w:r>
            <w:hyperlink w:anchor="_Víceleté_gymnázium" w:history="1">
              <w:r w:rsidRPr="00BA121F">
                <w:rPr>
                  <w:rFonts w:cs="Arial"/>
                  <w:color w:val="0000FF"/>
                  <w:szCs w:val="20"/>
                  <w:u w:val="single"/>
                </w:rPr>
                <w:t>víceleté gymnázium</w:t>
              </w:r>
            </w:hyperlink>
            <w:r w:rsidRPr="00BA121F">
              <w:rPr>
                <w:rFonts w:cs="Arial"/>
                <w:color w:val="000000"/>
                <w:szCs w:val="20"/>
              </w:rPr>
              <w:t xml:space="preserve"> (viz též výklad k pojmu </w:t>
            </w:r>
            <w:hyperlink w:anchor="_Gymnázium" w:history="1">
              <w:r w:rsidRPr="00BA121F">
                <w:rPr>
                  <w:rFonts w:cs="Arial"/>
                  <w:color w:val="0000FF"/>
                  <w:szCs w:val="20"/>
                  <w:u w:val="single"/>
                </w:rPr>
                <w:t>gymnázium</w:t>
              </w:r>
            </w:hyperlink>
            <w:r w:rsidRPr="00BA121F">
              <w:rPr>
                <w:rFonts w:cs="Arial"/>
                <w:color w:val="000000"/>
                <w:szCs w:val="20"/>
              </w:rPr>
              <w:t>).</w:t>
            </w:r>
          </w:p>
        </w:tc>
      </w:tr>
      <w:tr w:rsidR="00BA121F" w:rsidRPr="00BA121F" w:rsidTr="00906650">
        <w:trPr>
          <w:trHeight w:val="1861"/>
        </w:trPr>
        <w:tc>
          <w:tcPr>
            <w:tcW w:w="2425" w:type="dxa"/>
            <w:shd w:val="clear" w:color="auto" w:fill="auto"/>
            <w:hideMark/>
          </w:tcPr>
          <w:p w:rsidR="00BA121F" w:rsidRPr="00BA121F" w:rsidRDefault="00BA121F" w:rsidP="00BA121F">
            <w:pPr>
              <w:keepNext/>
              <w:keepLines/>
              <w:spacing w:before="40" w:after="0"/>
              <w:outlineLvl w:val="3"/>
              <w:rPr>
                <w:b/>
                <w:bCs/>
                <w:iCs/>
                <w:color w:val="BC091B"/>
              </w:rPr>
            </w:pPr>
            <w:bookmarkStart w:id="46" w:name="_Toc458510885"/>
            <w:r w:rsidRPr="00BA121F">
              <w:rPr>
                <w:b/>
                <w:bCs/>
                <w:iCs/>
                <w:color w:val="BC091B"/>
              </w:rPr>
              <w:t>Škola</w:t>
            </w:r>
            <w:bookmarkEnd w:id="46"/>
          </w:p>
        </w:tc>
        <w:tc>
          <w:tcPr>
            <w:tcW w:w="6804" w:type="dxa"/>
            <w:shd w:val="clear" w:color="auto" w:fill="auto"/>
            <w:vAlign w:val="center"/>
            <w:hideMark/>
          </w:tcPr>
          <w:p w:rsidR="00BA121F" w:rsidRPr="00BA121F" w:rsidRDefault="00BA121F" w:rsidP="00BA121F">
            <w:pPr>
              <w:spacing w:after="0" w:line="240" w:lineRule="auto"/>
              <w:jc w:val="both"/>
              <w:rPr>
                <w:rFonts w:cs="Arial"/>
                <w:color w:val="000000"/>
                <w:szCs w:val="20"/>
              </w:rPr>
            </w:pPr>
            <w:r w:rsidRPr="00BA121F">
              <w:rPr>
                <w:rFonts w:cs="Arial"/>
                <w:color w:val="000000"/>
                <w:szCs w:val="20"/>
              </w:rPr>
              <w:t xml:space="preserve">Za školu se považuje právní subjekt zapsaný do rejstříku škol a školských zařízení. V průběhu času mohou tyto subjekty vznikat a zanikat nejen z důvodu založení nové školy, příp. jejího zrušení, ale též sloučením dvou či více škol pod jedno ředitelství, příp. rozdělením jedné školy do více samostatných právních subjektů, z nichž každý má své ředitelství. </w:t>
            </w:r>
          </w:p>
          <w:p w:rsidR="00BA121F" w:rsidRPr="00BA121F" w:rsidRDefault="00BA121F" w:rsidP="00BA121F">
            <w:pPr>
              <w:spacing w:after="0" w:line="240" w:lineRule="auto"/>
              <w:jc w:val="both"/>
              <w:rPr>
                <w:rFonts w:cs="Arial"/>
                <w:color w:val="000000"/>
                <w:szCs w:val="20"/>
              </w:rPr>
            </w:pPr>
            <w:r w:rsidRPr="00BA121F">
              <w:rPr>
                <w:rFonts w:cs="Arial"/>
                <w:color w:val="000000"/>
                <w:szCs w:val="20"/>
              </w:rPr>
              <w:t xml:space="preserve">Pro správné pochopení statistických ukazatelů je důležité si uvědomit, že jedna škola může nabízet více úrovní, druhů a forem vzdělávání, vzdělávacích programů apod. Z tohoto důvodu může být jedna škola započtena do více kategorií, kterým odpovídá. </w:t>
            </w:r>
          </w:p>
        </w:tc>
      </w:tr>
      <w:tr w:rsidR="00BA121F" w:rsidRPr="00BA121F" w:rsidTr="00906650">
        <w:trPr>
          <w:trHeight w:val="1200"/>
        </w:trPr>
        <w:tc>
          <w:tcPr>
            <w:tcW w:w="2425" w:type="dxa"/>
            <w:shd w:val="clear" w:color="auto" w:fill="auto"/>
            <w:hideMark/>
          </w:tcPr>
          <w:p w:rsidR="00BA121F" w:rsidRPr="00BA121F" w:rsidRDefault="00BA121F" w:rsidP="00BA121F">
            <w:pPr>
              <w:keepNext/>
              <w:keepLines/>
              <w:spacing w:before="40" w:after="0"/>
              <w:outlineLvl w:val="3"/>
              <w:rPr>
                <w:b/>
                <w:bCs/>
                <w:iCs/>
                <w:color w:val="BC091B"/>
              </w:rPr>
            </w:pPr>
            <w:bookmarkStart w:id="47" w:name="_Toc458510886"/>
            <w:r w:rsidRPr="00BA121F">
              <w:rPr>
                <w:b/>
                <w:bCs/>
                <w:iCs/>
                <w:color w:val="BC091B"/>
              </w:rPr>
              <w:t>Škola běžná</w:t>
            </w:r>
            <w:bookmarkEnd w:id="47"/>
          </w:p>
        </w:tc>
        <w:tc>
          <w:tcPr>
            <w:tcW w:w="6804" w:type="dxa"/>
            <w:shd w:val="clear" w:color="auto" w:fill="auto"/>
            <w:vAlign w:val="center"/>
            <w:hideMark/>
          </w:tcPr>
          <w:p w:rsidR="00BA121F" w:rsidRPr="00BA121F" w:rsidRDefault="00BA121F" w:rsidP="00BA121F">
            <w:pPr>
              <w:spacing w:after="0" w:line="240" w:lineRule="auto"/>
              <w:jc w:val="both"/>
              <w:rPr>
                <w:rFonts w:cs="Arial"/>
                <w:color w:val="000000"/>
                <w:szCs w:val="20"/>
              </w:rPr>
            </w:pPr>
            <w:r w:rsidRPr="00BA121F">
              <w:rPr>
                <w:rFonts w:cs="Arial"/>
                <w:color w:val="000000"/>
                <w:szCs w:val="20"/>
              </w:rPr>
              <w:t xml:space="preserve">Jedná se o školy, které </w:t>
            </w:r>
            <w:r w:rsidRPr="00BA121F">
              <w:rPr>
                <w:rFonts w:cs="Arial"/>
                <w:b/>
                <w:color w:val="000000"/>
                <w:szCs w:val="20"/>
              </w:rPr>
              <w:t>nejsou</w:t>
            </w:r>
            <w:r w:rsidRPr="00BA121F">
              <w:rPr>
                <w:rFonts w:cs="Arial"/>
                <w:color w:val="000000"/>
                <w:szCs w:val="20"/>
              </w:rPr>
              <w:t xml:space="preserve"> přímo samostatně zřízené </w:t>
            </w:r>
            <w:hyperlink w:anchor="_Škola_pro_žáky" w:history="1">
              <w:r w:rsidRPr="00BA121F">
                <w:rPr>
                  <w:rFonts w:cs="Arial"/>
                  <w:color w:val="0000FF"/>
                  <w:szCs w:val="20"/>
                  <w:u w:val="single"/>
                </w:rPr>
                <w:t>pro děti/žáky/studenty se speciálními vzdělávacími potřebami (SVP)</w:t>
              </w:r>
            </w:hyperlink>
            <w:r w:rsidRPr="00BA121F">
              <w:rPr>
                <w:rFonts w:cs="Arial"/>
                <w:color w:val="000000"/>
                <w:szCs w:val="20"/>
              </w:rPr>
              <w:t xml:space="preserve"> a mají tudíž minimálně jednu </w:t>
            </w:r>
            <w:hyperlink w:anchor="_Běžná_třída" w:history="1">
              <w:r w:rsidRPr="00BA121F">
                <w:rPr>
                  <w:rFonts w:cs="Arial"/>
                  <w:color w:val="0000FF"/>
                  <w:szCs w:val="20"/>
                  <w:u w:val="single"/>
                </w:rPr>
                <w:t>běžnou třídu</w:t>
              </w:r>
            </w:hyperlink>
            <w:r w:rsidRPr="00BA121F">
              <w:rPr>
                <w:rFonts w:cs="Arial"/>
                <w:color w:val="000000"/>
                <w:szCs w:val="20"/>
              </w:rPr>
              <w:t>. Mimo běžných tříd však mohou být v běžných školách i </w:t>
            </w:r>
            <w:hyperlink w:anchor="_Speciální_třída" w:history="1">
              <w:r w:rsidRPr="00BA121F">
                <w:rPr>
                  <w:rFonts w:cs="Arial"/>
                  <w:color w:val="0000FF"/>
                  <w:szCs w:val="20"/>
                  <w:u w:val="single"/>
                </w:rPr>
                <w:t>speciální třídy</w:t>
              </w:r>
            </w:hyperlink>
            <w:r w:rsidRPr="00BA121F">
              <w:rPr>
                <w:rFonts w:cs="Arial"/>
                <w:color w:val="000000"/>
                <w:szCs w:val="20"/>
              </w:rPr>
              <w:t xml:space="preserve">, příp. zde může docházet k integraci dětí/žáků/studentů se </w:t>
            </w:r>
            <w:hyperlink w:anchor="_SVP_(speciální_vzdělávací" w:history="1">
              <w:r w:rsidRPr="00BA121F">
                <w:rPr>
                  <w:rFonts w:cs="Arial"/>
                  <w:color w:val="0000FF"/>
                  <w:szCs w:val="20"/>
                  <w:u w:val="single"/>
                </w:rPr>
                <w:t>SVP</w:t>
              </w:r>
            </w:hyperlink>
            <w:r w:rsidRPr="00BA121F">
              <w:t xml:space="preserve"> </w:t>
            </w:r>
            <w:r w:rsidRPr="00BA121F">
              <w:rPr>
                <w:rFonts w:cs="Arial"/>
                <w:color w:val="000000"/>
                <w:szCs w:val="20"/>
              </w:rPr>
              <w:t xml:space="preserve">do </w:t>
            </w:r>
            <w:r w:rsidRPr="00BA121F">
              <w:rPr>
                <w:rFonts w:cs="Arial"/>
                <w:szCs w:val="20"/>
              </w:rPr>
              <w:t>běžných tříd</w:t>
            </w:r>
            <w:r w:rsidRPr="00BA121F">
              <w:rPr>
                <w:rFonts w:cs="Arial"/>
                <w:color w:val="000000"/>
                <w:szCs w:val="20"/>
              </w:rPr>
              <w:t xml:space="preserve">. </w:t>
            </w:r>
          </w:p>
        </w:tc>
      </w:tr>
      <w:tr w:rsidR="00BA121F" w:rsidRPr="00BA121F" w:rsidTr="00906650">
        <w:trPr>
          <w:trHeight w:val="442"/>
        </w:trPr>
        <w:tc>
          <w:tcPr>
            <w:tcW w:w="2425" w:type="dxa"/>
            <w:shd w:val="clear" w:color="auto" w:fill="auto"/>
            <w:hideMark/>
          </w:tcPr>
          <w:p w:rsidR="00BA121F" w:rsidRPr="00BA121F" w:rsidRDefault="00BA121F" w:rsidP="00BA121F">
            <w:pPr>
              <w:keepNext/>
              <w:keepLines/>
              <w:spacing w:before="40" w:after="0"/>
              <w:outlineLvl w:val="3"/>
              <w:rPr>
                <w:b/>
                <w:bCs/>
                <w:iCs/>
                <w:color w:val="BC091B"/>
              </w:rPr>
            </w:pPr>
            <w:bookmarkStart w:id="48" w:name="_Toc458510887"/>
            <w:r w:rsidRPr="00BA121F">
              <w:rPr>
                <w:b/>
                <w:bCs/>
                <w:iCs/>
                <w:color w:val="BC091B"/>
              </w:rPr>
              <w:t>Škola pro žáky se SVP</w:t>
            </w:r>
            <w:bookmarkEnd w:id="48"/>
            <w:r w:rsidRPr="00BA121F">
              <w:rPr>
                <w:b/>
                <w:bCs/>
                <w:iCs/>
                <w:color w:val="BC091B"/>
              </w:rPr>
              <w:t xml:space="preserve"> (speciální škola)</w:t>
            </w:r>
          </w:p>
        </w:tc>
        <w:tc>
          <w:tcPr>
            <w:tcW w:w="6804" w:type="dxa"/>
            <w:shd w:val="clear" w:color="auto" w:fill="auto"/>
            <w:vAlign w:val="center"/>
            <w:hideMark/>
          </w:tcPr>
          <w:p w:rsidR="00BA121F" w:rsidRPr="00BA121F" w:rsidRDefault="00BA121F" w:rsidP="00BA121F">
            <w:pPr>
              <w:spacing w:before="40" w:after="0" w:line="240" w:lineRule="auto"/>
              <w:jc w:val="both"/>
              <w:rPr>
                <w:rFonts w:cs="Arial"/>
                <w:color w:val="000000"/>
                <w:szCs w:val="20"/>
              </w:rPr>
            </w:pPr>
            <w:r w:rsidRPr="00BA121F">
              <w:rPr>
                <w:rFonts w:cs="Arial"/>
                <w:color w:val="000000"/>
                <w:szCs w:val="20"/>
              </w:rPr>
              <w:t xml:space="preserve">Jedná se o školy samostatně zřízené pro děti/žáky/studenty se </w:t>
            </w:r>
            <w:hyperlink w:anchor="_SVP_(speciální_vzdělávací" w:history="1">
              <w:r w:rsidRPr="00BA121F">
                <w:rPr>
                  <w:rFonts w:cs="Arial"/>
                  <w:color w:val="0000FF"/>
                  <w:szCs w:val="20"/>
                  <w:u w:val="single"/>
                </w:rPr>
                <w:t>speciálními vzdělávacími potřebami (SVP)</w:t>
              </w:r>
            </w:hyperlink>
            <w:r w:rsidRPr="00BA121F">
              <w:rPr>
                <w:rFonts w:cs="Arial"/>
                <w:color w:val="000000"/>
                <w:szCs w:val="20"/>
              </w:rPr>
              <w:t>, složené výhradně ze speciálních tříd.</w:t>
            </w:r>
          </w:p>
        </w:tc>
      </w:tr>
      <w:tr w:rsidR="00BA121F" w:rsidRPr="00BA121F" w:rsidTr="00906650">
        <w:trPr>
          <w:trHeight w:val="1861"/>
        </w:trPr>
        <w:tc>
          <w:tcPr>
            <w:tcW w:w="2425" w:type="dxa"/>
            <w:shd w:val="clear" w:color="auto" w:fill="auto"/>
            <w:hideMark/>
          </w:tcPr>
          <w:p w:rsidR="00BA121F" w:rsidRPr="00BA121F" w:rsidRDefault="00BA121F" w:rsidP="00BA121F">
            <w:pPr>
              <w:keepNext/>
              <w:keepLines/>
              <w:spacing w:before="40" w:after="0"/>
              <w:outlineLvl w:val="3"/>
              <w:rPr>
                <w:b/>
                <w:bCs/>
                <w:iCs/>
                <w:color w:val="BC091B"/>
              </w:rPr>
            </w:pPr>
            <w:bookmarkStart w:id="49" w:name="_Toc458510888"/>
            <w:r w:rsidRPr="00BA121F">
              <w:rPr>
                <w:b/>
                <w:bCs/>
                <w:iCs/>
                <w:color w:val="BC091B"/>
              </w:rPr>
              <w:lastRenderedPageBreak/>
              <w:t>Školní rok</w:t>
            </w:r>
            <w:bookmarkEnd w:id="49"/>
          </w:p>
        </w:tc>
        <w:tc>
          <w:tcPr>
            <w:tcW w:w="6804" w:type="dxa"/>
            <w:shd w:val="clear" w:color="auto" w:fill="auto"/>
            <w:vAlign w:val="center"/>
            <w:hideMark/>
          </w:tcPr>
          <w:p w:rsidR="00BA121F" w:rsidRPr="00BA121F" w:rsidRDefault="00BA121F" w:rsidP="00BA121F">
            <w:pPr>
              <w:spacing w:before="40" w:after="0" w:line="240" w:lineRule="auto"/>
              <w:jc w:val="both"/>
              <w:rPr>
                <w:rFonts w:cs="Arial"/>
                <w:color w:val="000000"/>
                <w:szCs w:val="20"/>
              </w:rPr>
            </w:pPr>
            <w:r w:rsidRPr="00BA121F">
              <w:rPr>
                <w:rFonts w:cs="Arial"/>
                <w:szCs w:val="20"/>
              </w:rPr>
              <w:t xml:space="preserve">Školní rok se sleduje v případě </w:t>
            </w:r>
            <w:hyperlink w:anchor="_Mateřská_škola" w:history="1">
              <w:r w:rsidRPr="00BA121F">
                <w:rPr>
                  <w:rFonts w:eastAsia="MS Gothic" w:cs="Arial"/>
                  <w:color w:val="0000FF"/>
                  <w:szCs w:val="20"/>
                  <w:u w:val="single"/>
                </w:rPr>
                <w:t>mateřských</w:t>
              </w:r>
            </w:hyperlink>
            <w:r w:rsidRPr="00BA121F">
              <w:rPr>
                <w:rFonts w:cs="Arial"/>
                <w:szCs w:val="20"/>
              </w:rPr>
              <w:t xml:space="preserve">, </w:t>
            </w:r>
            <w:hyperlink w:anchor="_Základní_škola" w:history="1">
              <w:r w:rsidRPr="00BA121F">
                <w:rPr>
                  <w:rFonts w:cs="Arial"/>
                  <w:color w:val="0000FF"/>
                  <w:szCs w:val="20"/>
                  <w:u w:val="single"/>
                </w:rPr>
                <w:t>základních</w:t>
              </w:r>
            </w:hyperlink>
            <w:r w:rsidRPr="00BA121F">
              <w:rPr>
                <w:rFonts w:cs="Arial"/>
                <w:szCs w:val="20"/>
              </w:rPr>
              <w:t xml:space="preserve">, </w:t>
            </w:r>
            <w:hyperlink w:anchor="_Střední_vzdělávání" w:history="1">
              <w:r w:rsidRPr="00BA121F">
                <w:rPr>
                  <w:rFonts w:cs="Arial"/>
                  <w:color w:val="0000FF"/>
                  <w:szCs w:val="20"/>
                  <w:u w:val="single"/>
                </w:rPr>
                <w:t>středních</w:t>
              </w:r>
            </w:hyperlink>
            <w:r w:rsidRPr="00BA121F">
              <w:rPr>
                <w:rFonts w:cs="Arial"/>
                <w:szCs w:val="20"/>
              </w:rPr>
              <w:t xml:space="preserve"> a </w:t>
            </w:r>
            <w:hyperlink w:anchor="_Vyšší_odborné_vzdělávání" w:history="1">
              <w:r w:rsidRPr="00BA121F">
                <w:rPr>
                  <w:rFonts w:eastAsia="MS Gothic" w:cs="Arial"/>
                  <w:color w:val="0000FF"/>
                  <w:szCs w:val="20"/>
                  <w:u w:val="single"/>
                </w:rPr>
                <w:t>vyšších odborných škol</w:t>
              </w:r>
            </w:hyperlink>
            <w:r w:rsidRPr="00BA121F">
              <w:t xml:space="preserve">, dále také v případě </w:t>
            </w:r>
            <w:hyperlink w:anchor="_Konzervatoř" w:history="1">
              <w:r w:rsidRPr="00BA121F">
                <w:rPr>
                  <w:color w:val="0000FF"/>
                  <w:u w:val="single"/>
                </w:rPr>
                <w:t>konzervatoří</w:t>
              </w:r>
            </w:hyperlink>
            <w:r w:rsidRPr="00BA121F">
              <w:t xml:space="preserve"> a dalších školních zařízení (</w:t>
            </w:r>
            <w:hyperlink w:anchor="_Základní_umělecká_škola" w:history="1">
              <w:r w:rsidRPr="00BA121F">
                <w:rPr>
                  <w:color w:val="0000FF"/>
                  <w:u w:val="single"/>
                </w:rPr>
                <w:t>ZUŠ</w:t>
              </w:r>
            </w:hyperlink>
            <w:r w:rsidRPr="00BA121F">
              <w:t>, školní knihovny, družiny apod.)</w:t>
            </w:r>
            <w:r w:rsidRPr="00BA121F">
              <w:rPr>
                <w:rFonts w:cs="Arial"/>
                <w:szCs w:val="20"/>
              </w:rPr>
              <w:t>. Začíná 1. září a končí 31. srpna následujícího kalendářního roku. Statistické údaje za daný školní rok jsou v této publikaci zpravidla uváděny dle stavu k 30. září.</w:t>
            </w:r>
          </w:p>
        </w:tc>
      </w:tr>
      <w:tr w:rsidR="00BA121F" w:rsidRPr="00BA121F" w:rsidTr="00906650">
        <w:trPr>
          <w:trHeight w:val="1755"/>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50" w:name="_Toc458510889"/>
            <w:r w:rsidRPr="00BA121F">
              <w:rPr>
                <w:b/>
                <w:bCs/>
                <w:iCs/>
                <w:color w:val="BC091B"/>
              </w:rPr>
              <w:t>Učitel</w:t>
            </w:r>
            <w:bookmarkEnd w:id="50"/>
          </w:p>
        </w:tc>
        <w:tc>
          <w:tcPr>
            <w:tcW w:w="6804" w:type="dxa"/>
            <w:shd w:val="clear" w:color="auto" w:fill="auto"/>
            <w:vAlign w:val="center"/>
            <w:hideMark/>
          </w:tcPr>
          <w:p w:rsidR="00BA121F" w:rsidRPr="00BA121F" w:rsidRDefault="00BA121F" w:rsidP="00BA121F">
            <w:pPr>
              <w:spacing w:after="0" w:line="240" w:lineRule="auto"/>
              <w:jc w:val="both"/>
              <w:rPr>
                <w:rFonts w:cs="Arial"/>
                <w:color w:val="000000"/>
                <w:szCs w:val="20"/>
              </w:rPr>
            </w:pPr>
            <w:r w:rsidRPr="00BA121F">
              <w:rPr>
                <w:rFonts w:cs="Arial"/>
                <w:color w:val="000000"/>
                <w:szCs w:val="20"/>
              </w:rPr>
              <w:t xml:space="preserve">Pod pojmem „učitel“ jsou v tabulkách označeni všichni pracovníci s přímou vyučovací povinností, včetně ředitele školy a jeho zástupce. Učitelé se řadí do širší kategorie </w:t>
            </w:r>
            <w:hyperlink w:anchor="_Pedagogický_pracovník" w:history="1">
              <w:r w:rsidRPr="00BA121F">
                <w:rPr>
                  <w:rFonts w:cs="Arial"/>
                  <w:color w:val="0000FF"/>
                  <w:szCs w:val="20"/>
                  <w:u w:val="single"/>
                </w:rPr>
                <w:t>pedagogických pracovníků</w:t>
              </w:r>
            </w:hyperlink>
            <w:r w:rsidRPr="00BA121F">
              <w:rPr>
                <w:rFonts w:cs="Arial"/>
                <w:color w:val="000000"/>
                <w:szCs w:val="20"/>
              </w:rPr>
              <w:t>. V tabulkách nejsou uváděny počty osob, ale jejich přepočtené počty na plně zaměstnané, a sice ke dni 30. září daného školního roku.</w:t>
            </w:r>
          </w:p>
        </w:tc>
      </w:tr>
      <w:tr w:rsidR="00BA121F" w:rsidRPr="00BA121F" w:rsidTr="00906650">
        <w:trPr>
          <w:trHeight w:val="3051"/>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51" w:name="_Toc458510890"/>
            <w:r w:rsidRPr="00BA121F">
              <w:rPr>
                <w:b/>
                <w:bCs/>
                <w:iCs/>
                <w:color w:val="BC091B"/>
              </w:rPr>
              <w:t>Univerzita</w:t>
            </w:r>
            <w:bookmarkEnd w:id="51"/>
          </w:p>
        </w:tc>
        <w:tc>
          <w:tcPr>
            <w:tcW w:w="6804" w:type="dxa"/>
            <w:shd w:val="clear" w:color="auto" w:fill="auto"/>
            <w:vAlign w:val="center"/>
            <w:hideMark/>
          </w:tcPr>
          <w:p w:rsidR="00BA121F" w:rsidRPr="00BA121F" w:rsidRDefault="00721450" w:rsidP="00BA121F">
            <w:pPr>
              <w:spacing w:after="0" w:line="240" w:lineRule="auto"/>
              <w:jc w:val="both"/>
              <w:rPr>
                <w:rFonts w:cs="Arial"/>
                <w:color w:val="000000"/>
                <w:szCs w:val="20"/>
              </w:rPr>
            </w:pPr>
            <w:hyperlink w:anchor="_Vysoká_škola" w:history="1">
              <w:r w:rsidR="00BA121F" w:rsidRPr="00BA121F">
                <w:rPr>
                  <w:rFonts w:cs="Arial"/>
                  <w:color w:val="0000FF"/>
                  <w:szCs w:val="20"/>
                  <w:u w:val="single"/>
                </w:rPr>
                <w:t>Vysoké školy</w:t>
              </w:r>
            </w:hyperlink>
            <w:r w:rsidR="00BA121F" w:rsidRPr="00BA121F">
              <w:rPr>
                <w:rFonts w:cs="Arial"/>
                <w:szCs w:val="20"/>
              </w:rPr>
              <w:t xml:space="preserve"> se dělí na univerzitní a neuniverzitní, přičemž označení "univerzita", popřípadě z něho odvozené tvary slov mohou mít ve svém názvu pouze vysoké školy univerzitní. Vysoká škola univerzitní může uskutečňovat všechny typy studijních programů a v souvislosti s tím vědeckou a výzkumnou, vývojovou a inovační, uměleckou nebo další tvůrčí činnost. Vysoká škola neuniverzitní uskutečňuje bakalářské studijní programy a může též uskutečňovat magisterské studijní programy a v souvislosti s tím výzkumnou, vývojovou, uměleckou nebo další tvůrčí činnost. Vysoká škola neuniverzitní se nečlení na fakulty. Více viz </w:t>
            </w:r>
            <w:hyperlink r:id="rId33" w:history="1">
              <w:r w:rsidR="00BA121F" w:rsidRPr="00BA121F">
                <w:rPr>
                  <w:rFonts w:cs="Arial"/>
                  <w:color w:val="0000FF"/>
                  <w:szCs w:val="20"/>
                  <w:u w:val="single"/>
                </w:rPr>
                <w:t>Zákon o vysokých školách</w:t>
              </w:r>
            </w:hyperlink>
            <w:r w:rsidR="00BA121F" w:rsidRPr="00BA121F">
              <w:rPr>
                <w:rFonts w:cs="Arial"/>
                <w:szCs w:val="20"/>
              </w:rPr>
              <w:t xml:space="preserve"> (č. 111/1998 Sb., § 2).</w:t>
            </w:r>
          </w:p>
        </w:tc>
      </w:tr>
      <w:tr w:rsidR="00BA121F" w:rsidRPr="00BA121F" w:rsidTr="00906650">
        <w:trPr>
          <w:trHeight w:val="2081"/>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52" w:name="_Toc458510891"/>
            <w:r w:rsidRPr="00BA121F">
              <w:rPr>
                <w:b/>
                <w:bCs/>
                <w:iCs/>
                <w:color w:val="BC091B"/>
              </w:rPr>
              <w:t>Víceleté gymnázium</w:t>
            </w:r>
            <w:bookmarkEnd w:id="52"/>
          </w:p>
        </w:tc>
        <w:tc>
          <w:tcPr>
            <w:tcW w:w="6804" w:type="dxa"/>
            <w:shd w:val="clear" w:color="auto" w:fill="auto"/>
            <w:vAlign w:val="center"/>
            <w:hideMark/>
          </w:tcPr>
          <w:p w:rsidR="00BA121F" w:rsidRPr="00BA121F" w:rsidRDefault="00BA121F" w:rsidP="00BA121F">
            <w:pPr>
              <w:spacing w:after="0" w:line="240" w:lineRule="auto"/>
              <w:jc w:val="both"/>
              <w:rPr>
                <w:rFonts w:cs="Arial"/>
                <w:color w:val="000000"/>
                <w:szCs w:val="20"/>
              </w:rPr>
            </w:pPr>
            <w:r w:rsidRPr="00BA121F">
              <w:rPr>
                <w:rFonts w:cs="Arial"/>
                <w:color w:val="000000"/>
                <w:szCs w:val="20"/>
              </w:rPr>
              <w:t xml:space="preserve">Víceletými gymnázii jsou ta gymnázia, která kromě čtyř ročníků odpovídajícím vyššímu sekundárnímu vzdělávání zahrnují též 2 či 4 ročníky odpovídající nižšímu sekundárnímu vzdělávání, tedy </w:t>
            </w:r>
            <w:hyperlink w:anchor="_Povinná_školní_docházka" w:history="1">
              <w:r w:rsidRPr="00BA121F">
                <w:rPr>
                  <w:rFonts w:cs="Arial"/>
                  <w:color w:val="0000FF"/>
                  <w:szCs w:val="20"/>
                  <w:u w:val="single"/>
                </w:rPr>
                <w:t>povinné školní docházce</w:t>
              </w:r>
            </w:hyperlink>
            <w:r w:rsidRPr="00BA121F">
              <w:rPr>
                <w:rFonts w:cs="Arial"/>
                <w:color w:val="000000"/>
                <w:szCs w:val="20"/>
              </w:rPr>
              <w:t xml:space="preserve">. Jedná se tedy o šestiletá a osmiletá gymnázia, která se řadí do </w:t>
            </w:r>
            <w:hyperlink w:anchor="_Střední_vzdělávání_s" w:history="1">
              <w:r w:rsidRPr="00BA121F">
                <w:rPr>
                  <w:rFonts w:cs="Arial"/>
                  <w:color w:val="0000FF"/>
                  <w:szCs w:val="20"/>
                  <w:u w:val="single"/>
                </w:rPr>
                <w:t>středního vzdělávání s maturitní zkouškou</w:t>
              </w:r>
            </w:hyperlink>
            <w:r w:rsidRPr="00BA121F">
              <w:rPr>
                <w:rFonts w:cs="Arial"/>
                <w:color w:val="000000"/>
                <w:szCs w:val="20"/>
              </w:rPr>
              <w:t xml:space="preserve">. Viz také pojem </w:t>
            </w:r>
            <w:hyperlink w:anchor="_Gymnázium" w:history="1">
              <w:r w:rsidRPr="00BA121F">
                <w:rPr>
                  <w:rFonts w:cs="Arial"/>
                  <w:color w:val="0000FF"/>
                  <w:szCs w:val="20"/>
                  <w:u w:val="single"/>
                </w:rPr>
                <w:t>gymnázia</w:t>
              </w:r>
            </w:hyperlink>
            <w:r w:rsidRPr="00BA121F">
              <w:rPr>
                <w:rFonts w:cs="Arial"/>
                <w:color w:val="000000"/>
                <w:szCs w:val="20"/>
              </w:rPr>
              <w:t>, kam žáci nastupují po absolvování 5. respektive 7. ročníku základní školy.</w:t>
            </w:r>
          </w:p>
        </w:tc>
      </w:tr>
      <w:tr w:rsidR="00BA121F" w:rsidRPr="00BA121F" w:rsidTr="00906650">
        <w:trPr>
          <w:trHeight w:val="3214"/>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53" w:name="_Toc458510892"/>
            <w:r w:rsidRPr="00BA121F">
              <w:rPr>
                <w:b/>
                <w:bCs/>
                <w:iCs/>
                <w:color w:val="BC091B"/>
              </w:rPr>
              <w:t>Výchovný ústav</w:t>
            </w:r>
            <w:bookmarkEnd w:id="53"/>
          </w:p>
        </w:tc>
        <w:tc>
          <w:tcPr>
            <w:tcW w:w="6804" w:type="dxa"/>
            <w:shd w:val="clear" w:color="auto" w:fill="auto"/>
            <w:vAlign w:val="center"/>
            <w:hideMark/>
          </w:tcPr>
          <w:p w:rsidR="00BA121F" w:rsidRPr="00BA121F" w:rsidRDefault="00BA121F" w:rsidP="00BA121F">
            <w:pPr>
              <w:spacing w:after="0" w:line="240" w:lineRule="auto"/>
              <w:jc w:val="both"/>
              <w:rPr>
                <w:rFonts w:cs="Arial"/>
                <w:color w:val="000000"/>
                <w:szCs w:val="20"/>
              </w:rPr>
            </w:pPr>
            <w:r w:rsidRPr="00BA121F">
              <w:rPr>
                <w:rFonts w:cs="Arial"/>
                <w:color w:val="000000"/>
                <w:szCs w:val="20"/>
              </w:rPr>
              <w:t xml:space="preserve">Výchovný ústav je školským </w:t>
            </w:r>
            <w:hyperlink w:anchor="_Zařízení_pro_výkon" w:history="1">
              <w:r w:rsidRPr="00BA121F">
                <w:rPr>
                  <w:rFonts w:eastAsia="MS Gothic" w:cs="Arial"/>
                  <w:color w:val="0000FF"/>
                  <w:szCs w:val="20"/>
                  <w:u w:val="single"/>
                </w:rPr>
                <w:t>zařízením pro výkon ústavní a ochranné výchovy</w:t>
              </w:r>
            </w:hyperlink>
            <w:r w:rsidRPr="00BA121F">
              <w:rPr>
                <w:rFonts w:cs="Arial"/>
                <w:color w:val="000000"/>
                <w:szCs w:val="20"/>
              </w:rPr>
              <w:t xml:space="preserve">. Dle § 14 </w:t>
            </w:r>
            <w:hyperlink r:id="rId34" w:history="1">
              <w:r w:rsidRPr="00BA121F">
                <w:rPr>
                  <w:rFonts w:eastAsia="MS Gothic" w:cs="Arial"/>
                  <w:color w:val="0000FF"/>
                  <w:szCs w:val="20"/>
                  <w:u w:val="single"/>
                </w:rPr>
                <w:t>zákona č. 109/2002 Sb.</w:t>
              </w:r>
            </w:hyperlink>
            <w:r w:rsidRPr="00BA121F">
              <w:rPr>
                <w:rFonts w:cs="Arial"/>
                <w:color w:val="000000"/>
                <w:szCs w:val="20"/>
              </w:rPr>
              <w:t xml:space="preserve"> pečuje o děti starší 15 let se závažnými poruchami chování, u nichž byla nařízena ústavní výchova nebo uložena ochranná výchova. Ve vztahu k dětem plní zejména úkoly výchovné, vzdělávací a sociální. Výchovné ústavy se zřizují odděleně pro děti s nařízenou ústavní výchovou, pro děti s uloženou ochrannou výchovou, pro děti, které jsou nezletilými matkami (a pro jejich děti), a pro děti, které vyžadují výchovně léčebnou péči, popřípadě se ve výchovném ústavu pro tyto děti zřizují oddělené výchovné skupiny. </w:t>
            </w:r>
          </w:p>
        </w:tc>
      </w:tr>
      <w:tr w:rsidR="00BA121F" w:rsidRPr="00BA121F" w:rsidTr="00906650">
        <w:trPr>
          <w:trHeight w:val="5547"/>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54" w:name="_Toc458510893"/>
            <w:r w:rsidRPr="00BA121F">
              <w:rPr>
                <w:b/>
                <w:bCs/>
                <w:iCs/>
                <w:color w:val="BC091B"/>
              </w:rPr>
              <w:lastRenderedPageBreak/>
              <w:t>Vysoká škola</w:t>
            </w:r>
            <w:bookmarkEnd w:id="54"/>
          </w:p>
        </w:tc>
        <w:tc>
          <w:tcPr>
            <w:tcW w:w="6804" w:type="dxa"/>
            <w:shd w:val="clear" w:color="auto" w:fill="auto"/>
            <w:vAlign w:val="center"/>
            <w:hideMark/>
          </w:tcPr>
          <w:p w:rsidR="00BA121F" w:rsidRPr="00BA121F" w:rsidRDefault="00BA121F" w:rsidP="00BA121F">
            <w:pPr>
              <w:spacing w:after="0" w:line="240" w:lineRule="auto"/>
              <w:jc w:val="both"/>
              <w:rPr>
                <w:rFonts w:cs="Arial"/>
                <w:szCs w:val="20"/>
              </w:rPr>
            </w:pPr>
            <w:r w:rsidRPr="00BA121F">
              <w:rPr>
                <w:rFonts w:cs="Arial"/>
                <w:szCs w:val="20"/>
              </w:rPr>
              <w:t xml:space="preserve">Vysoká škola uskutečňuje akreditované studijní programy a programy celoživotního vzdělávání. Typ vysokoškolské vzdělávací činnosti je určen typem uskutečňovaných akreditovaných studijních programů. </w:t>
            </w:r>
          </w:p>
          <w:p w:rsidR="00BA121F" w:rsidRPr="00BA121F" w:rsidRDefault="00BA121F" w:rsidP="00BA121F">
            <w:pPr>
              <w:spacing w:after="0" w:line="240" w:lineRule="auto"/>
              <w:jc w:val="both"/>
              <w:rPr>
                <w:rFonts w:cs="Arial"/>
                <w:szCs w:val="20"/>
              </w:rPr>
            </w:pPr>
            <w:r w:rsidRPr="00BA121F">
              <w:rPr>
                <w:rFonts w:cs="Arial"/>
                <w:szCs w:val="20"/>
              </w:rPr>
              <w:t xml:space="preserve">Typy studijních programů jsou </w:t>
            </w:r>
            <w:hyperlink w:anchor="_Bakalářský_studijní_program" w:history="1">
              <w:r w:rsidRPr="00BA121F">
                <w:rPr>
                  <w:rFonts w:cs="Arial"/>
                  <w:color w:val="0000FF"/>
                  <w:szCs w:val="20"/>
                  <w:u w:val="single"/>
                </w:rPr>
                <w:t>bakalářský</w:t>
              </w:r>
            </w:hyperlink>
            <w:r w:rsidRPr="00BA121F">
              <w:rPr>
                <w:rFonts w:cs="Arial"/>
                <w:szCs w:val="20"/>
              </w:rPr>
              <w:t xml:space="preserve">, </w:t>
            </w:r>
            <w:hyperlink w:anchor="_Magisterský_studijní_program" w:history="1">
              <w:r w:rsidRPr="00BA121F">
                <w:rPr>
                  <w:rFonts w:cs="Arial"/>
                  <w:color w:val="0000FF"/>
                  <w:szCs w:val="20"/>
                  <w:u w:val="single"/>
                </w:rPr>
                <w:t>magisterský</w:t>
              </w:r>
            </w:hyperlink>
            <w:r w:rsidRPr="00BA121F">
              <w:rPr>
                <w:rFonts w:cs="Arial"/>
                <w:szCs w:val="20"/>
              </w:rPr>
              <w:t xml:space="preserve">, </w:t>
            </w:r>
            <w:hyperlink w:anchor="_Navazující_magisterský_studijní" w:history="1">
              <w:r w:rsidRPr="00BA121F">
                <w:rPr>
                  <w:rFonts w:cs="Arial"/>
                  <w:color w:val="0000FF"/>
                  <w:szCs w:val="20"/>
                  <w:u w:val="single"/>
                </w:rPr>
                <w:t>navazující magisterský</w:t>
              </w:r>
            </w:hyperlink>
            <w:r w:rsidRPr="00BA121F">
              <w:rPr>
                <w:rFonts w:cs="Arial"/>
                <w:szCs w:val="20"/>
              </w:rPr>
              <w:t xml:space="preserve"> a </w:t>
            </w:r>
            <w:hyperlink w:anchor="_Doktorský_studijní_program" w:history="1">
              <w:r w:rsidRPr="00BA121F">
                <w:rPr>
                  <w:rFonts w:cs="Arial"/>
                  <w:color w:val="0000FF"/>
                  <w:szCs w:val="20"/>
                  <w:u w:val="single"/>
                </w:rPr>
                <w:t>doktorský</w:t>
              </w:r>
            </w:hyperlink>
            <w:r w:rsidRPr="00BA121F">
              <w:rPr>
                <w:rFonts w:cs="Arial"/>
                <w:szCs w:val="20"/>
              </w:rPr>
              <w:t xml:space="preserve">. Do bakalářského a magisterského programu nastupují studenti s ukončeným </w:t>
            </w:r>
            <w:hyperlink w:anchor="_Střední_vzdělávání" w:history="1">
              <w:r w:rsidRPr="00BA121F">
                <w:rPr>
                  <w:rFonts w:eastAsia="MS Gothic" w:cs="Arial"/>
                  <w:color w:val="0000FF"/>
                  <w:szCs w:val="20"/>
                  <w:u w:val="single"/>
                </w:rPr>
                <w:t>středoškolským vzděláním</w:t>
              </w:r>
            </w:hyperlink>
            <w:r w:rsidRPr="00BA121F">
              <w:rPr>
                <w:rFonts w:cs="Arial"/>
                <w:szCs w:val="20"/>
              </w:rPr>
              <w:t xml:space="preserve"> a po ukončení studia získají příslušný titul. Do navazujícího magisterského studia nastupují studenti s ukončeným bakalářským vzděláním a do doktorského studia s ukončeným magisterským vzděláním.</w:t>
            </w:r>
          </w:p>
          <w:p w:rsidR="00BA121F" w:rsidRPr="00BA121F" w:rsidRDefault="00BA121F" w:rsidP="00BA121F">
            <w:pPr>
              <w:spacing w:after="0" w:line="240" w:lineRule="auto"/>
              <w:jc w:val="both"/>
              <w:rPr>
                <w:rFonts w:cs="Arial"/>
                <w:szCs w:val="20"/>
              </w:rPr>
            </w:pPr>
            <w:r w:rsidRPr="00BA121F">
              <w:rPr>
                <w:rFonts w:cs="Arial"/>
                <w:szCs w:val="20"/>
              </w:rPr>
              <w:t xml:space="preserve">Vysoké školy se dále dělí na </w:t>
            </w:r>
            <w:hyperlink w:anchor="_Univerzita" w:history="1">
              <w:r w:rsidRPr="00BA121F">
                <w:rPr>
                  <w:rFonts w:cs="Arial"/>
                  <w:color w:val="0000FF"/>
                  <w:szCs w:val="20"/>
                  <w:u w:val="single"/>
                </w:rPr>
                <w:t>univerzitní</w:t>
              </w:r>
            </w:hyperlink>
            <w:r w:rsidRPr="00BA121F">
              <w:rPr>
                <w:rFonts w:cs="Arial"/>
                <w:szCs w:val="20"/>
              </w:rPr>
              <w:t xml:space="preserve"> a neuniverzitní, přičemž označení "univerzita", popřípadě z něho odvozené tvary slov mohou mít ve svém názvu pouze vysoké školy univerzitní. Vysoká škola univerzitní může uskutečňovat všechny typy studijních programů a v souvislosti s tím vědeckou a výzkumnou, vývojovou a inovační, uměleckou nebo další tvůrčí činnost. Vysoká škola neuniverzitní uskutečňuje bakalářské studijní programy a může též uskutečňovat magisterské studijní programy a v souvislosti s tím výzkumnou, vývojovou, uměleckou nebo další tvůrčí činnost. Vysoká škola neuniverzitní se nečlení na fakulty. Více viz </w:t>
            </w:r>
            <w:hyperlink r:id="rId35" w:history="1">
              <w:r w:rsidRPr="00BA121F">
                <w:rPr>
                  <w:rFonts w:cs="Arial"/>
                  <w:color w:val="0000FF"/>
                  <w:szCs w:val="20"/>
                  <w:u w:val="single"/>
                </w:rPr>
                <w:t>Zákon o vysokých školách</w:t>
              </w:r>
            </w:hyperlink>
            <w:r w:rsidRPr="00BA121F">
              <w:rPr>
                <w:rFonts w:cs="Arial"/>
                <w:szCs w:val="20"/>
              </w:rPr>
              <w:t xml:space="preserve"> (č. 111/1998 Sb., § 2).</w:t>
            </w:r>
          </w:p>
        </w:tc>
      </w:tr>
      <w:tr w:rsidR="00BA121F" w:rsidRPr="00BA121F" w:rsidTr="00906650">
        <w:trPr>
          <w:trHeight w:val="1800"/>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55" w:name="_Toc458510894"/>
            <w:r w:rsidRPr="00BA121F">
              <w:rPr>
                <w:b/>
                <w:bCs/>
                <w:iCs/>
                <w:color w:val="BC091B"/>
              </w:rPr>
              <w:t>Vyšší odborná škola</w:t>
            </w:r>
            <w:bookmarkEnd w:id="55"/>
          </w:p>
        </w:tc>
        <w:tc>
          <w:tcPr>
            <w:tcW w:w="6804" w:type="dxa"/>
            <w:shd w:val="clear" w:color="auto" w:fill="auto"/>
            <w:vAlign w:val="center"/>
            <w:hideMark/>
          </w:tcPr>
          <w:p w:rsidR="00BA121F" w:rsidRPr="00BA121F" w:rsidRDefault="00BA121F" w:rsidP="00BA121F">
            <w:pPr>
              <w:widowControl w:val="0"/>
              <w:autoSpaceDE w:val="0"/>
              <w:autoSpaceDN w:val="0"/>
              <w:adjustRightInd w:val="0"/>
              <w:spacing w:after="0" w:line="240" w:lineRule="auto"/>
              <w:jc w:val="both"/>
              <w:rPr>
                <w:rFonts w:cs="Arial"/>
                <w:szCs w:val="20"/>
              </w:rPr>
            </w:pPr>
            <w:r w:rsidRPr="00BA121F">
              <w:rPr>
                <w:rFonts w:cs="Arial"/>
                <w:szCs w:val="20"/>
              </w:rPr>
              <w:t xml:space="preserve">Vyšší odborná škola poskytuje </w:t>
            </w:r>
            <w:hyperlink w:anchor="_Vyšší_odborné_vzdělávání" w:history="1">
              <w:r w:rsidRPr="00BA121F">
                <w:rPr>
                  <w:rFonts w:cs="Arial"/>
                  <w:color w:val="0000FF"/>
                  <w:szCs w:val="20"/>
                  <w:u w:val="single"/>
                </w:rPr>
                <w:t>vyšší odborné vzdělávání</w:t>
              </w:r>
            </w:hyperlink>
            <w:r w:rsidRPr="00BA121F">
              <w:rPr>
                <w:rFonts w:cs="Arial"/>
                <w:szCs w:val="20"/>
              </w:rPr>
              <w:t>, které rozvíjí a prohlubuje znalosti a dovednosti studenta získané ve </w:t>
            </w:r>
            <w:hyperlink w:anchor="_Střední_vzdělávání" w:history="1">
              <w:r w:rsidRPr="00BA121F">
                <w:rPr>
                  <w:rFonts w:cs="Arial"/>
                  <w:color w:val="0000FF"/>
                  <w:szCs w:val="20"/>
                  <w:u w:val="single"/>
                </w:rPr>
                <w:t>středním vzdělávání</w:t>
              </w:r>
            </w:hyperlink>
            <w:r w:rsidRPr="00BA121F">
              <w:rPr>
                <w:rFonts w:cs="Arial"/>
                <w:szCs w:val="20"/>
              </w:rPr>
              <w:t xml:space="preserve"> a poskytuje všeobecné a odborné vzdělání a praktickou přípravu pro výkon náročných činností. Úspěšným ukončením příslušného akreditovaného vzdělávacího programu student dosáhne stupně vyššího odborného vzdělání s titulem Dis. Délka studia na vyšší odborné škole v denní formě je 3 roky včetně odborné praxe, u zdravotnických oborů vzdělání až 3,5 roku. Viz </w:t>
            </w:r>
            <w:hyperlink r:id="rId36" w:history="1">
              <w:r w:rsidRPr="00BA121F">
                <w:rPr>
                  <w:rFonts w:cs="Arial"/>
                  <w:color w:val="0000FF"/>
                  <w:szCs w:val="20"/>
                  <w:u w:val="single"/>
                </w:rPr>
                <w:t>Školský zákon</w:t>
              </w:r>
            </w:hyperlink>
            <w:r w:rsidRPr="00BA121F">
              <w:rPr>
                <w:rFonts w:cs="Arial"/>
                <w:szCs w:val="20"/>
              </w:rPr>
              <w:t xml:space="preserve"> (č. 561/2004 Sb., § 92).</w:t>
            </w:r>
          </w:p>
        </w:tc>
      </w:tr>
      <w:tr w:rsidR="00BA121F" w:rsidRPr="00BA121F" w:rsidTr="00906650">
        <w:trPr>
          <w:trHeight w:val="1800"/>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56" w:name="_Toc458510895"/>
            <w:r w:rsidRPr="00BA121F">
              <w:rPr>
                <w:b/>
                <w:bCs/>
                <w:iCs/>
                <w:color w:val="BC091B"/>
              </w:rPr>
              <w:t>Vyšší odborné vzdělávání</w:t>
            </w:r>
            <w:bookmarkEnd w:id="56"/>
          </w:p>
        </w:tc>
        <w:tc>
          <w:tcPr>
            <w:tcW w:w="6804" w:type="dxa"/>
            <w:shd w:val="clear" w:color="auto" w:fill="auto"/>
            <w:vAlign w:val="center"/>
            <w:hideMark/>
          </w:tcPr>
          <w:p w:rsidR="00BA121F" w:rsidRPr="00BA121F" w:rsidRDefault="00BA121F" w:rsidP="00BA121F">
            <w:pPr>
              <w:widowControl w:val="0"/>
              <w:autoSpaceDE w:val="0"/>
              <w:autoSpaceDN w:val="0"/>
              <w:adjustRightInd w:val="0"/>
              <w:spacing w:after="0" w:line="240" w:lineRule="auto"/>
              <w:jc w:val="both"/>
              <w:rPr>
                <w:rFonts w:cs="Arial"/>
                <w:szCs w:val="20"/>
              </w:rPr>
            </w:pPr>
            <w:r w:rsidRPr="00BA121F">
              <w:rPr>
                <w:rFonts w:cs="Arial"/>
                <w:szCs w:val="20"/>
              </w:rPr>
              <w:t xml:space="preserve">Vyšší odborné vzdělávání se realizuje především na </w:t>
            </w:r>
            <w:hyperlink w:anchor="_Vyšší_odborná_škola" w:history="1">
              <w:r w:rsidRPr="00BA121F">
                <w:rPr>
                  <w:rFonts w:cs="Arial"/>
                  <w:color w:val="0000FF"/>
                  <w:szCs w:val="20"/>
                  <w:u w:val="single"/>
                </w:rPr>
                <w:t>vyšších odborných školách</w:t>
              </w:r>
            </w:hyperlink>
            <w:r w:rsidRPr="00BA121F">
              <w:rPr>
                <w:rFonts w:cs="Arial"/>
                <w:szCs w:val="20"/>
              </w:rPr>
              <w:t xml:space="preserve"> a úspěšným ukončením příslušného akreditovaného vzdělávacího programu student dosáhne stupně vyššího odborného vzdělání s titulem Dis. (viz </w:t>
            </w:r>
            <w:hyperlink r:id="rId37" w:history="1">
              <w:r w:rsidRPr="00BA121F">
                <w:rPr>
                  <w:rFonts w:cs="Arial"/>
                  <w:color w:val="0000FF"/>
                  <w:szCs w:val="20"/>
                  <w:u w:val="single"/>
                </w:rPr>
                <w:t>Školský zákon</w:t>
              </w:r>
            </w:hyperlink>
            <w:r w:rsidRPr="00BA121F">
              <w:rPr>
                <w:rFonts w:cs="Arial"/>
                <w:szCs w:val="20"/>
              </w:rPr>
              <w:t xml:space="preserve"> č. 561/2004 Sb., § 92).</w:t>
            </w:r>
          </w:p>
          <w:p w:rsidR="00BA121F" w:rsidRPr="00BA121F" w:rsidRDefault="00BA121F" w:rsidP="00BA121F">
            <w:pPr>
              <w:widowControl w:val="0"/>
              <w:autoSpaceDE w:val="0"/>
              <w:autoSpaceDN w:val="0"/>
              <w:adjustRightInd w:val="0"/>
              <w:spacing w:after="0" w:line="240" w:lineRule="auto"/>
              <w:jc w:val="both"/>
              <w:rPr>
                <w:rFonts w:cs="Arial"/>
                <w:szCs w:val="20"/>
              </w:rPr>
            </w:pPr>
            <w:r w:rsidRPr="00BA121F">
              <w:rPr>
                <w:rFonts w:cs="Arial"/>
                <w:szCs w:val="20"/>
              </w:rPr>
              <w:t xml:space="preserve">Dále lze titul Dis. </w:t>
            </w:r>
            <w:proofErr w:type="gramStart"/>
            <w:r w:rsidRPr="00BA121F">
              <w:rPr>
                <w:rFonts w:cs="Arial"/>
                <w:szCs w:val="20"/>
              </w:rPr>
              <w:t>získat</w:t>
            </w:r>
            <w:proofErr w:type="gramEnd"/>
            <w:r w:rsidRPr="00BA121F">
              <w:rPr>
                <w:rFonts w:cs="Arial"/>
                <w:szCs w:val="20"/>
              </w:rPr>
              <w:t xml:space="preserve"> též na </w:t>
            </w:r>
            <w:hyperlink w:anchor="_Konzervatoř" w:history="1">
              <w:r w:rsidRPr="00BA121F">
                <w:rPr>
                  <w:rFonts w:cs="Arial"/>
                  <w:color w:val="0000FF"/>
                  <w:szCs w:val="20"/>
                  <w:u w:val="single"/>
                </w:rPr>
                <w:t>konzervatoři</w:t>
              </w:r>
            </w:hyperlink>
            <w:r w:rsidRPr="00BA121F">
              <w:rPr>
                <w:rFonts w:cs="Arial"/>
                <w:szCs w:val="20"/>
              </w:rPr>
              <w:t xml:space="preserve">, a sice úspěšným ukončením šestiletého nebo osmiletého vzdělávacího programu (viz § 87 </w:t>
            </w:r>
            <w:hyperlink r:id="rId38" w:history="1">
              <w:r w:rsidRPr="00BA121F">
                <w:rPr>
                  <w:rFonts w:cs="Arial"/>
                  <w:color w:val="0000FF"/>
                  <w:szCs w:val="20"/>
                  <w:u w:val="single"/>
                </w:rPr>
                <w:t>Školského zákona</w:t>
              </w:r>
            </w:hyperlink>
            <w:r w:rsidRPr="00BA121F">
              <w:t xml:space="preserve"> </w:t>
            </w:r>
            <w:r w:rsidRPr="00BA121F">
              <w:rPr>
                <w:rFonts w:cs="Arial"/>
                <w:szCs w:val="20"/>
              </w:rPr>
              <w:t>(č. 561/2004 Sb.). Takový žák dosáhl vyšší odborné vzdělání v konzervatoři.</w:t>
            </w:r>
          </w:p>
        </w:tc>
      </w:tr>
      <w:tr w:rsidR="00BA121F" w:rsidRPr="00BA121F" w:rsidTr="00906650">
        <w:trPr>
          <w:trHeight w:val="395"/>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57" w:name="_Toc458510896"/>
            <w:r w:rsidRPr="00BA121F">
              <w:rPr>
                <w:b/>
                <w:bCs/>
                <w:iCs/>
                <w:color w:val="BC091B"/>
              </w:rPr>
              <w:t>Základní škola</w:t>
            </w:r>
            <w:bookmarkEnd w:id="57"/>
          </w:p>
        </w:tc>
        <w:tc>
          <w:tcPr>
            <w:tcW w:w="6804" w:type="dxa"/>
            <w:shd w:val="clear" w:color="auto" w:fill="auto"/>
            <w:vAlign w:val="center"/>
            <w:hideMark/>
          </w:tcPr>
          <w:p w:rsidR="00BA121F" w:rsidRPr="00BA121F" w:rsidRDefault="00BA121F" w:rsidP="00BA121F">
            <w:pPr>
              <w:spacing w:after="0" w:line="240" w:lineRule="auto"/>
              <w:jc w:val="both"/>
              <w:rPr>
                <w:rFonts w:cs="Arial"/>
                <w:color w:val="000000"/>
                <w:szCs w:val="20"/>
              </w:rPr>
            </w:pPr>
            <w:r w:rsidRPr="00BA121F">
              <w:rPr>
                <w:rFonts w:cs="Arial"/>
                <w:color w:val="000000"/>
                <w:szCs w:val="20"/>
              </w:rPr>
              <w:t xml:space="preserve">Vzdělávání v základní škole je součástí </w:t>
            </w:r>
            <w:hyperlink w:anchor="_Povinná_školní_docházka" w:history="1">
              <w:r w:rsidRPr="00BA121F">
                <w:rPr>
                  <w:rFonts w:cs="Arial"/>
                  <w:color w:val="0000FF"/>
                  <w:szCs w:val="20"/>
                  <w:u w:val="single"/>
                </w:rPr>
                <w:t>povinné školní docházky</w:t>
              </w:r>
            </w:hyperlink>
            <w:r w:rsidRPr="00BA121F">
              <w:rPr>
                <w:rFonts w:cs="Arial"/>
                <w:color w:val="000000"/>
                <w:szCs w:val="20"/>
              </w:rPr>
              <w:t xml:space="preserve"> a zahajují jej </w:t>
            </w:r>
            <w:hyperlink w:anchor="_Děti" w:history="1">
              <w:r w:rsidRPr="00BA121F">
                <w:rPr>
                  <w:rFonts w:cs="Arial"/>
                  <w:color w:val="0000FF"/>
                  <w:szCs w:val="20"/>
                  <w:u w:val="single"/>
                </w:rPr>
                <w:t>děti</w:t>
              </w:r>
            </w:hyperlink>
            <w:r w:rsidRPr="00BA121F">
              <w:rPr>
                <w:rFonts w:cs="Arial"/>
                <w:color w:val="000000"/>
                <w:szCs w:val="20"/>
              </w:rPr>
              <w:t xml:space="preserve"> ve věku šesti let, v případě dětí s odkladem povinné školní docházky o jeden rok později. Školní docházka je na základní škole rozdělena na první a druhý stupeň, kdy první stupeň zpravidla zahrnuje 1. až 5. ročník, druhý stupeň pak 6. až 9. ročník. Výjimku tvoří vzdělávání v základní škole speciální, kde první stupeň je tvořen 1. až 6. ročníkem a druhý stupeň 7. až 10. ročníkem. </w:t>
            </w:r>
          </w:p>
        </w:tc>
      </w:tr>
      <w:tr w:rsidR="00BA121F" w:rsidRPr="00BA121F" w:rsidTr="00906650">
        <w:trPr>
          <w:trHeight w:val="70"/>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58" w:name="_Toc458510897"/>
            <w:r w:rsidRPr="00BA121F">
              <w:rPr>
                <w:b/>
                <w:bCs/>
                <w:iCs/>
                <w:color w:val="BC091B"/>
              </w:rPr>
              <w:t>Základní umělecká škola</w:t>
            </w:r>
            <w:bookmarkEnd w:id="58"/>
          </w:p>
        </w:tc>
        <w:tc>
          <w:tcPr>
            <w:tcW w:w="6804" w:type="dxa"/>
            <w:shd w:val="clear" w:color="auto" w:fill="auto"/>
            <w:vAlign w:val="center"/>
            <w:hideMark/>
          </w:tcPr>
          <w:p w:rsidR="00BA121F" w:rsidRPr="00BA121F" w:rsidRDefault="00BA121F" w:rsidP="00BA121F">
            <w:pPr>
              <w:widowControl w:val="0"/>
              <w:autoSpaceDE w:val="0"/>
              <w:autoSpaceDN w:val="0"/>
              <w:adjustRightInd w:val="0"/>
              <w:spacing w:after="0" w:line="240" w:lineRule="auto"/>
              <w:jc w:val="both"/>
              <w:rPr>
                <w:rFonts w:cs="Arial"/>
                <w:szCs w:val="20"/>
              </w:rPr>
            </w:pPr>
            <w:r w:rsidRPr="00BA121F">
              <w:rPr>
                <w:rFonts w:cs="Arial"/>
                <w:szCs w:val="20"/>
              </w:rPr>
              <w:t>Základní umělecké školy poskytují základní umělecké vzdělávání v jednotlivých uměleckých oborech a připravují žáky pro vzdělávání ve středních školách uměleckého zaměření a v </w:t>
            </w:r>
            <w:hyperlink w:anchor="_Konzervatoř" w:history="1">
              <w:r w:rsidRPr="00BA121F">
                <w:rPr>
                  <w:rFonts w:cs="Arial"/>
                  <w:color w:val="0000FF"/>
                  <w:szCs w:val="20"/>
                  <w:u w:val="single"/>
                </w:rPr>
                <w:t>konzervatořích</w:t>
              </w:r>
            </w:hyperlink>
            <w:r w:rsidRPr="00BA121F">
              <w:rPr>
                <w:rFonts w:cs="Arial"/>
                <w:szCs w:val="20"/>
              </w:rPr>
              <w:t xml:space="preserve">, popřípadě pro studium na vysokých školách s uměleckým nebo pedagogickým zaměřením. Základní umělecká škola organizuje přípravné studium, základní studium I. a II. stupně, studium s rozšířeným počtem vyučovacích hodin a studium pro dospělé. Více viz </w:t>
            </w:r>
            <w:hyperlink r:id="rId39" w:history="1">
              <w:r w:rsidRPr="00BA121F">
                <w:rPr>
                  <w:rFonts w:eastAsia="MS Gothic" w:cs="Arial"/>
                  <w:color w:val="0000FF"/>
                  <w:szCs w:val="20"/>
                  <w:u w:val="single"/>
                </w:rPr>
                <w:t>Školský zákon</w:t>
              </w:r>
            </w:hyperlink>
            <w:r w:rsidRPr="00BA121F">
              <w:rPr>
                <w:rFonts w:cs="Arial"/>
                <w:szCs w:val="20"/>
              </w:rPr>
              <w:t xml:space="preserve"> (č. 561/2004 Sb., § 109).</w:t>
            </w:r>
          </w:p>
        </w:tc>
      </w:tr>
      <w:tr w:rsidR="00BA121F" w:rsidRPr="00BA121F" w:rsidTr="00906650">
        <w:trPr>
          <w:trHeight w:val="598"/>
        </w:trPr>
        <w:tc>
          <w:tcPr>
            <w:tcW w:w="2425" w:type="dxa"/>
            <w:shd w:val="clear" w:color="auto" w:fill="auto"/>
            <w:hideMark/>
          </w:tcPr>
          <w:p w:rsidR="00BA121F" w:rsidRPr="00BA121F" w:rsidRDefault="00BA121F" w:rsidP="00BA121F">
            <w:pPr>
              <w:keepNext/>
              <w:keepLines/>
              <w:spacing w:after="0"/>
              <w:outlineLvl w:val="3"/>
              <w:rPr>
                <w:b/>
                <w:bCs/>
                <w:iCs/>
              </w:rPr>
            </w:pPr>
            <w:bookmarkStart w:id="59" w:name="_Toc458510898"/>
            <w:r w:rsidRPr="00BA121F">
              <w:rPr>
                <w:b/>
                <w:bCs/>
                <w:iCs/>
                <w:color w:val="BC091B"/>
              </w:rPr>
              <w:lastRenderedPageBreak/>
              <w:t>Základní vzdělávání</w:t>
            </w:r>
            <w:bookmarkEnd w:id="59"/>
          </w:p>
        </w:tc>
        <w:tc>
          <w:tcPr>
            <w:tcW w:w="6804" w:type="dxa"/>
            <w:shd w:val="clear" w:color="auto" w:fill="auto"/>
            <w:vAlign w:val="center"/>
            <w:hideMark/>
          </w:tcPr>
          <w:p w:rsidR="00BA121F" w:rsidRPr="00BA121F" w:rsidRDefault="00BA121F" w:rsidP="00BA121F">
            <w:pPr>
              <w:spacing w:after="0" w:line="240" w:lineRule="auto"/>
              <w:jc w:val="both"/>
              <w:rPr>
                <w:rFonts w:cs="Arial"/>
                <w:szCs w:val="20"/>
              </w:rPr>
            </w:pPr>
            <w:r w:rsidRPr="00BA121F">
              <w:rPr>
                <w:rFonts w:cs="Arial"/>
                <w:szCs w:val="20"/>
              </w:rPr>
              <w:t xml:space="preserve">Do základního vzdělávání spadá výuka na </w:t>
            </w:r>
            <w:hyperlink w:anchor="_Základní_škola" w:history="1">
              <w:r w:rsidRPr="00BA121F">
                <w:rPr>
                  <w:rFonts w:cs="Arial"/>
                  <w:color w:val="0000FF"/>
                  <w:szCs w:val="20"/>
                  <w:u w:val="single"/>
                </w:rPr>
                <w:t>základních školách</w:t>
              </w:r>
            </w:hyperlink>
            <w:r w:rsidRPr="00BA121F">
              <w:rPr>
                <w:rFonts w:cs="Arial"/>
                <w:szCs w:val="20"/>
              </w:rPr>
              <w:t xml:space="preserve"> a v nižším stupni </w:t>
            </w:r>
            <w:hyperlink w:anchor="_Víceleté_gymnázium" w:history="1">
              <w:r w:rsidRPr="00BA121F">
                <w:rPr>
                  <w:rFonts w:cs="Arial"/>
                  <w:color w:val="0000FF"/>
                  <w:szCs w:val="20"/>
                  <w:u w:val="single"/>
                </w:rPr>
                <w:t>víceletých gymnázií</w:t>
              </w:r>
            </w:hyperlink>
            <w:r w:rsidRPr="00BA121F">
              <w:rPr>
                <w:rFonts w:cs="Arial"/>
                <w:szCs w:val="20"/>
              </w:rPr>
              <w:t xml:space="preserve"> a </w:t>
            </w:r>
            <w:hyperlink w:anchor="_Osmiletá_konzervatoř" w:history="1">
              <w:r w:rsidRPr="00BA121F">
                <w:rPr>
                  <w:rFonts w:eastAsia="MS Gothic"/>
                  <w:color w:val="0000FF"/>
                  <w:u w:val="single"/>
                </w:rPr>
                <w:t xml:space="preserve">osmileté </w:t>
              </w:r>
              <w:proofErr w:type="gramStart"/>
              <w:r w:rsidRPr="00BA121F">
                <w:rPr>
                  <w:rFonts w:cs="Arial"/>
                  <w:color w:val="0000FF"/>
                  <w:szCs w:val="20"/>
                  <w:u w:val="single"/>
                </w:rPr>
                <w:t>konzervatoře</w:t>
              </w:r>
            </w:hyperlink>
            <w:r w:rsidR="003F3B11">
              <w:rPr>
                <w:rFonts w:cs="Arial"/>
                <w:szCs w:val="20"/>
              </w:rPr>
              <w:t xml:space="preserve">, </w:t>
            </w:r>
            <w:r w:rsidRPr="00BA121F">
              <w:rPr>
                <w:rFonts w:cs="Arial"/>
                <w:szCs w:val="20"/>
              </w:rPr>
              <w:t>neboli</w:t>
            </w:r>
            <w:proofErr w:type="gramEnd"/>
            <w:r w:rsidRPr="00BA121F">
              <w:rPr>
                <w:rFonts w:cs="Arial"/>
                <w:szCs w:val="20"/>
              </w:rPr>
              <w:t> </w:t>
            </w:r>
            <w:hyperlink w:anchor="_Povinná_školní_docházka" w:history="1">
              <w:r w:rsidRPr="00BA121F">
                <w:rPr>
                  <w:rFonts w:cs="Arial"/>
                  <w:color w:val="0000FF"/>
                  <w:szCs w:val="20"/>
                  <w:u w:val="single"/>
                </w:rPr>
                <w:t>povinná školní docházka</w:t>
              </w:r>
            </w:hyperlink>
            <w:r w:rsidRPr="00BA121F">
              <w:rPr>
                <w:rFonts w:cs="Arial"/>
                <w:szCs w:val="20"/>
              </w:rPr>
              <w:t>.</w:t>
            </w:r>
          </w:p>
        </w:tc>
      </w:tr>
      <w:tr w:rsidR="00BA121F" w:rsidRPr="00BA121F" w:rsidTr="00906650">
        <w:trPr>
          <w:trHeight w:val="600"/>
        </w:trPr>
        <w:tc>
          <w:tcPr>
            <w:tcW w:w="2425" w:type="dxa"/>
            <w:shd w:val="clear" w:color="auto" w:fill="auto"/>
            <w:hideMark/>
          </w:tcPr>
          <w:p w:rsidR="00BA121F" w:rsidRPr="00BA121F" w:rsidRDefault="00BA121F" w:rsidP="00BA121F">
            <w:pPr>
              <w:keepNext/>
              <w:keepLines/>
              <w:spacing w:after="0"/>
              <w:outlineLvl w:val="3"/>
              <w:rPr>
                <w:b/>
                <w:bCs/>
                <w:iCs/>
              </w:rPr>
            </w:pPr>
            <w:bookmarkStart w:id="60" w:name="_Toc458510899"/>
            <w:r w:rsidRPr="00BA121F">
              <w:rPr>
                <w:b/>
                <w:bCs/>
                <w:iCs/>
                <w:color w:val="BC091B"/>
              </w:rPr>
              <w:t>Zařízení pro výkon ústavní a ochranné výchovy</w:t>
            </w:r>
            <w:bookmarkEnd w:id="60"/>
          </w:p>
        </w:tc>
        <w:tc>
          <w:tcPr>
            <w:tcW w:w="6804" w:type="dxa"/>
            <w:shd w:val="clear" w:color="auto" w:fill="auto"/>
            <w:vAlign w:val="center"/>
            <w:hideMark/>
          </w:tcPr>
          <w:p w:rsidR="00BA121F" w:rsidRPr="00BA121F" w:rsidRDefault="00BA121F" w:rsidP="00BA121F">
            <w:pPr>
              <w:spacing w:after="0" w:line="240" w:lineRule="auto"/>
              <w:jc w:val="both"/>
              <w:rPr>
                <w:rFonts w:cs="Arial"/>
                <w:szCs w:val="20"/>
              </w:rPr>
            </w:pPr>
            <w:r w:rsidRPr="00BA121F">
              <w:rPr>
                <w:rFonts w:cs="Arial"/>
                <w:szCs w:val="20"/>
              </w:rPr>
              <w:t xml:space="preserve">Školskými zařízeními pro výkon ústavní výchovy nebo ochranné výchovy jsou dle zákona č. 109/2002 Sb., </w:t>
            </w:r>
            <w:hyperlink w:anchor="_Diagnostický_ústav" w:history="1">
              <w:r w:rsidRPr="00BA121F">
                <w:rPr>
                  <w:rFonts w:eastAsia="MS Gothic" w:cs="Arial"/>
                  <w:color w:val="0000FF"/>
                  <w:szCs w:val="20"/>
                  <w:u w:val="single"/>
                </w:rPr>
                <w:t>diagnostický ústav</w:t>
              </w:r>
            </w:hyperlink>
            <w:r w:rsidRPr="00BA121F">
              <w:rPr>
                <w:rFonts w:cs="Arial"/>
                <w:szCs w:val="20"/>
              </w:rPr>
              <w:t xml:space="preserve">, </w:t>
            </w:r>
            <w:hyperlink w:anchor="_Dětský_domov" w:history="1">
              <w:r w:rsidRPr="00BA121F">
                <w:rPr>
                  <w:rFonts w:eastAsia="MS Gothic" w:cs="Arial"/>
                  <w:color w:val="0000FF"/>
                  <w:szCs w:val="20"/>
                  <w:u w:val="single"/>
                </w:rPr>
                <w:t>dětský domov</w:t>
              </w:r>
            </w:hyperlink>
            <w:r w:rsidRPr="00BA121F">
              <w:rPr>
                <w:rFonts w:cs="Arial"/>
                <w:szCs w:val="20"/>
              </w:rPr>
              <w:t xml:space="preserve">, </w:t>
            </w:r>
            <w:hyperlink w:anchor="_Dětský_domov_se" w:history="1">
              <w:r w:rsidRPr="00BA121F">
                <w:rPr>
                  <w:rFonts w:eastAsia="MS Gothic" w:cs="Arial"/>
                  <w:color w:val="0000FF"/>
                  <w:szCs w:val="20"/>
                  <w:u w:val="single"/>
                </w:rPr>
                <w:t>dětský domov se školou</w:t>
              </w:r>
            </w:hyperlink>
            <w:r w:rsidRPr="00BA121F">
              <w:rPr>
                <w:rFonts w:cs="Arial"/>
                <w:szCs w:val="20"/>
              </w:rPr>
              <w:t xml:space="preserve"> a </w:t>
            </w:r>
            <w:hyperlink w:anchor="_Výchovný_ústav" w:history="1">
              <w:r w:rsidRPr="00BA121F">
                <w:rPr>
                  <w:rFonts w:eastAsia="MS Gothic" w:cs="Arial"/>
                  <w:color w:val="0000FF"/>
                  <w:szCs w:val="20"/>
                  <w:u w:val="single"/>
                </w:rPr>
                <w:t>výchovný ústav</w:t>
              </w:r>
            </w:hyperlink>
            <w:r w:rsidRPr="00BA121F">
              <w:rPr>
                <w:rFonts w:cs="Arial"/>
                <w:szCs w:val="20"/>
              </w:rPr>
              <w:t xml:space="preserve">. </w:t>
            </w:r>
            <w:r w:rsidRPr="00BA121F">
              <w:rPr>
                <w:rFonts w:cs="Arial"/>
                <w:color w:val="000000"/>
                <w:szCs w:val="20"/>
              </w:rPr>
              <w:t xml:space="preserve">Zařízení poskytují péči, kterou dětem jinak poskytují osoby odpovědné za výchovu, a sice dětem s nařízenou ústavní výchovou či s uloženou ochrannou výchovou a dětem, u nichž bylo nařízeno předběžné opatření. Zařízení poskytují speciálně pedagogické a psychologické služby také ambulantní formou, a to dětem, které pobývají mimo zařízení podle § 23 odst. 1 písm. a) až c) </w:t>
            </w:r>
            <w:r w:rsidRPr="00BA121F">
              <w:rPr>
                <w:rFonts w:eastAsia="MS Gothic" w:cs="Arial"/>
                <w:color w:val="0000FF"/>
                <w:szCs w:val="20"/>
                <w:u w:val="single"/>
              </w:rPr>
              <w:t>zákona č. 109/2002 Sb.</w:t>
            </w:r>
          </w:p>
        </w:tc>
      </w:tr>
      <w:tr w:rsidR="00BA121F" w:rsidRPr="00BA121F" w:rsidTr="00906650">
        <w:trPr>
          <w:trHeight w:val="600"/>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61" w:name="_Toc458510900"/>
            <w:r w:rsidRPr="00BA121F">
              <w:rPr>
                <w:b/>
                <w:bCs/>
                <w:iCs/>
                <w:color w:val="BC091B"/>
              </w:rPr>
              <w:t>Zkrácené studium pro získání středního vzdělání s maturitní zkouškou</w:t>
            </w:r>
            <w:bookmarkEnd w:id="61"/>
          </w:p>
        </w:tc>
        <w:tc>
          <w:tcPr>
            <w:tcW w:w="6804" w:type="dxa"/>
            <w:shd w:val="clear" w:color="auto" w:fill="auto"/>
            <w:vAlign w:val="center"/>
            <w:hideMark/>
          </w:tcPr>
          <w:p w:rsidR="00BA121F" w:rsidRPr="00BA121F" w:rsidRDefault="00BA121F" w:rsidP="00BA121F">
            <w:pPr>
              <w:spacing w:after="0" w:line="240" w:lineRule="auto"/>
              <w:jc w:val="both"/>
              <w:rPr>
                <w:rFonts w:cs="Arial"/>
                <w:color w:val="000000"/>
                <w:szCs w:val="20"/>
              </w:rPr>
            </w:pPr>
            <w:r w:rsidRPr="00BA121F">
              <w:rPr>
                <w:rFonts w:cs="Arial"/>
                <w:color w:val="000000"/>
                <w:szCs w:val="20"/>
              </w:rPr>
              <w:t xml:space="preserve">Zkrácené studium pro získání středního vzdělání s maturitní zkouškou se řadí do </w:t>
            </w:r>
            <w:hyperlink w:anchor="_Střední_vzdělávání" w:history="1">
              <w:r w:rsidRPr="00BA121F">
                <w:rPr>
                  <w:rFonts w:cs="Arial"/>
                  <w:color w:val="0000FF"/>
                  <w:szCs w:val="20"/>
                  <w:u w:val="single"/>
                </w:rPr>
                <w:t>středního vzdělávání</w:t>
              </w:r>
            </w:hyperlink>
            <w:r w:rsidRPr="00BA121F">
              <w:rPr>
                <w:rFonts w:cs="Arial"/>
                <w:color w:val="000000"/>
                <w:szCs w:val="20"/>
              </w:rPr>
              <w:t>. Trvá 1–2 roky v denní formě a je určené uchazečům, kteří již úspěšně složili maturitní zkoušku, ovšem v jiném oboru vzdělávání.</w:t>
            </w:r>
          </w:p>
        </w:tc>
      </w:tr>
      <w:tr w:rsidR="00BA121F" w:rsidRPr="00BA121F" w:rsidTr="00906650">
        <w:trPr>
          <w:trHeight w:val="600"/>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62" w:name="_Toc458510901"/>
            <w:r w:rsidRPr="00BA121F">
              <w:rPr>
                <w:b/>
                <w:bCs/>
                <w:iCs/>
                <w:color w:val="BC091B"/>
              </w:rPr>
              <w:t>Zkrácené studium pro získání středního vzdělání s výučním listem</w:t>
            </w:r>
            <w:bookmarkEnd w:id="62"/>
          </w:p>
        </w:tc>
        <w:tc>
          <w:tcPr>
            <w:tcW w:w="6804" w:type="dxa"/>
            <w:shd w:val="clear" w:color="auto" w:fill="auto"/>
            <w:vAlign w:val="center"/>
            <w:hideMark/>
          </w:tcPr>
          <w:p w:rsidR="00BA121F" w:rsidRPr="00BA121F" w:rsidRDefault="00BA121F" w:rsidP="00BA121F">
            <w:pPr>
              <w:spacing w:after="0" w:line="240" w:lineRule="auto"/>
              <w:jc w:val="both"/>
              <w:rPr>
                <w:rFonts w:cs="Arial"/>
                <w:color w:val="000000"/>
                <w:szCs w:val="20"/>
              </w:rPr>
            </w:pPr>
            <w:r w:rsidRPr="00BA121F">
              <w:rPr>
                <w:rFonts w:cs="Arial"/>
                <w:color w:val="000000"/>
                <w:szCs w:val="20"/>
              </w:rPr>
              <w:t xml:space="preserve">Zkrácené studium pro získání středního vzdělání s výučním listem se řadí do </w:t>
            </w:r>
            <w:hyperlink w:anchor="_Střední_vzdělávání" w:history="1">
              <w:r w:rsidRPr="00BA121F">
                <w:rPr>
                  <w:rFonts w:cs="Arial"/>
                  <w:color w:val="0000FF"/>
                  <w:szCs w:val="20"/>
                  <w:u w:val="single"/>
                </w:rPr>
                <w:t>středního vzdělávání</w:t>
              </w:r>
            </w:hyperlink>
            <w:r w:rsidRPr="00BA121F">
              <w:rPr>
                <w:rFonts w:cs="Arial"/>
                <w:color w:val="000000"/>
                <w:szCs w:val="20"/>
              </w:rPr>
              <w:t xml:space="preserve">, trvá v denní formě 1–2 roky a je určené pro uchazeče, kteří již získali maturitní vysvědčení či výuční list, ovšem v jiném oboru vzdělání. </w:t>
            </w:r>
          </w:p>
        </w:tc>
      </w:tr>
      <w:tr w:rsidR="00BA121F" w:rsidRPr="00BA121F" w:rsidTr="00906650">
        <w:trPr>
          <w:trHeight w:val="566"/>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63" w:name="_Toc458510902"/>
            <w:r w:rsidRPr="00BA121F">
              <w:rPr>
                <w:b/>
                <w:bCs/>
                <w:iCs/>
                <w:color w:val="BC091B"/>
              </w:rPr>
              <w:t>Zřizovatel školy</w:t>
            </w:r>
            <w:bookmarkEnd w:id="63"/>
          </w:p>
        </w:tc>
        <w:tc>
          <w:tcPr>
            <w:tcW w:w="6804" w:type="dxa"/>
            <w:shd w:val="clear" w:color="auto" w:fill="auto"/>
            <w:vAlign w:val="center"/>
            <w:hideMark/>
          </w:tcPr>
          <w:p w:rsidR="00BA121F" w:rsidRPr="00BA121F" w:rsidRDefault="00BA121F" w:rsidP="00BA121F">
            <w:pPr>
              <w:spacing w:after="0" w:line="240" w:lineRule="auto"/>
              <w:jc w:val="both"/>
              <w:rPr>
                <w:rFonts w:cs="Arial"/>
                <w:color w:val="000000"/>
                <w:szCs w:val="20"/>
              </w:rPr>
            </w:pPr>
            <w:r w:rsidRPr="00BA121F">
              <w:rPr>
                <w:rFonts w:cs="Arial"/>
                <w:color w:val="000000"/>
                <w:szCs w:val="20"/>
              </w:rPr>
              <w:t>Školské instituce od </w:t>
            </w:r>
            <w:hyperlink w:anchor="_Předškolní_vzdělávání" w:history="1">
              <w:r w:rsidRPr="00BA121F">
                <w:rPr>
                  <w:rFonts w:cs="Arial"/>
                  <w:color w:val="0000FF"/>
                  <w:szCs w:val="20"/>
                  <w:u w:val="single"/>
                </w:rPr>
                <w:t>předškolního vzdělávání</w:t>
              </w:r>
            </w:hyperlink>
            <w:hyperlink w:anchor="_Předškolní_vzdělávání" w:history="1"/>
            <w:r w:rsidRPr="00BA121F">
              <w:rPr>
                <w:rFonts w:cs="Arial"/>
                <w:color w:val="000000"/>
                <w:szCs w:val="20"/>
              </w:rPr>
              <w:t xml:space="preserve"> po </w:t>
            </w:r>
            <w:hyperlink w:anchor="_Vyšší_odborné_vzdělávání" w:history="1">
              <w:r w:rsidRPr="00BA121F">
                <w:rPr>
                  <w:rFonts w:cs="Arial"/>
                  <w:color w:val="0000FF"/>
                  <w:szCs w:val="20"/>
                  <w:u w:val="single"/>
                </w:rPr>
                <w:t>vyšší odborné vzdělávání</w:t>
              </w:r>
            </w:hyperlink>
            <w:r w:rsidRPr="00BA121F">
              <w:rPr>
                <w:rFonts w:cs="Arial"/>
                <w:color w:val="000000"/>
                <w:szCs w:val="20"/>
              </w:rPr>
              <w:t xml:space="preserve"> můžou zřizovat veřejné instituce, tj. kraj, obec či dobrovolný svazek obcí, Ministerstvo školství, mládeže a tělovýchovy, nebo jiný rezort státní správy, nebo neveřejné instituce, tj. církev a privátní sektor (viz. </w:t>
            </w:r>
            <w:hyperlink r:id="rId40" w:history="1">
              <w:r w:rsidRPr="00BA121F">
                <w:rPr>
                  <w:rFonts w:cs="Arial"/>
                  <w:color w:val="0000FF"/>
                  <w:szCs w:val="20"/>
                  <w:u w:val="single"/>
                </w:rPr>
                <w:t>Školní zákon</w:t>
              </w:r>
            </w:hyperlink>
            <w:r w:rsidRPr="00BA121F">
              <w:t xml:space="preserve"> </w:t>
            </w:r>
            <w:r w:rsidRPr="00BA121F">
              <w:rPr>
                <w:rFonts w:cs="Arial"/>
                <w:szCs w:val="20"/>
              </w:rPr>
              <w:t>č. 561/2004 Sb., § 8)</w:t>
            </w:r>
            <w:r w:rsidRPr="00BA121F">
              <w:rPr>
                <w:rFonts w:cs="Arial"/>
                <w:color w:val="000000"/>
                <w:szCs w:val="20"/>
              </w:rPr>
              <w:t>.</w:t>
            </w:r>
          </w:p>
        </w:tc>
      </w:tr>
      <w:tr w:rsidR="00BA121F" w:rsidRPr="00BA121F" w:rsidTr="00906650">
        <w:trPr>
          <w:trHeight w:val="600"/>
        </w:trPr>
        <w:tc>
          <w:tcPr>
            <w:tcW w:w="2425" w:type="dxa"/>
            <w:shd w:val="clear" w:color="auto" w:fill="auto"/>
            <w:hideMark/>
          </w:tcPr>
          <w:p w:rsidR="00BA121F" w:rsidRPr="00BA121F" w:rsidRDefault="00BA121F" w:rsidP="00BA121F">
            <w:pPr>
              <w:keepNext/>
              <w:keepLines/>
              <w:spacing w:after="0"/>
              <w:outlineLvl w:val="3"/>
              <w:rPr>
                <w:b/>
                <w:bCs/>
                <w:iCs/>
                <w:color w:val="BC091B"/>
              </w:rPr>
            </w:pPr>
            <w:bookmarkStart w:id="64" w:name="_Toc458510903"/>
            <w:r w:rsidRPr="00BA121F">
              <w:rPr>
                <w:b/>
                <w:bCs/>
                <w:iCs/>
                <w:color w:val="BC091B"/>
              </w:rPr>
              <w:t>Žáci</w:t>
            </w:r>
            <w:bookmarkEnd w:id="64"/>
          </w:p>
        </w:tc>
        <w:tc>
          <w:tcPr>
            <w:tcW w:w="6804" w:type="dxa"/>
            <w:shd w:val="clear" w:color="auto" w:fill="auto"/>
            <w:vAlign w:val="center"/>
            <w:hideMark/>
          </w:tcPr>
          <w:p w:rsidR="00BA121F" w:rsidRPr="00BA121F" w:rsidRDefault="00BA121F" w:rsidP="00BA121F">
            <w:pPr>
              <w:spacing w:after="0" w:line="240" w:lineRule="auto"/>
              <w:jc w:val="both"/>
              <w:rPr>
                <w:rFonts w:cs="Arial"/>
                <w:color w:val="000000"/>
                <w:szCs w:val="20"/>
              </w:rPr>
            </w:pPr>
            <w:r w:rsidRPr="00BA121F">
              <w:rPr>
                <w:rFonts w:cs="Arial"/>
                <w:color w:val="000000"/>
                <w:szCs w:val="20"/>
              </w:rPr>
              <w:t xml:space="preserve">Žáky jsou označováni účastníci </w:t>
            </w:r>
            <w:hyperlink w:anchor="_Základní_vzdělávání" w:history="1">
              <w:r w:rsidRPr="00BA121F">
                <w:rPr>
                  <w:rFonts w:cs="Arial"/>
                  <w:color w:val="0000FF"/>
                  <w:szCs w:val="20"/>
                  <w:u w:val="single"/>
                </w:rPr>
                <w:t>základního vzdělávání</w:t>
              </w:r>
            </w:hyperlink>
            <w:r w:rsidRPr="00BA121F">
              <w:rPr>
                <w:rFonts w:cs="Arial"/>
                <w:color w:val="000000"/>
                <w:szCs w:val="20"/>
              </w:rPr>
              <w:t xml:space="preserve"> a </w:t>
            </w:r>
            <w:hyperlink w:anchor="_Střední_vzdělávání" w:history="1">
              <w:r w:rsidRPr="00BA121F">
                <w:rPr>
                  <w:rFonts w:cs="Arial"/>
                  <w:color w:val="0000FF"/>
                  <w:szCs w:val="20"/>
                  <w:u w:val="single"/>
                </w:rPr>
                <w:t>středního vzdělávání</w:t>
              </w:r>
            </w:hyperlink>
            <w:r w:rsidRPr="00BA121F">
              <w:rPr>
                <w:rFonts w:cs="Arial"/>
                <w:color w:val="000000"/>
                <w:szCs w:val="20"/>
              </w:rPr>
              <w:t xml:space="preserve">, včetně </w:t>
            </w:r>
            <w:hyperlink w:anchor="_Konzervatoř" w:history="1">
              <w:r w:rsidRPr="00BA121F">
                <w:rPr>
                  <w:rFonts w:cs="Arial"/>
                  <w:color w:val="0000FF"/>
                  <w:szCs w:val="20"/>
                  <w:u w:val="single"/>
                </w:rPr>
                <w:t>konzervatoří</w:t>
              </w:r>
            </w:hyperlink>
            <w:r w:rsidRPr="00BA121F">
              <w:rPr>
                <w:rFonts w:cs="Arial"/>
                <w:color w:val="000000"/>
                <w:szCs w:val="20"/>
              </w:rPr>
              <w:t xml:space="preserve">. V rozlišení dle pohlaví jsou to "dívky" a "chlapci". </w:t>
            </w:r>
          </w:p>
          <w:p w:rsidR="00BA121F" w:rsidRPr="00BA121F" w:rsidRDefault="00BA121F" w:rsidP="00BA121F">
            <w:pPr>
              <w:spacing w:after="0" w:line="240" w:lineRule="auto"/>
              <w:jc w:val="both"/>
              <w:rPr>
                <w:rFonts w:cs="Arial"/>
                <w:color w:val="000000"/>
                <w:szCs w:val="20"/>
              </w:rPr>
            </w:pPr>
            <w:r w:rsidRPr="00BA121F">
              <w:rPr>
                <w:rFonts w:cs="Arial"/>
                <w:color w:val="000000"/>
                <w:szCs w:val="20"/>
              </w:rPr>
              <w:t xml:space="preserve">V této publikaci (a ve statistikách Ministerstva školství, mládeže a tělovýchovy) nejsou žáci uváděni ve fyzických osobách, ale v počtech „studií“. Žáci, kteří studují dvě školy, případně dva vzdělávací obory apod., jsou tedy do celkového počtu zahrnuti dvakrát. Takových žáků je však zanedbatelný počet. </w:t>
            </w:r>
          </w:p>
          <w:p w:rsidR="00BA121F" w:rsidRPr="00BA121F" w:rsidRDefault="00BA121F" w:rsidP="00BA121F">
            <w:pPr>
              <w:spacing w:after="0" w:line="240" w:lineRule="auto"/>
              <w:jc w:val="both"/>
              <w:rPr>
                <w:rFonts w:cs="Arial"/>
                <w:color w:val="000000"/>
                <w:szCs w:val="20"/>
              </w:rPr>
            </w:pPr>
            <w:r w:rsidRPr="00BA121F">
              <w:rPr>
                <w:rFonts w:cs="Arial"/>
                <w:color w:val="000000"/>
                <w:szCs w:val="20"/>
              </w:rPr>
              <w:t>Výjimkou je pouze třídění dle národnosti, kde jsou žáci vykazováni ve fyzických osobách.</w:t>
            </w:r>
          </w:p>
        </w:tc>
      </w:tr>
    </w:tbl>
    <w:p w:rsidR="0073133B" w:rsidRPr="0073133B" w:rsidRDefault="0073133B" w:rsidP="00105A6E">
      <w:pPr>
        <w:pStyle w:val="Nadpis1"/>
        <w:rPr>
          <w:rFonts w:cs="Arial"/>
          <w:szCs w:val="20"/>
        </w:rPr>
      </w:pPr>
    </w:p>
    <w:sectPr w:rsidR="0073133B" w:rsidRPr="0073133B" w:rsidSect="00881D7C">
      <w:headerReference w:type="even" r:id="rId41"/>
      <w:headerReference w:type="default" r:id="rId42"/>
      <w:footerReference w:type="even" r:id="rId43"/>
      <w:footerReference w:type="default" r:id="rId44"/>
      <w:pgSz w:w="11906" w:h="16838" w:code="9"/>
      <w:pgMar w:top="1134" w:right="1134" w:bottom="1418"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450" w:rsidRDefault="00721450" w:rsidP="00E71A58">
      <w:r>
        <w:separator/>
      </w:r>
    </w:p>
  </w:endnote>
  <w:endnote w:type="continuationSeparator" w:id="0">
    <w:p w:rsidR="00721450" w:rsidRDefault="00721450"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E40" w:rsidRPr="00932443" w:rsidRDefault="003F3B11" w:rsidP="00A418BC">
    <w:pPr>
      <w:pStyle w:val="Zpat"/>
      <w:rPr>
        <w:szCs w:val="16"/>
      </w:rPr>
    </w:pPr>
    <w:r>
      <w:rPr>
        <w:szCs w:val="16"/>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8625" cy="201295"/>
          <wp:effectExtent l="0" t="0" r="0" b="0"/>
          <wp:wrapNone/>
          <wp:docPr id="11" name="obrázek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pic:spPr>
              </pic:pic>
            </a:graphicData>
          </a:graphic>
          <wp14:sizeRelH relativeFrom="page">
            <wp14:pctWidth>0</wp14:pctWidth>
          </wp14:sizeRelH>
          <wp14:sizeRelV relativeFrom="page">
            <wp14:pctHeight>0</wp14:pctHeight>
          </wp14:sizeRelV>
        </wp:anchor>
      </w:drawing>
    </w:r>
    <w:r w:rsidR="00B966DD" w:rsidRPr="00932443">
      <w:rPr>
        <w:szCs w:val="16"/>
      </w:rPr>
      <w:fldChar w:fldCharType="begin"/>
    </w:r>
    <w:r w:rsidR="00385E40" w:rsidRPr="00932443">
      <w:rPr>
        <w:szCs w:val="16"/>
      </w:rPr>
      <w:instrText>PAGE   \* MERGEFORMAT</w:instrText>
    </w:r>
    <w:r w:rsidR="00B966DD" w:rsidRPr="00932443">
      <w:rPr>
        <w:szCs w:val="16"/>
      </w:rPr>
      <w:fldChar w:fldCharType="separate"/>
    </w:r>
    <w:r w:rsidR="002610DB">
      <w:rPr>
        <w:szCs w:val="16"/>
      </w:rPr>
      <w:t>10</w:t>
    </w:r>
    <w:r w:rsidR="00B966DD" w:rsidRPr="00932443">
      <w:rPr>
        <w:szCs w:val="16"/>
      </w:rPr>
      <w:fldChar w:fldCharType="end"/>
    </w:r>
    <w:r w:rsidR="00385E40" w:rsidRPr="00932443">
      <w:rPr>
        <w:szCs w:val="16"/>
      </w:rPr>
      <w:tab/>
    </w:r>
    <w:r w:rsidR="00BA121F">
      <w:rPr>
        <w:szCs w:val="16"/>
      </w:rPr>
      <w:t>2018/19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E40" w:rsidRPr="00932443" w:rsidRDefault="003F3B11" w:rsidP="00A418BC">
    <w:pPr>
      <w:pStyle w:val="Zpat"/>
      <w:rPr>
        <w:szCs w:val="16"/>
      </w:rPr>
    </w:pPr>
    <w:r>
      <w:rPr>
        <w:szCs w:val="16"/>
        <w:lang w:eastAsia="cs-CZ"/>
      </w:rPr>
      <w:drawing>
        <wp:anchor distT="0" distB="0" distL="114300" distR="114300" simplePos="0" relativeHeight="251657216" behindDoc="0" locked="0" layoutInCell="1" allowOverlap="1">
          <wp:simplePos x="0" y="0"/>
          <wp:positionH relativeFrom="column">
            <wp:align>left</wp:align>
          </wp:positionH>
          <wp:positionV relativeFrom="paragraph">
            <wp:posOffset>-122555</wp:posOffset>
          </wp:positionV>
          <wp:extent cx="510540" cy="272415"/>
          <wp:effectExtent l="0" t="0" r="0" b="0"/>
          <wp:wrapNone/>
          <wp:docPr id="10" name="obrázek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pic:spPr>
              </pic:pic>
            </a:graphicData>
          </a:graphic>
          <wp14:sizeRelH relativeFrom="page">
            <wp14:pctWidth>0</wp14:pctWidth>
          </wp14:sizeRelH>
          <wp14:sizeRelV relativeFrom="page">
            <wp14:pctHeight>0</wp14:pctHeight>
          </wp14:sizeRelV>
        </wp:anchor>
      </w:drawing>
    </w:r>
    <w:r w:rsidR="00385E40" w:rsidRPr="00932443">
      <w:rPr>
        <w:szCs w:val="16"/>
      </w:rPr>
      <w:tab/>
    </w:r>
    <w:r w:rsidR="00BA121F">
      <w:rPr>
        <w:rStyle w:val="ZpatChar"/>
        <w:szCs w:val="16"/>
      </w:rPr>
      <w:t>2018/19</w:t>
    </w:r>
    <w:r w:rsidR="00385E40" w:rsidRPr="00932443">
      <w:rPr>
        <w:szCs w:val="16"/>
      </w:rPr>
      <w:tab/>
    </w:r>
    <w:r w:rsidR="00B966DD" w:rsidRPr="00932443">
      <w:rPr>
        <w:rStyle w:val="ZpatChar"/>
        <w:szCs w:val="16"/>
      </w:rPr>
      <w:fldChar w:fldCharType="begin"/>
    </w:r>
    <w:r w:rsidR="00385E40" w:rsidRPr="00932443">
      <w:rPr>
        <w:rStyle w:val="ZpatChar"/>
        <w:szCs w:val="16"/>
      </w:rPr>
      <w:instrText>PAGE   \* MERGEFORMAT</w:instrText>
    </w:r>
    <w:r w:rsidR="00B966DD" w:rsidRPr="00932443">
      <w:rPr>
        <w:rStyle w:val="ZpatChar"/>
        <w:szCs w:val="16"/>
      </w:rPr>
      <w:fldChar w:fldCharType="separate"/>
    </w:r>
    <w:r w:rsidR="002610DB">
      <w:rPr>
        <w:rStyle w:val="ZpatChar"/>
        <w:szCs w:val="16"/>
      </w:rPr>
      <w:t>11</w:t>
    </w:r>
    <w:r w:rsidR="00B966DD"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450" w:rsidRDefault="00721450" w:rsidP="00E71A58">
      <w:r>
        <w:separator/>
      </w:r>
    </w:p>
  </w:footnote>
  <w:footnote w:type="continuationSeparator" w:id="0">
    <w:p w:rsidR="00721450" w:rsidRDefault="00721450"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E40" w:rsidRDefault="00BA121F" w:rsidP="00937AE2">
    <w:pPr>
      <w:pStyle w:val="Zhlav"/>
    </w:pPr>
    <w:r>
      <w:t>Školy a školská zařízení  2018/19</w:t>
    </w:r>
  </w:p>
  <w:p w:rsidR="00385E40" w:rsidRPr="006F5416" w:rsidRDefault="00385E40"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E40" w:rsidRDefault="00BA121F" w:rsidP="00937AE2">
    <w:pPr>
      <w:pStyle w:val="Zhlav"/>
    </w:pPr>
    <w:r>
      <w:t>Školy a školská zařízení  2018/19</w:t>
    </w:r>
  </w:p>
  <w:p w:rsidR="00385E40" w:rsidRPr="006F5416" w:rsidRDefault="00385E40"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4523F"/>
    <w:multiLevelType w:val="hybridMultilevel"/>
    <w:tmpl w:val="2FAC6296"/>
    <w:lvl w:ilvl="0" w:tplc="578C2E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4803663"/>
    <w:multiLevelType w:val="hybridMultilevel"/>
    <w:tmpl w:val="D2DCB808"/>
    <w:lvl w:ilvl="0" w:tplc="3A82E006">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2" w15:restartNumberingAfterBreak="0">
    <w:nsid w:val="22887B3C"/>
    <w:multiLevelType w:val="hybridMultilevel"/>
    <w:tmpl w:val="02548A36"/>
    <w:lvl w:ilvl="0" w:tplc="578C2E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44515D5"/>
    <w:multiLevelType w:val="hybridMultilevel"/>
    <w:tmpl w:val="694E5828"/>
    <w:lvl w:ilvl="0" w:tplc="578C2E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F33B63"/>
    <w:multiLevelType w:val="multilevel"/>
    <w:tmpl w:val="EDF2F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414AB0"/>
    <w:multiLevelType w:val="hybridMultilevel"/>
    <w:tmpl w:val="20AA91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D660CAC"/>
    <w:multiLevelType w:val="hybridMultilevel"/>
    <w:tmpl w:val="D66EF99C"/>
    <w:lvl w:ilvl="0" w:tplc="578C2E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C23E3D"/>
    <w:multiLevelType w:val="hybridMultilevel"/>
    <w:tmpl w:val="FC3AC148"/>
    <w:lvl w:ilvl="0" w:tplc="E35C037C">
      <w:start w:val="1"/>
      <w:numFmt w:val="lowerLetter"/>
      <w:lvlText w:val="%1)"/>
      <w:lvlJc w:val="left"/>
      <w:pPr>
        <w:ind w:left="516" w:hanging="375"/>
      </w:pPr>
      <w:rPr>
        <w:rFonts w:hint="default"/>
        <w:b/>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1" w15:restartNumberingAfterBreak="0">
    <w:nsid w:val="50307A58"/>
    <w:multiLevelType w:val="hybridMultilevel"/>
    <w:tmpl w:val="B9928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6CE5C1C"/>
    <w:multiLevelType w:val="hybridMultilevel"/>
    <w:tmpl w:val="EC66CB14"/>
    <w:lvl w:ilvl="0" w:tplc="407E9412">
      <w:start w:val="1"/>
      <w:numFmt w:val="decimal"/>
      <w:lvlText w:val="%1."/>
      <w:lvlJc w:val="left"/>
      <w:pPr>
        <w:ind w:left="720" w:hanging="360"/>
      </w:pPr>
      <w:rPr>
        <w:rFonts w:eastAsia="Times New Roman" w:cs="Times New Roman" w:hint="default"/>
        <w:b/>
        <w:color w:val="C0504D" w:themeColor="accent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1801C9"/>
    <w:multiLevelType w:val="multilevel"/>
    <w:tmpl w:val="46EC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5F1CA8"/>
    <w:multiLevelType w:val="hybridMultilevel"/>
    <w:tmpl w:val="CF8240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507056"/>
    <w:multiLevelType w:val="multilevel"/>
    <w:tmpl w:val="679C68B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15936E7"/>
    <w:multiLevelType w:val="hybridMultilevel"/>
    <w:tmpl w:val="6EE6CB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2E8040F"/>
    <w:multiLevelType w:val="hybridMultilevel"/>
    <w:tmpl w:val="E99CCDA2"/>
    <w:lvl w:ilvl="0" w:tplc="578C2E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8"/>
  </w:num>
  <w:num w:numId="14">
    <w:abstractNumId w:val="11"/>
  </w:num>
  <w:num w:numId="15">
    <w:abstractNumId w:val="15"/>
  </w:num>
  <w:num w:numId="16">
    <w:abstractNumId w:val="24"/>
  </w:num>
  <w:num w:numId="17">
    <w:abstractNumId w:val="23"/>
  </w:num>
  <w:num w:numId="18">
    <w:abstractNumId w:val="20"/>
  </w:num>
  <w:num w:numId="19">
    <w:abstractNumId w:val="13"/>
  </w:num>
  <w:num w:numId="20">
    <w:abstractNumId w:val="19"/>
  </w:num>
  <w:num w:numId="21">
    <w:abstractNumId w:val="10"/>
  </w:num>
  <w:num w:numId="22">
    <w:abstractNumId w:val="12"/>
  </w:num>
  <w:num w:numId="23">
    <w:abstractNumId w:val="27"/>
  </w:num>
  <w:num w:numId="24">
    <w:abstractNumId w:val="26"/>
  </w:num>
  <w:num w:numId="25">
    <w:abstractNumId w:val="21"/>
  </w:num>
  <w:num w:numId="26">
    <w:abstractNumId w:val="17"/>
  </w:num>
  <w:num w:numId="27">
    <w:abstractNumId w:val="2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EA"/>
    <w:rsid w:val="00001A6F"/>
    <w:rsid w:val="0000209D"/>
    <w:rsid w:val="00004D5A"/>
    <w:rsid w:val="000056D5"/>
    <w:rsid w:val="0000767A"/>
    <w:rsid w:val="00010702"/>
    <w:rsid w:val="000234D6"/>
    <w:rsid w:val="00023D29"/>
    <w:rsid w:val="000247D2"/>
    <w:rsid w:val="00026389"/>
    <w:rsid w:val="00031AE0"/>
    <w:rsid w:val="000322EF"/>
    <w:rsid w:val="00033FCD"/>
    <w:rsid w:val="00035072"/>
    <w:rsid w:val="00041CEC"/>
    <w:rsid w:val="0004694F"/>
    <w:rsid w:val="000522E4"/>
    <w:rsid w:val="000610E1"/>
    <w:rsid w:val="0006209B"/>
    <w:rsid w:val="000629C3"/>
    <w:rsid w:val="00062EC5"/>
    <w:rsid w:val="00062F22"/>
    <w:rsid w:val="00067B8F"/>
    <w:rsid w:val="000712B3"/>
    <w:rsid w:val="000776E5"/>
    <w:rsid w:val="0008263E"/>
    <w:rsid w:val="00082C19"/>
    <w:rsid w:val="00085395"/>
    <w:rsid w:val="00087634"/>
    <w:rsid w:val="00087F2B"/>
    <w:rsid w:val="0009103A"/>
    <w:rsid w:val="00096214"/>
    <w:rsid w:val="00097066"/>
    <w:rsid w:val="000974D1"/>
    <w:rsid w:val="0009767D"/>
    <w:rsid w:val="0009799E"/>
    <w:rsid w:val="000A02E2"/>
    <w:rsid w:val="000A1183"/>
    <w:rsid w:val="000A256D"/>
    <w:rsid w:val="000A32E2"/>
    <w:rsid w:val="000A3A2C"/>
    <w:rsid w:val="000B2191"/>
    <w:rsid w:val="000B59C4"/>
    <w:rsid w:val="000C3408"/>
    <w:rsid w:val="000C6AFD"/>
    <w:rsid w:val="000C709F"/>
    <w:rsid w:val="000D0701"/>
    <w:rsid w:val="000D42DF"/>
    <w:rsid w:val="000D4F92"/>
    <w:rsid w:val="000D5169"/>
    <w:rsid w:val="000D5637"/>
    <w:rsid w:val="000D7763"/>
    <w:rsid w:val="000E27C6"/>
    <w:rsid w:val="000E2AB2"/>
    <w:rsid w:val="000E6FBD"/>
    <w:rsid w:val="000F031E"/>
    <w:rsid w:val="000F5ED7"/>
    <w:rsid w:val="000F7E55"/>
    <w:rsid w:val="00100F5C"/>
    <w:rsid w:val="00104C4C"/>
    <w:rsid w:val="00105418"/>
    <w:rsid w:val="00105A6E"/>
    <w:rsid w:val="0011034C"/>
    <w:rsid w:val="00117E94"/>
    <w:rsid w:val="0012192F"/>
    <w:rsid w:val="00125D69"/>
    <w:rsid w:val="00126FC5"/>
    <w:rsid w:val="001353FE"/>
    <w:rsid w:val="0014047F"/>
    <w:rsid w:val="001405FA"/>
    <w:rsid w:val="00140910"/>
    <w:rsid w:val="001425C3"/>
    <w:rsid w:val="00143185"/>
    <w:rsid w:val="00144C23"/>
    <w:rsid w:val="001451BD"/>
    <w:rsid w:val="00151D3C"/>
    <w:rsid w:val="0016256B"/>
    <w:rsid w:val="00162767"/>
    <w:rsid w:val="00163793"/>
    <w:rsid w:val="001679E8"/>
    <w:rsid w:val="001706D6"/>
    <w:rsid w:val="001714F2"/>
    <w:rsid w:val="00172048"/>
    <w:rsid w:val="00174DA3"/>
    <w:rsid w:val="001754CD"/>
    <w:rsid w:val="00180FE8"/>
    <w:rsid w:val="00183E86"/>
    <w:rsid w:val="00184B08"/>
    <w:rsid w:val="00185010"/>
    <w:rsid w:val="0019010B"/>
    <w:rsid w:val="001A40F4"/>
    <w:rsid w:val="001A552F"/>
    <w:rsid w:val="001A5A58"/>
    <w:rsid w:val="001B2CA9"/>
    <w:rsid w:val="001B3110"/>
    <w:rsid w:val="001B4729"/>
    <w:rsid w:val="001B6C09"/>
    <w:rsid w:val="001C05CD"/>
    <w:rsid w:val="001C15BA"/>
    <w:rsid w:val="001C2D45"/>
    <w:rsid w:val="001C62BE"/>
    <w:rsid w:val="001C7DB3"/>
    <w:rsid w:val="001D442F"/>
    <w:rsid w:val="001D68B2"/>
    <w:rsid w:val="001E0920"/>
    <w:rsid w:val="001E09EF"/>
    <w:rsid w:val="001E10AF"/>
    <w:rsid w:val="001F4597"/>
    <w:rsid w:val="001F5273"/>
    <w:rsid w:val="001F66C3"/>
    <w:rsid w:val="00202C61"/>
    <w:rsid w:val="002118B9"/>
    <w:rsid w:val="002140F5"/>
    <w:rsid w:val="00217C5B"/>
    <w:rsid w:val="0022139E"/>
    <w:rsid w:val="002252E0"/>
    <w:rsid w:val="002255F6"/>
    <w:rsid w:val="002266A5"/>
    <w:rsid w:val="00227850"/>
    <w:rsid w:val="00227A53"/>
    <w:rsid w:val="00227DCA"/>
    <w:rsid w:val="00230C6E"/>
    <w:rsid w:val="00232A19"/>
    <w:rsid w:val="00236443"/>
    <w:rsid w:val="002436BA"/>
    <w:rsid w:val="00244A15"/>
    <w:rsid w:val="00244D05"/>
    <w:rsid w:val="00247319"/>
    <w:rsid w:val="00247399"/>
    <w:rsid w:val="0024799E"/>
    <w:rsid w:val="00253C0F"/>
    <w:rsid w:val="00255B97"/>
    <w:rsid w:val="00257E9C"/>
    <w:rsid w:val="002610DB"/>
    <w:rsid w:val="002621E1"/>
    <w:rsid w:val="00271465"/>
    <w:rsid w:val="00284BD5"/>
    <w:rsid w:val="00285412"/>
    <w:rsid w:val="002866F7"/>
    <w:rsid w:val="00293322"/>
    <w:rsid w:val="00294829"/>
    <w:rsid w:val="002A00BE"/>
    <w:rsid w:val="002A16D4"/>
    <w:rsid w:val="002A230C"/>
    <w:rsid w:val="002B17E5"/>
    <w:rsid w:val="002B6487"/>
    <w:rsid w:val="002C43BD"/>
    <w:rsid w:val="002C50C3"/>
    <w:rsid w:val="002C7121"/>
    <w:rsid w:val="002D0E59"/>
    <w:rsid w:val="002D2BCE"/>
    <w:rsid w:val="002E02A1"/>
    <w:rsid w:val="002E4E4C"/>
    <w:rsid w:val="002E7A86"/>
    <w:rsid w:val="002F7706"/>
    <w:rsid w:val="00304771"/>
    <w:rsid w:val="003052D4"/>
    <w:rsid w:val="00305464"/>
    <w:rsid w:val="00306C5B"/>
    <w:rsid w:val="0031050E"/>
    <w:rsid w:val="00311663"/>
    <w:rsid w:val="003155CB"/>
    <w:rsid w:val="00316735"/>
    <w:rsid w:val="003209D6"/>
    <w:rsid w:val="0032108A"/>
    <w:rsid w:val="00321924"/>
    <w:rsid w:val="00324D3A"/>
    <w:rsid w:val="0032656E"/>
    <w:rsid w:val="00331452"/>
    <w:rsid w:val="00332190"/>
    <w:rsid w:val="00344668"/>
    <w:rsid w:val="00345CF4"/>
    <w:rsid w:val="003462D9"/>
    <w:rsid w:val="00347D58"/>
    <w:rsid w:val="00357044"/>
    <w:rsid w:val="00360C86"/>
    <w:rsid w:val="00362845"/>
    <w:rsid w:val="003634A2"/>
    <w:rsid w:val="00364DA9"/>
    <w:rsid w:val="003657F3"/>
    <w:rsid w:val="003713BE"/>
    <w:rsid w:val="003818DC"/>
    <w:rsid w:val="00384327"/>
    <w:rsid w:val="00384707"/>
    <w:rsid w:val="00385D98"/>
    <w:rsid w:val="00385E40"/>
    <w:rsid w:val="00393B1A"/>
    <w:rsid w:val="00396BD0"/>
    <w:rsid w:val="003A2B4D"/>
    <w:rsid w:val="003A478C"/>
    <w:rsid w:val="003A5525"/>
    <w:rsid w:val="003A6B38"/>
    <w:rsid w:val="003B5A32"/>
    <w:rsid w:val="003C09F4"/>
    <w:rsid w:val="003C3490"/>
    <w:rsid w:val="003D6920"/>
    <w:rsid w:val="003D7535"/>
    <w:rsid w:val="003E4C91"/>
    <w:rsid w:val="003E5AE2"/>
    <w:rsid w:val="003E6530"/>
    <w:rsid w:val="003F313C"/>
    <w:rsid w:val="003F3B11"/>
    <w:rsid w:val="003F4B2C"/>
    <w:rsid w:val="003F551C"/>
    <w:rsid w:val="003F7D23"/>
    <w:rsid w:val="004028DB"/>
    <w:rsid w:val="00404EEB"/>
    <w:rsid w:val="00407C13"/>
    <w:rsid w:val="00410638"/>
    <w:rsid w:val="00423086"/>
    <w:rsid w:val="00423AAB"/>
    <w:rsid w:val="00432A58"/>
    <w:rsid w:val="00434617"/>
    <w:rsid w:val="00435E85"/>
    <w:rsid w:val="00436EBC"/>
    <w:rsid w:val="00440900"/>
    <w:rsid w:val="004441A0"/>
    <w:rsid w:val="004550E1"/>
    <w:rsid w:val="00455516"/>
    <w:rsid w:val="00460FB3"/>
    <w:rsid w:val="00476240"/>
    <w:rsid w:val="00476439"/>
    <w:rsid w:val="0047735C"/>
    <w:rsid w:val="004776BC"/>
    <w:rsid w:val="0048139F"/>
    <w:rsid w:val="00481E40"/>
    <w:rsid w:val="00484ECE"/>
    <w:rsid w:val="0048732D"/>
    <w:rsid w:val="004900FF"/>
    <w:rsid w:val="004915CB"/>
    <w:rsid w:val="004924DC"/>
    <w:rsid w:val="004A14E4"/>
    <w:rsid w:val="004A2FF6"/>
    <w:rsid w:val="004A3212"/>
    <w:rsid w:val="004A61C5"/>
    <w:rsid w:val="004A77DF"/>
    <w:rsid w:val="004B1417"/>
    <w:rsid w:val="004B55B7"/>
    <w:rsid w:val="004B6468"/>
    <w:rsid w:val="004C0F4A"/>
    <w:rsid w:val="004C1F62"/>
    <w:rsid w:val="004C384C"/>
    <w:rsid w:val="004C3867"/>
    <w:rsid w:val="004C4CD0"/>
    <w:rsid w:val="004C70DC"/>
    <w:rsid w:val="004D0211"/>
    <w:rsid w:val="004D0794"/>
    <w:rsid w:val="004D4EBD"/>
    <w:rsid w:val="004F06F5"/>
    <w:rsid w:val="004F33A0"/>
    <w:rsid w:val="004F5A6D"/>
    <w:rsid w:val="004F7535"/>
    <w:rsid w:val="004F799B"/>
    <w:rsid w:val="00500A8A"/>
    <w:rsid w:val="005108C0"/>
    <w:rsid w:val="00511873"/>
    <w:rsid w:val="00512A2F"/>
    <w:rsid w:val="00513B7E"/>
    <w:rsid w:val="00515C74"/>
    <w:rsid w:val="0052007E"/>
    <w:rsid w:val="00522F90"/>
    <w:rsid w:val="0052337A"/>
    <w:rsid w:val="00525137"/>
    <w:rsid w:val="005251DD"/>
    <w:rsid w:val="00532CE7"/>
    <w:rsid w:val="00533178"/>
    <w:rsid w:val="0053324C"/>
    <w:rsid w:val="00534A28"/>
    <w:rsid w:val="00535E32"/>
    <w:rsid w:val="00541508"/>
    <w:rsid w:val="005416C3"/>
    <w:rsid w:val="0054178D"/>
    <w:rsid w:val="0055599F"/>
    <w:rsid w:val="00556D68"/>
    <w:rsid w:val="00562A93"/>
    <w:rsid w:val="005647BF"/>
    <w:rsid w:val="005653CA"/>
    <w:rsid w:val="0056704A"/>
    <w:rsid w:val="005678B5"/>
    <w:rsid w:val="0057364B"/>
    <w:rsid w:val="00574773"/>
    <w:rsid w:val="00574CB8"/>
    <w:rsid w:val="00575982"/>
    <w:rsid w:val="00582CA2"/>
    <w:rsid w:val="00583FFD"/>
    <w:rsid w:val="005911BE"/>
    <w:rsid w:val="00592153"/>
    <w:rsid w:val="00593152"/>
    <w:rsid w:val="00595576"/>
    <w:rsid w:val="005A10F2"/>
    <w:rsid w:val="005A21E0"/>
    <w:rsid w:val="005A28FF"/>
    <w:rsid w:val="005A3DF8"/>
    <w:rsid w:val="005A5549"/>
    <w:rsid w:val="005B121D"/>
    <w:rsid w:val="005B15B4"/>
    <w:rsid w:val="005B61F2"/>
    <w:rsid w:val="005C06ED"/>
    <w:rsid w:val="005C7AAD"/>
    <w:rsid w:val="005D1FDF"/>
    <w:rsid w:val="005D5802"/>
    <w:rsid w:val="005D7890"/>
    <w:rsid w:val="005E45E9"/>
    <w:rsid w:val="005E7C78"/>
    <w:rsid w:val="005F2A46"/>
    <w:rsid w:val="005F3EB1"/>
    <w:rsid w:val="005F3F60"/>
    <w:rsid w:val="005F492D"/>
    <w:rsid w:val="005F5469"/>
    <w:rsid w:val="00604307"/>
    <w:rsid w:val="0060487F"/>
    <w:rsid w:val="00604EAD"/>
    <w:rsid w:val="006104FB"/>
    <w:rsid w:val="00610830"/>
    <w:rsid w:val="00612A2F"/>
    <w:rsid w:val="00616E05"/>
    <w:rsid w:val="00621C1C"/>
    <w:rsid w:val="00624093"/>
    <w:rsid w:val="00633189"/>
    <w:rsid w:val="006404A7"/>
    <w:rsid w:val="006451E4"/>
    <w:rsid w:val="00645B33"/>
    <w:rsid w:val="006516CB"/>
    <w:rsid w:val="00653BD1"/>
    <w:rsid w:val="006540AC"/>
    <w:rsid w:val="00656E91"/>
    <w:rsid w:val="00657E87"/>
    <w:rsid w:val="006611ED"/>
    <w:rsid w:val="006618C0"/>
    <w:rsid w:val="00662E4B"/>
    <w:rsid w:val="0066306F"/>
    <w:rsid w:val="00663FF1"/>
    <w:rsid w:val="00664803"/>
    <w:rsid w:val="00665BA4"/>
    <w:rsid w:val="00667AF2"/>
    <w:rsid w:val="006710C9"/>
    <w:rsid w:val="0067143C"/>
    <w:rsid w:val="00672DA4"/>
    <w:rsid w:val="00674D89"/>
    <w:rsid w:val="00674E73"/>
    <w:rsid w:val="00675E37"/>
    <w:rsid w:val="0068174E"/>
    <w:rsid w:val="00681DCE"/>
    <w:rsid w:val="0068260E"/>
    <w:rsid w:val="006830BB"/>
    <w:rsid w:val="00695BEF"/>
    <w:rsid w:val="006977F6"/>
    <w:rsid w:val="00697A13"/>
    <w:rsid w:val="006A109C"/>
    <w:rsid w:val="006A2677"/>
    <w:rsid w:val="006A4E05"/>
    <w:rsid w:val="006A5384"/>
    <w:rsid w:val="006A72FB"/>
    <w:rsid w:val="006B0100"/>
    <w:rsid w:val="006B344A"/>
    <w:rsid w:val="006B5C92"/>
    <w:rsid w:val="006B78D8"/>
    <w:rsid w:val="006C113F"/>
    <w:rsid w:val="006C123E"/>
    <w:rsid w:val="006C56D4"/>
    <w:rsid w:val="006C6924"/>
    <w:rsid w:val="006C7CA6"/>
    <w:rsid w:val="006D041F"/>
    <w:rsid w:val="006D3E8A"/>
    <w:rsid w:val="006D61F6"/>
    <w:rsid w:val="006D7212"/>
    <w:rsid w:val="006E279A"/>
    <w:rsid w:val="006E313B"/>
    <w:rsid w:val="006E6239"/>
    <w:rsid w:val="006F174D"/>
    <w:rsid w:val="006F5416"/>
    <w:rsid w:val="006F56B3"/>
    <w:rsid w:val="006F5F30"/>
    <w:rsid w:val="006F7137"/>
    <w:rsid w:val="0070443B"/>
    <w:rsid w:val="00706AD4"/>
    <w:rsid w:val="00713E3E"/>
    <w:rsid w:val="007140BE"/>
    <w:rsid w:val="00720400"/>
    <w:rsid w:val="007211F5"/>
    <w:rsid w:val="00721450"/>
    <w:rsid w:val="00722475"/>
    <w:rsid w:val="00722FD5"/>
    <w:rsid w:val="00723AAE"/>
    <w:rsid w:val="00725BB5"/>
    <w:rsid w:val="00726434"/>
    <w:rsid w:val="00730AE8"/>
    <w:rsid w:val="0073133B"/>
    <w:rsid w:val="00734A0E"/>
    <w:rsid w:val="00741493"/>
    <w:rsid w:val="007459FD"/>
    <w:rsid w:val="00752180"/>
    <w:rsid w:val="0075250E"/>
    <w:rsid w:val="00755202"/>
    <w:rsid w:val="00755D3A"/>
    <w:rsid w:val="00757053"/>
    <w:rsid w:val="007578D3"/>
    <w:rsid w:val="00760676"/>
    <w:rsid w:val="0076068B"/>
    <w:rsid w:val="007609C6"/>
    <w:rsid w:val="0076175D"/>
    <w:rsid w:val="0076521E"/>
    <w:rsid w:val="007661E9"/>
    <w:rsid w:val="00766E55"/>
    <w:rsid w:val="00770B75"/>
    <w:rsid w:val="007711D6"/>
    <w:rsid w:val="00776169"/>
    <w:rsid w:val="00776527"/>
    <w:rsid w:val="00780755"/>
    <w:rsid w:val="00780EF1"/>
    <w:rsid w:val="00790764"/>
    <w:rsid w:val="0079453C"/>
    <w:rsid w:val="00794677"/>
    <w:rsid w:val="0079487B"/>
    <w:rsid w:val="00794AB3"/>
    <w:rsid w:val="00794F4D"/>
    <w:rsid w:val="007A17CA"/>
    <w:rsid w:val="007A2643"/>
    <w:rsid w:val="007A64B2"/>
    <w:rsid w:val="007B056C"/>
    <w:rsid w:val="007B1D7B"/>
    <w:rsid w:val="007B5F0C"/>
    <w:rsid w:val="007B6689"/>
    <w:rsid w:val="007B730D"/>
    <w:rsid w:val="007C1587"/>
    <w:rsid w:val="007C628A"/>
    <w:rsid w:val="007D40DF"/>
    <w:rsid w:val="007D7D0C"/>
    <w:rsid w:val="007E515C"/>
    <w:rsid w:val="007E7E61"/>
    <w:rsid w:val="007F0845"/>
    <w:rsid w:val="007F6A9D"/>
    <w:rsid w:val="00807C82"/>
    <w:rsid w:val="0081041D"/>
    <w:rsid w:val="0081194A"/>
    <w:rsid w:val="00815775"/>
    <w:rsid w:val="00815C70"/>
    <w:rsid w:val="00816905"/>
    <w:rsid w:val="00821FF6"/>
    <w:rsid w:val="0082276D"/>
    <w:rsid w:val="00825C4D"/>
    <w:rsid w:val="008276BC"/>
    <w:rsid w:val="0083143E"/>
    <w:rsid w:val="00831CDE"/>
    <w:rsid w:val="00834304"/>
    <w:rsid w:val="00834FAA"/>
    <w:rsid w:val="00835208"/>
    <w:rsid w:val="008353FB"/>
    <w:rsid w:val="00836086"/>
    <w:rsid w:val="008441EA"/>
    <w:rsid w:val="0084708F"/>
    <w:rsid w:val="008477C8"/>
    <w:rsid w:val="0085114D"/>
    <w:rsid w:val="00852217"/>
    <w:rsid w:val="00852369"/>
    <w:rsid w:val="00852793"/>
    <w:rsid w:val="00853D5A"/>
    <w:rsid w:val="00855408"/>
    <w:rsid w:val="00856D65"/>
    <w:rsid w:val="00861123"/>
    <w:rsid w:val="0086184E"/>
    <w:rsid w:val="00861B41"/>
    <w:rsid w:val="00863434"/>
    <w:rsid w:val="00865E4C"/>
    <w:rsid w:val="008701E4"/>
    <w:rsid w:val="00872662"/>
    <w:rsid w:val="00875A32"/>
    <w:rsid w:val="00876086"/>
    <w:rsid w:val="008763DF"/>
    <w:rsid w:val="00881D7C"/>
    <w:rsid w:val="008873D4"/>
    <w:rsid w:val="00893E85"/>
    <w:rsid w:val="00894031"/>
    <w:rsid w:val="00894FB1"/>
    <w:rsid w:val="008A0A90"/>
    <w:rsid w:val="008A13AF"/>
    <w:rsid w:val="008A6E3A"/>
    <w:rsid w:val="008B7C02"/>
    <w:rsid w:val="008B7D2B"/>
    <w:rsid w:val="008C0049"/>
    <w:rsid w:val="008C0E88"/>
    <w:rsid w:val="008D1E6A"/>
    <w:rsid w:val="008D2A16"/>
    <w:rsid w:val="008E2C57"/>
    <w:rsid w:val="008E31FF"/>
    <w:rsid w:val="008E4A71"/>
    <w:rsid w:val="008E6EA1"/>
    <w:rsid w:val="008E6F06"/>
    <w:rsid w:val="008F029B"/>
    <w:rsid w:val="008F3FC9"/>
    <w:rsid w:val="008F585B"/>
    <w:rsid w:val="009003A8"/>
    <w:rsid w:val="009022DB"/>
    <w:rsid w:val="00902500"/>
    <w:rsid w:val="00902EFF"/>
    <w:rsid w:val="00906401"/>
    <w:rsid w:val="009069DD"/>
    <w:rsid w:val="0091155E"/>
    <w:rsid w:val="00912A92"/>
    <w:rsid w:val="0091461C"/>
    <w:rsid w:val="0091728D"/>
    <w:rsid w:val="0092180B"/>
    <w:rsid w:val="00921F14"/>
    <w:rsid w:val="00924AC8"/>
    <w:rsid w:val="0092597A"/>
    <w:rsid w:val="00925B46"/>
    <w:rsid w:val="00932443"/>
    <w:rsid w:val="00937AE2"/>
    <w:rsid w:val="009414C3"/>
    <w:rsid w:val="00943355"/>
    <w:rsid w:val="00943956"/>
    <w:rsid w:val="0094427A"/>
    <w:rsid w:val="0094462A"/>
    <w:rsid w:val="0095097B"/>
    <w:rsid w:val="00954BEF"/>
    <w:rsid w:val="00955616"/>
    <w:rsid w:val="00962800"/>
    <w:rsid w:val="00964E22"/>
    <w:rsid w:val="0096780E"/>
    <w:rsid w:val="0097432F"/>
    <w:rsid w:val="00974923"/>
    <w:rsid w:val="00974B67"/>
    <w:rsid w:val="009766D9"/>
    <w:rsid w:val="00980D3D"/>
    <w:rsid w:val="00987450"/>
    <w:rsid w:val="00987A30"/>
    <w:rsid w:val="00987A7C"/>
    <w:rsid w:val="00992CF3"/>
    <w:rsid w:val="009968D6"/>
    <w:rsid w:val="009A0113"/>
    <w:rsid w:val="009A1CAB"/>
    <w:rsid w:val="009A56DC"/>
    <w:rsid w:val="009A60D1"/>
    <w:rsid w:val="009B0E68"/>
    <w:rsid w:val="009B6EF0"/>
    <w:rsid w:val="009B6FD3"/>
    <w:rsid w:val="009B7AB3"/>
    <w:rsid w:val="009C1750"/>
    <w:rsid w:val="009C2E29"/>
    <w:rsid w:val="009C554B"/>
    <w:rsid w:val="009C6EB0"/>
    <w:rsid w:val="009C719E"/>
    <w:rsid w:val="009D3ACD"/>
    <w:rsid w:val="009D411F"/>
    <w:rsid w:val="009E5273"/>
    <w:rsid w:val="009E5DDB"/>
    <w:rsid w:val="009F4AAB"/>
    <w:rsid w:val="009F4CA7"/>
    <w:rsid w:val="009F77CC"/>
    <w:rsid w:val="009F7EF6"/>
    <w:rsid w:val="00A00211"/>
    <w:rsid w:val="00A0206A"/>
    <w:rsid w:val="00A10D66"/>
    <w:rsid w:val="00A11D98"/>
    <w:rsid w:val="00A1368C"/>
    <w:rsid w:val="00A14114"/>
    <w:rsid w:val="00A16413"/>
    <w:rsid w:val="00A23E43"/>
    <w:rsid w:val="00A30F65"/>
    <w:rsid w:val="00A32057"/>
    <w:rsid w:val="00A4000A"/>
    <w:rsid w:val="00A418BC"/>
    <w:rsid w:val="00A44374"/>
    <w:rsid w:val="00A465B5"/>
    <w:rsid w:val="00A46DE0"/>
    <w:rsid w:val="00A50D73"/>
    <w:rsid w:val="00A52CAD"/>
    <w:rsid w:val="00A53FC7"/>
    <w:rsid w:val="00A614C8"/>
    <w:rsid w:val="00A62CE1"/>
    <w:rsid w:val="00A64228"/>
    <w:rsid w:val="00A65F02"/>
    <w:rsid w:val="00A6741E"/>
    <w:rsid w:val="00A72AE3"/>
    <w:rsid w:val="00A75E40"/>
    <w:rsid w:val="00A77D1D"/>
    <w:rsid w:val="00A804E2"/>
    <w:rsid w:val="00A857C0"/>
    <w:rsid w:val="00A87EED"/>
    <w:rsid w:val="00AA2996"/>
    <w:rsid w:val="00AA3FB5"/>
    <w:rsid w:val="00AA52BF"/>
    <w:rsid w:val="00AA559A"/>
    <w:rsid w:val="00AA76C2"/>
    <w:rsid w:val="00AB120C"/>
    <w:rsid w:val="00AB1449"/>
    <w:rsid w:val="00AB2AF1"/>
    <w:rsid w:val="00AC5F80"/>
    <w:rsid w:val="00AD306C"/>
    <w:rsid w:val="00AE09B3"/>
    <w:rsid w:val="00AE1A83"/>
    <w:rsid w:val="00AE62C0"/>
    <w:rsid w:val="00AF6F2E"/>
    <w:rsid w:val="00B00913"/>
    <w:rsid w:val="00B01593"/>
    <w:rsid w:val="00B04A5C"/>
    <w:rsid w:val="00B10A4D"/>
    <w:rsid w:val="00B17E71"/>
    <w:rsid w:val="00B17FDE"/>
    <w:rsid w:val="00B224E2"/>
    <w:rsid w:val="00B2379C"/>
    <w:rsid w:val="00B260C8"/>
    <w:rsid w:val="00B2687D"/>
    <w:rsid w:val="00B30272"/>
    <w:rsid w:val="00B32DDB"/>
    <w:rsid w:val="00B34181"/>
    <w:rsid w:val="00B34465"/>
    <w:rsid w:val="00B34528"/>
    <w:rsid w:val="00B36D23"/>
    <w:rsid w:val="00B402FC"/>
    <w:rsid w:val="00B441A8"/>
    <w:rsid w:val="00B46604"/>
    <w:rsid w:val="00B46D74"/>
    <w:rsid w:val="00B530CD"/>
    <w:rsid w:val="00B55A2A"/>
    <w:rsid w:val="00B55F5E"/>
    <w:rsid w:val="00B5752E"/>
    <w:rsid w:val="00B619B4"/>
    <w:rsid w:val="00B63A11"/>
    <w:rsid w:val="00B64200"/>
    <w:rsid w:val="00B6433A"/>
    <w:rsid w:val="00B64C24"/>
    <w:rsid w:val="00B6608F"/>
    <w:rsid w:val="00B679FB"/>
    <w:rsid w:val="00B70E68"/>
    <w:rsid w:val="00B72195"/>
    <w:rsid w:val="00B76D1E"/>
    <w:rsid w:val="00B80EC6"/>
    <w:rsid w:val="00B92D1D"/>
    <w:rsid w:val="00B938C5"/>
    <w:rsid w:val="00B94FB9"/>
    <w:rsid w:val="00B95940"/>
    <w:rsid w:val="00B966DD"/>
    <w:rsid w:val="00BA0331"/>
    <w:rsid w:val="00BA121F"/>
    <w:rsid w:val="00BA1DE3"/>
    <w:rsid w:val="00BA36A1"/>
    <w:rsid w:val="00BB45DF"/>
    <w:rsid w:val="00BB46F3"/>
    <w:rsid w:val="00BB4CB1"/>
    <w:rsid w:val="00BB4F98"/>
    <w:rsid w:val="00BC7154"/>
    <w:rsid w:val="00BD24BE"/>
    <w:rsid w:val="00BD366B"/>
    <w:rsid w:val="00BD5067"/>
    <w:rsid w:val="00BD5439"/>
    <w:rsid w:val="00BD6D50"/>
    <w:rsid w:val="00BE18B9"/>
    <w:rsid w:val="00BE2495"/>
    <w:rsid w:val="00BE4E2C"/>
    <w:rsid w:val="00BE7929"/>
    <w:rsid w:val="00BE7A3A"/>
    <w:rsid w:val="00BF1578"/>
    <w:rsid w:val="00BF5046"/>
    <w:rsid w:val="00BF5D63"/>
    <w:rsid w:val="00C00F36"/>
    <w:rsid w:val="00C06D15"/>
    <w:rsid w:val="00C14866"/>
    <w:rsid w:val="00C17A2C"/>
    <w:rsid w:val="00C20901"/>
    <w:rsid w:val="00C21F94"/>
    <w:rsid w:val="00C27913"/>
    <w:rsid w:val="00C27ECC"/>
    <w:rsid w:val="00C31E92"/>
    <w:rsid w:val="00C323F3"/>
    <w:rsid w:val="00C33B68"/>
    <w:rsid w:val="00C36A79"/>
    <w:rsid w:val="00C405D4"/>
    <w:rsid w:val="00C4513B"/>
    <w:rsid w:val="00C5100F"/>
    <w:rsid w:val="00C511CE"/>
    <w:rsid w:val="00C528F2"/>
    <w:rsid w:val="00C54697"/>
    <w:rsid w:val="00C54C17"/>
    <w:rsid w:val="00C7069B"/>
    <w:rsid w:val="00C70E45"/>
    <w:rsid w:val="00C732F4"/>
    <w:rsid w:val="00C73885"/>
    <w:rsid w:val="00C747B1"/>
    <w:rsid w:val="00C82191"/>
    <w:rsid w:val="00C83562"/>
    <w:rsid w:val="00C83D6F"/>
    <w:rsid w:val="00C8480C"/>
    <w:rsid w:val="00C90CF4"/>
    <w:rsid w:val="00C9239B"/>
    <w:rsid w:val="00C92EB6"/>
    <w:rsid w:val="00C93389"/>
    <w:rsid w:val="00C968EC"/>
    <w:rsid w:val="00CA1DC3"/>
    <w:rsid w:val="00CA58AF"/>
    <w:rsid w:val="00CA5CD7"/>
    <w:rsid w:val="00CA7231"/>
    <w:rsid w:val="00CB4930"/>
    <w:rsid w:val="00CC2E7D"/>
    <w:rsid w:val="00CC4633"/>
    <w:rsid w:val="00CD10A5"/>
    <w:rsid w:val="00CD19A1"/>
    <w:rsid w:val="00CD2076"/>
    <w:rsid w:val="00CE02B0"/>
    <w:rsid w:val="00CE581D"/>
    <w:rsid w:val="00CE670B"/>
    <w:rsid w:val="00CF3B98"/>
    <w:rsid w:val="00CF51EC"/>
    <w:rsid w:val="00CF6D2E"/>
    <w:rsid w:val="00CF73AE"/>
    <w:rsid w:val="00CF7B32"/>
    <w:rsid w:val="00D01653"/>
    <w:rsid w:val="00D03933"/>
    <w:rsid w:val="00D040DD"/>
    <w:rsid w:val="00D13986"/>
    <w:rsid w:val="00D235B7"/>
    <w:rsid w:val="00D23F8C"/>
    <w:rsid w:val="00D25F28"/>
    <w:rsid w:val="00D27973"/>
    <w:rsid w:val="00D32094"/>
    <w:rsid w:val="00D34A1E"/>
    <w:rsid w:val="00D450D1"/>
    <w:rsid w:val="00D50F46"/>
    <w:rsid w:val="00D60E22"/>
    <w:rsid w:val="00D66223"/>
    <w:rsid w:val="00D67548"/>
    <w:rsid w:val="00D8084C"/>
    <w:rsid w:val="00D812A5"/>
    <w:rsid w:val="00D85A17"/>
    <w:rsid w:val="00DA7C0C"/>
    <w:rsid w:val="00DB2EC8"/>
    <w:rsid w:val="00DB3202"/>
    <w:rsid w:val="00DC18C2"/>
    <w:rsid w:val="00DC5B3B"/>
    <w:rsid w:val="00DC5EF2"/>
    <w:rsid w:val="00DD129F"/>
    <w:rsid w:val="00DF0884"/>
    <w:rsid w:val="00DF42FF"/>
    <w:rsid w:val="00DF76D8"/>
    <w:rsid w:val="00E01C0E"/>
    <w:rsid w:val="00E03F9A"/>
    <w:rsid w:val="00E04694"/>
    <w:rsid w:val="00E12B1E"/>
    <w:rsid w:val="00E142C3"/>
    <w:rsid w:val="00E142C8"/>
    <w:rsid w:val="00E17262"/>
    <w:rsid w:val="00E253A2"/>
    <w:rsid w:val="00E3309D"/>
    <w:rsid w:val="00E43E8D"/>
    <w:rsid w:val="00E50156"/>
    <w:rsid w:val="00E50AF9"/>
    <w:rsid w:val="00E53470"/>
    <w:rsid w:val="00E539F6"/>
    <w:rsid w:val="00E57F58"/>
    <w:rsid w:val="00E620A9"/>
    <w:rsid w:val="00E6519D"/>
    <w:rsid w:val="00E67696"/>
    <w:rsid w:val="00E70DFF"/>
    <w:rsid w:val="00E71A58"/>
    <w:rsid w:val="00E72A7A"/>
    <w:rsid w:val="00E75C94"/>
    <w:rsid w:val="00E81ECB"/>
    <w:rsid w:val="00E84E0E"/>
    <w:rsid w:val="00E86E8B"/>
    <w:rsid w:val="00E93820"/>
    <w:rsid w:val="00EA0C68"/>
    <w:rsid w:val="00EA12E2"/>
    <w:rsid w:val="00EA32BC"/>
    <w:rsid w:val="00EB135D"/>
    <w:rsid w:val="00EB3D7B"/>
    <w:rsid w:val="00EB4511"/>
    <w:rsid w:val="00EB4D8D"/>
    <w:rsid w:val="00EC03D7"/>
    <w:rsid w:val="00EC32CC"/>
    <w:rsid w:val="00EC5F34"/>
    <w:rsid w:val="00ED54C2"/>
    <w:rsid w:val="00ED62C6"/>
    <w:rsid w:val="00ED64C1"/>
    <w:rsid w:val="00EE0658"/>
    <w:rsid w:val="00EE173E"/>
    <w:rsid w:val="00EE3446"/>
    <w:rsid w:val="00EE3E78"/>
    <w:rsid w:val="00EE4B1B"/>
    <w:rsid w:val="00EF150D"/>
    <w:rsid w:val="00EF1F5A"/>
    <w:rsid w:val="00EF47BF"/>
    <w:rsid w:val="00EF717E"/>
    <w:rsid w:val="00F02847"/>
    <w:rsid w:val="00F04811"/>
    <w:rsid w:val="00F0488C"/>
    <w:rsid w:val="00F05F5E"/>
    <w:rsid w:val="00F10BBA"/>
    <w:rsid w:val="00F10F11"/>
    <w:rsid w:val="00F15AAA"/>
    <w:rsid w:val="00F15BEF"/>
    <w:rsid w:val="00F24407"/>
    <w:rsid w:val="00F24FAA"/>
    <w:rsid w:val="00F3086A"/>
    <w:rsid w:val="00F30F33"/>
    <w:rsid w:val="00F3364D"/>
    <w:rsid w:val="00F34506"/>
    <w:rsid w:val="00F3529F"/>
    <w:rsid w:val="00F37AB8"/>
    <w:rsid w:val="00F437CC"/>
    <w:rsid w:val="00F45774"/>
    <w:rsid w:val="00F47067"/>
    <w:rsid w:val="00F47424"/>
    <w:rsid w:val="00F525EB"/>
    <w:rsid w:val="00F53993"/>
    <w:rsid w:val="00F55783"/>
    <w:rsid w:val="00F57BD6"/>
    <w:rsid w:val="00F63DDE"/>
    <w:rsid w:val="00F63FB7"/>
    <w:rsid w:val="00F649D2"/>
    <w:rsid w:val="00F653EA"/>
    <w:rsid w:val="00F6602B"/>
    <w:rsid w:val="00F70F2A"/>
    <w:rsid w:val="00F7260E"/>
    <w:rsid w:val="00F73A0C"/>
    <w:rsid w:val="00F756DB"/>
    <w:rsid w:val="00F85066"/>
    <w:rsid w:val="00F85630"/>
    <w:rsid w:val="00F940C8"/>
    <w:rsid w:val="00F959EA"/>
    <w:rsid w:val="00FA1D8E"/>
    <w:rsid w:val="00FA5D4D"/>
    <w:rsid w:val="00FB0AB5"/>
    <w:rsid w:val="00FB0C23"/>
    <w:rsid w:val="00FB0EE2"/>
    <w:rsid w:val="00FB542E"/>
    <w:rsid w:val="00FC0E5F"/>
    <w:rsid w:val="00FC1A95"/>
    <w:rsid w:val="00FC2D21"/>
    <w:rsid w:val="00FC56DE"/>
    <w:rsid w:val="00FC684B"/>
    <w:rsid w:val="00FD3265"/>
    <w:rsid w:val="00FE12B1"/>
    <w:rsid w:val="00FE2F78"/>
    <w:rsid w:val="00FE313E"/>
    <w:rsid w:val="00FF7B9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79852989"/>
  <w15:docId w15:val="{7C090F07-1EA7-4351-8F1A-AB4A8474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rPr>
  </w:style>
  <w:style w:type="paragraph" w:styleId="Nadpis2">
    <w:name w:val="heading 2"/>
    <w:next w:val="Normln"/>
    <w:link w:val="Nadpis2Char"/>
    <w:uiPriority w:val="9"/>
    <w:qFormat/>
    <w:rsid w:val="004900FF"/>
    <w:pPr>
      <w:keepNext/>
      <w:keepLines/>
      <w:spacing w:line="288" w:lineRule="auto"/>
      <w:outlineLvl w:val="1"/>
    </w:pPr>
    <w:rPr>
      <w:rFonts w:ascii="Arial" w:eastAsia="MS Gothic" w:hAnsi="Arial"/>
      <w:b/>
      <w:bCs/>
      <w:color w:val="BC091B"/>
      <w:sz w:val="28"/>
      <w:szCs w:val="26"/>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lang w:bidi="ar-SA"/>
    </w:rPr>
  </w:style>
  <w:style w:type="character" w:customStyle="1" w:styleId="Nadpis2Char">
    <w:name w:val="Nadpis 2 Char"/>
    <w:link w:val="Nadpis2"/>
    <w:uiPriority w:val="9"/>
    <w:rsid w:val="004900FF"/>
    <w:rPr>
      <w:rFonts w:ascii="Arial" w:eastAsia="MS Gothic" w:hAnsi="Arial"/>
      <w:b/>
      <w:bCs/>
      <w:color w:val="BC091B"/>
      <w:sz w:val="28"/>
      <w:szCs w:val="26"/>
      <w:lang w:bidi="ar-SA"/>
    </w:rPr>
  </w:style>
  <w:style w:type="character" w:customStyle="1" w:styleId="Nadpis3Char">
    <w:name w:val="Nadpis 3 Char"/>
    <w:link w:val="Nadpis3"/>
    <w:uiPriority w:val="9"/>
    <w:rsid w:val="004900FF"/>
    <w:rPr>
      <w:rFonts w:ascii="Arial" w:eastAsia="MS Gothic" w:hAnsi="Arial"/>
      <w:b/>
      <w:bCs/>
      <w:color w:val="BC091B"/>
      <w:sz w:val="24"/>
      <w:szCs w:val="24"/>
      <w:lang w:bidi="ar-SA"/>
    </w:rPr>
  </w:style>
  <w:style w:type="character" w:customStyle="1" w:styleId="Nadpis4Char">
    <w:name w:val="Nadpis 4 Char"/>
    <w:link w:val="Nadpis4"/>
    <w:uiPriority w:val="9"/>
    <w:rsid w:val="004900FF"/>
    <w:rPr>
      <w:rFonts w:ascii="Arial" w:eastAsia="MS Gothic" w:hAnsi="Arial"/>
      <w:b/>
      <w:bCs/>
      <w:iCs/>
      <w:color w:val="BC091B"/>
      <w:szCs w:val="24"/>
      <w:lang w:bidi="ar-SA"/>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lang w:eastAsia="en-US"/>
    </w:rPr>
  </w:style>
  <w:style w:type="character" w:customStyle="1" w:styleId="ZhlavChar">
    <w:name w:val="Záhlaví Char"/>
    <w:link w:val="Zhlav"/>
    <w:uiPriority w:val="99"/>
    <w:rsid w:val="00A418BC"/>
    <w:rPr>
      <w:rFonts w:ascii="Arial" w:hAnsi="Arial"/>
      <w:sz w:val="16"/>
      <w:szCs w:val="22"/>
      <w:lang w:eastAsia="en-US" w:bidi="ar-SA"/>
    </w:rPr>
  </w:style>
  <w:style w:type="paragraph" w:styleId="Zpat">
    <w:name w:val="footer"/>
    <w:link w:val="ZpatChar"/>
    <w:uiPriority w:val="99"/>
    <w:unhideWhenUsed/>
    <w:qFormat/>
    <w:rsid w:val="00031AE0"/>
    <w:pPr>
      <w:tabs>
        <w:tab w:val="center" w:pos="4820"/>
        <w:tab w:val="right" w:pos="9639"/>
      </w:tabs>
    </w:pPr>
    <w:rPr>
      <w:rFonts w:ascii="Arial" w:hAnsi="Arial"/>
      <w:noProof/>
      <w:sz w:val="16"/>
      <w:lang w:eastAsia="en-US"/>
    </w:rPr>
  </w:style>
  <w:style w:type="character" w:customStyle="1" w:styleId="ZpatChar">
    <w:name w:val="Zápatí Char"/>
    <w:link w:val="Zpat"/>
    <w:uiPriority w:val="99"/>
    <w:rsid w:val="00031AE0"/>
    <w:rPr>
      <w:rFonts w:ascii="Arial" w:hAnsi="Arial"/>
      <w:noProof/>
      <w:sz w:val="16"/>
      <w:lang w:eastAsia="en-US" w:bidi="ar-SA"/>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olor w:val="000000"/>
      <w:szCs w:val="24"/>
    </w:rPr>
  </w:style>
  <w:style w:type="character" w:customStyle="1" w:styleId="ZkladnodstavecChar">
    <w:name w:val="[Základní odstavec] Char"/>
    <w:link w:val="Zkladnodstavec"/>
    <w:uiPriority w:val="99"/>
    <w:rsid w:val="0008263E"/>
    <w:rPr>
      <w:rFonts w:ascii="Arial" w:hAnsi="Arial"/>
      <w:color w:val="000000"/>
      <w:szCs w:val="24"/>
      <w:lang w:bidi="ar-SA"/>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rPr>
  </w:style>
  <w:style w:type="paragraph" w:customStyle="1" w:styleId="Box2">
    <w:name w:val="Box 2"/>
    <w:qFormat/>
    <w:rsid w:val="004900FF"/>
    <w:pPr>
      <w:spacing w:before="240" w:after="240" w:line="288" w:lineRule="auto"/>
      <w:ind w:left="709"/>
      <w:contextualSpacing/>
    </w:pPr>
    <w:rPr>
      <w:rFonts w:ascii="Arial" w:hAnsi="Arial" w:cs="Arial"/>
      <w:color w:val="BC091B"/>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rPr>
  </w:style>
  <w:style w:type="character" w:customStyle="1" w:styleId="NzevChar">
    <w:name w:val="Název Char"/>
    <w:link w:val="Nzev"/>
    <w:uiPriority w:val="10"/>
    <w:rsid w:val="004900FF"/>
    <w:rPr>
      <w:rFonts w:ascii="Arial" w:eastAsia="Times New Roman" w:hAnsi="Arial"/>
      <w:b/>
      <w:bCs/>
      <w:caps/>
      <w:color w:val="BC091B"/>
      <w:kern w:val="28"/>
      <w:sz w:val="56"/>
      <w:szCs w:val="32"/>
      <w:lang w:bidi="ar-SA"/>
    </w:rPr>
  </w:style>
  <w:style w:type="paragraph" w:styleId="Podnadpis">
    <w:name w:val="Subtitle"/>
    <w:link w:val="PodnadpisChar"/>
    <w:uiPriority w:val="11"/>
    <w:qFormat/>
    <w:rsid w:val="004900FF"/>
    <w:pPr>
      <w:spacing w:line="288" w:lineRule="auto"/>
    </w:pPr>
    <w:rPr>
      <w:rFonts w:ascii="Arial" w:eastAsia="Times New Roman" w:hAnsi="Arial"/>
      <w:b/>
      <w:color w:val="BC091B"/>
      <w:sz w:val="28"/>
      <w:szCs w:val="24"/>
    </w:rPr>
  </w:style>
  <w:style w:type="character" w:customStyle="1" w:styleId="PodnadpisChar">
    <w:name w:val="Podnadpis Char"/>
    <w:link w:val="Podnadpis"/>
    <w:uiPriority w:val="11"/>
    <w:rsid w:val="004900FF"/>
    <w:rPr>
      <w:rFonts w:ascii="Arial" w:eastAsia="Times New Roman" w:hAnsi="Arial"/>
      <w:b/>
      <w:color w:val="BC091B"/>
      <w:sz w:val="28"/>
      <w:szCs w:val="24"/>
      <w:lang w:bidi="ar-SA"/>
    </w:rPr>
  </w:style>
  <w:style w:type="paragraph" w:styleId="Textpoznpodarou">
    <w:name w:val="footnote text"/>
    <w:basedOn w:val="Normln"/>
    <w:link w:val="TextpoznpodarouChar"/>
    <w:unhideWhenUsed/>
    <w:rsid w:val="00C83D6F"/>
    <w:pPr>
      <w:spacing w:after="0" w:line="240" w:lineRule="auto"/>
    </w:pPr>
    <w:rPr>
      <w:rFonts w:ascii="Calibri" w:eastAsia="Calibri" w:hAnsi="Calibri"/>
      <w:szCs w:val="20"/>
      <w:lang w:eastAsia="en-US"/>
    </w:rPr>
  </w:style>
  <w:style w:type="character" w:customStyle="1" w:styleId="TextpoznpodarouChar">
    <w:name w:val="Text pozn. pod čarou Char"/>
    <w:link w:val="Textpoznpodarou"/>
    <w:rsid w:val="00C83D6F"/>
    <w:rPr>
      <w:rFonts w:ascii="Calibri" w:eastAsia="Calibri" w:hAnsi="Calibri" w:cs="Times New Roman"/>
      <w:lang w:eastAsia="en-US"/>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styleId="Znakapoznpodarou">
    <w:name w:val="footnote reference"/>
    <w:semiHidden/>
    <w:unhideWhenUsed/>
    <w:rsid w:val="00C83D6F"/>
    <w:rPr>
      <w:vertAlign w:val="superscript"/>
    </w:rPr>
  </w:style>
  <w:style w:type="character" w:styleId="Odkaznakoment">
    <w:name w:val="annotation reference"/>
    <w:uiPriority w:val="99"/>
    <w:semiHidden/>
    <w:unhideWhenUsed/>
    <w:rsid w:val="00C83D6F"/>
    <w:rPr>
      <w:sz w:val="16"/>
      <w:szCs w:val="16"/>
    </w:rPr>
  </w:style>
  <w:style w:type="paragraph" w:styleId="Textkomente">
    <w:name w:val="annotation text"/>
    <w:basedOn w:val="Normln"/>
    <w:link w:val="TextkomenteChar"/>
    <w:uiPriority w:val="99"/>
    <w:semiHidden/>
    <w:unhideWhenUsed/>
    <w:rsid w:val="00C83D6F"/>
    <w:pPr>
      <w:spacing w:after="200" w:line="240" w:lineRule="auto"/>
    </w:pPr>
    <w:rPr>
      <w:rFonts w:ascii="Calibri" w:eastAsia="Calibri" w:hAnsi="Calibri"/>
      <w:szCs w:val="20"/>
      <w:lang w:eastAsia="en-US"/>
    </w:rPr>
  </w:style>
  <w:style w:type="character" w:customStyle="1" w:styleId="TextkomenteChar">
    <w:name w:val="Text komentáře Char"/>
    <w:link w:val="Textkomente"/>
    <w:uiPriority w:val="99"/>
    <w:semiHidden/>
    <w:rsid w:val="00C83D6F"/>
    <w:rPr>
      <w:rFonts w:ascii="Calibri" w:eastAsia="Calibri" w:hAnsi="Calibri" w:cs="Times New Roman"/>
      <w:lang w:eastAsia="en-US"/>
    </w:rPr>
  </w:style>
  <w:style w:type="character" w:styleId="Sledovanodkaz">
    <w:name w:val="FollowedHyperlink"/>
    <w:uiPriority w:val="99"/>
    <w:semiHidden/>
    <w:unhideWhenUsed/>
    <w:rsid w:val="00F959EA"/>
    <w:rPr>
      <w:color w:val="800080"/>
      <w:u w:val="single"/>
    </w:rPr>
  </w:style>
  <w:style w:type="paragraph" w:styleId="Pedmtkomente">
    <w:name w:val="annotation subject"/>
    <w:basedOn w:val="Textkomente"/>
    <w:next w:val="Textkomente"/>
    <w:link w:val="PedmtkomenteChar"/>
    <w:uiPriority w:val="99"/>
    <w:semiHidden/>
    <w:unhideWhenUsed/>
    <w:rsid w:val="007D7D0C"/>
    <w:rPr>
      <w:b/>
      <w:bCs/>
    </w:rPr>
  </w:style>
  <w:style w:type="character" w:customStyle="1" w:styleId="PedmtkomenteChar">
    <w:name w:val="Předmět komentáře Char"/>
    <w:link w:val="Pedmtkomente"/>
    <w:uiPriority w:val="99"/>
    <w:semiHidden/>
    <w:rsid w:val="007D7D0C"/>
    <w:rPr>
      <w:rFonts w:ascii="Calibri" w:eastAsia="Calibri" w:hAnsi="Calibri" w:cs="Times New Roman"/>
      <w:b/>
      <w:bCs/>
      <w:lang w:eastAsia="en-US"/>
    </w:rPr>
  </w:style>
  <w:style w:type="paragraph" w:styleId="Odstavecseseznamem">
    <w:name w:val="List Paragraph"/>
    <w:basedOn w:val="Normln"/>
    <w:uiPriority w:val="34"/>
    <w:qFormat/>
    <w:rsid w:val="007D7D0C"/>
    <w:pPr>
      <w:spacing w:after="200" w:line="276" w:lineRule="auto"/>
      <w:ind w:left="720"/>
      <w:contextualSpacing/>
    </w:pPr>
    <w:rPr>
      <w:rFonts w:ascii="Calibri" w:eastAsia="Calibri" w:hAnsi="Calibri"/>
      <w:sz w:val="22"/>
      <w:szCs w:val="22"/>
      <w:lang w:eastAsia="en-US"/>
    </w:rPr>
  </w:style>
  <w:style w:type="paragraph" w:styleId="Normlnweb">
    <w:name w:val="Normal (Web)"/>
    <w:basedOn w:val="Normln"/>
    <w:uiPriority w:val="99"/>
    <w:unhideWhenUsed/>
    <w:rsid w:val="007D7D0C"/>
    <w:pPr>
      <w:spacing w:before="100" w:beforeAutospacing="1" w:after="100" w:afterAutospacing="1" w:line="240" w:lineRule="auto"/>
    </w:pPr>
    <w:rPr>
      <w:rFonts w:ascii="Times New Roman" w:hAnsi="Times New Roman"/>
      <w:sz w:val="24"/>
    </w:rPr>
  </w:style>
  <w:style w:type="character" w:styleId="Zdraznn">
    <w:name w:val="Emphasis"/>
    <w:uiPriority w:val="20"/>
    <w:qFormat/>
    <w:rsid w:val="007D7D0C"/>
    <w:rPr>
      <w:i/>
      <w:iCs/>
    </w:rPr>
  </w:style>
  <w:style w:type="character" w:customStyle="1" w:styleId="bold">
    <w:name w:val="bold"/>
    <w:basedOn w:val="Standardnpsmoodstavce"/>
    <w:rsid w:val="007D7D0C"/>
  </w:style>
  <w:style w:type="paragraph" w:customStyle="1" w:styleId="Default">
    <w:name w:val="Default"/>
    <w:rsid w:val="007D7D0C"/>
    <w:pPr>
      <w:autoSpaceDE w:val="0"/>
      <w:autoSpaceDN w:val="0"/>
      <w:adjustRightInd w:val="0"/>
    </w:pPr>
    <w:rPr>
      <w:rFonts w:ascii="Times New Roman" w:hAnsi="Times New Roman"/>
      <w:color w:val="000000"/>
      <w:sz w:val="24"/>
      <w:szCs w:val="24"/>
      <w:lang w:eastAsia="en-US"/>
    </w:rPr>
  </w:style>
  <w:style w:type="paragraph" w:customStyle="1" w:styleId="part-odstavec">
    <w:name w:val="part-odstavec"/>
    <w:basedOn w:val="Normln"/>
    <w:rsid w:val="007D7D0C"/>
    <w:pPr>
      <w:spacing w:before="100" w:beforeAutospacing="1" w:after="100" w:afterAutospacing="1" w:line="240" w:lineRule="auto"/>
    </w:pPr>
    <w:rPr>
      <w:rFonts w:ascii="Times New Roman" w:hAnsi="Times New Roman"/>
      <w:sz w:val="24"/>
    </w:rPr>
  </w:style>
  <w:style w:type="character" w:styleId="PromnnHTML">
    <w:name w:val="HTML Variable"/>
    <w:uiPriority w:val="99"/>
    <w:semiHidden/>
    <w:unhideWhenUsed/>
    <w:rsid w:val="007D7D0C"/>
    <w:rPr>
      <w:i/>
      <w:iCs/>
    </w:rPr>
  </w:style>
  <w:style w:type="character" w:customStyle="1" w:styleId="mw-headline">
    <w:name w:val="mw-headline"/>
    <w:basedOn w:val="Standardnpsmoodstavce"/>
    <w:rsid w:val="007D7D0C"/>
  </w:style>
  <w:style w:type="paragraph" w:customStyle="1" w:styleId="Zhlav1">
    <w:name w:val="Záhlaví 1"/>
    <w:basedOn w:val="Normln"/>
    <w:next w:val="Zhlav2"/>
    <w:rsid w:val="007D7D0C"/>
    <w:pPr>
      <w:spacing w:after="120" w:line="240" w:lineRule="auto"/>
      <w:jc w:val="center"/>
    </w:pPr>
    <w:rPr>
      <w:rFonts w:ascii="Times New Roman" w:eastAsia="Symbol" w:hAnsi="Times New Roman"/>
      <w:b/>
      <w:sz w:val="22"/>
      <w:szCs w:val="20"/>
    </w:rPr>
  </w:style>
  <w:style w:type="paragraph" w:customStyle="1" w:styleId="Zhlav2">
    <w:name w:val="Záhlaví 2"/>
    <w:basedOn w:val="Zhlav1"/>
    <w:rsid w:val="007D7D0C"/>
    <w:pPr>
      <w:spacing w:after="0"/>
    </w:pPr>
    <w:rPr>
      <w:sz w:val="26"/>
    </w:rPr>
  </w:style>
  <w:style w:type="character" w:customStyle="1" w:styleId="h1a2">
    <w:name w:val="h1a2"/>
    <w:rsid w:val="007D7D0C"/>
    <w:rPr>
      <w:vanish w:val="0"/>
      <w:webHidden w:val="0"/>
      <w:sz w:val="24"/>
      <w:szCs w:val="24"/>
      <w:specVanish w:val="0"/>
    </w:rPr>
  </w:style>
  <w:style w:type="paragraph" w:customStyle="1" w:styleId="para">
    <w:name w:val="para"/>
    <w:basedOn w:val="Normln"/>
    <w:rsid w:val="007D7D0C"/>
    <w:pPr>
      <w:spacing w:before="144" w:after="144" w:line="240" w:lineRule="auto"/>
    </w:pPr>
    <w:rPr>
      <w:rFonts w:ascii="Times New Roman" w:hAnsi="Times New Roman"/>
      <w:sz w:val="24"/>
    </w:rPr>
  </w:style>
  <w:style w:type="paragraph" w:styleId="Nadpisobsahu">
    <w:name w:val="TOC Heading"/>
    <w:basedOn w:val="Nadpis1"/>
    <w:next w:val="Normln"/>
    <w:uiPriority w:val="39"/>
    <w:semiHidden/>
    <w:unhideWhenUsed/>
    <w:qFormat/>
    <w:rsid w:val="004028DB"/>
    <w:pPr>
      <w:spacing w:before="480" w:after="0" w:line="276" w:lineRule="auto"/>
      <w:contextualSpacing w:val="0"/>
      <w:outlineLvl w:val="9"/>
    </w:pPr>
    <w:rPr>
      <w:rFonts w:ascii="Cambria" w:eastAsia="Times New Roman" w:hAnsi="Cambria"/>
      <w:color w:val="365F91"/>
      <w:sz w:val="28"/>
      <w:lang w:eastAsia="en-US"/>
    </w:rPr>
  </w:style>
  <w:style w:type="character" w:customStyle="1" w:styleId="shorttext">
    <w:name w:val="short_text"/>
    <w:basedOn w:val="Standardnpsmoodstavce"/>
    <w:rsid w:val="0073133B"/>
  </w:style>
  <w:style w:type="numbering" w:customStyle="1" w:styleId="Bezseznamu1">
    <w:name w:val="Bez seznamu1"/>
    <w:next w:val="Bezseznamu"/>
    <w:uiPriority w:val="99"/>
    <w:semiHidden/>
    <w:unhideWhenUsed/>
    <w:rsid w:val="00BA121F"/>
  </w:style>
  <w:style w:type="numbering" w:customStyle="1" w:styleId="Bezseznamu11">
    <w:name w:val="Bez seznamu11"/>
    <w:next w:val="Bezseznamu"/>
    <w:uiPriority w:val="99"/>
    <w:semiHidden/>
    <w:unhideWhenUsed/>
    <w:rsid w:val="00BA1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9916368">
      <w:bodyDiv w:val="1"/>
      <w:marLeft w:val="0"/>
      <w:marRight w:val="0"/>
      <w:marTop w:val="0"/>
      <w:marBottom w:val="0"/>
      <w:divBdr>
        <w:top w:val="none" w:sz="0" w:space="0" w:color="auto"/>
        <w:left w:val="none" w:sz="0" w:space="0" w:color="auto"/>
        <w:bottom w:val="none" w:sz="0" w:space="0" w:color="auto"/>
        <w:right w:val="none" w:sz="0" w:space="0" w:color="auto"/>
      </w:divBdr>
    </w:div>
    <w:div w:id="12004551">
      <w:bodyDiv w:val="1"/>
      <w:marLeft w:val="0"/>
      <w:marRight w:val="0"/>
      <w:marTop w:val="0"/>
      <w:marBottom w:val="0"/>
      <w:divBdr>
        <w:top w:val="none" w:sz="0" w:space="0" w:color="auto"/>
        <w:left w:val="none" w:sz="0" w:space="0" w:color="auto"/>
        <w:bottom w:val="none" w:sz="0" w:space="0" w:color="auto"/>
        <w:right w:val="none" w:sz="0" w:space="0" w:color="auto"/>
      </w:divBdr>
    </w:div>
    <w:div w:id="166755726">
      <w:bodyDiv w:val="1"/>
      <w:marLeft w:val="0"/>
      <w:marRight w:val="0"/>
      <w:marTop w:val="0"/>
      <w:marBottom w:val="0"/>
      <w:divBdr>
        <w:top w:val="none" w:sz="0" w:space="0" w:color="auto"/>
        <w:left w:val="none" w:sz="0" w:space="0" w:color="auto"/>
        <w:bottom w:val="none" w:sz="0" w:space="0" w:color="auto"/>
        <w:right w:val="none" w:sz="0" w:space="0" w:color="auto"/>
      </w:divBdr>
    </w:div>
    <w:div w:id="25482255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15963186">
      <w:bodyDiv w:val="1"/>
      <w:marLeft w:val="0"/>
      <w:marRight w:val="0"/>
      <w:marTop w:val="0"/>
      <w:marBottom w:val="0"/>
      <w:divBdr>
        <w:top w:val="none" w:sz="0" w:space="0" w:color="auto"/>
        <w:left w:val="none" w:sz="0" w:space="0" w:color="auto"/>
        <w:bottom w:val="none" w:sz="0" w:space="0" w:color="auto"/>
        <w:right w:val="none" w:sz="0" w:space="0" w:color="auto"/>
      </w:divBdr>
    </w:div>
    <w:div w:id="344553940">
      <w:bodyDiv w:val="1"/>
      <w:marLeft w:val="0"/>
      <w:marRight w:val="0"/>
      <w:marTop w:val="0"/>
      <w:marBottom w:val="0"/>
      <w:divBdr>
        <w:top w:val="none" w:sz="0" w:space="0" w:color="auto"/>
        <w:left w:val="none" w:sz="0" w:space="0" w:color="auto"/>
        <w:bottom w:val="none" w:sz="0" w:space="0" w:color="auto"/>
        <w:right w:val="none" w:sz="0" w:space="0" w:color="auto"/>
      </w:divBdr>
    </w:div>
    <w:div w:id="492987296">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535314289">
      <w:bodyDiv w:val="1"/>
      <w:marLeft w:val="0"/>
      <w:marRight w:val="0"/>
      <w:marTop w:val="0"/>
      <w:marBottom w:val="0"/>
      <w:divBdr>
        <w:top w:val="none" w:sz="0" w:space="0" w:color="auto"/>
        <w:left w:val="none" w:sz="0" w:space="0" w:color="auto"/>
        <w:bottom w:val="none" w:sz="0" w:space="0" w:color="auto"/>
        <w:right w:val="none" w:sz="0" w:space="0" w:color="auto"/>
      </w:divBdr>
    </w:div>
    <w:div w:id="611401507">
      <w:bodyDiv w:val="1"/>
      <w:marLeft w:val="0"/>
      <w:marRight w:val="0"/>
      <w:marTop w:val="0"/>
      <w:marBottom w:val="0"/>
      <w:divBdr>
        <w:top w:val="none" w:sz="0" w:space="0" w:color="auto"/>
        <w:left w:val="none" w:sz="0" w:space="0" w:color="auto"/>
        <w:bottom w:val="none" w:sz="0" w:space="0" w:color="auto"/>
        <w:right w:val="none" w:sz="0" w:space="0" w:color="auto"/>
      </w:divBdr>
    </w:div>
    <w:div w:id="616987796">
      <w:bodyDiv w:val="1"/>
      <w:marLeft w:val="0"/>
      <w:marRight w:val="0"/>
      <w:marTop w:val="0"/>
      <w:marBottom w:val="0"/>
      <w:divBdr>
        <w:top w:val="none" w:sz="0" w:space="0" w:color="auto"/>
        <w:left w:val="none" w:sz="0" w:space="0" w:color="auto"/>
        <w:bottom w:val="none" w:sz="0" w:space="0" w:color="auto"/>
        <w:right w:val="none" w:sz="0" w:space="0" w:color="auto"/>
      </w:divBdr>
    </w:div>
    <w:div w:id="66289987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696731671">
      <w:bodyDiv w:val="1"/>
      <w:marLeft w:val="0"/>
      <w:marRight w:val="0"/>
      <w:marTop w:val="0"/>
      <w:marBottom w:val="0"/>
      <w:divBdr>
        <w:top w:val="none" w:sz="0" w:space="0" w:color="auto"/>
        <w:left w:val="none" w:sz="0" w:space="0" w:color="auto"/>
        <w:bottom w:val="none" w:sz="0" w:space="0" w:color="auto"/>
        <w:right w:val="none" w:sz="0" w:space="0" w:color="auto"/>
      </w:divBdr>
    </w:div>
    <w:div w:id="773206935">
      <w:bodyDiv w:val="1"/>
      <w:marLeft w:val="0"/>
      <w:marRight w:val="0"/>
      <w:marTop w:val="0"/>
      <w:marBottom w:val="0"/>
      <w:divBdr>
        <w:top w:val="none" w:sz="0" w:space="0" w:color="auto"/>
        <w:left w:val="none" w:sz="0" w:space="0" w:color="auto"/>
        <w:bottom w:val="none" w:sz="0" w:space="0" w:color="auto"/>
        <w:right w:val="none" w:sz="0" w:space="0" w:color="auto"/>
      </w:divBdr>
    </w:div>
    <w:div w:id="807087330">
      <w:bodyDiv w:val="1"/>
      <w:marLeft w:val="0"/>
      <w:marRight w:val="0"/>
      <w:marTop w:val="0"/>
      <w:marBottom w:val="0"/>
      <w:divBdr>
        <w:top w:val="none" w:sz="0" w:space="0" w:color="auto"/>
        <w:left w:val="none" w:sz="0" w:space="0" w:color="auto"/>
        <w:bottom w:val="none" w:sz="0" w:space="0" w:color="auto"/>
        <w:right w:val="none" w:sz="0" w:space="0" w:color="auto"/>
      </w:divBdr>
    </w:div>
    <w:div w:id="879170166">
      <w:bodyDiv w:val="1"/>
      <w:marLeft w:val="0"/>
      <w:marRight w:val="0"/>
      <w:marTop w:val="0"/>
      <w:marBottom w:val="0"/>
      <w:divBdr>
        <w:top w:val="none" w:sz="0" w:space="0" w:color="auto"/>
        <w:left w:val="none" w:sz="0" w:space="0" w:color="auto"/>
        <w:bottom w:val="none" w:sz="0" w:space="0" w:color="auto"/>
        <w:right w:val="none" w:sz="0" w:space="0" w:color="auto"/>
      </w:divBdr>
    </w:div>
    <w:div w:id="936600120">
      <w:bodyDiv w:val="1"/>
      <w:marLeft w:val="0"/>
      <w:marRight w:val="0"/>
      <w:marTop w:val="0"/>
      <w:marBottom w:val="0"/>
      <w:divBdr>
        <w:top w:val="none" w:sz="0" w:space="0" w:color="auto"/>
        <w:left w:val="none" w:sz="0" w:space="0" w:color="auto"/>
        <w:bottom w:val="none" w:sz="0" w:space="0" w:color="auto"/>
        <w:right w:val="none" w:sz="0" w:space="0" w:color="auto"/>
      </w:divBdr>
    </w:div>
    <w:div w:id="959189711">
      <w:bodyDiv w:val="1"/>
      <w:marLeft w:val="0"/>
      <w:marRight w:val="0"/>
      <w:marTop w:val="0"/>
      <w:marBottom w:val="0"/>
      <w:divBdr>
        <w:top w:val="none" w:sz="0" w:space="0" w:color="auto"/>
        <w:left w:val="none" w:sz="0" w:space="0" w:color="auto"/>
        <w:bottom w:val="none" w:sz="0" w:space="0" w:color="auto"/>
        <w:right w:val="none" w:sz="0" w:space="0" w:color="auto"/>
      </w:divBdr>
    </w:div>
    <w:div w:id="1029254837">
      <w:bodyDiv w:val="1"/>
      <w:marLeft w:val="0"/>
      <w:marRight w:val="0"/>
      <w:marTop w:val="0"/>
      <w:marBottom w:val="0"/>
      <w:divBdr>
        <w:top w:val="none" w:sz="0" w:space="0" w:color="auto"/>
        <w:left w:val="none" w:sz="0" w:space="0" w:color="auto"/>
        <w:bottom w:val="none" w:sz="0" w:space="0" w:color="auto"/>
        <w:right w:val="none" w:sz="0" w:space="0" w:color="auto"/>
      </w:divBdr>
    </w:div>
    <w:div w:id="1114472426">
      <w:bodyDiv w:val="1"/>
      <w:marLeft w:val="0"/>
      <w:marRight w:val="0"/>
      <w:marTop w:val="0"/>
      <w:marBottom w:val="0"/>
      <w:divBdr>
        <w:top w:val="none" w:sz="0" w:space="0" w:color="auto"/>
        <w:left w:val="none" w:sz="0" w:space="0" w:color="auto"/>
        <w:bottom w:val="none" w:sz="0" w:space="0" w:color="auto"/>
        <w:right w:val="none" w:sz="0" w:space="0" w:color="auto"/>
      </w:divBdr>
    </w:div>
    <w:div w:id="1115127607">
      <w:bodyDiv w:val="1"/>
      <w:marLeft w:val="0"/>
      <w:marRight w:val="0"/>
      <w:marTop w:val="0"/>
      <w:marBottom w:val="0"/>
      <w:divBdr>
        <w:top w:val="none" w:sz="0" w:space="0" w:color="auto"/>
        <w:left w:val="none" w:sz="0" w:space="0" w:color="auto"/>
        <w:bottom w:val="none" w:sz="0" w:space="0" w:color="auto"/>
        <w:right w:val="none" w:sz="0" w:space="0" w:color="auto"/>
      </w:divBdr>
    </w:div>
    <w:div w:id="1146160896">
      <w:bodyDiv w:val="1"/>
      <w:marLeft w:val="0"/>
      <w:marRight w:val="0"/>
      <w:marTop w:val="0"/>
      <w:marBottom w:val="0"/>
      <w:divBdr>
        <w:top w:val="none" w:sz="0" w:space="0" w:color="auto"/>
        <w:left w:val="none" w:sz="0" w:space="0" w:color="auto"/>
        <w:bottom w:val="none" w:sz="0" w:space="0" w:color="auto"/>
        <w:right w:val="none" w:sz="0" w:space="0" w:color="auto"/>
      </w:divBdr>
    </w:div>
    <w:div w:id="1150712893">
      <w:bodyDiv w:val="1"/>
      <w:marLeft w:val="0"/>
      <w:marRight w:val="0"/>
      <w:marTop w:val="0"/>
      <w:marBottom w:val="0"/>
      <w:divBdr>
        <w:top w:val="none" w:sz="0" w:space="0" w:color="auto"/>
        <w:left w:val="none" w:sz="0" w:space="0" w:color="auto"/>
        <w:bottom w:val="none" w:sz="0" w:space="0" w:color="auto"/>
        <w:right w:val="none" w:sz="0" w:space="0" w:color="auto"/>
      </w:divBdr>
    </w:div>
    <w:div w:id="1198589016">
      <w:bodyDiv w:val="1"/>
      <w:marLeft w:val="0"/>
      <w:marRight w:val="0"/>
      <w:marTop w:val="0"/>
      <w:marBottom w:val="0"/>
      <w:divBdr>
        <w:top w:val="none" w:sz="0" w:space="0" w:color="auto"/>
        <w:left w:val="none" w:sz="0" w:space="0" w:color="auto"/>
        <w:bottom w:val="none" w:sz="0" w:space="0" w:color="auto"/>
        <w:right w:val="none" w:sz="0" w:space="0" w:color="auto"/>
      </w:divBdr>
      <w:divsChild>
        <w:div w:id="301544632">
          <w:marLeft w:val="0"/>
          <w:marRight w:val="0"/>
          <w:marTop w:val="0"/>
          <w:marBottom w:val="0"/>
          <w:divBdr>
            <w:top w:val="none" w:sz="0" w:space="0" w:color="auto"/>
            <w:left w:val="none" w:sz="0" w:space="0" w:color="auto"/>
            <w:bottom w:val="none" w:sz="0" w:space="0" w:color="auto"/>
            <w:right w:val="none" w:sz="0" w:space="0" w:color="auto"/>
          </w:divBdr>
        </w:div>
        <w:div w:id="272203355">
          <w:marLeft w:val="0"/>
          <w:marRight w:val="0"/>
          <w:marTop w:val="0"/>
          <w:marBottom w:val="0"/>
          <w:divBdr>
            <w:top w:val="none" w:sz="0" w:space="0" w:color="auto"/>
            <w:left w:val="none" w:sz="0" w:space="0" w:color="auto"/>
            <w:bottom w:val="none" w:sz="0" w:space="0" w:color="auto"/>
            <w:right w:val="none" w:sz="0" w:space="0" w:color="auto"/>
          </w:divBdr>
          <w:divsChild>
            <w:div w:id="329526809">
              <w:marLeft w:val="0"/>
              <w:marRight w:val="0"/>
              <w:marTop w:val="0"/>
              <w:marBottom w:val="0"/>
              <w:divBdr>
                <w:top w:val="none" w:sz="0" w:space="0" w:color="auto"/>
                <w:left w:val="none" w:sz="0" w:space="0" w:color="auto"/>
                <w:bottom w:val="none" w:sz="0" w:space="0" w:color="auto"/>
                <w:right w:val="none" w:sz="0" w:space="0" w:color="auto"/>
              </w:divBdr>
              <w:divsChild>
                <w:div w:id="44917577">
                  <w:marLeft w:val="0"/>
                  <w:marRight w:val="0"/>
                  <w:marTop w:val="0"/>
                  <w:marBottom w:val="0"/>
                  <w:divBdr>
                    <w:top w:val="none" w:sz="0" w:space="0" w:color="auto"/>
                    <w:left w:val="none" w:sz="0" w:space="0" w:color="auto"/>
                    <w:bottom w:val="none" w:sz="0" w:space="0" w:color="auto"/>
                    <w:right w:val="none" w:sz="0" w:space="0" w:color="auto"/>
                  </w:divBdr>
                  <w:divsChild>
                    <w:div w:id="513959536">
                      <w:marLeft w:val="0"/>
                      <w:marRight w:val="0"/>
                      <w:marTop w:val="0"/>
                      <w:marBottom w:val="0"/>
                      <w:divBdr>
                        <w:top w:val="none" w:sz="0" w:space="0" w:color="auto"/>
                        <w:left w:val="none" w:sz="0" w:space="0" w:color="auto"/>
                        <w:bottom w:val="none" w:sz="0" w:space="0" w:color="auto"/>
                        <w:right w:val="none" w:sz="0" w:space="0" w:color="auto"/>
                      </w:divBdr>
                      <w:divsChild>
                        <w:div w:id="44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559132">
          <w:marLeft w:val="0"/>
          <w:marRight w:val="0"/>
          <w:marTop w:val="0"/>
          <w:marBottom w:val="0"/>
          <w:divBdr>
            <w:top w:val="none" w:sz="0" w:space="0" w:color="auto"/>
            <w:left w:val="none" w:sz="0" w:space="0" w:color="auto"/>
            <w:bottom w:val="none" w:sz="0" w:space="0" w:color="auto"/>
            <w:right w:val="none" w:sz="0" w:space="0" w:color="auto"/>
          </w:divBdr>
          <w:divsChild>
            <w:div w:id="59450436">
              <w:marLeft w:val="0"/>
              <w:marRight w:val="0"/>
              <w:marTop w:val="0"/>
              <w:marBottom w:val="0"/>
              <w:divBdr>
                <w:top w:val="none" w:sz="0" w:space="0" w:color="auto"/>
                <w:left w:val="none" w:sz="0" w:space="0" w:color="auto"/>
                <w:bottom w:val="none" w:sz="0" w:space="0" w:color="auto"/>
                <w:right w:val="none" w:sz="0" w:space="0" w:color="auto"/>
              </w:divBdr>
              <w:divsChild>
                <w:div w:id="1129054712">
                  <w:marLeft w:val="0"/>
                  <w:marRight w:val="0"/>
                  <w:marTop w:val="0"/>
                  <w:marBottom w:val="0"/>
                  <w:divBdr>
                    <w:top w:val="none" w:sz="0" w:space="0" w:color="auto"/>
                    <w:left w:val="none" w:sz="0" w:space="0" w:color="auto"/>
                    <w:bottom w:val="none" w:sz="0" w:space="0" w:color="auto"/>
                    <w:right w:val="none" w:sz="0" w:space="0" w:color="auto"/>
                  </w:divBdr>
                  <w:divsChild>
                    <w:div w:id="1533229959">
                      <w:marLeft w:val="0"/>
                      <w:marRight w:val="0"/>
                      <w:marTop w:val="0"/>
                      <w:marBottom w:val="0"/>
                      <w:divBdr>
                        <w:top w:val="none" w:sz="0" w:space="0" w:color="auto"/>
                        <w:left w:val="none" w:sz="0" w:space="0" w:color="auto"/>
                        <w:bottom w:val="none" w:sz="0" w:space="0" w:color="auto"/>
                        <w:right w:val="none" w:sz="0" w:space="0" w:color="auto"/>
                      </w:divBdr>
                      <w:divsChild>
                        <w:div w:id="1544556521">
                          <w:marLeft w:val="0"/>
                          <w:marRight w:val="0"/>
                          <w:marTop w:val="0"/>
                          <w:marBottom w:val="0"/>
                          <w:divBdr>
                            <w:top w:val="none" w:sz="0" w:space="0" w:color="auto"/>
                            <w:left w:val="none" w:sz="0" w:space="0" w:color="auto"/>
                            <w:bottom w:val="none" w:sz="0" w:space="0" w:color="auto"/>
                            <w:right w:val="none" w:sz="0" w:space="0" w:color="auto"/>
                          </w:divBdr>
                          <w:divsChild>
                            <w:div w:id="32833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36098906">
      <w:bodyDiv w:val="1"/>
      <w:marLeft w:val="0"/>
      <w:marRight w:val="0"/>
      <w:marTop w:val="0"/>
      <w:marBottom w:val="0"/>
      <w:divBdr>
        <w:top w:val="none" w:sz="0" w:space="0" w:color="auto"/>
        <w:left w:val="none" w:sz="0" w:space="0" w:color="auto"/>
        <w:bottom w:val="none" w:sz="0" w:space="0" w:color="auto"/>
        <w:right w:val="none" w:sz="0" w:space="0" w:color="auto"/>
      </w:divBdr>
    </w:div>
    <w:div w:id="1438405591">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494419697">
      <w:bodyDiv w:val="1"/>
      <w:marLeft w:val="0"/>
      <w:marRight w:val="0"/>
      <w:marTop w:val="0"/>
      <w:marBottom w:val="0"/>
      <w:divBdr>
        <w:top w:val="none" w:sz="0" w:space="0" w:color="auto"/>
        <w:left w:val="none" w:sz="0" w:space="0" w:color="auto"/>
        <w:bottom w:val="none" w:sz="0" w:space="0" w:color="auto"/>
        <w:right w:val="none" w:sz="0" w:space="0" w:color="auto"/>
      </w:divBdr>
    </w:div>
    <w:div w:id="1508982702">
      <w:bodyDiv w:val="1"/>
      <w:marLeft w:val="0"/>
      <w:marRight w:val="0"/>
      <w:marTop w:val="0"/>
      <w:marBottom w:val="0"/>
      <w:divBdr>
        <w:top w:val="none" w:sz="0" w:space="0" w:color="auto"/>
        <w:left w:val="none" w:sz="0" w:space="0" w:color="auto"/>
        <w:bottom w:val="none" w:sz="0" w:space="0" w:color="auto"/>
        <w:right w:val="none" w:sz="0" w:space="0" w:color="auto"/>
      </w:divBdr>
    </w:div>
    <w:div w:id="1509061286">
      <w:bodyDiv w:val="1"/>
      <w:marLeft w:val="0"/>
      <w:marRight w:val="0"/>
      <w:marTop w:val="0"/>
      <w:marBottom w:val="0"/>
      <w:divBdr>
        <w:top w:val="none" w:sz="0" w:space="0" w:color="auto"/>
        <w:left w:val="none" w:sz="0" w:space="0" w:color="auto"/>
        <w:bottom w:val="none" w:sz="0" w:space="0" w:color="auto"/>
        <w:right w:val="none" w:sz="0" w:space="0" w:color="auto"/>
      </w:divBdr>
    </w:div>
    <w:div w:id="1586576392">
      <w:bodyDiv w:val="1"/>
      <w:marLeft w:val="0"/>
      <w:marRight w:val="0"/>
      <w:marTop w:val="0"/>
      <w:marBottom w:val="0"/>
      <w:divBdr>
        <w:top w:val="none" w:sz="0" w:space="0" w:color="auto"/>
        <w:left w:val="none" w:sz="0" w:space="0" w:color="auto"/>
        <w:bottom w:val="none" w:sz="0" w:space="0" w:color="auto"/>
        <w:right w:val="none" w:sz="0" w:space="0" w:color="auto"/>
      </w:divBdr>
    </w:div>
    <w:div w:id="1653679887">
      <w:bodyDiv w:val="1"/>
      <w:marLeft w:val="0"/>
      <w:marRight w:val="0"/>
      <w:marTop w:val="0"/>
      <w:marBottom w:val="0"/>
      <w:divBdr>
        <w:top w:val="none" w:sz="0" w:space="0" w:color="auto"/>
        <w:left w:val="none" w:sz="0" w:space="0" w:color="auto"/>
        <w:bottom w:val="none" w:sz="0" w:space="0" w:color="auto"/>
        <w:right w:val="none" w:sz="0" w:space="0" w:color="auto"/>
      </w:divBdr>
    </w:div>
    <w:div w:id="1707367122">
      <w:bodyDiv w:val="1"/>
      <w:marLeft w:val="0"/>
      <w:marRight w:val="0"/>
      <w:marTop w:val="0"/>
      <w:marBottom w:val="0"/>
      <w:divBdr>
        <w:top w:val="none" w:sz="0" w:space="0" w:color="auto"/>
        <w:left w:val="none" w:sz="0" w:space="0" w:color="auto"/>
        <w:bottom w:val="none" w:sz="0" w:space="0" w:color="auto"/>
        <w:right w:val="none" w:sz="0" w:space="0" w:color="auto"/>
      </w:divBdr>
    </w:div>
    <w:div w:id="1733693451">
      <w:bodyDiv w:val="1"/>
      <w:marLeft w:val="0"/>
      <w:marRight w:val="0"/>
      <w:marTop w:val="0"/>
      <w:marBottom w:val="0"/>
      <w:divBdr>
        <w:top w:val="none" w:sz="0" w:space="0" w:color="auto"/>
        <w:left w:val="none" w:sz="0" w:space="0" w:color="auto"/>
        <w:bottom w:val="none" w:sz="0" w:space="0" w:color="auto"/>
        <w:right w:val="none" w:sz="0" w:space="0" w:color="auto"/>
      </w:divBdr>
    </w:div>
    <w:div w:id="1742829607">
      <w:bodyDiv w:val="1"/>
      <w:marLeft w:val="0"/>
      <w:marRight w:val="0"/>
      <w:marTop w:val="0"/>
      <w:marBottom w:val="0"/>
      <w:divBdr>
        <w:top w:val="none" w:sz="0" w:space="0" w:color="auto"/>
        <w:left w:val="none" w:sz="0" w:space="0" w:color="auto"/>
        <w:bottom w:val="none" w:sz="0" w:space="0" w:color="auto"/>
        <w:right w:val="none" w:sz="0" w:space="0" w:color="auto"/>
      </w:divBdr>
    </w:div>
    <w:div w:id="1760247003">
      <w:bodyDiv w:val="1"/>
      <w:marLeft w:val="0"/>
      <w:marRight w:val="0"/>
      <w:marTop w:val="0"/>
      <w:marBottom w:val="0"/>
      <w:divBdr>
        <w:top w:val="none" w:sz="0" w:space="0" w:color="auto"/>
        <w:left w:val="none" w:sz="0" w:space="0" w:color="auto"/>
        <w:bottom w:val="none" w:sz="0" w:space="0" w:color="auto"/>
        <w:right w:val="none" w:sz="0" w:space="0" w:color="auto"/>
      </w:divBdr>
    </w:div>
    <w:div w:id="1867476660">
      <w:bodyDiv w:val="1"/>
      <w:marLeft w:val="0"/>
      <w:marRight w:val="0"/>
      <w:marTop w:val="0"/>
      <w:marBottom w:val="0"/>
      <w:divBdr>
        <w:top w:val="none" w:sz="0" w:space="0" w:color="auto"/>
        <w:left w:val="none" w:sz="0" w:space="0" w:color="auto"/>
        <w:bottom w:val="none" w:sz="0" w:space="0" w:color="auto"/>
        <w:right w:val="none" w:sz="0" w:space="0" w:color="auto"/>
      </w:divBdr>
    </w:div>
    <w:div w:id="1869415947">
      <w:bodyDiv w:val="1"/>
      <w:marLeft w:val="0"/>
      <w:marRight w:val="0"/>
      <w:marTop w:val="0"/>
      <w:marBottom w:val="0"/>
      <w:divBdr>
        <w:top w:val="none" w:sz="0" w:space="0" w:color="auto"/>
        <w:left w:val="none" w:sz="0" w:space="0" w:color="auto"/>
        <w:bottom w:val="none" w:sz="0" w:space="0" w:color="auto"/>
        <w:right w:val="none" w:sz="0" w:space="0" w:color="auto"/>
      </w:divBdr>
    </w:div>
    <w:div w:id="1878737316">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893619483">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 w:id="2121148401">
      <w:bodyDiv w:val="1"/>
      <w:marLeft w:val="0"/>
      <w:marRight w:val="0"/>
      <w:marTop w:val="0"/>
      <w:marBottom w:val="0"/>
      <w:divBdr>
        <w:top w:val="none" w:sz="0" w:space="0" w:color="auto"/>
        <w:left w:val="none" w:sz="0" w:space="0" w:color="auto"/>
        <w:bottom w:val="none" w:sz="0" w:space="0" w:color="auto"/>
        <w:right w:val="none" w:sz="0" w:space="0" w:color="auto"/>
      </w:divBdr>
    </w:div>
    <w:div w:id="2121949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msmt.cz/uploads/legislativa/2002_109.pdf" TargetMode="External"/><Relationship Id="rId18" Type="http://schemas.openxmlformats.org/officeDocument/2006/relationships/hyperlink" Target="http://stistko.uiv.cz/katalog/ciselnik.asp?aac=kkov&amp;aak=&amp;zrs=&amp;vybr=Zobraz+vybran%E9" TargetMode="External"/><Relationship Id="rId26" Type="http://schemas.openxmlformats.org/officeDocument/2006/relationships/hyperlink" Target="http://www.msmt.cz/file/19743" TargetMode="External"/><Relationship Id="rId39" Type="http://schemas.openxmlformats.org/officeDocument/2006/relationships/hyperlink" Target="http://www.msmt.cz/file/19743" TargetMode="External"/><Relationship Id="rId21" Type="http://schemas.openxmlformats.org/officeDocument/2006/relationships/hyperlink" Target="http://www.msmt.cz/vzdelavani/vysoke-skolstvi/legislativa" TargetMode="External"/><Relationship Id="rId34" Type="http://schemas.openxmlformats.org/officeDocument/2006/relationships/hyperlink" Target="http://www.msmt.cz/uploads/legislativa/2002_109.pdf"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smt.cz/vzdelavani/vysoke-skolstvi/legislativa" TargetMode="External"/><Relationship Id="rId29" Type="http://schemas.openxmlformats.org/officeDocument/2006/relationships/hyperlink" Target="http://www.msmt.cz/file/197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mt.cz/file/19743" TargetMode="External"/><Relationship Id="rId24" Type="http://schemas.openxmlformats.org/officeDocument/2006/relationships/hyperlink" Target="http://www.msmt.cz/file/19743" TargetMode="External"/><Relationship Id="rId32" Type="http://schemas.openxmlformats.org/officeDocument/2006/relationships/hyperlink" Target="http://www.statistikaamy.cz/2016/05/vzdelavani-zaku-se-specialnimi-potrebami/" TargetMode="External"/><Relationship Id="rId37" Type="http://schemas.openxmlformats.org/officeDocument/2006/relationships/hyperlink" Target="http://www.msmt.cz/file/19743" TargetMode="External"/><Relationship Id="rId40" Type="http://schemas.openxmlformats.org/officeDocument/2006/relationships/hyperlink" Target="https://www.zakonyprolidi.cz/cs/2004-56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smt.cz/file/19743" TargetMode="External"/><Relationship Id="rId23" Type="http://schemas.openxmlformats.org/officeDocument/2006/relationships/hyperlink" Target="http://www.msmt.cz/file/19743" TargetMode="External"/><Relationship Id="rId28" Type="http://schemas.openxmlformats.org/officeDocument/2006/relationships/hyperlink" Target="http://www.msmt.cz/file/19743" TargetMode="External"/><Relationship Id="rId36" Type="http://schemas.openxmlformats.org/officeDocument/2006/relationships/hyperlink" Target="http://www.msmt.cz/file/19743" TargetMode="External"/><Relationship Id="rId10" Type="http://schemas.openxmlformats.org/officeDocument/2006/relationships/hyperlink" Target="http://www.msmt.cz/file/19743" TargetMode="External"/><Relationship Id="rId19" Type="http://schemas.openxmlformats.org/officeDocument/2006/relationships/hyperlink" Target="http://www.msmt.cz/file/19743" TargetMode="External"/><Relationship Id="rId31" Type="http://schemas.openxmlformats.org/officeDocument/2006/relationships/hyperlink" Target="http://zakony.centrum.cz/skolsky-zakon/cast-1-paragraf-16"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smt.cz/file/19743" TargetMode="External"/><Relationship Id="rId14" Type="http://schemas.openxmlformats.org/officeDocument/2006/relationships/hyperlink" Target="http://www.msmt.cz/uploads/legislativa/2002_109.pdf" TargetMode="External"/><Relationship Id="rId22" Type="http://schemas.openxmlformats.org/officeDocument/2006/relationships/hyperlink" Target="http://www.msmt.cz/file/19743" TargetMode="External"/><Relationship Id="rId27" Type="http://schemas.openxmlformats.org/officeDocument/2006/relationships/hyperlink" Target="http://www.msmt.cz/file/19743" TargetMode="External"/><Relationship Id="rId30" Type="http://schemas.openxmlformats.org/officeDocument/2006/relationships/hyperlink" Target="http://www.msmt.cz/file/19743" TargetMode="External"/><Relationship Id="rId35" Type="http://schemas.openxmlformats.org/officeDocument/2006/relationships/hyperlink" Target="http://www.msmt.cz/vzdelavani/vysoke-skolstvi/legislativa" TargetMode="External"/><Relationship Id="rId43" Type="http://schemas.openxmlformats.org/officeDocument/2006/relationships/footer" Target="footer1.xml"/><Relationship Id="rId8" Type="http://schemas.openxmlformats.org/officeDocument/2006/relationships/hyperlink" Target="http://www.msmt.cz/vzdelavani/vysoke-skolstvi/legislativa" TargetMode="External"/><Relationship Id="rId3" Type="http://schemas.openxmlformats.org/officeDocument/2006/relationships/styles" Target="styles.xml"/><Relationship Id="rId12" Type="http://schemas.openxmlformats.org/officeDocument/2006/relationships/hyperlink" Target="http://www.msmt.cz/uploads/legislativa/2002_109.pdf" TargetMode="External"/><Relationship Id="rId17" Type="http://schemas.openxmlformats.org/officeDocument/2006/relationships/hyperlink" Target="http://www.msmt.cz/vzdelavani/vysoke-skolstvi/legislativa" TargetMode="External"/><Relationship Id="rId25" Type="http://schemas.openxmlformats.org/officeDocument/2006/relationships/hyperlink" Target="http://www.msmt.cz/file/13234" TargetMode="External"/><Relationship Id="rId33" Type="http://schemas.openxmlformats.org/officeDocument/2006/relationships/hyperlink" Target="http://www.msmt.cz/vzdelavani/vysoke-skolstvi/legislativa" TargetMode="External"/><Relationship Id="rId38" Type="http://schemas.openxmlformats.org/officeDocument/2006/relationships/hyperlink" Target="http://www.msmt.cz/file/19743" TargetMode="External"/><Relationship Id="rId46" Type="http://schemas.openxmlformats.org/officeDocument/2006/relationships/theme" Target="theme/theme1.xml"/><Relationship Id="rId20" Type="http://schemas.openxmlformats.org/officeDocument/2006/relationships/hyperlink" Target="http://www.msmt.cz/file/13234_1_1/" TargetMode="External"/><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ALO~1\AppData\Local\Temp\Publikace%20bar%20CZ_lide%20a%20spolecnost_2016-03-29.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E4F0E-C517-4BAF-A4CA-F8C357E7A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CZ_lide a spolecnost_2016-03-29.dot</Template>
  <TotalTime>1</TotalTime>
  <Pages>1</Pages>
  <Words>5912</Words>
  <Characters>34886</Characters>
  <Application>Microsoft Office Word</Application>
  <DocSecurity>0</DocSecurity>
  <Lines>290</Lines>
  <Paragraphs>81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40717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pubalova6594</dc:creator>
  <cp:lastModifiedBy>Adriana Ondrušová</cp:lastModifiedBy>
  <cp:revision>4</cp:revision>
  <cp:lastPrinted>2018-08-14T09:15:00Z</cp:lastPrinted>
  <dcterms:created xsi:type="dcterms:W3CDTF">2019-08-22T12:29:00Z</dcterms:created>
  <dcterms:modified xsi:type="dcterms:W3CDTF">2019-08-22T12:30:00Z</dcterms:modified>
</cp:coreProperties>
</file>