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19C" w:rsidRPr="00526D50" w:rsidRDefault="005C419C" w:rsidP="005C419C">
      <w:pPr>
        <w:pStyle w:val="Textpoznpodarou"/>
        <w:jc w:val="both"/>
        <w:rPr>
          <w:rFonts w:cs="Arial"/>
          <w:color w:val="000000"/>
          <w:spacing w:val="-2"/>
          <w:sz w:val="4"/>
          <w:szCs w:val="4"/>
        </w:rPr>
      </w:pPr>
    </w:p>
    <w:p w:rsidR="0036710C" w:rsidRPr="0036710C" w:rsidRDefault="0036710C" w:rsidP="00D94859">
      <w:pPr>
        <w:rPr>
          <w:sz w:val="2"/>
          <w:szCs w:val="2"/>
          <w:lang w:eastAsia="ar-SA"/>
        </w:rPr>
      </w:pPr>
    </w:p>
    <w:p w:rsidR="00DD0726" w:rsidRPr="008E5E90" w:rsidRDefault="00DD0726" w:rsidP="00647CB0">
      <w:pPr>
        <w:pStyle w:val="Nadpis1"/>
        <w:numPr>
          <w:ilvl w:val="0"/>
          <w:numId w:val="25"/>
        </w:numPr>
        <w:jc w:val="both"/>
        <w:rPr>
          <w:lang w:val="en-GB"/>
        </w:rPr>
      </w:pPr>
      <w:bookmarkStart w:id="0" w:name="_Toc469299935"/>
      <w:bookmarkStart w:id="1" w:name="_Toc493683639"/>
      <w:r w:rsidRPr="008E5E90">
        <w:rPr>
          <w:lang w:val="en-GB"/>
        </w:rPr>
        <w:t>M</w:t>
      </w:r>
      <w:r w:rsidR="008E5E90" w:rsidRPr="008E5E90">
        <w:rPr>
          <w:lang w:val="en-GB"/>
        </w:rPr>
        <w:t>onetary Conditions</w:t>
      </w:r>
      <w:bookmarkEnd w:id="0"/>
      <w:bookmarkEnd w:id="1"/>
    </w:p>
    <w:tbl>
      <w:tblPr>
        <w:tblW w:w="4995" w:type="pct"/>
        <w:tblInd w:w="108" w:type="dxa"/>
        <w:tblLayout w:type="fixed"/>
        <w:tblLook w:val="00A0"/>
      </w:tblPr>
      <w:tblGrid>
        <w:gridCol w:w="2000"/>
        <w:gridCol w:w="284"/>
        <w:gridCol w:w="1118"/>
        <w:gridCol w:w="6442"/>
      </w:tblGrid>
      <w:tr w:rsidR="009B0676" w:rsidRPr="008E5E90" w:rsidTr="009B0676">
        <w:trPr>
          <w:trHeight w:val="145"/>
        </w:trPr>
        <w:tc>
          <w:tcPr>
            <w:tcW w:w="1016" w:type="pct"/>
          </w:tcPr>
          <w:p w:rsidR="009B0676" w:rsidRPr="008E5E90" w:rsidRDefault="008E5E90" w:rsidP="006E4368">
            <w:pPr>
              <w:spacing w:line="240" w:lineRule="auto"/>
              <w:rPr>
                <w:color w:val="000000" w:themeColor="text1"/>
                <w:sz w:val="16"/>
                <w:szCs w:val="16"/>
                <w:highlight w:val="yellow"/>
                <w:lang w:val="en-GB"/>
              </w:rPr>
            </w:pPr>
            <w:r>
              <w:rPr>
                <w:color w:val="000000" w:themeColor="text1"/>
                <w:sz w:val="16"/>
                <w:szCs w:val="16"/>
                <w:lang w:val="en-GB"/>
              </w:rPr>
              <w:t xml:space="preserve">Since the April termination of the regime of </w:t>
            </w:r>
            <w:proofErr w:type="spellStart"/>
            <w:r w:rsidR="00604CF7">
              <w:rPr>
                <w:color w:val="000000" w:themeColor="text1"/>
                <w:sz w:val="16"/>
                <w:szCs w:val="16"/>
                <w:lang w:val="en-GB"/>
              </w:rPr>
              <w:t>forex</w:t>
            </w:r>
            <w:proofErr w:type="spellEnd"/>
            <w:r w:rsidR="00604CF7">
              <w:rPr>
                <w:color w:val="000000" w:themeColor="text1"/>
                <w:sz w:val="16"/>
                <w:szCs w:val="16"/>
                <w:lang w:val="en-GB"/>
              </w:rPr>
              <w:t xml:space="preserve"> </w:t>
            </w:r>
            <w:r>
              <w:rPr>
                <w:color w:val="000000" w:themeColor="text1"/>
                <w:sz w:val="16"/>
                <w:szCs w:val="16"/>
                <w:lang w:val="en-GB"/>
              </w:rPr>
              <w:t>intervention the koruna foreign exchange was appreciating against both euro and dollar</w:t>
            </w:r>
            <w:r w:rsidR="009B0676" w:rsidRPr="008E5E90">
              <w:rPr>
                <w:color w:val="000000" w:themeColor="text1"/>
                <w:sz w:val="16"/>
                <w:szCs w:val="16"/>
                <w:lang w:val="en-GB"/>
              </w:rPr>
              <w:t>.</w:t>
            </w:r>
          </w:p>
        </w:tc>
        <w:tc>
          <w:tcPr>
            <w:tcW w:w="144" w:type="pct"/>
          </w:tcPr>
          <w:p w:rsidR="009B0676" w:rsidRPr="008E5E90" w:rsidRDefault="009B0676" w:rsidP="006E4368">
            <w:pPr>
              <w:pStyle w:val="Textpoznpodarou"/>
              <w:jc w:val="both"/>
              <w:rPr>
                <w:lang w:val="en-GB"/>
              </w:rPr>
            </w:pPr>
          </w:p>
        </w:tc>
        <w:tc>
          <w:tcPr>
            <w:tcW w:w="3840" w:type="pct"/>
            <w:gridSpan w:val="2"/>
          </w:tcPr>
          <w:p w:rsidR="009B0676" w:rsidRDefault="008E5E90" w:rsidP="00F86F2E">
            <w:pPr>
              <w:pStyle w:val="Textpoznpodarou"/>
              <w:jc w:val="both"/>
              <w:rPr>
                <w:lang w:val="en-GB"/>
              </w:rPr>
            </w:pPr>
            <w:r>
              <w:rPr>
                <w:lang w:val="en-GB"/>
              </w:rPr>
              <w:t xml:space="preserve">Year 2017 brought a range of changes in the area of the monetary conditions. After the April termination of the </w:t>
            </w:r>
            <w:proofErr w:type="spellStart"/>
            <w:r>
              <w:rPr>
                <w:lang w:val="en-GB"/>
              </w:rPr>
              <w:t>fore</w:t>
            </w:r>
            <w:r w:rsidR="00604CF7">
              <w:rPr>
                <w:lang w:val="en-GB"/>
              </w:rPr>
              <w:t>x</w:t>
            </w:r>
            <w:proofErr w:type="spellEnd"/>
            <w:r w:rsidR="00604CF7">
              <w:rPr>
                <w:lang w:val="en-GB"/>
              </w:rPr>
              <w:t xml:space="preserve"> in</w:t>
            </w:r>
            <w:r>
              <w:rPr>
                <w:lang w:val="en-GB"/>
              </w:rPr>
              <w:t xml:space="preserve">tervention, koruna returned to the regime of the managed </w:t>
            </w:r>
            <w:r w:rsidR="009B0676" w:rsidRPr="008E5E90">
              <w:rPr>
                <w:lang w:val="en-GB"/>
              </w:rPr>
              <w:t xml:space="preserve">floating. </w:t>
            </w:r>
            <w:r w:rsidR="00C9613F">
              <w:rPr>
                <w:lang w:val="en-GB"/>
              </w:rPr>
              <w:t xml:space="preserve">The koruna foreign exchange was thus </w:t>
            </w:r>
            <w:r w:rsidR="00DF204C">
              <w:rPr>
                <w:lang w:val="en-GB"/>
              </w:rPr>
              <w:t>appreciating</w:t>
            </w:r>
            <w:r w:rsidR="00C9613F">
              <w:rPr>
                <w:lang w:val="en-GB"/>
              </w:rPr>
              <w:t xml:space="preserve"> against the important foreign currencies during the year. Foreign exchange against euro kept on the value </w:t>
            </w:r>
            <w:r w:rsidR="009B0676" w:rsidRPr="008E5E90">
              <w:rPr>
                <w:lang w:val="en-GB"/>
              </w:rPr>
              <w:t>27</w:t>
            </w:r>
            <w:r w:rsidR="00C9613F">
              <w:rPr>
                <w:lang w:val="en-GB"/>
              </w:rPr>
              <w:t>.</w:t>
            </w:r>
            <w:r w:rsidR="009B0676" w:rsidRPr="008E5E90">
              <w:rPr>
                <w:lang w:val="en-GB"/>
              </w:rPr>
              <w:t>02</w:t>
            </w:r>
            <w:r w:rsidR="00B013C0" w:rsidRPr="008E5E90">
              <w:rPr>
                <w:lang w:val="en-GB"/>
              </w:rPr>
              <w:t> </w:t>
            </w:r>
            <w:r w:rsidR="009B0676" w:rsidRPr="008E5E90">
              <w:rPr>
                <w:lang w:val="en-GB"/>
              </w:rPr>
              <w:t>CZK/EUR</w:t>
            </w:r>
            <w:r w:rsidR="009B0676" w:rsidRPr="008E5E90">
              <w:rPr>
                <w:rStyle w:val="Znakapoznpodarou"/>
                <w:lang w:val="en-GB"/>
              </w:rPr>
              <w:footnoteReference w:id="1"/>
            </w:r>
            <w:r w:rsidR="00C9613F">
              <w:rPr>
                <w:lang w:val="en-GB"/>
              </w:rPr>
              <w:t xml:space="preserve"> for the whole Q1</w:t>
            </w:r>
            <w:r w:rsidR="009B0676" w:rsidRPr="008E5E90">
              <w:rPr>
                <w:lang w:val="en-GB"/>
              </w:rPr>
              <w:t xml:space="preserve">. </w:t>
            </w:r>
            <w:r w:rsidR="00C9613F">
              <w:rPr>
                <w:lang w:val="en-GB"/>
              </w:rPr>
              <w:t xml:space="preserve">After the termination of intervention, it gradually appreciated and its average value was </w:t>
            </w:r>
            <w:r w:rsidR="009B0676" w:rsidRPr="008E5E90">
              <w:rPr>
                <w:lang w:val="en-GB"/>
              </w:rPr>
              <w:t>25</w:t>
            </w:r>
            <w:r w:rsidR="00C9613F">
              <w:rPr>
                <w:lang w:val="en-GB"/>
              </w:rPr>
              <w:t>.</w:t>
            </w:r>
            <w:r w:rsidR="009B0676" w:rsidRPr="008E5E90">
              <w:rPr>
                <w:lang w:val="en-GB"/>
              </w:rPr>
              <w:t>65</w:t>
            </w:r>
            <w:r w:rsidR="002C5CB7" w:rsidRPr="008E5E90">
              <w:rPr>
                <w:lang w:val="en-GB"/>
              </w:rPr>
              <w:t> </w:t>
            </w:r>
            <w:r w:rsidR="009B0676" w:rsidRPr="008E5E90">
              <w:rPr>
                <w:lang w:val="en-GB"/>
              </w:rPr>
              <w:t>CZK/EUR</w:t>
            </w:r>
            <w:r w:rsidR="00C9613F">
              <w:rPr>
                <w:lang w:val="en-GB"/>
              </w:rPr>
              <w:t xml:space="preserve"> in Q4</w:t>
            </w:r>
            <w:r w:rsidR="009B0676" w:rsidRPr="008E5E90">
              <w:rPr>
                <w:lang w:val="en-GB"/>
              </w:rPr>
              <w:t xml:space="preserve">. </w:t>
            </w:r>
            <w:r w:rsidR="00F86F2E">
              <w:rPr>
                <w:lang w:val="en-GB"/>
              </w:rPr>
              <w:t>Koruna appreciated against euro by 5.5% since the 2</w:t>
            </w:r>
            <w:r w:rsidR="00F86F2E" w:rsidRPr="00F86F2E">
              <w:rPr>
                <w:vertAlign w:val="superscript"/>
                <w:lang w:val="en-GB"/>
              </w:rPr>
              <w:t>nd</w:t>
            </w:r>
            <w:r w:rsidR="00F86F2E">
              <w:rPr>
                <w:lang w:val="en-GB"/>
              </w:rPr>
              <w:t xml:space="preserve"> January till the 29 the December. The koruna foreign exchange appreciated even more significantly towards the American dollar. Its avera</w:t>
            </w:r>
            <w:r w:rsidR="005300CB">
              <w:rPr>
                <w:lang w:val="en-GB"/>
              </w:rPr>
              <w:t>ge</w:t>
            </w:r>
            <w:r w:rsidR="00F86F2E">
              <w:rPr>
                <w:lang w:val="en-GB"/>
              </w:rPr>
              <w:t xml:space="preserve"> v</w:t>
            </w:r>
            <w:r w:rsidR="005300CB">
              <w:rPr>
                <w:lang w:val="en-GB"/>
              </w:rPr>
              <w:t>al</w:t>
            </w:r>
            <w:r w:rsidR="00F86F2E">
              <w:rPr>
                <w:lang w:val="en-GB"/>
              </w:rPr>
              <w:t xml:space="preserve">ue reached </w:t>
            </w:r>
            <w:r w:rsidR="009B0676" w:rsidRPr="008E5E90">
              <w:rPr>
                <w:lang w:val="en-GB"/>
              </w:rPr>
              <w:t>25</w:t>
            </w:r>
            <w:r w:rsidR="005300CB">
              <w:rPr>
                <w:lang w:val="en-GB"/>
              </w:rPr>
              <w:t>.</w:t>
            </w:r>
            <w:r w:rsidR="009B0676" w:rsidRPr="008E5E90">
              <w:rPr>
                <w:lang w:val="en-GB"/>
              </w:rPr>
              <w:t>38</w:t>
            </w:r>
            <w:r w:rsidR="002C5CB7" w:rsidRPr="008E5E90">
              <w:rPr>
                <w:lang w:val="en-GB"/>
              </w:rPr>
              <w:t> </w:t>
            </w:r>
            <w:r w:rsidR="009B0676" w:rsidRPr="008E5E90">
              <w:rPr>
                <w:lang w:val="en-GB"/>
              </w:rPr>
              <w:t>CZK/USD</w:t>
            </w:r>
            <w:r w:rsidR="00F86F2E">
              <w:rPr>
                <w:lang w:val="en-GB"/>
              </w:rPr>
              <w:t xml:space="preserve"> in Q1</w:t>
            </w:r>
            <w:r w:rsidR="009B0676" w:rsidRPr="008E5E90">
              <w:rPr>
                <w:lang w:val="en-GB"/>
              </w:rPr>
              <w:t xml:space="preserve">, </w:t>
            </w:r>
            <w:r w:rsidR="00F86F2E">
              <w:rPr>
                <w:lang w:val="en-GB"/>
              </w:rPr>
              <w:t xml:space="preserve">it was </w:t>
            </w:r>
            <w:r w:rsidR="009B0676" w:rsidRPr="008E5E90">
              <w:rPr>
                <w:lang w:val="en-GB"/>
              </w:rPr>
              <w:t>21</w:t>
            </w:r>
            <w:proofErr w:type="gramStart"/>
            <w:r w:rsidR="009B0676" w:rsidRPr="008E5E90">
              <w:rPr>
                <w:lang w:val="en-GB"/>
              </w:rPr>
              <w:t>,79</w:t>
            </w:r>
            <w:proofErr w:type="gramEnd"/>
            <w:r w:rsidR="002C5CB7" w:rsidRPr="008E5E90">
              <w:rPr>
                <w:lang w:val="en-GB"/>
              </w:rPr>
              <w:t> </w:t>
            </w:r>
            <w:r w:rsidR="009B0676" w:rsidRPr="008E5E90">
              <w:rPr>
                <w:lang w:val="en-GB"/>
              </w:rPr>
              <w:t>CZK/USD</w:t>
            </w:r>
            <w:r w:rsidR="00F86F2E">
              <w:rPr>
                <w:lang w:val="en-GB"/>
              </w:rPr>
              <w:t xml:space="preserve"> in the final quarter</w:t>
            </w:r>
            <w:r w:rsidR="009B0676" w:rsidRPr="008E5E90">
              <w:rPr>
                <w:lang w:val="en-GB"/>
              </w:rPr>
              <w:t xml:space="preserve">. </w:t>
            </w:r>
            <w:r w:rsidR="00F86F2E">
              <w:rPr>
                <w:lang w:val="en-GB"/>
              </w:rPr>
              <w:t xml:space="preserve">For the whole year 2017, koruna appreciated against dollar by 17.5%. The slump of the prices of the </w:t>
            </w:r>
            <w:r w:rsidR="005300CB">
              <w:rPr>
                <w:lang w:val="en-GB"/>
              </w:rPr>
              <w:t>foreign</w:t>
            </w:r>
            <w:r w:rsidR="00F86F2E">
              <w:rPr>
                <w:lang w:val="en-GB"/>
              </w:rPr>
              <w:t xml:space="preserve"> trade represented the immediate impact of this appreciation </w:t>
            </w:r>
          </w:p>
          <w:p w:rsidR="00F86F2E" w:rsidRPr="008E5E90" w:rsidRDefault="00F86F2E" w:rsidP="00F86F2E">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AD6BE5" w:rsidRDefault="00AD6BE5" w:rsidP="006E4368">
            <w:pPr>
              <w:spacing w:line="240" w:lineRule="auto"/>
              <w:rPr>
                <w:color w:val="000000" w:themeColor="text1"/>
                <w:sz w:val="16"/>
                <w:szCs w:val="16"/>
                <w:highlight w:val="yellow"/>
                <w:lang w:val="en-GB"/>
              </w:rPr>
            </w:pPr>
            <w:r>
              <w:rPr>
                <w:color w:val="000000" w:themeColor="text1"/>
                <w:sz w:val="16"/>
                <w:szCs w:val="16"/>
                <w:lang w:val="en-GB"/>
              </w:rPr>
              <w:t>C</w:t>
            </w:r>
            <w:r w:rsidR="009B0676" w:rsidRPr="00AD6BE5">
              <w:rPr>
                <w:color w:val="000000" w:themeColor="text1"/>
                <w:sz w:val="16"/>
                <w:szCs w:val="16"/>
                <w:lang w:val="en-GB"/>
              </w:rPr>
              <w:t xml:space="preserve">NB </w:t>
            </w:r>
            <w:r w:rsidR="00F86F2E">
              <w:rPr>
                <w:color w:val="000000" w:themeColor="text1"/>
                <w:sz w:val="16"/>
                <w:szCs w:val="16"/>
                <w:lang w:val="en-GB"/>
              </w:rPr>
              <w:t>decided twice for the increase of the monetary policy-relevant interest rates in 2</w:t>
            </w:r>
            <w:r w:rsidR="009B0676" w:rsidRPr="00AD6BE5">
              <w:rPr>
                <w:color w:val="000000" w:themeColor="text1"/>
                <w:sz w:val="16"/>
                <w:szCs w:val="16"/>
                <w:lang w:val="en-GB"/>
              </w:rPr>
              <w:t>017</w:t>
            </w:r>
            <w:r w:rsidR="00F86F2E">
              <w:rPr>
                <w:color w:val="000000" w:themeColor="text1"/>
                <w:sz w:val="16"/>
                <w:szCs w:val="16"/>
                <w:lang w:val="en-GB"/>
              </w:rPr>
              <w:t>.</w:t>
            </w:r>
          </w:p>
        </w:tc>
        <w:tc>
          <w:tcPr>
            <w:tcW w:w="144" w:type="pct"/>
          </w:tcPr>
          <w:p w:rsidR="009B0676" w:rsidRPr="00AD6BE5" w:rsidRDefault="009B0676" w:rsidP="006E4368">
            <w:pPr>
              <w:pStyle w:val="Textpoznpodarou"/>
              <w:jc w:val="both"/>
              <w:rPr>
                <w:lang w:val="en-GB"/>
              </w:rPr>
            </w:pPr>
          </w:p>
        </w:tc>
        <w:tc>
          <w:tcPr>
            <w:tcW w:w="3840" w:type="pct"/>
            <w:gridSpan w:val="2"/>
          </w:tcPr>
          <w:p w:rsidR="009B0676" w:rsidRPr="00AD6BE5" w:rsidRDefault="00352FC0" w:rsidP="006E4368">
            <w:pPr>
              <w:pStyle w:val="Textpoznpodarou"/>
              <w:jc w:val="both"/>
              <w:rPr>
                <w:sz w:val="16"/>
                <w:szCs w:val="16"/>
                <w:lang w:val="en-GB"/>
              </w:rPr>
            </w:pPr>
            <w:r>
              <w:rPr>
                <w:lang w:val="en-GB"/>
              </w:rPr>
              <w:t xml:space="preserve">Termination of the regime of interventions was to certain extent the return to the classical instruments of the monetary policy. The change of the monetary policy-relevant interest rates </w:t>
            </w:r>
            <w:r w:rsidR="00AD5414">
              <w:rPr>
                <w:lang w:val="en-GB"/>
              </w:rPr>
              <w:t xml:space="preserve">manifests </w:t>
            </w:r>
            <w:r>
              <w:rPr>
                <w:lang w:val="en-GB"/>
              </w:rPr>
              <w:t xml:space="preserve">for the first time since November 2012. At first, the repo rate was increased from 0.05% to 0.25% at the beginning of August and the </w:t>
            </w:r>
            <w:proofErr w:type="spellStart"/>
            <w:r>
              <w:rPr>
                <w:lang w:val="en-GB"/>
              </w:rPr>
              <w:t>lombard</w:t>
            </w:r>
            <w:proofErr w:type="spellEnd"/>
            <w:r>
              <w:rPr>
                <w:lang w:val="en-GB"/>
              </w:rPr>
              <w:t xml:space="preserve"> rate from 0.25% to 0.50%. It was the first growth since year 2008. Further shift </w:t>
            </w:r>
            <w:r w:rsidR="001833E9">
              <w:rPr>
                <w:lang w:val="en-GB"/>
              </w:rPr>
              <w:t>upwards</w:t>
            </w:r>
            <w:r>
              <w:rPr>
                <w:lang w:val="en-GB"/>
              </w:rPr>
              <w:t xml:space="preserve"> eventuated at the beginning of November. The repo rate was increased to 0.50% and the </w:t>
            </w:r>
            <w:proofErr w:type="spellStart"/>
            <w:r w:rsidR="0019357D">
              <w:rPr>
                <w:lang w:val="en-GB"/>
              </w:rPr>
              <w:t>l</w:t>
            </w:r>
            <w:r>
              <w:rPr>
                <w:lang w:val="en-GB"/>
              </w:rPr>
              <w:t>ombard</w:t>
            </w:r>
            <w:proofErr w:type="spellEnd"/>
            <w:r>
              <w:rPr>
                <w:lang w:val="en-GB"/>
              </w:rPr>
              <w:t xml:space="preserve"> rate to 1.00%. </w:t>
            </w:r>
            <w:r w:rsidR="00230CA7">
              <w:rPr>
                <w:lang w:val="en-GB"/>
              </w:rPr>
              <w:t xml:space="preserve">In connection to the discussion regarding the stability of the financial system, the CNB also applied some instruments of the macro-prudent policy. For once, it tightened the recommendations related to the provision of mortgages and also increased the rate of the capital reserve for some banks. At the end of year 2017, it also announced the increase of the rate of the counter-cycle capital reserve valid as of  </w:t>
            </w:r>
            <w:r w:rsidR="009B0676" w:rsidRPr="00AD6BE5">
              <w:rPr>
                <w:lang w:val="en-GB"/>
              </w:rPr>
              <w:t xml:space="preserve"> 1.</w:t>
            </w:r>
            <w:r w:rsidR="00896874" w:rsidRPr="00AD6BE5">
              <w:rPr>
                <w:lang w:val="en-GB"/>
              </w:rPr>
              <w:t> </w:t>
            </w:r>
            <w:r w:rsidR="009B0676" w:rsidRPr="00AD6BE5">
              <w:rPr>
                <w:lang w:val="en-GB"/>
              </w:rPr>
              <w:t>7.</w:t>
            </w:r>
            <w:r w:rsidR="00896874" w:rsidRPr="00AD6BE5">
              <w:rPr>
                <w:lang w:val="en-GB"/>
              </w:rPr>
              <w:t> </w:t>
            </w:r>
            <w:r w:rsidR="009B0676" w:rsidRPr="00AD6BE5">
              <w:rPr>
                <w:lang w:val="en-GB"/>
              </w:rPr>
              <w:t>2018 (</w:t>
            </w:r>
            <w:r w:rsidR="00230CA7">
              <w:rPr>
                <w:lang w:val="en-GB"/>
              </w:rPr>
              <w:t xml:space="preserve">from </w:t>
            </w:r>
            <w:r w:rsidR="009B0676" w:rsidRPr="00AD6BE5">
              <w:rPr>
                <w:lang w:val="en-GB"/>
              </w:rPr>
              <w:t>0</w:t>
            </w:r>
            <w:r w:rsidR="00230CA7">
              <w:rPr>
                <w:lang w:val="en-GB"/>
              </w:rPr>
              <w:t>.</w:t>
            </w:r>
            <w:r w:rsidR="009B0676" w:rsidRPr="00AD6BE5">
              <w:rPr>
                <w:lang w:val="en-GB"/>
              </w:rPr>
              <w:t xml:space="preserve">5% </w:t>
            </w:r>
            <w:r w:rsidR="00230CA7">
              <w:rPr>
                <w:lang w:val="en-GB"/>
              </w:rPr>
              <w:t>to</w:t>
            </w:r>
            <w:r w:rsidR="009B0676" w:rsidRPr="00AD6BE5">
              <w:rPr>
                <w:lang w:val="en-GB"/>
              </w:rPr>
              <w:t xml:space="preserve"> 1</w:t>
            </w:r>
            <w:r w:rsidR="00230CA7">
              <w:rPr>
                <w:lang w:val="en-GB"/>
              </w:rPr>
              <w:t>.</w:t>
            </w:r>
            <w:r w:rsidR="009B0676" w:rsidRPr="00AD6BE5">
              <w:rPr>
                <w:lang w:val="en-GB"/>
              </w:rPr>
              <w:t xml:space="preserve">0%, </w:t>
            </w:r>
            <w:r w:rsidR="00230CA7">
              <w:rPr>
                <w:lang w:val="en-GB"/>
              </w:rPr>
              <w:t xml:space="preserve">further increase to </w:t>
            </w:r>
            <w:r w:rsidR="009B0676" w:rsidRPr="00AD6BE5">
              <w:rPr>
                <w:lang w:val="en-GB"/>
              </w:rPr>
              <w:t>1</w:t>
            </w:r>
            <w:r w:rsidR="00230CA7">
              <w:rPr>
                <w:lang w:val="en-GB"/>
              </w:rPr>
              <w:t>.</w:t>
            </w:r>
            <w:r w:rsidR="009B0676" w:rsidRPr="00AD6BE5">
              <w:rPr>
                <w:lang w:val="en-GB"/>
              </w:rPr>
              <w:t xml:space="preserve">25% </w:t>
            </w:r>
            <w:r w:rsidR="00230CA7">
              <w:rPr>
                <w:lang w:val="en-GB"/>
              </w:rPr>
              <w:t xml:space="preserve">as of </w:t>
            </w:r>
            <w:r w:rsidR="009B0676" w:rsidRPr="00AD6BE5">
              <w:rPr>
                <w:lang w:val="en-GB"/>
              </w:rPr>
              <w:t>1.</w:t>
            </w:r>
            <w:r w:rsidR="00896874" w:rsidRPr="00AD6BE5">
              <w:rPr>
                <w:lang w:val="en-GB"/>
              </w:rPr>
              <w:t> </w:t>
            </w:r>
            <w:r w:rsidR="009B0676" w:rsidRPr="00AD6BE5">
              <w:rPr>
                <w:lang w:val="en-GB"/>
              </w:rPr>
              <w:t>1.</w:t>
            </w:r>
            <w:r w:rsidR="00896874" w:rsidRPr="00AD6BE5">
              <w:rPr>
                <w:lang w:val="en-GB"/>
              </w:rPr>
              <w:t> </w:t>
            </w:r>
            <w:r w:rsidR="009B0676" w:rsidRPr="00AD6BE5">
              <w:rPr>
                <w:lang w:val="en-GB"/>
              </w:rPr>
              <w:t>2019).</w:t>
            </w:r>
          </w:p>
          <w:p w:rsidR="009B0676" w:rsidRPr="00AD6BE5" w:rsidRDefault="009B0676" w:rsidP="006E4368">
            <w:pPr>
              <w:pStyle w:val="Textpoznpodarou"/>
              <w:jc w:val="both"/>
              <w:rPr>
                <w:sz w:val="16"/>
                <w:szCs w:val="16"/>
                <w:lang w:val="en-GB"/>
              </w:rPr>
            </w:pP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568" w:type="pct"/>
          </w:tcPr>
          <w:p w:rsidR="00DD0726" w:rsidRPr="00AD6BE5" w:rsidRDefault="00AD6BE5" w:rsidP="006C3DC1">
            <w:pPr>
              <w:pStyle w:val="Textpoznpodarou"/>
              <w:jc w:val="both"/>
              <w:rPr>
                <w:lang w:val="en-GB"/>
              </w:rPr>
            </w:pPr>
            <w:r w:rsidRPr="00AD6BE5">
              <w:rPr>
                <w:lang w:val="en-GB"/>
              </w:rPr>
              <w:t>Chart</w:t>
            </w:r>
            <w:r w:rsidR="00DD0726" w:rsidRPr="00AD6BE5">
              <w:rPr>
                <w:lang w:val="en-GB"/>
              </w:rPr>
              <w:t xml:space="preserve"> 18</w:t>
            </w:r>
          </w:p>
        </w:tc>
        <w:tc>
          <w:tcPr>
            <w:tcW w:w="3272" w:type="pct"/>
          </w:tcPr>
          <w:p w:rsidR="00DD0726" w:rsidRPr="00AD6BE5" w:rsidRDefault="00AD6BE5" w:rsidP="006C3DC1">
            <w:pPr>
              <w:pStyle w:val="Textpoznpodarou"/>
              <w:jc w:val="both"/>
              <w:rPr>
                <w:lang w:val="en-GB"/>
              </w:rPr>
            </w:pPr>
            <w:r w:rsidRPr="00AD6BE5">
              <w:rPr>
                <w:b/>
                <w:lang w:val="en-GB"/>
              </w:rPr>
              <w:t xml:space="preserve">Market interest rates </w:t>
            </w:r>
            <w:r w:rsidR="00DD0726" w:rsidRPr="00AD6BE5">
              <w:rPr>
                <w:lang w:val="en-GB"/>
              </w:rPr>
              <w:t>(</w:t>
            </w:r>
            <w:r w:rsidRPr="00AD6BE5">
              <w:rPr>
                <w:lang w:val="en-GB"/>
              </w:rPr>
              <w:t>in</w:t>
            </w:r>
            <w:r w:rsidR="00DD0726" w:rsidRPr="00AD6BE5">
              <w:rPr>
                <w:lang w:val="en-GB"/>
              </w:rPr>
              <w:t xml:space="preserve"> %)</w:t>
            </w: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3840" w:type="pct"/>
            <w:gridSpan w:val="2"/>
          </w:tcPr>
          <w:p w:rsidR="00DD0726" w:rsidRDefault="00BD345F" w:rsidP="00BD345F">
            <w:pPr>
              <w:pStyle w:val="Textpoznpodarou"/>
              <w:jc w:val="right"/>
              <w:rPr>
                <w:sz w:val="14"/>
                <w:szCs w:val="14"/>
                <w:lang w:val="en-GB"/>
              </w:rPr>
            </w:pPr>
            <w:r w:rsidRPr="00BD345F">
              <w:rPr>
                <w:noProof/>
              </w:rPr>
              <w:drawing>
                <wp:inline distT="0" distB="0" distL="0" distR="0">
                  <wp:extent cx="4737600" cy="3553200"/>
                  <wp:effectExtent l="1905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D0726" w:rsidRPr="00AD6BE5">
              <w:rPr>
                <w:sz w:val="14"/>
                <w:szCs w:val="14"/>
                <w:lang w:val="en-GB"/>
              </w:rPr>
              <w:t xml:space="preserve"> </w:t>
            </w:r>
            <w:r w:rsidR="00230CA7">
              <w:rPr>
                <w:sz w:val="14"/>
                <w:szCs w:val="14"/>
                <w:lang w:val="en-GB"/>
              </w:rPr>
              <w:t>Source</w:t>
            </w:r>
            <w:r w:rsidR="00DD0726" w:rsidRPr="00AD6BE5">
              <w:rPr>
                <w:sz w:val="14"/>
                <w:szCs w:val="14"/>
                <w:lang w:val="en-GB"/>
              </w:rPr>
              <w:t xml:space="preserve">: </w:t>
            </w:r>
            <w:r w:rsidR="00230CA7">
              <w:rPr>
                <w:sz w:val="14"/>
                <w:szCs w:val="14"/>
                <w:lang w:val="en-GB"/>
              </w:rPr>
              <w:t>CNB</w:t>
            </w:r>
          </w:p>
          <w:p w:rsidR="00BD345F" w:rsidRPr="00AD6BE5" w:rsidRDefault="00BD345F" w:rsidP="00BD345F">
            <w:pPr>
              <w:pStyle w:val="Textpoznpodarou"/>
              <w:jc w:val="right"/>
              <w:rPr>
                <w:sz w:val="14"/>
                <w:szCs w:val="14"/>
                <w:lang w:val="en-GB"/>
              </w:rPr>
            </w:pPr>
          </w:p>
        </w:tc>
      </w:tr>
      <w:tr w:rsidR="009B0676" w:rsidRPr="00A74192" w:rsidTr="009B0676">
        <w:trPr>
          <w:trHeight w:val="145"/>
        </w:trPr>
        <w:tc>
          <w:tcPr>
            <w:tcW w:w="1016" w:type="pct"/>
            <w:shd w:val="clear" w:color="auto" w:fill="auto"/>
          </w:tcPr>
          <w:p w:rsidR="009B0676" w:rsidRPr="00CB158C" w:rsidRDefault="00CB158C" w:rsidP="006E4368">
            <w:pPr>
              <w:spacing w:line="240" w:lineRule="auto"/>
              <w:rPr>
                <w:color w:val="000000" w:themeColor="text1"/>
                <w:sz w:val="16"/>
                <w:szCs w:val="16"/>
                <w:lang w:val="en-GB"/>
              </w:rPr>
            </w:pPr>
            <w:r w:rsidRPr="00CB158C">
              <w:rPr>
                <w:color w:val="000000" w:themeColor="text1"/>
                <w:sz w:val="16"/>
                <w:szCs w:val="16"/>
                <w:lang w:val="en-GB"/>
              </w:rPr>
              <w:t xml:space="preserve">Interbank rate as well as yields on the government bonds </w:t>
            </w:r>
            <w:r w:rsidRPr="00CB158C">
              <w:rPr>
                <w:color w:val="000000" w:themeColor="text1"/>
                <w:sz w:val="16"/>
                <w:szCs w:val="16"/>
                <w:lang w:val="en-GB"/>
              </w:rPr>
              <w:lastRenderedPageBreak/>
              <w:t xml:space="preserve">increased. </w:t>
            </w:r>
          </w:p>
        </w:tc>
        <w:tc>
          <w:tcPr>
            <w:tcW w:w="144" w:type="pct"/>
          </w:tcPr>
          <w:p w:rsidR="009B0676" w:rsidRPr="00CB158C" w:rsidRDefault="009B0676" w:rsidP="006E4368">
            <w:pPr>
              <w:pStyle w:val="Textpoznpodarou"/>
              <w:jc w:val="both"/>
              <w:rPr>
                <w:highlight w:val="yellow"/>
                <w:lang w:val="en-GB"/>
              </w:rPr>
            </w:pPr>
          </w:p>
        </w:tc>
        <w:tc>
          <w:tcPr>
            <w:tcW w:w="3840" w:type="pct"/>
            <w:gridSpan w:val="2"/>
          </w:tcPr>
          <w:p w:rsidR="003F7631" w:rsidRDefault="00CB158C" w:rsidP="00891251">
            <w:pPr>
              <w:pStyle w:val="Textpoznpodarou"/>
              <w:jc w:val="both"/>
              <w:rPr>
                <w:spacing w:val="-2"/>
                <w:lang w:val="en-GB"/>
              </w:rPr>
            </w:pPr>
            <w:r>
              <w:rPr>
                <w:spacing w:val="-2"/>
                <w:lang w:val="en-GB"/>
              </w:rPr>
              <w:t xml:space="preserve">Increase of the monetary policy-relevant rates directly impacted the interbank interest rates. The three-month </w:t>
            </w:r>
            <w:r w:rsidR="009B0676" w:rsidRPr="00CB158C">
              <w:rPr>
                <w:spacing w:val="-2"/>
                <w:lang w:val="en-GB"/>
              </w:rPr>
              <w:t xml:space="preserve">PRIBOR </w:t>
            </w:r>
            <w:r>
              <w:rPr>
                <w:spacing w:val="-2"/>
                <w:lang w:val="en-GB"/>
              </w:rPr>
              <w:t xml:space="preserve">rate rose by 0.47 </w:t>
            </w:r>
            <w:r w:rsidR="0030607B">
              <w:rPr>
                <w:spacing w:val="-2"/>
                <w:lang w:val="en-GB"/>
              </w:rPr>
              <w:t>p.p.</w:t>
            </w:r>
            <w:r>
              <w:rPr>
                <w:spacing w:val="-2"/>
                <w:lang w:val="en-GB"/>
              </w:rPr>
              <w:t xml:space="preserve"> since January till </w:t>
            </w:r>
            <w:r>
              <w:rPr>
                <w:spacing w:val="-2"/>
                <w:lang w:val="en-GB"/>
              </w:rPr>
              <w:lastRenderedPageBreak/>
              <w:t xml:space="preserve">December 2017 </w:t>
            </w:r>
            <w:r w:rsidR="009B0676" w:rsidRPr="00CB158C">
              <w:rPr>
                <w:spacing w:val="-2"/>
                <w:lang w:val="en-GB"/>
              </w:rPr>
              <w:t>a</w:t>
            </w:r>
            <w:r>
              <w:rPr>
                <w:spacing w:val="-2"/>
                <w:lang w:val="en-GB"/>
              </w:rPr>
              <w:t xml:space="preserve">nd it was 0.77% in December </w:t>
            </w:r>
            <w:r w:rsidR="009B0676" w:rsidRPr="00CB158C">
              <w:rPr>
                <w:spacing w:val="-2"/>
                <w:lang w:val="en-GB"/>
              </w:rPr>
              <w:t>(</w:t>
            </w:r>
            <w:r>
              <w:rPr>
                <w:spacing w:val="-2"/>
                <w:lang w:val="en-GB"/>
              </w:rPr>
              <w:t>the most since September 2012</w:t>
            </w:r>
            <w:r w:rsidR="009B0676" w:rsidRPr="00CB158C">
              <w:rPr>
                <w:spacing w:val="-2"/>
                <w:lang w:val="en-GB"/>
              </w:rPr>
              <w:t xml:space="preserve">). </w:t>
            </w:r>
            <w:r>
              <w:rPr>
                <w:spacing w:val="-2"/>
                <w:lang w:val="en-GB"/>
              </w:rPr>
              <w:t xml:space="preserve">The one-year </w:t>
            </w:r>
            <w:r w:rsidR="009B0676" w:rsidRPr="00CB158C">
              <w:rPr>
                <w:spacing w:val="-2"/>
                <w:lang w:val="en-GB"/>
              </w:rPr>
              <w:t>PRIBOR</w:t>
            </w:r>
            <w:r>
              <w:rPr>
                <w:spacing w:val="-2"/>
                <w:lang w:val="en-GB"/>
              </w:rPr>
              <w:t xml:space="preserve"> increased </w:t>
            </w:r>
            <w:proofErr w:type="gramStart"/>
            <w:r>
              <w:rPr>
                <w:spacing w:val="-2"/>
                <w:lang w:val="en-GB"/>
              </w:rPr>
              <w:t xml:space="preserve">by </w:t>
            </w:r>
            <w:r w:rsidR="009B0676" w:rsidRPr="00CB158C">
              <w:rPr>
                <w:spacing w:val="-2"/>
                <w:lang w:val="en-GB"/>
              </w:rPr>
              <w:t>0</w:t>
            </w:r>
            <w:r>
              <w:rPr>
                <w:spacing w:val="-2"/>
                <w:lang w:val="en-GB"/>
              </w:rPr>
              <w:t>.5</w:t>
            </w:r>
            <w:r w:rsidR="009B0676" w:rsidRPr="00CB158C">
              <w:rPr>
                <w:spacing w:val="-2"/>
                <w:lang w:val="en-GB"/>
              </w:rPr>
              <w:t>2</w:t>
            </w:r>
            <w:r w:rsidR="00937320" w:rsidRPr="00CB158C">
              <w:rPr>
                <w:spacing w:val="-2"/>
                <w:lang w:val="en-GB"/>
              </w:rPr>
              <w:t> </w:t>
            </w:r>
            <w:r w:rsidR="0030607B">
              <w:rPr>
                <w:spacing w:val="-2"/>
                <w:lang w:val="en-GB"/>
              </w:rPr>
              <w:t>p.p</w:t>
            </w:r>
            <w:proofErr w:type="gramEnd"/>
            <w:r w:rsidR="0030607B">
              <w:rPr>
                <w:spacing w:val="-2"/>
                <w:lang w:val="en-GB"/>
              </w:rPr>
              <w:t>.</w:t>
            </w:r>
            <w:r w:rsidR="009B0676" w:rsidRPr="00CB158C">
              <w:rPr>
                <w:spacing w:val="-2"/>
                <w:lang w:val="en-GB"/>
              </w:rPr>
              <w:t xml:space="preserve"> </w:t>
            </w:r>
            <w:r>
              <w:rPr>
                <w:spacing w:val="-2"/>
                <w:lang w:val="en-GB"/>
              </w:rPr>
              <w:t xml:space="preserve">The December value of </w:t>
            </w:r>
            <w:r w:rsidR="009B0676" w:rsidRPr="00CB158C">
              <w:rPr>
                <w:spacing w:val="-2"/>
                <w:lang w:val="en-GB"/>
              </w:rPr>
              <w:t>0</w:t>
            </w:r>
            <w:r>
              <w:rPr>
                <w:spacing w:val="-2"/>
                <w:lang w:val="en-GB"/>
              </w:rPr>
              <w:t>.</w:t>
            </w:r>
            <w:r w:rsidR="009B0676" w:rsidRPr="00CB158C">
              <w:rPr>
                <w:spacing w:val="-2"/>
                <w:lang w:val="en-GB"/>
              </w:rPr>
              <w:t xml:space="preserve">96% </w:t>
            </w:r>
            <w:r>
              <w:rPr>
                <w:spacing w:val="-2"/>
                <w:lang w:val="en-GB"/>
              </w:rPr>
              <w:t xml:space="preserve">was the highest since October </w:t>
            </w:r>
            <w:r w:rsidR="009B0676" w:rsidRPr="00CB158C">
              <w:rPr>
                <w:spacing w:val="-2"/>
                <w:lang w:val="en-GB"/>
              </w:rPr>
              <w:t xml:space="preserve">2010. </w:t>
            </w:r>
            <w:r>
              <w:rPr>
                <w:spacing w:val="-2"/>
                <w:lang w:val="en-GB"/>
              </w:rPr>
              <w:t xml:space="preserve">The yields of the government bonds went also up.  Bonds with the maturity </w:t>
            </w:r>
            <w:r w:rsidR="00FE2F3B">
              <w:rPr>
                <w:spacing w:val="-2"/>
                <w:lang w:val="en-GB"/>
              </w:rPr>
              <w:t xml:space="preserve">of </w:t>
            </w:r>
            <w:r>
              <w:rPr>
                <w:spacing w:val="-2"/>
                <w:lang w:val="en-GB"/>
              </w:rPr>
              <w:t xml:space="preserve">two years reached the record minimum of the yield with the value of </w:t>
            </w:r>
            <w:r w:rsidR="007E34F7" w:rsidRPr="00CB158C">
              <w:rPr>
                <w:spacing w:val="-2"/>
                <w:lang w:val="en-GB"/>
              </w:rPr>
              <w:t>-</w:t>
            </w:r>
            <w:r w:rsidR="009B0676" w:rsidRPr="00CB158C">
              <w:rPr>
                <w:spacing w:val="-2"/>
                <w:lang w:val="en-GB"/>
              </w:rPr>
              <w:t>0</w:t>
            </w:r>
            <w:proofErr w:type="gramStart"/>
            <w:r w:rsidR="009B0676" w:rsidRPr="00CB158C">
              <w:rPr>
                <w:spacing w:val="-2"/>
                <w:lang w:val="en-GB"/>
              </w:rPr>
              <w:t>,88</w:t>
            </w:r>
            <w:proofErr w:type="gramEnd"/>
            <w:r w:rsidR="009B0676" w:rsidRPr="00CB158C">
              <w:rPr>
                <w:spacing w:val="-2"/>
                <w:lang w:val="en-GB"/>
              </w:rPr>
              <w:t>%</w:t>
            </w:r>
            <w:r>
              <w:rPr>
                <w:spacing w:val="-2"/>
                <w:lang w:val="en-GB"/>
              </w:rPr>
              <w:t xml:space="preserve"> in January, but they kept above zero already in Q</w:t>
            </w:r>
            <w:r w:rsidR="009B0676" w:rsidRPr="00CB158C">
              <w:rPr>
                <w:spacing w:val="-2"/>
                <w:lang w:val="en-GB"/>
              </w:rPr>
              <w:t>4</w:t>
            </w:r>
            <w:r>
              <w:rPr>
                <w:spacing w:val="-2"/>
                <w:lang w:val="en-GB"/>
              </w:rPr>
              <w:t xml:space="preserve"> </w:t>
            </w:r>
            <w:r w:rsidR="009B0676" w:rsidRPr="00CB158C">
              <w:rPr>
                <w:spacing w:val="-2"/>
                <w:lang w:val="en-GB"/>
              </w:rPr>
              <w:t>(0</w:t>
            </w:r>
            <w:r>
              <w:rPr>
                <w:spacing w:val="-2"/>
                <w:lang w:val="en-GB"/>
              </w:rPr>
              <w:t>.</w:t>
            </w:r>
            <w:r w:rsidR="009B0676" w:rsidRPr="00CB158C">
              <w:rPr>
                <w:spacing w:val="-2"/>
                <w:lang w:val="en-GB"/>
              </w:rPr>
              <w:t xml:space="preserve">12% </w:t>
            </w:r>
            <w:r>
              <w:rPr>
                <w:spacing w:val="-2"/>
                <w:lang w:val="en-GB"/>
              </w:rPr>
              <w:t xml:space="preserve">in October, </w:t>
            </w:r>
            <w:r w:rsidR="009B0676" w:rsidRPr="00CB158C">
              <w:rPr>
                <w:spacing w:val="-2"/>
                <w:lang w:val="en-GB"/>
              </w:rPr>
              <w:t>0</w:t>
            </w:r>
            <w:r>
              <w:rPr>
                <w:spacing w:val="-2"/>
                <w:lang w:val="en-GB"/>
              </w:rPr>
              <w:t>.</w:t>
            </w:r>
            <w:r w:rsidR="009B0676" w:rsidRPr="00CB158C">
              <w:rPr>
                <w:spacing w:val="-2"/>
                <w:lang w:val="en-GB"/>
              </w:rPr>
              <w:t xml:space="preserve">31% </w:t>
            </w:r>
            <w:r>
              <w:rPr>
                <w:spacing w:val="-2"/>
                <w:lang w:val="en-GB"/>
              </w:rPr>
              <w:t>in November</w:t>
            </w:r>
            <w:r w:rsidR="009B0676" w:rsidRPr="00CB158C">
              <w:rPr>
                <w:spacing w:val="-2"/>
                <w:lang w:val="en-GB"/>
              </w:rPr>
              <w:t>, 0</w:t>
            </w:r>
            <w:r>
              <w:rPr>
                <w:spacing w:val="-2"/>
                <w:lang w:val="en-GB"/>
              </w:rPr>
              <w:t>.</w:t>
            </w:r>
            <w:r w:rsidR="009B0676" w:rsidRPr="00CB158C">
              <w:rPr>
                <w:spacing w:val="-2"/>
                <w:lang w:val="en-GB"/>
              </w:rPr>
              <w:t xml:space="preserve">19% </w:t>
            </w:r>
            <w:r>
              <w:rPr>
                <w:spacing w:val="-2"/>
                <w:lang w:val="en-GB"/>
              </w:rPr>
              <w:t>in December</w:t>
            </w:r>
            <w:r w:rsidR="009B0676" w:rsidRPr="00CB158C">
              <w:rPr>
                <w:spacing w:val="-2"/>
                <w:lang w:val="en-GB"/>
              </w:rPr>
              <w:t xml:space="preserve">). </w:t>
            </w:r>
            <w:r w:rsidR="00146FE4">
              <w:rPr>
                <w:spacing w:val="-2"/>
                <w:lang w:val="en-GB"/>
              </w:rPr>
              <w:t xml:space="preserve">The yields of the </w:t>
            </w:r>
            <w:r w:rsidR="00654E14">
              <w:rPr>
                <w:spacing w:val="-2"/>
                <w:lang w:val="en-GB"/>
              </w:rPr>
              <w:t>short-term</w:t>
            </w:r>
            <w:r w:rsidR="00146FE4">
              <w:rPr>
                <w:spacing w:val="-2"/>
                <w:lang w:val="en-GB"/>
              </w:rPr>
              <w:t xml:space="preserve"> bonds thus remained in the negative numbers since August 2015 till September 2017. Yields </w:t>
            </w:r>
            <w:r w:rsidR="00891251">
              <w:rPr>
                <w:spacing w:val="-2"/>
                <w:lang w:val="en-GB"/>
              </w:rPr>
              <w:t>of bonds</w:t>
            </w:r>
            <w:r w:rsidR="00146FE4">
              <w:rPr>
                <w:spacing w:val="-2"/>
                <w:lang w:val="en-GB"/>
              </w:rPr>
              <w:t xml:space="preserve"> with the maturity of 5 </w:t>
            </w:r>
            <w:r w:rsidR="00891251">
              <w:rPr>
                <w:spacing w:val="-2"/>
                <w:lang w:val="en-GB"/>
              </w:rPr>
              <w:t>years</w:t>
            </w:r>
            <w:r w:rsidR="00146FE4">
              <w:rPr>
                <w:spacing w:val="-2"/>
                <w:lang w:val="en-GB"/>
              </w:rPr>
              <w:t xml:space="preserve"> increased from</w:t>
            </w:r>
            <w:r w:rsidR="007E34F7" w:rsidRPr="00CB158C">
              <w:rPr>
                <w:spacing w:val="-2"/>
                <w:lang w:val="en-GB"/>
              </w:rPr>
              <w:t> -</w:t>
            </w:r>
            <w:r w:rsidR="009B0676" w:rsidRPr="00CB158C">
              <w:rPr>
                <w:spacing w:val="-2"/>
                <w:lang w:val="en-GB"/>
              </w:rPr>
              <w:t>0</w:t>
            </w:r>
            <w:r w:rsidR="00891251">
              <w:rPr>
                <w:spacing w:val="-2"/>
                <w:lang w:val="en-GB"/>
              </w:rPr>
              <w:t>.</w:t>
            </w:r>
            <w:r w:rsidR="009B0676" w:rsidRPr="00CB158C">
              <w:rPr>
                <w:spacing w:val="-2"/>
                <w:lang w:val="en-GB"/>
              </w:rPr>
              <w:t xml:space="preserve">22% </w:t>
            </w:r>
            <w:r w:rsidR="00891251">
              <w:rPr>
                <w:spacing w:val="-2"/>
                <w:lang w:val="en-GB"/>
              </w:rPr>
              <w:t xml:space="preserve">to </w:t>
            </w:r>
            <w:r w:rsidR="009B0676" w:rsidRPr="00CB158C">
              <w:rPr>
                <w:spacing w:val="-2"/>
                <w:lang w:val="en-GB"/>
              </w:rPr>
              <w:t>0</w:t>
            </w:r>
            <w:r w:rsidR="00891251">
              <w:rPr>
                <w:spacing w:val="-2"/>
                <w:lang w:val="en-GB"/>
              </w:rPr>
              <w:t>.</w:t>
            </w:r>
            <w:r w:rsidR="009B0676" w:rsidRPr="00CB158C">
              <w:rPr>
                <w:spacing w:val="-2"/>
                <w:lang w:val="en-GB"/>
              </w:rPr>
              <w:t>6</w:t>
            </w:r>
            <w:r w:rsidR="00891251">
              <w:rPr>
                <w:spacing w:val="-2"/>
                <w:lang w:val="en-GB"/>
              </w:rPr>
              <w:t>8</w:t>
            </w:r>
            <w:r w:rsidR="009B0676" w:rsidRPr="00CB158C">
              <w:rPr>
                <w:spacing w:val="-2"/>
                <w:lang w:val="en-GB"/>
              </w:rPr>
              <w:t xml:space="preserve">% </w:t>
            </w:r>
            <w:r w:rsidR="00891251">
              <w:rPr>
                <w:spacing w:val="-2"/>
                <w:lang w:val="en-GB"/>
              </w:rPr>
              <w:t xml:space="preserve">from January till December 2017 </w:t>
            </w:r>
            <w:r w:rsidR="009B0676" w:rsidRPr="00CB158C">
              <w:rPr>
                <w:spacing w:val="-2"/>
                <w:lang w:val="en-GB"/>
              </w:rPr>
              <w:t>(</w:t>
            </w:r>
            <w:r w:rsidR="00891251">
              <w:rPr>
                <w:spacing w:val="-2"/>
                <w:lang w:val="en-GB"/>
              </w:rPr>
              <w:t xml:space="preserve">they reached a </w:t>
            </w:r>
            <w:r w:rsidR="009B0676" w:rsidRPr="00CB158C">
              <w:rPr>
                <w:spacing w:val="-2"/>
                <w:lang w:val="en-GB"/>
              </w:rPr>
              <w:t>maxim</w:t>
            </w:r>
            <w:r w:rsidR="00891251">
              <w:rPr>
                <w:spacing w:val="-2"/>
                <w:lang w:val="en-GB"/>
              </w:rPr>
              <w:t>um of 0.</w:t>
            </w:r>
            <w:r w:rsidR="009B0676" w:rsidRPr="00CB158C">
              <w:rPr>
                <w:spacing w:val="-2"/>
                <w:lang w:val="en-GB"/>
              </w:rPr>
              <w:t xml:space="preserve">87% </w:t>
            </w:r>
            <w:r w:rsidR="00891251">
              <w:rPr>
                <w:spacing w:val="-2"/>
                <w:lang w:val="en-GB"/>
              </w:rPr>
              <w:t>in November</w:t>
            </w:r>
            <w:r w:rsidR="009B0676" w:rsidRPr="00CB158C">
              <w:rPr>
                <w:spacing w:val="-2"/>
                <w:lang w:val="en-GB"/>
              </w:rPr>
              <w:t>).</w:t>
            </w:r>
            <w:r w:rsidR="00891251">
              <w:rPr>
                <w:spacing w:val="-2"/>
                <w:lang w:val="en-GB"/>
              </w:rPr>
              <w:t xml:space="preserve"> The growth of yields of the long-term bonds (maturity 10 years and more) commenced already in Q4 2016. The growth trend was confirmed in year 2017 and the yields improved </w:t>
            </w:r>
            <w:r w:rsidR="00654E14">
              <w:rPr>
                <w:spacing w:val="-2"/>
                <w:lang w:val="en-GB"/>
              </w:rPr>
              <w:t>from</w:t>
            </w:r>
            <w:r w:rsidR="00891251">
              <w:rPr>
                <w:spacing w:val="-2"/>
                <w:lang w:val="en-GB"/>
              </w:rPr>
              <w:t xml:space="preserve"> 0.47% in January to 1.50% in December.</w:t>
            </w:r>
          </w:p>
          <w:p w:rsidR="00891251" w:rsidRPr="00CB158C" w:rsidRDefault="00891251" w:rsidP="00891251">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891251" w:rsidRDefault="00891251" w:rsidP="006E4368">
            <w:pPr>
              <w:spacing w:line="240" w:lineRule="auto"/>
              <w:rPr>
                <w:color w:val="000000" w:themeColor="text1"/>
                <w:sz w:val="16"/>
                <w:szCs w:val="16"/>
                <w:lang w:val="en-GB"/>
              </w:rPr>
            </w:pPr>
            <w:r>
              <w:rPr>
                <w:color w:val="000000" w:themeColor="text1"/>
                <w:sz w:val="16"/>
                <w:szCs w:val="16"/>
                <w:lang w:val="en-GB"/>
              </w:rPr>
              <w:lastRenderedPageBreak/>
              <w:t>Interests on the current accounts still remain on nearly zero values. Rates on the consumer credits were falling, those on mortgages mildly rising.</w:t>
            </w:r>
          </w:p>
        </w:tc>
        <w:tc>
          <w:tcPr>
            <w:tcW w:w="144" w:type="pct"/>
          </w:tcPr>
          <w:p w:rsidR="009B0676" w:rsidRPr="00891251" w:rsidRDefault="009B0676" w:rsidP="006E4368">
            <w:pPr>
              <w:pStyle w:val="Textpoznpodarou"/>
              <w:jc w:val="both"/>
              <w:rPr>
                <w:highlight w:val="yellow"/>
                <w:lang w:val="en-GB"/>
              </w:rPr>
            </w:pPr>
          </w:p>
        </w:tc>
        <w:tc>
          <w:tcPr>
            <w:tcW w:w="3840" w:type="pct"/>
            <w:gridSpan w:val="2"/>
          </w:tcPr>
          <w:p w:rsidR="009B0676" w:rsidRPr="00891251" w:rsidRDefault="00891251" w:rsidP="006E4368">
            <w:pPr>
              <w:pStyle w:val="Textpoznpodarou"/>
              <w:jc w:val="both"/>
              <w:rPr>
                <w:sz w:val="16"/>
                <w:szCs w:val="16"/>
                <w:lang w:val="en-GB"/>
              </w:rPr>
            </w:pPr>
            <w:r>
              <w:rPr>
                <w:lang w:val="en-GB"/>
              </w:rPr>
              <w:t xml:space="preserve">Interest rates on deposits did </w:t>
            </w:r>
            <w:proofErr w:type="gramStart"/>
            <w:r>
              <w:rPr>
                <w:lang w:val="en-GB"/>
              </w:rPr>
              <w:t>not mirror</w:t>
            </w:r>
            <w:proofErr w:type="gramEnd"/>
            <w:r>
              <w:rPr>
                <w:lang w:val="en-GB"/>
              </w:rPr>
              <w:t xml:space="preserve"> neither the shifts in the monetary policy-relevant nor the interbank rates in 2017. Interests on the current accounts of households </w:t>
            </w:r>
            <w:r w:rsidR="009B0676" w:rsidRPr="00891251">
              <w:rPr>
                <w:lang w:val="en-GB"/>
              </w:rPr>
              <w:t>(0</w:t>
            </w:r>
            <w:r>
              <w:rPr>
                <w:lang w:val="en-GB"/>
              </w:rPr>
              <w:t>.</w:t>
            </w:r>
            <w:r w:rsidR="009B0676" w:rsidRPr="00891251">
              <w:rPr>
                <w:lang w:val="en-GB"/>
              </w:rPr>
              <w:t xml:space="preserve">04%) </w:t>
            </w:r>
            <w:r>
              <w:rPr>
                <w:lang w:val="en-GB"/>
              </w:rPr>
              <w:t xml:space="preserve">as well as non-financial businesses </w:t>
            </w:r>
            <w:r w:rsidR="009B0676" w:rsidRPr="00891251">
              <w:rPr>
                <w:lang w:val="en-GB"/>
              </w:rPr>
              <w:t>(0</w:t>
            </w:r>
            <w:r>
              <w:rPr>
                <w:lang w:val="en-GB"/>
              </w:rPr>
              <w:t>.</w:t>
            </w:r>
            <w:r w:rsidR="009B0676" w:rsidRPr="00891251">
              <w:rPr>
                <w:lang w:val="en-GB"/>
              </w:rPr>
              <w:t>02%)</w:t>
            </w:r>
            <w:r w:rsidR="00FE2F3B">
              <w:rPr>
                <w:lang w:val="en-GB"/>
              </w:rPr>
              <w:t xml:space="preserve"> </w:t>
            </w:r>
            <w:r>
              <w:rPr>
                <w:lang w:val="en-GB"/>
              </w:rPr>
              <w:t>remained at the practically zero level. Some shifts upwards were evident towards the end of the year on deposits with the agreed maturity for the non-financial businesses</w:t>
            </w:r>
            <w:r w:rsidR="009564B2">
              <w:rPr>
                <w:lang w:val="en-GB"/>
              </w:rPr>
              <w:t xml:space="preserve"> </w:t>
            </w:r>
            <w:r>
              <w:rPr>
                <w:lang w:val="en-GB"/>
              </w:rPr>
              <w:t xml:space="preserve">(they had nearly zero interest in Q1 to Q3). </w:t>
            </w:r>
            <w:r w:rsidR="009564B2">
              <w:rPr>
                <w:lang w:val="en-GB"/>
              </w:rPr>
              <w:t xml:space="preserve">The only type of deposit, whose interest copied the development of the main rates were the deposits with maturity between 1 and 2 years. Their interest increased from the April minimum of 0.42% to 1.12% in December. </w:t>
            </w:r>
            <w:r w:rsidR="006564FB">
              <w:rPr>
                <w:lang w:val="en-GB"/>
              </w:rPr>
              <w:t xml:space="preserve">The drop of interests on the consumer credit for households continued. Their interest fell below 10.0% in February, in December the average interest already moved at the level of 8.7%. </w:t>
            </w:r>
            <w:r w:rsidR="002244CE">
              <w:rPr>
                <w:lang w:val="en-GB"/>
              </w:rPr>
              <w:t>On the contrary, the interest rates o</w:t>
            </w:r>
            <w:r w:rsidR="00FE2F3B">
              <w:rPr>
                <w:lang w:val="en-GB"/>
              </w:rPr>
              <w:t>f</w:t>
            </w:r>
            <w:r w:rsidR="002244CE">
              <w:rPr>
                <w:lang w:val="en-GB"/>
              </w:rPr>
              <w:t xml:space="preserve"> mortgages gradually increased. Interest</w:t>
            </w:r>
            <w:r w:rsidR="00B20DF8">
              <w:rPr>
                <w:lang w:val="en-GB"/>
              </w:rPr>
              <w:t xml:space="preserve">s on fixed rate credits with terms between </w:t>
            </w:r>
            <w:r w:rsidR="00B20DF8" w:rsidRPr="006436E8">
              <w:rPr>
                <w:lang w:val="en-GB"/>
              </w:rPr>
              <w:t xml:space="preserve">1 </w:t>
            </w:r>
            <w:r w:rsidR="00B20DF8">
              <w:rPr>
                <w:lang w:val="en-GB"/>
              </w:rPr>
              <w:t xml:space="preserve">to 10 years grew the </w:t>
            </w:r>
            <w:r w:rsidR="00FE2F3B">
              <w:rPr>
                <w:lang w:val="en-GB"/>
              </w:rPr>
              <w:t xml:space="preserve">most </w:t>
            </w:r>
            <w:proofErr w:type="gramStart"/>
            <w:r w:rsidR="00B20DF8">
              <w:rPr>
                <w:lang w:val="en-GB"/>
              </w:rPr>
              <w:t xml:space="preserve">(by </w:t>
            </w:r>
            <w:r w:rsidR="009B0676" w:rsidRPr="00891251">
              <w:rPr>
                <w:lang w:val="en-GB"/>
              </w:rPr>
              <w:t>0</w:t>
            </w:r>
            <w:r w:rsidR="00B20DF8">
              <w:rPr>
                <w:lang w:val="en-GB"/>
              </w:rPr>
              <w:t>.</w:t>
            </w:r>
            <w:r w:rsidR="009B0676" w:rsidRPr="00891251">
              <w:rPr>
                <w:lang w:val="en-GB"/>
              </w:rPr>
              <w:t>29 </w:t>
            </w:r>
            <w:r w:rsidR="0030607B">
              <w:rPr>
                <w:lang w:val="en-GB"/>
              </w:rPr>
              <w:t>p.p.</w:t>
            </w:r>
            <w:r w:rsidR="009B0676" w:rsidRPr="00891251">
              <w:rPr>
                <w:lang w:val="en-GB"/>
              </w:rPr>
              <w:t>)</w:t>
            </w:r>
            <w:proofErr w:type="gramEnd"/>
            <w:r w:rsidR="009B0676" w:rsidRPr="00891251">
              <w:rPr>
                <w:lang w:val="en-GB"/>
              </w:rPr>
              <w:t xml:space="preserve">. </w:t>
            </w:r>
            <w:r w:rsidR="00B20DF8">
              <w:rPr>
                <w:lang w:val="en-GB"/>
              </w:rPr>
              <w:t xml:space="preserve">Rates for this type of mortgages are still however the lowest in comparison to the other fixed rates. </w:t>
            </w:r>
            <w:r w:rsidR="00013C75">
              <w:rPr>
                <w:lang w:val="en-GB"/>
              </w:rPr>
              <w:t xml:space="preserve">Interest rates on credit for the non-financial businesses did not change significantly during the year. A slight growth was apparent only in Q4. </w:t>
            </w:r>
          </w:p>
          <w:p w:rsidR="009B0676" w:rsidRPr="00891251" w:rsidRDefault="009B0676" w:rsidP="006E4368">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CC575E" w:rsidRDefault="00CC575E" w:rsidP="006E4368">
            <w:pPr>
              <w:spacing w:line="240" w:lineRule="auto"/>
              <w:rPr>
                <w:color w:val="000000" w:themeColor="text1"/>
                <w:sz w:val="16"/>
                <w:szCs w:val="16"/>
                <w:highlight w:val="yellow"/>
                <w:lang w:val="en-GB"/>
              </w:rPr>
            </w:pPr>
            <w:r>
              <w:rPr>
                <w:color w:val="000000" w:themeColor="text1"/>
                <w:sz w:val="16"/>
                <w:szCs w:val="16"/>
                <w:lang w:val="en-GB"/>
              </w:rPr>
              <w:t xml:space="preserve">Households took on debt for the reason of the purchase of real estate as well as consumption. Data regarding the number </w:t>
            </w:r>
            <w:r w:rsidR="00FE2F3B">
              <w:rPr>
                <w:color w:val="000000" w:themeColor="text1"/>
                <w:sz w:val="16"/>
                <w:szCs w:val="16"/>
                <w:lang w:val="en-GB"/>
              </w:rPr>
              <w:t xml:space="preserve">of </w:t>
            </w:r>
            <w:r>
              <w:rPr>
                <w:color w:val="000000" w:themeColor="text1"/>
                <w:sz w:val="16"/>
                <w:szCs w:val="16"/>
                <w:lang w:val="en-GB"/>
              </w:rPr>
              <w:t>new contracts however show stagnation.</w:t>
            </w:r>
            <w:r w:rsidR="009B0676" w:rsidRPr="00CC575E">
              <w:rPr>
                <w:color w:val="000000" w:themeColor="text1"/>
                <w:sz w:val="16"/>
                <w:szCs w:val="16"/>
                <w:lang w:val="en-GB"/>
              </w:rPr>
              <w:t xml:space="preserve"> </w:t>
            </w:r>
          </w:p>
        </w:tc>
        <w:tc>
          <w:tcPr>
            <w:tcW w:w="144" w:type="pct"/>
          </w:tcPr>
          <w:p w:rsidR="009B0676" w:rsidRPr="00CC575E" w:rsidRDefault="009B0676" w:rsidP="006E4368">
            <w:pPr>
              <w:pStyle w:val="Textpoznpodarou"/>
              <w:jc w:val="both"/>
              <w:rPr>
                <w:lang w:val="en-GB"/>
              </w:rPr>
            </w:pPr>
          </w:p>
        </w:tc>
        <w:tc>
          <w:tcPr>
            <w:tcW w:w="3840" w:type="pct"/>
            <w:gridSpan w:val="2"/>
          </w:tcPr>
          <w:p w:rsidR="009B0676" w:rsidRPr="00CC575E" w:rsidRDefault="00CC575E" w:rsidP="006E4368">
            <w:pPr>
              <w:pStyle w:val="Textpoznpodarou"/>
              <w:jc w:val="both"/>
              <w:rPr>
                <w:sz w:val="16"/>
                <w:szCs w:val="16"/>
                <w:lang w:val="en-GB"/>
              </w:rPr>
            </w:pPr>
            <w:r>
              <w:rPr>
                <w:lang w:val="en-GB"/>
              </w:rPr>
              <w:t xml:space="preserve">The volume of credit provided to households grew throughout the whole year 2017. It increased by 109.6 CZK </w:t>
            </w:r>
            <w:proofErr w:type="spellStart"/>
            <w:r>
              <w:rPr>
                <w:lang w:val="en-GB"/>
              </w:rPr>
              <w:t>bn</w:t>
            </w:r>
            <w:proofErr w:type="spellEnd"/>
            <w:r>
              <w:rPr>
                <w:lang w:val="en-GB"/>
              </w:rPr>
              <w:t xml:space="preserve"> for the 12 months </w:t>
            </w:r>
            <w:r w:rsidR="009B0676" w:rsidRPr="00CC575E">
              <w:rPr>
                <w:lang w:val="en-GB"/>
              </w:rPr>
              <w:t>(</w:t>
            </w:r>
            <w:r>
              <w:rPr>
                <w:lang w:val="en-GB"/>
              </w:rPr>
              <w:t>credit in CZK</w:t>
            </w:r>
            <w:r w:rsidR="00E47B32" w:rsidRPr="00CC575E">
              <w:rPr>
                <w:lang w:val="en-GB"/>
              </w:rPr>
              <w:t>;</w:t>
            </w:r>
            <w:r w:rsidR="009B0676" w:rsidRPr="00CC575E">
              <w:rPr>
                <w:lang w:val="en-GB"/>
              </w:rPr>
              <w:t xml:space="preserve"> </w:t>
            </w:r>
            <w:r>
              <w:rPr>
                <w:lang w:val="en-GB"/>
              </w:rPr>
              <w:t xml:space="preserve">credit in foreign currency is negligible for the Czech households) and the total volume of credit provided to households overtook 1.5 </w:t>
            </w:r>
            <w:r w:rsidR="006F0E00">
              <w:rPr>
                <w:lang w:val="en-GB"/>
              </w:rPr>
              <w:t>trillion in Q4</w:t>
            </w:r>
            <w:r w:rsidR="009B0676" w:rsidRPr="00CC575E">
              <w:rPr>
                <w:lang w:val="en-GB"/>
              </w:rPr>
              <w:t xml:space="preserve">. </w:t>
            </w:r>
            <w:r w:rsidR="0063030A">
              <w:rPr>
                <w:lang w:val="en-GB"/>
              </w:rPr>
              <w:t xml:space="preserve">Considerable increase manifested especially in the first half of the year </w:t>
            </w:r>
            <w:r w:rsidR="009B0676" w:rsidRPr="00CC575E">
              <w:rPr>
                <w:lang w:val="en-GB"/>
              </w:rPr>
              <w:t>(52</w:t>
            </w:r>
            <w:r w:rsidR="0063030A">
              <w:rPr>
                <w:lang w:val="en-GB"/>
              </w:rPr>
              <w:t>.</w:t>
            </w:r>
            <w:r w:rsidR="009B0676" w:rsidRPr="00CC575E">
              <w:rPr>
                <w:lang w:val="en-GB"/>
              </w:rPr>
              <w:t>9</w:t>
            </w:r>
            <w:r w:rsidR="00E47B32" w:rsidRPr="00CC575E">
              <w:rPr>
                <w:lang w:val="en-GB"/>
              </w:rPr>
              <w:t> </w:t>
            </w:r>
            <w:r w:rsidR="0063030A">
              <w:rPr>
                <w:lang w:val="en-GB"/>
              </w:rPr>
              <w:t xml:space="preserve">CZK </w:t>
            </w:r>
            <w:proofErr w:type="spellStart"/>
            <w:r w:rsidR="0063030A">
              <w:rPr>
                <w:lang w:val="en-GB"/>
              </w:rPr>
              <w:t>bn</w:t>
            </w:r>
            <w:proofErr w:type="spellEnd"/>
            <w:r w:rsidR="009B0676" w:rsidRPr="00CC575E">
              <w:rPr>
                <w:lang w:val="en-GB"/>
              </w:rPr>
              <w:t xml:space="preserve">), </w:t>
            </w:r>
            <w:r w:rsidR="0063030A">
              <w:rPr>
                <w:lang w:val="en-GB"/>
              </w:rPr>
              <w:t>H2 2017 lagged behind the same period of the previous year b</w:t>
            </w:r>
            <w:r w:rsidR="00FE2F3B">
              <w:rPr>
                <w:lang w:val="en-GB"/>
              </w:rPr>
              <w:t>y</w:t>
            </w:r>
            <w:r w:rsidR="0063030A">
              <w:rPr>
                <w:lang w:val="en-GB"/>
              </w:rPr>
              <w:t xml:space="preserve"> 2.8 bn.</w:t>
            </w:r>
            <w:r w:rsidR="009B0676" w:rsidRPr="00CC575E">
              <w:rPr>
                <w:lang w:val="en-GB"/>
              </w:rPr>
              <w:t xml:space="preserve"> </w:t>
            </w:r>
            <w:r w:rsidR="00E222BB">
              <w:rPr>
                <w:lang w:val="en-GB"/>
              </w:rPr>
              <w:t xml:space="preserve">The Czech households utilise the credit mostly for the reason of purchasing a real estate. The volume of mortgages provided increased by 91.5 </w:t>
            </w:r>
            <w:proofErr w:type="spellStart"/>
            <w:r w:rsidR="00E222BB">
              <w:rPr>
                <w:lang w:val="en-GB"/>
              </w:rPr>
              <w:t>bn</w:t>
            </w:r>
            <w:proofErr w:type="spellEnd"/>
            <w:r w:rsidR="00E222BB">
              <w:rPr>
                <w:lang w:val="en-GB"/>
              </w:rPr>
              <w:t xml:space="preserve"> last year</w:t>
            </w:r>
            <w:r w:rsidR="009B0676" w:rsidRPr="00CC575E">
              <w:rPr>
                <w:lang w:val="en-GB"/>
              </w:rPr>
              <w:t xml:space="preserve"> (</w:t>
            </w:r>
            <w:r w:rsidR="00E222BB">
              <w:rPr>
                <w:lang w:val="en-GB"/>
              </w:rPr>
              <w:t xml:space="preserve">by </w:t>
            </w:r>
            <w:r w:rsidR="009B0676" w:rsidRPr="00CC575E">
              <w:rPr>
                <w:lang w:val="en-GB"/>
              </w:rPr>
              <w:t>14</w:t>
            </w:r>
            <w:r w:rsidR="00E222BB">
              <w:rPr>
                <w:lang w:val="en-GB"/>
              </w:rPr>
              <w:t>.</w:t>
            </w:r>
            <w:r w:rsidR="009B0676" w:rsidRPr="00CC575E">
              <w:rPr>
                <w:lang w:val="en-GB"/>
              </w:rPr>
              <w:t>5</w:t>
            </w:r>
            <w:r w:rsidR="00E47B32" w:rsidRPr="00CC575E">
              <w:rPr>
                <w:lang w:val="en-GB"/>
              </w:rPr>
              <w:t> </w:t>
            </w:r>
            <w:proofErr w:type="spellStart"/>
            <w:r w:rsidR="00E222BB">
              <w:rPr>
                <w:lang w:val="en-GB"/>
              </w:rPr>
              <w:t>bn</w:t>
            </w:r>
            <w:proofErr w:type="spellEnd"/>
            <w:r w:rsidR="00E222BB">
              <w:rPr>
                <w:lang w:val="en-GB"/>
              </w:rPr>
              <w:t xml:space="preserve"> more than in year 2016</w:t>
            </w:r>
            <w:r w:rsidR="009B0676" w:rsidRPr="00CC575E">
              <w:rPr>
                <w:lang w:val="en-GB"/>
              </w:rPr>
              <w:t>) a</w:t>
            </w:r>
            <w:r w:rsidR="00E222BB">
              <w:rPr>
                <w:lang w:val="en-GB"/>
              </w:rPr>
              <w:t xml:space="preserve">nd it reached </w:t>
            </w:r>
            <w:r w:rsidR="009B0676" w:rsidRPr="00CC575E">
              <w:rPr>
                <w:lang w:val="en-GB"/>
              </w:rPr>
              <w:t>1</w:t>
            </w:r>
            <w:r w:rsidR="00E222BB">
              <w:rPr>
                <w:lang w:val="en-GB"/>
              </w:rPr>
              <w:t> </w:t>
            </w:r>
            <w:r w:rsidR="009B0676" w:rsidRPr="00CC575E">
              <w:rPr>
                <w:lang w:val="en-GB"/>
              </w:rPr>
              <w:t>035</w:t>
            </w:r>
            <w:r w:rsidR="00E222BB">
              <w:rPr>
                <w:lang w:val="en-GB"/>
              </w:rPr>
              <w:t>.</w:t>
            </w:r>
            <w:r w:rsidR="009B0676" w:rsidRPr="00CC575E">
              <w:rPr>
                <w:lang w:val="en-GB"/>
              </w:rPr>
              <w:t>2</w:t>
            </w:r>
            <w:r w:rsidR="00E47B32" w:rsidRPr="00CC575E">
              <w:rPr>
                <w:lang w:val="en-GB"/>
              </w:rPr>
              <w:t> </w:t>
            </w:r>
            <w:r w:rsidR="00E222BB">
              <w:rPr>
                <w:lang w:val="en-GB"/>
              </w:rPr>
              <w:t xml:space="preserve">CZK </w:t>
            </w:r>
            <w:proofErr w:type="spellStart"/>
            <w:r w:rsidR="00E222BB">
              <w:rPr>
                <w:lang w:val="en-GB"/>
              </w:rPr>
              <w:t>bn</w:t>
            </w:r>
            <w:proofErr w:type="spellEnd"/>
            <w:r w:rsidR="00E222BB">
              <w:rPr>
                <w:lang w:val="en-GB"/>
              </w:rPr>
              <w:t xml:space="preserve"> as of 31.</w:t>
            </w:r>
            <w:r w:rsidR="00283720">
              <w:rPr>
                <w:lang w:val="en-GB"/>
              </w:rPr>
              <w:t xml:space="preserve"> </w:t>
            </w:r>
            <w:r w:rsidR="00E222BB">
              <w:rPr>
                <w:lang w:val="en-GB"/>
              </w:rPr>
              <w:t>12. Data related to the number of new contracts to mortgages (available only as of 30.</w:t>
            </w:r>
            <w:r w:rsidR="00283720">
              <w:rPr>
                <w:lang w:val="en-GB"/>
              </w:rPr>
              <w:t xml:space="preserve"> </w:t>
            </w:r>
            <w:r w:rsidR="00E222BB">
              <w:rPr>
                <w:lang w:val="en-GB"/>
              </w:rPr>
              <w:t xml:space="preserve">9.) </w:t>
            </w:r>
            <w:proofErr w:type="gramStart"/>
            <w:r w:rsidR="00E222BB">
              <w:rPr>
                <w:lang w:val="en-GB"/>
              </w:rPr>
              <w:t>nevertheless</w:t>
            </w:r>
            <w:proofErr w:type="gramEnd"/>
            <w:r w:rsidR="00E222BB">
              <w:rPr>
                <w:lang w:val="en-GB"/>
              </w:rPr>
              <w:t xml:space="preserve"> show, that while the volume of credit grew, the number of new contracts fell year-on-year in both Q2 and Q3. Q4 2016 can be seen as the peak, when 60.0 thousand new contracts were signed (year-on-year increase by 12.5 thousand, number grew year-on-year also in Q1 2017</w:t>
            </w:r>
            <w:r w:rsidR="009B0676" w:rsidRPr="00CC575E">
              <w:rPr>
                <w:lang w:val="en-GB"/>
              </w:rPr>
              <w:t xml:space="preserve">). </w:t>
            </w:r>
            <w:r w:rsidR="00E222BB">
              <w:rPr>
                <w:lang w:val="en-GB"/>
              </w:rPr>
              <w:t xml:space="preserve">The reason of this development could be the expected tightening of the conditions for the provision of mortgages as well as the sharp increase of the prices of real estate. The volume of consumption credit increased by 13.1 CZK </w:t>
            </w:r>
            <w:proofErr w:type="spellStart"/>
            <w:r w:rsidR="00E222BB">
              <w:rPr>
                <w:lang w:val="en-GB"/>
              </w:rPr>
              <w:t>bn</w:t>
            </w:r>
            <w:proofErr w:type="spellEnd"/>
            <w:r w:rsidR="00E222BB">
              <w:rPr>
                <w:lang w:val="en-GB"/>
              </w:rPr>
              <w:t xml:space="preserve"> last year </w:t>
            </w:r>
            <w:r w:rsidR="009B0676" w:rsidRPr="00CC575E">
              <w:rPr>
                <w:lang w:val="en-GB"/>
              </w:rPr>
              <w:t>(</w:t>
            </w:r>
            <w:r w:rsidR="00E222BB">
              <w:rPr>
                <w:lang w:val="en-GB"/>
              </w:rPr>
              <w:t xml:space="preserve">by </w:t>
            </w:r>
            <w:r w:rsidR="009B0676" w:rsidRPr="00CC575E">
              <w:rPr>
                <w:lang w:val="en-GB"/>
              </w:rPr>
              <w:t>1</w:t>
            </w:r>
            <w:r w:rsidR="00E222BB">
              <w:rPr>
                <w:lang w:val="en-GB"/>
              </w:rPr>
              <w:t>.</w:t>
            </w:r>
            <w:r w:rsidR="009B0676" w:rsidRPr="00CC575E">
              <w:rPr>
                <w:lang w:val="en-GB"/>
              </w:rPr>
              <w:t>6</w:t>
            </w:r>
            <w:r w:rsidR="00E222BB">
              <w:rPr>
                <w:lang w:val="en-GB"/>
              </w:rPr>
              <w:t xml:space="preserve">bn less than in </w:t>
            </w:r>
            <w:r w:rsidR="009B0676" w:rsidRPr="00CC575E">
              <w:rPr>
                <w:lang w:val="en-GB"/>
              </w:rPr>
              <w:t>2016) a</w:t>
            </w:r>
            <w:r w:rsidR="00D14AFA">
              <w:rPr>
                <w:lang w:val="en-GB"/>
              </w:rPr>
              <w:t xml:space="preserve">nd it arrived at 198.5 CZK </w:t>
            </w:r>
            <w:proofErr w:type="spellStart"/>
            <w:r w:rsidR="00D14AFA">
              <w:rPr>
                <w:lang w:val="en-GB"/>
              </w:rPr>
              <w:t>bn</w:t>
            </w:r>
            <w:proofErr w:type="spellEnd"/>
            <w:r w:rsidR="00D14AFA">
              <w:rPr>
                <w:lang w:val="en-GB"/>
              </w:rPr>
              <w:t xml:space="preserve"> as of </w:t>
            </w:r>
            <w:r w:rsidR="009B0676" w:rsidRPr="00CC575E">
              <w:rPr>
                <w:lang w:val="en-GB"/>
              </w:rPr>
              <w:t>31.</w:t>
            </w:r>
            <w:r w:rsidR="00E47B32" w:rsidRPr="00CC575E">
              <w:rPr>
                <w:lang w:val="en-GB"/>
              </w:rPr>
              <w:t> </w:t>
            </w:r>
            <w:r w:rsidR="009B0676" w:rsidRPr="00CC575E">
              <w:rPr>
                <w:lang w:val="en-GB"/>
              </w:rPr>
              <w:t>12.</w:t>
            </w:r>
            <w:r w:rsidR="00D14AFA">
              <w:rPr>
                <w:lang w:val="en-GB"/>
              </w:rPr>
              <w:t xml:space="preserve"> </w:t>
            </w:r>
            <w:r w:rsidR="006873E5">
              <w:rPr>
                <w:lang w:val="en-GB"/>
              </w:rPr>
              <w:t>Total</w:t>
            </w:r>
            <w:r w:rsidR="00D14AFA">
              <w:rPr>
                <w:lang w:val="en-GB"/>
              </w:rPr>
              <w:t xml:space="preserve"> indebtedness of </w:t>
            </w:r>
            <w:r w:rsidR="006873E5">
              <w:rPr>
                <w:lang w:val="en-GB"/>
              </w:rPr>
              <w:t>households</w:t>
            </w:r>
            <w:r w:rsidR="00D14AFA">
              <w:rPr>
                <w:lang w:val="en-GB"/>
              </w:rPr>
              <w:t xml:space="preserve"> was </w:t>
            </w:r>
            <w:r w:rsidR="009B0676" w:rsidRPr="00CC575E">
              <w:rPr>
                <w:lang w:val="en-GB"/>
              </w:rPr>
              <w:t>1</w:t>
            </w:r>
            <w:r w:rsidR="00F243F6">
              <w:rPr>
                <w:lang w:val="en-GB"/>
              </w:rPr>
              <w:t> </w:t>
            </w:r>
            <w:r w:rsidR="009B0676" w:rsidRPr="00CC575E">
              <w:rPr>
                <w:lang w:val="en-GB"/>
              </w:rPr>
              <w:t>595</w:t>
            </w:r>
            <w:r w:rsidR="00F243F6">
              <w:rPr>
                <w:lang w:val="en-GB"/>
              </w:rPr>
              <w:t>.</w:t>
            </w:r>
            <w:r w:rsidR="009B0676" w:rsidRPr="00CC575E">
              <w:rPr>
                <w:lang w:val="en-GB"/>
              </w:rPr>
              <w:t>8</w:t>
            </w:r>
            <w:r w:rsidR="00E47B32" w:rsidRPr="00CC575E">
              <w:rPr>
                <w:lang w:val="en-GB"/>
              </w:rPr>
              <w:t> </w:t>
            </w:r>
            <w:r w:rsidR="00F243F6">
              <w:rPr>
                <w:lang w:val="en-GB"/>
              </w:rPr>
              <w:t xml:space="preserve">CZK </w:t>
            </w:r>
            <w:proofErr w:type="spellStart"/>
            <w:r w:rsidR="006873E5">
              <w:rPr>
                <w:lang w:val="en-GB"/>
              </w:rPr>
              <w:t>bn</w:t>
            </w:r>
            <w:proofErr w:type="spellEnd"/>
            <w:r w:rsidR="006873E5">
              <w:rPr>
                <w:lang w:val="en-GB"/>
              </w:rPr>
              <w:t xml:space="preserve"> as </w:t>
            </w:r>
            <w:r w:rsidR="00D14AFA">
              <w:rPr>
                <w:lang w:val="en-GB"/>
              </w:rPr>
              <w:t>of 31.</w:t>
            </w:r>
            <w:r w:rsidR="00283720">
              <w:rPr>
                <w:lang w:val="en-GB"/>
              </w:rPr>
              <w:t xml:space="preserve"> </w:t>
            </w:r>
            <w:r w:rsidR="00D14AFA">
              <w:rPr>
                <w:lang w:val="en-GB"/>
              </w:rPr>
              <w:t xml:space="preserve">12. Debts connected to housing participated from </w:t>
            </w:r>
            <w:r w:rsidR="009B0676" w:rsidRPr="00CC575E">
              <w:rPr>
                <w:lang w:val="en-GB"/>
              </w:rPr>
              <w:t>72</w:t>
            </w:r>
            <w:r w:rsidR="00D14AFA">
              <w:rPr>
                <w:lang w:val="en-GB"/>
              </w:rPr>
              <w:t>.</w:t>
            </w:r>
            <w:r w:rsidR="009B0676" w:rsidRPr="00CC575E">
              <w:rPr>
                <w:lang w:val="en-GB"/>
              </w:rPr>
              <w:t>2%.</w:t>
            </w:r>
          </w:p>
          <w:p w:rsidR="009B0676" w:rsidRPr="00CC575E" w:rsidRDefault="009B0676" w:rsidP="006E4368">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364EAD" w:rsidRDefault="00364EAD" w:rsidP="006E4368">
            <w:pPr>
              <w:spacing w:line="240" w:lineRule="auto"/>
              <w:rPr>
                <w:color w:val="000000" w:themeColor="text1"/>
                <w:sz w:val="16"/>
                <w:szCs w:val="16"/>
                <w:lang w:val="en-GB"/>
              </w:rPr>
            </w:pPr>
            <w:r>
              <w:rPr>
                <w:color w:val="000000" w:themeColor="text1"/>
                <w:sz w:val="16"/>
                <w:szCs w:val="16"/>
                <w:lang w:val="en-GB"/>
              </w:rPr>
              <w:t>Credit in foreign currency affected the most the financial and insurance activities last year. In recent years however, they play important role also for the non-financial businesses.</w:t>
            </w:r>
          </w:p>
        </w:tc>
        <w:tc>
          <w:tcPr>
            <w:tcW w:w="144" w:type="pct"/>
          </w:tcPr>
          <w:p w:rsidR="009B0676" w:rsidRPr="00364EAD" w:rsidRDefault="009B0676" w:rsidP="006E4368">
            <w:pPr>
              <w:pStyle w:val="Textpoznpodarou"/>
              <w:jc w:val="both"/>
              <w:rPr>
                <w:lang w:val="en-GB"/>
              </w:rPr>
            </w:pPr>
          </w:p>
        </w:tc>
        <w:tc>
          <w:tcPr>
            <w:tcW w:w="3840" w:type="pct"/>
            <w:gridSpan w:val="2"/>
          </w:tcPr>
          <w:p w:rsidR="009B0676" w:rsidRDefault="00364EAD" w:rsidP="00711398">
            <w:pPr>
              <w:pStyle w:val="Textpoznpodarou"/>
              <w:jc w:val="both"/>
              <w:rPr>
                <w:lang w:val="en-GB"/>
              </w:rPr>
            </w:pPr>
            <w:r>
              <w:rPr>
                <w:lang w:val="en-GB"/>
              </w:rPr>
              <w:t xml:space="preserve">The volume of credit and liabilities for the non-financial businesses increased by 45.9 CZK </w:t>
            </w:r>
            <w:proofErr w:type="spellStart"/>
            <w:r>
              <w:rPr>
                <w:lang w:val="en-GB"/>
              </w:rPr>
              <w:t>bn</w:t>
            </w:r>
            <w:proofErr w:type="spellEnd"/>
            <w:r>
              <w:rPr>
                <w:lang w:val="en-GB"/>
              </w:rPr>
              <w:t xml:space="preserve"> for year 2017. The largest share </w:t>
            </w:r>
            <w:r w:rsidR="009B0676" w:rsidRPr="00364EAD">
              <w:rPr>
                <w:lang w:val="en-GB"/>
              </w:rPr>
              <w:t>(55</w:t>
            </w:r>
            <w:r>
              <w:rPr>
                <w:lang w:val="en-GB"/>
              </w:rPr>
              <w:t>.</w:t>
            </w:r>
            <w:r w:rsidR="009B0676" w:rsidRPr="00364EAD">
              <w:rPr>
                <w:lang w:val="en-GB"/>
              </w:rPr>
              <w:t xml:space="preserve">8%) </w:t>
            </w:r>
            <w:r w:rsidR="0008376A">
              <w:rPr>
                <w:lang w:val="en-GB"/>
              </w:rPr>
              <w:t xml:space="preserve">had as of </w:t>
            </w:r>
            <w:r w:rsidR="009B0676" w:rsidRPr="00364EAD">
              <w:rPr>
                <w:lang w:val="en-GB"/>
              </w:rPr>
              <w:t>31.</w:t>
            </w:r>
            <w:r w:rsidR="00A614EB" w:rsidRPr="00364EAD">
              <w:rPr>
                <w:lang w:val="en-GB"/>
              </w:rPr>
              <w:t> </w:t>
            </w:r>
            <w:r w:rsidR="009B0676" w:rsidRPr="00364EAD">
              <w:rPr>
                <w:lang w:val="en-GB"/>
              </w:rPr>
              <w:t>12</w:t>
            </w:r>
            <w:r w:rsidR="00FE2F3B">
              <w:rPr>
                <w:lang w:val="en-GB"/>
              </w:rPr>
              <w:t xml:space="preserve">. </w:t>
            </w:r>
            <w:proofErr w:type="gramStart"/>
            <w:r w:rsidR="0008376A">
              <w:rPr>
                <w:lang w:val="en-GB"/>
              </w:rPr>
              <w:t>the</w:t>
            </w:r>
            <w:proofErr w:type="gramEnd"/>
            <w:r w:rsidR="0008376A">
              <w:rPr>
                <w:lang w:val="en-GB"/>
              </w:rPr>
              <w:t xml:space="preserve"> long-term credit, whi</w:t>
            </w:r>
            <w:r w:rsidR="00654E14">
              <w:rPr>
                <w:lang w:val="en-GB"/>
              </w:rPr>
              <w:t>ch</w:t>
            </w:r>
            <w:r w:rsidR="0008376A">
              <w:rPr>
                <w:lang w:val="en-GB"/>
              </w:rPr>
              <w:t xml:space="preserve"> also expanded the most </w:t>
            </w:r>
            <w:r w:rsidR="009B0676" w:rsidRPr="00364EAD">
              <w:rPr>
                <w:lang w:val="en-GB"/>
              </w:rPr>
              <w:t>(</w:t>
            </w:r>
            <w:r w:rsidR="0008376A">
              <w:rPr>
                <w:lang w:val="en-GB"/>
              </w:rPr>
              <w:t xml:space="preserve">by </w:t>
            </w:r>
            <w:r w:rsidR="009B0676" w:rsidRPr="00364EAD">
              <w:rPr>
                <w:lang w:val="en-GB"/>
              </w:rPr>
              <w:t>20</w:t>
            </w:r>
            <w:r w:rsidR="0008376A">
              <w:rPr>
                <w:lang w:val="en-GB"/>
              </w:rPr>
              <w:t>.</w:t>
            </w:r>
            <w:r w:rsidR="009B0676" w:rsidRPr="00364EAD">
              <w:rPr>
                <w:lang w:val="en-GB"/>
              </w:rPr>
              <w:t xml:space="preserve">8 </w:t>
            </w:r>
            <w:r w:rsidR="0008376A">
              <w:rPr>
                <w:lang w:val="en-GB"/>
              </w:rPr>
              <w:t xml:space="preserve">CZK </w:t>
            </w:r>
            <w:proofErr w:type="spellStart"/>
            <w:r w:rsidR="0008376A">
              <w:rPr>
                <w:lang w:val="en-GB"/>
              </w:rPr>
              <w:t>bn</w:t>
            </w:r>
            <w:proofErr w:type="spellEnd"/>
            <w:r w:rsidR="009B0676" w:rsidRPr="00364EAD">
              <w:rPr>
                <w:lang w:val="en-GB"/>
              </w:rPr>
              <w:t xml:space="preserve">). </w:t>
            </w:r>
            <w:r w:rsidR="0008376A">
              <w:rPr>
                <w:lang w:val="en-GB"/>
              </w:rPr>
              <w:t xml:space="preserve">The volume of short term credit also however recorded a marked increase </w:t>
            </w:r>
            <w:r w:rsidR="009B0676" w:rsidRPr="00364EAD">
              <w:rPr>
                <w:lang w:val="en-GB"/>
              </w:rPr>
              <w:t>(</w:t>
            </w:r>
            <w:r w:rsidR="0008376A">
              <w:rPr>
                <w:lang w:val="en-GB"/>
              </w:rPr>
              <w:t xml:space="preserve">by </w:t>
            </w:r>
            <w:r w:rsidR="009B0676" w:rsidRPr="00364EAD">
              <w:rPr>
                <w:lang w:val="en-GB"/>
              </w:rPr>
              <w:t>17</w:t>
            </w:r>
            <w:r w:rsidR="0008376A">
              <w:rPr>
                <w:lang w:val="en-GB"/>
              </w:rPr>
              <w:t>.</w:t>
            </w:r>
            <w:r w:rsidR="009B0676" w:rsidRPr="00364EAD">
              <w:rPr>
                <w:lang w:val="en-GB"/>
              </w:rPr>
              <w:t xml:space="preserve">3 </w:t>
            </w:r>
            <w:r w:rsidR="0008376A">
              <w:rPr>
                <w:lang w:val="en-GB"/>
              </w:rPr>
              <w:t>bn</w:t>
            </w:r>
            <w:r w:rsidR="009B0676" w:rsidRPr="00364EAD">
              <w:rPr>
                <w:lang w:val="en-GB"/>
              </w:rPr>
              <w:t xml:space="preserve">.). </w:t>
            </w:r>
            <w:r w:rsidR="00864B5A">
              <w:rPr>
                <w:lang w:val="en-GB"/>
              </w:rPr>
              <w:t xml:space="preserve">Credit denominated in the foreign currency held an important role </w:t>
            </w:r>
            <w:r w:rsidR="009B0676" w:rsidRPr="00364EAD">
              <w:rPr>
                <w:lang w:val="en-GB"/>
              </w:rPr>
              <w:t>(</w:t>
            </w:r>
            <w:r w:rsidR="00864B5A">
              <w:rPr>
                <w:lang w:val="en-GB"/>
              </w:rPr>
              <w:t xml:space="preserve">they comprised 29.6% of the total volume of credit as of </w:t>
            </w:r>
            <w:r w:rsidR="009B0676" w:rsidRPr="00364EAD">
              <w:rPr>
                <w:lang w:val="en-GB"/>
              </w:rPr>
              <w:t>31.</w:t>
            </w:r>
            <w:r w:rsidR="00A614EB" w:rsidRPr="00364EAD">
              <w:rPr>
                <w:lang w:val="en-GB"/>
              </w:rPr>
              <w:t> </w:t>
            </w:r>
            <w:proofErr w:type="gramStart"/>
            <w:r w:rsidR="009B0676" w:rsidRPr="00364EAD">
              <w:rPr>
                <w:lang w:val="en-GB"/>
              </w:rPr>
              <w:t xml:space="preserve">12.), </w:t>
            </w:r>
            <w:r w:rsidR="00864B5A">
              <w:rPr>
                <w:lang w:val="en-GB"/>
              </w:rPr>
              <w:t xml:space="preserve">whose volume expressed in </w:t>
            </w:r>
            <w:proofErr w:type="spellStart"/>
            <w:r w:rsidR="00864B5A">
              <w:rPr>
                <w:lang w:val="en-GB"/>
              </w:rPr>
              <w:t>korunas</w:t>
            </w:r>
            <w:proofErr w:type="spellEnd"/>
            <w:proofErr w:type="gramEnd"/>
            <w:r w:rsidR="00864B5A">
              <w:rPr>
                <w:lang w:val="en-GB"/>
              </w:rPr>
              <w:t xml:space="preserve"> affected the last year´s strengthening. Volume of credit and liabilities in the foreign currency thus increased by 35.1 CZK </w:t>
            </w:r>
            <w:proofErr w:type="spellStart"/>
            <w:r w:rsidR="00864B5A">
              <w:rPr>
                <w:lang w:val="en-GB"/>
              </w:rPr>
              <w:t>bn</w:t>
            </w:r>
            <w:proofErr w:type="spellEnd"/>
            <w:r w:rsidR="00864B5A">
              <w:rPr>
                <w:lang w:val="en-GB"/>
              </w:rPr>
              <w:t xml:space="preserve"> for Q1 </w:t>
            </w:r>
            <w:r w:rsidR="009B0676" w:rsidRPr="00364EAD">
              <w:rPr>
                <w:lang w:val="en-GB"/>
              </w:rPr>
              <w:t>(12</w:t>
            </w:r>
            <w:r w:rsidR="00864B5A">
              <w:rPr>
                <w:lang w:val="en-GB"/>
              </w:rPr>
              <w:t>.</w:t>
            </w:r>
            <w:r w:rsidR="009B0676" w:rsidRPr="00364EAD">
              <w:rPr>
                <w:lang w:val="en-GB"/>
              </w:rPr>
              <w:t>9%) a</w:t>
            </w:r>
            <w:r w:rsidR="00864B5A">
              <w:rPr>
                <w:lang w:val="en-GB"/>
              </w:rPr>
              <w:t xml:space="preserve">nd the </w:t>
            </w:r>
            <w:r w:rsidR="00E40844">
              <w:rPr>
                <w:lang w:val="en-GB"/>
              </w:rPr>
              <w:t>short-term</w:t>
            </w:r>
            <w:r w:rsidR="00864B5A">
              <w:rPr>
                <w:lang w:val="en-GB"/>
              </w:rPr>
              <w:t xml:space="preserve"> credit formed one half of this increase</w:t>
            </w:r>
            <w:r w:rsidR="009B0676" w:rsidRPr="00364EAD">
              <w:rPr>
                <w:lang w:val="en-GB"/>
              </w:rPr>
              <w:t xml:space="preserve">. </w:t>
            </w:r>
            <w:r w:rsidR="00E40844">
              <w:rPr>
                <w:lang w:val="en-GB"/>
              </w:rPr>
              <w:t xml:space="preserve">In the remaining quarters, a weakened interest for credit in currency was apparent (drop by 4.4 </w:t>
            </w:r>
            <w:proofErr w:type="spellStart"/>
            <w:r w:rsidR="00E40844">
              <w:rPr>
                <w:lang w:val="en-GB"/>
              </w:rPr>
              <w:t>bn</w:t>
            </w:r>
            <w:proofErr w:type="spellEnd"/>
            <w:r w:rsidR="00E40844">
              <w:rPr>
                <w:lang w:val="en-GB"/>
              </w:rPr>
              <w:t xml:space="preserve">, in 2016 in the same period an increase by 34.9 </w:t>
            </w:r>
            <w:proofErr w:type="spellStart"/>
            <w:r w:rsidR="00E40844">
              <w:rPr>
                <w:lang w:val="en-GB"/>
              </w:rPr>
              <w:t>bn</w:t>
            </w:r>
            <w:proofErr w:type="spellEnd"/>
            <w:r w:rsidR="00E40844">
              <w:rPr>
                <w:lang w:val="en-GB"/>
              </w:rPr>
              <w:t xml:space="preserve">). </w:t>
            </w:r>
            <w:r w:rsidR="009B0676" w:rsidRPr="00364EAD">
              <w:rPr>
                <w:lang w:val="en-GB"/>
              </w:rPr>
              <w:t xml:space="preserve"> </w:t>
            </w:r>
            <w:r w:rsidR="00E40844">
              <w:rPr>
                <w:lang w:val="en-GB"/>
              </w:rPr>
              <w:t xml:space="preserve">Credits in foreign </w:t>
            </w:r>
            <w:r w:rsidR="005A1FEE">
              <w:rPr>
                <w:lang w:val="en-GB"/>
              </w:rPr>
              <w:t>currency</w:t>
            </w:r>
            <w:r w:rsidR="00E40844">
              <w:rPr>
                <w:lang w:val="en-GB"/>
              </w:rPr>
              <w:t xml:space="preserve"> were reflected also in the view according to branches. Their major increase was apparent for financial and </w:t>
            </w:r>
            <w:r w:rsidR="00E40844">
              <w:rPr>
                <w:lang w:val="en-GB"/>
              </w:rPr>
              <w:lastRenderedPageBreak/>
              <w:t xml:space="preserve">insurance activities in Q1 </w:t>
            </w:r>
            <w:r w:rsidR="009B0676" w:rsidRPr="00364EAD">
              <w:rPr>
                <w:lang w:val="en-GB"/>
              </w:rPr>
              <w:t>(</w:t>
            </w:r>
            <w:r w:rsidR="00E40844">
              <w:rPr>
                <w:lang w:val="en-GB"/>
              </w:rPr>
              <w:t xml:space="preserve">by </w:t>
            </w:r>
            <w:r w:rsidR="009B0676" w:rsidRPr="00364EAD">
              <w:rPr>
                <w:lang w:val="en-GB"/>
              </w:rPr>
              <w:t>39</w:t>
            </w:r>
            <w:r w:rsidR="00E40844">
              <w:rPr>
                <w:lang w:val="en-GB"/>
              </w:rPr>
              <w:t>.</w:t>
            </w:r>
            <w:r w:rsidR="009B0676" w:rsidRPr="00364EAD">
              <w:rPr>
                <w:lang w:val="en-GB"/>
              </w:rPr>
              <w:t>1</w:t>
            </w:r>
            <w:r w:rsidR="009B0676" w:rsidRPr="005A1FEE">
              <w:rPr>
                <w:lang w:val="en-GB"/>
              </w:rPr>
              <w:t>%, 40</w:t>
            </w:r>
            <w:r w:rsidR="00E40844" w:rsidRPr="005A1FEE">
              <w:rPr>
                <w:lang w:val="en-GB"/>
              </w:rPr>
              <w:t>.</w:t>
            </w:r>
            <w:r w:rsidR="009B0676" w:rsidRPr="005A1FEE">
              <w:rPr>
                <w:lang w:val="en-GB"/>
              </w:rPr>
              <w:t>0</w:t>
            </w:r>
            <w:r w:rsidR="00A614EB" w:rsidRPr="005A1FEE">
              <w:rPr>
                <w:lang w:val="en-GB"/>
              </w:rPr>
              <w:t> </w:t>
            </w:r>
            <w:r w:rsidR="00E40844" w:rsidRPr="005A1FEE">
              <w:rPr>
                <w:lang w:val="en-GB"/>
              </w:rPr>
              <w:t xml:space="preserve">CZK </w:t>
            </w:r>
            <w:proofErr w:type="spellStart"/>
            <w:r w:rsidR="00E40844" w:rsidRPr="005A1FEE">
              <w:rPr>
                <w:lang w:val="en-GB"/>
              </w:rPr>
              <w:t>bn</w:t>
            </w:r>
            <w:proofErr w:type="spellEnd"/>
            <w:r w:rsidR="009B0676" w:rsidRPr="005A1FEE">
              <w:rPr>
                <w:lang w:val="en-GB"/>
              </w:rPr>
              <w:t xml:space="preserve">), </w:t>
            </w:r>
            <w:r w:rsidR="00E40844" w:rsidRPr="005A1FEE">
              <w:rPr>
                <w:lang w:val="en-GB"/>
              </w:rPr>
              <w:t xml:space="preserve">fall of 51.9 </w:t>
            </w:r>
            <w:proofErr w:type="spellStart"/>
            <w:r w:rsidR="00E40844" w:rsidRPr="005A1FEE">
              <w:rPr>
                <w:lang w:val="en-GB"/>
              </w:rPr>
              <w:t>bn</w:t>
            </w:r>
            <w:proofErr w:type="spellEnd"/>
            <w:r w:rsidR="00E40844" w:rsidRPr="005A1FEE">
              <w:rPr>
                <w:lang w:val="en-GB"/>
              </w:rPr>
              <w:t xml:space="preserve"> occurred in Q4. </w:t>
            </w:r>
            <w:r w:rsidR="00E40844" w:rsidRPr="00D77E0D">
              <w:rPr>
                <w:lang w:val="en-GB"/>
              </w:rPr>
              <w:t xml:space="preserve">Less extreme, but similar </w:t>
            </w:r>
            <w:r w:rsidR="00D77E0D" w:rsidRPr="00D77E0D">
              <w:rPr>
                <w:lang w:val="en-GB"/>
              </w:rPr>
              <w:t>development</w:t>
            </w:r>
            <w:r w:rsidR="00E40844" w:rsidRPr="00D77E0D">
              <w:rPr>
                <w:lang w:val="en-GB"/>
              </w:rPr>
              <w:t xml:space="preserve"> of the volume of credit was also apparent for the real estate activities. </w:t>
            </w:r>
            <w:r w:rsidR="00D77E0D" w:rsidRPr="00D77E0D">
              <w:rPr>
                <w:lang w:val="en-GB"/>
              </w:rPr>
              <w:t xml:space="preserve">Manufacturing </w:t>
            </w:r>
            <w:r w:rsidR="00E40844" w:rsidRPr="00D77E0D">
              <w:rPr>
                <w:lang w:val="en-GB"/>
              </w:rPr>
              <w:t>also increase</w:t>
            </w:r>
            <w:r w:rsidR="00573A00" w:rsidRPr="00D77E0D">
              <w:rPr>
                <w:lang w:val="en-GB"/>
              </w:rPr>
              <w:t>d</w:t>
            </w:r>
            <w:r w:rsidR="00E40844" w:rsidRPr="00D77E0D">
              <w:rPr>
                <w:lang w:val="en-GB"/>
              </w:rPr>
              <w:t xml:space="preserve"> the proportion of credit in the </w:t>
            </w:r>
            <w:r w:rsidR="00D77E0D" w:rsidRPr="00D77E0D">
              <w:rPr>
                <w:lang w:val="en-GB"/>
              </w:rPr>
              <w:t>foreign</w:t>
            </w:r>
            <w:r w:rsidR="00E40844" w:rsidRPr="00D77E0D">
              <w:rPr>
                <w:lang w:val="en-GB"/>
              </w:rPr>
              <w:t xml:space="preserve"> </w:t>
            </w:r>
            <w:r w:rsidR="00D77E0D" w:rsidRPr="00D77E0D">
              <w:rPr>
                <w:lang w:val="en-GB"/>
              </w:rPr>
              <w:t>currency</w:t>
            </w:r>
            <w:r w:rsidR="009B0676" w:rsidRPr="00D77E0D">
              <w:rPr>
                <w:lang w:val="en-GB"/>
              </w:rPr>
              <w:t> </w:t>
            </w:r>
            <w:r w:rsidR="00573A00" w:rsidRPr="00D77E0D">
              <w:rPr>
                <w:lang w:val="en-GB"/>
              </w:rPr>
              <w:t>up to</w:t>
            </w:r>
            <w:r w:rsidR="009B0676" w:rsidRPr="00D77E0D">
              <w:rPr>
                <w:lang w:val="en-GB"/>
              </w:rPr>
              <w:t xml:space="preserve"> 50</w:t>
            </w:r>
            <w:r w:rsidR="00573A00" w:rsidRPr="00D77E0D">
              <w:rPr>
                <w:lang w:val="en-GB"/>
              </w:rPr>
              <w:t>.</w:t>
            </w:r>
            <w:r w:rsidR="009B0676" w:rsidRPr="00D77E0D">
              <w:rPr>
                <w:lang w:val="en-GB"/>
              </w:rPr>
              <w:t>4%</w:t>
            </w:r>
            <w:r w:rsidR="00573A00" w:rsidRPr="00D77E0D">
              <w:rPr>
                <w:lang w:val="en-GB"/>
              </w:rPr>
              <w:t xml:space="preserve"> at the beginning of the year</w:t>
            </w:r>
            <w:r w:rsidR="00D77E0D" w:rsidRPr="00D77E0D">
              <w:rPr>
                <w:lang w:val="en-GB"/>
              </w:rPr>
              <w:t xml:space="preserve"> towards the end of March </w:t>
            </w:r>
            <w:r w:rsidR="009B0676" w:rsidRPr="00D77E0D">
              <w:rPr>
                <w:lang w:val="en-GB"/>
              </w:rPr>
              <w:t>(</w:t>
            </w:r>
            <w:r w:rsidR="00D77E0D" w:rsidRPr="00D77E0D">
              <w:rPr>
                <w:lang w:val="en-GB"/>
              </w:rPr>
              <w:t xml:space="preserve">it was 46.8% at the end of year </w:t>
            </w:r>
            <w:r w:rsidR="009B0676" w:rsidRPr="00D77E0D">
              <w:rPr>
                <w:lang w:val="en-GB"/>
              </w:rPr>
              <w:t xml:space="preserve">2016). </w:t>
            </w:r>
            <w:r w:rsidR="008B4EEA">
              <w:rPr>
                <w:lang w:val="en-GB"/>
              </w:rPr>
              <w:t xml:space="preserve">For the rest of the year, the value in CZK was gradually sinking (given more by the appreciation of koruna). Total volume of credit in manufacturing grew equally throughout the </w:t>
            </w:r>
            <w:r w:rsidR="008B4EEA" w:rsidRPr="000F7C25">
              <w:rPr>
                <w:lang w:val="en-GB"/>
              </w:rPr>
              <w:t xml:space="preserve">year </w:t>
            </w:r>
            <w:r w:rsidR="009B0676" w:rsidRPr="000F7C25">
              <w:rPr>
                <w:lang w:val="en-GB"/>
              </w:rPr>
              <w:t>(</w:t>
            </w:r>
            <w:r w:rsidR="000F7C25">
              <w:rPr>
                <w:lang w:val="en-GB"/>
              </w:rPr>
              <w:t xml:space="preserve">average year-on-year pace of </w:t>
            </w:r>
            <w:r w:rsidR="009B0676" w:rsidRPr="000F7C25">
              <w:rPr>
                <w:lang w:val="en-GB"/>
              </w:rPr>
              <w:t>4</w:t>
            </w:r>
            <w:r w:rsidR="000F7C25">
              <w:rPr>
                <w:lang w:val="en-GB"/>
              </w:rPr>
              <w:t>.</w:t>
            </w:r>
            <w:r w:rsidR="009B0676" w:rsidRPr="000F7C25">
              <w:rPr>
                <w:lang w:val="en-GB"/>
              </w:rPr>
              <w:t xml:space="preserve">2%). </w:t>
            </w:r>
            <w:r w:rsidR="00085094" w:rsidRPr="000F7C25">
              <w:rPr>
                <w:lang w:val="en-GB"/>
              </w:rPr>
              <w:t xml:space="preserve">Transport and storage (+6.3 CZK </w:t>
            </w:r>
            <w:proofErr w:type="spellStart"/>
            <w:r w:rsidR="00085094" w:rsidRPr="000F7C25">
              <w:rPr>
                <w:lang w:val="en-GB"/>
              </w:rPr>
              <w:t>bn</w:t>
            </w:r>
            <w:proofErr w:type="spellEnd"/>
            <w:r w:rsidR="00085094" w:rsidRPr="000F7C25">
              <w:rPr>
                <w:lang w:val="en-GB"/>
              </w:rPr>
              <w:t>, 15.</w:t>
            </w:r>
            <w:r w:rsidR="000F7C25">
              <w:rPr>
                <w:lang w:val="en-GB"/>
              </w:rPr>
              <w:t>2</w:t>
            </w:r>
            <w:r w:rsidR="00085094" w:rsidRPr="000F7C25">
              <w:rPr>
                <w:lang w:val="en-GB"/>
              </w:rPr>
              <w:t>%) f</w:t>
            </w:r>
            <w:r w:rsidR="00085094">
              <w:rPr>
                <w:lang w:val="en-GB"/>
              </w:rPr>
              <w:t xml:space="preserve">ollowed in the long-term strong growth of the credit financing in 2017, credit financing for accommodation, food service and restaurants (28.6%) also markedly increased. Volume of credit was falling for mining and quarrying for the whole year (by 9.6 CZK </w:t>
            </w:r>
            <w:proofErr w:type="spellStart"/>
            <w:r w:rsidR="00085094">
              <w:rPr>
                <w:lang w:val="en-GB"/>
              </w:rPr>
              <w:t>bn</w:t>
            </w:r>
            <w:proofErr w:type="spellEnd"/>
            <w:r w:rsidR="00085094">
              <w:rPr>
                <w:lang w:val="en-GB"/>
              </w:rPr>
              <w:t xml:space="preserve"> for the whole year, 46.2%).</w:t>
            </w:r>
            <w:r w:rsidR="009B0676" w:rsidRPr="00364EAD">
              <w:rPr>
                <w:lang w:val="en-GB"/>
              </w:rPr>
              <w:t xml:space="preserve">   </w:t>
            </w:r>
          </w:p>
          <w:p w:rsidR="005412E0" w:rsidRPr="00364EAD" w:rsidRDefault="005412E0" w:rsidP="00711398">
            <w:pPr>
              <w:pStyle w:val="Textpoznpodarou"/>
              <w:jc w:val="both"/>
              <w:rPr>
                <w:lang w:val="en-GB"/>
              </w:rPr>
            </w:pPr>
          </w:p>
        </w:tc>
      </w:tr>
    </w:tbl>
    <w:p w:rsidR="008A03DE" w:rsidRPr="00CE7158" w:rsidRDefault="008A03DE" w:rsidP="00647CB0">
      <w:pPr>
        <w:pStyle w:val="Nadpis1"/>
        <w:jc w:val="both"/>
        <w:rPr>
          <w:rFonts w:cs="Arial"/>
          <w:color w:val="000000"/>
          <w:sz w:val="10"/>
          <w:szCs w:val="10"/>
        </w:rPr>
      </w:pPr>
    </w:p>
    <w:sectPr w:rsidR="008A03DE" w:rsidRPr="00CE7158" w:rsidSect="00647CB0">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41" w:rsidRDefault="00492841" w:rsidP="00E71A58">
      <w:r>
        <w:separator/>
      </w:r>
    </w:p>
  </w:endnote>
  <w:endnote w:type="continuationSeparator" w:id="0">
    <w:p w:rsidR="00492841" w:rsidRDefault="0049284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CC17BD" w:rsidRPr="005A21E0">
      <w:rPr>
        <w:rFonts w:ascii="Arial" w:hAnsi="Arial" w:cs="Arial"/>
        <w:sz w:val="16"/>
        <w:szCs w:val="16"/>
      </w:rPr>
      <w:fldChar w:fldCharType="begin"/>
    </w:r>
    <w:r w:rsidRPr="005A21E0">
      <w:rPr>
        <w:rFonts w:ascii="Arial" w:hAnsi="Arial" w:cs="Arial"/>
        <w:sz w:val="16"/>
        <w:szCs w:val="16"/>
      </w:rPr>
      <w:instrText>PAGE   \* MERGEFORMAT</w:instrText>
    </w:r>
    <w:r w:rsidR="00CC17BD" w:rsidRPr="005A21E0">
      <w:rPr>
        <w:rFonts w:ascii="Arial" w:hAnsi="Arial" w:cs="Arial"/>
        <w:sz w:val="16"/>
        <w:szCs w:val="16"/>
      </w:rPr>
      <w:fldChar w:fldCharType="separate"/>
    </w:r>
    <w:r w:rsidR="00647CB0">
      <w:rPr>
        <w:rFonts w:ascii="Arial" w:hAnsi="Arial" w:cs="Arial"/>
        <w:noProof/>
        <w:sz w:val="16"/>
        <w:szCs w:val="16"/>
      </w:rPr>
      <w:t>26</w:t>
    </w:r>
    <w:r w:rsidR="00CC17BD"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CC17BD"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C17BD" w:rsidRPr="00223E00">
      <w:rPr>
        <w:rFonts w:ascii="Arial" w:hAnsi="Arial" w:cs="Arial"/>
        <w:sz w:val="16"/>
        <w:szCs w:val="16"/>
      </w:rPr>
      <w:fldChar w:fldCharType="separate"/>
    </w:r>
    <w:r w:rsidR="00647CB0">
      <w:rPr>
        <w:rFonts w:ascii="Arial" w:hAnsi="Arial" w:cs="Arial"/>
        <w:noProof/>
        <w:sz w:val="16"/>
        <w:szCs w:val="16"/>
      </w:rPr>
      <w:t>27</w:t>
    </w:r>
    <w:r w:rsidR="00CC17BD"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41" w:rsidRDefault="00492841" w:rsidP="00E71A58">
      <w:r>
        <w:separator/>
      </w:r>
    </w:p>
  </w:footnote>
  <w:footnote w:type="continuationSeparator" w:id="0">
    <w:p w:rsidR="00492841" w:rsidRDefault="00492841" w:rsidP="00E71A58">
      <w:r>
        <w:continuationSeparator/>
      </w:r>
    </w:p>
  </w:footnote>
  <w:footnote w:id="1">
    <w:p w:rsidR="00224123" w:rsidRPr="00230CA7" w:rsidRDefault="00224123" w:rsidP="00230CA7">
      <w:pPr>
        <w:pStyle w:val="Textpoznpodarou"/>
        <w:jc w:val="both"/>
        <w:rPr>
          <w:sz w:val="16"/>
          <w:szCs w:val="16"/>
          <w:lang w:val="en-GB"/>
        </w:rPr>
      </w:pPr>
      <w:r w:rsidRPr="00E83936">
        <w:rPr>
          <w:rStyle w:val="Znakapoznpodarou"/>
          <w:sz w:val="16"/>
          <w:szCs w:val="16"/>
        </w:rPr>
        <w:footnoteRef/>
      </w:r>
      <w:r w:rsidRPr="00E83936">
        <w:rPr>
          <w:sz w:val="16"/>
          <w:szCs w:val="16"/>
        </w:rPr>
        <w:t xml:space="preserve"> </w:t>
      </w:r>
      <w:r w:rsidRPr="00230CA7">
        <w:rPr>
          <w:sz w:val="16"/>
          <w:szCs w:val="16"/>
          <w:lang w:val="en-GB"/>
        </w:rPr>
        <w:t xml:space="preserve">Foreign Exchange rates announced by the CNB data in working days. Unless stated otherwise, all data in this chapter have been taken over from the ARAD database of the Czech National Bank.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7012D7"/>
    <w:multiLevelType w:val="hybridMultilevel"/>
    <w:tmpl w:val="BFD615A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8"/>
  </w:num>
  <w:num w:numId="2">
    <w:abstractNumId w:val="24"/>
  </w:num>
  <w:num w:numId="3">
    <w:abstractNumId w:val="14"/>
  </w:num>
  <w:num w:numId="4">
    <w:abstractNumId w:val="22"/>
  </w:num>
  <w:num w:numId="5">
    <w:abstractNumId w:val="16"/>
  </w:num>
  <w:num w:numId="6">
    <w:abstractNumId w:val="19"/>
  </w:num>
  <w:num w:numId="7">
    <w:abstractNumId w:val="5"/>
  </w:num>
  <w:num w:numId="8">
    <w:abstractNumId w:val="12"/>
  </w:num>
  <w:num w:numId="9">
    <w:abstractNumId w:val="21"/>
  </w:num>
  <w:num w:numId="10">
    <w:abstractNumId w:val="4"/>
  </w:num>
  <w:num w:numId="11">
    <w:abstractNumId w:val="9"/>
  </w:num>
  <w:num w:numId="12">
    <w:abstractNumId w:val="2"/>
  </w:num>
  <w:num w:numId="13">
    <w:abstractNumId w:val="8"/>
  </w:num>
  <w:num w:numId="14">
    <w:abstractNumId w:val="0"/>
  </w:num>
  <w:num w:numId="15">
    <w:abstractNumId w:val="20"/>
  </w:num>
  <w:num w:numId="16">
    <w:abstractNumId w:val="17"/>
  </w:num>
  <w:num w:numId="17">
    <w:abstractNumId w:val="7"/>
  </w:num>
  <w:num w:numId="18">
    <w:abstractNumId w:val="23"/>
  </w:num>
  <w:num w:numId="19">
    <w:abstractNumId w:val="11"/>
  </w:num>
  <w:num w:numId="20">
    <w:abstractNumId w:val="1"/>
  </w:num>
  <w:num w:numId="21">
    <w:abstractNumId w:val="13"/>
  </w:num>
  <w:num w:numId="22">
    <w:abstractNumId w:val="15"/>
  </w:num>
  <w:num w:numId="23">
    <w:abstractNumId w:val="3"/>
  </w:num>
  <w:num w:numId="24">
    <w:abstractNumId w:val="6"/>
  </w:num>
  <w:num w:numId="25">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841"/>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47CB0"/>
    <w:rsid w:val="006504A0"/>
    <w:rsid w:val="00650784"/>
    <w:rsid w:val="00650C83"/>
    <w:rsid w:val="006520C7"/>
    <w:rsid w:val="006520D5"/>
    <w:rsid w:val="00652179"/>
    <w:rsid w:val="00652CBB"/>
    <w:rsid w:val="00652CF0"/>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4C0"/>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1F26"/>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7B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7BD"/>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0C2"/>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557159743329959E-2"/>
          <c:y val="2.1711264016309892E-2"/>
          <c:w val="0.93757303275920301"/>
          <c:h val="0.73130361364404683"/>
        </c:manualLayout>
      </c:layout>
      <c:barChart>
        <c:barDir val="col"/>
        <c:grouping val="clustered"/>
        <c:ser>
          <c:idx val="0"/>
          <c:order val="0"/>
          <c:tx>
            <c:strRef>
              <c:f>'Měnové podmínky 1'!$C$5</c:f>
              <c:strCache>
                <c:ptCount val="1"/>
                <c:pt idx="0">
                  <c:v>2W repo rate</c:v>
                </c:pt>
              </c:strCache>
            </c:strRef>
          </c:tx>
          <c:spPr>
            <a:solidFill>
              <a:schemeClr val="bg1">
                <a:lumMod val="65000"/>
              </a:schemeClr>
            </a:solidFill>
          </c:spP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1'!$C$18:$C$77</c:f>
              <c:numCache>
                <c:formatCode>0.00</c:formatCode>
                <c:ptCount val="60"/>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c:v>0.05</c:v>
                </c:pt>
                <c:pt idx="37">
                  <c:v>0.05</c:v>
                </c:pt>
                <c:pt idx="38">
                  <c:v>0.05</c:v>
                </c:pt>
                <c:pt idx="39">
                  <c:v>0.05</c:v>
                </c:pt>
                <c:pt idx="40">
                  <c:v>0.05</c:v>
                </c:pt>
                <c:pt idx="41">
                  <c:v>0.05</c:v>
                </c:pt>
                <c:pt idx="42">
                  <c:v>0.05</c:v>
                </c:pt>
                <c:pt idx="43">
                  <c:v>0.05</c:v>
                </c:pt>
                <c:pt idx="44">
                  <c:v>0.05</c:v>
                </c:pt>
                <c:pt idx="45">
                  <c:v>0.05</c:v>
                </c:pt>
                <c:pt idx="46">
                  <c:v>0.05</c:v>
                </c:pt>
                <c:pt idx="47">
                  <c:v>0.05</c:v>
                </c:pt>
                <c:pt idx="48" formatCode="General">
                  <c:v>0.05</c:v>
                </c:pt>
                <c:pt idx="49" formatCode="General">
                  <c:v>0.05</c:v>
                </c:pt>
                <c:pt idx="50" formatCode="General">
                  <c:v>0.05</c:v>
                </c:pt>
                <c:pt idx="51" formatCode="General">
                  <c:v>0.05</c:v>
                </c:pt>
                <c:pt idx="52" formatCode="General">
                  <c:v>0.05</c:v>
                </c:pt>
                <c:pt idx="53" formatCode="General">
                  <c:v>0.05</c:v>
                </c:pt>
                <c:pt idx="54" formatCode="General">
                  <c:v>0.05</c:v>
                </c:pt>
                <c:pt idx="55" formatCode="General">
                  <c:v>0.25</c:v>
                </c:pt>
                <c:pt idx="56" formatCode="General">
                  <c:v>0.25</c:v>
                </c:pt>
                <c:pt idx="57" formatCode="General">
                  <c:v>0.25</c:v>
                </c:pt>
                <c:pt idx="58" formatCode="General">
                  <c:v>0.5</c:v>
                </c:pt>
                <c:pt idx="59" formatCode="General">
                  <c:v>0.5</c:v>
                </c:pt>
              </c:numCache>
            </c:numRef>
          </c:val>
        </c:ser>
        <c:gapWidth val="31"/>
        <c:axId val="184562048"/>
        <c:axId val="184563584"/>
      </c:barChart>
      <c:lineChart>
        <c:grouping val="standard"/>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1'!$F$18:$F$77</c:f>
              <c:numCache>
                <c:formatCode>0.00</c:formatCode>
                <c:ptCount val="60"/>
                <c:pt idx="0">
                  <c:v>0.30000000000000032</c:v>
                </c:pt>
                <c:pt idx="1">
                  <c:v>0.36000000000000032</c:v>
                </c:pt>
                <c:pt idx="2">
                  <c:v>0.31000000000000061</c:v>
                </c:pt>
                <c:pt idx="3">
                  <c:v>0.30000000000000032</c:v>
                </c:pt>
                <c:pt idx="4">
                  <c:v>0.29000000000000031</c:v>
                </c:pt>
                <c:pt idx="5">
                  <c:v>0.43000000000000038</c:v>
                </c:pt>
                <c:pt idx="6">
                  <c:v>0.41000000000000031</c:v>
                </c:pt>
                <c:pt idx="7">
                  <c:v>0.4</c:v>
                </c:pt>
                <c:pt idx="8">
                  <c:v>0.37000000000000038</c:v>
                </c:pt>
                <c:pt idx="9">
                  <c:v>0.33000000000000085</c:v>
                </c:pt>
                <c:pt idx="10">
                  <c:v>0.2</c:v>
                </c:pt>
                <c:pt idx="11">
                  <c:v>0.19</c:v>
                </c:pt>
                <c:pt idx="12">
                  <c:v>0.23</c:v>
                </c:pt>
                <c:pt idx="13">
                  <c:v>0.28000000000000008</c:v>
                </c:pt>
                <c:pt idx="14">
                  <c:v>0.26</c:v>
                </c:pt>
                <c:pt idx="15">
                  <c:v>0.23</c:v>
                </c:pt>
                <c:pt idx="16">
                  <c:v>0.21000000000000021</c:v>
                </c:pt>
                <c:pt idx="17">
                  <c:v>0.24000000000000021</c:v>
                </c:pt>
                <c:pt idx="18">
                  <c:v>0.23</c:v>
                </c:pt>
                <c:pt idx="19">
                  <c:v>0.18000000000000024</c:v>
                </c:pt>
                <c:pt idx="20">
                  <c:v>0.14000000000000001</c:v>
                </c:pt>
                <c:pt idx="21">
                  <c:v>0.1</c:v>
                </c:pt>
                <c:pt idx="22">
                  <c:v>0.12000000000000002</c:v>
                </c:pt>
                <c:pt idx="23">
                  <c:v>0.13</c:v>
                </c:pt>
                <c:pt idx="24">
                  <c:v>9.0000000000000024E-2</c:v>
                </c:pt>
                <c:pt idx="25">
                  <c:v>6.0000000000000032E-2</c:v>
                </c:pt>
                <c:pt idx="26">
                  <c:v>4.0000000000000022E-2</c:v>
                </c:pt>
                <c:pt idx="27">
                  <c:v>-3.0000000000000002E-2</c:v>
                </c:pt>
                <c:pt idx="28">
                  <c:v>4.0000000000000022E-2</c:v>
                </c:pt>
                <c:pt idx="29">
                  <c:v>0.11</c:v>
                </c:pt>
                <c:pt idx="30">
                  <c:v>2.0000000000000011E-2</c:v>
                </c:pt>
                <c:pt idx="31">
                  <c:v>-7.0000000000000021E-2</c:v>
                </c:pt>
                <c:pt idx="32">
                  <c:v>-0.30000000000000032</c:v>
                </c:pt>
                <c:pt idx="33">
                  <c:v>-0.28000000000000008</c:v>
                </c:pt>
                <c:pt idx="34">
                  <c:v>-0.33000000000000085</c:v>
                </c:pt>
                <c:pt idx="35">
                  <c:v>-0.38000000000000067</c:v>
                </c:pt>
                <c:pt idx="36" formatCode="General">
                  <c:v>-0.21000000000000021</c:v>
                </c:pt>
                <c:pt idx="37" formatCode="General">
                  <c:v>-0.18000000000000024</c:v>
                </c:pt>
                <c:pt idx="38" formatCode="General">
                  <c:v>-0.17</c:v>
                </c:pt>
                <c:pt idx="39" formatCode="General">
                  <c:v>-8.0000000000000043E-2</c:v>
                </c:pt>
                <c:pt idx="40" formatCode="General">
                  <c:v>-4.0000000000000022E-2</c:v>
                </c:pt>
                <c:pt idx="41" formatCode="General">
                  <c:v>-0.05</c:v>
                </c:pt>
                <c:pt idx="42" formatCode="General">
                  <c:v>-0.13</c:v>
                </c:pt>
                <c:pt idx="43" formatCode="General">
                  <c:v>-0.22</c:v>
                </c:pt>
                <c:pt idx="44" formatCode="General">
                  <c:v>-0.5</c:v>
                </c:pt>
                <c:pt idx="45" formatCode="General">
                  <c:v>-0.74000000000000121</c:v>
                </c:pt>
                <c:pt idx="46" formatCode="General">
                  <c:v>-0.73000000000000065</c:v>
                </c:pt>
                <c:pt idx="47" formatCode="General">
                  <c:v>-0.81</c:v>
                </c:pt>
                <c:pt idx="48" formatCode="General">
                  <c:v>-0.88</c:v>
                </c:pt>
                <c:pt idx="49" formatCode="General">
                  <c:v>-0.53</c:v>
                </c:pt>
                <c:pt idx="50" formatCode="General">
                  <c:v>-0.44</c:v>
                </c:pt>
                <c:pt idx="51" formatCode="General">
                  <c:v>-0.23</c:v>
                </c:pt>
                <c:pt idx="52" formatCode="General">
                  <c:v>-0.24000000000000021</c:v>
                </c:pt>
                <c:pt idx="53" formatCode="General">
                  <c:v>-0.25</c:v>
                </c:pt>
                <c:pt idx="54" formatCode="General">
                  <c:v>-0.29000000000000031</c:v>
                </c:pt>
                <c:pt idx="55" formatCode="General">
                  <c:v>-0.33000000000000085</c:v>
                </c:pt>
                <c:pt idx="56" formatCode="General">
                  <c:v>-0.29000000000000031</c:v>
                </c:pt>
                <c:pt idx="57" formatCode="General">
                  <c:v>0.12000000000000002</c:v>
                </c:pt>
                <c:pt idx="58" formatCode="General">
                  <c:v>0.31000000000000061</c:v>
                </c:pt>
                <c:pt idx="59" formatCode="General">
                  <c:v>0.19</c:v>
                </c:pt>
              </c:numCache>
            </c:numRef>
          </c:val>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1'!$D$18:$D$77</c:f>
              <c:numCache>
                <c:formatCode>0.00</c:formatCode>
                <c:ptCount val="60"/>
                <c:pt idx="0">
                  <c:v>0.5</c:v>
                </c:pt>
                <c:pt idx="1">
                  <c:v>0.5</c:v>
                </c:pt>
                <c:pt idx="2">
                  <c:v>0.49000000000000032</c:v>
                </c:pt>
                <c:pt idx="3">
                  <c:v>0.47000000000000008</c:v>
                </c:pt>
                <c:pt idx="4">
                  <c:v>0.46</c:v>
                </c:pt>
                <c:pt idx="5">
                  <c:v>0.46</c:v>
                </c:pt>
                <c:pt idx="6">
                  <c:v>0.46</c:v>
                </c:pt>
                <c:pt idx="7">
                  <c:v>0.46</c:v>
                </c:pt>
                <c:pt idx="8">
                  <c:v>0.45</c:v>
                </c:pt>
                <c:pt idx="9">
                  <c:v>0.45</c:v>
                </c:pt>
                <c:pt idx="10">
                  <c:v>0.4</c:v>
                </c:pt>
                <c:pt idx="11">
                  <c:v>0.38000000000000067</c:v>
                </c:pt>
                <c:pt idx="12">
                  <c:v>0.37000000000000038</c:v>
                </c:pt>
                <c:pt idx="13">
                  <c:v>0.37000000000000038</c:v>
                </c:pt>
                <c:pt idx="14">
                  <c:v>0.37000000000000038</c:v>
                </c:pt>
                <c:pt idx="15">
                  <c:v>0.37000000000000038</c:v>
                </c:pt>
                <c:pt idx="16">
                  <c:v>0.37000000000000038</c:v>
                </c:pt>
                <c:pt idx="17">
                  <c:v>0.35000000000000031</c:v>
                </c:pt>
                <c:pt idx="18">
                  <c:v>0.35000000000000031</c:v>
                </c:pt>
                <c:pt idx="19">
                  <c:v>0.35000000000000031</c:v>
                </c:pt>
                <c:pt idx="20">
                  <c:v>0.35000000000000031</c:v>
                </c:pt>
                <c:pt idx="21">
                  <c:v>0.35000000000000031</c:v>
                </c:pt>
                <c:pt idx="22">
                  <c:v>0.34</c:v>
                </c:pt>
                <c:pt idx="23">
                  <c:v>0.34</c:v>
                </c:pt>
                <c:pt idx="24">
                  <c:v>0.33000000000000085</c:v>
                </c:pt>
                <c:pt idx="25">
                  <c:v>0.33000000000000085</c:v>
                </c:pt>
                <c:pt idx="26">
                  <c:v>0.32000000000000067</c:v>
                </c:pt>
                <c:pt idx="27">
                  <c:v>0.31000000000000061</c:v>
                </c:pt>
                <c:pt idx="28">
                  <c:v>0.31000000000000061</c:v>
                </c:pt>
                <c:pt idx="29">
                  <c:v>0.31000000000000061</c:v>
                </c:pt>
                <c:pt idx="30">
                  <c:v>0.31000000000000061</c:v>
                </c:pt>
                <c:pt idx="31">
                  <c:v>0.31000000000000061</c:v>
                </c:pt>
                <c:pt idx="32">
                  <c:v>0.30000000000000032</c:v>
                </c:pt>
                <c:pt idx="33">
                  <c:v>0.29000000000000031</c:v>
                </c:pt>
                <c:pt idx="34">
                  <c:v>0.29000000000000031</c:v>
                </c:pt>
                <c:pt idx="35">
                  <c:v>0.29000000000000031</c:v>
                </c:pt>
                <c:pt idx="36">
                  <c:v>0.29000000000000031</c:v>
                </c:pt>
                <c:pt idx="37">
                  <c:v>0.28000000000000008</c:v>
                </c:pt>
                <c:pt idx="38">
                  <c:v>0.29000000000000031</c:v>
                </c:pt>
                <c:pt idx="39">
                  <c:v>0.29000000000000031</c:v>
                </c:pt>
                <c:pt idx="40">
                  <c:v>0.29000000000000031</c:v>
                </c:pt>
                <c:pt idx="41">
                  <c:v>0.29000000000000031</c:v>
                </c:pt>
                <c:pt idx="42">
                  <c:v>0.29000000000000031</c:v>
                </c:pt>
                <c:pt idx="43">
                  <c:v>0.29000000000000031</c:v>
                </c:pt>
                <c:pt idx="44">
                  <c:v>0.29000000000000031</c:v>
                </c:pt>
                <c:pt idx="45">
                  <c:v>0.29000000000000031</c:v>
                </c:pt>
                <c:pt idx="46">
                  <c:v>0.29000000000000031</c:v>
                </c:pt>
                <c:pt idx="47">
                  <c:v>0.29000000000000031</c:v>
                </c:pt>
                <c:pt idx="48" formatCode="General">
                  <c:v>0.28000000000000008</c:v>
                </c:pt>
                <c:pt idx="49" formatCode="General">
                  <c:v>0.28000000000000008</c:v>
                </c:pt>
                <c:pt idx="50" formatCode="General">
                  <c:v>0.28000000000000008</c:v>
                </c:pt>
                <c:pt idx="51" formatCode="General">
                  <c:v>0.29000000000000031</c:v>
                </c:pt>
                <c:pt idx="52" formatCode="General">
                  <c:v>0.30000000000000032</c:v>
                </c:pt>
                <c:pt idx="53" formatCode="General">
                  <c:v>0.30000000000000032</c:v>
                </c:pt>
                <c:pt idx="54" formatCode="General">
                  <c:v>0.30000000000000032</c:v>
                </c:pt>
                <c:pt idx="55" formatCode="General">
                  <c:v>0.43000000000000038</c:v>
                </c:pt>
                <c:pt idx="56" formatCode="General">
                  <c:v>0.46</c:v>
                </c:pt>
                <c:pt idx="57" formatCode="General">
                  <c:v>0.51</c:v>
                </c:pt>
                <c:pt idx="58" formatCode="General">
                  <c:v>0.71000000000000063</c:v>
                </c:pt>
                <c:pt idx="59" formatCode="General">
                  <c:v>0.75000000000000133</c:v>
                </c:pt>
              </c:numCache>
            </c:numRef>
          </c:val>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1'!$G$18:$G$77</c:f>
              <c:numCache>
                <c:formatCode>0.00</c:formatCode>
                <c:ptCount val="60"/>
                <c:pt idx="0">
                  <c:v>0.98</c:v>
                </c:pt>
                <c:pt idx="1">
                  <c:v>0.99</c:v>
                </c:pt>
                <c:pt idx="2">
                  <c:v>1.08</c:v>
                </c:pt>
                <c:pt idx="3">
                  <c:v>0.98</c:v>
                </c:pt>
                <c:pt idx="4">
                  <c:v>0.9</c:v>
                </c:pt>
                <c:pt idx="5">
                  <c:v>1.23</c:v>
                </c:pt>
                <c:pt idx="6">
                  <c:v>1.3900000000000001</c:v>
                </c:pt>
                <c:pt idx="7">
                  <c:v>1.3900000000000001</c:v>
                </c:pt>
                <c:pt idx="8">
                  <c:v>1.23</c:v>
                </c:pt>
                <c:pt idx="9">
                  <c:v>1.25</c:v>
                </c:pt>
                <c:pt idx="10">
                  <c:v>1.03</c:v>
                </c:pt>
                <c:pt idx="11">
                  <c:v>0.97000000000000064</c:v>
                </c:pt>
                <c:pt idx="12">
                  <c:v>1.0900000000000001</c:v>
                </c:pt>
                <c:pt idx="13">
                  <c:v>1.2</c:v>
                </c:pt>
                <c:pt idx="14">
                  <c:v>1.1399999999999972</c:v>
                </c:pt>
                <c:pt idx="15">
                  <c:v>0.99</c:v>
                </c:pt>
                <c:pt idx="16">
                  <c:v>0.8</c:v>
                </c:pt>
                <c:pt idx="17">
                  <c:v>0.68</c:v>
                </c:pt>
                <c:pt idx="18">
                  <c:v>0.65000000000000147</c:v>
                </c:pt>
                <c:pt idx="19">
                  <c:v>0.62000000000000122</c:v>
                </c:pt>
                <c:pt idx="20">
                  <c:v>0.51</c:v>
                </c:pt>
                <c:pt idx="21">
                  <c:v>0.37000000000000038</c:v>
                </c:pt>
                <c:pt idx="22">
                  <c:v>0.24000000000000021</c:v>
                </c:pt>
                <c:pt idx="23">
                  <c:v>0.22</c:v>
                </c:pt>
                <c:pt idx="24">
                  <c:v>0.13</c:v>
                </c:pt>
                <c:pt idx="25">
                  <c:v>0.17</c:v>
                </c:pt>
                <c:pt idx="26">
                  <c:v>0.14000000000000001</c:v>
                </c:pt>
                <c:pt idx="27">
                  <c:v>0.05</c:v>
                </c:pt>
                <c:pt idx="28">
                  <c:v>0.22</c:v>
                </c:pt>
                <c:pt idx="29">
                  <c:v>0.43000000000000038</c:v>
                </c:pt>
                <c:pt idx="30">
                  <c:v>0.35000000000000031</c:v>
                </c:pt>
                <c:pt idx="31">
                  <c:v>0.2</c:v>
                </c:pt>
                <c:pt idx="32">
                  <c:v>6.0000000000000032E-2</c:v>
                </c:pt>
                <c:pt idx="33">
                  <c:v>-0.05</c:v>
                </c:pt>
                <c:pt idx="34">
                  <c:v>-0.05</c:v>
                </c:pt>
                <c:pt idx="35">
                  <c:v>-0.11</c:v>
                </c:pt>
                <c:pt idx="36" formatCode="General">
                  <c:v>4.0000000000000022E-2</c:v>
                </c:pt>
                <c:pt idx="37" formatCode="General">
                  <c:v>-8.0000000000000043E-2</c:v>
                </c:pt>
                <c:pt idx="38" formatCode="General">
                  <c:v>-0.1</c:v>
                </c:pt>
                <c:pt idx="39" formatCode="General">
                  <c:v>4.0000000000000022E-2</c:v>
                </c:pt>
                <c:pt idx="40" formatCode="General">
                  <c:v>7.0000000000000021E-2</c:v>
                </c:pt>
                <c:pt idx="41" formatCode="General">
                  <c:v>0.05</c:v>
                </c:pt>
                <c:pt idx="42" formatCode="General">
                  <c:v>-2.0000000000000011E-2</c:v>
                </c:pt>
                <c:pt idx="43" formatCode="General">
                  <c:v>-9.0000000000000024E-2</c:v>
                </c:pt>
                <c:pt idx="44" formatCode="General">
                  <c:v>-0.19</c:v>
                </c:pt>
                <c:pt idx="45" formatCode="General">
                  <c:v>-0.17</c:v>
                </c:pt>
                <c:pt idx="46" formatCode="General">
                  <c:v>-0.17</c:v>
                </c:pt>
                <c:pt idx="47" formatCode="General">
                  <c:v>-0.21000000000000021</c:v>
                </c:pt>
                <c:pt idx="48" formatCode="General">
                  <c:v>-0.22</c:v>
                </c:pt>
                <c:pt idx="49" formatCode="General">
                  <c:v>9.0000000000000024E-2</c:v>
                </c:pt>
                <c:pt idx="50" formatCode="General">
                  <c:v>0.1</c:v>
                </c:pt>
                <c:pt idx="51" formatCode="General">
                  <c:v>0.16</c:v>
                </c:pt>
                <c:pt idx="52" formatCode="General">
                  <c:v>4.0000000000000022E-2</c:v>
                </c:pt>
                <c:pt idx="53" formatCode="General">
                  <c:v>-3.0000000000000002E-2</c:v>
                </c:pt>
                <c:pt idx="54" formatCode="General">
                  <c:v>0.14000000000000001</c:v>
                </c:pt>
                <c:pt idx="55" formatCode="General">
                  <c:v>9.0000000000000024E-2</c:v>
                </c:pt>
                <c:pt idx="56" formatCode="General">
                  <c:v>0.1</c:v>
                </c:pt>
                <c:pt idx="57" formatCode="General">
                  <c:v>0.63000000000000134</c:v>
                </c:pt>
                <c:pt idx="58" formatCode="General">
                  <c:v>0.87000000000000122</c:v>
                </c:pt>
                <c:pt idx="59" formatCode="General">
                  <c:v>0.68</c:v>
                </c:pt>
              </c:numCache>
            </c:numRef>
          </c:val>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1'!$E$18:$E$77</c:f>
              <c:numCache>
                <c:formatCode>0.00</c:formatCode>
                <c:ptCount val="60"/>
                <c:pt idx="0">
                  <c:v>0.86000000000000065</c:v>
                </c:pt>
                <c:pt idx="1">
                  <c:v>0.83000000000000063</c:v>
                </c:pt>
                <c:pt idx="2">
                  <c:v>0.78</c:v>
                </c:pt>
                <c:pt idx="3">
                  <c:v>0.76000000000000134</c:v>
                </c:pt>
                <c:pt idx="4">
                  <c:v>0.76000000000000134</c:v>
                </c:pt>
                <c:pt idx="5">
                  <c:v>0.76000000000000134</c:v>
                </c:pt>
                <c:pt idx="6">
                  <c:v>0.75000000000000133</c:v>
                </c:pt>
                <c:pt idx="7">
                  <c:v>0.75000000000000133</c:v>
                </c:pt>
                <c:pt idx="8">
                  <c:v>0.74000000000000121</c:v>
                </c:pt>
                <c:pt idx="9">
                  <c:v>0.73000000000000065</c:v>
                </c:pt>
                <c:pt idx="10">
                  <c:v>0.65000000000000147</c:v>
                </c:pt>
                <c:pt idx="11">
                  <c:v>0.61000000000000065</c:v>
                </c:pt>
                <c:pt idx="12">
                  <c:v>0.58000000000000007</c:v>
                </c:pt>
                <c:pt idx="13">
                  <c:v>0.55000000000000004</c:v>
                </c:pt>
                <c:pt idx="14">
                  <c:v>0.55000000000000004</c:v>
                </c:pt>
                <c:pt idx="15">
                  <c:v>0.55000000000000004</c:v>
                </c:pt>
                <c:pt idx="16">
                  <c:v>0.54</c:v>
                </c:pt>
                <c:pt idx="17">
                  <c:v>0.53</c:v>
                </c:pt>
                <c:pt idx="18">
                  <c:v>0.52</c:v>
                </c:pt>
                <c:pt idx="19">
                  <c:v>0.52</c:v>
                </c:pt>
                <c:pt idx="20">
                  <c:v>0.52</c:v>
                </c:pt>
                <c:pt idx="21">
                  <c:v>0.52</c:v>
                </c:pt>
                <c:pt idx="22">
                  <c:v>0.51</c:v>
                </c:pt>
                <c:pt idx="23">
                  <c:v>0.51</c:v>
                </c:pt>
                <c:pt idx="24">
                  <c:v>0.51</c:v>
                </c:pt>
                <c:pt idx="25">
                  <c:v>0.51</c:v>
                </c:pt>
                <c:pt idx="26">
                  <c:v>0.49000000000000032</c:v>
                </c:pt>
                <c:pt idx="27">
                  <c:v>0.48000000000000032</c:v>
                </c:pt>
                <c:pt idx="28">
                  <c:v>0.48000000000000032</c:v>
                </c:pt>
                <c:pt idx="29">
                  <c:v>0.48000000000000032</c:v>
                </c:pt>
                <c:pt idx="30">
                  <c:v>0.48000000000000032</c:v>
                </c:pt>
                <c:pt idx="31">
                  <c:v>0.48000000000000032</c:v>
                </c:pt>
                <c:pt idx="32">
                  <c:v>0.47000000000000008</c:v>
                </c:pt>
                <c:pt idx="33">
                  <c:v>0.46</c:v>
                </c:pt>
                <c:pt idx="34">
                  <c:v>0.46</c:v>
                </c:pt>
                <c:pt idx="35">
                  <c:v>0.46</c:v>
                </c:pt>
                <c:pt idx="36">
                  <c:v>0.45</c:v>
                </c:pt>
                <c:pt idx="37">
                  <c:v>0.45</c:v>
                </c:pt>
                <c:pt idx="38">
                  <c:v>0.45</c:v>
                </c:pt>
                <c:pt idx="39">
                  <c:v>0.45</c:v>
                </c:pt>
                <c:pt idx="40">
                  <c:v>0.45</c:v>
                </c:pt>
                <c:pt idx="41">
                  <c:v>0.45</c:v>
                </c:pt>
                <c:pt idx="42">
                  <c:v>0.45</c:v>
                </c:pt>
                <c:pt idx="43">
                  <c:v>0.45</c:v>
                </c:pt>
                <c:pt idx="44">
                  <c:v>0.45</c:v>
                </c:pt>
                <c:pt idx="45">
                  <c:v>0.45</c:v>
                </c:pt>
                <c:pt idx="46">
                  <c:v>0.45</c:v>
                </c:pt>
                <c:pt idx="47">
                  <c:v>0.45</c:v>
                </c:pt>
                <c:pt idx="48" formatCode="General">
                  <c:v>0.44</c:v>
                </c:pt>
                <c:pt idx="49" formatCode="General">
                  <c:v>0.44</c:v>
                </c:pt>
                <c:pt idx="50" formatCode="General">
                  <c:v>0.44</c:v>
                </c:pt>
                <c:pt idx="51" formatCode="General">
                  <c:v>0.45</c:v>
                </c:pt>
                <c:pt idx="52" formatCode="General">
                  <c:v>0.46</c:v>
                </c:pt>
                <c:pt idx="53" formatCode="General">
                  <c:v>0.46</c:v>
                </c:pt>
                <c:pt idx="54" formatCode="General">
                  <c:v>0.47000000000000008</c:v>
                </c:pt>
                <c:pt idx="55" formatCode="General">
                  <c:v>0.60000000000000064</c:v>
                </c:pt>
                <c:pt idx="56" formatCode="General">
                  <c:v>0.64000000000000135</c:v>
                </c:pt>
                <c:pt idx="57" formatCode="General">
                  <c:v>0.69000000000000061</c:v>
                </c:pt>
                <c:pt idx="58" formatCode="General">
                  <c:v>0.91</c:v>
                </c:pt>
                <c:pt idx="59" formatCode="General">
                  <c:v>0.96000000000000063</c:v>
                </c:pt>
              </c:numCache>
            </c:numRef>
          </c:val>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1'!$H$18:$H$77</c:f>
              <c:numCache>
                <c:formatCode>0.00</c:formatCode>
                <c:ptCount val="60"/>
                <c:pt idx="0">
                  <c:v>1.9600000000000024</c:v>
                </c:pt>
                <c:pt idx="1">
                  <c:v>2.0099999999999998</c:v>
                </c:pt>
                <c:pt idx="2">
                  <c:v>1.9800000000000026</c:v>
                </c:pt>
                <c:pt idx="3">
                  <c:v>1.82</c:v>
                </c:pt>
                <c:pt idx="4">
                  <c:v>1.6700000000000021</c:v>
                </c:pt>
                <c:pt idx="5">
                  <c:v>2.14</c:v>
                </c:pt>
                <c:pt idx="6">
                  <c:v>2.23</c:v>
                </c:pt>
                <c:pt idx="7">
                  <c:v>2.4</c:v>
                </c:pt>
                <c:pt idx="8">
                  <c:v>2.42</c:v>
                </c:pt>
                <c:pt idx="9">
                  <c:v>2.3299999999999987</c:v>
                </c:pt>
                <c:pt idx="10">
                  <c:v>2.1800000000000002</c:v>
                </c:pt>
                <c:pt idx="11">
                  <c:v>2.2000000000000002</c:v>
                </c:pt>
                <c:pt idx="12">
                  <c:v>2.4299999999999997</c:v>
                </c:pt>
                <c:pt idx="13">
                  <c:v>2.2799999999999998</c:v>
                </c:pt>
                <c:pt idx="14">
                  <c:v>2.2000000000000002</c:v>
                </c:pt>
                <c:pt idx="15">
                  <c:v>2</c:v>
                </c:pt>
                <c:pt idx="16">
                  <c:v>1.73</c:v>
                </c:pt>
                <c:pt idx="17">
                  <c:v>1.55</c:v>
                </c:pt>
                <c:pt idx="18">
                  <c:v>1.49</c:v>
                </c:pt>
                <c:pt idx="19">
                  <c:v>1.3800000000000001</c:v>
                </c:pt>
                <c:pt idx="20">
                  <c:v>1.21</c:v>
                </c:pt>
                <c:pt idx="21">
                  <c:v>1.1000000000000001</c:v>
                </c:pt>
                <c:pt idx="22">
                  <c:v>0.87000000000000122</c:v>
                </c:pt>
                <c:pt idx="23">
                  <c:v>0.67000000000000171</c:v>
                </c:pt>
                <c:pt idx="24">
                  <c:v>0.35000000000000031</c:v>
                </c:pt>
                <c:pt idx="25">
                  <c:v>0.4</c:v>
                </c:pt>
                <c:pt idx="26">
                  <c:v>0.35000000000000031</c:v>
                </c:pt>
                <c:pt idx="27">
                  <c:v>0.26</c:v>
                </c:pt>
                <c:pt idx="28">
                  <c:v>0.60000000000000064</c:v>
                </c:pt>
                <c:pt idx="29">
                  <c:v>1.01</c:v>
                </c:pt>
                <c:pt idx="30">
                  <c:v>0.97000000000000064</c:v>
                </c:pt>
                <c:pt idx="31">
                  <c:v>0.74000000000000121</c:v>
                </c:pt>
                <c:pt idx="32">
                  <c:v>0.68</c:v>
                </c:pt>
                <c:pt idx="33">
                  <c:v>0.56000000000000005</c:v>
                </c:pt>
                <c:pt idx="34">
                  <c:v>0.49000000000000032</c:v>
                </c:pt>
                <c:pt idx="35">
                  <c:v>0.49000000000000032</c:v>
                </c:pt>
                <c:pt idx="36" formatCode="General">
                  <c:v>0.62000000000000122</c:v>
                </c:pt>
                <c:pt idx="37" formatCode="General">
                  <c:v>0.46</c:v>
                </c:pt>
                <c:pt idx="38" formatCode="General">
                  <c:v>0.35000000000000031</c:v>
                </c:pt>
                <c:pt idx="39" formatCode="General">
                  <c:v>0.43000000000000038</c:v>
                </c:pt>
                <c:pt idx="40" formatCode="General">
                  <c:v>0.46</c:v>
                </c:pt>
                <c:pt idx="41" formatCode="General">
                  <c:v>0.45</c:v>
                </c:pt>
                <c:pt idx="42" formatCode="General">
                  <c:v>0.37000000000000038</c:v>
                </c:pt>
                <c:pt idx="43" formatCode="General">
                  <c:v>0.29000000000000031</c:v>
                </c:pt>
                <c:pt idx="44" formatCode="General">
                  <c:v>0.25</c:v>
                </c:pt>
                <c:pt idx="45" formatCode="General">
                  <c:v>0.37000000000000038</c:v>
                </c:pt>
                <c:pt idx="46" formatCode="General">
                  <c:v>0.55000000000000004</c:v>
                </c:pt>
                <c:pt idx="47" formatCode="General">
                  <c:v>0.53</c:v>
                </c:pt>
                <c:pt idx="48" formatCode="General">
                  <c:v>0.47000000000000008</c:v>
                </c:pt>
                <c:pt idx="49" formatCode="General">
                  <c:v>0.63000000000000134</c:v>
                </c:pt>
                <c:pt idx="50" formatCode="General">
                  <c:v>0.87000000000000122</c:v>
                </c:pt>
                <c:pt idx="51" formatCode="General">
                  <c:v>0.96000000000000063</c:v>
                </c:pt>
                <c:pt idx="52" formatCode="General">
                  <c:v>0.74000000000000121</c:v>
                </c:pt>
                <c:pt idx="53" formatCode="General">
                  <c:v>0.77000000000000135</c:v>
                </c:pt>
                <c:pt idx="54" formatCode="General">
                  <c:v>0.9</c:v>
                </c:pt>
                <c:pt idx="55" formatCode="General">
                  <c:v>0.83000000000000063</c:v>
                </c:pt>
                <c:pt idx="56" formatCode="General">
                  <c:v>0.97000000000000064</c:v>
                </c:pt>
                <c:pt idx="57" formatCode="General">
                  <c:v>1.45</c:v>
                </c:pt>
                <c:pt idx="58" formatCode="General">
                  <c:v>1.6800000000000024</c:v>
                </c:pt>
                <c:pt idx="59" formatCode="General">
                  <c:v>1.5</c:v>
                </c:pt>
              </c:numCache>
            </c:numRef>
          </c:val>
        </c:ser>
        <c:marker val="1"/>
        <c:axId val="184562048"/>
        <c:axId val="184563584"/>
      </c:lineChart>
      <c:catAx>
        <c:axId val="184562048"/>
        <c:scaling>
          <c:orientation val="minMax"/>
        </c:scaling>
        <c:axPos val="b"/>
        <c:tickLblPos val="low"/>
        <c:spPr>
          <a:ln>
            <a:solidFill>
              <a:schemeClr val="tx1"/>
            </a:solidFill>
          </a:ln>
        </c:spPr>
        <c:crossAx val="184563584"/>
        <c:crosses val="autoZero"/>
        <c:auto val="1"/>
        <c:lblAlgn val="ctr"/>
        <c:lblOffset val="100"/>
      </c:catAx>
      <c:valAx>
        <c:axId val="184563584"/>
        <c:scaling>
          <c:orientation val="minMax"/>
          <c:min val="-1"/>
        </c:scaling>
        <c:axPos val="l"/>
        <c:majorGridlines>
          <c:spPr>
            <a:ln w="6350">
              <a:solidFill>
                <a:schemeClr val="bg1">
                  <a:lumMod val="75000"/>
                </a:schemeClr>
              </a:solidFill>
            </a:ln>
          </c:spPr>
        </c:majorGridlines>
        <c:numFmt formatCode="0" sourceLinked="0"/>
        <c:tickLblPos val="nextTo"/>
        <c:spPr>
          <a:ln>
            <a:solidFill>
              <a:schemeClr val="tx1"/>
            </a:solidFill>
          </a:ln>
        </c:spPr>
        <c:crossAx val="184562048"/>
        <c:crosses val="autoZero"/>
        <c:crossBetween val="between"/>
        <c:majorUnit val="1"/>
      </c:valAx>
      <c:spPr>
        <a:ln>
          <a:solidFill>
            <a:schemeClr val="tx1"/>
          </a:solidFill>
        </a:ln>
      </c:spPr>
    </c:plotArea>
    <c:legend>
      <c:legendPos val="b"/>
      <c:layout>
        <c:manualLayout>
          <c:xMode val="edge"/>
          <c:yMode val="edge"/>
          <c:x val="4.2139690982776534E-2"/>
          <c:y val="0.87558269120103249"/>
          <c:w val="0.93886651469098281"/>
          <c:h val="0.1101570592445996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E4132-6229-4270-B1A3-F791EBE7A491}">
  <ds:schemaRefs>
    <ds:schemaRef ds:uri="http://schemas.openxmlformats.org/officeDocument/2006/bibliography"/>
  </ds:schemaRefs>
</ds:datastoreItem>
</file>

<file path=customXml/itemProps2.xml><?xml version="1.0" encoding="utf-8"?>
<ds:datastoreItem xmlns:ds="http://schemas.openxmlformats.org/officeDocument/2006/customXml" ds:itemID="{4CED2CE0-0D24-4053-9B2F-B9A98A9CB390}">
  <ds:schemaRefs>
    <ds:schemaRef ds:uri="http://schemas.openxmlformats.org/officeDocument/2006/bibliography"/>
  </ds:schemaRefs>
</ds:datastoreItem>
</file>

<file path=customXml/itemProps3.xml><?xml version="1.0" encoding="utf-8"?>
<ds:datastoreItem xmlns:ds="http://schemas.openxmlformats.org/officeDocument/2006/customXml" ds:itemID="{2A6795A2-74FA-4D53-9579-76EFCF7F77E9}">
  <ds:schemaRefs>
    <ds:schemaRef ds:uri="http://schemas.openxmlformats.org/officeDocument/2006/bibliography"/>
  </ds:schemaRefs>
</ds:datastoreItem>
</file>

<file path=customXml/itemProps4.xml><?xml version="1.0" encoding="utf-8"?>
<ds:datastoreItem xmlns:ds="http://schemas.openxmlformats.org/officeDocument/2006/customXml" ds:itemID="{CA94E29F-299A-4E9A-A12D-22879E79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TotalTime>
  <Pages>3</Pages>
  <Words>1243</Words>
  <Characters>7339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8565</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3</cp:revision>
  <cp:lastPrinted>2018-03-14T17:02:00Z</cp:lastPrinted>
  <dcterms:created xsi:type="dcterms:W3CDTF">2018-04-23T12:18:00Z</dcterms:created>
  <dcterms:modified xsi:type="dcterms:W3CDTF">2018-04-23T12:19:00Z</dcterms:modified>
</cp:coreProperties>
</file>