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939" w:rsidRPr="00D13A02" w:rsidRDefault="00415939" w:rsidP="00DE2655">
      <w:pPr>
        <w:pStyle w:val="Nadpis1"/>
        <w:rPr>
          <w:i/>
          <w:lang w:val="en-GB"/>
        </w:rPr>
      </w:pPr>
      <w:bookmarkStart w:id="0" w:name="_Toc444112497"/>
      <w:r w:rsidRPr="00D13A02">
        <w:rPr>
          <w:i/>
          <w:lang w:val="en-GB"/>
        </w:rPr>
        <w:t>Methodology</w:t>
      </w:r>
    </w:p>
    <w:p w:rsidR="00415939" w:rsidRPr="00D13A02" w:rsidRDefault="00415939" w:rsidP="00DE2655">
      <w:pPr>
        <w:pStyle w:val="Nadpis1"/>
        <w:rPr>
          <w:i/>
          <w:lang w:val="en-GB"/>
        </w:rPr>
      </w:pPr>
      <w:r w:rsidRPr="00D13A02">
        <w:rPr>
          <w:i/>
          <w:lang w:val="en-GB"/>
        </w:rPr>
        <w:t>The Economic Accounts for Agriculture</w:t>
      </w:r>
    </w:p>
    <w:p w:rsidR="00415939" w:rsidRPr="00D13A02" w:rsidRDefault="00415939" w:rsidP="00415939">
      <w:pPr>
        <w:pStyle w:val="Zkladntextodsazen"/>
        <w:spacing w:before="0" w:after="240" w:line="288" w:lineRule="auto"/>
        <w:ind w:firstLine="0"/>
        <w:rPr>
          <w:bCs/>
          <w:lang w:val="en-GB"/>
        </w:rPr>
      </w:pPr>
      <w:r w:rsidRPr="00D13A02">
        <w:rPr>
          <w:b/>
          <w:bCs/>
          <w:i/>
          <w:lang w:val="en-GB"/>
        </w:rPr>
        <w:t xml:space="preserve">The Economic Accounts for Agriculture </w:t>
      </w:r>
      <w:r w:rsidRPr="00D13A02">
        <w:rPr>
          <w:bCs/>
          <w:i/>
          <w:lang w:val="en-GB"/>
        </w:rPr>
        <w:t>(EAA)</w:t>
      </w:r>
      <w:r w:rsidRPr="00D13A02">
        <w:rPr>
          <w:i/>
          <w:lang w:val="en-GB"/>
        </w:rPr>
        <w:t xml:space="preserve"> </w:t>
      </w:r>
      <w:r w:rsidRPr="00D13A02">
        <w:rPr>
          <w:bCs/>
          <w:i/>
          <w:lang w:val="en-GB"/>
        </w:rPr>
        <w:t xml:space="preserve">are the basic systematic implements for measurement of the economic size and efficiency of the agriculture sector, tangibly agricultural basic industry within national </w:t>
      </w:r>
      <w:r w:rsidRPr="00D13A02">
        <w:rPr>
          <w:bCs/>
          <w:lang w:val="en-GB"/>
        </w:rPr>
        <w:t>economy.</w:t>
      </w:r>
    </w:p>
    <w:p w:rsidR="00E3475B" w:rsidRPr="00D13A02" w:rsidRDefault="00E3475B" w:rsidP="00EF1357">
      <w:pPr>
        <w:jc w:val="both"/>
        <w:rPr>
          <w:b/>
          <w:bCs/>
          <w:i/>
          <w:szCs w:val="20"/>
          <w:lang w:val="en-GB"/>
        </w:rPr>
      </w:pPr>
      <w:r w:rsidRPr="00D13A02">
        <w:rPr>
          <w:b/>
          <w:bCs/>
          <w:i/>
          <w:szCs w:val="20"/>
          <w:lang w:val="en-GB"/>
        </w:rPr>
        <w:t>EAA include next basic indicators:</w:t>
      </w:r>
    </w:p>
    <w:p w:rsidR="00E3475B" w:rsidRPr="00D13A02" w:rsidRDefault="00E3475B" w:rsidP="00E3475B">
      <w:pPr>
        <w:rPr>
          <w:b/>
          <w:bCs/>
          <w:i/>
          <w:lang w:val="en-GB"/>
        </w:rPr>
      </w:pPr>
      <w:r w:rsidRPr="00D13A02">
        <w:rPr>
          <w:b/>
          <w:bCs/>
          <w:i/>
          <w:lang w:val="en-GB"/>
        </w:rPr>
        <w:t xml:space="preserve">1. Output of agricultural activities </w:t>
      </w:r>
      <w:r w:rsidRPr="00D13A02">
        <w:rPr>
          <w:bCs/>
          <w:i/>
          <w:lang w:val="en-GB"/>
        </w:rPr>
        <w:t>in value statement that represents the whole final output of the agriculture sector.</w:t>
      </w:r>
    </w:p>
    <w:p w:rsidR="00E3475B" w:rsidRPr="00D13A02" w:rsidRDefault="00E3475B" w:rsidP="00E3475B">
      <w:pPr>
        <w:jc w:val="both"/>
        <w:rPr>
          <w:i/>
          <w:lang w:val="en-GB"/>
        </w:rPr>
      </w:pPr>
      <w:r w:rsidRPr="00D13A02">
        <w:rPr>
          <w:i/>
          <w:lang w:val="en-GB"/>
        </w:rPr>
        <w:t>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w:t>
      </w:r>
    </w:p>
    <w:p w:rsidR="00E3475B" w:rsidRPr="00D13A02" w:rsidRDefault="00E3475B" w:rsidP="00E3475B">
      <w:pPr>
        <w:jc w:val="both"/>
        <w:rPr>
          <w:i/>
          <w:lang w:val="en-GB"/>
        </w:rPr>
      </w:pPr>
      <w:r w:rsidRPr="00D13A02">
        <w:rPr>
          <w:i/>
          <w:lang w:val="en-GB"/>
        </w:rPr>
        <w:t>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rsidR="00E3475B" w:rsidRPr="00D13A02" w:rsidRDefault="00E3475B" w:rsidP="00E3475B">
      <w:pPr>
        <w:jc w:val="both"/>
        <w:rPr>
          <w:i/>
          <w:lang w:val="en-GB"/>
        </w:rPr>
      </w:pPr>
      <w:r w:rsidRPr="00D13A02">
        <w:rPr>
          <w:i/>
          <w:lang w:val="en-GB"/>
        </w:rPr>
        <w:t>The output is valued at the basic prices according to the revised manual from the year 1997. The basic price is the price receivable by the producers from the purchaser for a unit of a goods or services produced as output plus any subsidy receivable on that unit as a consequence of its production or sale minus any tax payable on that unit as a consequence of its production or sale. The final version of EAA for the years 202</w:t>
      </w:r>
      <w:r w:rsidR="00530BF9">
        <w:rPr>
          <w:i/>
          <w:lang w:val="en-GB"/>
        </w:rPr>
        <w:t>3 and 2024</w:t>
      </w:r>
      <w:r w:rsidRPr="00D13A02">
        <w:rPr>
          <w:i/>
          <w:lang w:val="en-GB"/>
        </w:rPr>
        <w:t xml:space="preserve"> </w:t>
      </w:r>
      <w:proofErr w:type="gramStart"/>
      <w:r w:rsidRPr="00D13A02">
        <w:rPr>
          <w:i/>
          <w:lang w:val="en-GB"/>
        </w:rPr>
        <w:t>was compiled</w:t>
      </w:r>
      <w:proofErr w:type="gramEnd"/>
      <w:r w:rsidRPr="00D13A02">
        <w:rPr>
          <w:i/>
          <w:lang w:val="en-GB"/>
        </w:rPr>
        <w:t xml:space="preserve"> in this manner. The whole production account was expressed at the basic prices. Cereals, industrial crops and forage plants are evaluated in average prices for marketing year, whereas seasonal products in average prices for calendar year.</w:t>
      </w:r>
    </w:p>
    <w:p w:rsidR="00E3475B" w:rsidRPr="00D13A02" w:rsidRDefault="00E3475B" w:rsidP="00E3475B">
      <w:pPr>
        <w:jc w:val="both"/>
        <w:rPr>
          <w:i/>
          <w:lang w:val="en-GB"/>
        </w:rPr>
      </w:pPr>
      <w:r w:rsidRPr="00D13A02">
        <w:rPr>
          <w:i/>
          <w:lang w:val="en-GB"/>
        </w:rPr>
        <w:t>On the basis of Eurostat decision (Working Group in November 2004) data for the latest year will not be sent as final but as semi-definitive. This way EAA 202</w:t>
      </w:r>
      <w:r w:rsidR="00530BF9">
        <w:rPr>
          <w:i/>
          <w:lang w:val="en-GB"/>
        </w:rPr>
        <w:t>4</w:t>
      </w:r>
      <w:r w:rsidRPr="00D13A02">
        <w:rPr>
          <w:i/>
          <w:lang w:val="en-GB"/>
        </w:rPr>
        <w:t xml:space="preserve"> contains semi-definitive data.</w:t>
      </w:r>
    </w:p>
    <w:p w:rsidR="00E3475B" w:rsidRPr="00D13A02" w:rsidRDefault="00E3475B" w:rsidP="00E3475B">
      <w:pPr>
        <w:jc w:val="both"/>
        <w:rPr>
          <w:i/>
          <w:lang w:val="en-GB"/>
        </w:rPr>
      </w:pPr>
      <w:r w:rsidRPr="00D13A02">
        <w:rPr>
          <w:i/>
          <w:lang w:val="en-GB"/>
        </w:rPr>
        <w:t>The EAA includes item 17. “Non-agricultural secondary activities (inseparable)” it consists of 2 sub-items 17.1 “Processing of agriculture products” and 17.2 “Other inseparable secondary activities (goods and services). These activities are closely linked to agricultural production but they are not monitored separately in accounting; they cannot be distinguished from the main agricultural activity.</w:t>
      </w:r>
    </w:p>
    <w:p w:rsidR="006B4B37" w:rsidRPr="00D13A02" w:rsidRDefault="00E3475B" w:rsidP="00E3475B">
      <w:pPr>
        <w:jc w:val="both"/>
        <w:rPr>
          <w:i/>
          <w:lang w:val="en-GB"/>
        </w:rPr>
      </w:pPr>
      <w:r w:rsidRPr="00D13A02">
        <w:rPr>
          <w:b/>
          <w:bCs/>
          <w:i/>
          <w:lang w:val="en-GB"/>
        </w:rPr>
        <w:t>2. Intermediate consumption</w:t>
      </w:r>
      <w:r w:rsidRPr="00D13A02">
        <w:rPr>
          <w:i/>
          <w:lang w:val="en-GB"/>
        </w:rPr>
        <w:t xml:space="preserve"> as the complex of all inputs into the agricultural units at the value statement.</w:t>
      </w:r>
    </w:p>
    <w:p w:rsidR="00E3475B" w:rsidRPr="00D13A02" w:rsidRDefault="00E3475B" w:rsidP="00E3475B">
      <w:pPr>
        <w:jc w:val="both"/>
        <w:rPr>
          <w:i/>
          <w:lang w:val="en-GB"/>
        </w:rPr>
      </w:pPr>
      <w:r w:rsidRPr="00D13A02">
        <w:rPr>
          <w:i/>
          <w:lang w:val="en-GB"/>
        </w:rPr>
        <w:t xml:space="preserve">It includes intra-unit consumption of animal </w:t>
      </w:r>
      <w:proofErr w:type="spellStart"/>
      <w:r w:rsidRPr="00D13A02">
        <w:rPr>
          <w:i/>
          <w:lang w:val="en-GB"/>
        </w:rPr>
        <w:t>feedingstuffs</w:t>
      </w:r>
      <w:proofErr w:type="spellEnd"/>
      <w:r w:rsidRPr="00D13A02">
        <w:rPr>
          <w:i/>
          <w:lang w:val="en-GB"/>
        </w:rPr>
        <w:t xml:space="preserve">, purchases of goods and services for intermediate consumption from outside the industry for items seeds and planting stock, energy and lubricants, fertilisers and soil improvers, plant protection products and pesticides, animal </w:t>
      </w:r>
      <w:proofErr w:type="spellStart"/>
      <w:r w:rsidRPr="00D13A02">
        <w:rPr>
          <w:i/>
          <w:lang w:val="en-GB"/>
        </w:rPr>
        <w:t>feedingstuffs</w:t>
      </w:r>
      <w:proofErr w:type="spellEnd"/>
      <w:r w:rsidRPr="00D13A02">
        <w:rPr>
          <w:i/>
          <w:lang w:val="en-GB"/>
        </w:rPr>
        <w:t>, maintenance of materials, maintenance of buildings, veterinary expenses and others.</w:t>
      </w:r>
    </w:p>
    <w:p w:rsidR="00E3475B" w:rsidRPr="00D13A02" w:rsidRDefault="00E3475B" w:rsidP="00E3475B">
      <w:pPr>
        <w:jc w:val="both"/>
        <w:rPr>
          <w:i/>
          <w:lang w:val="en-GB"/>
        </w:rPr>
      </w:pPr>
      <w:r w:rsidRPr="00D13A02">
        <w:rPr>
          <w:i/>
          <w:lang w:val="en-GB"/>
        </w:rPr>
        <w:t>Products used for intermediate consumption should be valued at the purchaser market prices for similar goods and services valid at the time of their insertion into the production process. This price includes taxes less subsidies on products (but excluding deductible taxes like VAT on the products).</w:t>
      </w:r>
    </w:p>
    <w:p w:rsidR="00E3475B" w:rsidRPr="00D13A02" w:rsidRDefault="00E3475B" w:rsidP="00E3475B">
      <w:pPr>
        <w:jc w:val="both"/>
        <w:rPr>
          <w:i/>
          <w:lang w:val="en-GB"/>
        </w:rPr>
      </w:pPr>
      <w:r w:rsidRPr="00D13A02">
        <w:rPr>
          <w:i/>
          <w:lang w:val="en-GB"/>
        </w:rPr>
        <w:lastRenderedPageBreak/>
        <w:t xml:space="preserve">In accordance with the Commission of the European </w:t>
      </w:r>
      <w:proofErr w:type="gramStart"/>
      <w:r w:rsidRPr="00D13A02">
        <w:rPr>
          <w:i/>
          <w:lang w:val="en-GB"/>
        </w:rPr>
        <w:t>communities</w:t>
      </w:r>
      <w:proofErr w:type="gramEnd"/>
      <w:r w:rsidRPr="00D13A02">
        <w:rPr>
          <w:i/>
          <w:lang w:val="en-GB"/>
        </w:rPr>
        <w:t xml:space="preserve"> regulation No 909/2006 of 20 June 2006 the item “FISIM” (financial intermediation services indirectly measured) should be recorded as intermediate consumption of the agricultural industry. The value of these costs should be subtracted from the interest paid by borrowers and added to the interest received by depositors and so the value of the entrepreneurial income is not affected. According to this regulation “FISIM” was included into EAA retrospectively for the whole line of its assembling.</w:t>
      </w:r>
    </w:p>
    <w:p w:rsidR="00D13A02" w:rsidRPr="00D13A02" w:rsidRDefault="00D13A02" w:rsidP="00EF1357">
      <w:pPr>
        <w:jc w:val="both"/>
        <w:rPr>
          <w:i/>
          <w:lang w:val="en-GB"/>
        </w:rPr>
      </w:pPr>
      <w:r w:rsidRPr="00D13A02">
        <w:rPr>
          <w:b/>
          <w:bCs/>
          <w:i/>
          <w:lang w:val="en-GB"/>
        </w:rPr>
        <w:t xml:space="preserve">3. Gross value added </w:t>
      </w:r>
      <w:r w:rsidRPr="00D13A02">
        <w:rPr>
          <w:i/>
          <w:lang w:val="en-GB"/>
        </w:rPr>
        <w:t>which represents the eventual effect of agricultural sector is the difference between the value of output and the value of intermediate consumption. The gross value added is expressed at basic prices according to the methodology.</w:t>
      </w:r>
    </w:p>
    <w:p w:rsidR="00D13A02" w:rsidRPr="00D13A02" w:rsidRDefault="00D13A02" w:rsidP="00D13A02">
      <w:pPr>
        <w:jc w:val="both"/>
        <w:rPr>
          <w:bCs/>
          <w:i/>
          <w:lang w:val="en-GB"/>
        </w:rPr>
      </w:pPr>
      <w:r w:rsidRPr="00D13A02">
        <w:rPr>
          <w:b/>
          <w:bCs/>
          <w:i/>
          <w:lang w:val="en-GB"/>
        </w:rPr>
        <w:t xml:space="preserve">4. Net value added </w:t>
      </w:r>
      <w:r w:rsidRPr="00D13A02">
        <w:rPr>
          <w:bCs/>
          <w:i/>
          <w:lang w:val="en-GB"/>
        </w:rPr>
        <w:t>is the value that is generated by all agricultural units after the deduction of the fixed capital consumption.</w:t>
      </w:r>
    </w:p>
    <w:p w:rsidR="00D13A02" w:rsidRPr="00D13A02" w:rsidRDefault="00D13A02" w:rsidP="00D13A02">
      <w:pPr>
        <w:jc w:val="both"/>
        <w:rPr>
          <w:bCs/>
          <w:i/>
          <w:lang w:val="en-GB"/>
        </w:rPr>
      </w:pPr>
      <w:r w:rsidRPr="00D13A02">
        <w:rPr>
          <w:b/>
          <w:bCs/>
          <w:i/>
          <w:lang w:val="en-GB"/>
        </w:rPr>
        <w:t xml:space="preserve">5. Other taxes /other subsidies on production </w:t>
      </w:r>
      <w:r w:rsidRPr="00D13A02">
        <w:rPr>
          <w:bCs/>
          <w:i/>
          <w:lang w:val="en-GB"/>
        </w:rPr>
        <w:t>that are posted to account within the framework of the Generation of Income Account.</w:t>
      </w:r>
    </w:p>
    <w:p w:rsidR="00D13A02" w:rsidRPr="00D13A02" w:rsidRDefault="00D13A02" w:rsidP="00D13A02">
      <w:pPr>
        <w:jc w:val="both"/>
        <w:rPr>
          <w:bCs/>
          <w:i/>
          <w:lang w:val="en-GB"/>
        </w:rPr>
      </w:pPr>
      <w:r w:rsidRPr="00D13A02">
        <w:rPr>
          <w:b/>
          <w:bCs/>
          <w:i/>
          <w:lang w:val="en-GB"/>
        </w:rPr>
        <w:t xml:space="preserve">6. Factor income </w:t>
      </w:r>
      <w:r w:rsidRPr="00D13A02">
        <w:rPr>
          <w:bCs/>
          <w:i/>
          <w:lang w:val="en-GB"/>
        </w:rPr>
        <w:t>that measures the remuneration of all factors of production and represents l the total value generated by units engaged in their production activities.</w:t>
      </w:r>
    </w:p>
    <w:p w:rsidR="00D13A02" w:rsidRPr="00D13A02" w:rsidRDefault="00D13A02" w:rsidP="00D13A02">
      <w:pPr>
        <w:jc w:val="both"/>
        <w:rPr>
          <w:bCs/>
          <w:i/>
          <w:lang w:val="en-GB"/>
        </w:rPr>
      </w:pPr>
      <w:r w:rsidRPr="00D13A02">
        <w:rPr>
          <w:b/>
          <w:bCs/>
          <w:i/>
          <w:lang w:val="en-GB"/>
        </w:rPr>
        <w:t xml:space="preserve">7. Net operating surplus / mixed income </w:t>
      </w:r>
      <w:r w:rsidRPr="00D13A02">
        <w:rPr>
          <w:bCs/>
          <w:i/>
          <w:lang w:val="en-GB"/>
        </w:rPr>
        <w:t>that measures the yield from land, capital and unpaid labour. It is the balance of the generation of income account, which indicates the distribution of income between the factors of production and the general government sector.</w:t>
      </w:r>
    </w:p>
    <w:p w:rsidR="00D13A02" w:rsidRPr="00D13A02" w:rsidRDefault="00D13A02" w:rsidP="00D13A02">
      <w:pPr>
        <w:jc w:val="both"/>
        <w:rPr>
          <w:bCs/>
          <w:i/>
          <w:lang w:val="en-GB"/>
        </w:rPr>
      </w:pPr>
      <w:r w:rsidRPr="00D13A02">
        <w:rPr>
          <w:b/>
          <w:bCs/>
          <w:i/>
          <w:lang w:val="en-GB"/>
        </w:rPr>
        <w:t xml:space="preserve">8. Entrepreneurial income </w:t>
      </w:r>
      <w:r w:rsidRPr="00D13A02">
        <w:rPr>
          <w:bCs/>
          <w:i/>
          <w:lang w:val="en-GB"/>
        </w:rPr>
        <w:t>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w:t>
      </w:r>
    </w:p>
    <w:p w:rsidR="006B4B37" w:rsidRPr="00D13A02" w:rsidRDefault="00D13A02" w:rsidP="00D13A02">
      <w:pPr>
        <w:jc w:val="both"/>
        <w:rPr>
          <w:bCs/>
          <w:i/>
          <w:lang w:val="en-GB"/>
        </w:rPr>
      </w:pPr>
      <w:r w:rsidRPr="00D13A02">
        <w:rPr>
          <w:b/>
          <w:bCs/>
          <w:i/>
          <w:lang w:val="en-GB"/>
        </w:rPr>
        <w:t xml:space="preserve">9. Elements of the capital account </w:t>
      </w:r>
      <w:r w:rsidRPr="00D13A02">
        <w:rPr>
          <w:bCs/>
          <w:i/>
          <w:lang w:val="en-GB"/>
        </w:rPr>
        <w:t>pick up the gross fixed capital formation (GFCF) according to particular kinds of estate. On the basis of Eurostat decision (Regulation No 138/2004 of 5 December 2003) there are not expressed its items in such detailed classification as in previous years.</w:t>
      </w:r>
    </w:p>
    <w:p w:rsidR="00D13A02" w:rsidRPr="00D13A02" w:rsidRDefault="00D13A02" w:rsidP="00D13A02">
      <w:pPr>
        <w:jc w:val="both"/>
        <w:rPr>
          <w:b/>
          <w:bCs/>
          <w:i/>
        </w:rPr>
      </w:pPr>
    </w:p>
    <w:bookmarkEnd w:id="0"/>
    <w:p w:rsidR="00D13A02" w:rsidRDefault="00D13A02" w:rsidP="00D13A02">
      <w:pPr>
        <w:rPr>
          <w:rFonts w:eastAsia="MS Gothic"/>
          <w:b/>
          <w:bCs/>
          <w:color w:val="009471"/>
          <w:sz w:val="28"/>
          <w:szCs w:val="26"/>
          <w:lang w:val="en-GB"/>
        </w:rPr>
      </w:pPr>
      <w:r w:rsidRPr="00D13A02">
        <w:rPr>
          <w:rFonts w:eastAsia="MS Gothic"/>
          <w:b/>
          <w:bCs/>
          <w:color w:val="009471"/>
          <w:sz w:val="28"/>
          <w:szCs w:val="26"/>
          <w:lang w:val="en-GB"/>
        </w:rPr>
        <w:t>Agricultural Labour Input</w:t>
      </w:r>
    </w:p>
    <w:p w:rsidR="00D13A02" w:rsidRPr="00D13A02" w:rsidRDefault="00D13A02" w:rsidP="00D13A02">
      <w:pPr>
        <w:jc w:val="both"/>
        <w:rPr>
          <w:i/>
          <w:lang w:val="en-GB"/>
        </w:rPr>
      </w:pPr>
      <w:r w:rsidRPr="00D13A02">
        <w:rPr>
          <w:i/>
          <w:lang w:val="en-GB"/>
        </w:rPr>
        <w:t>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Therefore it does not include public holiday, paid annual holidays, sick leave, breaks for meals, etc. Data on agricultural labour input should be classified according to salaried, non-salaried and total ALI (which sum up both two previous categories).</w:t>
      </w:r>
    </w:p>
    <w:p w:rsidR="00D13A02" w:rsidRPr="00D13A02" w:rsidRDefault="00D13A02" w:rsidP="00D13A02">
      <w:pPr>
        <w:jc w:val="both"/>
        <w:rPr>
          <w:i/>
          <w:lang w:val="en-GB"/>
        </w:rPr>
      </w:pPr>
      <w:r w:rsidRPr="00D13A02">
        <w:rPr>
          <w:i/>
          <w:lang w:val="en-GB"/>
        </w:rPr>
        <w:t>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w:t>
      </w:r>
    </w:p>
    <w:p w:rsidR="00D13A02" w:rsidRPr="00D13A02" w:rsidRDefault="00D13A02" w:rsidP="00D13A02">
      <w:pPr>
        <w:jc w:val="both"/>
        <w:rPr>
          <w:i/>
          <w:lang w:val="en-GB"/>
        </w:rPr>
      </w:pPr>
      <w:r w:rsidRPr="00D13A02">
        <w:rPr>
          <w:i/>
          <w:lang w:val="en-GB"/>
        </w:rPr>
        <w:lastRenderedPageBreak/>
        <w:t>The principal objective of calculating agricultural labour input statistics is to provide a systematic and comparable overview of the volume of labour in the agricultural industry and to monitor the trends in agricultural income.</w:t>
      </w:r>
    </w:p>
    <w:p w:rsidR="006B4B37" w:rsidRPr="00D13A02" w:rsidRDefault="00D13A02" w:rsidP="00D13A02">
      <w:pPr>
        <w:jc w:val="both"/>
        <w:rPr>
          <w:i/>
          <w:lang w:val="en-GB"/>
        </w:rPr>
      </w:pPr>
      <w:r w:rsidRPr="00D13A02">
        <w:rPr>
          <w:i/>
          <w:lang w:val="en-GB"/>
        </w:rPr>
        <w:t xml:space="preserve">Since 2000, data have been revised according to </w:t>
      </w:r>
      <w:proofErr w:type="spellStart"/>
      <w:r w:rsidRPr="00D13A02">
        <w:rPr>
          <w:i/>
          <w:lang w:val="en-GB"/>
        </w:rPr>
        <w:t>Agrocensus</w:t>
      </w:r>
      <w:proofErr w:type="spellEnd"/>
      <w:r w:rsidRPr="00D13A02">
        <w:rPr>
          <w:i/>
          <w:lang w:val="en-GB"/>
        </w:rPr>
        <w:t xml:space="preserve"> 2010 results.</w:t>
      </w:r>
    </w:p>
    <w:p w:rsidR="00D13A02" w:rsidRPr="00D13A02" w:rsidRDefault="00D13A02" w:rsidP="00D13A02">
      <w:pPr>
        <w:jc w:val="both"/>
        <w:rPr>
          <w:lang w:val="en-GB"/>
        </w:rPr>
      </w:pPr>
    </w:p>
    <w:p w:rsidR="00D13A02" w:rsidRDefault="00D13A02" w:rsidP="00D13A02">
      <w:pPr>
        <w:pStyle w:val="Nadpis1"/>
        <w:spacing w:after="240"/>
        <w:rPr>
          <w:i/>
        </w:rPr>
      </w:pPr>
      <w:bookmarkStart w:id="1" w:name="_Toc398546278"/>
      <w:proofErr w:type="spellStart"/>
      <w:r w:rsidRPr="00BA3108">
        <w:rPr>
          <w:i/>
        </w:rPr>
        <w:t>Agriculture</w:t>
      </w:r>
      <w:proofErr w:type="spellEnd"/>
      <w:r w:rsidRPr="00BA3108">
        <w:rPr>
          <w:i/>
        </w:rPr>
        <w:t xml:space="preserve"> </w:t>
      </w:r>
      <w:proofErr w:type="spellStart"/>
      <w:r w:rsidRPr="00BA3108">
        <w:rPr>
          <w:i/>
        </w:rPr>
        <w:t>Income</w:t>
      </w:r>
      <w:proofErr w:type="spellEnd"/>
      <w:r w:rsidRPr="00BA3108">
        <w:rPr>
          <w:i/>
        </w:rPr>
        <w:t xml:space="preserve"> </w:t>
      </w:r>
      <w:proofErr w:type="spellStart"/>
      <w:r w:rsidRPr="00BA3108">
        <w:rPr>
          <w:i/>
        </w:rPr>
        <w:t>Indicators</w:t>
      </w:r>
      <w:bookmarkEnd w:id="1"/>
      <w:proofErr w:type="spellEnd"/>
    </w:p>
    <w:p w:rsidR="00D13A02" w:rsidRPr="00D13A02" w:rsidRDefault="00D13A02" w:rsidP="00BA418B">
      <w:pPr>
        <w:jc w:val="both"/>
        <w:rPr>
          <w:rFonts w:cs="Arial"/>
          <w:i/>
          <w:szCs w:val="20"/>
          <w:lang w:val="en-GB"/>
        </w:rPr>
      </w:pPr>
      <w:r w:rsidRPr="00D13A02">
        <w:rPr>
          <w:rFonts w:cs="Arial"/>
          <w:i/>
          <w:szCs w:val="20"/>
          <w:lang w:val="en-GB"/>
        </w:rPr>
        <w:t>Measurement of agricultural income and its trends is one of the main goals set up by Economic Accounts for Agriculture; three indicators are derived from the EAA for that purpose. Agriculture Income Indicators are described as follows:</w:t>
      </w:r>
    </w:p>
    <w:p w:rsidR="00D13A02" w:rsidRDefault="00D13A02" w:rsidP="00BA418B">
      <w:pPr>
        <w:pStyle w:val="Zkladntextodsazen3"/>
        <w:spacing w:after="240" w:line="288" w:lineRule="auto"/>
        <w:ind w:left="0"/>
        <w:jc w:val="both"/>
        <w:rPr>
          <w:rFonts w:ascii="Arial" w:hAnsi="Arial" w:cs="Arial"/>
          <w:b/>
          <w:bCs/>
          <w:i/>
          <w:iCs/>
          <w:sz w:val="20"/>
          <w:szCs w:val="24"/>
          <w:lang w:val="en-GB"/>
        </w:rPr>
      </w:pPr>
      <w:r w:rsidRPr="00D13A02">
        <w:rPr>
          <w:rFonts w:ascii="Arial" w:hAnsi="Arial" w:cs="Arial"/>
          <w:b/>
          <w:bCs/>
          <w:i/>
          <w:iCs/>
          <w:sz w:val="20"/>
          <w:szCs w:val="24"/>
          <w:lang w:val="en-GB"/>
        </w:rPr>
        <w:t>Indicator A: Index of the real income of factors in agriculture, per annual work unit</w:t>
      </w:r>
    </w:p>
    <w:p w:rsidR="00D13A02" w:rsidRDefault="00D13A02" w:rsidP="00BA418B">
      <w:pPr>
        <w:pStyle w:val="Zkladntext2"/>
        <w:spacing w:before="0" w:after="240" w:line="288" w:lineRule="auto"/>
        <w:rPr>
          <w:i/>
          <w:iCs/>
          <w:lang w:val="en-GB"/>
        </w:rPr>
      </w:pPr>
      <w:r>
        <w:rPr>
          <w:i/>
          <w:iCs/>
          <w:lang w:val="en-GB"/>
        </w:rPr>
        <w:t>This indicator corresponds to the real (deflated) net value added at factor cost of agriculture per total annual work unit. Net value added at factor cost is calculated by subtracting intermediate consumption, depreciation and other production taxes from the value of agricultural output at basic prices (i.e. including subsidies on products and excluding taxes on products), and adding the value of other production subsidies. Indicator A is obtained by deflating this net value with the implicit price index of gross domestic product at market prices and dividing by the volume of total labour in agriculture.</w:t>
      </w:r>
    </w:p>
    <w:p w:rsidR="00BA418B" w:rsidRDefault="00BA418B" w:rsidP="00BA418B">
      <w:pPr>
        <w:pStyle w:val="Zkladntext2"/>
        <w:spacing w:before="0" w:after="240" w:line="288" w:lineRule="auto"/>
        <w:rPr>
          <w:b/>
          <w:bCs/>
          <w:i/>
          <w:iCs/>
          <w:lang w:val="en-GB"/>
        </w:rPr>
      </w:pPr>
      <w:r>
        <w:rPr>
          <w:b/>
          <w:bCs/>
          <w:i/>
          <w:iCs/>
          <w:lang w:val="en-GB"/>
        </w:rPr>
        <w:t>Indicator B: Index of real net agricultural entrepreneurial income, per unpaid annual work unit</w:t>
      </w:r>
    </w:p>
    <w:p w:rsidR="00BA418B" w:rsidRDefault="00BA418B" w:rsidP="00BA418B">
      <w:pPr>
        <w:pStyle w:val="Zkladntext2"/>
        <w:spacing w:before="0" w:after="240" w:line="288" w:lineRule="auto"/>
        <w:rPr>
          <w:i/>
          <w:iCs/>
          <w:lang w:val="en-GB"/>
        </w:rPr>
      </w:pPr>
      <w:r>
        <w:rPr>
          <w:i/>
          <w:iCs/>
          <w:lang w:val="en-GB"/>
        </w:rPr>
        <w:t>This indicator presents the changes in net entrepreneurial income over year, per non-salaried annual work unit. Net entrepreneurial income is obtained by subtracting the compensation of employees and interest and rent paid from the net value added at factor cost and adding the interest received. This figure is deflated with the price index (as it is described in connection with indicator A) and divided by the volume of non-salaried labour in agriculture.</w:t>
      </w:r>
    </w:p>
    <w:p w:rsidR="00BA418B" w:rsidRDefault="00BA418B" w:rsidP="00BA418B">
      <w:pPr>
        <w:pStyle w:val="Zkladntext2"/>
        <w:spacing w:before="0" w:after="240" w:line="288" w:lineRule="auto"/>
        <w:rPr>
          <w:i/>
          <w:iCs/>
          <w:lang w:val="en-GB"/>
        </w:rPr>
      </w:pPr>
      <w:r>
        <w:rPr>
          <w:b/>
          <w:bCs/>
          <w:i/>
          <w:iCs/>
          <w:lang w:val="en-GB"/>
        </w:rPr>
        <w:t>Indicator C: Real net entrepreneurial income from agriculture</w:t>
      </w:r>
    </w:p>
    <w:p w:rsidR="00BA418B" w:rsidRDefault="00BA418B" w:rsidP="00BA418B">
      <w:pPr>
        <w:pStyle w:val="Zkladntext2"/>
        <w:spacing w:before="0" w:after="240" w:line="288" w:lineRule="auto"/>
        <w:rPr>
          <w:i/>
          <w:iCs/>
          <w:lang w:val="en-GB"/>
        </w:rPr>
      </w:pPr>
      <w:r>
        <w:rPr>
          <w:i/>
          <w:iCs/>
          <w:lang w:val="en-GB"/>
        </w:rPr>
        <w:t>This indicator defines the change in the real (deflated) net entrepreneurial income as a separate value. It differs from Indicator B in it, which compares that change with a trend of non-salaried ALI. It could be said that the Indicator C is a base for the Indicator B.</w:t>
      </w:r>
    </w:p>
    <w:p w:rsidR="00BA418B" w:rsidRDefault="00BA418B" w:rsidP="00BA418B">
      <w:pPr>
        <w:pStyle w:val="Zkladntext2"/>
        <w:spacing w:before="0" w:after="240" w:line="288" w:lineRule="auto"/>
        <w:rPr>
          <w:i/>
          <w:iCs/>
          <w:lang w:val="en-GB"/>
        </w:rPr>
      </w:pPr>
      <w:r>
        <w:rPr>
          <w:i/>
          <w:iCs/>
          <w:lang w:val="en-GB"/>
        </w:rPr>
        <w:t>To calculate indicators B and C, more information is therefore needed than for calculating Indicator A, data must contain: the compensation of employees, rents and interest paid and received, and on the breakdown of labour input into its salaried and non-salaried components.</w:t>
      </w:r>
    </w:p>
    <w:p w:rsidR="003732DC" w:rsidRDefault="003732DC" w:rsidP="00BA418B">
      <w:pPr>
        <w:pStyle w:val="Zkladntext2"/>
        <w:spacing w:before="0" w:after="240" w:line="288" w:lineRule="auto"/>
        <w:rPr>
          <w:i/>
          <w:iCs/>
          <w:lang w:val="en-GB"/>
        </w:rPr>
      </w:pPr>
    </w:p>
    <w:p w:rsidR="003732DC" w:rsidRDefault="003732DC">
      <w:pPr>
        <w:spacing w:after="0" w:line="240" w:lineRule="auto"/>
        <w:rPr>
          <w:rFonts w:eastAsia="MS Gothic"/>
          <w:b/>
          <w:bCs/>
          <w:i/>
          <w:color w:val="009471"/>
          <w:sz w:val="28"/>
          <w:szCs w:val="26"/>
          <w:lang w:val="en-GB"/>
        </w:rPr>
      </w:pPr>
      <w:r>
        <w:rPr>
          <w:rFonts w:eastAsia="MS Gothic"/>
          <w:b/>
          <w:bCs/>
          <w:i/>
          <w:color w:val="009471"/>
          <w:sz w:val="28"/>
          <w:szCs w:val="26"/>
          <w:lang w:val="en-GB"/>
        </w:rPr>
        <w:br w:type="page"/>
      </w:r>
    </w:p>
    <w:p w:rsidR="00BA418B" w:rsidRPr="00BA418B" w:rsidRDefault="00BA418B" w:rsidP="00BA418B">
      <w:pPr>
        <w:rPr>
          <w:rFonts w:eastAsia="MS Gothic"/>
          <w:b/>
          <w:bCs/>
          <w:i/>
          <w:color w:val="009471"/>
          <w:sz w:val="28"/>
          <w:szCs w:val="26"/>
          <w:lang w:val="en-GB"/>
        </w:rPr>
      </w:pPr>
      <w:r w:rsidRPr="00BA418B">
        <w:rPr>
          <w:rFonts w:eastAsia="MS Gothic"/>
          <w:b/>
          <w:bCs/>
          <w:i/>
          <w:color w:val="009471"/>
          <w:sz w:val="28"/>
          <w:szCs w:val="26"/>
          <w:lang w:val="en-GB"/>
        </w:rPr>
        <w:lastRenderedPageBreak/>
        <w:t>Symbols used in tables of publications</w:t>
      </w:r>
    </w:p>
    <w:p w:rsidR="00BA418B" w:rsidRPr="00BA418B" w:rsidRDefault="00BA418B" w:rsidP="00BA418B">
      <w:pPr>
        <w:jc w:val="both"/>
        <w:rPr>
          <w:i/>
          <w:lang w:val="en-GB"/>
        </w:rPr>
      </w:pPr>
      <w:r w:rsidRPr="00BA418B">
        <w:rPr>
          <w:i/>
          <w:lang w:val="en-GB"/>
        </w:rPr>
        <w:t>-</w:t>
      </w:r>
      <w:r w:rsidRPr="00BA418B">
        <w:rPr>
          <w:i/>
          <w:lang w:val="en-GB"/>
        </w:rPr>
        <w:tab/>
        <w:t>Dash (-) indicates that the phenomenon did not occur.</w:t>
      </w:r>
    </w:p>
    <w:p w:rsidR="00BA418B" w:rsidRPr="00BA418B" w:rsidRDefault="00BA418B" w:rsidP="00BA418B">
      <w:pPr>
        <w:ind w:left="705" w:hanging="705"/>
        <w:jc w:val="both"/>
        <w:rPr>
          <w:i/>
          <w:lang w:val="en-GB"/>
        </w:rPr>
      </w:pPr>
      <w:r w:rsidRPr="00BA418B">
        <w:rPr>
          <w:i/>
          <w:lang w:val="en-GB"/>
        </w:rPr>
        <w:t>0</w:t>
      </w:r>
      <w:r w:rsidRPr="00BA418B">
        <w:rPr>
          <w:i/>
          <w:lang w:val="en-GB"/>
        </w:rPr>
        <w:tab/>
        <w:t>Zero (0) indicates that there exist a figure, but its value is less than a half of a measure unit used in the table.</w:t>
      </w:r>
    </w:p>
    <w:p w:rsidR="00BA418B" w:rsidRPr="00BA418B" w:rsidRDefault="00BA418B" w:rsidP="00BA418B">
      <w:pPr>
        <w:jc w:val="both"/>
        <w:rPr>
          <w:i/>
          <w:lang w:val="en-GB"/>
        </w:rPr>
      </w:pPr>
      <w:proofErr w:type="gramStart"/>
      <w:r w:rsidRPr="00BA418B">
        <w:rPr>
          <w:i/>
          <w:lang w:val="en-GB"/>
        </w:rPr>
        <w:t>x</w:t>
      </w:r>
      <w:proofErr w:type="gramEnd"/>
      <w:r w:rsidRPr="00BA418B">
        <w:rPr>
          <w:i/>
          <w:lang w:val="en-GB"/>
        </w:rPr>
        <w:tab/>
        <w:t>Letter x (x) is used when the figure is not logically possible to achieve.</w:t>
      </w:r>
    </w:p>
    <w:p w:rsidR="006B4B37" w:rsidRPr="00BA418B" w:rsidRDefault="00BA418B" w:rsidP="00BA418B">
      <w:pPr>
        <w:jc w:val="both"/>
        <w:rPr>
          <w:i/>
          <w:lang w:val="en-GB"/>
        </w:rPr>
      </w:pPr>
      <w:r w:rsidRPr="00BA418B">
        <w:rPr>
          <w:i/>
          <w:lang w:val="en-GB"/>
        </w:rPr>
        <w:t>.</w:t>
      </w:r>
      <w:r w:rsidRPr="00BA418B">
        <w:rPr>
          <w:i/>
          <w:lang w:val="en-GB"/>
        </w:rPr>
        <w:tab/>
        <w:t>Dot (.) shows that the figure is not available or cannot be relied on.</w:t>
      </w:r>
    </w:p>
    <w:sectPr w:rsidR="006B4B37" w:rsidRPr="00BA418B" w:rsidSect="006F541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763" w:rsidRDefault="00D55763" w:rsidP="00E71A58">
      <w:r>
        <w:separator/>
      </w:r>
    </w:p>
  </w:endnote>
  <w:endnote w:type="continuationSeparator" w:id="0">
    <w:p w:rsidR="00D55763" w:rsidRDefault="00D55763"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55FE2EF2" wp14:editId="55FE2EF3">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61024C">
      <w:rPr>
        <w:szCs w:val="16"/>
      </w:rPr>
      <w:t>2</w:t>
    </w:r>
    <w:r w:rsidR="005647BF" w:rsidRPr="00932443">
      <w:rPr>
        <w:szCs w:val="16"/>
      </w:rPr>
      <w:fldChar w:fldCharType="end"/>
    </w:r>
    <w:r w:rsidR="005647BF" w:rsidRPr="00932443">
      <w:rPr>
        <w:szCs w:val="16"/>
      </w:rPr>
      <w:tab/>
    </w:r>
    <w:r w:rsidR="0061024C">
      <w:rPr>
        <w:szCs w:val="16"/>
      </w:rPr>
      <w:t>2025</w:t>
    </w:r>
    <w:bookmarkStart w:id="2" w:name="_GoBack"/>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55FE2EF4" wp14:editId="55FE2EF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61024C">
      <w:rPr>
        <w:rStyle w:val="ZpatChar"/>
        <w:szCs w:val="16"/>
      </w:rPr>
      <w:t>2025</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61024C">
      <w:rPr>
        <w:rStyle w:val="ZpatChar"/>
        <w:szCs w:val="16"/>
      </w:rPr>
      <w:t>1</w:t>
    </w:r>
    <w:r w:rsidR="005647BF" w:rsidRPr="00932443">
      <w:rPr>
        <w:rStyle w:val="ZpatCha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24C" w:rsidRDefault="006102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763" w:rsidRDefault="00D55763" w:rsidP="00E71A58">
      <w:r>
        <w:separator/>
      </w:r>
    </w:p>
  </w:footnote>
  <w:footnote w:type="continuationSeparator" w:id="0">
    <w:p w:rsidR="00D55763" w:rsidRDefault="00D55763"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B37" w:rsidRPr="002767A3" w:rsidRDefault="006B4B37" w:rsidP="006B4B37">
    <w:pPr>
      <w:pStyle w:val="Zhlav"/>
    </w:pPr>
    <w:r>
      <w:t>SOUHRNNÝ ZEMĚDĚLSKÝ ÚČET definitivn</w:t>
    </w:r>
    <w:r w:rsidR="0061024C">
      <w:t>í výsledky za rok 2023</w:t>
    </w:r>
    <w:r>
      <w:t xml:space="preserve"> a </w:t>
    </w:r>
    <w:proofErr w:type="spellStart"/>
    <w:r>
      <w:t>se</w:t>
    </w:r>
    <w:r w:rsidR="0061024C">
      <w:t>midefinitivní</w:t>
    </w:r>
    <w:proofErr w:type="spellEnd"/>
    <w:r w:rsidR="0061024C">
      <w:t xml:space="preserve"> výsledky roku 2024</w:t>
    </w:r>
  </w:p>
  <w:p w:rsidR="006B4B37" w:rsidRPr="00415939" w:rsidRDefault="006B4B37" w:rsidP="006B4B37">
    <w:pPr>
      <w:pStyle w:val="Zhlav"/>
      <w:rPr>
        <w:i/>
      </w:rPr>
    </w:pPr>
    <w:r w:rsidRPr="00415939">
      <w:rPr>
        <w:i/>
      </w:rPr>
      <w:t xml:space="preserve">/ </w:t>
    </w:r>
    <w:r w:rsidRPr="00D13A02">
      <w:rPr>
        <w:i/>
        <w:lang w:val="en-GB"/>
      </w:rPr>
      <w:t xml:space="preserve">ECONOMIC ACCOUNTS FOR </w:t>
    </w:r>
    <w:r w:rsidR="0061024C">
      <w:rPr>
        <w:i/>
        <w:lang w:val="en-GB"/>
      </w:rPr>
      <w:t>AGRICULTURE Definitive data 2023 and Semi-definitive Data 2024</w:t>
    </w:r>
  </w:p>
  <w:p w:rsidR="00515C74" w:rsidRPr="006B4B37" w:rsidRDefault="00515C74" w:rsidP="006B4B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3D" w:rsidRPr="002767A3" w:rsidRDefault="00F9393D" w:rsidP="00F9393D">
    <w:pPr>
      <w:pStyle w:val="Zhlav"/>
    </w:pPr>
    <w:r>
      <w:t xml:space="preserve">SOUHRNNÝ ZEMĚDĚLSKÝ ÚČET </w:t>
    </w:r>
    <w:r w:rsidR="0061024C">
      <w:t>definitivní výsledky za rok 2023</w:t>
    </w:r>
    <w:r>
      <w:t xml:space="preserve"> a </w:t>
    </w:r>
    <w:proofErr w:type="spellStart"/>
    <w:r>
      <w:t>se</w:t>
    </w:r>
    <w:r w:rsidR="0061024C">
      <w:t>midefinitivní</w:t>
    </w:r>
    <w:proofErr w:type="spellEnd"/>
    <w:r w:rsidR="0061024C">
      <w:t xml:space="preserve"> výsledky roku 2024</w:t>
    </w:r>
  </w:p>
  <w:p w:rsidR="00F9393D" w:rsidRPr="00415939" w:rsidRDefault="00F9393D" w:rsidP="00F9393D">
    <w:pPr>
      <w:pStyle w:val="Zhlav"/>
      <w:rPr>
        <w:i/>
      </w:rPr>
    </w:pPr>
    <w:r w:rsidRPr="00415939">
      <w:rPr>
        <w:i/>
      </w:rPr>
      <w:t xml:space="preserve">/ </w:t>
    </w:r>
    <w:r w:rsidRPr="00D13A02">
      <w:rPr>
        <w:i/>
        <w:lang w:val="en-GB"/>
      </w:rPr>
      <w:t xml:space="preserve">ECONOMIC ACCOUNTS FOR </w:t>
    </w:r>
    <w:r w:rsidR="0061024C">
      <w:rPr>
        <w:i/>
        <w:lang w:val="en-GB"/>
      </w:rPr>
      <w:t>AGRICULTURE Definitive data 2023 and Semi-definitive Data 2024</w:t>
    </w:r>
  </w:p>
  <w:p w:rsidR="00B5752E" w:rsidRPr="00F9393D" w:rsidRDefault="00B5752E" w:rsidP="00F9393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24C" w:rsidRDefault="006102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63"/>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10E1"/>
    <w:rsid w:val="00062EC5"/>
    <w:rsid w:val="00062F22"/>
    <w:rsid w:val="000712B3"/>
    <w:rsid w:val="0008263E"/>
    <w:rsid w:val="00082C19"/>
    <w:rsid w:val="00085395"/>
    <w:rsid w:val="00087634"/>
    <w:rsid w:val="00087F2B"/>
    <w:rsid w:val="000974D1"/>
    <w:rsid w:val="0009799E"/>
    <w:rsid w:val="000A1183"/>
    <w:rsid w:val="000A256D"/>
    <w:rsid w:val="000A3A2C"/>
    <w:rsid w:val="000C3408"/>
    <w:rsid w:val="000C6AFD"/>
    <w:rsid w:val="000D5637"/>
    <w:rsid w:val="000E6FBD"/>
    <w:rsid w:val="00100F5C"/>
    <w:rsid w:val="00104C4C"/>
    <w:rsid w:val="0012192F"/>
    <w:rsid w:val="00125D69"/>
    <w:rsid w:val="001405FA"/>
    <w:rsid w:val="001425C3"/>
    <w:rsid w:val="0016256B"/>
    <w:rsid w:val="00163793"/>
    <w:rsid w:val="001706D6"/>
    <w:rsid w:val="001714F2"/>
    <w:rsid w:val="00184B08"/>
    <w:rsid w:val="00185010"/>
    <w:rsid w:val="001A552F"/>
    <w:rsid w:val="001B2CA9"/>
    <w:rsid w:val="001B3110"/>
    <w:rsid w:val="001B4729"/>
    <w:rsid w:val="001B6C09"/>
    <w:rsid w:val="001C05CD"/>
    <w:rsid w:val="001C400A"/>
    <w:rsid w:val="001D68B2"/>
    <w:rsid w:val="001F4597"/>
    <w:rsid w:val="002118B9"/>
    <w:rsid w:val="00217C5B"/>
    <w:rsid w:val="0022139E"/>
    <w:rsid w:val="002252E0"/>
    <w:rsid w:val="002255F6"/>
    <w:rsid w:val="00227850"/>
    <w:rsid w:val="00227A53"/>
    <w:rsid w:val="00230C6E"/>
    <w:rsid w:val="00236443"/>
    <w:rsid w:val="002436BA"/>
    <w:rsid w:val="00244A15"/>
    <w:rsid w:val="00247319"/>
    <w:rsid w:val="0024799E"/>
    <w:rsid w:val="00253C0F"/>
    <w:rsid w:val="00271465"/>
    <w:rsid w:val="00285412"/>
    <w:rsid w:val="002A16D4"/>
    <w:rsid w:val="002A230C"/>
    <w:rsid w:val="002C43BD"/>
    <w:rsid w:val="002C624A"/>
    <w:rsid w:val="002D0E59"/>
    <w:rsid w:val="002D73B4"/>
    <w:rsid w:val="002E02A1"/>
    <w:rsid w:val="002E4E4C"/>
    <w:rsid w:val="00304771"/>
    <w:rsid w:val="003052D4"/>
    <w:rsid w:val="00306C5B"/>
    <w:rsid w:val="00314D9F"/>
    <w:rsid w:val="003209D6"/>
    <w:rsid w:val="00321924"/>
    <w:rsid w:val="0032656E"/>
    <w:rsid w:val="003306DF"/>
    <w:rsid w:val="00332190"/>
    <w:rsid w:val="003350AC"/>
    <w:rsid w:val="00344668"/>
    <w:rsid w:val="003462D9"/>
    <w:rsid w:val="003469F5"/>
    <w:rsid w:val="00360C86"/>
    <w:rsid w:val="003657F3"/>
    <w:rsid w:val="003732DC"/>
    <w:rsid w:val="003818DC"/>
    <w:rsid w:val="00384327"/>
    <w:rsid w:val="00385D98"/>
    <w:rsid w:val="003A2B4D"/>
    <w:rsid w:val="003A478C"/>
    <w:rsid w:val="003A5525"/>
    <w:rsid w:val="003A6B38"/>
    <w:rsid w:val="003B5A32"/>
    <w:rsid w:val="003C3490"/>
    <w:rsid w:val="003D6920"/>
    <w:rsid w:val="003E4C91"/>
    <w:rsid w:val="003F313C"/>
    <w:rsid w:val="003F4B2C"/>
    <w:rsid w:val="003F551C"/>
    <w:rsid w:val="003F7D23"/>
    <w:rsid w:val="00407C13"/>
    <w:rsid w:val="00410638"/>
    <w:rsid w:val="00415939"/>
    <w:rsid w:val="00416F0B"/>
    <w:rsid w:val="00432A58"/>
    <w:rsid w:val="00434617"/>
    <w:rsid w:val="00440900"/>
    <w:rsid w:val="004441A0"/>
    <w:rsid w:val="00454A3F"/>
    <w:rsid w:val="00460FB3"/>
    <w:rsid w:val="00476240"/>
    <w:rsid w:val="00476439"/>
    <w:rsid w:val="0047735C"/>
    <w:rsid w:val="004776BC"/>
    <w:rsid w:val="0048139F"/>
    <w:rsid w:val="00481E40"/>
    <w:rsid w:val="00484ECE"/>
    <w:rsid w:val="004915CB"/>
    <w:rsid w:val="004924DC"/>
    <w:rsid w:val="004A14E4"/>
    <w:rsid w:val="004A3212"/>
    <w:rsid w:val="004A61C5"/>
    <w:rsid w:val="004A77DF"/>
    <w:rsid w:val="004B1417"/>
    <w:rsid w:val="004B55B7"/>
    <w:rsid w:val="004B6468"/>
    <w:rsid w:val="004C384C"/>
    <w:rsid w:val="004C3867"/>
    <w:rsid w:val="004C4CD0"/>
    <w:rsid w:val="004C70DC"/>
    <w:rsid w:val="004D0211"/>
    <w:rsid w:val="004D0794"/>
    <w:rsid w:val="004F06F5"/>
    <w:rsid w:val="004F33A0"/>
    <w:rsid w:val="005108C0"/>
    <w:rsid w:val="00511873"/>
    <w:rsid w:val="00512A2F"/>
    <w:rsid w:val="00513B7E"/>
    <w:rsid w:val="00515C74"/>
    <w:rsid w:val="0052007E"/>
    <w:rsid w:val="0052337A"/>
    <w:rsid w:val="00525137"/>
    <w:rsid w:val="005251DD"/>
    <w:rsid w:val="00530BF9"/>
    <w:rsid w:val="00532CE7"/>
    <w:rsid w:val="0053324C"/>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C78C7"/>
    <w:rsid w:val="005D5802"/>
    <w:rsid w:val="005D7890"/>
    <w:rsid w:val="005E7C78"/>
    <w:rsid w:val="005F3EB1"/>
    <w:rsid w:val="005F5469"/>
    <w:rsid w:val="00604307"/>
    <w:rsid w:val="0060487F"/>
    <w:rsid w:val="00604EAD"/>
    <w:rsid w:val="0061024C"/>
    <w:rsid w:val="006104FB"/>
    <w:rsid w:val="00612A2F"/>
    <w:rsid w:val="00616E05"/>
    <w:rsid w:val="00624093"/>
    <w:rsid w:val="006322D4"/>
    <w:rsid w:val="006404A7"/>
    <w:rsid w:val="006451E4"/>
    <w:rsid w:val="00645B33"/>
    <w:rsid w:val="006516CB"/>
    <w:rsid w:val="00657E87"/>
    <w:rsid w:val="006634CE"/>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4B37"/>
    <w:rsid w:val="006B78D8"/>
    <w:rsid w:val="006C113F"/>
    <w:rsid w:val="006C123E"/>
    <w:rsid w:val="006C56D4"/>
    <w:rsid w:val="006C6924"/>
    <w:rsid w:val="006C7CA6"/>
    <w:rsid w:val="006D3E8A"/>
    <w:rsid w:val="006D61F6"/>
    <w:rsid w:val="006E279A"/>
    <w:rsid w:val="006E313B"/>
    <w:rsid w:val="006F5416"/>
    <w:rsid w:val="006F6B1A"/>
    <w:rsid w:val="00706AD4"/>
    <w:rsid w:val="007140BE"/>
    <w:rsid w:val="007202BA"/>
    <w:rsid w:val="007211F5"/>
    <w:rsid w:val="00725BB5"/>
    <w:rsid w:val="00730AE8"/>
    <w:rsid w:val="00734624"/>
    <w:rsid w:val="00741493"/>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9585A"/>
    <w:rsid w:val="007B6689"/>
    <w:rsid w:val="007D40DF"/>
    <w:rsid w:val="007E7E61"/>
    <w:rsid w:val="007F0845"/>
    <w:rsid w:val="00807C82"/>
    <w:rsid w:val="00816905"/>
    <w:rsid w:val="00821FF6"/>
    <w:rsid w:val="00825C4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6642C"/>
    <w:rsid w:val="008701E4"/>
    <w:rsid w:val="00875A32"/>
    <w:rsid w:val="00876086"/>
    <w:rsid w:val="008767E4"/>
    <w:rsid w:val="008873D4"/>
    <w:rsid w:val="00893E85"/>
    <w:rsid w:val="00894031"/>
    <w:rsid w:val="008B7C02"/>
    <w:rsid w:val="008B7D2B"/>
    <w:rsid w:val="008C0049"/>
    <w:rsid w:val="008C0E88"/>
    <w:rsid w:val="008D02E1"/>
    <w:rsid w:val="008D1E6A"/>
    <w:rsid w:val="008D2A16"/>
    <w:rsid w:val="008E2C57"/>
    <w:rsid w:val="008E31FF"/>
    <w:rsid w:val="008E6F06"/>
    <w:rsid w:val="008F029B"/>
    <w:rsid w:val="008F3FC9"/>
    <w:rsid w:val="008F4536"/>
    <w:rsid w:val="008F585B"/>
    <w:rsid w:val="009003A8"/>
    <w:rsid w:val="00902500"/>
    <w:rsid w:val="00902EFF"/>
    <w:rsid w:val="00906401"/>
    <w:rsid w:val="0091155E"/>
    <w:rsid w:val="00912A92"/>
    <w:rsid w:val="0091728D"/>
    <w:rsid w:val="0092180B"/>
    <w:rsid w:val="00921F14"/>
    <w:rsid w:val="00924AC8"/>
    <w:rsid w:val="0092597A"/>
    <w:rsid w:val="00932443"/>
    <w:rsid w:val="00937AE2"/>
    <w:rsid w:val="0094427A"/>
    <w:rsid w:val="00973A2C"/>
    <w:rsid w:val="00974923"/>
    <w:rsid w:val="00980D3D"/>
    <w:rsid w:val="00987A30"/>
    <w:rsid w:val="00992CF3"/>
    <w:rsid w:val="00995A66"/>
    <w:rsid w:val="009968D6"/>
    <w:rsid w:val="009A1CAB"/>
    <w:rsid w:val="009A60D1"/>
    <w:rsid w:val="009B10A8"/>
    <w:rsid w:val="009B6FD3"/>
    <w:rsid w:val="009C1750"/>
    <w:rsid w:val="009C2E29"/>
    <w:rsid w:val="009C554B"/>
    <w:rsid w:val="009C719E"/>
    <w:rsid w:val="009D3ACD"/>
    <w:rsid w:val="009E5273"/>
    <w:rsid w:val="009E5DDB"/>
    <w:rsid w:val="009F4CA7"/>
    <w:rsid w:val="009F7A0A"/>
    <w:rsid w:val="00A10D66"/>
    <w:rsid w:val="00A14114"/>
    <w:rsid w:val="00A16413"/>
    <w:rsid w:val="00A23E43"/>
    <w:rsid w:val="00A30F65"/>
    <w:rsid w:val="00A418BC"/>
    <w:rsid w:val="00A46DE0"/>
    <w:rsid w:val="00A50D73"/>
    <w:rsid w:val="00A52CAD"/>
    <w:rsid w:val="00A53FC7"/>
    <w:rsid w:val="00A62CE1"/>
    <w:rsid w:val="00A6741E"/>
    <w:rsid w:val="00A75E40"/>
    <w:rsid w:val="00A77D1D"/>
    <w:rsid w:val="00A857C0"/>
    <w:rsid w:val="00AA2996"/>
    <w:rsid w:val="00AA52BF"/>
    <w:rsid w:val="00AA559A"/>
    <w:rsid w:val="00AB2AF1"/>
    <w:rsid w:val="00AD306C"/>
    <w:rsid w:val="00AE09B3"/>
    <w:rsid w:val="00AE1A83"/>
    <w:rsid w:val="00AF46DC"/>
    <w:rsid w:val="00B00913"/>
    <w:rsid w:val="00B01593"/>
    <w:rsid w:val="00B10A4D"/>
    <w:rsid w:val="00B17E71"/>
    <w:rsid w:val="00B17FDE"/>
    <w:rsid w:val="00B2379C"/>
    <w:rsid w:val="00B2687D"/>
    <w:rsid w:val="00B32DDB"/>
    <w:rsid w:val="00B34528"/>
    <w:rsid w:val="00B35250"/>
    <w:rsid w:val="00B3611A"/>
    <w:rsid w:val="00B402FC"/>
    <w:rsid w:val="00B46604"/>
    <w:rsid w:val="00B530CD"/>
    <w:rsid w:val="00B55F5E"/>
    <w:rsid w:val="00B572E3"/>
    <w:rsid w:val="00B5752E"/>
    <w:rsid w:val="00B63A11"/>
    <w:rsid w:val="00B64C24"/>
    <w:rsid w:val="00B6608F"/>
    <w:rsid w:val="00B679FB"/>
    <w:rsid w:val="00B76D1E"/>
    <w:rsid w:val="00B80EC6"/>
    <w:rsid w:val="00B86681"/>
    <w:rsid w:val="00B92D1D"/>
    <w:rsid w:val="00B938C5"/>
    <w:rsid w:val="00B95940"/>
    <w:rsid w:val="00BA418B"/>
    <w:rsid w:val="00BB46F3"/>
    <w:rsid w:val="00BB4CB1"/>
    <w:rsid w:val="00BB4F98"/>
    <w:rsid w:val="00BC7154"/>
    <w:rsid w:val="00BD366B"/>
    <w:rsid w:val="00BD6D50"/>
    <w:rsid w:val="00BE18B9"/>
    <w:rsid w:val="00BE2495"/>
    <w:rsid w:val="00BF1578"/>
    <w:rsid w:val="00C21F94"/>
    <w:rsid w:val="00C27913"/>
    <w:rsid w:val="00C33B68"/>
    <w:rsid w:val="00C36A79"/>
    <w:rsid w:val="00C405D4"/>
    <w:rsid w:val="00C4513B"/>
    <w:rsid w:val="00C54697"/>
    <w:rsid w:val="00C56BB4"/>
    <w:rsid w:val="00C631AB"/>
    <w:rsid w:val="00C73885"/>
    <w:rsid w:val="00C747B1"/>
    <w:rsid w:val="00C82191"/>
    <w:rsid w:val="00C90CF4"/>
    <w:rsid w:val="00C92EB6"/>
    <w:rsid w:val="00C93389"/>
    <w:rsid w:val="00CB4930"/>
    <w:rsid w:val="00CC2E7D"/>
    <w:rsid w:val="00CD10A5"/>
    <w:rsid w:val="00CD2076"/>
    <w:rsid w:val="00CD77D4"/>
    <w:rsid w:val="00CE670B"/>
    <w:rsid w:val="00CF51EC"/>
    <w:rsid w:val="00CF73AE"/>
    <w:rsid w:val="00D040DD"/>
    <w:rsid w:val="00D07BA7"/>
    <w:rsid w:val="00D13986"/>
    <w:rsid w:val="00D13A02"/>
    <w:rsid w:val="00D235B7"/>
    <w:rsid w:val="00D25F28"/>
    <w:rsid w:val="00D27973"/>
    <w:rsid w:val="00D50F46"/>
    <w:rsid w:val="00D55763"/>
    <w:rsid w:val="00D66223"/>
    <w:rsid w:val="00D8084C"/>
    <w:rsid w:val="00DA7C0C"/>
    <w:rsid w:val="00DB2EC8"/>
    <w:rsid w:val="00DB55DD"/>
    <w:rsid w:val="00DC5B3B"/>
    <w:rsid w:val="00DD129F"/>
    <w:rsid w:val="00DE2655"/>
    <w:rsid w:val="00DF42FF"/>
    <w:rsid w:val="00E01C0E"/>
    <w:rsid w:val="00E03F9A"/>
    <w:rsid w:val="00E04694"/>
    <w:rsid w:val="00E12B1E"/>
    <w:rsid w:val="00E17262"/>
    <w:rsid w:val="00E253A2"/>
    <w:rsid w:val="00E3309D"/>
    <w:rsid w:val="00E3475B"/>
    <w:rsid w:val="00E50156"/>
    <w:rsid w:val="00E53470"/>
    <w:rsid w:val="00E539F6"/>
    <w:rsid w:val="00E6519D"/>
    <w:rsid w:val="00E67696"/>
    <w:rsid w:val="00E71A58"/>
    <w:rsid w:val="00E72A7A"/>
    <w:rsid w:val="00E75C94"/>
    <w:rsid w:val="00E93820"/>
    <w:rsid w:val="00EA0C68"/>
    <w:rsid w:val="00EA32BC"/>
    <w:rsid w:val="00EB3701"/>
    <w:rsid w:val="00EB4511"/>
    <w:rsid w:val="00EC03D7"/>
    <w:rsid w:val="00ED62C6"/>
    <w:rsid w:val="00ED64C1"/>
    <w:rsid w:val="00EE3446"/>
    <w:rsid w:val="00EE3E78"/>
    <w:rsid w:val="00EE4B1B"/>
    <w:rsid w:val="00EF1357"/>
    <w:rsid w:val="00EF150D"/>
    <w:rsid w:val="00EF1F5A"/>
    <w:rsid w:val="00EF47BF"/>
    <w:rsid w:val="00F04811"/>
    <w:rsid w:val="00F0488C"/>
    <w:rsid w:val="00F10F11"/>
    <w:rsid w:val="00F15AAA"/>
    <w:rsid w:val="00F15BEF"/>
    <w:rsid w:val="00F24407"/>
    <w:rsid w:val="00F24FAA"/>
    <w:rsid w:val="00F3364D"/>
    <w:rsid w:val="00F437CC"/>
    <w:rsid w:val="00F47067"/>
    <w:rsid w:val="00F525EB"/>
    <w:rsid w:val="00F63DDE"/>
    <w:rsid w:val="00F63FB7"/>
    <w:rsid w:val="00F649D2"/>
    <w:rsid w:val="00F6602B"/>
    <w:rsid w:val="00F73A0C"/>
    <w:rsid w:val="00F756DB"/>
    <w:rsid w:val="00F85066"/>
    <w:rsid w:val="00F9393D"/>
    <w:rsid w:val="00FA5D4D"/>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4D7D7995"/>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 w:type="paragraph" w:styleId="Zkladntextodsazen">
    <w:name w:val="Body Text Indent"/>
    <w:basedOn w:val="Normln"/>
    <w:link w:val="ZkladntextodsazenChar"/>
    <w:semiHidden/>
    <w:rsid w:val="006B4B37"/>
    <w:pPr>
      <w:overflowPunct w:val="0"/>
      <w:autoSpaceDE w:val="0"/>
      <w:autoSpaceDN w:val="0"/>
      <w:adjustRightInd w:val="0"/>
      <w:spacing w:before="120" w:after="120" w:line="240" w:lineRule="auto"/>
      <w:ind w:firstLine="426"/>
      <w:jc w:val="both"/>
      <w:textAlignment w:val="baseline"/>
    </w:pPr>
    <w:rPr>
      <w:szCs w:val="20"/>
    </w:rPr>
  </w:style>
  <w:style w:type="character" w:customStyle="1" w:styleId="ZkladntextodsazenChar">
    <w:name w:val="Základní text odsazený Char"/>
    <w:basedOn w:val="Standardnpsmoodstavce"/>
    <w:link w:val="Zkladntextodsazen"/>
    <w:semiHidden/>
    <w:rsid w:val="006B4B37"/>
    <w:rPr>
      <w:rFonts w:ascii="Arial" w:eastAsia="Times New Roman" w:hAnsi="Arial"/>
      <w:lang w:eastAsia="cs-CZ"/>
    </w:rPr>
  </w:style>
  <w:style w:type="paragraph" w:styleId="Zkladntextodsazen2">
    <w:name w:val="Body Text Indent 2"/>
    <w:basedOn w:val="Normln"/>
    <w:link w:val="Zkladntextodsazen2Char"/>
    <w:semiHidden/>
    <w:rsid w:val="006B4B37"/>
    <w:pPr>
      <w:spacing w:before="120" w:after="120" w:line="240" w:lineRule="auto"/>
      <w:ind w:firstLine="284"/>
      <w:jc w:val="both"/>
    </w:pPr>
  </w:style>
  <w:style w:type="character" w:customStyle="1" w:styleId="Zkladntextodsazen2Char">
    <w:name w:val="Základní text odsazený 2 Char"/>
    <w:basedOn w:val="Standardnpsmoodstavce"/>
    <w:link w:val="Zkladntextodsazen2"/>
    <w:semiHidden/>
    <w:rsid w:val="006B4B37"/>
    <w:rPr>
      <w:rFonts w:ascii="Arial" w:eastAsia="Times New Roman" w:hAnsi="Arial"/>
      <w:szCs w:val="24"/>
      <w:lang w:eastAsia="cs-CZ"/>
    </w:rPr>
  </w:style>
  <w:style w:type="paragraph" w:styleId="Zkladntext2">
    <w:name w:val="Body Text 2"/>
    <w:basedOn w:val="Normln"/>
    <w:link w:val="Zkladntext2Char"/>
    <w:semiHidden/>
    <w:rsid w:val="006B4B37"/>
    <w:pPr>
      <w:spacing w:before="120" w:after="120" w:line="240" w:lineRule="auto"/>
      <w:jc w:val="both"/>
    </w:pPr>
  </w:style>
  <w:style w:type="character" w:customStyle="1" w:styleId="Zkladntext2Char">
    <w:name w:val="Základní text 2 Char"/>
    <w:basedOn w:val="Standardnpsmoodstavce"/>
    <w:link w:val="Zkladntext2"/>
    <w:semiHidden/>
    <w:rsid w:val="006B4B37"/>
    <w:rPr>
      <w:rFonts w:ascii="Arial" w:eastAsia="Times New Roman" w:hAnsi="Arial"/>
      <w:szCs w:val="24"/>
      <w:lang w:eastAsia="cs-CZ"/>
    </w:rPr>
  </w:style>
  <w:style w:type="paragraph" w:styleId="Zkladntext">
    <w:name w:val="Body Text"/>
    <w:basedOn w:val="Normln"/>
    <w:link w:val="ZkladntextChar"/>
    <w:uiPriority w:val="99"/>
    <w:semiHidden/>
    <w:unhideWhenUsed/>
    <w:rsid w:val="006B4B37"/>
    <w:pPr>
      <w:overflowPunct w:val="0"/>
      <w:autoSpaceDE w:val="0"/>
      <w:autoSpaceDN w:val="0"/>
      <w:adjustRightInd w:val="0"/>
      <w:spacing w:after="120" w:line="240" w:lineRule="auto"/>
      <w:textAlignment w:val="baseline"/>
    </w:pPr>
    <w:rPr>
      <w:rFonts w:ascii="Times New Roman" w:hAnsi="Times New Roman"/>
      <w:szCs w:val="20"/>
    </w:rPr>
  </w:style>
  <w:style w:type="character" w:customStyle="1" w:styleId="ZkladntextChar">
    <w:name w:val="Základní text Char"/>
    <w:basedOn w:val="Standardnpsmoodstavce"/>
    <w:link w:val="Zkladntext"/>
    <w:uiPriority w:val="99"/>
    <w:semiHidden/>
    <w:rsid w:val="006B4B37"/>
    <w:rPr>
      <w:rFonts w:ascii="Times New Roman" w:eastAsia="Times New Roman" w:hAnsi="Times New Roman"/>
      <w:lang w:eastAsia="cs-CZ"/>
    </w:rPr>
  </w:style>
  <w:style w:type="paragraph" w:styleId="Zkladntext3">
    <w:name w:val="Body Text 3"/>
    <w:basedOn w:val="Normln"/>
    <w:link w:val="Zkladntext3Char"/>
    <w:uiPriority w:val="99"/>
    <w:unhideWhenUsed/>
    <w:rsid w:val="006B4B37"/>
    <w:pPr>
      <w:overflowPunct w:val="0"/>
      <w:autoSpaceDE w:val="0"/>
      <w:autoSpaceDN w:val="0"/>
      <w:adjustRightInd w:val="0"/>
      <w:spacing w:after="120" w:line="240" w:lineRule="auto"/>
      <w:textAlignment w:val="baseline"/>
    </w:pPr>
    <w:rPr>
      <w:rFonts w:ascii="Times New Roman" w:hAnsi="Times New Roman"/>
      <w:sz w:val="16"/>
      <w:szCs w:val="16"/>
    </w:rPr>
  </w:style>
  <w:style w:type="character" w:customStyle="1" w:styleId="Zkladntext3Char">
    <w:name w:val="Základní text 3 Char"/>
    <w:basedOn w:val="Standardnpsmoodstavce"/>
    <w:link w:val="Zkladntext3"/>
    <w:uiPriority w:val="99"/>
    <w:rsid w:val="006B4B37"/>
    <w:rPr>
      <w:rFonts w:ascii="Times New Roman" w:eastAsia="Times New Roman" w:hAnsi="Times New Roman"/>
      <w:sz w:val="16"/>
      <w:szCs w:val="16"/>
      <w:lang w:eastAsia="cs-CZ"/>
    </w:rPr>
  </w:style>
  <w:style w:type="paragraph" w:styleId="Zkladntextodsazen3">
    <w:name w:val="Body Text Indent 3"/>
    <w:basedOn w:val="Normln"/>
    <w:link w:val="Zkladntextodsazen3Char"/>
    <w:uiPriority w:val="99"/>
    <w:semiHidden/>
    <w:unhideWhenUsed/>
    <w:rsid w:val="006B4B37"/>
    <w:pPr>
      <w:overflowPunct w:val="0"/>
      <w:autoSpaceDE w:val="0"/>
      <w:autoSpaceDN w:val="0"/>
      <w:adjustRightInd w:val="0"/>
      <w:spacing w:after="120" w:line="240" w:lineRule="auto"/>
      <w:ind w:left="283"/>
      <w:textAlignment w:val="baseline"/>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semiHidden/>
    <w:rsid w:val="006B4B37"/>
    <w:rPr>
      <w:rFonts w:ascii="Times New Roman" w:eastAsia="Times New Roman" w:hAnsi="Times New Roman"/>
      <w:sz w:val="16"/>
      <w:szCs w:val="16"/>
      <w:lang w:eastAsia="cs-CZ"/>
    </w:rPr>
  </w:style>
  <w:style w:type="paragraph" w:styleId="Odstavecseseznamem">
    <w:name w:val="List Paragraph"/>
    <w:basedOn w:val="Normln"/>
    <w:uiPriority w:val="34"/>
    <w:rsid w:val="00E34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2.xml><?xml version="1.0" encoding="utf-8"?>
<ds:datastoreItem xmlns:ds="http://schemas.openxmlformats.org/officeDocument/2006/customXml" ds:itemID="{98317C02-2A1C-4865-B445-BEE36455B994}">
  <ds:schemaRefs>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 ds:uri="406a38fe-c53c-4047-b0f8-c641386931ae"/>
    <ds:schemaRef ds:uri="8675fb2b-b414-4bad-b4c4-d9349268b5a1"/>
    <ds:schemaRef ds:uri="http://schemas.microsoft.com/office/2006/metadata/properties"/>
  </ds:schemaRefs>
</ds:datastoreItem>
</file>

<file path=customXml/itemProps3.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48B12-066F-4D50-B1B2-CD21A806C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1416</Words>
  <Characters>8356</Characters>
  <Application>Microsoft Office Word</Application>
  <DocSecurity>0</DocSecurity>
  <Lines>69</Lines>
  <Paragraphs>19</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9753</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Málková Helena</cp:lastModifiedBy>
  <cp:revision>11</cp:revision>
  <cp:lastPrinted>2014-07-17T14:07:00Z</cp:lastPrinted>
  <dcterms:created xsi:type="dcterms:W3CDTF">2024-09-19T07:54:00Z</dcterms:created>
  <dcterms:modified xsi:type="dcterms:W3CDTF">2025-09-16T07:05:00Z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