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2F9" w:rsidRPr="00C822C2" w:rsidRDefault="000572F9" w:rsidP="00EF756D">
      <w:pPr>
        <w:jc w:val="center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b/>
          <w:snapToGrid w:val="0"/>
          <w:sz w:val="24"/>
        </w:rPr>
        <w:t>7. MĚNA</w:t>
      </w:r>
      <w:r w:rsidR="0046656C" w:rsidRPr="00C822C2">
        <w:rPr>
          <w:rFonts w:ascii="Arial" w:hAnsi="Arial" w:cs="Arial"/>
          <w:b/>
          <w:snapToGrid w:val="0"/>
          <w:sz w:val="24"/>
        </w:rPr>
        <w:t xml:space="preserve"> A </w:t>
      </w:r>
      <w:r w:rsidRPr="00C822C2">
        <w:rPr>
          <w:rFonts w:ascii="Arial" w:hAnsi="Arial" w:cs="Arial"/>
          <w:b/>
          <w:snapToGrid w:val="0"/>
          <w:sz w:val="24"/>
        </w:rPr>
        <w:t>PLATEBNÍ BILANCE</w:t>
      </w:r>
    </w:p>
    <w:p w:rsidR="000572F9" w:rsidRPr="00C822C2" w:rsidRDefault="000572F9" w:rsidP="00EF756D">
      <w:pPr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Údaje uváděné v této kapitole byly převzaty z České národní banky</w:t>
      </w:r>
      <w:r w:rsidR="007255BB">
        <w:rPr>
          <w:rFonts w:ascii="Arial" w:hAnsi="Arial" w:cs="Arial"/>
          <w:snapToGrid w:val="0"/>
        </w:rPr>
        <w:t xml:space="preserve"> (ČNB)</w:t>
      </w:r>
      <w:r w:rsidRPr="00C822C2">
        <w:rPr>
          <w:rFonts w:ascii="Arial" w:hAnsi="Arial" w:cs="Arial"/>
          <w:snapToGrid w:val="0"/>
        </w:rPr>
        <w:t xml:space="preserve">. </w:t>
      </w:r>
      <w:r w:rsidR="0046656C" w:rsidRPr="00C822C2">
        <w:rPr>
          <w:rFonts w:ascii="Arial" w:hAnsi="Arial" w:cs="Arial"/>
          <w:snapToGrid w:val="0"/>
        </w:rPr>
        <w:t>Ve všech tabulkách, kde jsou uvedeny názvy výkazů, se jedná o vyčerpávající šetření, v ostatních případech jsou použity kvalifikované odhady a dopočty.</w:t>
      </w:r>
    </w:p>
    <w:p w:rsidR="000572F9" w:rsidRPr="00C822C2" w:rsidRDefault="000572F9" w:rsidP="00EF756D">
      <w:pPr>
        <w:pStyle w:val="Nadpis2"/>
        <w:keepNext w:val="0"/>
        <w:widowControl/>
        <w:jc w:val="both"/>
        <w:rPr>
          <w:rFonts w:ascii="Arial" w:hAnsi="Arial" w:cs="Arial"/>
          <w:bCs/>
          <w:sz w:val="20"/>
        </w:rPr>
      </w:pPr>
    </w:p>
    <w:p w:rsidR="000572F9" w:rsidRPr="00C822C2" w:rsidRDefault="000572F9" w:rsidP="00EF756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0572F9" w:rsidRPr="00C822C2" w:rsidRDefault="000572F9" w:rsidP="00EF756D">
      <w:pPr>
        <w:pStyle w:val="Nadpis2"/>
        <w:keepNext w:val="0"/>
        <w:widowControl/>
        <w:jc w:val="both"/>
        <w:rPr>
          <w:rFonts w:ascii="Arial" w:hAnsi="Arial" w:cs="Arial"/>
          <w:bCs/>
          <w:sz w:val="20"/>
        </w:rPr>
      </w:pPr>
    </w:p>
    <w:p w:rsidR="000572F9" w:rsidRPr="00C822C2" w:rsidRDefault="000572F9" w:rsidP="00EF756D">
      <w:pPr>
        <w:pStyle w:val="Nadpis2"/>
        <w:keepNext w:val="0"/>
        <w:widowControl/>
        <w:jc w:val="both"/>
        <w:rPr>
          <w:rFonts w:ascii="Arial" w:hAnsi="Arial" w:cs="Arial"/>
          <w:b/>
          <w:sz w:val="20"/>
        </w:rPr>
      </w:pPr>
      <w:r w:rsidRPr="00C822C2">
        <w:rPr>
          <w:rFonts w:ascii="Arial" w:hAnsi="Arial" w:cs="Arial"/>
          <w:b/>
          <w:sz w:val="20"/>
        </w:rPr>
        <w:t>Poznámky</w:t>
      </w:r>
      <w:r w:rsidR="0046656C" w:rsidRPr="00C822C2">
        <w:rPr>
          <w:rFonts w:ascii="Arial" w:hAnsi="Arial" w:cs="Arial"/>
          <w:b/>
          <w:sz w:val="20"/>
        </w:rPr>
        <w:t xml:space="preserve"> k </w:t>
      </w:r>
      <w:r w:rsidRPr="00C822C2">
        <w:rPr>
          <w:rFonts w:ascii="Arial" w:hAnsi="Arial" w:cs="Arial"/>
          <w:b/>
          <w:sz w:val="20"/>
        </w:rPr>
        <w:t>tabulkám</w:t>
      </w: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C1633E" w:rsidRPr="00C822C2" w:rsidRDefault="000572F9" w:rsidP="00EF756D">
      <w:pPr>
        <w:jc w:val="both"/>
        <w:outlineLvl w:val="0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-1. </w:t>
      </w:r>
      <w:r w:rsidR="00C1633E" w:rsidRPr="00C822C2">
        <w:rPr>
          <w:rFonts w:ascii="Arial" w:hAnsi="Arial" w:cs="Arial"/>
          <w:b/>
          <w:snapToGrid w:val="0"/>
        </w:rPr>
        <w:t>Peněžní agregáty a</w:t>
      </w:r>
      <w:r w:rsidR="00BB1052" w:rsidRPr="00C822C2">
        <w:rPr>
          <w:rFonts w:ascii="Arial" w:hAnsi="Arial" w:cs="Arial"/>
          <w:b/>
          <w:snapToGrid w:val="0"/>
        </w:rPr>
        <w:t> </w:t>
      </w:r>
      <w:r w:rsidR="00C1633E" w:rsidRPr="00C822C2">
        <w:rPr>
          <w:rFonts w:ascii="Arial" w:hAnsi="Arial" w:cs="Arial"/>
          <w:b/>
          <w:snapToGrid w:val="0"/>
        </w:rPr>
        <w:t>protipoložky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>Peněžní agregáty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jejich protipoložky jsou souhrnnou statistickou bilancí měnových finančních institucí (MFI), která poskytuje uživatelům základní přehled o pozici sektoru MFI vůči ostatním rezidentským a nerezidentským sektorům.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>Peněžní agregáty představují množství peněz v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ekonomice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jsou propočteny z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="00C822C2" w:rsidRPr="00C822C2">
        <w:rPr>
          <w:rFonts w:ascii="Arial" w:hAnsi="Arial" w:cs="Arial"/>
          <w:sz w:val="20"/>
          <w:lang w:val="cs-CZ"/>
        </w:rPr>
        <w:t xml:space="preserve">pasiv </w:t>
      </w:r>
      <w:r w:rsidRPr="00C822C2">
        <w:rPr>
          <w:rFonts w:ascii="Arial" w:hAnsi="Arial" w:cs="Arial"/>
          <w:sz w:val="20"/>
          <w:lang w:val="cs-CZ"/>
        </w:rPr>
        <w:t xml:space="preserve">měnového charakteru rezidentských měnových finančních institucí (tzv. sektoru tvorby peněz) vůči jiným rezidentským sektorům (tzv. sektoru držby peněz). 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>Sektor držby peněz zahrnuje všechny rezidenty Č</w:t>
      </w:r>
      <w:r w:rsidR="00CC6BAA" w:rsidRPr="00C822C2">
        <w:rPr>
          <w:rFonts w:ascii="Arial" w:hAnsi="Arial" w:cs="Arial"/>
          <w:sz w:val="20"/>
          <w:lang w:val="cs-CZ"/>
        </w:rPr>
        <w:t>eské republiky</w:t>
      </w:r>
      <w:r w:rsidRPr="00C822C2">
        <w:rPr>
          <w:rFonts w:ascii="Arial" w:hAnsi="Arial" w:cs="Arial"/>
          <w:sz w:val="20"/>
          <w:lang w:val="cs-CZ"/>
        </w:rPr>
        <w:t xml:space="preserve"> jiné než MFI (mimo ústřední vládní instituce). Kromě domácností sem patří nefinanční podniky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finanční instituce, které nejsou MFI, spolu s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místními vládními institucemi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fondy sociálního zabezpečení. MFI v podmínkách Č</w:t>
      </w:r>
      <w:r w:rsidR="004B06C2" w:rsidRPr="00C822C2">
        <w:rPr>
          <w:rFonts w:ascii="Arial" w:hAnsi="Arial" w:cs="Arial"/>
          <w:sz w:val="20"/>
          <w:lang w:val="cs-CZ"/>
        </w:rPr>
        <w:t>eské republiky</w:t>
      </w:r>
      <w:r w:rsidRPr="00C822C2">
        <w:rPr>
          <w:rFonts w:ascii="Arial" w:hAnsi="Arial" w:cs="Arial"/>
          <w:sz w:val="20"/>
          <w:lang w:val="cs-CZ"/>
        </w:rPr>
        <w:t xml:space="preserve"> tvoří centrální banka</w:t>
      </w:r>
      <w:r w:rsidR="0089102C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(S.121)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ostatní měnové finanční instituce</w:t>
      </w:r>
      <w:r w:rsidR="0089102C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(S.122</w:t>
      </w:r>
      <w:r w:rsidR="00726D99">
        <w:rPr>
          <w:rFonts w:ascii="Arial" w:hAnsi="Arial" w:cs="Arial"/>
          <w:sz w:val="20"/>
          <w:lang w:val="cs-CZ"/>
        </w:rPr>
        <w:t xml:space="preserve"> a S.123</w:t>
      </w:r>
      <w:r w:rsidRPr="00C822C2">
        <w:rPr>
          <w:rFonts w:ascii="Arial" w:hAnsi="Arial" w:cs="Arial"/>
          <w:sz w:val="20"/>
          <w:lang w:val="cs-CZ"/>
        </w:rPr>
        <w:t xml:space="preserve">) </w:t>
      </w:r>
      <w:r w:rsidR="00E044C4" w:rsidRPr="00C822C2">
        <w:rPr>
          <w:rFonts w:ascii="Arial" w:hAnsi="Arial" w:cs="Arial"/>
          <w:sz w:val="20"/>
          <w:lang w:val="cs-CZ"/>
        </w:rPr>
        <w:t>–</w:t>
      </w:r>
      <w:r w:rsidRPr="00C822C2">
        <w:rPr>
          <w:rFonts w:ascii="Arial" w:hAnsi="Arial" w:cs="Arial"/>
          <w:sz w:val="20"/>
          <w:lang w:val="cs-CZ"/>
        </w:rPr>
        <w:t xml:space="preserve"> tj. banky, fondy peněžního trhu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družstevní záložny. Ústřední vládní instituce jsou považovány za sektor tzv. měnově neutrální. 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 xml:space="preserve">Peněžní agregáty se liší podle stupně likvidity jednotlivých složek. 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Úzký peněžní agregát M1</w:t>
      </w:r>
      <w:r w:rsidRPr="00C822C2">
        <w:rPr>
          <w:rFonts w:ascii="Arial" w:hAnsi="Arial" w:cs="Arial"/>
          <w:sz w:val="20"/>
          <w:lang w:val="cs-CZ"/>
        </w:rPr>
        <w:t xml:space="preserve"> obsahuje oběživo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jednodenní vklady. 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Střední peněžní agregát M2</w:t>
      </w:r>
      <w:r w:rsidRPr="00C822C2">
        <w:rPr>
          <w:rFonts w:ascii="Arial" w:hAnsi="Arial" w:cs="Arial"/>
          <w:sz w:val="20"/>
          <w:lang w:val="cs-CZ"/>
        </w:rPr>
        <w:t xml:space="preserve"> zahrnuje</w:t>
      </w:r>
      <w:r w:rsidR="007255BB">
        <w:rPr>
          <w:rFonts w:ascii="Arial" w:hAnsi="Arial" w:cs="Arial"/>
          <w:sz w:val="20"/>
          <w:lang w:val="cs-CZ"/>
        </w:rPr>
        <w:t xml:space="preserve"> peněžní agregát</w:t>
      </w:r>
      <w:r w:rsidRPr="00C822C2">
        <w:rPr>
          <w:rFonts w:ascii="Arial" w:hAnsi="Arial" w:cs="Arial"/>
          <w:sz w:val="20"/>
          <w:lang w:val="cs-CZ"/>
        </w:rPr>
        <w:t xml:space="preserve"> M1, vklady s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výpovědní lhůtou do tří měsíců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vklady se splatností do dvou let. 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Široký peněžní agregát M3</w:t>
      </w:r>
      <w:r w:rsidRPr="00C822C2">
        <w:rPr>
          <w:rFonts w:ascii="Arial" w:hAnsi="Arial" w:cs="Arial"/>
          <w:sz w:val="20"/>
          <w:lang w:val="cs-CZ"/>
        </w:rPr>
        <w:t xml:space="preserve"> obsahuje</w:t>
      </w:r>
      <w:r w:rsidR="007255BB">
        <w:rPr>
          <w:rFonts w:ascii="Arial" w:hAnsi="Arial" w:cs="Arial"/>
          <w:sz w:val="20"/>
          <w:lang w:val="cs-CZ"/>
        </w:rPr>
        <w:t xml:space="preserve"> peněžní agregát</w:t>
      </w:r>
      <w:r w:rsidRPr="00C822C2">
        <w:rPr>
          <w:rFonts w:ascii="Arial" w:hAnsi="Arial" w:cs="Arial"/>
          <w:sz w:val="20"/>
          <w:lang w:val="cs-CZ"/>
        </w:rPr>
        <w:t xml:space="preserve"> M2, podílové listy fondů peněžního trhu, emitované dluhové cenné papíry se splatností do dvou let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repo operace.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>Hlavními protipoložkami peněžních agregátů jsou:</w:t>
      </w:r>
    </w:p>
    <w:p w:rsidR="00D813AF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 xml:space="preserve">Dlouhodobější finanční </w:t>
      </w:r>
      <w:r w:rsidR="00C822C2" w:rsidRPr="00C822C2">
        <w:rPr>
          <w:rFonts w:ascii="Arial" w:hAnsi="Arial" w:cs="Arial"/>
          <w:b/>
          <w:sz w:val="20"/>
          <w:lang w:val="cs-CZ"/>
        </w:rPr>
        <w:t>pasiva</w:t>
      </w:r>
      <w:r w:rsidRPr="00C822C2">
        <w:rPr>
          <w:rFonts w:ascii="Arial" w:hAnsi="Arial" w:cs="Arial"/>
          <w:sz w:val="20"/>
          <w:lang w:val="cs-CZ"/>
        </w:rPr>
        <w:t>, která zahrnují vklady s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výpovědní lhůtou nad 3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měsíce, vklady se splatností nad 2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roky, emitované dluhové cenné papíry nad 2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roky, kapitál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rezervy. </w:t>
      </w:r>
    </w:p>
    <w:p w:rsidR="00D813AF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Úvěry vládním institucím</w:t>
      </w:r>
      <w:r w:rsidR="000E42BA" w:rsidRPr="00C822C2">
        <w:rPr>
          <w:rFonts w:ascii="Arial" w:hAnsi="Arial" w:cs="Arial"/>
          <w:b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(S.13) podle </w:t>
      </w:r>
      <w:r w:rsidR="00E34847" w:rsidRPr="00C822C2">
        <w:rPr>
          <w:rFonts w:ascii="Arial" w:hAnsi="Arial" w:cs="Arial"/>
          <w:sz w:val="20"/>
          <w:lang w:val="cs-CZ"/>
        </w:rPr>
        <w:t>klasifikace</w:t>
      </w:r>
      <w:r w:rsidR="00E34847">
        <w:rPr>
          <w:rFonts w:ascii="Arial" w:hAnsi="Arial" w:cs="Arial"/>
          <w:sz w:val="20"/>
          <w:lang w:val="cs-CZ"/>
        </w:rPr>
        <w:t xml:space="preserve"> </w:t>
      </w:r>
      <w:r w:rsidRPr="00C822C2">
        <w:rPr>
          <w:rFonts w:ascii="Arial" w:hAnsi="Arial" w:cs="Arial"/>
          <w:sz w:val="20"/>
          <w:lang w:val="cs-CZ"/>
        </w:rPr>
        <w:t>ESA</w:t>
      </w:r>
      <w:r w:rsidR="00E34847">
        <w:rPr>
          <w:rFonts w:ascii="Arial" w:hAnsi="Arial" w:cs="Arial"/>
          <w:sz w:val="20"/>
          <w:lang w:val="cs-CZ"/>
        </w:rPr>
        <w:t> </w:t>
      </w:r>
      <w:r w:rsidR="003D5AF0">
        <w:rPr>
          <w:rFonts w:ascii="Arial" w:hAnsi="Arial" w:cs="Arial"/>
          <w:sz w:val="20"/>
          <w:lang w:val="cs-CZ"/>
        </w:rPr>
        <w:t>2010</w:t>
      </w:r>
      <w:r w:rsidRPr="00C822C2">
        <w:rPr>
          <w:rFonts w:ascii="Arial" w:hAnsi="Arial" w:cs="Arial"/>
          <w:sz w:val="20"/>
          <w:lang w:val="cs-CZ"/>
        </w:rPr>
        <w:t xml:space="preserve"> včetně nakoupených dluhových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majetkových cenných papírů emitovaných těmito institucemi.</w:t>
      </w:r>
    </w:p>
    <w:p w:rsidR="00D813AF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Úvěry soukromému sektoru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(S.11+S.124+S.125+S.</w:t>
      </w:r>
      <w:r w:rsidR="003D5AF0">
        <w:rPr>
          <w:rFonts w:ascii="Arial" w:hAnsi="Arial" w:cs="Arial"/>
          <w:sz w:val="20"/>
          <w:lang w:val="cs-CZ"/>
        </w:rPr>
        <w:t>126+S.127+S.128+S.129</w:t>
      </w:r>
      <w:r w:rsidRPr="00C822C2">
        <w:rPr>
          <w:rFonts w:ascii="Arial" w:hAnsi="Arial" w:cs="Arial"/>
          <w:sz w:val="20"/>
          <w:lang w:val="cs-CZ"/>
        </w:rPr>
        <w:t xml:space="preserve">+S.14+S.15) podle </w:t>
      </w:r>
      <w:r w:rsidR="00E34847" w:rsidRPr="00C822C2">
        <w:rPr>
          <w:rFonts w:ascii="Arial" w:hAnsi="Arial" w:cs="Arial"/>
          <w:sz w:val="20"/>
          <w:lang w:val="cs-CZ"/>
        </w:rPr>
        <w:t>klasifikace</w:t>
      </w:r>
      <w:r w:rsidR="00E34847">
        <w:rPr>
          <w:rFonts w:ascii="Arial" w:hAnsi="Arial" w:cs="Arial"/>
          <w:sz w:val="20"/>
          <w:lang w:val="cs-CZ"/>
        </w:rPr>
        <w:t xml:space="preserve"> </w:t>
      </w:r>
      <w:r w:rsidRPr="00C822C2">
        <w:rPr>
          <w:rFonts w:ascii="Arial" w:hAnsi="Arial" w:cs="Arial"/>
          <w:sz w:val="20"/>
          <w:lang w:val="cs-CZ"/>
        </w:rPr>
        <w:t>ESA</w:t>
      </w:r>
      <w:r w:rsidR="00E34847">
        <w:rPr>
          <w:rFonts w:ascii="Arial" w:hAnsi="Arial" w:cs="Arial"/>
          <w:sz w:val="20"/>
          <w:lang w:val="cs-CZ"/>
        </w:rPr>
        <w:t> </w:t>
      </w:r>
      <w:r w:rsidR="003D5AF0">
        <w:rPr>
          <w:rFonts w:ascii="Arial" w:hAnsi="Arial" w:cs="Arial"/>
          <w:sz w:val="20"/>
          <w:lang w:val="cs-CZ"/>
        </w:rPr>
        <w:t>2010</w:t>
      </w:r>
      <w:r w:rsidRPr="00C822C2">
        <w:rPr>
          <w:rFonts w:ascii="Arial" w:hAnsi="Arial" w:cs="Arial"/>
          <w:sz w:val="20"/>
          <w:lang w:val="cs-CZ"/>
        </w:rPr>
        <w:t xml:space="preserve"> včetně nakoupených dluhových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majetkových cenných papírů emitovaných těmito institucemi.</w:t>
      </w:r>
    </w:p>
    <w:p w:rsidR="00D813AF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b/>
          <w:sz w:val="20"/>
          <w:lang w:val="cs-CZ"/>
        </w:rPr>
        <w:t>Čistá zahraniční aktiva</w:t>
      </w:r>
      <w:r w:rsidRPr="00C822C2">
        <w:rPr>
          <w:rFonts w:ascii="Arial" w:hAnsi="Arial" w:cs="Arial"/>
          <w:sz w:val="20"/>
          <w:lang w:val="cs-CZ"/>
        </w:rPr>
        <w:t>, která zahrnují zahraniční aktiva MFI Č</w:t>
      </w:r>
      <w:r w:rsidR="00CC6BAA" w:rsidRPr="00C822C2">
        <w:rPr>
          <w:rFonts w:ascii="Arial" w:hAnsi="Arial" w:cs="Arial"/>
          <w:sz w:val="20"/>
          <w:lang w:val="cs-CZ"/>
        </w:rPr>
        <w:t>eské republiky</w:t>
      </w:r>
      <w:r w:rsidRPr="00C822C2">
        <w:rPr>
          <w:rFonts w:ascii="Arial" w:hAnsi="Arial" w:cs="Arial"/>
          <w:sz w:val="20"/>
          <w:lang w:val="cs-CZ"/>
        </w:rPr>
        <w:t xml:space="preserve"> (jako měnové zlato, hotovost jiná než Kč, cenné papíry emitované nerezidenty ČR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úvěry poskytnuté nerezi</w:t>
      </w:r>
      <w:r w:rsidR="000900E9" w:rsidRPr="00C822C2">
        <w:rPr>
          <w:rFonts w:ascii="Arial" w:hAnsi="Arial" w:cs="Arial"/>
          <w:sz w:val="20"/>
          <w:lang w:val="cs-CZ"/>
        </w:rPr>
        <w:t xml:space="preserve">dentům ČR) minus zahraniční </w:t>
      </w:r>
      <w:r w:rsidR="00C822C2" w:rsidRPr="00C822C2">
        <w:rPr>
          <w:rFonts w:ascii="Arial" w:hAnsi="Arial" w:cs="Arial"/>
          <w:sz w:val="20"/>
          <w:lang w:val="cs-CZ"/>
        </w:rPr>
        <w:t>pasiva</w:t>
      </w:r>
      <w:r w:rsidRPr="00C822C2">
        <w:rPr>
          <w:rFonts w:ascii="Arial" w:hAnsi="Arial" w:cs="Arial"/>
          <w:sz w:val="20"/>
          <w:lang w:val="cs-CZ"/>
        </w:rPr>
        <w:t xml:space="preserve"> MFI Č</w:t>
      </w:r>
      <w:r w:rsidR="00CC6BAA" w:rsidRPr="00C822C2">
        <w:rPr>
          <w:rFonts w:ascii="Arial" w:hAnsi="Arial" w:cs="Arial"/>
          <w:sz w:val="20"/>
          <w:lang w:val="cs-CZ"/>
        </w:rPr>
        <w:t>eské republiky</w:t>
      </w:r>
      <w:r w:rsidRPr="00C822C2">
        <w:rPr>
          <w:rFonts w:ascii="Arial" w:hAnsi="Arial" w:cs="Arial"/>
          <w:sz w:val="20"/>
          <w:lang w:val="cs-CZ"/>
        </w:rPr>
        <w:t xml:space="preserve"> (jako vklady v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držbě nerezidentů ČR, repo operace, podíly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akcie fondů peněžního trhu a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dluhové cenné papíry s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dobou splatnosti do dvou let emitované MFI a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v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držení nerezidentů).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>Základem pro sestavení peněžních agregátů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jejich protipoložek v</w:t>
      </w:r>
      <w:r w:rsidR="004B06C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Č</w:t>
      </w:r>
      <w:r w:rsidR="004B06C2" w:rsidRPr="00C822C2">
        <w:rPr>
          <w:rFonts w:ascii="Arial" w:hAnsi="Arial" w:cs="Arial"/>
          <w:sz w:val="20"/>
          <w:lang w:val="cs-CZ"/>
        </w:rPr>
        <w:t>eské republice</w:t>
      </w:r>
      <w:r w:rsidRPr="00C822C2">
        <w:rPr>
          <w:rFonts w:ascii="Arial" w:hAnsi="Arial" w:cs="Arial"/>
          <w:sz w:val="20"/>
          <w:lang w:val="cs-CZ"/>
        </w:rPr>
        <w:t xml:space="preserve"> je harmonizovaná konsolidovaná rozvaha sektoru MFI. Sestavuje se jako součet rozvahy centrální banky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agregované rozvahy ostatních měnových finančních institucí s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vyloučením vzájemných vztahů v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oblasti úvěrů a</w:t>
      </w:r>
      <w:r w:rsidR="00BB1052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vkladů, včetně neobchodovatelných cenných papírů, snížením emitovaného oběživa o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hotovost na pokladnách MFI a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snížením závazků měnových finančních institucí z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emisí ostatních dluhových cenných papírů a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majetkových cenných papírů o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částky těchto nástrojů v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 xml:space="preserve">držbě měnových finančních institucí na straně aktiv. 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t xml:space="preserve">Zdrojem dat pro sestavování konsolidované bilance MFI jsou údaje přebírané z výkazů měnové a bankovní statistiky doplněné o vlastní propočty ČNB. </w:t>
      </w:r>
    </w:p>
    <w:p w:rsidR="00C1633E" w:rsidRPr="00C822C2" w:rsidRDefault="00C1633E" w:rsidP="00EF756D">
      <w:pPr>
        <w:pStyle w:val="Podtitul"/>
        <w:spacing w:before="120"/>
        <w:ind w:firstLine="709"/>
        <w:jc w:val="both"/>
        <w:rPr>
          <w:rFonts w:ascii="Arial" w:hAnsi="Arial" w:cs="Arial"/>
          <w:sz w:val="20"/>
          <w:lang w:val="cs-CZ"/>
        </w:rPr>
      </w:pPr>
      <w:r w:rsidRPr="00C822C2">
        <w:rPr>
          <w:rFonts w:ascii="Arial" w:hAnsi="Arial" w:cs="Arial"/>
          <w:sz w:val="20"/>
          <w:lang w:val="cs-CZ"/>
        </w:rPr>
        <w:lastRenderedPageBreak/>
        <w:t>Metodika zjišťování (statistické principy, definice sektorů, klasifikace instrumentů, způsob výpočtu meziročních změn) je sladěna s evropskými i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dalšími mezinárodními standardy (nařízení a doporučení ECB, Manuál měnové a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finanční statistiky</w:t>
      </w:r>
      <w:r w:rsidR="000E42BA" w:rsidRPr="00C822C2">
        <w:rPr>
          <w:rFonts w:ascii="Arial" w:hAnsi="Arial" w:cs="Arial"/>
          <w:sz w:val="20"/>
          <w:lang w:val="cs-CZ"/>
        </w:rPr>
        <w:t> </w:t>
      </w:r>
      <w:r w:rsidRPr="00C822C2">
        <w:rPr>
          <w:rFonts w:ascii="Arial" w:hAnsi="Arial" w:cs="Arial"/>
          <w:sz w:val="20"/>
          <w:lang w:val="cs-CZ"/>
        </w:rPr>
        <w:t>MMF atd.).</w:t>
      </w:r>
    </w:p>
    <w:p w:rsidR="000572F9" w:rsidRPr="00C822C2" w:rsidRDefault="000572F9" w:rsidP="00EF756D">
      <w:pPr>
        <w:pStyle w:val="Podtitul"/>
        <w:jc w:val="both"/>
        <w:rPr>
          <w:rFonts w:ascii="Arial" w:hAnsi="Arial" w:cs="Arial"/>
          <w:sz w:val="20"/>
          <w:lang w:val="cs-CZ"/>
        </w:rPr>
      </w:pPr>
    </w:p>
    <w:p w:rsidR="000572F9" w:rsidRPr="00C822C2" w:rsidRDefault="000572F9" w:rsidP="00EF756D">
      <w:pPr>
        <w:jc w:val="both"/>
        <w:rPr>
          <w:rFonts w:ascii="Arial" w:hAnsi="Arial" w:cs="Arial"/>
          <w:b/>
        </w:rPr>
      </w:pPr>
      <w:r w:rsidRPr="00C822C2">
        <w:rPr>
          <w:rFonts w:ascii="Arial" w:hAnsi="Arial" w:cs="Arial"/>
          <w:b/>
        </w:rPr>
        <w:t>Výpočet míry růstu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Míra růstu pro referenční období se počítá z objemů měsíčních finančních transakcí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ze zůstatkových hodnot na počátku každého z měsíců. Měsíční transakce jsou počítány z rozdílů zůstatkových hodnot očištěných</w:t>
      </w:r>
      <w:r w:rsidR="0046656C" w:rsidRPr="00C822C2">
        <w:rPr>
          <w:rFonts w:ascii="Arial" w:hAnsi="Arial" w:cs="Arial"/>
        </w:rPr>
        <w:t xml:space="preserve"> o </w:t>
      </w:r>
      <w:r w:rsidRPr="00C822C2">
        <w:rPr>
          <w:rFonts w:ascii="Arial" w:hAnsi="Arial" w:cs="Arial"/>
        </w:rPr>
        <w:t>reklasifikace, ostatní přecenění, pohyby směnných kurzů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případně ostatní změny, které nejsou důsledkem transakcí. Tato data pak odrážejí pouze ty změny, které vznikají z přijímání finančních aktiv</w:t>
      </w:r>
      <w:r w:rsidR="007255BB">
        <w:rPr>
          <w:rFonts w:ascii="Arial" w:hAnsi="Arial" w:cs="Arial"/>
        </w:rPr>
        <w:t>,</w:t>
      </w:r>
      <w:r w:rsidRPr="00C822C2">
        <w:rPr>
          <w:rFonts w:ascii="Arial" w:hAnsi="Arial" w:cs="Arial"/>
        </w:rPr>
        <w:t xml:space="preserve"> nebo poskytování finančních </w:t>
      </w:r>
      <w:r w:rsidR="00C822C2" w:rsidRPr="00C822C2">
        <w:rPr>
          <w:rFonts w:ascii="Arial" w:hAnsi="Arial" w:cs="Arial"/>
        </w:rPr>
        <w:t>pasiv</w:t>
      </w:r>
      <w:r w:rsidRPr="00C822C2">
        <w:rPr>
          <w:rFonts w:ascii="Arial" w:hAnsi="Arial" w:cs="Arial"/>
        </w:rPr>
        <w:t>. Reklasifikace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ostatní netransakční korekce jsou v transakční statistice zaváděny z toho důvodu, aby byla zachována srovnatelnost postupných sledování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tím umožněny výpočty indexů předpokládaných zůstatků sledovaných hodnot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odvození jejich míry růstu.</w: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Způsob výpočtu</w:t>
      </w:r>
    </w:p>
    <w:p w:rsidR="000572F9" w:rsidRPr="00C822C2" w:rsidRDefault="00996013" w:rsidP="00EF756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38.6pt;margin-top:8.35pt;width:18pt;height:19pt;z-index:251659264" fillcolor="#ff9">
            <v:imagedata r:id="rId8" o:title=""/>
          </v:shape>
          <o:OLEObject Type="Embed" ProgID="Equation.3" ShapeID="_x0000_s1033" DrawAspect="Content" ObjectID="_1538888486" r:id="rId9"/>
        </w:pic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 xml:space="preserve">1. Měsíční procentuální změna       pro měsíc </w:t>
      </w:r>
      <w:r w:rsidRPr="00C822C2">
        <w:rPr>
          <w:rFonts w:ascii="Arial" w:hAnsi="Arial" w:cs="Arial"/>
          <w:i/>
        </w:rPr>
        <w:t>t</w:t>
      </w:r>
      <w:r w:rsidRPr="00C822C2">
        <w:rPr>
          <w:rFonts w:ascii="Arial" w:hAnsi="Arial" w:cs="Arial"/>
        </w:rPr>
        <w:t xml:space="preserve"> se počítá podle vztahu:</w:t>
      </w:r>
    </w:p>
    <w:p w:rsidR="000572F9" w:rsidRPr="00C822C2" w:rsidRDefault="00996013" w:rsidP="00EF756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1" type="#_x0000_t75" style="position:absolute;left:0;text-align:left;margin-left:39.6pt;margin-top:4.85pt;width:105pt;height:34pt;z-index:251658240" fillcolor="#ff9">
            <v:imagedata r:id="rId10" o:title=""/>
          </v:shape>
          <o:OLEObject Type="Embed" ProgID="Equation.3" ShapeID="_x0000_s1031" DrawAspect="Content" ObjectID="_1538888487" r:id="rId11"/>
        </w:pict>
      </w:r>
      <w:r>
        <w:rPr>
          <w:rFonts w:ascii="Arial" w:hAnsi="Arial" w:cs="Arial"/>
          <w:noProof/>
        </w:rPr>
        <w:pict>
          <v:shape id="_x0000_s1029" type="#_x0000_t75" style="position:absolute;left:0;text-align:left;margin-left:39.6pt;margin-top:4.85pt;width:105pt;height:34pt;z-index:251656192" fillcolor="#ff9">
            <v:imagedata r:id="rId10" o:title=""/>
          </v:shape>
          <o:OLEObject Type="Embed" ProgID="Equation.3" ShapeID="_x0000_s1029" DrawAspect="Content" ObjectID="_1538888488" r:id="rId12"/>
        </w:pic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(a)</w: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ind w:left="170" w:hanging="170"/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 xml:space="preserve">2. Roční míra růstu pro měsíc </w:t>
      </w:r>
      <w:r w:rsidRPr="00C822C2">
        <w:rPr>
          <w:rFonts w:ascii="Arial" w:hAnsi="Arial" w:cs="Arial"/>
          <w:i/>
        </w:rPr>
        <w:t>t</w:t>
      </w:r>
      <w:r w:rsidRPr="00C822C2">
        <w:rPr>
          <w:rFonts w:ascii="Arial" w:hAnsi="Arial" w:cs="Arial"/>
        </w:rPr>
        <w:t>, tj. změna za posledních 12</w:t>
      </w:r>
      <w:r w:rsidR="001B7B11" w:rsidRPr="00C822C2">
        <w:rPr>
          <w:rFonts w:ascii="Arial" w:hAnsi="Arial" w:cs="Arial"/>
        </w:rPr>
        <w:t> </w:t>
      </w:r>
      <w:r w:rsidRPr="00C822C2">
        <w:rPr>
          <w:rFonts w:ascii="Arial" w:hAnsi="Arial" w:cs="Arial"/>
        </w:rPr>
        <w:t xml:space="preserve">měsíců končící měsícem </w:t>
      </w:r>
      <w:r w:rsidRPr="00C822C2">
        <w:rPr>
          <w:rFonts w:ascii="Arial" w:hAnsi="Arial" w:cs="Arial"/>
          <w:i/>
        </w:rPr>
        <w:t>t</w:t>
      </w:r>
      <w:r w:rsidRPr="00C822C2">
        <w:rPr>
          <w:rFonts w:ascii="Arial" w:hAnsi="Arial" w:cs="Arial"/>
        </w:rPr>
        <w:t xml:space="preserve"> se počítá jako součin dvanácti součinitelů každého předchozího měsíce. Výpočet roční míry růstu na základě meziměsíčních měr růstu tak umožňuje zohlednit transakční změny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</w:rPr>
        <w:t>netransakční vlivy v jednotlivých měsících:</w:t>
      </w:r>
    </w:p>
    <w:p w:rsidR="000572F9" w:rsidRPr="00C822C2" w:rsidRDefault="00996013" w:rsidP="00EF756D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30" type="#_x0000_t75" style="position:absolute;left:0;text-align:left;margin-left:47.3pt;margin-top:1.15pt;width:166pt;height:36pt;z-index:251657216" fillcolor="#ff9" strokecolor="#ff9">
            <v:imagedata r:id="rId13" o:title=""/>
          </v:shape>
          <o:OLEObject Type="Embed" ProgID="Equation.3" ShapeID="_x0000_s1030" DrawAspect="Content" ObjectID="_1538888489" r:id="rId14"/>
        </w:pic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(b)</w: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kde</w:t>
      </w:r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>F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 </w:t>
      </w:r>
      <w:r w:rsidR="00AA14F9" w:rsidRPr="00C822C2">
        <w:rPr>
          <w:rFonts w:ascii="Arial" w:hAnsi="Arial" w:cs="Arial"/>
        </w:rPr>
        <w:t>–</w:t>
      </w:r>
      <w:r w:rsidRPr="00C822C2">
        <w:rPr>
          <w:rFonts w:ascii="Arial" w:hAnsi="Arial" w:cs="Arial"/>
        </w:rPr>
        <w:t xml:space="preserve"> transakce v měsíci </w:t>
      </w:r>
      <w:r w:rsidRPr="00C822C2">
        <w:rPr>
          <w:rFonts w:ascii="Arial" w:hAnsi="Arial" w:cs="Arial"/>
          <w:i/>
        </w:rPr>
        <w:t>t</w:t>
      </w:r>
      <w:r w:rsidRPr="00C822C2">
        <w:rPr>
          <w:rFonts w:ascii="Arial" w:hAnsi="Arial" w:cs="Arial"/>
        </w:rPr>
        <w:t xml:space="preserve"> </w:t>
      </w:r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>F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</w:t>
      </w:r>
      <w:r w:rsidRPr="00C822C2">
        <w:rPr>
          <w:rFonts w:ascii="Arial" w:hAnsi="Arial" w:cs="Arial"/>
        </w:rPr>
        <w:t xml:space="preserve"> = </w:t>
      </w:r>
      <w:r w:rsidRPr="00C822C2">
        <w:rPr>
          <w:rFonts w:ascii="Arial" w:hAnsi="Arial" w:cs="Arial"/>
          <w:i/>
        </w:rPr>
        <w:t xml:space="preserve">(L </w:t>
      </w:r>
      <w:r w:rsidRPr="00C822C2">
        <w:rPr>
          <w:rFonts w:ascii="Arial" w:hAnsi="Arial" w:cs="Arial"/>
          <w:i/>
          <w:vertAlign w:val="subscript"/>
        </w:rPr>
        <w:t>t</w:t>
      </w:r>
      <w:r w:rsidRPr="00C822C2">
        <w:rPr>
          <w:rFonts w:ascii="Arial" w:hAnsi="Arial" w:cs="Arial"/>
          <w:i/>
        </w:rPr>
        <w:t xml:space="preserve"> </w:t>
      </w:r>
      <w:r w:rsidR="00BD0F80" w:rsidRPr="00C822C2">
        <w:rPr>
          <w:rFonts w:ascii="Arial" w:hAnsi="Arial" w:cs="Arial"/>
          <w:i/>
        </w:rPr>
        <w:t>-</w:t>
      </w:r>
      <w:r w:rsidRPr="00C822C2">
        <w:rPr>
          <w:rFonts w:ascii="Arial" w:hAnsi="Arial" w:cs="Arial"/>
          <w:i/>
        </w:rPr>
        <w:t xml:space="preserve"> L </w:t>
      </w:r>
      <w:r w:rsidRPr="00C822C2">
        <w:rPr>
          <w:rFonts w:ascii="Arial" w:hAnsi="Arial" w:cs="Arial"/>
          <w:i/>
          <w:vertAlign w:val="subscript"/>
        </w:rPr>
        <w:t>t-1</w:t>
      </w:r>
      <w:r w:rsidRPr="00C822C2">
        <w:rPr>
          <w:rFonts w:ascii="Arial" w:hAnsi="Arial" w:cs="Arial"/>
          <w:i/>
        </w:rPr>
        <w:t>) - C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</w:t>
      </w:r>
      <w:r w:rsidRPr="00C822C2">
        <w:rPr>
          <w:rFonts w:ascii="Arial" w:hAnsi="Arial" w:cs="Arial"/>
        </w:rPr>
        <w:t xml:space="preserve"> </w:t>
      </w:r>
      <w:r w:rsidRPr="00C822C2">
        <w:rPr>
          <w:rFonts w:ascii="Arial" w:hAnsi="Arial" w:cs="Arial"/>
          <w:i/>
        </w:rPr>
        <w:t>- E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</w:t>
      </w:r>
      <w:r w:rsidRPr="00C822C2">
        <w:rPr>
          <w:rFonts w:ascii="Arial" w:hAnsi="Arial" w:cs="Arial"/>
        </w:rPr>
        <w:t xml:space="preserve"> </w:t>
      </w:r>
      <w:r w:rsidRPr="00C822C2">
        <w:rPr>
          <w:rFonts w:ascii="Arial" w:hAnsi="Arial" w:cs="Arial"/>
          <w:i/>
        </w:rPr>
        <w:t>- V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>M</w:t>
      </w:r>
      <w:r w:rsidRPr="00C822C2">
        <w:rPr>
          <w:rFonts w:ascii="Arial" w:hAnsi="Arial" w:cs="Arial"/>
        </w:rPr>
        <w:t xml:space="preserve"> </w: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  <w:r w:rsidRPr="00C822C2">
        <w:rPr>
          <w:rFonts w:ascii="Arial" w:hAnsi="Arial" w:cs="Arial"/>
        </w:rPr>
        <w:t>a</w:t>
      </w:r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 xml:space="preserve">L </w:t>
      </w:r>
      <w:r w:rsidRPr="00C822C2">
        <w:rPr>
          <w:rFonts w:ascii="Arial" w:hAnsi="Arial" w:cs="Arial"/>
          <w:i/>
          <w:vertAlign w:val="subscript"/>
        </w:rPr>
        <w:t xml:space="preserve">t </w:t>
      </w:r>
      <w:r w:rsidRPr="00C822C2">
        <w:rPr>
          <w:rFonts w:ascii="Arial" w:hAnsi="Arial" w:cs="Arial"/>
        </w:rPr>
        <w:t xml:space="preserve"> </w:t>
      </w:r>
      <w:r w:rsidR="00AA14F9" w:rsidRPr="00C822C2">
        <w:rPr>
          <w:rFonts w:ascii="Arial" w:hAnsi="Arial" w:cs="Arial"/>
        </w:rPr>
        <w:t>–</w:t>
      </w:r>
      <w:r w:rsidRPr="00C822C2">
        <w:rPr>
          <w:rFonts w:ascii="Arial" w:hAnsi="Arial" w:cs="Arial"/>
        </w:rPr>
        <w:t xml:space="preserve"> zůstatek na konci měsíce </w:t>
      </w:r>
      <w:r w:rsidRPr="00C822C2">
        <w:rPr>
          <w:rFonts w:ascii="Arial" w:hAnsi="Arial" w:cs="Arial"/>
          <w:i/>
        </w:rPr>
        <w:t>t</w:t>
      </w:r>
      <w:r w:rsidRPr="00C822C2">
        <w:rPr>
          <w:rFonts w:ascii="Arial" w:hAnsi="Arial" w:cs="Arial"/>
        </w:rPr>
        <w:t xml:space="preserve"> </w:t>
      </w:r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>C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>M</w:t>
      </w:r>
      <w:r w:rsidRPr="00C822C2">
        <w:rPr>
          <w:rFonts w:ascii="Arial" w:hAnsi="Arial" w:cs="Arial"/>
        </w:rPr>
        <w:t xml:space="preserve"> </w:t>
      </w:r>
      <w:r w:rsidR="00AA14F9" w:rsidRPr="00C822C2">
        <w:rPr>
          <w:rFonts w:ascii="Arial" w:hAnsi="Arial" w:cs="Arial"/>
        </w:rPr>
        <w:t>–</w:t>
      </w:r>
      <w:r w:rsidRPr="00C822C2">
        <w:rPr>
          <w:rFonts w:ascii="Arial" w:hAnsi="Arial" w:cs="Arial"/>
        </w:rPr>
        <w:t xml:space="preserve"> reklasifikace v měsíci </w:t>
      </w:r>
      <w:r w:rsidRPr="00C822C2">
        <w:rPr>
          <w:rFonts w:ascii="Arial" w:hAnsi="Arial" w:cs="Arial"/>
          <w:i/>
        </w:rPr>
        <w:t>t</w:t>
      </w:r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>E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</w:t>
      </w:r>
      <w:r w:rsidRPr="00C822C2">
        <w:rPr>
          <w:rFonts w:ascii="Arial" w:hAnsi="Arial" w:cs="Arial"/>
        </w:rPr>
        <w:t xml:space="preserve"> </w:t>
      </w:r>
      <w:r w:rsidR="00AA14F9" w:rsidRPr="00C822C2">
        <w:rPr>
          <w:rFonts w:ascii="Arial" w:hAnsi="Arial" w:cs="Arial"/>
        </w:rPr>
        <w:t>–</w:t>
      </w:r>
      <w:r w:rsidRPr="00C822C2">
        <w:rPr>
          <w:rFonts w:ascii="Arial" w:hAnsi="Arial" w:cs="Arial"/>
        </w:rPr>
        <w:t xml:space="preserve"> změny směnných kurzů v měsíci </w:t>
      </w:r>
      <w:r w:rsidRPr="00C822C2">
        <w:rPr>
          <w:rFonts w:ascii="Arial" w:hAnsi="Arial" w:cs="Arial"/>
          <w:i/>
        </w:rPr>
        <w:t>t</w:t>
      </w:r>
      <w:bookmarkStart w:id="0" w:name="_GoBack"/>
      <w:bookmarkEnd w:id="0"/>
    </w:p>
    <w:p w:rsidR="000572F9" w:rsidRPr="00C822C2" w:rsidRDefault="000572F9" w:rsidP="00EF756D">
      <w:pPr>
        <w:ind w:left="709"/>
        <w:jc w:val="both"/>
        <w:rPr>
          <w:rFonts w:ascii="Arial" w:hAnsi="Arial" w:cs="Arial"/>
        </w:rPr>
      </w:pPr>
      <w:r w:rsidRPr="00C822C2">
        <w:rPr>
          <w:rFonts w:ascii="Arial" w:hAnsi="Arial" w:cs="Arial"/>
          <w:i/>
        </w:rPr>
        <w:t>V</w:t>
      </w:r>
      <w:r w:rsidRPr="00C822C2">
        <w:rPr>
          <w:rFonts w:ascii="Arial" w:hAnsi="Arial" w:cs="Arial"/>
          <w:i/>
          <w:vertAlign w:val="subscript"/>
        </w:rPr>
        <w:t xml:space="preserve"> t </w:t>
      </w:r>
      <w:r w:rsidRPr="00C822C2">
        <w:rPr>
          <w:rFonts w:ascii="Arial" w:hAnsi="Arial" w:cs="Arial"/>
          <w:i/>
          <w:vertAlign w:val="superscript"/>
        </w:rPr>
        <w:t xml:space="preserve">M </w:t>
      </w:r>
      <w:r w:rsidRPr="00C822C2">
        <w:rPr>
          <w:rFonts w:ascii="Arial" w:hAnsi="Arial" w:cs="Arial"/>
        </w:rPr>
        <w:t xml:space="preserve"> </w:t>
      </w:r>
      <w:r w:rsidR="00AA14F9" w:rsidRPr="00C822C2">
        <w:rPr>
          <w:rFonts w:ascii="Arial" w:hAnsi="Arial" w:cs="Arial"/>
        </w:rPr>
        <w:t>–</w:t>
      </w:r>
      <w:r w:rsidRPr="00C822C2">
        <w:rPr>
          <w:rFonts w:ascii="Arial" w:hAnsi="Arial" w:cs="Arial"/>
        </w:rPr>
        <w:t xml:space="preserve"> změny ocenění</w:t>
      </w:r>
      <w:r w:rsidR="0046656C" w:rsidRPr="00C822C2">
        <w:rPr>
          <w:rFonts w:ascii="Arial" w:hAnsi="Arial" w:cs="Arial"/>
        </w:rPr>
        <w:t xml:space="preserve"> v </w:t>
      </w:r>
      <w:r w:rsidRPr="00C822C2">
        <w:rPr>
          <w:rFonts w:ascii="Arial" w:hAnsi="Arial" w:cs="Arial"/>
        </w:rPr>
        <w:t xml:space="preserve">měsíci </w:t>
      </w:r>
      <w:r w:rsidRPr="00C822C2">
        <w:rPr>
          <w:rFonts w:ascii="Arial" w:hAnsi="Arial" w:cs="Arial"/>
          <w:i/>
        </w:rPr>
        <w:t>t</w:t>
      </w:r>
    </w:p>
    <w:p w:rsidR="000572F9" w:rsidRPr="00C822C2" w:rsidRDefault="000572F9" w:rsidP="00EF756D">
      <w:pPr>
        <w:jc w:val="both"/>
        <w:rPr>
          <w:rFonts w:ascii="Arial" w:hAnsi="Arial" w:cs="Arial"/>
        </w:rPr>
      </w:pPr>
    </w:p>
    <w:p w:rsidR="000572F9" w:rsidRPr="00C822C2" w:rsidRDefault="000572F9" w:rsidP="00EF756D">
      <w:pPr>
        <w:ind w:firstLine="709"/>
        <w:jc w:val="both"/>
        <w:rPr>
          <w:rFonts w:ascii="Arial" w:hAnsi="Arial" w:cs="Arial"/>
          <w:szCs w:val="22"/>
        </w:rPr>
      </w:pPr>
      <w:r w:rsidRPr="00C822C2">
        <w:rPr>
          <w:rFonts w:ascii="Arial" w:hAnsi="Arial" w:cs="Arial"/>
        </w:rPr>
        <w:t>Míry růstu pro jiná referenční období se odvozují od vzorce (b).</w:t>
      </w:r>
    </w:p>
    <w:p w:rsidR="000572F9" w:rsidRPr="00C822C2" w:rsidRDefault="000572F9" w:rsidP="00EF756D">
      <w:pPr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-2. </w:t>
      </w:r>
      <w:r w:rsidRPr="00C822C2">
        <w:rPr>
          <w:rFonts w:ascii="Arial" w:hAnsi="Arial" w:cs="Arial"/>
          <w:b/>
          <w:snapToGrid w:val="0"/>
        </w:rPr>
        <w:t>Měnová</w:t>
      </w:r>
      <w:r w:rsidRPr="00C822C2">
        <w:rPr>
          <w:rFonts w:ascii="Arial" w:hAnsi="Arial" w:cs="Arial"/>
          <w:snapToGrid w:val="0"/>
        </w:rPr>
        <w:t xml:space="preserve"> </w:t>
      </w:r>
      <w:r w:rsidRPr="00C822C2">
        <w:rPr>
          <w:rFonts w:ascii="Arial" w:hAnsi="Arial" w:cs="Arial"/>
          <w:b/>
          <w:snapToGrid w:val="0"/>
        </w:rPr>
        <w:t>báze ČNB</w:t>
      </w:r>
    </w:p>
    <w:p w:rsidR="000572F9" w:rsidRPr="00C822C2" w:rsidRDefault="000572F9" w:rsidP="00EF756D">
      <w:pPr>
        <w:pStyle w:val="Zkladntextodsazen2"/>
        <w:spacing w:before="120"/>
        <w:ind w:left="0" w:firstLine="709"/>
        <w:rPr>
          <w:rFonts w:ascii="Arial" w:hAnsi="Arial" w:cs="Arial"/>
          <w:snapToGrid w:val="0"/>
          <w:sz w:val="20"/>
          <w:lang w:val="cs-CZ"/>
        </w:rPr>
      </w:pPr>
      <w:r w:rsidRPr="00C822C2">
        <w:rPr>
          <w:rFonts w:ascii="Arial" w:hAnsi="Arial" w:cs="Arial"/>
          <w:snapToGrid w:val="0"/>
          <w:sz w:val="20"/>
          <w:lang w:val="cs-CZ"/>
        </w:rPr>
        <w:t>Měnová báze (rezervní peníze) zahrnuje oběživo</w:t>
      </w:r>
      <w:r w:rsidR="0046656C" w:rsidRPr="00C822C2">
        <w:rPr>
          <w:rFonts w:ascii="Arial" w:hAnsi="Arial" w:cs="Arial"/>
          <w:snapToGrid w:val="0"/>
          <w:sz w:val="20"/>
          <w:lang w:val="cs-CZ"/>
        </w:rPr>
        <w:t xml:space="preserve"> a </w:t>
      </w:r>
      <w:r w:rsidRPr="00C822C2">
        <w:rPr>
          <w:rFonts w:ascii="Arial" w:hAnsi="Arial" w:cs="Arial"/>
          <w:snapToGrid w:val="0"/>
          <w:sz w:val="20"/>
          <w:lang w:val="cs-CZ"/>
        </w:rPr>
        <w:t xml:space="preserve">rezervy, které drží obchodní banky </w:t>
      </w:r>
      <w:r w:rsidR="001F0D38" w:rsidRPr="00C822C2">
        <w:rPr>
          <w:rFonts w:ascii="Arial" w:hAnsi="Arial" w:cs="Arial"/>
          <w:snapToGrid w:val="0"/>
          <w:sz w:val="20"/>
          <w:lang w:val="cs-CZ"/>
        </w:rPr>
        <w:t>a </w:t>
      </w:r>
      <w:r w:rsidR="004B48D4" w:rsidRPr="00C822C2">
        <w:rPr>
          <w:rFonts w:ascii="Arial" w:hAnsi="Arial" w:cs="Arial"/>
          <w:snapToGrid w:val="0"/>
          <w:sz w:val="20"/>
          <w:lang w:val="cs-CZ"/>
        </w:rPr>
        <w:t xml:space="preserve">družstevní záložny (od </w:t>
      </w:r>
      <w:r w:rsidR="007255BB">
        <w:rPr>
          <w:rFonts w:ascii="Arial" w:hAnsi="Arial" w:cs="Arial"/>
          <w:snapToGrid w:val="0"/>
          <w:sz w:val="20"/>
          <w:lang w:val="cs-CZ"/>
        </w:rPr>
        <w:t xml:space="preserve">roku </w:t>
      </w:r>
      <w:r w:rsidR="004B48D4" w:rsidRPr="00C822C2">
        <w:rPr>
          <w:rFonts w:ascii="Arial" w:hAnsi="Arial" w:cs="Arial"/>
          <w:snapToGrid w:val="0"/>
          <w:sz w:val="20"/>
          <w:lang w:val="cs-CZ"/>
        </w:rPr>
        <w:t xml:space="preserve">2012) </w:t>
      </w:r>
      <w:r w:rsidRPr="00C822C2">
        <w:rPr>
          <w:rFonts w:ascii="Arial" w:hAnsi="Arial" w:cs="Arial"/>
          <w:snapToGrid w:val="0"/>
          <w:sz w:val="20"/>
          <w:lang w:val="cs-CZ"/>
        </w:rPr>
        <w:t>na účtech</w:t>
      </w:r>
      <w:r w:rsidR="0046656C" w:rsidRPr="00C822C2">
        <w:rPr>
          <w:rFonts w:ascii="Arial" w:hAnsi="Arial" w:cs="Arial"/>
          <w:snapToGrid w:val="0"/>
          <w:sz w:val="20"/>
          <w:lang w:val="cs-CZ"/>
        </w:rPr>
        <w:t xml:space="preserve"> u </w:t>
      </w:r>
      <w:r w:rsidRPr="00C822C2">
        <w:rPr>
          <w:rFonts w:ascii="Arial" w:hAnsi="Arial" w:cs="Arial"/>
          <w:snapToGrid w:val="0"/>
          <w:sz w:val="20"/>
          <w:lang w:val="cs-CZ"/>
        </w:rPr>
        <w:t xml:space="preserve">centrální banky. Obě tyto položky představují </w:t>
      </w:r>
      <w:r w:rsidRPr="00C822C2">
        <w:rPr>
          <w:rFonts w:ascii="Arial" w:hAnsi="Arial" w:cs="Arial"/>
          <w:b/>
          <w:snapToGrid w:val="0"/>
          <w:sz w:val="20"/>
          <w:lang w:val="cs-CZ"/>
        </w:rPr>
        <w:t>užití měnové báze</w:t>
      </w:r>
      <w:r w:rsidRPr="00C822C2">
        <w:rPr>
          <w:rFonts w:ascii="Arial" w:hAnsi="Arial" w:cs="Arial"/>
          <w:snapToGrid w:val="0"/>
          <w:sz w:val="20"/>
          <w:lang w:val="cs-CZ"/>
        </w:rPr>
        <w:t>. Měnová báze vyjadřuje vztahy centrální banky vůči ostatním sektorům v ekonomice. Proto protipoložky měnové báze představují vnější sektor, vládní sektor, bankovní sektor</w:t>
      </w:r>
      <w:r w:rsidR="0046656C" w:rsidRPr="00C822C2">
        <w:rPr>
          <w:rFonts w:ascii="Arial" w:hAnsi="Arial" w:cs="Arial"/>
          <w:snapToGrid w:val="0"/>
          <w:sz w:val="20"/>
          <w:lang w:val="cs-CZ"/>
        </w:rPr>
        <w:t xml:space="preserve"> a </w:t>
      </w:r>
      <w:r w:rsidR="004B48D4" w:rsidRPr="00C822C2">
        <w:rPr>
          <w:rFonts w:ascii="Arial" w:hAnsi="Arial" w:cs="Arial"/>
          <w:snapToGrid w:val="0"/>
          <w:sz w:val="20"/>
          <w:lang w:val="cs-CZ"/>
        </w:rPr>
        <w:t>nebankovní</w:t>
      </w:r>
      <w:r w:rsidRPr="00C822C2">
        <w:rPr>
          <w:rFonts w:ascii="Arial" w:hAnsi="Arial" w:cs="Arial"/>
          <w:snapToGrid w:val="0"/>
          <w:sz w:val="20"/>
          <w:lang w:val="cs-CZ"/>
        </w:rPr>
        <w:t xml:space="preserve"> sektor. Tyto faktory ovlivňující výši měnové báze se označují jako </w:t>
      </w:r>
      <w:r w:rsidRPr="00C822C2">
        <w:rPr>
          <w:rFonts w:ascii="Arial" w:hAnsi="Arial" w:cs="Arial"/>
          <w:b/>
          <w:snapToGrid w:val="0"/>
          <w:sz w:val="20"/>
          <w:lang w:val="cs-CZ"/>
        </w:rPr>
        <w:t>zdroje měnové báze</w:t>
      </w:r>
      <w:r w:rsidRPr="00C822C2">
        <w:rPr>
          <w:rFonts w:ascii="Arial" w:hAnsi="Arial" w:cs="Arial"/>
          <w:snapToGrid w:val="0"/>
          <w:sz w:val="20"/>
          <w:lang w:val="cs-CZ"/>
        </w:rPr>
        <w:t>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>Vnější sektor</w:t>
      </w:r>
      <w:r w:rsidRPr="00C822C2">
        <w:rPr>
          <w:rFonts w:ascii="Arial" w:hAnsi="Arial" w:cs="Arial"/>
          <w:snapToGrid w:val="0"/>
        </w:rPr>
        <w:t xml:space="preserve"> představuje saldo krátkodobých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dlouhodobých pohledávek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závazků centrální banky ve vztahu k nerezidentům v domácí měně i v zahraničních měnách. Vzhledem k nevýznamné výši tato položka zahrnuje i devizovou pozici ve vztahu k rezidentům.</w:t>
      </w:r>
    </w:p>
    <w:p w:rsidR="000572F9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 xml:space="preserve">Vládní sektor </w:t>
      </w:r>
      <w:r w:rsidRPr="00C822C2">
        <w:rPr>
          <w:rFonts w:ascii="Arial" w:hAnsi="Arial" w:cs="Arial"/>
          <w:snapToGrid w:val="0"/>
        </w:rPr>
        <w:t>vyjadřuje rozdíl mezi aktivy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="00C822C2" w:rsidRPr="00C822C2">
        <w:rPr>
          <w:rFonts w:ascii="Arial" w:hAnsi="Arial" w:cs="Arial"/>
          <w:snapToGrid w:val="0"/>
        </w:rPr>
        <w:t xml:space="preserve">pasivy </w:t>
      </w:r>
      <w:r w:rsidRPr="00C822C2">
        <w:rPr>
          <w:rFonts w:ascii="Arial" w:hAnsi="Arial" w:cs="Arial"/>
          <w:snapToGrid w:val="0"/>
        </w:rPr>
        <w:t>centrální banky vůči vládnímu sektoru.</w:t>
      </w:r>
    </w:p>
    <w:p w:rsidR="004B3135" w:rsidRPr="00C822C2" w:rsidRDefault="00D77E4B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D77E4B">
        <w:rPr>
          <w:rFonts w:ascii="Arial" w:hAnsi="Arial" w:cs="Arial"/>
          <w:b/>
          <w:snapToGrid w:val="0"/>
        </w:rPr>
        <w:t>Garanční systém finančního trhu</w:t>
      </w:r>
      <w:r w:rsidR="004B3135">
        <w:rPr>
          <w:rFonts w:ascii="Arial" w:hAnsi="Arial" w:cs="Arial"/>
          <w:snapToGrid w:val="0"/>
        </w:rPr>
        <w:t xml:space="preserve"> zahrnuje Fond pojištění vkladů a Fond pro řešení krize.</w:t>
      </w:r>
    </w:p>
    <w:p w:rsidR="00707180" w:rsidRPr="00C822C2" w:rsidRDefault="000572F9" w:rsidP="00EF756D">
      <w:pPr>
        <w:spacing w:before="120"/>
        <w:ind w:firstLine="709"/>
        <w:jc w:val="both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b/>
          <w:snapToGrid w:val="0"/>
        </w:rPr>
        <w:t>Pohledávky za nebankovními subjekty</w:t>
      </w:r>
      <w:r w:rsidRPr="00C822C2">
        <w:rPr>
          <w:rFonts w:ascii="Arial" w:hAnsi="Arial" w:cs="Arial"/>
          <w:snapToGrid w:val="0"/>
        </w:rPr>
        <w:t xml:space="preserve"> představují pohledávky centrální banky vůči různým nebankovním subjektům. Mezi ně patří </w:t>
      </w:r>
      <w:r w:rsidR="004B48D4" w:rsidRPr="00C822C2">
        <w:rPr>
          <w:rFonts w:ascii="Arial" w:hAnsi="Arial" w:cs="Arial"/>
          <w:snapToGrid w:val="0"/>
        </w:rPr>
        <w:t xml:space="preserve">např. </w:t>
      </w:r>
      <w:r w:rsidRPr="00C822C2">
        <w:rPr>
          <w:rFonts w:ascii="Arial" w:hAnsi="Arial" w:cs="Arial"/>
          <w:snapToGrid w:val="0"/>
        </w:rPr>
        <w:t>banky bez licence</w:t>
      </w:r>
      <w:r w:rsidR="00707180" w:rsidRPr="00C822C2">
        <w:rPr>
          <w:rFonts w:ascii="Arial" w:hAnsi="Arial" w:cs="Arial"/>
          <w:snapToGrid w:val="0"/>
        </w:rPr>
        <w:t>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>Čistá ostatní aktiva</w:t>
      </w:r>
      <w:r w:rsidRPr="00C822C2">
        <w:rPr>
          <w:rFonts w:ascii="Arial" w:hAnsi="Arial" w:cs="Arial"/>
          <w:snapToGrid w:val="0"/>
        </w:rPr>
        <w:t xml:space="preserve"> zahrnují různé jiné položky, např. vlastní prostředky centrální banky, hmotný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 xml:space="preserve">nehmotný majetek, pohledávky za obchodními bankami z titulu čerpání oběživa, ostatní </w:t>
      </w:r>
      <w:r w:rsidRPr="00C822C2">
        <w:rPr>
          <w:rFonts w:ascii="Arial" w:hAnsi="Arial" w:cs="Arial"/>
          <w:snapToGrid w:val="0"/>
        </w:rPr>
        <w:lastRenderedPageBreak/>
        <w:t>vklady obchodních bank</w:t>
      </w:r>
      <w:r w:rsidR="0046656C" w:rsidRPr="00C822C2">
        <w:rPr>
          <w:rFonts w:ascii="Arial" w:hAnsi="Arial" w:cs="Arial"/>
          <w:snapToGrid w:val="0"/>
        </w:rPr>
        <w:t xml:space="preserve"> u </w:t>
      </w:r>
      <w:r w:rsidRPr="00C822C2">
        <w:rPr>
          <w:rFonts w:ascii="Arial" w:hAnsi="Arial" w:cs="Arial"/>
          <w:snapToGrid w:val="0"/>
        </w:rPr>
        <w:t>centrální banky, ostatní nevládní vklady, nevládní cenné papíry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účasti atd.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 xml:space="preserve">Objem realizovaných operací </w:t>
      </w:r>
      <w:r w:rsidRPr="00C822C2">
        <w:rPr>
          <w:rFonts w:ascii="Arial" w:hAnsi="Arial" w:cs="Arial"/>
          <w:snapToGrid w:val="0"/>
        </w:rPr>
        <w:t xml:space="preserve">vyjadřuje sterilizaci volné likvidity, tj. objem poukázek ČNB v držení obchodních bank, </w:t>
      </w:r>
      <w:r w:rsidR="004B48D4" w:rsidRPr="00C822C2">
        <w:rPr>
          <w:rFonts w:ascii="Arial" w:hAnsi="Arial" w:cs="Arial"/>
          <w:snapToGrid w:val="0"/>
        </w:rPr>
        <w:t xml:space="preserve">družstevních záložen, ostatních </w:t>
      </w:r>
      <w:r w:rsidRPr="00C822C2">
        <w:rPr>
          <w:rFonts w:ascii="Arial" w:hAnsi="Arial" w:cs="Arial"/>
          <w:snapToGrid w:val="0"/>
        </w:rPr>
        <w:t>nebankovních subjektů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ministerstva financí.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>Standby facility:</w:t>
      </w:r>
      <w:r w:rsidRPr="00C822C2">
        <w:rPr>
          <w:rFonts w:ascii="Arial" w:hAnsi="Arial" w:cs="Arial"/>
          <w:snapToGrid w:val="0"/>
        </w:rPr>
        <w:t xml:space="preserve"> zápůjční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 xml:space="preserve">depozitní facility se splatností jeden den, které umožňují jednotlivým bankám </w:t>
      </w:r>
      <w:r w:rsidR="001F0D38" w:rsidRPr="00C822C2">
        <w:rPr>
          <w:rFonts w:ascii="Arial" w:hAnsi="Arial" w:cs="Arial"/>
          <w:snapToGrid w:val="0"/>
        </w:rPr>
        <w:t>a </w:t>
      </w:r>
      <w:r w:rsidR="004B48D4" w:rsidRPr="00C822C2">
        <w:rPr>
          <w:rFonts w:ascii="Arial" w:hAnsi="Arial" w:cs="Arial"/>
          <w:snapToGrid w:val="0"/>
        </w:rPr>
        <w:t xml:space="preserve">družstevním záložnám (od </w:t>
      </w:r>
      <w:r w:rsidR="007255BB">
        <w:rPr>
          <w:rFonts w:ascii="Arial" w:hAnsi="Arial" w:cs="Arial"/>
          <w:snapToGrid w:val="0"/>
        </w:rPr>
        <w:t xml:space="preserve">roku </w:t>
      </w:r>
      <w:r w:rsidR="004B48D4" w:rsidRPr="00C822C2">
        <w:rPr>
          <w:rFonts w:ascii="Arial" w:hAnsi="Arial" w:cs="Arial"/>
          <w:snapToGrid w:val="0"/>
        </w:rPr>
        <w:t xml:space="preserve">2012) </w:t>
      </w:r>
      <w:r w:rsidRPr="00C822C2">
        <w:rPr>
          <w:rFonts w:ascii="Arial" w:hAnsi="Arial" w:cs="Arial"/>
          <w:snapToGrid w:val="0"/>
        </w:rPr>
        <w:t>doladit svou denní rezervní pozici tak, aby docházelo</w:t>
      </w:r>
      <w:r w:rsidR="0046656C" w:rsidRPr="00C822C2">
        <w:rPr>
          <w:rFonts w:ascii="Arial" w:hAnsi="Arial" w:cs="Arial"/>
          <w:snapToGrid w:val="0"/>
        </w:rPr>
        <w:t xml:space="preserve"> k </w:t>
      </w:r>
      <w:r w:rsidRPr="00C822C2">
        <w:rPr>
          <w:rFonts w:ascii="Arial" w:hAnsi="Arial" w:cs="Arial"/>
          <w:snapToGrid w:val="0"/>
        </w:rPr>
        <w:t>optimalizaci výše zůstatku na účtu platebního styku.</w:t>
      </w:r>
    </w:p>
    <w:p w:rsidR="000572F9" w:rsidRPr="00C822C2" w:rsidRDefault="000572F9" w:rsidP="00EF756D">
      <w:pPr>
        <w:spacing w:before="120"/>
        <w:ind w:left="170" w:hanging="170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– Lombardní repo (zápůjční facilita): repo operace sloužící k dodání likvidity obchodním bankám</w:t>
      </w:r>
      <w:r w:rsidR="001F0D38" w:rsidRPr="00C822C2">
        <w:rPr>
          <w:rFonts w:ascii="Arial" w:hAnsi="Arial" w:cs="Arial"/>
          <w:snapToGrid w:val="0"/>
        </w:rPr>
        <w:t xml:space="preserve"> a </w:t>
      </w:r>
      <w:r w:rsidR="004B48D4" w:rsidRPr="00C822C2">
        <w:rPr>
          <w:rFonts w:ascii="Arial" w:hAnsi="Arial" w:cs="Arial"/>
          <w:snapToGrid w:val="0"/>
        </w:rPr>
        <w:t xml:space="preserve">družstevním záložnám (od </w:t>
      </w:r>
      <w:r w:rsidR="007255BB">
        <w:rPr>
          <w:rFonts w:ascii="Arial" w:hAnsi="Arial" w:cs="Arial"/>
          <w:snapToGrid w:val="0"/>
        </w:rPr>
        <w:t xml:space="preserve">roku </w:t>
      </w:r>
      <w:r w:rsidR="004B48D4" w:rsidRPr="00C822C2">
        <w:rPr>
          <w:rFonts w:ascii="Arial" w:hAnsi="Arial" w:cs="Arial"/>
          <w:snapToGrid w:val="0"/>
        </w:rPr>
        <w:t xml:space="preserve">2012). </w:t>
      </w:r>
      <w:r w:rsidRPr="00C822C2">
        <w:rPr>
          <w:rFonts w:ascii="Arial" w:hAnsi="Arial" w:cs="Arial"/>
          <w:snapToGrid w:val="0"/>
        </w:rPr>
        <w:t>Při poskytnutí úvěru se uplatňuje 100% krytí cennými papíry, zpravidla státními pokladničními poukázkami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 xml:space="preserve">poukázkami ČNB. Úvěr je úročen </w:t>
      </w:r>
      <w:r w:rsidR="00C97F6F" w:rsidRPr="00C822C2">
        <w:rPr>
          <w:rFonts w:ascii="Arial" w:hAnsi="Arial" w:cs="Arial"/>
          <w:snapToGrid w:val="0"/>
        </w:rPr>
        <w:t>l</w:t>
      </w:r>
      <w:r w:rsidRPr="00C822C2">
        <w:rPr>
          <w:rFonts w:ascii="Arial" w:hAnsi="Arial" w:cs="Arial"/>
          <w:snapToGrid w:val="0"/>
        </w:rPr>
        <w:t>ombardní sazbou. Minimální objem není stanoven.</w:t>
      </w:r>
    </w:p>
    <w:p w:rsidR="000572F9" w:rsidRPr="00C822C2" w:rsidRDefault="000572F9" w:rsidP="00EF756D">
      <w:pPr>
        <w:spacing w:before="120"/>
        <w:ind w:left="170" w:hanging="170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– Overnight (O/N) depozitum (depozitní facilita): obchodní banky</w:t>
      </w:r>
      <w:r w:rsidR="001F0D38" w:rsidRPr="00C822C2">
        <w:rPr>
          <w:rFonts w:ascii="Arial" w:hAnsi="Arial" w:cs="Arial"/>
          <w:snapToGrid w:val="0"/>
        </w:rPr>
        <w:t xml:space="preserve"> a </w:t>
      </w:r>
      <w:r w:rsidR="004B48D4" w:rsidRPr="00C822C2">
        <w:rPr>
          <w:rFonts w:ascii="Arial" w:hAnsi="Arial" w:cs="Arial"/>
          <w:snapToGrid w:val="0"/>
        </w:rPr>
        <w:t xml:space="preserve">družstevní záložny (od </w:t>
      </w:r>
      <w:r w:rsidR="007255BB">
        <w:rPr>
          <w:rFonts w:ascii="Arial" w:hAnsi="Arial" w:cs="Arial"/>
          <w:snapToGrid w:val="0"/>
        </w:rPr>
        <w:t xml:space="preserve">roku </w:t>
      </w:r>
      <w:r w:rsidR="004B48D4" w:rsidRPr="00C822C2">
        <w:rPr>
          <w:rFonts w:ascii="Arial" w:hAnsi="Arial" w:cs="Arial"/>
          <w:snapToGrid w:val="0"/>
        </w:rPr>
        <w:t xml:space="preserve">2012) </w:t>
      </w:r>
      <w:r w:rsidRPr="00C822C2">
        <w:rPr>
          <w:rFonts w:ascii="Arial" w:hAnsi="Arial" w:cs="Arial"/>
          <w:snapToGrid w:val="0"/>
        </w:rPr>
        <w:t>mají možnost uložit si volné prostředky</w:t>
      </w:r>
      <w:r w:rsidR="0046656C" w:rsidRPr="00C822C2">
        <w:rPr>
          <w:rFonts w:ascii="Arial" w:hAnsi="Arial" w:cs="Arial"/>
          <w:snapToGrid w:val="0"/>
        </w:rPr>
        <w:t xml:space="preserve"> u </w:t>
      </w:r>
      <w:r w:rsidRPr="00C822C2">
        <w:rPr>
          <w:rFonts w:ascii="Arial" w:hAnsi="Arial" w:cs="Arial"/>
          <w:snapToGrid w:val="0"/>
        </w:rPr>
        <w:t>centrální banky. Jedná se</w:t>
      </w:r>
      <w:r w:rsidR="0046656C" w:rsidRPr="00C822C2">
        <w:rPr>
          <w:rFonts w:ascii="Arial" w:hAnsi="Arial" w:cs="Arial"/>
          <w:snapToGrid w:val="0"/>
        </w:rPr>
        <w:t xml:space="preserve"> o </w:t>
      </w:r>
      <w:r w:rsidRPr="00C822C2">
        <w:rPr>
          <w:rFonts w:ascii="Arial" w:hAnsi="Arial" w:cs="Arial"/>
          <w:snapToGrid w:val="0"/>
        </w:rPr>
        <w:t xml:space="preserve">nezajištěný vklad, je úročen </w:t>
      </w:r>
      <w:r w:rsidR="00C97F6F" w:rsidRPr="00C822C2">
        <w:rPr>
          <w:rFonts w:ascii="Arial" w:hAnsi="Arial" w:cs="Arial"/>
          <w:snapToGrid w:val="0"/>
        </w:rPr>
        <w:t>d</w:t>
      </w:r>
      <w:r w:rsidRPr="00C822C2">
        <w:rPr>
          <w:rFonts w:ascii="Arial" w:hAnsi="Arial" w:cs="Arial"/>
          <w:snapToGrid w:val="0"/>
        </w:rPr>
        <w:t xml:space="preserve">iskontní sazbou. Minimální objem je stanoven na </w:t>
      </w:r>
      <w:smartTag w:uri="urn:schemas-microsoft-com:office:smarttags" w:element="metricconverter">
        <w:smartTagPr>
          <w:attr w:name="ProductID" w:val="10ﾠmil"/>
        </w:smartTagPr>
        <w:r w:rsidRPr="00C822C2">
          <w:rPr>
            <w:rFonts w:ascii="Arial" w:hAnsi="Arial" w:cs="Arial"/>
            <w:snapToGrid w:val="0"/>
          </w:rPr>
          <w:t>10 mil</w:t>
        </w:r>
      </w:smartTag>
      <w:r w:rsidRPr="00C822C2">
        <w:rPr>
          <w:rFonts w:ascii="Arial" w:hAnsi="Arial" w:cs="Arial"/>
          <w:snapToGrid w:val="0"/>
        </w:rPr>
        <w:t>. Kč.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b/>
          <w:sz w:val="20"/>
        </w:rPr>
        <w:t>Oběživo</w:t>
      </w:r>
      <w:r w:rsidRPr="00C822C2">
        <w:rPr>
          <w:rFonts w:ascii="Arial" w:hAnsi="Arial" w:cs="Arial"/>
          <w:sz w:val="20"/>
        </w:rPr>
        <w:t xml:space="preserve"> představuje závazek centrální banky z titulu vydaných bankovek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>mincí, které se nacházejí v pokladnách bank</w:t>
      </w:r>
      <w:r w:rsidR="004B48D4" w:rsidRPr="00C822C2">
        <w:rPr>
          <w:rFonts w:ascii="Arial" w:hAnsi="Arial" w:cs="Arial"/>
          <w:sz w:val="20"/>
        </w:rPr>
        <w:t xml:space="preserve">, družstevních záložen (od </w:t>
      </w:r>
      <w:r w:rsidR="007255BB">
        <w:rPr>
          <w:rFonts w:ascii="Arial" w:hAnsi="Arial" w:cs="Arial"/>
          <w:sz w:val="20"/>
        </w:rPr>
        <w:t xml:space="preserve">roku </w:t>
      </w:r>
      <w:r w:rsidR="004B48D4" w:rsidRPr="00C822C2">
        <w:rPr>
          <w:rFonts w:ascii="Arial" w:hAnsi="Arial" w:cs="Arial"/>
          <w:sz w:val="20"/>
        </w:rPr>
        <w:t xml:space="preserve">2012) </w:t>
      </w:r>
      <w:r w:rsidR="0046656C" w:rsidRPr="00C822C2">
        <w:rPr>
          <w:rFonts w:ascii="Arial" w:hAnsi="Arial" w:cs="Arial"/>
          <w:sz w:val="20"/>
        </w:rPr>
        <w:t>a</w:t>
      </w:r>
      <w:r w:rsidR="003E6D84" w:rsidRPr="00C822C2">
        <w:rPr>
          <w:rFonts w:ascii="Arial" w:hAnsi="Arial" w:cs="Arial"/>
          <w:sz w:val="20"/>
        </w:rPr>
        <w:t> </w:t>
      </w:r>
      <w:r w:rsidR="0046656C" w:rsidRPr="00C822C2">
        <w:rPr>
          <w:rFonts w:ascii="Arial" w:hAnsi="Arial" w:cs="Arial"/>
          <w:sz w:val="20"/>
        </w:rPr>
        <w:t>u </w:t>
      </w:r>
      <w:r w:rsidRPr="00C822C2">
        <w:rPr>
          <w:rFonts w:ascii="Arial" w:hAnsi="Arial" w:cs="Arial"/>
          <w:sz w:val="20"/>
        </w:rPr>
        <w:t>nebankovní veřejnosti.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b/>
          <w:sz w:val="20"/>
        </w:rPr>
        <w:t>Rezervy bank</w:t>
      </w:r>
      <w:r w:rsidR="001F0D38" w:rsidRPr="00C822C2">
        <w:rPr>
          <w:rFonts w:ascii="Arial" w:hAnsi="Arial" w:cs="Arial"/>
          <w:b/>
          <w:sz w:val="20"/>
        </w:rPr>
        <w:t xml:space="preserve"> a </w:t>
      </w:r>
      <w:r w:rsidR="00FD7B55" w:rsidRPr="00C822C2">
        <w:rPr>
          <w:rFonts w:ascii="Arial" w:hAnsi="Arial" w:cs="Arial"/>
          <w:b/>
          <w:sz w:val="20"/>
        </w:rPr>
        <w:t>družstevních záložen</w:t>
      </w:r>
      <w:r w:rsidR="00FD7B55" w:rsidRPr="00C822C2">
        <w:rPr>
          <w:rFonts w:ascii="Arial" w:hAnsi="Arial" w:cs="Arial"/>
          <w:sz w:val="20"/>
        </w:rPr>
        <w:t xml:space="preserve"> (od</w:t>
      </w:r>
      <w:r w:rsidR="007255BB">
        <w:rPr>
          <w:rFonts w:ascii="Arial" w:hAnsi="Arial" w:cs="Arial"/>
          <w:sz w:val="20"/>
        </w:rPr>
        <w:t xml:space="preserve"> roku</w:t>
      </w:r>
      <w:r w:rsidR="00FD7B55" w:rsidRPr="00C822C2">
        <w:rPr>
          <w:rFonts w:ascii="Arial" w:hAnsi="Arial" w:cs="Arial"/>
          <w:sz w:val="20"/>
        </w:rPr>
        <w:t xml:space="preserve"> 2012)</w:t>
      </w:r>
      <w:r w:rsidRPr="00C822C2">
        <w:rPr>
          <w:rFonts w:ascii="Arial" w:hAnsi="Arial" w:cs="Arial"/>
          <w:sz w:val="20"/>
        </w:rPr>
        <w:t xml:space="preserve"> zahrnují povinné minimální rezervy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 xml:space="preserve">volné rezervy na účtech </w:t>
      </w:r>
      <w:r w:rsidR="00DC4637" w:rsidRPr="00C822C2">
        <w:rPr>
          <w:rFonts w:ascii="Arial" w:hAnsi="Arial" w:cs="Arial"/>
          <w:sz w:val="20"/>
        </w:rPr>
        <w:t>u </w:t>
      </w:r>
      <w:r w:rsidRPr="00C822C2">
        <w:rPr>
          <w:rFonts w:ascii="Arial" w:hAnsi="Arial" w:cs="Arial"/>
          <w:sz w:val="20"/>
        </w:rPr>
        <w:t>centrální banky:</w:t>
      </w:r>
    </w:p>
    <w:p w:rsidR="00EA42AB" w:rsidRPr="00C822C2" w:rsidRDefault="00DC5E89" w:rsidP="00EF756D">
      <w:pPr>
        <w:pStyle w:val="Zkladntext"/>
        <w:widowControl/>
        <w:spacing w:before="120"/>
        <w:ind w:left="170" w:right="0" w:hanging="170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– </w:t>
      </w:r>
      <w:r w:rsidR="007255BB">
        <w:rPr>
          <w:rFonts w:ascii="Arial" w:hAnsi="Arial" w:cs="Arial"/>
          <w:sz w:val="20"/>
        </w:rPr>
        <w:t>P</w:t>
      </w:r>
      <w:r w:rsidR="000572F9" w:rsidRPr="00C822C2">
        <w:rPr>
          <w:rFonts w:ascii="Arial" w:hAnsi="Arial" w:cs="Arial"/>
          <w:sz w:val="20"/>
        </w:rPr>
        <w:t xml:space="preserve">ovinné minimální rezervy jsou banky </w:t>
      </w:r>
      <w:r w:rsidR="001F0D38" w:rsidRPr="00C822C2">
        <w:rPr>
          <w:rFonts w:ascii="Arial" w:hAnsi="Arial" w:cs="Arial"/>
          <w:sz w:val="20"/>
        </w:rPr>
        <w:t>a </w:t>
      </w:r>
      <w:r w:rsidR="00EA42AB" w:rsidRPr="00C822C2">
        <w:rPr>
          <w:rFonts w:ascii="Arial" w:hAnsi="Arial" w:cs="Arial"/>
          <w:sz w:val="20"/>
        </w:rPr>
        <w:t>družstevní záložny (od</w:t>
      </w:r>
      <w:r w:rsidR="007255BB" w:rsidRPr="007255BB">
        <w:rPr>
          <w:rFonts w:ascii="Arial" w:hAnsi="Arial" w:cs="Arial"/>
          <w:sz w:val="20"/>
        </w:rPr>
        <w:t xml:space="preserve"> </w:t>
      </w:r>
      <w:r w:rsidR="007255BB">
        <w:rPr>
          <w:rFonts w:ascii="Arial" w:hAnsi="Arial" w:cs="Arial"/>
          <w:sz w:val="20"/>
        </w:rPr>
        <w:t xml:space="preserve">roku </w:t>
      </w:r>
      <w:r w:rsidR="00EA42AB" w:rsidRPr="00C822C2">
        <w:rPr>
          <w:rFonts w:ascii="Arial" w:hAnsi="Arial" w:cs="Arial"/>
          <w:sz w:val="20"/>
        </w:rPr>
        <w:t xml:space="preserve">2012) </w:t>
      </w:r>
      <w:r w:rsidR="000572F9" w:rsidRPr="00C822C2">
        <w:rPr>
          <w:rFonts w:ascii="Arial" w:hAnsi="Arial" w:cs="Arial"/>
          <w:sz w:val="20"/>
        </w:rPr>
        <w:t>povinny držet na účtech</w:t>
      </w:r>
      <w:r w:rsidR="0046656C" w:rsidRPr="00C822C2">
        <w:rPr>
          <w:rFonts w:ascii="Arial" w:hAnsi="Arial" w:cs="Arial"/>
          <w:sz w:val="20"/>
        </w:rPr>
        <w:t xml:space="preserve"> u </w:t>
      </w:r>
      <w:r w:rsidR="000572F9" w:rsidRPr="00C822C2">
        <w:rPr>
          <w:rFonts w:ascii="Arial" w:hAnsi="Arial" w:cs="Arial"/>
          <w:sz w:val="20"/>
        </w:rPr>
        <w:t>centrální banky. Předepsaný objem činí 2</w:t>
      </w:r>
      <w:r w:rsidR="00314A5F" w:rsidRPr="00C822C2">
        <w:rPr>
          <w:rFonts w:ascii="Arial" w:hAnsi="Arial" w:cs="Arial"/>
          <w:sz w:val="20"/>
        </w:rPr>
        <w:t> </w:t>
      </w:r>
      <w:r w:rsidR="000572F9" w:rsidRPr="00C822C2">
        <w:rPr>
          <w:rFonts w:ascii="Arial" w:hAnsi="Arial" w:cs="Arial"/>
          <w:sz w:val="20"/>
        </w:rPr>
        <w:t xml:space="preserve">% z primárních závazků bank se splatností do </w:t>
      </w:r>
      <w:r w:rsidR="007255BB">
        <w:rPr>
          <w:rFonts w:ascii="Arial" w:hAnsi="Arial" w:cs="Arial"/>
          <w:sz w:val="20"/>
        </w:rPr>
        <w:t>dvou</w:t>
      </w:r>
      <w:r w:rsidR="007255BB" w:rsidRPr="00C822C2">
        <w:rPr>
          <w:rFonts w:ascii="Arial" w:hAnsi="Arial" w:cs="Arial"/>
          <w:sz w:val="20"/>
        </w:rPr>
        <w:t> </w:t>
      </w:r>
      <w:r w:rsidR="000572F9" w:rsidRPr="00C822C2">
        <w:rPr>
          <w:rFonts w:ascii="Arial" w:hAnsi="Arial" w:cs="Arial"/>
          <w:sz w:val="20"/>
        </w:rPr>
        <w:t>let,</w:t>
      </w:r>
      <w:r w:rsidR="0046656C" w:rsidRPr="00C822C2">
        <w:rPr>
          <w:rFonts w:ascii="Arial" w:hAnsi="Arial" w:cs="Arial"/>
          <w:sz w:val="20"/>
        </w:rPr>
        <w:t xml:space="preserve"> a </w:t>
      </w:r>
      <w:r w:rsidR="000572F9" w:rsidRPr="00C822C2">
        <w:rPr>
          <w:rFonts w:ascii="Arial" w:hAnsi="Arial" w:cs="Arial"/>
          <w:sz w:val="20"/>
        </w:rPr>
        <w:t>to v české</w:t>
      </w:r>
      <w:r w:rsidR="0046656C" w:rsidRPr="00C822C2">
        <w:rPr>
          <w:rFonts w:ascii="Arial" w:hAnsi="Arial" w:cs="Arial"/>
          <w:sz w:val="20"/>
        </w:rPr>
        <w:t xml:space="preserve"> a </w:t>
      </w:r>
      <w:r w:rsidR="000572F9" w:rsidRPr="00C822C2">
        <w:rPr>
          <w:rFonts w:ascii="Arial" w:hAnsi="Arial" w:cs="Arial"/>
          <w:sz w:val="20"/>
        </w:rPr>
        <w:t xml:space="preserve">zahraniční měně. Povinné minimální rezervy </w:t>
      </w:r>
      <w:r w:rsidR="00EA42AB" w:rsidRPr="00C822C2">
        <w:rPr>
          <w:rFonts w:ascii="Arial" w:hAnsi="Arial" w:cs="Arial"/>
          <w:sz w:val="20"/>
        </w:rPr>
        <w:t>jsou</w:t>
      </w:r>
      <w:r w:rsidR="000572F9" w:rsidRPr="00C822C2">
        <w:rPr>
          <w:rFonts w:ascii="Arial" w:hAnsi="Arial" w:cs="Arial"/>
          <w:sz w:val="20"/>
        </w:rPr>
        <w:t xml:space="preserve"> udržovány v</w:t>
      </w:r>
      <w:r w:rsidR="00DC4637" w:rsidRPr="00C822C2">
        <w:rPr>
          <w:rFonts w:ascii="Arial" w:hAnsi="Arial" w:cs="Arial"/>
          <w:sz w:val="20"/>
        </w:rPr>
        <w:t> </w:t>
      </w:r>
      <w:r w:rsidR="00EA42AB" w:rsidRPr="00C822C2">
        <w:rPr>
          <w:rFonts w:ascii="Arial" w:hAnsi="Arial" w:cs="Arial"/>
          <w:sz w:val="20"/>
        </w:rPr>
        <w:t xml:space="preserve">měsíčních </w:t>
      </w:r>
      <w:r w:rsidR="000572F9" w:rsidRPr="00C822C2">
        <w:rPr>
          <w:rFonts w:ascii="Arial" w:hAnsi="Arial" w:cs="Arial"/>
          <w:sz w:val="20"/>
        </w:rPr>
        <w:t>cyklech</w:t>
      </w:r>
      <w:r w:rsidR="00EA42AB" w:rsidRPr="00C822C2">
        <w:rPr>
          <w:rFonts w:ascii="Arial" w:hAnsi="Arial" w:cs="Arial"/>
          <w:sz w:val="20"/>
        </w:rPr>
        <w:t xml:space="preserve">, jsou úročeny platnou </w:t>
      </w:r>
      <w:r w:rsidR="00C97F6F" w:rsidRPr="00C822C2">
        <w:rPr>
          <w:rFonts w:ascii="Arial" w:hAnsi="Arial" w:cs="Arial"/>
          <w:sz w:val="20"/>
        </w:rPr>
        <w:t>r</w:t>
      </w:r>
      <w:r w:rsidR="002E1558" w:rsidRPr="00C822C2">
        <w:rPr>
          <w:rFonts w:ascii="Arial" w:hAnsi="Arial" w:cs="Arial"/>
          <w:sz w:val="20"/>
        </w:rPr>
        <w:t>epo sazbou</w:t>
      </w:r>
      <w:r w:rsidR="0023066C">
        <w:rPr>
          <w:rFonts w:ascii="Arial" w:hAnsi="Arial" w:cs="Arial"/>
          <w:sz w:val="20"/>
        </w:rPr>
        <w:t>.</w:t>
      </w:r>
    </w:p>
    <w:p w:rsidR="000572F9" w:rsidRPr="00C822C2" w:rsidRDefault="000572F9" w:rsidP="00EF756D">
      <w:pPr>
        <w:pStyle w:val="Zkladntext"/>
        <w:widowControl/>
        <w:spacing w:before="120"/>
        <w:ind w:left="170" w:right="0" w:hanging="170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– </w:t>
      </w:r>
      <w:r w:rsidR="007255BB">
        <w:rPr>
          <w:rFonts w:ascii="Arial" w:hAnsi="Arial" w:cs="Arial"/>
          <w:sz w:val="20"/>
        </w:rPr>
        <w:t>V</w:t>
      </w:r>
      <w:r w:rsidRPr="00C822C2">
        <w:rPr>
          <w:rFonts w:ascii="Arial" w:hAnsi="Arial" w:cs="Arial"/>
          <w:sz w:val="20"/>
        </w:rPr>
        <w:t>olné rezervy představují rozdíl mezi předepsaným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>skutečným objemem povinných minimálních rezerv.</w:t>
      </w:r>
    </w:p>
    <w:p w:rsidR="000572F9" w:rsidRPr="00C822C2" w:rsidRDefault="000572F9" w:rsidP="00EF756D">
      <w:pPr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ind w:left="709" w:hanging="709"/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ind w:left="709" w:hanging="709"/>
        <w:jc w:val="both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>-3.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-4. </w:t>
      </w:r>
      <w:r w:rsidRPr="00C822C2">
        <w:rPr>
          <w:rFonts w:ascii="Arial" w:hAnsi="Arial" w:cs="Arial"/>
          <w:b/>
          <w:snapToGrid w:val="0"/>
        </w:rPr>
        <w:t>Úvěry klientům poskytované obchodními bankami celkem, podle účelu, sektorů</w:t>
      </w:r>
      <w:r w:rsidR="0046656C" w:rsidRPr="00C822C2">
        <w:rPr>
          <w:rFonts w:ascii="Arial" w:hAnsi="Arial" w:cs="Arial"/>
          <w:b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činností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/>
          <w:color w:val="000000"/>
        </w:rPr>
      </w:pPr>
      <w:r w:rsidRPr="00C822C2">
        <w:rPr>
          <w:rFonts w:ascii="Arial" w:hAnsi="Arial"/>
          <w:color w:val="000000"/>
        </w:rPr>
        <w:t>Přehled</w:t>
      </w:r>
      <w:r w:rsidR="0046656C" w:rsidRPr="00C822C2">
        <w:rPr>
          <w:rFonts w:ascii="Arial" w:hAnsi="Arial"/>
          <w:color w:val="000000"/>
        </w:rPr>
        <w:t xml:space="preserve"> o </w:t>
      </w:r>
      <w:r w:rsidRPr="00C822C2">
        <w:rPr>
          <w:rFonts w:ascii="Arial" w:hAnsi="Arial"/>
          <w:color w:val="000000"/>
        </w:rPr>
        <w:t>stavu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struktuře poskytnutých úvěrů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pohledávek banky za klienty (včetně debetních zůstatků na běžných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kontokorentních účtech klientů)</w:t>
      </w:r>
      <w:r w:rsidR="0046656C" w:rsidRPr="00C822C2">
        <w:rPr>
          <w:rFonts w:ascii="Arial" w:hAnsi="Arial"/>
          <w:color w:val="000000"/>
        </w:rPr>
        <w:t xml:space="preserve"> v </w:t>
      </w:r>
      <w:r w:rsidRPr="00C822C2">
        <w:rPr>
          <w:rFonts w:ascii="Arial" w:hAnsi="Arial"/>
          <w:color w:val="000000"/>
        </w:rPr>
        <w:t>členění podle zásad kategorizace pohledávek na standardní, sledované, nestandardní, pochybné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ztrátové, podle smluvní doby splatnosti (do 1</w:t>
      </w:r>
      <w:r w:rsidR="00314A5F" w:rsidRPr="00C822C2">
        <w:rPr>
          <w:rFonts w:ascii="Arial" w:hAnsi="Arial"/>
          <w:color w:val="000000"/>
        </w:rPr>
        <w:t> </w:t>
      </w:r>
      <w:r w:rsidRPr="00C822C2">
        <w:rPr>
          <w:rFonts w:ascii="Arial" w:hAnsi="Arial"/>
          <w:color w:val="000000"/>
        </w:rPr>
        <w:t>roku včetně, nad 1</w:t>
      </w:r>
      <w:r w:rsidR="00314A5F" w:rsidRPr="00C822C2">
        <w:rPr>
          <w:rFonts w:ascii="Arial" w:hAnsi="Arial"/>
          <w:color w:val="000000"/>
        </w:rPr>
        <w:t> </w:t>
      </w:r>
      <w:r w:rsidRPr="00C822C2">
        <w:rPr>
          <w:rFonts w:ascii="Arial" w:hAnsi="Arial"/>
          <w:color w:val="000000"/>
        </w:rPr>
        <w:t>rok do 5</w:t>
      </w:r>
      <w:r w:rsidR="00314A5F" w:rsidRPr="00C822C2">
        <w:rPr>
          <w:rFonts w:ascii="Arial" w:hAnsi="Arial"/>
          <w:color w:val="000000"/>
        </w:rPr>
        <w:t> </w:t>
      </w:r>
      <w:r w:rsidRPr="00C822C2">
        <w:rPr>
          <w:rFonts w:ascii="Arial" w:hAnsi="Arial"/>
          <w:color w:val="000000"/>
        </w:rPr>
        <w:t>let včetně, nad 5</w:t>
      </w:r>
      <w:r w:rsidR="00314A5F" w:rsidRPr="00C822C2">
        <w:rPr>
          <w:rFonts w:ascii="Arial" w:hAnsi="Arial"/>
          <w:color w:val="000000"/>
        </w:rPr>
        <w:t> </w:t>
      </w:r>
      <w:r w:rsidRPr="00C822C2">
        <w:rPr>
          <w:rFonts w:ascii="Arial" w:hAnsi="Arial"/>
          <w:color w:val="000000"/>
        </w:rPr>
        <w:t>let), podle měn (CZK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cizí měny</w:t>
      </w:r>
      <w:r w:rsidR="0046656C" w:rsidRPr="00C822C2">
        <w:rPr>
          <w:rFonts w:ascii="Arial" w:hAnsi="Arial"/>
          <w:color w:val="000000"/>
        </w:rPr>
        <w:t xml:space="preserve"> v </w:t>
      </w:r>
      <w:r w:rsidRPr="00C822C2">
        <w:rPr>
          <w:rFonts w:ascii="Arial" w:hAnsi="Arial"/>
          <w:color w:val="000000"/>
        </w:rPr>
        <w:t>rozsahu kurzovního lístku ČNB včetně zbytku měn)</w:t>
      </w:r>
      <w:r w:rsidRPr="00C822C2">
        <w:rPr>
          <w:rStyle w:val="Typewriter"/>
          <w:rFonts w:ascii="Arial" w:hAnsi="Arial"/>
          <w:color w:val="000000"/>
        </w:rPr>
        <w:t>,</w:t>
      </w:r>
      <w:r w:rsidRPr="00C822C2">
        <w:rPr>
          <w:rFonts w:ascii="Arial" w:hAnsi="Arial"/>
          <w:color w:val="000000"/>
        </w:rPr>
        <w:t xml:space="preserve"> podle příslušnosti klientů-dlužníků do jednotlivých ekonomických subsektorů, podle příslušnosti klientů-dlužníků do jednotlivých ekonomických činností</w:t>
      </w:r>
      <w:r w:rsidR="0046656C" w:rsidRPr="00C822C2">
        <w:rPr>
          <w:rFonts w:ascii="Arial" w:hAnsi="Arial"/>
          <w:color w:val="000000"/>
        </w:rPr>
        <w:t xml:space="preserve"> a </w:t>
      </w:r>
      <w:r w:rsidRPr="00C822C2">
        <w:rPr>
          <w:rFonts w:ascii="Arial" w:hAnsi="Arial"/>
          <w:color w:val="000000"/>
        </w:rPr>
        <w:t>podle účelu úvěru.</w:t>
      </w:r>
    </w:p>
    <w:p w:rsidR="000572F9" w:rsidRPr="00C822C2" w:rsidRDefault="000572F9" w:rsidP="00EF756D">
      <w:pPr>
        <w:pStyle w:val="Podtitul"/>
        <w:spacing w:before="120"/>
        <w:ind w:firstLine="709"/>
        <w:jc w:val="left"/>
        <w:rPr>
          <w:rFonts w:ascii="Arial" w:hAnsi="Arial" w:cs="Arial"/>
          <w:color w:val="000000"/>
          <w:sz w:val="20"/>
          <w:lang w:val="cs-CZ"/>
        </w:rPr>
      </w:pPr>
      <w:r w:rsidRPr="00C822C2">
        <w:rPr>
          <w:rStyle w:val="Typewriter"/>
          <w:rFonts w:ascii="Arial" w:hAnsi="Arial" w:cs="Arial"/>
          <w:color w:val="000000"/>
          <w:lang w:val="cs-CZ"/>
        </w:rPr>
        <w:t>Datový soubor</w:t>
      </w:r>
      <w:r w:rsidRPr="00C822C2">
        <w:rPr>
          <w:rFonts w:ascii="Arial" w:hAnsi="Arial" w:cs="Arial"/>
          <w:color w:val="000000"/>
          <w:sz w:val="20"/>
          <w:lang w:val="cs-CZ"/>
        </w:rPr>
        <w:t xml:space="preserve"> </w:t>
      </w:r>
      <w:r w:rsidRPr="00C822C2">
        <w:rPr>
          <w:rStyle w:val="Typewriter"/>
          <w:rFonts w:ascii="Arial" w:hAnsi="Arial" w:cs="Arial"/>
          <w:color w:val="000000"/>
          <w:lang w:val="cs-CZ"/>
        </w:rPr>
        <w:t>VST (ČNB) 1-12: Měsíční výkaz</w:t>
      </w:r>
      <w:r w:rsidR="0046656C" w:rsidRPr="00C822C2">
        <w:rPr>
          <w:rStyle w:val="Typewriter"/>
          <w:rFonts w:ascii="Arial" w:hAnsi="Arial" w:cs="Arial"/>
          <w:color w:val="000000"/>
          <w:lang w:val="cs-CZ"/>
        </w:rPr>
        <w:t xml:space="preserve"> o </w:t>
      </w:r>
      <w:r w:rsidRPr="00C822C2">
        <w:rPr>
          <w:rStyle w:val="Typewriter"/>
          <w:rFonts w:ascii="Arial" w:hAnsi="Arial" w:cs="Arial"/>
          <w:color w:val="000000"/>
          <w:lang w:val="cs-CZ"/>
        </w:rPr>
        <w:t>úvěrech</w:t>
      </w:r>
      <w:r w:rsidR="0046656C" w:rsidRPr="00C822C2">
        <w:rPr>
          <w:rStyle w:val="Typewriter"/>
          <w:rFonts w:ascii="Arial" w:hAnsi="Arial" w:cs="Arial"/>
          <w:color w:val="000000"/>
          <w:lang w:val="cs-CZ"/>
        </w:rPr>
        <w:t xml:space="preserve"> a </w:t>
      </w:r>
      <w:r w:rsidRPr="00C822C2">
        <w:rPr>
          <w:rStyle w:val="Typewriter"/>
          <w:rFonts w:ascii="Arial" w:hAnsi="Arial" w:cs="Arial"/>
          <w:color w:val="000000"/>
          <w:lang w:val="cs-CZ"/>
        </w:rPr>
        <w:t>pohledávkách za klienty.</w:t>
      </w:r>
    </w:p>
    <w:p w:rsidR="000572F9" w:rsidRPr="00C822C2" w:rsidRDefault="000572F9" w:rsidP="00EF756D">
      <w:pPr>
        <w:ind w:left="1418" w:hanging="1418"/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ind w:left="1418" w:hanging="1418"/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ind w:left="709" w:hanging="709"/>
        <w:jc w:val="both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>-5.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-6. </w:t>
      </w:r>
      <w:r w:rsidRPr="00C822C2">
        <w:rPr>
          <w:rFonts w:ascii="Arial" w:hAnsi="Arial" w:cs="Arial"/>
          <w:b/>
          <w:snapToGrid w:val="0"/>
        </w:rPr>
        <w:t>Vklady klientů přijaté obchodními bankami celkem, podle sektorů, činností</w:t>
      </w:r>
      <w:r w:rsidR="0046656C" w:rsidRPr="00C822C2">
        <w:rPr>
          <w:rFonts w:ascii="Arial" w:hAnsi="Arial" w:cs="Arial"/>
          <w:b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délky uložení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Style w:val="Typewriter"/>
          <w:rFonts w:ascii="Arial" w:hAnsi="Arial"/>
          <w:color w:val="000000"/>
        </w:rPr>
        <w:t>Přehled</w:t>
      </w:r>
      <w:r w:rsidR="0046656C" w:rsidRPr="00C822C2">
        <w:rPr>
          <w:rStyle w:val="Typewriter"/>
          <w:rFonts w:ascii="Arial" w:hAnsi="Arial"/>
          <w:color w:val="000000"/>
        </w:rPr>
        <w:t xml:space="preserve"> o </w:t>
      </w:r>
      <w:r w:rsidRPr="00C822C2">
        <w:rPr>
          <w:rStyle w:val="Typewriter"/>
          <w:rFonts w:ascii="Arial" w:hAnsi="Arial"/>
          <w:color w:val="000000"/>
        </w:rPr>
        <w:t>stavu</w:t>
      </w:r>
      <w:r w:rsidR="0046656C" w:rsidRPr="00C822C2">
        <w:rPr>
          <w:rStyle w:val="Typewriter"/>
          <w:rFonts w:ascii="Arial" w:hAnsi="Arial"/>
          <w:color w:val="000000"/>
        </w:rPr>
        <w:t xml:space="preserve"> a </w:t>
      </w:r>
      <w:r w:rsidRPr="00C822C2">
        <w:rPr>
          <w:rStyle w:val="Typewriter"/>
          <w:rFonts w:ascii="Arial" w:hAnsi="Arial"/>
          <w:color w:val="000000"/>
        </w:rPr>
        <w:t>struktuře celkových vkladů</w:t>
      </w:r>
      <w:r w:rsidR="0046656C" w:rsidRPr="00C822C2">
        <w:rPr>
          <w:rStyle w:val="Typewriter"/>
          <w:rFonts w:ascii="Arial" w:hAnsi="Arial"/>
          <w:color w:val="000000"/>
        </w:rPr>
        <w:t xml:space="preserve"> a </w:t>
      </w:r>
      <w:r w:rsidRPr="00C822C2">
        <w:rPr>
          <w:rStyle w:val="Typewriter"/>
          <w:rFonts w:ascii="Arial" w:hAnsi="Arial"/>
          <w:color w:val="000000"/>
        </w:rPr>
        <w:t>ostatních úvěrů přijatých od klientů (včetně vládních institucí)</w:t>
      </w:r>
      <w:r w:rsidR="0046656C" w:rsidRPr="00C822C2">
        <w:rPr>
          <w:rStyle w:val="Typewriter"/>
          <w:rFonts w:ascii="Arial" w:hAnsi="Arial"/>
          <w:color w:val="000000"/>
        </w:rPr>
        <w:t xml:space="preserve"> v </w:t>
      </w:r>
      <w:r w:rsidRPr="00C822C2">
        <w:rPr>
          <w:rStyle w:val="Typewriter"/>
          <w:rFonts w:ascii="Arial" w:hAnsi="Arial"/>
          <w:color w:val="000000"/>
        </w:rPr>
        <w:t>členění podle sjednané doby trvání vkladu nebo splatnosti přijatého úvěru, ekonomického charakteru klientů (podle ekonomického sektoru</w:t>
      </w:r>
      <w:r w:rsidR="0046656C" w:rsidRPr="00C822C2">
        <w:rPr>
          <w:rStyle w:val="Typewriter"/>
          <w:rFonts w:ascii="Arial" w:hAnsi="Arial"/>
          <w:color w:val="000000"/>
        </w:rPr>
        <w:t xml:space="preserve"> a </w:t>
      </w:r>
      <w:r w:rsidRPr="00C822C2">
        <w:rPr>
          <w:rStyle w:val="Typewriter"/>
          <w:rFonts w:ascii="Arial" w:hAnsi="Arial"/>
          <w:color w:val="000000"/>
        </w:rPr>
        <w:t>ekonomické činnosti věřitele)</w:t>
      </w:r>
      <w:r w:rsidR="0046656C" w:rsidRPr="00C822C2">
        <w:rPr>
          <w:rStyle w:val="Typewriter"/>
          <w:rFonts w:ascii="Arial" w:hAnsi="Arial"/>
          <w:color w:val="000000"/>
        </w:rPr>
        <w:t xml:space="preserve"> a </w:t>
      </w:r>
      <w:r w:rsidRPr="00C822C2">
        <w:rPr>
          <w:rStyle w:val="Typewriter"/>
          <w:rFonts w:ascii="Arial" w:hAnsi="Arial"/>
          <w:color w:val="000000"/>
        </w:rPr>
        <w:t xml:space="preserve">hlavních typů vkladových produktů. </w:t>
      </w:r>
    </w:p>
    <w:p w:rsidR="000572F9" w:rsidRPr="00C822C2" w:rsidRDefault="000572F9" w:rsidP="00EF756D">
      <w:pPr>
        <w:spacing w:before="120"/>
        <w:ind w:firstLine="709"/>
        <w:rPr>
          <w:rFonts w:ascii="Arial" w:hAnsi="Arial"/>
          <w:color w:val="000000"/>
        </w:rPr>
      </w:pPr>
      <w:r w:rsidRPr="00C822C2">
        <w:rPr>
          <w:rStyle w:val="Typewriter"/>
          <w:rFonts w:ascii="Arial" w:hAnsi="Arial"/>
          <w:color w:val="000000"/>
        </w:rPr>
        <w:t>Datový soubor</w:t>
      </w:r>
      <w:r w:rsidRPr="00C822C2">
        <w:rPr>
          <w:rFonts w:ascii="Arial" w:hAnsi="Arial"/>
          <w:color w:val="000000"/>
        </w:rPr>
        <w:t xml:space="preserve"> </w:t>
      </w:r>
      <w:r w:rsidRPr="00C822C2">
        <w:rPr>
          <w:rStyle w:val="Typewriter"/>
          <w:rFonts w:ascii="Arial" w:hAnsi="Arial"/>
          <w:color w:val="000000"/>
        </w:rPr>
        <w:t>VST (ČNB) 11-12:</w:t>
      </w:r>
      <w:r w:rsidRPr="00C822C2">
        <w:rPr>
          <w:rFonts w:ascii="Arial" w:hAnsi="Arial"/>
          <w:color w:val="000000"/>
        </w:rPr>
        <w:t xml:space="preserve"> </w:t>
      </w:r>
      <w:r w:rsidRPr="00C822C2">
        <w:rPr>
          <w:rStyle w:val="Typewriter"/>
          <w:rFonts w:ascii="Arial" w:hAnsi="Arial"/>
          <w:color w:val="000000"/>
        </w:rPr>
        <w:t>Měsíční výkaz</w:t>
      </w:r>
      <w:r w:rsidR="0046656C" w:rsidRPr="00C822C2">
        <w:rPr>
          <w:rStyle w:val="Typewriter"/>
          <w:rFonts w:ascii="Arial" w:hAnsi="Arial"/>
          <w:color w:val="000000"/>
        </w:rPr>
        <w:t xml:space="preserve"> o </w:t>
      </w:r>
      <w:r w:rsidRPr="00C822C2">
        <w:rPr>
          <w:rStyle w:val="Typewriter"/>
          <w:rFonts w:ascii="Arial" w:hAnsi="Arial"/>
          <w:color w:val="000000"/>
        </w:rPr>
        <w:t>vkladech</w:t>
      </w:r>
      <w:r w:rsidR="0046656C" w:rsidRPr="00C822C2">
        <w:rPr>
          <w:rStyle w:val="Typewriter"/>
          <w:rFonts w:ascii="Arial" w:hAnsi="Arial"/>
          <w:color w:val="000000"/>
        </w:rPr>
        <w:t xml:space="preserve"> a </w:t>
      </w:r>
      <w:r w:rsidRPr="00C822C2">
        <w:rPr>
          <w:rStyle w:val="Typewriter"/>
          <w:rFonts w:ascii="Arial" w:hAnsi="Arial"/>
          <w:color w:val="000000"/>
        </w:rPr>
        <w:t xml:space="preserve">úvěrech od klientů. </w:t>
      </w:r>
    </w:p>
    <w:p w:rsidR="000572F9" w:rsidRPr="00C822C2" w:rsidRDefault="000572F9" w:rsidP="00EF756D">
      <w:pPr>
        <w:jc w:val="both"/>
        <w:rPr>
          <w:rFonts w:ascii="Arial" w:hAnsi="Arial" w:cs="Arial"/>
          <w:snapToGrid w:val="0"/>
        </w:rPr>
      </w:pPr>
    </w:p>
    <w:p w:rsidR="00413B7F" w:rsidRPr="00C822C2" w:rsidRDefault="00413B7F" w:rsidP="00EF756D">
      <w:pPr>
        <w:jc w:val="both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-7. </w:t>
      </w:r>
      <w:r w:rsidRPr="00C822C2">
        <w:rPr>
          <w:rFonts w:ascii="Arial" w:hAnsi="Arial" w:cs="Arial"/>
          <w:b/>
          <w:snapToGrid w:val="0"/>
        </w:rPr>
        <w:t>Průměrné úrokové sazby na trhu mezibankovních depozit (roční průměry)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 xml:space="preserve">PRIBOR </w:t>
      </w:r>
      <w:r w:rsidRPr="00C822C2">
        <w:rPr>
          <w:rFonts w:ascii="Arial" w:hAnsi="Arial" w:cs="Arial"/>
          <w:i/>
          <w:iCs/>
          <w:snapToGrid w:val="0"/>
        </w:rPr>
        <w:t>(Prague Interbank Offered Rates)</w:t>
      </w:r>
      <w:r w:rsidRPr="00C822C2">
        <w:rPr>
          <w:rFonts w:ascii="Arial" w:hAnsi="Arial" w:cs="Arial"/>
          <w:snapToGrid w:val="0"/>
        </w:rPr>
        <w:t xml:space="preserve"> jsou referenční úrokové sazby na trhu mezibankovních depozit vypočítané na základě kotací vybraných bank (dále jen referenční banky). Fixing kotací úrokových sazeb je prováděn ČNB denně v 11:00</w:t>
      </w:r>
      <w:r w:rsidR="00314A5F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hodin. Kotací se rozumí zveřejnění orientační ceny, za kterou jsou banky ochotny depozita prodat ve standardním objemu standardní protistraně.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lastRenderedPageBreak/>
        <w:t>ČNB definuje termíny, pro které jsou sazby PRIBOR stanovovány, algoritmus pro jejich výpočet, složení referenčních bank, standardní protistrany, standardní objem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způsob zveřejňování kotací.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Sazby PRIBOR se stanovují pro následující splatnosti: 1 den (overnight), 1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2 týdny, 1, 2, 3, 6, 9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12 měsíců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vypočítávají se z kotací referenčních bank na trhu mezibankovních depozit následujícím způsobem:</w:t>
      </w:r>
    </w:p>
    <w:p w:rsidR="000572F9" w:rsidRPr="00C822C2" w:rsidRDefault="000572F9" w:rsidP="00EF756D">
      <w:pPr>
        <w:spacing w:before="120"/>
        <w:ind w:left="170" w:hanging="170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 xml:space="preserve">– kotuje-li úrokovou sazbu pro danou splatnost více než </w:t>
      </w:r>
      <w:r w:rsidR="00D46514">
        <w:rPr>
          <w:rFonts w:ascii="Arial" w:hAnsi="Arial" w:cs="Arial"/>
          <w:snapToGrid w:val="0"/>
        </w:rPr>
        <w:t>pět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referenčních bank, odstraní se nejvyšší kotace (popř. jedna z nejvyšších kotací)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 xml:space="preserve">nejnižší kotace (popř. jedna z nejnižších kotací) a PRIBOR se vypočte jako aritmetický průměr ze zbylých kotací zaokrouhlený na </w:t>
      </w:r>
      <w:r w:rsidR="00D46514">
        <w:rPr>
          <w:rFonts w:ascii="Arial" w:hAnsi="Arial" w:cs="Arial"/>
          <w:snapToGrid w:val="0"/>
        </w:rPr>
        <w:t>dvě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 xml:space="preserve">desetinná místa; </w:t>
      </w:r>
    </w:p>
    <w:p w:rsidR="000572F9" w:rsidRPr="00C822C2" w:rsidRDefault="000572F9" w:rsidP="00EF756D">
      <w:pPr>
        <w:spacing w:before="120"/>
        <w:ind w:left="170" w:hanging="170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 xml:space="preserve">– kotují-li úrokovou sazbu pro danou splatnost </w:t>
      </w:r>
      <w:r w:rsidR="00D46514">
        <w:rPr>
          <w:rFonts w:ascii="Arial" w:hAnsi="Arial" w:cs="Arial"/>
          <w:snapToGrid w:val="0"/>
        </w:rPr>
        <w:t>čtyři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 xml:space="preserve">nebo </w:t>
      </w:r>
      <w:r w:rsidR="00D46514">
        <w:rPr>
          <w:rFonts w:ascii="Arial" w:hAnsi="Arial" w:cs="Arial"/>
          <w:snapToGrid w:val="0"/>
        </w:rPr>
        <w:t>pět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 xml:space="preserve">referenčních bank, vypočte se PRIBOR jako aritmetický průměr ze všech kotací zaokrouhlený na </w:t>
      </w:r>
      <w:r w:rsidR="00D46514">
        <w:rPr>
          <w:rFonts w:ascii="Arial" w:hAnsi="Arial" w:cs="Arial"/>
          <w:snapToGrid w:val="0"/>
        </w:rPr>
        <w:t>dvě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desetinná místa;</w:t>
      </w:r>
    </w:p>
    <w:p w:rsidR="000572F9" w:rsidRPr="00C822C2" w:rsidRDefault="000572F9" w:rsidP="00EF756D">
      <w:pPr>
        <w:spacing w:before="120"/>
        <w:ind w:left="170" w:hanging="170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 xml:space="preserve">– kotuje-li úrokovou sazbu pro některou splatnost méně než </w:t>
      </w:r>
      <w:r w:rsidR="00D46514">
        <w:rPr>
          <w:rFonts w:ascii="Arial" w:hAnsi="Arial" w:cs="Arial"/>
          <w:snapToGrid w:val="0"/>
        </w:rPr>
        <w:t>čtyři</w:t>
      </w:r>
      <w:r w:rsidR="00D46514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referenční banky, sazby PRIBOR se pro tuto splatnost nestanovují.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ČNB zveřejňuje sazby PRIBOR denně v Hospodářských novinách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 xml:space="preserve">prostřednictvím agentur </w:t>
      </w:r>
      <w:r w:rsidRPr="00C822C2">
        <w:rPr>
          <w:rFonts w:ascii="Arial" w:hAnsi="Arial" w:cs="Arial"/>
          <w:iCs/>
          <w:snapToGrid w:val="0"/>
        </w:rPr>
        <w:t>R</w:t>
      </w:r>
      <w:r w:rsidR="007F6F47" w:rsidRPr="00C822C2">
        <w:rPr>
          <w:rFonts w:ascii="Arial" w:hAnsi="Arial" w:cs="Arial"/>
          <w:iCs/>
          <w:snapToGrid w:val="0"/>
        </w:rPr>
        <w:t>euters</w:t>
      </w:r>
      <w:r w:rsidRPr="00C822C2">
        <w:rPr>
          <w:rFonts w:ascii="Arial" w:hAnsi="Arial" w:cs="Arial"/>
          <w:iCs/>
          <w:snapToGrid w:val="0"/>
        </w:rPr>
        <w:t>, T</w:t>
      </w:r>
      <w:r w:rsidR="007F6F47" w:rsidRPr="00C822C2">
        <w:rPr>
          <w:rFonts w:ascii="Arial" w:hAnsi="Arial" w:cs="Arial"/>
          <w:iCs/>
          <w:snapToGrid w:val="0"/>
        </w:rPr>
        <w:t>elerate</w:t>
      </w:r>
      <w:r w:rsidR="0046656C" w:rsidRPr="00C822C2">
        <w:rPr>
          <w:rFonts w:ascii="Arial" w:hAnsi="Arial" w:cs="Arial"/>
          <w:iCs/>
          <w:snapToGrid w:val="0"/>
        </w:rPr>
        <w:t xml:space="preserve"> a </w:t>
      </w:r>
      <w:r w:rsidRPr="00C822C2">
        <w:rPr>
          <w:rFonts w:ascii="Arial" w:hAnsi="Arial" w:cs="Arial"/>
          <w:iCs/>
          <w:snapToGrid w:val="0"/>
        </w:rPr>
        <w:t>B</w:t>
      </w:r>
      <w:r w:rsidR="007F6F47" w:rsidRPr="00C822C2">
        <w:rPr>
          <w:rFonts w:ascii="Arial" w:hAnsi="Arial" w:cs="Arial"/>
          <w:iCs/>
          <w:snapToGrid w:val="0"/>
        </w:rPr>
        <w:t>loomberg</w:t>
      </w:r>
      <w:r w:rsidRPr="00C822C2">
        <w:rPr>
          <w:rFonts w:ascii="Arial" w:hAnsi="Arial" w:cs="Arial"/>
          <w:snapToGrid w:val="0"/>
        </w:rPr>
        <w:t>. Počet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složení referenčních bank je uveden v poznámkách</w:t>
      </w:r>
      <w:r w:rsidR="0046656C" w:rsidRPr="00C822C2">
        <w:rPr>
          <w:rFonts w:ascii="Arial" w:hAnsi="Arial" w:cs="Arial"/>
          <w:snapToGrid w:val="0"/>
        </w:rPr>
        <w:t xml:space="preserve"> k </w:t>
      </w:r>
      <w:r w:rsidRPr="00C822C2">
        <w:rPr>
          <w:rFonts w:ascii="Arial" w:hAnsi="Arial" w:cs="Arial"/>
          <w:snapToGrid w:val="0"/>
        </w:rPr>
        <w:t>jednotlivým tabulkám historických hodnot sazeb PRIBOR.</w:t>
      </w: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-8. </w:t>
      </w:r>
      <w:r w:rsidRPr="00C822C2">
        <w:rPr>
          <w:rFonts w:ascii="Arial" w:hAnsi="Arial" w:cs="Arial"/>
          <w:b/>
          <w:snapToGrid w:val="0"/>
        </w:rPr>
        <w:t>Repo sazba</w:t>
      </w:r>
      <w:r w:rsidRPr="00C822C2">
        <w:rPr>
          <w:rFonts w:ascii="Arial" w:hAnsi="Arial" w:cs="Arial"/>
          <w:snapToGrid w:val="0"/>
        </w:rPr>
        <w:t xml:space="preserve">, </w:t>
      </w:r>
      <w:r w:rsidRPr="00C822C2">
        <w:rPr>
          <w:rFonts w:ascii="Arial" w:hAnsi="Arial" w:cs="Arial"/>
          <w:b/>
          <w:snapToGrid w:val="0"/>
        </w:rPr>
        <w:t>diskontní sazba</w:t>
      </w:r>
      <w:r w:rsidR="0046656C" w:rsidRPr="00C822C2">
        <w:rPr>
          <w:rFonts w:ascii="Arial" w:hAnsi="Arial" w:cs="Arial"/>
          <w:b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lombardní sazba</w:t>
      </w:r>
    </w:p>
    <w:p w:rsidR="001F0D38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 xml:space="preserve">Hlavní měnový nástroj má podobu repo operací prováděných formou tendrů. Při </w:t>
      </w:r>
      <w:r w:rsidRPr="00C822C2">
        <w:rPr>
          <w:rFonts w:ascii="Arial" w:hAnsi="Arial" w:cs="Arial"/>
          <w:b/>
          <w:snapToGrid w:val="0"/>
        </w:rPr>
        <w:t>repo operacích</w:t>
      </w:r>
      <w:r w:rsidRPr="00C822C2">
        <w:rPr>
          <w:rFonts w:ascii="Arial" w:hAnsi="Arial" w:cs="Arial"/>
          <w:snapToGrid w:val="0"/>
        </w:rPr>
        <w:t xml:space="preserve"> ČNB přijímá od bank přebytečnou likviditu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bankám předává jako kolaterál dohodnuté cenné papíry. Obě strany se zároveň zavazují, že po uplynutí doby splatnosti proběhne reverzní transakce, v níž ČNB jako dlužník vrátí věřitelské bance zapůjčenou jistinu zvýšenou</w:t>
      </w:r>
      <w:r w:rsidR="0046656C" w:rsidRPr="00C822C2">
        <w:rPr>
          <w:rFonts w:ascii="Arial" w:hAnsi="Arial" w:cs="Arial"/>
          <w:snapToGrid w:val="0"/>
        </w:rPr>
        <w:t xml:space="preserve"> o </w:t>
      </w:r>
      <w:r w:rsidRPr="00C822C2">
        <w:rPr>
          <w:rFonts w:ascii="Arial" w:hAnsi="Arial" w:cs="Arial"/>
          <w:snapToGrid w:val="0"/>
        </w:rPr>
        <w:t>dohodnutý úrok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věřitelská banka vrátí ČNB poskytnutý kolaterál. Základní doba trvání těchto operací je stanovena na 14</w:t>
      </w:r>
      <w:r w:rsidR="00C02B31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dní, avšak v závislosti na predikci vývoje likvidity bankovního sektoru jsou čas od času prováděny i repo operace s dobou splatnosti kratší než 14</w:t>
      </w:r>
      <w:r w:rsidR="00C02B31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dní. Vzhledem</w:t>
      </w:r>
      <w:r w:rsidR="0046656C" w:rsidRPr="00C822C2">
        <w:rPr>
          <w:rFonts w:ascii="Arial" w:hAnsi="Arial" w:cs="Arial"/>
          <w:snapToGrid w:val="0"/>
        </w:rPr>
        <w:t xml:space="preserve"> k </w:t>
      </w:r>
      <w:r w:rsidRPr="00C822C2">
        <w:rPr>
          <w:rFonts w:ascii="Arial" w:hAnsi="Arial" w:cs="Arial"/>
          <w:snapToGrid w:val="0"/>
        </w:rPr>
        <w:t>systémovému přebytku likvidity v bankovním sektoru slouží v současné době repo tendry pouze</w:t>
      </w:r>
      <w:r w:rsidR="0046656C" w:rsidRPr="00C822C2">
        <w:rPr>
          <w:rFonts w:ascii="Arial" w:hAnsi="Arial" w:cs="Arial"/>
          <w:snapToGrid w:val="0"/>
        </w:rPr>
        <w:t xml:space="preserve"> k </w:t>
      </w:r>
      <w:r w:rsidR="001F0D38" w:rsidRPr="00C822C2">
        <w:rPr>
          <w:rFonts w:ascii="Arial" w:hAnsi="Arial" w:cs="Arial"/>
          <w:snapToGrid w:val="0"/>
        </w:rPr>
        <w:t>odčerpávání likvidity.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ČNB provádí repo tendry s tzv. variabilní sazbou. To znamená, že vyhlášená repo sazba slouží jako maximální limitní sazba, za kterou mohou být banky v repo tendru uspokojovány. Nabídky bank jsou vypořádány podle americké aukční procedury, tj. ČNB přijme přednostně nabídky požadující nejnižší úrokovou sazbu,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to až do výše predikovaného přebytku likvidity na daný den. V případě, že objem objednaný bankami přesáhne predikovaný přebytek likvidity, ČNB nabídky za nejvyšší sazby buď zcela odmítne, nebo proporcionálně zkrátí. Repo tendr je obvykle vyhlašován každý pracovní den kolem 9:30</w:t>
      </w:r>
      <w:r w:rsidR="00C02B31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hod. Banky mají možnost ve stanovené době předávat své objednávky, tj. objem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 xml:space="preserve">požadovanou úrokovou sazbu. Minimální akceptovatelný objem je </w:t>
      </w:r>
      <w:smartTag w:uri="urn:schemas-microsoft-com:office:smarttags" w:element="metricconverter">
        <w:smartTagPr>
          <w:attr w:name="ProductID" w:val="300ﾠmil"/>
        </w:smartTagPr>
        <w:r w:rsidRPr="00C822C2">
          <w:rPr>
            <w:rFonts w:ascii="Arial" w:hAnsi="Arial" w:cs="Arial"/>
            <w:snapToGrid w:val="0"/>
          </w:rPr>
          <w:t>300 mil</w:t>
        </w:r>
      </w:smartTag>
      <w:r w:rsidRPr="00C822C2">
        <w:rPr>
          <w:rFonts w:ascii="Arial" w:hAnsi="Arial" w:cs="Arial"/>
          <w:snapToGrid w:val="0"/>
        </w:rPr>
        <w:t xml:space="preserve">. Kč a dále celé násobky </w:t>
      </w:r>
      <w:smartTag w:uri="urn:schemas-microsoft-com:office:smarttags" w:element="metricconverter">
        <w:smartTagPr>
          <w:attr w:name="ProductID" w:val="100ﾠmil"/>
        </w:smartTagPr>
        <w:r w:rsidRPr="00C822C2">
          <w:rPr>
            <w:rFonts w:ascii="Arial" w:hAnsi="Arial" w:cs="Arial"/>
            <w:snapToGrid w:val="0"/>
          </w:rPr>
          <w:t>100 mil</w:t>
        </w:r>
      </w:smartTag>
      <w:r w:rsidRPr="00C822C2">
        <w:rPr>
          <w:rFonts w:ascii="Arial" w:hAnsi="Arial" w:cs="Arial"/>
          <w:snapToGrid w:val="0"/>
        </w:rPr>
        <w:t>. Kč.</w:t>
      </w:r>
    </w:p>
    <w:p w:rsidR="000572F9" w:rsidRPr="00C822C2" w:rsidRDefault="000572F9" w:rsidP="00EF756D">
      <w:pPr>
        <w:tabs>
          <w:tab w:val="left" w:pos="397"/>
          <w:tab w:val="left" w:pos="1928"/>
        </w:tabs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 xml:space="preserve">Diskontní sazba </w:t>
      </w:r>
      <w:r w:rsidRPr="00C822C2">
        <w:rPr>
          <w:rFonts w:ascii="Arial" w:hAnsi="Arial" w:cs="Arial"/>
          <w:snapToGrid w:val="0"/>
        </w:rPr>
        <w:t>je základní sazba ČNB. Za tuto sazbu poskytovala ČNB do 30. </w:t>
      </w:r>
      <w:r w:rsidR="00D46514">
        <w:rPr>
          <w:rFonts w:ascii="Arial" w:hAnsi="Arial" w:cs="Arial"/>
          <w:snapToGrid w:val="0"/>
        </w:rPr>
        <w:t>září</w:t>
      </w:r>
      <w:r w:rsidRPr="00C822C2">
        <w:rPr>
          <w:rFonts w:ascii="Arial" w:hAnsi="Arial" w:cs="Arial"/>
          <w:snapToGrid w:val="0"/>
        </w:rPr>
        <w:t> 1997 směnečné úvěry bankám. Po jejich zrušení se od roku 1998 úročí diskontní sazbou depozitní facility, které představují nezajištěná overnight depozita, jež může</w:t>
      </w:r>
      <w:r w:rsidR="0046656C" w:rsidRPr="00C822C2">
        <w:rPr>
          <w:rFonts w:ascii="Arial" w:hAnsi="Arial" w:cs="Arial"/>
          <w:snapToGrid w:val="0"/>
        </w:rPr>
        <w:t xml:space="preserve"> u </w:t>
      </w:r>
      <w:r w:rsidRPr="00C822C2">
        <w:rPr>
          <w:rFonts w:ascii="Arial" w:hAnsi="Arial" w:cs="Arial"/>
          <w:snapToGrid w:val="0"/>
        </w:rPr>
        <w:t xml:space="preserve">ČNB umístit jakákoliv česká banka před uzávěrkou účetního dne. Minimální objem těchto depozit je </w:t>
      </w:r>
      <w:smartTag w:uri="urn:schemas-microsoft-com:office:smarttags" w:element="metricconverter">
        <w:smartTagPr>
          <w:attr w:name="ProductID" w:val="10ﾠmil"/>
        </w:smartTagPr>
        <w:r w:rsidRPr="00C822C2">
          <w:rPr>
            <w:rFonts w:ascii="Arial" w:hAnsi="Arial" w:cs="Arial"/>
            <w:snapToGrid w:val="0"/>
          </w:rPr>
          <w:t>10 mil</w:t>
        </w:r>
      </w:smartTag>
      <w:r w:rsidRPr="00C822C2">
        <w:rPr>
          <w:rFonts w:ascii="Arial" w:hAnsi="Arial" w:cs="Arial"/>
          <w:snapToGrid w:val="0"/>
        </w:rPr>
        <w:t>. Kč.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b/>
          <w:snapToGrid w:val="0"/>
        </w:rPr>
        <w:t xml:space="preserve">Lombardní sazba </w:t>
      </w:r>
      <w:r w:rsidRPr="00C822C2">
        <w:rPr>
          <w:rFonts w:ascii="Arial" w:hAnsi="Arial" w:cs="Arial"/>
          <w:snapToGrid w:val="0"/>
        </w:rPr>
        <w:t>je sazba, za kterou ČNB poskytuje lombardní úvěr. Lombardní úvěr se poskytuje proti zástavě vybraných cenných papírů zveřejněných v</w:t>
      </w:r>
      <w:r w:rsidR="004675B5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Seznamu cenných papírů přijímaných do zástavy ČNB pro účely poskytování lombardního úvěru.</w:t>
      </w: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b/>
          <w:snapToGrid w:val="0"/>
        </w:rPr>
      </w:pPr>
      <w:r w:rsidRPr="00C822C2">
        <w:rPr>
          <w:rFonts w:ascii="Arial" w:hAnsi="Arial" w:cs="Arial"/>
          <w:snapToGrid w:val="0"/>
        </w:rPr>
        <w:t xml:space="preserve">Tab. 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>-9.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7</w:t>
      </w:r>
      <w:r w:rsidRPr="00C822C2">
        <w:rPr>
          <w:rFonts w:ascii="Arial" w:hAnsi="Arial" w:cs="Arial"/>
          <w:snapToGrid w:val="0"/>
        </w:rPr>
        <w:t xml:space="preserve">-10. </w:t>
      </w:r>
      <w:r w:rsidRPr="00C822C2">
        <w:rPr>
          <w:rFonts w:ascii="Arial" w:hAnsi="Arial" w:cs="Arial"/>
          <w:b/>
          <w:snapToGrid w:val="0"/>
        </w:rPr>
        <w:t>Průměrné úrokové sazby z korunových klientských úvěrů</w:t>
      </w:r>
      <w:r w:rsidR="0046656C" w:rsidRPr="00C822C2">
        <w:rPr>
          <w:rFonts w:ascii="Arial" w:hAnsi="Arial" w:cs="Arial"/>
          <w:b/>
          <w:snapToGrid w:val="0"/>
        </w:rPr>
        <w:t xml:space="preserve"> a </w:t>
      </w:r>
      <w:r w:rsidRPr="00C822C2">
        <w:rPr>
          <w:rFonts w:ascii="Arial" w:hAnsi="Arial" w:cs="Arial"/>
          <w:b/>
          <w:snapToGrid w:val="0"/>
        </w:rPr>
        <w:t>vkladů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Průměrné sazby z</w:t>
      </w:r>
      <w:r w:rsidR="004675B5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korunových vkladů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úvěrů přijatých/poskytnutých bankami od klientů/klientům. Průměrné sazby jsou stanoveny jako vážený průměr, kde vahami jsou objemy v příslušných kategoriích vkladů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úvěrů.</w:t>
      </w:r>
    </w:p>
    <w:p w:rsidR="00125F53" w:rsidRDefault="004D040B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4D040B">
        <w:rPr>
          <w:rFonts w:ascii="Arial" w:hAnsi="Arial" w:cs="Arial"/>
          <w:snapToGrid w:val="0"/>
        </w:rPr>
        <w:t xml:space="preserve">Od roku 2004 je metodika sladěna s požadavky </w:t>
      </w:r>
      <w:r w:rsidRPr="00F2522E">
        <w:rPr>
          <w:rFonts w:ascii="Arial" w:hAnsi="Arial" w:cs="Arial"/>
          <w:snapToGrid w:val="0"/>
        </w:rPr>
        <w:t>Nařízení Evropské centrální banky (EU) č.</w:t>
      </w:r>
      <w:r w:rsidR="00F2522E">
        <w:rPr>
          <w:rFonts w:ascii="Arial" w:hAnsi="Arial" w:cs="Arial"/>
          <w:snapToGrid w:val="0"/>
        </w:rPr>
        <w:t> </w:t>
      </w:r>
      <w:r w:rsidRPr="00F2522E">
        <w:rPr>
          <w:rFonts w:ascii="Arial" w:hAnsi="Arial" w:cs="Arial"/>
          <w:snapToGrid w:val="0"/>
        </w:rPr>
        <w:t>1072/2013 ze dne 24.</w:t>
      </w:r>
      <w:r w:rsidR="00F2522E">
        <w:rPr>
          <w:rFonts w:ascii="Arial" w:hAnsi="Arial" w:cs="Arial"/>
          <w:snapToGrid w:val="0"/>
        </w:rPr>
        <w:t> </w:t>
      </w:r>
      <w:r w:rsidRPr="00F2522E">
        <w:rPr>
          <w:rFonts w:ascii="Arial" w:hAnsi="Arial" w:cs="Arial"/>
          <w:snapToGrid w:val="0"/>
        </w:rPr>
        <w:t xml:space="preserve">září 2013 </w:t>
      </w:r>
      <w:r w:rsidRPr="004D040B">
        <w:rPr>
          <w:rFonts w:ascii="Arial" w:hAnsi="Arial" w:cs="Arial"/>
          <w:snapToGrid w:val="0"/>
        </w:rPr>
        <w:t>o</w:t>
      </w:r>
      <w:r w:rsidR="00F2522E">
        <w:rPr>
          <w:rFonts w:ascii="Arial" w:hAnsi="Arial" w:cs="Arial"/>
          <w:snapToGrid w:val="0"/>
        </w:rPr>
        <w:t> </w:t>
      </w:r>
      <w:r w:rsidRPr="004D040B">
        <w:rPr>
          <w:rFonts w:ascii="Arial" w:hAnsi="Arial" w:cs="Arial"/>
          <w:snapToGrid w:val="0"/>
        </w:rPr>
        <w:t>statistice úrokových sazeb uplatňovaných měnovými finančními institucemi (přepracované znění) (ECB/2013/34).</w:t>
      </w:r>
      <w:r w:rsidR="000572F9" w:rsidRPr="00C822C2">
        <w:rPr>
          <w:rFonts w:ascii="Arial" w:hAnsi="Arial" w:cs="Arial"/>
          <w:snapToGrid w:val="0"/>
        </w:rPr>
        <w:t xml:space="preserve"> Sledované úrokové sazby nejsou nadále sjednané nominální sazby, ale sazby sjednané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="000572F9" w:rsidRPr="00C822C2">
        <w:rPr>
          <w:rFonts w:ascii="Arial" w:hAnsi="Arial" w:cs="Arial"/>
          <w:snapToGrid w:val="0"/>
        </w:rPr>
        <w:t>přepočtené na roční základ.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lastRenderedPageBreak/>
        <w:t>Stavy obchodů jsou definovány jako bilanční zůstatky přijatých resp. poskytnutých vkladů a úvěrů bankou k okamžiku vykazování. Jsou členěny podle původní sjednané doby splatnosti. Nově byla zavedena statistika nových obchodů. Novým obchodem se rozumí jakákoliv nová dohoda mezi bankou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klientem v daném období. Nové úvěrové obchody jsou členěny podle původní doby fixace úrokové sazby. Rozumí se jí období na počátku kontraktu, během kterého se výše úrokové sazby nemůže měnit.</w:t>
      </w:r>
    </w:p>
    <w:p w:rsidR="001A14FE" w:rsidRDefault="00184F43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Nové úvěrové obchody jsou </w:t>
      </w:r>
      <w:r w:rsidR="001D78B7">
        <w:rPr>
          <w:rFonts w:ascii="Arial" w:hAnsi="Arial" w:cs="Arial"/>
          <w:snapToGrid w:val="0"/>
        </w:rPr>
        <w:t>pro sektor domácností a</w:t>
      </w:r>
      <w:r w:rsidR="00FF73E0">
        <w:rPr>
          <w:rFonts w:ascii="Arial" w:hAnsi="Arial" w:cs="Arial"/>
          <w:snapToGrid w:val="0"/>
        </w:rPr>
        <w:t> </w:t>
      </w:r>
      <w:r w:rsidR="001D78B7">
        <w:rPr>
          <w:rFonts w:ascii="Arial" w:hAnsi="Arial" w:cs="Arial"/>
          <w:snapToGrid w:val="0"/>
        </w:rPr>
        <w:t>NIS</w:t>
      </w:r>
      <w:r w:rsidR="00C55882">
        <w:rPr>
          <w:rFonts w:ascii="Arial" w:hAnsi="Arial" w:cs="Arial"/>
          <w:snapToGrid w:val="0"/>
        </w:rPr>
        <w:t>D</w:t>
      </w:r>
      <w:r w:rsidR="001D78B7">
        <w:rPr>
          <w:rFonts w:ascii="Arial" w:hAnsi="Arial" w:cs="Arial"/>
          <w:snapToGrid w:val="0"/>
        </w:rPr>
        <w:t xml:space="preserve"> </w:t>
      </w:r>
      <w:r w:rsidR="00020A4A">
        <w:rPr>
          <w:rFonts w:ascii="Arial" w:hAnsi="Arial" w:cs="Arial"/>
          <w:snapToGrid w:val="0"/>
        </w:rPr>
        <w:t xml:space="preserve">pak v tabulce </w:t>
      </w:r>
      <w:r w:rsidR="00D813AF" w:rsidRPr="00D813AF">
        <w:rPr>
          <w:rFonts w:ascii="Arial" w:hAnsi="Arial" w:cs="Arial"/>
          <w:b/>
          <w:snapToGrid w:val="0"/>
        </w:rPr>
        <w:t>7</w:t>
      </w:r>
      <w:r w:rsidR="00020A4A">
        <w:rPr>
          <w:rFonts w:ascii="Arial" w:hAnsi="Arial" w:cs="Arial"/>
          <w:snapToGrid w:val="0"/>
        </w:rPr>
        <w:t>-9</w:t>
      </w:r>
      <w:r w:rsidR="00FF73E0">
        <w:rPr>
          <w:rFonts w:ascii="Arial" w:hAnsi="Arial" w:cs="Arial"/>
          <w:snapToGrid w:val="0"/>
        </w:rPr>
        <w:t>.</w:t>
      </w:r>
      <w:r>
        <w:rPr>
          <w:rFonts w:ascii="Arial" w:hAnsi="Arial" w:cs="Arial"/>
          <w:snapToGrid w:val="0"/>
        </w:rPr>
        <w:t xml:space="preserve"> dále členěny dle kategorie nového obchodu na:</w:t>
      </w:r>
    </w:p>
    <w:p w:rsidR="00744B25" w:rsidRDefault="009A56C7" w:rsidP="00EF756D">
      <w:pPr>
        <w:pStyle w:val="Default"/>
        <w:spacing w:before="120"/>
        <w:jc w:val="both"/>
        <w:rPr>
          <w:snapToGrid w:val="0"/>
          <w:sz w:val="20"/>
          <w:szCs w:val="20"/>
        </w:rPr>
      </w:pPr>
      <w:r w:rsidRPr="00C822C2">
        <w:rPr>
          <w:sz w:val="20"/>
        </w:rPr>
        <w:t>– </w:t>
      </w:r>
      <w:r w:rsidR="00D813AF" w:rsidRPr="00D813AF">
        <w:rPr>
          <w:b/>
          <w:snapToGrid w:val="0"/>
          <w:sz w:val="20"/>
          <w:szCs w:val="20"/>
        </w:rPr>
        <w:t>Čisté nové úvěry včetně navýšení</w:t>
      </w:r>
      <w:r w:rsidR="00D813AF" w:rsidRPr="00D813AF">
        <w:rPr>
          <w:snapToGrid w:val="0"/>
          <w:sz w:val="20"/>
          <w:szCs w:val="20"/>
        </w:rPr>
        <w:t xml:space="preserve"> </w:t>
      </w:r>
      <w:r w:rsidR="003E57AD">
        <w:rPr>
          <w:snapToGrid w:val="0"/>
          <w:sz w:val="20"/>
          <w:szCs w:val="20"/>
        </w:rPr>
        <w:t>–</w:t>
      </w:r>
      <w:r w:rsidR="00184F43" w:rsidRPr="00184F43">
        <w:rPr>
          <w:snapToGrid w:val="0"/>
          <w:sz w:val="20"/>
          <w:szCs w:val="20"/>
        </w:rPr>
        <w:t xml:space="preserve"> obsahuj</w:t>
      </w:r>
      <w:r w:rsidR="00184F43">
        <w:rPr>
          <w:snapToGrid w:val="0"/>
          <w:sz w:val="20"/>
          <w:szCs w:val="20"/>
        </w:rPr>
        <w:t>í</w:t>
      </w:r>
      <w:r w:rsidR="00D813AF" w:rsidRPr="00D813AF">
        <w:rPr>
          <w:snapToGrid w:val="0"/>
          <w:sz w:val="20"/>
          <w:szCs w:val="20"/>
        </w:rPr>
        <w:t xml:space="preserve"> úvěry, které v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daném měsíci vstoupily do ekonomiky poprvé. Součástí je i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navýšení k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refinancovaným úvěrům i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ostatním novým ujednáním.</w:t>
      </w:r>
    </w:p>
    <w:p w:rsidR="00744B25" w:rsidRDefault="009A56C7" w:rsidP="00EF756D">
      <w:pPr>
        <w:pStyle w:val="Default"/>
        <w:spacing w:before="120"/>
        <w:jc w:val="both"/>
      </w:pPr>
      <w:r w:rsidRPr="00C822C2">
        <w:rPr>
          <w:sz w:val="20"/>
        </w:rPr>
        <w:t>– </w:t>
      </w:r>
      <w:r w:rsidR="00D813AF" w:rsidRPr="00D813AF">
        <w:rPr>
          <w:b/>
          <w:snapToGrid w:val="0"/>
          <w:sz w:val="20"/>
          <w:szCs w:val="20"/>
        </w:rPr>
        <w:t>Refinancované úvěry</w:t>
      </w:r>
      <w:r w:rsidR="00D813AF" w:rsidRPr="00D813AF">
        <w:rPr>
          <w:snapToGrid w:val="0"/>
          <w:sz w:val="20"/>
          <w:szCs w:val="20"/>
        </w:rPr>
        <w:t xml:space="preserve"> </w:t>
      </w:r>
      <w:r w:rsidR="003E57AD">
        <w:rPr>
          <w:snapToGrid w:val="0"/>
          <w:sz w:val="20"/>
          <w:szCs w:val="20"/>
        </w:rPr>
        <w:t>–</w:t>
      </w:r>
      <w:r w:rsidR="00D813AF" w:rsidRPr="00D813AF">
        <w:rPr>
          <w:snapToGrid w:val="0"/>
          <w:sz w:val="20"/>
          <w:szCs w:val="20"/>
        </w:rPr>
        <w:t xml:space="preserve"> </w:t>
      </w:r>
      <w:r w:rsidR="00184F43" w:rsidRPr="00184F43">
        <w:rPr>
          <w:snapToGrid w:val="0"/>
          <w:sz w:val="20"/>
          <w:szCs w:val="20"/>
        </w:rPr>
        <w:t>obsahuj</w:t>
      </w:r>
      <w:r w:rsidR="00184F43">
        <w:rPr>
          <w:snapToGrid w:val="0"/>
          <w:sz w:val="20"/>
          <w:szCs w:val="20"/>
        </w:rPr>
        <w:t>í</w:t>
      </w:r>
      <w:r w:rsidR="00D813AF" w:rsidRPr="00D813AF">
        <w:rPr>
          <w:snapToGrid w:val="0"/>
          <w:sz w:val="20"/>
          <w:szCs w:val="20"/>
        </w:rPr>
        <w:t xml:space="preserve"> úvěry, které byly již dříve poskytnuty jinou institucí než vykazující bankou a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na jejichž nesplacenou část je znovu uzavřena úvěrová smlouva u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vykazující banky. Jestliže při refinancování úvěru došlo zároveň k</w:t>
      </w:r>
      <w:r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navýšení úvěru, tato kategorie pak obsahuje pouze objem nenavýšené části nového refinancovaného úvěru. Navýšení je součástí čistých nových úvěrů. V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této položce se dále vykazují konsolidované úvěry, jejichž původním věřitelem byla jiná instituce.</w:t>
      </w:r>
    </w:p>
    <w:p w:rsidR="00744B25" w:rsidRDefault="009A56C7" w:rsidP="00EF756D">
      <w:pPr>
        <w:pStyle w:val="Default"/>
        <w:spacing w:before="120"/>
        <w:jc w:val="both"/>
        <w:rPr>
          <w:snapToGrid w:val="0"/>
          <w:sz w:val="20"/>
          <w:szCs w:val="20"/>
        </w:rPr>
      </w:pPr>
      <w:r w:rsidRPr="00C822C2">
        <w:rPr>
          <w:sz w:val="20"/>
        </w:rPr>
        <w:t>– </w:t>
      </w:r>
      <w:r w:rsidR="00D813AF" w:rsidRPr="00D813AF">
        <w:rPr>
          <w:b/>
          <w:snapToGrid w:val="0"/>
          <w:sz w:val="20"/>
          <w:szCs w:val="20"/>
        </w:rPr>
        <w:t>Ostatní nová ujednání</w:t>
      </w:r>
      <w:r w:rsidR="00D813AF" w:rsidRPr="00D813AF">
        <w:rPr>
          <w:snapToGrid w:val="0"/>
          <w:sz w:val="20"/>
          <w:szCs w:val="20"/>
        </w:rPr>
        <w:t xml:space="preserve"> ke stávajícím úvěrům </w:t>
      </w:r>
      <w:r w:rsidR="003E57AD">
        <w:rPr>
          <w:snapToGrid w:val="0"/>
          <w:sz w:val="20"/>
          <w:szCs w:val="20"/>
        </w:rPr>
        <w:t>–</w:t>
      </w:r>
      <w:r w:rsidR="00D813AF" w:rsidRPr="00D813AF">
        <w:rPr>
          <w:snapToGrid w:val="0"/>
          <w:sz w:val="20"/>
          <w:szCs w:val="20"/>
        </w:rPr>
        <w:t xml:space="preserve"> </w:t>
      </w:r>
      <w:r w:rsidR="00184F43" w:rsidRPr="00184F43">
        <w:rPr>
          <w:snapToGrid w:val="0"/>
          <w:sz w:val="20"/>
          <w:szCs w:val="20"/>
        </w:rPr>
        <w:t>obsahuj</w:t>
      </w:r>
      <w:r w:rsidR="00184F43">
        <w:rPr>
          <w:snapToGrid w:val="0"/>
          <w:sz w:val="20"/>
          <w:szCs w:val="20"/>
        </w:rPr>
        <w:t>í</w:t>
      </w:r>
      <w:r w:rsidR="00D813AF" w:rsidRPr="00D813AF">
        <w:rPr>
          <w:snapToGrid w:val="0"/>
          <w:sz w:val="20"/>
          <w:szCs w:val="20"/>
        </w:rPr>
        <w:t xml:space="preserve"> úvěry, které byly již dříve poskytnuty vykazující bankou a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došlo u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nich pouze k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novému ujednání (např. refixace úrokové sazby u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úvěrů na bydlení). Dále se v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této položce vykazují konsolidované úvěry, jejichž původním věřitelem je jak jiná/jiné instituce</w:t>
      </w:r>
      <w:r w:rsidR="0075344E">
        <w:rPr>
          <w:snapToGrid w:val="0"/>
          <w:sz w:val="20"/>
          <w:szCs w:val="20"/>
        </w:rPr>
        <w:t>,</w:t>
      </w:r>
      <w:r w:rsidR="00D813AF" w:rsidRPr="00D813AF">
        <w:rPr>
          <w:snapToGrid w:val="0"/>
          <w:sz w:val="20"/>
          <w:szCs w:val="20"/>
        </w:rPr>
        <w:t xml:space="preserve"> tak i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>vykazující banka nebo případně pouze vykazující banka. Případné navýšení úvěru je analogicky jako u</w:t>
      </w:r>
      <w:r w:rsidR="00C365AF">
        <w:rPr>
          <w:snapToGrid w:val="0"/>
          <w:sz w:val="20"/>
          <w:szCs w:val="20"/>
        </w:rPr>
        <w:t> </w:t>
      </w:r>
      <w:r w:rsidR="00D813AF" w:rsidRPr="00D813AF">
        <w:rPr>
          <w:snapToGrid w:val="0"/>
          <w:sz w:val="20"/>
          <w:szCs w:val="20"/>
        </w:rPr>
        <w:t xml:space="preserve">refinancovaných úvěrů součástí kategorie čistých nových úvěrů. </w:t>
      </w:r>
    </w:p>
    <w:p w:rsidR="00744B25" w:rsidRDefault="00D813AF" w:rsidP="00EF756D">
      <w:pPr>
        <w:pStyle w:val="Default"/>
        <w:spacing w:before="120"/>
        <w:ind w:firstLine="709"/>
        <w:jc w:val="both"/>
        <w:rPr>
          <w:snapToGrid w:val="0"/>
          <w:sz w:val="20"/>
          <w:szCs w:val="20"/>
        </w:rPr>
      </w:pPr>
      <w:r w:rsidRPr="00D813AF">
        <w:rPr>
          <w:snapToGrid w:val="0"/>
          <w:sz w:val="20"/>
          <w:szCs w:val="20"/>
        </w:rPr>
        <w:t xml:space="preserve">Neobchodovatelné cenné papíry nejsou </w:t>
      </w:r>
      <w:r w:rsidR="00995CD6">
        <w:rPr>
          <w:snapToGrid w:val="0"/>
          <w:sz w:val="20"/>
          <w:szCs w:val="20"/>
        </w:rPr>
        <w:t>v</w:t>
      </w:r>
      <w:r w:rsidR="00C365AF">
        <w:rPr>
          <w:snapToGrid w:val="0"/>
          <w:sz w:val="20"/>
          <w:szCs w:val="20"/>
        </w:rPr>
        <w:t> </w:t>
      </w:r>
      <w:r w:rsidRPr="00D813AF">
        <w:rPr>
          <w:snapToGrid w:val="0"/>
          <w:sz w:val="20"/>
          <w:szCs w:val="20"/>
        </w:rPr>
        <w:t>jedn</w:t>
      </w:r>
      <w:r w:rsidR="00441322" w:rsidRPr="00441322">
        <w:rPr>
          <w:snapToGrid w:val="0"/>
          <w:sz w:val="20"/>
          <w:szCs w:val="20"/>
        </w:rPr>
        <w:t>otliv</w:t>
      </w:r>
      <w:r w:rsidR="00995CD6">
        <w:rPr>
          <w:snapToGrid w:val="0"/>
          <w:sz w:val="20"/>
          <w:szCs w:val="20"/>
        </w:rPr>
        <w:t>ých</w:t>
      </w:r>
      <w:r w:rsidR="00441322" w:rsidRPr="00441322">
        <w:rPr>
          <w:snapToGrid w:val="0"/>
          <w:sz w:val="20"/>
          <w:szCs w:val="20"/>
        </w:rPr>
        <w:t xml:space="preserve"> kategori</w:t>
      </w:r>
      <w:r w:rsidR="00995CD6">
        <w:rPr>
          <w:snapToGrid w:val="0"/>
          <w:sz w:val="20"/>
          <w:szCs w:val="20"/>
        </w:rPr>
        <w:t>ích</w:t>
      </w:r>
      <w:r w:rsidRPr="00D813AF">
        <w:rPr>
          <w:snapToGrid w:val="0"/>
          <w:sz w:val="20"/>
          <w:szCs w:val="20"/>
        </w:rPr>
        <w:t xml:space="preserve"> nových obchodů</w:t>
      </w:r>
      <w:r w:rsidR="00020A4A">
        <w:rPr>
          <w:snapToGrid w:val="0"/>
          <w:sz w:val="20"/>
          <w:szCs w:val="20"/>
        </w:rPr>
        <w:t xml:space="preserve"> zahrnuty. Proto </w:t>
      </w:r>
      <w:r w:rsidR="000204BA">
        <w:rPr>
          <w:snapToGrid w:val="0"/>
          <w:sz w:val="20"/>
          <w:szCs w:val="20"/>
        </w:rPr>
        <w:t xml:space="preserve">se úrokové sazby </w:t>
      </w:r>
      <w:r w:rsidR="001D78B7">
        <w:rPr>
          <w:snapToGrid w:val="0"/>
          <w:sz w:val="20"/>
          <w:szCs w:val="20"/>
        </w:rPr>
        <w:t>nemusí</w:t>
      </w:r>
      <w:r w:rsidR="00020A4A">
        <w:rPr>
          <w:snapToGrid w:val="0"/>
          <w:sz w:val="20"/>
          <w:szCs w:val="20"/>
        </w:rPr>
        <w:t xml:space="preserve"> </w:t>
      </w:r>
      <w:r w:rsidR="001D78B7">
        <w:rPr>
          <w:snapToGrid w:val="0"/>
          <w:sz w:val="20"/>
          <w:szCs w:val="20"/>
        </w:rPr>
        <w:t>vždy rovnat</w:t>
      </w:r>
      <w:r w:rsidRPr="00D813AF">
        <w:rPr>
          <w:snapToGrid w:val="0"/>
          <w:sz w:val="20"/>
          <w:szCs w:val="20"/>
        </w:rPr>
        <w:t xml:space="preserve"> novým obchodům </w:t>
      </w:r>
      <w:r w:rsidR="00020A4A">
        <w:rPr>
          <w:snapToGrid w:val="0"/>
          <w:sz w:val="20"/>
          <w:szCs w:val="20"/>
        </w:rPr>
        <w:t>(na spotřebu a</w:t>
      </w:r>
      <w:r w:rsidR="00C365AF">
        <w:rPr>
          <w:snapToGrid w:val="0"/>
          <w:sz w:val="20"/>
          <w:szCs w:val="20"/>
        </w:rPr>
        <w:t> </w:t>
      </w:r>
      <w:r w:rsidR="00020A4A">
        <w:rPr>
          <w:snapToGrid w:val="0"/>
          <w:sz w:val="20"/>
          <w:szCs w:val="20"/>
        </w:rPr>
        <w:t>na koupi bytových nemovitostí)</w:t>
      </w:r>
      <w:r w:rsidRPr="00D813AF">
        <w:rPr>
          <w:snapToGrid w:val="0"/>
          <w:sz w:val="20"/>
          <w:szCs w:val="20"/>
        </w:rPr>
        <w:t xml:space="preserve"> uvedeným </w:t>
      </w:r>
      <w:r w:rsidR="000204BA">
        <w:rPr>
          <w:snapToGrid w:val="0"/>
          <w:sz w:val="20"/>
          <w:szCs w:val="20"/>
        </w:rPr>
        <w:t>v</w:t>
      </w:r>
      <w:r w:rsidR="00C365AF">
        <w:rPr>
          <w:snapToGrid w:val="0"/>
          <w:sz w:val="20"/>
          <w:szCs w:val="20"/>
        </w:rPr>
        <w:t> </w:t>
      </w:r>
      <w:r w:rsidR="00020A4A">
        <w:rPr>
          <w:snapToGrid w:val="0"/>
          <w:sz w:val="20"/>
          <w:szCs w:val="20"/>
        </w:rPr>
        <w:t xml:space="preserve">horní části tabulky </w:t>
      </w:r>
      <w:r w:rsidRPr="00D813AF">
        <w:rPr>
          <w:b/>
          <w:snapToGrid w:val="0"/>
          <w:sz w:val="20"/>
          <w:szCs w:val="20"/>
        </w:rPr>
        <w:t>7</w:t>
      </w:r>
      <w:r w:rsidR="00020A4A">
        <w:rPr>
          <w:snapToGrid w:val="0"/>
          <w:sz w:val="20"/>
          <w:szCs w:val="20"/>
        </w:rPr>
        <w:t>-9</w:t>
      </w:r>
      <w:r w:rsidR="001D78B7">
        <w:rPr>
          <w:snapToGrid w:val="0"/>
          <w:sz w:val="20"/>
          <w:szCs w:val="20"/>
        </w:rPr>
        <w:t>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U ukazatelů – jednodenní vklady, vklady s výpovědní lhůtou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přečerpání bankovních účtů – se nové obchody shodují se stavy.</w:t>
      </w:r>
    </w:p>
    <w:p w:rsidR="006468C7" w:rsidRPr="00460051" w:rsidRDefault="00D813AF" w:rsidP="00EF756D">
      <w:pPr>
        <w:spacing w:before="120"/>
        <w:ind w:firstLine="709"/>
        <w:jc w:val="both"/>
        <w:rPr>
          <w:rFonts w:ascii="Arial" w:hAnsi="Arial"/>
        </w:rPr>
      </w:pPr>
      <w:r w:rsidRPr="00D813AF">
        <w:rPr>
          <w:rFonts w:ascii="Arial" w:hAnsi="Arial"/>
        </w:rPr>
        <w:t>Celkové ukazatele nových obchodů, jejichž součástí byly nové obchody odpovídající zůstatkům vkladů na konci sledovaného období, byly z metodických důvodů z výstupů úrokové statistiky odstraněny.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Zdrojem dat jsou výkazy úrokové statistiky, které banky předkládají ČNB.</w:t>
      </w: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jc w:val="both"/>
        <w:outlineLvl w:val="0"/>
        <w:rPr>
          <w:rFonts w:ascii="Arial" w:hAnsi="Arial" w:cs="Arial"/>
          <w:snapToGrid w:val="0"/>
        </w:rPr>
      </w:pP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Tab.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 xml:space="preserve">-11. </w:t>
      </w:r>
      <w:r w:rsidR="00373677" w:rsidRPr="00C822C2">
        <w:rPr>
          <w:rFonts w:ascii="Arial" w:hAnsi="Arial" w:cs="Arial"/>
          <w:b/>
          <w:color w:val="auto"/>
          <w:sz w:val="20"/>
        </w:rPr>
        <w:t>Počet činných komerčních bank</w:t>
      </w:r>
    </w:p>
    <w:p w:rsidR="000572F9" w:rsidRPr="00C822C2" w:rsidRDefault="000572F9" w:rsidP="00EF756D">
      <w:pPr>
        <w:pStyle w:val="Standardnte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Údaje jsou převzaty z výkazu E</w:t>
      </w:r>
      <w:r w:rsidR="00C02B31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(ČNB)</w:t>
      </w:r>
      <w:r w:rsidR="00C02B31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5-04 Hlášení</w:t>
      </w:r>
      <w:r w:rsidR="0046656C" w:rsidRPr="00C822C2">
        <w:rPr>
          <w:rFonts w:ascii="Arial" w:hAnsi="Arial" w:cs="Arial"/>
          <w:color w:val="auto"/>
          <w:sz w:val="20"/>
        </w:rPr>
        <w:t xml:space="preserve"> o </w:t>
      </w:r>
      <w:r w:rsidRPr="00C822C2">
        <w:rPr>
          <w:rFonts w:ascii="Arial" w:hAnsi="Arial" w:cs="Arial"/>
          <w:color w:val="auto"/>
          <w:sz w:val="20"/>
        </w:rPr>
        <w:t>organizační struktuře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 xml:space="preserve">kvalifikovaných účastech banky. </w:t>
      </w:r>
      <w:r w:rsidR="00253088" w:rsidRPr="00C822C2">
        <w:rPr>
          <w:rFonts w:ascii="Arial" w:hAnsi="Arial" w:cs="Arial"/>
          <w:color w:val="auto"/>
          <w:sz w:val="20"/>
        </w:rPr>
        <w:t>Banky</w:t>
      </w:r>
      <w:r w:rsidRPr="00C822C2">
        <w:rPr>
          <w:rFonts w:ascii="Arial" w:hAnsi="Arial" w:cs="Arial"/>
          <w:color w:val="auto"/>
          <w:sz w:val="20"/>
        </w:rPr>
        <w:t xml:space="preserve"> jsou rozděleny do skupin podle podílu splaceného tuzemského a zahraničního kapitálu.</w:t>
      </w: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Tab.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>-12.</w:t>
      </w:r>
      <w:r w:rsidRPr="00C822C2">
        <w:rPr>
          <w:rFonts w:ascii="Arial" w:hAnsi="Arial" w:cs="Arial"/>
          <w:bCs/>
          <w:color w:val="auto"/>
          <w:sz w:val="20"/>
        </w:rPr>
        <w:t xml:space="preserve"> </w:t>
      </w:r>
      <w:r w:rsidRPr="00C822C2">
        <w:rPr>
          <w:rFonts w:ascii="Arial" w:hAnsi="Arial" w:cs="Arial"/>
          <w:b/>
          <w:color w:val="auto"/>
          <w:sz w:val="20"/>
        </w:rPr>
        <w:t>Platební bilance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Platební bilance zachycuje ekonomické transakce se zahraničím (tj. mezi rezidenty a nerezidenty) za určité časové období. Základní struktura platební bilance vycházející z Příručky k sestavování platební bilance MMF (</w:t>
      </w:r>
      <w:r w:rsidR="00A319AF">
        <w:rPr>
          <w:rFonts w:ascii="Arial" w:hAnsi="Arial" w:cs="Arial"/>
          <w:color w:val="auto"/>
          <w:sz w:val="20"/>
        </w:rPr>
        <w:t>6</w:t>
      </w:r>
      <w:r w:rsidRPr="00C822C2">
        <w:rPr>
          <w:rFonts w:ascii="Arial" w:hAnsi="Arial" w:cs="Arial"/>
          <w:color w:val="auto"/>
          <w:sz w:val="20"/>
        </w:rPr>
        <w:t xml:space="preserve">. vydání, </w:t>
      </w:r>
      <w:r w:rsidR="00A319AF">
        <w:rPr>
          <w:rFonts w:ascii="Arial" w:hAnsi="Arial" w:cs="Arial"/>
          <w:color w:val="auto"/>
          <w:sz w:val="20"/>
        </w:rPr>
        <w:t>2009</w:t>
      </w:r>
      <w:r w:rsidRPr="00C822C2">
        <w:rPr>
          <w:rFonts w:ascii="Arial" w:hAnsi="Arial" w:cs="Arial"/>
          <w:color w:val="auto"/>
          <w:sz w:val="20"/>
        </w:rPr>
        <w:t>) zahrnuje běžný, kapitálový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 xml:space="preserve">finanční účet </w:t>
      </w:r>
      <w:r w:rsidR="00A319AF">
        <w:rPr>
          <w:rFonts w:ascii="Arial" w:hAnsi="Arial" w:cs="Arial"/>
          <w:color w:val="auto"/>
          <w:sz w:val="20"/>
        </w:rPr>
        <w:t>vč</w:t>
      </w:r>
      <w:r w:rsidR="000B149F">
        <w:rPr>
          <w:rFonts w:ascii="Arial" w:hAnsi="Arial" w:cs="Arial"/>
          <w:color w:val="auto"/>
          <w:sz w:val="20"/>
        </w:rPr>
        <w:t>etně</w:t>
      </w:r>
      <w:r w:rsidR="00A319AF">
        <w:rPr>
          <w:rFonts w:ascii="Arial" w:hAnsi="Arial" w:cs="Arial"/>
          <w:color w:val="auto"/>
          <w:sz w:val="20"/>
        </w:rPr>
        <w:t xml:space="preserve"> změny rezervních aktiv.</w:t>
      </w:r>
      <w:r w:rsidRPr="00C822C2">
        <w:rPr>
          <w:rFonts w:ascii="Arial" w:hAnsi="Arial" w:cs="Arial"/>
          <w:color w:val="auto"/>
          <w:sz w:val="20"/>
        </w:rPr>
        <w:t xml:space="preserve"> 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b/>
          <w:color w:val="auto"/>
          <w:sz w:val="20"/>
        </w:rPr>
        <w:t>V běžném účtu</w:t>
      </w:r>
      <w:r w:rsidRPr="00C822C2">
        <w:rPr>
          <w:rFonts w:ascii="Arial" w:hAnsi="Arial" w:cs="Arial"/>
          <w:color w:val="auto"/>
          <w:sz w:val="20"/>
        </w:rPr>
        <w:t xml:space="preserve"> jsou zachyceny toky zboží (vývoz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dovoz)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služeb (</w:t>
      </w:r>
      <w:r w:rsidR="006F3573" w:rsidRPr="00C822C2">
        <w:rPr>
          <w:rFonts w:ascii="Arial" w:hAnsi="Arial" w:cs="Arial"/>
          <w:color w:val="auto"/>
          <w:sz w:val="20"/>
        </w:rPr>
        <w:t>vývoz a</w:t>
      </w:r>
      <w:r w:rsidR="002446C8" w:rsidRPr="00C822C2">
        <w:rPr>
          <w:rFonts w:ascii="Arial" w:hAnsi="Arial" w:cs="Arial"/>
          <w:color w:val="auto"/>
          <w:sz w:val="20"/>
        </w:rPr>
        <w:t> </w:t>
      </w:r>
      <w:r w:rsidR="006F3573" w:rsidRPr="00C822C2">
        <w:rPr>
          <w:rFonts w:ascii="Arial" w:hAnsi="Arial" w:cs="Arial"/>
          <w:color w:val="auto"/>
          <w:sz w:val="20"/>
        </w:rPr>
        <w:t xml:space="preserve">dovoz </w:t>
      </w:r>
      <w:r w:rsidR="00102B3F">
        <w:rPr>
          <w:rFonts w:ascii="Arial" w:hAnsi="Arial" w:cs="Arial"/>
          <w:color w:val="auto"/>
          <w:sz w:val="20"/>
        </w:rPr>
        <w:t>služeb zpracování, oprav a</w:t>
      </w:r>
      <w:r w:rsidR="000B149F">
        <w:rPr>
          <w:rFonts w:ascii="Arial" w:hAnsi="Arial" w:cs="Arial"/>
          <w:color w:val="auto"/>
          <w:sz w:val="20"/>
        </w:rPr>
        <w:t> </w:t>
      </w:r>
      <w:r w:rsidR="00102B3F">
        <w:rPr>
          <w:rFonts w:ascii="Arial" w:hAnsi="Arial" w:cs="Arial"/>
          <w:color w:val="auto"/>
          <w:sz w:val="20"/>
        </w:rPr>
        <w:t xml:space="preserve">údržby, </w:t>
      </w:r>
      <w:r w:rsidRPr="00C822C2">
        <w:rPr>
          <w:rFonts w:ascii="Arial" w:hAnsi="Arial" w:cs="Arial"/>
          <w:color w:val="auto"/>
          <w:sz w:val="20"/>
        </w:rPr>
        <w:t>dopravní</w:t>
      </w:r>
      <w:r w:rsidR="006F3573" w:rsidRPr="00C822C2">
        <w:rPr>
          <w:rFonts w:ascii="Arial" w:hAnsi="Arial" w:cs="Arial"/>
          <w:color w:val="auto"/>
          <w:sz w:val="20"/>
        </w:rPr>
        <w:t>ch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655E31" w:rsidRPr="00C822C2">
        <w:rPr>
          <w:rFonts w:ascii="Arial" w:hAnsi="Arial" w:cs="Arial"/>
          <w:color w:val="auto"/>
          <w:sz w:val="20"/>
        </w:rPr>
        <w:t>služ</w:t>
      </w:r>
      <w:r w:rsidR="006F3573" w:rsidRPr="00C822C2">
        <w:rPr>
          <w:rFonts w:ascii="Arial" w:hAnsi="Arial" w:cs="Arial"/>
          <w:color w:val="auto"/>
          <w:sz w:val="20"/>
        </w:rPr>
        <w:t>e</w:t>
      </w:r>
      <w:r w:rsidR="00655E31" w:rsidRPr="00C822C2">
        <w:rPr>
          <w:rFonts w:ascii="Arial" w:hAnsi="Arial" w:cs="Arial"/>
          <w:color w:val="auto"/>
          <w:sz w:val="20"/>
        </w:rPr>
        <w:t>b</w:t>
      </w:r>
      <w:r w:rsidRPr="00C822C2">
        <w:rPr>
          <w:rFonts w:ascii="Arial" w:hAnsi="Arial" w:cs="Arial"/>
          <w:color w:val="auto"/>
          <w:sz w:val="20"/>
        </w:rPr>
        <w:t xml:space="preserve">, </w:t>
      </w:r>
      <w:r w:rsidR="006F3573" w:rsidRPr="00C822C2">
        <w:rPr>
          <w:rFonts w:ascii="Arial" w:hAnsi="Arial" w:cs="Arial"/>
          <w:color w:val="auto"/>
          <w:sz w:val="20"/>
        </w:rPr>
        <w:t>služeb v</w:t>
      </w:r>
      <w:r w:rsidR="00BB1052" w:rsidRPr="00C822C2">
        <w:rPr>
          <w:rFonts w:ascii="Arial" w:hAnsi="Arial" w:cs="Arial"/>
          <w:color w:val="auto"/>
          <w:sz w:val="20"/>
        </w:rPr>
        <w:t> </w:t>
      </w:r>
      <w:r w:rsidR="00655E31" w:rsidRPr="00C822C2">
        <w:rPr>
          <w:rFonts w:ascii="Arial" w:hAnsi="Arial" w:cs="Arial"/>
          <w:color w:val="auto"/>
          <w:sz w:val="20"/>
        </w:rPr>
        <w:t>zahraniční</w:t>
      </w:r>
      <w:r w:rsidR="006F3573" w:rsidRPr="00C822C2">
        <w:rPr>
          <w:rFonts w:ascii="Arial" w:hAnsi="Arial" w:cs="Arial"/>
          <w:color w:val="auto"/>
          <w:sz w:val="20"/>
        </w:rPr>
        <w:t>m</w:t>
      </w:r>
      <w:r w:rsidR="00655E31" w:rsidRPr="00C822C2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color w:val="auto"/>
          <w:sz w:val="20"/>
        </w:rPr>
        <w:t>cestovní</w:t>
      </w:r>
      <w:r w:rsidR="006F3573" w:rsidRPr="00C822C2">
        <w:rPr>
          <w:rFonts w:ascii="Arial" w:hAnsi="Arial" w:cs="Arial"/>
          <w:color w:val="auto"/>
          <w:sz w:val="20"/>
        </w:rPr>
        <w:t>m</w:t>
      </w:r>
      <w:r w:rsidRPr="00C822C2">
        <w:rPr>
          <w:rFonts w:ascii="Arial" w:hAnsi="Arial" w:cs="Arial"/>
          <w:color w:val="auto"/>
          <w:sz w:val="20"/>
        </w:rPr>
        <w:t xml:space="preserve"> ruch</w:t>
      </w:r>
      <w:r w:rsidR="006F3573" w:rsidRPr="00C822C2">
        <w:rPr>
          <w:rFonts w:ascii="Arial" w:hAnsi="Arial" w:cs="Arial"/>
          <w:color w:val="auto"/>
          <w:sz w:val="20"/>
        </w:rPr>
        <w:t>u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ostatní</w:t>
      </w:r>
      <w:r w:rsidR="006F3573" w:rsidRPr="00C822C2">
        <w:rPr>
          <w:rFonts w:ascii="Arial" w:hAnsi="Arial" w:cs="Arial"/>
          <w:color w:val="auto"/>
          <w:sz w:val="20"/>
        </w:rPr>
        <w:t>ch</w:t>
      </w:r>
      <w:r w:rsidRPr="00C822C2">
        <w:rPr>
          <w:rFonts w:ascii="Arial" w:hAnsi="Arial" w:cs="Arial"/>
          <w:color w:val="auto"/>
          <w:sz w:val="20"/>
        </w:rPr>
        <w:t xml:space="preserve"> obchodní</w:t>
      </w:r>
      <w:r w:rsidR="006F3573" w:rsidRPr="00C822C2">
        <w:rPr>
          <w:rFonts w:ascii="Arial" w:hAnsi="Arial" w:cs="Arial"/>
          <w:color w:val="auto"/>
          <w:sz w:val="20"/>
        </w:rPr>
        <w:t>ch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neobchodní</w:t>
      </w:r>
      <w:r w:rsidR="006F3573" w:rsidRPr="00C822C2">
        <w:rPr>
          <w:rFonts w:ascii="Arial" w:hAnsi="Arial" w:cs="Arial"/>
          <w:color w:val="auto"/>
          <w:sz w:val="20"/>
        </w:rPr>
        <w:t>ch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655E31" w:rsidRPr="00C822C2">
        <w:rPr>
          <w:rFonts w:ascii="Arial" w:hAnsi="Arial" w:cs="Arial"/>
          <w:color w:val="auto"/>
          <w:sz w:val="20"/>
        </w:rPr>
        <w:t>služ</w:t>
      </w:r>
      <w:r w:rsidR="006F3573" w:rsidRPr="00C822C2">
        <w:rPr>
          <w:rFonts w:ascii="Arial" w:hAnsi="Arial" w:cs="Arial"/>
          <w:color w:val="auto"/>
          <w:sz w:val="20"/>
        </w:rPr>
        <w:t>e</w:t>
      </w:r>
      <w:r w:rsidR="00655E31" w:rsidRPr="00C822C2">
        <w:rPr>
          <w:rFonts w:ascii="Arial" w:hAnsi="Arial" w:cs="Arial"/>
          <w:color w:val="auto"/>
          <w:sz w:val="20"/>
        </w:rPr>
        <w:t>b</w:t>
      </w:r>
      <w:r w:rsidRPr="00C822C2">
        <w:rPr>
          <w:rFonts w:ascii="Arial" w:hAnsi="Arial" w:cs="Arial"/>
          <w:color w:val="auto"/>
          <w:sz w:val="20"/>
        </w:rPr>
        <w:t xml:space="preserve">), </w:t>
      </w:r>
      <w:r w:rsidR="00A319AF">
        <w:rPr>
          <w:rFonts w:ascii="Arial" w:hAnsi="Arial" w:cs="Arial"/>
          <w:color w:val="auto"/>
          <w:sz w:val="20"/>
        </w:rPr>
        <w:t xml:space="preserve">prvotní důchody </w:t>
      </w:r>
      <w:r w:rsidRPr="00C822C2">
        <w:rPr>
          <w:rFonts w:ascii="Arial" w:hAnsi="Arial" w:cs="Arial"/>
          <w:color w:val="auto"/>
          <w:sz w:val="20"/>
        </w:rPr>
        <w:t>z kapitálu, investic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práce (úroky, dividendy, reinvestované zisky, pracovní příjmy</w:t>
      </w:r>
      <w:r w:rsidR="00FE574F">
        <w:rPr>
          <w:rFonts w:ascii="Arial" w:hAnsi="Arial" w:cs="Arial"/>
          <w:color w:val="auto"/>
          <w:sz w:val="20"/>
        </w:rPr>
        <w:t xml:space="preserve"> a</w:t>
      </w:r>
      <w:r w:rsidR="00DA5445">
        <w:rPr>
          <w:rFonts w:ascii="Arial" w:hAnsi="Arial" w:cs="Arial"/>
          <w:color w:val="auto"/>
          <w:sz w:val="20"/>
        </w:rPr>
        <w:t> </w:t>
      </w:r>
      <w:r w:rsidR="00556C47">
        <w:rPr>
          <w:rFonts w:ascii="Arial" w:hAnsi="Arial" w:cs="Arial"/>
          <w:color w:val="auto"/>
          <w:sz w:val="20"/>
        </w:rPr>
        <w:t>část odvodů a</w:t>
      </w:r>
      <w:r w:rsidR="000B149F">
        <w:rPr>
          <w:rFonts w:ascii="Arial" w:hAnsi="Arial" w:cs="Arial"/>
          <w:color w:val="auto"/>
          <w:sz w:val="20"/>
        </w:rPr>
        <w:t> </w:t>
      </w:r>
      <w:r w:rsidR="00556C47">
        <w:rPr>
          <w:rFonts w:ascii="Arial" w:hAnsi="Arial" w:cs="Arial"/>
          <w:color w:val="auto"/>
          <w:sz w:val="20"/>
        </w:rPr>
        <w:t xml:space="preserve">dotací </w:t>
      </w:r>
      <w:r w:rsidR="00FE574F">
        <w:rPr>
          <w:rFonts w:ascii="Arial" w:hAnsi="Arial" w:cs="Arial"/>
          <w:color w:val="auto"/>
          <w:sz w:val="20"/>
        </w:rPr>
        <w:t>ve vztahu k rozpočtu Evropské unie</w:t>
      </w:r>
      <w:r w:rsidRPr="00C822C2">
        <w:rPr>
          <w:rFonts w:ascii="Arial" w:hAnsi="Arial" w:cs="Arial"/>
          <w:color w:val="auto"/>
          <w:sz w:val="20"/>
        </w:rPr>
        <w:t xml:space="preserve">) </w:t>
      </w:r>
      <w:r w:rsidR="00983AD7" w:rsidRPr="00C822C2">
        <w:rPr>
          <w:rFonts w:ascii="Arial" w:hAnsi="Arial" w:cs="Arial"/>
          <w:color w:val="auto"/>
          <w:sz w:val="20"/>
        </w:rPr>
        <w:t>a </w:t>
      </w:r>
      <w:r w:rsidRPr="00C822C2">
        <w:rPr>
          <w:rFonts w:ascii="Arial" w:hAnsi="Arial" w:cs="Arial"/>
          <w:color w:val="auto"/>
          <w:sz w:val="20"/>
        </w:rPr>
        <w:t>kompenzující položky k reálným a</w:t>
      </w:r>
      <w:r w:rsidR="001D300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finančním zdrojům poskytnutým či získaným bez protihodnoty (</w:t>
      </w:r>
      <w:r w:rsidR="00A319AF">
        <w:rPr>
          <w:rFonts w:ascii="Arial" w:hAnsi="Arial" w:cs="Arial"/>
          <w:color w:val="auto"/>
          <w:sz w:val="20"/>
        </w:rPr>
        <w:t>druhotné důchody</w:t>
      </w:r>
      <w:r w:rsidRPr="00C822C2">
        <w:rPr>
          <w:rFonts w:ascii="Arial" w:hAnsi="Arial" w:cs="Arial"/>
          <w:color w:val="auto"/>
          <w:sz w:val="20"/>
        </w:rPr>
        <w:t xml:space="preserve"> jako např. </w:t>
      </w:r>
      <w:r w:rsidR="00983AD7" w:rsidRPr="00C822C2">
        <w:rPr>
          <w:rFonts w:ascii="Arial" w:hAnsi="Arial" w:cs="Arial"/>
          <w:color w:val="auto"/>
          <w:sz w:val="20"/>
        </w:rPr>
        <w:t>dotace a</w:t>
      </w:r>
      <w:r w:rsidR="002446C8" w:rsidRPr="00C822C2">
        <w:rPr>
          <w:rFonts w:ascii="Arial" w:hAnsi="Arial" w:cs="Arial"/>
          <w:color w:val="auto"/>
          <w:sz w:val="20"/>
        </w:rPr>
        <w:t> </w:t>
      </w:r>
      <w:r w:rsidR="00983AD7" w:rsidRPr="00C822C2">
        <w:rPr>
          <w:rFonts w:ascii="Arial" w:hAnsi="Arial" w:cs="Arial"/>
          <w:color w:val="auto"/>
          <w:sz w:val="20"/>
        </w:rPr>
        <w:t>odvody ve vztahu k rozpočtu a</w:t>
      </w:r>
      <w:r w:rsidR="002446C8" w:rsidRPr="00C822C2">
        <w:rPr>
          <w:rFonts w:ascii="Arial" w:hAnsi="Arial" w:cs="Arial"/>
          <w:color w:val="auto"/>
          <w:sz w:val="20"/>
        </w:rPr>
        <w:t> </w:t>
      </w:r>
      <w:r w:rsidR="00983AD7" w:rsidRPr="00C822C2">
        <w:rPr>
          <w:rFonts w:ascii="Arial" w:hAnsi="Arial" w:cs="Arial"/>
          <w:color w:val="auto"/>
          <w:sz w:val="20"/>
        </w:rPr>
        <w:t>dalším fondům Evropské unie</w:t>
      </w:r>
      <w:r w:rsidRPr="00C822C2">
        <w:rPr>
          <w:rFonts w:ascii="Arial" w:hAnsi="Arial" w:cs="Arial"/>
          <w:color w:val="auto"/>
          <w:sz w:val="20"/>
        </w:rPr>
        <w:t>, penze, zahraniční pomoc, příspěvky aj.).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b/>
          <w:color w:val="auto"/>
          <w:sz w:val="20"/>
        </w:rPr>
        <w:t>Kapitálový účet</w:t>
      </w:r>
      <w:r w:rsidRPr="00C822C2">
        <w:rPr>
          <w:rFonts w:ascii="Arial" w:hAnsi="Arial" w:cs="Arial"/>
          <w:color w:val="auto"/>
          <w:sz w:val="20"/>
        </w:rPr>
        <w:t xml:space="preserve"> tvoří převody kapitálového charakteru související s promíjením dluhů, vlastnickými právy k fixním aktivům</w:t>
      </w:r>
      <w:r w:rsidR="00F950A2" w:rsidRPr="00C822C2">
        <w:rPr>
          <w:rFonts w:ascii="Arial" w:hAnsi="Arial" w:cs="Arial"/>
          <w:color w:val="auto"/>
          <w:sz w:val="20"/>
        </w:rPr>
        <w:t xml:space="preserve">, </w:t>
      </w:r>
      <w:r w:rsidRPr="00C822C2">
        <w:rPr>
          <w:rFonts w:ascii="Arial" w:hAnsi="Arial" w:cs="Arial"/>
          <w:color w:val="auto"/>
          <w:sz w:val="20"/>
        </w:rPr>
        <w:t>investiční granty</w:t>
      </w:r>
      <w:r w:rsidR="00F950A2" w:rsidRPr="00C822C2">
        <w:rPr>
          <w:rFonts w:ascii="Arial" w:hAnsi="Arial" w:cs="Arial"/>
          <w:color w:val="auto"/>
          <w:sz w:val="20"/>
        </w:rPr>
        <w:t xml:space="preserve"> především z</w:t>
      </w:r>
      <w:r w:rsidR="00983AD7" w:rsidRPr="00C822C2">
        <w:rPr>
          <w:rFonts w:ascii="Arial" w:hAnsi="Arial" w:cs="Arial"/>
          <w:color w:val="auto"/>
          <w:sz w:val="20"/>
        </w:rPr>
        <w:t> rozpočtu a</w:t>
      </w:r>
      <w:r w:rsidR="00BB1052" w:rsidRPr="00C822C2">
        <w:rPr>
          <w:rFonts w:ascii="Arial" w:hAnsi="Arial" w:cs="Arial"/>
          <w:color w:val="auto"/>
          <w:sz w:val="20"/>
        </w:rPr>
        <w:t> </w:t>
      </w:r>
      <w:r w:rsidR="00983AD7" w:rsidRPr="00C822C2">
        <w:rPr>
          <w:rFonts w:ascii="Arial" w:hAnsi="Arial" w:cs="Arial"/>
          <w:color w:val="auto"/>
          <w:sz w:val="20"/>
        </w:rPr>
        <w:t>další</w:t>
      </w:r>
      <w:r w:rsidR="00F950A2" w:rsidRPr="00C822C2">
        <w:rPr>
          <w:rFonts w:ascii="Arial" w:hAnsi="Arial" w:cs="Arial"/>
          <w:color w:val="auto"/>
          <w:sz w:val="20"/>
        </w:rPr>
        <w:t>ch</w:t>
      </w:r>
      <w:r w:rsidR="00983AD7" w:rsidRPr="00C822C2">
        <w:rPr>
          <w:rFonts w:ascii="Arial" w:hAnsi="Arial" w:cs="Arial"/>
          <w:color w:val="auto"/>
          <w:sz w:val="20"/>
        </w:rPr>
        <w:t xml:space="preserve"> fondů Evropské unie metodicky vykazované na kapitálovém účtu,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převody nevyráběných, nefinančních hmotných aktiv (např. půda – pozemky pro zastupitelské úřady)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nehmotných práv (patenty, licence, autorská práva</w:t>
      </w:r>
      <w:r w:rsidR="00983AD7" w:rsidRPr="00C822C2">
        <w:rPr>
          <w:rFonts w:ascii="Arial" w:hAnsi="Arial" w:cs="Arial"/>
          <w:color w:val="auto"/>
          <w:sz w:val="20"/>
        </w:rPr>
        <w:t xml:space="preserve">, obchody s emisními povolenkami </w:t>
      </w:r>
      <w:r w:rsidRPr="00C822C2">
        <w:rPr>
          <w:rFonts w:ascii="Arial" w:hAnsi="Arial" w:cs="Arial"/>
          <w:color w:val="auto"/>
          <w:sz w:val="20"/>
        </w:rPr>
        <w:t>aj.).</w:t>
      </w:r>
    </w:p>
    <w:p w:rsidR="008B6BF7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b/>
          <w:color w:val="auto"/>
          <w:sz w:val="20"/>
        </w:rPr>
        <w:lastRenderedPageBreak/>
        <w:t>Finanční účet</w:t>
      </w:r>
      <w:r w:rsidRPr="00C822C2">
        <w:rPr>
          <w:rFonts w:ascii="Arial" w:hAnsi="Arial" w:cs="Arial"/>
          <w:color w:val="auto"/>
          <w:sz w:val="20"/>
        </w:rPr>
        <w:t xml:space="preserve"> zahrnuje transakce spojené se vznikem, zánikem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změnou vlastnictví finančních aktiv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Pr="00C822C2">
        <w:rPr>
          <w:rFonts w:ascii="Arial" w:hAnsi="Arial" w:cs="Arial"/>
          <w:color w:val="auto"/>
          <w:sz w:val="20"/>
        </w:rPr>
        <w:t>vlády, bankovní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podnikové sféry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ostatních subjektů ve vztahu k zahraničí. Poskytuje informace</w:t>
      </w:r>
      <w:r w:rsidR="0046656C" w:rsidRPr="00C822C2">
        <w:rPr>
          <w:rFonts w:ascii="Arial" w:hAnsi="Arial" w:cs="Arial"/>
          <w:color w:val="auto"/>
          <w:sz w:val="20"/>
        </w:rPr>
        <w:t xml:space="preserve"> o </w:t>
      </w:r>
      <w:r w:rsidRPr="00C822C2">
        <w:rPr>
          <w:rFonts w:ascii="Arial" w:hAnsi="Arial" w:cs="Arial"/>
          <w:color w:val="auto"/>
          <w:sz w:val="20"/>
        </w:rPr>
        <w:t>finančních (kapitálových) tocích v členění na přímé investice (základní kapitál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556C47">
        <w:rPr>
          <w:rFonts w:ascii="Arial" w:hAnsi="Arial" w:cs="Arial"/>
          <w:color w:val="auto"/>
          <w:sz w:val="20"/>
        </w:rPr>
        <w:t>reinvestování zisku</w:t>
      </w:r>
      <w:r w:rsidRPr="00C822C2">
        <w:rPr>
          <w:rFonts w:ascii="Arial" w:hAnsi="Arial" w:cs="Arial"/>
          <w:color w:val="auto"/>
          <w:sz w:val="20"/>
        </w:rPr>
        <w:t>, </w:t>
      </w:r>
      <w:r w:rsidR="00556C47">
        <w:rPr>
          <w:rFonts w:ascii="Arial" w:hAnsi="Arial" w:cs="Arial"/>
          <w:color w:val="auto"/>
          <w:sz w:val="20"/>
        </w:rPr>
        <w:t>dluhové nástroje</w:t>
      </w:r>
      <w:r w:rsidRPr="00C822C2">
        <w:rPr>
          <w:rFonts w:ascii="Arial" w:hAnsi="Arial" w:cs="Arial"/>
          <w:color w:val="auto"/>
          <w:sz w:val="20"/>
        </w:rPr>
        <w:t>), portfoliové investice majetkového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dluhového charakteru, finanční deriváty</w:t>
      </w:r>
      <w:r w:rsidR="00A319AF">
        <w:rPr>
          <w:rFonts w:ascii="Arial" w:hAnsi="Arial" w:cs="Arial"/>
          <w:color w:val="auto"/>
          <w:sz w:val="20"/>
        </w:rPr>
        <w:t>,</w:t>
      </w:r>
      <w:r w:rsidR="0046656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ostatní investice</w:t>
      </w:r>
      <w:r w:rsidR="00A319AF">
        <w:rPr>
          <w:rFonts w:ascii="Arial" w:hAnsi="Arial" w:cs="Arial"/>
          <w:color w:val="auto"/>
          <w:sz w:val="20"/>
        </w:rPr>
        <w:t xml:space="preserve"> a</w:t>
      </w:r>
      <w:r w:rsidR="000B149F">
        <w:rPr>
          <w:rFonts w:ascii="Arial" w:hAnsi="Arial" w:cs="Arial"/>
          <w:color w:val="auto"/>
          <w:sz w:val="20"/>
        </w:rPr>
        <w:t> </w:t>
      </w:r>
      <w:r w:rsidR="00A319AF">
        <w:rPr>
          <w:rFonts w:ascii="Arial" w:hAnsi="Arial" w:cs="Arial"/>
          <w:color w:val="auto"/>
          <w:sz w:val="20"/>
        </w:rPr>
        <w:t>rezervní aktiva. Základní členění ostatních investic je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A319AF">
        <w:rPr>
          <w:rFonts w:ascii="Arial" w:hAnsi="Arial" w:cs="Arial"/>
          <w:color w:val="auto"/>
          <w:sz w:val="20"/>
        </w:rPr>
        <w:t>podle používaného finančního instrumentu (majetkové a</w:t>
      </w:r>
      <w:r w:rsidR="008B6BF7">
        <w:rPr>
          <w:rFonts w:ascii="Arial" w:hAnsi="Arial" w:cs="Arial"/>
          <w:color w:val="auto"/>
          <w:sz w:val="20"/>
        </w:rPr>
        <w:t> </w:t>
      </w:r>
      <w:r w:rsidR="00A319AF">
        <w:rPr>
          <w:rFonts w:ascii="Arial" w:hAnsi="Arial" w:cs="Arial"/>
          <w:color w:val="auto"/>
          <w:sz w:val="20"/>
        </w:rPr>
        <w:t>dluhové cenné papíry, oběživo a</w:t>
      </w:r>
      <w:r w:rsidR="008B6BF7">
        <w:rPr>
          <w:rFonts w:ascii="Arial" w:hAnsi="Arial" w:cs="Arial"/>
          <w:color w:val="auto"/>
          <w:sz w:val="20"/>
        </w:rPr>
        <w:t> </w:t>
      </w:r>
      <w:r w:rsidR="00A319AF">
        <w:rPr>
          <w:rFonts w:ascii="Arial" w:hAnsi="Arial" w:cs="Arial"/>
          <w:color w:val="auto"/>
          <w:sz w:val="20"/>
        </w:rPr>
        <w:t xml:space="preserve">depozita, půjčky, </w:t>
      </w:r>
      <w:r w:rsidR="005A3C44">
        <w:rPr>
          <w:rFonts w:ascii="Arial" w:hAnsi="Arial" w:cs="Arial"/>
          <w:color w:val="auto"/>
          <w:sz w:val="20"/>
        </w:rPr>
        <w:t>pojistné, penzijní a</w:t>
      </w:r>
      <w:r w:rsidR="008B6BF7">
        <w:rPr>
          <w:rFonts w:ascii="Arial" w:hAnsi="Arial" w:cs="Arial"/>
          <w:color w:val="auto"/>
          <w:sz w:val="20"/>
        </w:rPr>
        <w:t> </w:t>
      </w:r>
      <w:r w:rsidR="005A3C44">
        <w:rPr>
          <w:rFonts w:ascii="Arial" w:hAnsi="Arial" w:cs="Arial"/>
          <w:color w:val="auto"/>
          <w:sz w:val="20"/>
        </w:rPr>
        <w:t>standardizované záruční programy, obchodní úvěry a</w:t>
      </w:r>
      <w:r w:rsidR="008B6BF7">
        <w:rPr>
          <w:rFonts w:ascii="Arial" w:hAnsi="Arial" w:cs="Arial"/>
          <w:color w:val="auto"/>
          <w:sz w:val="20"/>
        </w:rPr>
        <w:t> </w:t>
      </w:r>
      <w:r w:rsidR="005A3C44">
        <w:rPr>
          <w:rFonts w:ascii="Arial" w:hAnsi="Arial" w:cs="Arial"/>
          <w:color w:val="auto"/>
          <w:sz w:val="20"/>
        </w:rPr>
        <w:t>zálohy, jiné pohledávky</w:t>
      </w:r>
      <w:r w:rsidR="00FE574F">
        <w:rPr>
          <w:rFonts w:ascii="Arial" w:hAnsi="Arial" w:cs="Arial"/>
          <w:color w:val="auto"/>
          <w:sz w:val="20"/>
        </w:rPr>
        <w:t xml:space="preserve"> a</w:t>
      </w:r>
      <w:r w:rsidR="008B6BF7">
        <w:rPr>
          <w:rFonts w:ascii="Arial" w:hAnsi="Arial" w:cs="Arial"/>
          <w:color w:val="auto"/>
          <w:sz w:val="20"/>
        </w:rPr>
        <w:t> </w:t>
      </w:r>
      <w:r w:rsidR="00FE574F">
        <w:rPr>
          <w:rFonts w:ascii="Arial" w:hAnsi="Arial" w:cs="Arial"/>
          <w:color w:val="auto"/>
          <w:sz w:val="20"/>
        </w:rPr>
        <w:t xml:space="preserve">závazky, </w:t>
      </w:r>
      <w:r w:rsidR="005A3C44">
        <w:rPr>
          <w:rFonts w:ascii="Arial" w:hAnsi="Arial" w:cs="Arial"/>
          <w:color w:val="auto"/>
          <w:sz w:val="20"/>
        </w:rPr>
        <w:t>a</w:t>
      </w:r>
      <w:r w:rsidR="008B6BF7">
        <w:rPr>
          <w:rFonts w:ascii="Arial" w:hAnsi="Arial" w:cs="Arial"/>
          <w:color w:val="auto"/>
          <w:sz w:val="20"/>
        </w:rPr>
        <w:t> </w:t>
      </w:r>
      <w:r w:rsidR="005A3C44">
        <w:rPr>
          <w:rFonts w:ascii="Arial" w:hAnsi="Arial" w:cs="Arial"/>
          <w:color w:val="auto"/>
          <w:sz w:val="20"/>
        </w:rPr>
        <w:t>zvláštní práva čerpání)</w:t>
      </w:r>
      <w:r w:rsidR="00A319AF">
        <w:rPr>
          <w:rFonts w:ascii="Arial" w:hAnsi="Arial" w:cs="Arial"/>
          <w:color w:val="auto"/>
          <w:sz w:val="20"/>
        </w:rPr>
        <w:t xml:space="preserve">, </w:t>
      </w:r>
      <w:r w:rsidR="00FE574F">
        <w:rPr>
          <w:rFonts w:ascii="Arial" w:hAnsi="Arial" w:cs="Arial"/>
          <w:color w:val="auto"/>
          <w:sz w:val="20"/>
        </w:rPr>
        <w:t xml:space="preserve">podle </w:t>
      </w:r>
      <w:r w:rsidRPr="00C822C2">
        <w:rPr>
          <w:rFonts w:ascii="Arial" w:hAnsi="Arial" w:cs="Arial"/>
          <w:color w:val="auto"/>
          <w:sz w:val="20"/>
        </w:rPr>
        <w:t>časového hlediska</w:t>
      </w:r>
      <w:r w:rsidR="00A319AF">
        <w:rPr>
          <w:rFonts w:ascii="Arial" w:hAnsi="Arial" w:cs="Arial"/>
          <w:color w:val="auto"/>
          <w:sz w:val="20"/>
        </w:rPr>
        <w:t xml:space="preserve"> (dlo</w:t>
      </w:r>
      <w:r w:rsidR="005A3C44">
        <w:rPr>
          <w:rFonts w:ascii="Arial" w:hAnsi="Arial" w:cs="Arial"/>
          <w:color w:val="auto"/>
          <w:sz w:val="20"/>
        </w:rPr>
        <w:t>u</w:t>
      </w:r>
      <w:r w:rsidR="00A319AF">
        <w:rPr>
          <w:rFonts w:ascii="Arial" w:hAnsi="Arial" w:cs="Arial"/>
          <w:color w:val="auto"/>
          <w:sz w:val="20"/>
        </w:rPr>
        <w:t>hodobé, krátkodobé)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A319AF">
        <w:rPr>
          <w:rFonts w:ascii="Arial" w:hAnsi="Arial" w:cs="Arial"/>
          <w:color w:val="auto"/>
          <w:sz w:val="20"/>
        </w:rPr>
        <w:t>a</w:t>
      </w:r>
      <w:r w:rsidR="008B6BF7">
        <w:rPr>
          <w:rFonts w:ascii="Arial" w:hAnsi="Arial" w:cs="Arial"/>
          <w:color w:val="auto"/>
          <w:sz w:val="20"/>
        </w:rPr>
        <w:t> </w:t>
      </w:r>
      <w:r w:rsidR="00FE574F">
        <w:rPr>
          <w:rFonts w:ascii="Arial" w:hAnsi="Arial" w:cs="Arial"/>
          <w:color w:val="auto"/>
          <w:sz w:val="20"/>
        </w:rPr>
        <w:t xml:space="preserve">podle </w:t>
      </w:r>
      <w:r w:rsidRPr="00C822C2">
        <w:rPr>
          <w:rFonts w:ascii="Arial" w:hAnsi="Arial" w:cs="Arial"/>
          <w:color w:val="auto"/>
          <w:sz w:val="20"/>
        </w:rPr>
        <w:t>základních sektorů (ČNB, obchodní banky, vláda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ostatní sektory)</w:t>
      </w:r>
      <w:r w:rsidR="00A319AF">
        <w:rPr>
          <w:rFonts w:ascii="Arial" w:hAnsi="Arial" w:cs="Arial"/>
          <w:color w:val="auto"/>
          <w:sz w:val="20"/>
        </w:rPr>
        <w:t>.</w:t>
      </w:r>
    </w:p>
    <w:p w:rsidR="000572F9" w:rsidRPr="00C822C2" w:rsidRDefault="005A3C44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V</w:t>
      </w:r>
      <w:r w:rsidR="00D6328D">
        <w:rPr>
          <w:rFonts w:ascii="Arial" w:hAnsi="Arial" w:cs="Arial"/>
          <w:b/>
          <w:color w:val="auto"/>
          <w:sz w:val="20"/>
        </w:rPr>
        <w:t xml:space="preserve"> položce</w:t>
      </w:r>
      <w:r>
        <w:rPr>
          <w:rFonts w:ascii="Arial" w:hAnsi="Arial" w:cs="Arial"/>
          <w:b/>
          <w:color w:val="auto"/>
          <w:sz w:val="20"/>
        </w:rPr>
        <w:t xml:space="preserve"> rezervní aktiv</w:t>
      </w:r>
      <w:r w:rsidR="00D6328D">
        <w:rPr>
          <w:rFonts w:ascii="Arial" w:hAnsi="Arial" w:cs="Arial"/>
          <w:b/>
          <w:color w:val="auto"/>
          <w:sz w:val="20"/>
        </w:rPr>
        <w:t>a</w:t>
      </w:r>
      <w:r w:rsidR="000572F9" w:rsidRPr="00C822C2">
        <w:rPr>
          <w:rFonts w:ascii="Arial" w:hAnsi="Arial" w:cs="Arial"/>
          <w:color w:val="auto"/>
          <w:sz w:val="20"/>
        </w:rPr>
        <w:t xml:space="preserve"> jsou zaznamenány transakce se zahraničními aktivy centrální banky. </w:t>
      </w:r>
      <w:r w:rsidR="00D6328D">
        <w:rPr>
          <w:rFonts w:ascii="Arial" w:hAnsi="Arial" w:cs="Arial"/>
          <w:color w:val="auto"/>
          <w:sz w:val="20"/>
        </w:rPr>
        <w:t xml:space="preserve">Jedná se </w:t>
      </w:r>
      <w:r w:rsidR="005C3D6D">
        <w:rPr>
          <w:rFonts w:ascii="Arial" w:hAnsi="Arial" w:cs="Arial"/>
          <w:color w:val="auto"/>
          <w:sz w:val="20"/>
        </w:rPr>
        <w:t>o </w:t>
      </w:r>
      <w:r w:rsidR="000572F9" w:rsidRPr="00C822C2">
        <w:rPr>
          <w:rFonts w:ascii="Arial" w:hAnsi="Arial" w:cs="Arial"/>
          <w:color w:val="auto"/>
          <w:sz w:val="20"/>
        </w:rPr>
        <w:t>snadno mobilizovatelná aktiva využitelná především jako zdroj přímého financování platební nerovnováhy i nepřímé regulace velikosti této nerovnováhy prostřednictvím intervencí na devizovém trhu.</w:t>
      </w:r>
      <w:r>
        <w:rPr>
          <w:rFonts w:ascii="Arial" w:hAnsi="Arial" w:cs="Arial"/>
          <w:color w:val="auto"/>
          <w:sz w:val="20"/>
        </w:rPr>
        <w:t xml:space="preserve"> Rezervní aktiva jsou zahrnuta ve finančním účtu p</w:t>
      </w:r>
      <w:r w:rsidR="00FE574F">
        <w:rPr>
          <w:rFonts w:ascii="Arial" w:hAnsi="Arial" w:cs="Arial"/>
          <w:color w:val="auto"/>
          <w:sz w:val="20"/>
        </w:rPr>
        <w:t>la</w:t>
      </w:r>
      <w:r>
        <w:rPr>
          <w:rFonts w:ascii="Arial" w:hAnsi="Arial" w:cs="Arial"/>
          <w:color w:val="auto"/>
          <w:sz w:val="20"/>
        </w:rPr>
        <w:t xml:space="preserve">tební bilance. 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b/>
          <w:color w:val="auto"/>
          <w:sz w:val="20"/>
        </w:rPr>
        <w:t>Chyby</w:t>
      </w:r>
      <w:r w:rsidR="0046656C" w:rsidRPr="00C822C2">
        <w:rPr>
          <w:rFonts w:ascii="Arial" w:hAnsi="Arial" w:cs="Arial"/>
          <w:b/>
          <w:color w:val="auto"/>
          <w:sz w:val="20"/>
        </w:rPr>
        <w:t xml:space="preserve"> a </w:t>
      </w:r>
      <w:r w:rsidRPr="00C822C2">
        <w:rPr>
          <w:rFonts w:ascii="Arial" w:hAnsi="Arial" w:cs="Arial"/>
          <w:b/>
          <w:color w:val="auto"/>
          <w:sz w:val="20"/>
        </w:rPr>
        <w:t>opomenutí</w:t>
      </w:r>
      <w:r w:rsidRPr="00C822C2">
        <w:rPr>
          <w:rFonts w:ascii="Arial" w:hAnsi="Arial" w:cs="Arial"/>
          <w:color w:val="auto"/>
          <w:sz w:val="20"/>
        </w:rPr>
        <w:t xml:space="preserve"> jsou dopočtovou položkou mezi výsledným saldem běžného</w:t>
      </w:r>
      <w:r w:rsidR="005A3C44">
        <w:rPr>
          <w:rFonts w:ascii="Arial" w:hAnsi="Arial" w:cs="Arial"/>
          <w:color w:val="auto"/>
          <w:sz w:val="20"/>
        </w:rPr>
        <w:t xml:space="preserve"> a</w:t>
      </w:r>
      <w:r w:rsidR="008B6BF7">
        <w:rPr>
          <w:rFonts w:ascii="Arial" w:hAnsi="Arial" w:cs="Arial"/>
          <w:color w:val="auto"/>
          <w:sz w:val="20"/>
        </w:rPr>
        <w:t> </w:t>
      </w:r>
      <w:r w:rsidR="005A3C44">
        <w:rPr>
          <w:rFonts w:ascii="Arial" w:hAnsi="Arial" w:cs="Arial"/>
          <w:color w:val="auto"/>
          <w:sz w:val="20"/>
        </w:rPr>
        <w:t>kapitálového účtu</w:t>
      </w:r>
      <w:r w:rsidRPr="00C822C2">
        <w:rPr>
          <w:rFonts w:ascii="Arial" w:hAnsi="Arial" w:cs="Arial"/>
          <w:color w:val="auto"/>
          <w:sz w:val="20"/>
        </w:rPr>
        <w:t xml:space="preserve"> na jedné straně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5A3C44">
        <w:rPr>
          <w:rFonts w:ascii="Arial" w:hAnsi="Arial" w:cs="Arial"/>
          <w:color w:val="auto"/>
          <w:sz w:val="20"/>
        </w:rPr>
        <w:t xml:space="preserve">saldem finančního účtu </w:t>
      </w:r>
      <w:r w:rsidRPr="00C822C2">
        <w:rPr>
          <w:rFonts w:ascii="Arial" w:hAnsi="Arial" w:cs="Arial"/>
          <w:color w:val="auto"/>
          <w:sz w:val="20"/>
        </w:rPr>
        <w:t>na straně druhé</w:t>
      </w:r>
      <w:r w:rsidR="005A3C44">
        <w:rPr>
          <w:rFonts w:ascii="Arial" w:hAnsi="Arial" w:cs="Arial"/>
          <w:color w:val="auto"/>
          <w:sz w:val="20"/>
        </w:rPr>
        <w:t>.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5A3C44">
        <w:rPr>
          <w:rFonts w:ascii="Arial" w:hAnsi="Arial" w:cs="Arial"/>
          <w:color w:val="auto"/>
          <w:sz w:val="20"/>
        </w:rPr>
        <w:t>P</w:t>
      </w:r>
      <w:r w:rsidR="005A3C44" w:rsidRPr="00C822C2">
        <w:rPr>
          <w:rFonts w:ascii="Arial" w:hAnsi="Arial" w:cs="Arial"/>
          <w:color w:val="auto"/>
          <w:sz w:val="20"/>
        </w:rPr>
        <w:t xml:space="preserve">ředstavují </w:t>
      </w:r>
      <w:r w:rsidRPr="00C822C2">
        <w:rPr>
          <w:rFonts w:ascii="Arial" w:hAnsi="Arial" w:cs="Arial"/>
          <w:color w:val="auto"/>
          <w:sz w:val="20"/>
        </w:rPr>
        <w:t>saldo neidentifikovaných toků v běžném, kapitálovém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finančním účtu.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Podkladem pro sestavení platební bilance je statistika zahraničního obchodu se zbožím a službami (ČSÚ)</w:t>
      </w:r>
      <w:r w:rsidR="005A3C44">
        <w:rPr>
          <w:rFonts w:ascii="Arial" w:hAnsi="Arial" w:cs="Arial"/>
          <w:color w:val="auto"/>
          <w:sz w:val="20"/>
        </w:rPr>
        <w:t xml:space="preserve"> v národním pojetí</w:t>
      </w:r>
      <w:r w:rsidRPr="00C822C2">
        <w:rPr>
          <w:rFonts w:ascii="Arial" w:hAnsi="Arial" w:cs="Arial"/>
          <w:color w:val="auto"/>
          <w:sz w:val="20"/>
        </w:rPr>
        <w:t>, údaje z výkazů bankovních a nebankovních subjektů, informace z administrativních zdrojů od centrálních orgánů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dalších institucí,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dále vlastní propočty ČNB.</w:t>
      </w: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D813AF" w:rsidRDefault="000572F9" w:rsidP="00EF756D">
      <w:pPr>
        <w:autoSpaceDE w:val="0"/>
        <w:autoSpaceDN w:val="0"/>
        <w:adjustRightInd w:val="0"/>
        <w:rPr>
          <w:rFonts w:ascii="Arial" w:hAnsi="Arial" w:cs="Arial"/>
        </w:rPr>
      </w:pPr>
      <w:r w:rsidRPr="00C822C2">
        <w:rPr>
          <w:rFonts w:ascii="Arial" w:hAnsi="Arial" w:cs="Arial"/>
        </w:rPr>
        <w:t xml:space="preserve">Tab. </w:t>
      </w:r>
      <w:r w:rsidRPr="00C822C2">
        <w:rPr>
          <w:rFonts w:ascii="Arial" w:hAnsi="Arial" w:cs="Arial"/>
          <w:b/>
        </w:rPr>
        <w:t>7</w:t>
      </w:r>
      <w:r w:rsidRPr="00C822C2">
        <w:rPr>
          <w:rFonts w:ascii="Arial" w:hAnsi="Arial" w:cs="Arial"/>
        </w:rPr>
        <w:t>-13.</w:t>
      </w:r>
      <w:r w:rsidR="0046656C" w:rsidRPr="00C822C2">
        <w:rPr>
          <w:rFonts w:ascii="Arial" w:hAnsi="Arial" w:cs="Arial"/>
        </w:rPr>
        <w:t xml:space="preserve"> a </w:t>
      </w:r>
      <w:r w:rsidRPr="00C822C2">
        <w:rPr>
          <w:rFonts w:ascii="Arial" w:hAnsi="Arial" w:cs="Arial"/>
          <w:b/>
        </w:rPr>
        <w:t>7</w:t>
      </w:r>
      <w:r w:rsidRPr="00C822C2">
        <w:rPr>
          <w:rFonts w:ascii="Arial" w:hAnsi="Arial" w:cs="Arial"/>
        </w:rPr>
        <w:t xml:space="preserve">-14. </w:t>
      </w:r>
      <w:r w:rsidRPr="00C822C2">
        <w:rPr>
          <w:rFonts w:ascii="Arial" w:hAnsi="Arial" w:cs="Arial"/>
          <w:b/>
        </w:rPr>
        <w:t>Přímé zahraniční investice do Č</w:t>
      </w:r>
      <w:r w:rsidR="00715964" w:rsidRPr="00C822C2">
        <w:rPr>
          <w:rFonts w:ascii="Arial" w:hAnsi="Arial" w:cs="Arial"/>
          <w:b/>
        </w:rPr>
        <w:t>eské republiky</w:t>
      </w:r>
      <w:r w:rsidRPr="00C822C2">
        <w:rPr>
          <w:rFonts w:ascii="Arial" w:hAnsi="Arial" w:cs="Arial"/>
          <w:b/>
        </w:rPr>
        <w:t xml:space="preserve"> podle zemí</w:t>
      </w:r>
      <w:r w:rsidR="0046656C" w:rsidRPr="00C822C2">
        <w:rPr>
          <w:rFonts w:ascii="Arial" w:hAnsi="Arial" w:cs="Arial"/>
          <w:b/>
        </w:rPr>
        <w:t xml:space="preserve"> a </w:t>
      </w:r>
      <w:r w:rsidR="00A85731" w:rsidRPr="00C822C2">
        <w:rPr>
          <w:rFonts w:ascii="Arial" w:hAnsi="Arial" w:cs="Arial"/>
          <w:b/>
        </w:rPr>
        <w:t>činností</w:t>
      </w:r>
    </w:p>
    <w:p w:rsidR="00D813AF" w:rsidRDefault="000572F9" w:rsidP="00EF756D">
      <w:pPr>
        <w:pStyle w:val="Standardnte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Údaje</w:t>
      </w:r>
      <w:r w:rsidR="0046656C" w:rsidRPr="00C822C2">
        <w:rPr>
          <w:rFonts w:ascii="Arial" w:hAnsi="Arial" w:cs="Arial"/>
          <w:color w:val="auto"/>
          <w:sz w:val="20"/>
        </w:rPr>
        <w:t xml:space="preserve"> o </w:t>
      </w:r>
      <w:r w:rsidRPr="00C822C2">
        <w:rPr>
          <w:rFonts w:ascii="Arial" w:hAnsi="Arial" w:cs="Arial"/>
          <w:color w:val="auto"/>
          <w:sz w:val="20"/>
        </w:rPr>
        <w:t xml:space="preserve">přímých zahraničních investicích jsou vypracovány na základě </w:t>
      </w:r>
      <w:r w:rsidR="00D11DEA">
        <w:rPr>
          <w:rFonts w:ascii="Arial" w:hAnsi="Arial" w:cs="Arial"/>
          <w:color w:val="auto"/>
          <w:sz w:val="20"/>
        </w:rPr>
        <w:t>informací a</w:t>
      </w:r>
      <w:r w:rsidR="000B08BC">
        <w:rPr>
          <w:rFonts w:ascii="Arial" w:hAnsi="Arial" w:cs="Arial"/>
          <w:color w:val="auto"/>
          <w:sz w:val="20"/>
        </w:rPr>
        <w:t> </w:t>
      </w:r>
      <w:r w:rsidR="00D11DEA">
        <w:rPr>
          <w:rFonts w:ascii="Arial" w:hAnsi="Arial" w:cs="Arial"/>
          <w:color w:val="auto"/>
          <w:sz w:val="20"/>
        </w:rPr>
        <w:t xml:space="preserve">podkladů ve formě statistických výkazů </w:t>
      </w:r>
      <w:r w:rsidRPr="00C822C2">
        <w:rPr>
          <w:rFonts w:ascii="Arial" w:hAnsi="Arial" w:cs="Arial"/>
          <w:color w:val="auto"/>
          <w:sz w:val="20"/>
        </w:rPr>
        <w:t>nebankovních subjektů vyplývající</w:t>
      </w:r>
      <w:r w:rsidR="005679FE">
        <w:rPr>
          <w:rFonts w:ascii="Arial" w:hAnsi="Arial" w:cs="Arial"/>
          <w:color w:val="auto"/>
          <w:sz w:val="20"/>
        </w:rPr>
        <w:t>ch</w:t>
      </w:r>
      <w:r w:rsidRPr="00C822C2">
        <w:rPr>
          <w:rFonts w:ascii="Arial" w:hAnsi="Arial" w:cs="Arial"/>
          <w:color w:val="auto"/>
          <w:sz w:val="20"/>
        </w:rPr>
        <w:t xml:space="preserve"> z </w:t>
      </w:r>
      <w:r w:rsidR="00D11DEA">
        <w:rPr>
          <w:rFonts w:ascii="Arial" w:hAnsi="Arial" w:cs="Arial"/>
          <w:color w:val="auto"/>
          <w:sz w:val="20"/>
        </w:rPr>
        <w:t>§</w:t>
      </w:r>
      <w:r w:rsidR="005C3D6D">
        <w:rPr>
          <w:rFonts w:ascii="Arial" w:hAnsi="Arial" w:cs="Arial"/>
          <w:color w:val="auto"/>
          <w:sz w:val="20"/>
        </w:rPr>
        <w:t> </w:t>
      </w:r>
      <w:r w:rsidR="00D11DEA">
        <w:rPr>
          <w:rFonts w:ascii="Arial" w:hAnsi="Arial" w:cs="Arial"/>
          <w:color w:val="auto"/>
          <w:sz w:val="20"/>
        </w:rPr>
        <w:t>41</w:t>
      </w:r>
      <w:r w:rsidR="00DC446A">
        <w:rPr>
          <w:rFonts w:ascii="Arial" w:hAnsi="Arial" w:cs="Arial"/>
          <w:color w:val="auto"/>
          <w:sz w:val="20"/>
        </w:rPr>
        <w:t>,</w:t>
      </w:r>
      <w:r w:rsidR="00D11DEA">
        <w:rPr>
          <w:rFonts w:ascii="Arial" w:hAnsi="Arial" w:cs="Arial"/>
          <w:color w:val="auto"/>
          <w:sz w:val="20"/>
        </w:rPr>
        <w:t xml:space="preserve"> odst.</w:t>
      </w:r>
      <w:r w:rsidR="005C3D6D">
        <w:rPr>
          <w:rFonts w:ascii="Arial" w:hAnsi="Arial" w:cs="Arial"/>
          <w:color w:val="auto"/>
          <w:sz w:val="20"/>
        </w:rPr>
        <w:t> </w:t>
      </w:r>
      <w:r w:rsidR="00D11DEA">
        <w:rPr>
          <w:rFonts w:ascii="Arial" w:hAnsi="Arial" w:cs="Arial"/>
          <w:color w:val="auto"/>
          <w:sz w:val="20"/>
        </w:rPr>
        <w:t>1</w:t>
      </w:r>
      <w:r w:rsidR="00DC446A">
        <w:rPr>
          <w:rFonts w:ascii="Arial" w:hAnsi="Arial" w:cs="Arial"/>
          <w:color w:val="auto"/>
          <w:sz w:val="20"/>
        </w:rPr>
        <w:t>,</w:t>
      </w:r>
      <w:r w:rsidR="00D11DEA">
        <w:rPr>
          <w:rFonts w:ascii="Arial" w:hAnsi="Arial" w:cs="Arial"/>
          <w:color w:val="auto"/>
          <w:sz w:val="20"/>
        </w:rPr>
        <w:t xml:space="preserve"> písm. </w:t>
      </w:r>
      <w:r w:rsidR="00235510">
        <w:rPr>
          <w:rFonts w:ascii="Arial" w:hAnsi="Arial" w:cs="Arial"/>
          <w:color w:val="auto"/>
          <w:sz w:val="20"/>
        </w:rPr>
        <w:t>c</w:t>
      </w:r>
      <w:r w:rsidR="00D11DEA">
        <w:rPr>
          <w:rFonts w:ascii="Arial" w:hAnsi="Arial" w:cs="Arial"/>
          <w:color w:val="auto"/>
          <w:sz w:val="20"/>
        </w:rPr>
        <w:t>) zákona č.</w:t>
      </w:r>
      <w:r w:rsidR="005C3D6D">
        <w:rPr>
          <w:rFonts w:ascii="Arial" w:hAnsi="Arial" w:cs="Arial"/>
          <w:color w:val="auto"/>
          <w:sz w:val="20"/>
        </w:rPr>
        <w:t> </w:t>
      </w:r>
      <w:r w:rsidR="00D11DEA">
        <w:rPr>
          <w:rFonts w:ascii="Arial" w:hAnsi="Arial" w:cs="Arial"/>
          <w:color w:val="auto"/>
          <w:sz w:val="20"/>
        </w:rPr>
        <w:t>6/1993 Sb.</w:t>
      </w:r>
      <w:r w:rsidR="001933C7">
        <w:rPr>
          <w:rFonts w:ascii="Arial" w:hAnsi="Arial" w:cs="Arial"/>
          <w:color w:val="auto"/>
          <w:sz w:val="20"/>
        </w:rPr>
        <w:t>,</w:t>
      </w:r>
      <w:r w:rsidR="00D11DEA">
        <w:rPr>
          <w:rFonts w:ascii="Arial" w:hAnsi="Arial" w:cs="Arial"/>
          <w:color w:val="auto"/>
          <w:sz w:val="20"/>
        </w:rPr>
        <w:t xml:space="preserve"> o</w:t>
      </w:r>
      <w:r w:rsidR="000B08BC">
        <w:rPr>
          <w:rFonts w:ascii="Arial" w:hAnsi="Arial" w:cs="Arial"/>
          <w:color w:val="auto"/>
          <w:sz w:val="20"/>
        </w:rPr>
        <w:t> </w:t>
      </w:r>
      <w:r w:rsidR="00D11DEA">
        <w:rPr>
          <w:rFonts w:ascii="Arial" w:hAnsi="Arial" w:cs="Arial"/>
          <w:color w:val="auto"/>
          <w:sz w:val="20"/>
        </w:rPr>
        <w:t>České národní bance a</w:t>
      </w:r>
      <w:r w:rsidR="000B08BC">
        <w:rPr>
          <w:rFonts w:ascii="Arial" w:hAnsi="Arial" w:cs="Arial"/>
          <w:color w:val="auto"/>
          <w:sz w:val="20"/>
        </w:rPr>
        <w:t> </w:t>
      </w:r>
      <w:r w:rsidR="00D11DEA">
        <w:rPr>
          <w:rFonts w:ascii="Arial" w:hAnsi="Arial" w:cs="Arial"/>
          <w:color w:val="auto"/>
          <w:sz w:val="20"/>
        </w:rPr>
        <w:t>ve znění zákona č. 227/2013 Sb.</w:t>
      </w:r>
      <w:r w:rsidR="00E56D8A">
        <w:rPr>
          <w:rFonts w:ascii="Arial" w:hAnsi="Arial" w:cs="Arial"/>
          <w:color w:val="auto"/>
          <w:sz w:val="20"/>
        </w:rPr>
        <w:t xml:space="preserve"> Obsah, formu, lhůty a</w:t>
      </w:r>
      <w:r w:rsidR="000B08BC">
        <w:rPr>
          <w:rFonts w:ascii="Arial" w:hAnsi="Arial" w:cs="Arial"/>
          <w:color w:val="auto"/>
          <w:sz w:val="20"/>
        </w:rPr>
        <w:t> </w:t>
      </w:r>
      <w:r w:rsidR="00E56D8A">
        <w:rPr>
          <w:rFonts w:ascii="Arial" w:hAnsi="Arial" w:cs="Arial"/>
          <w:color w:val="auto"/>
          <w:sz w:val="20"/>
        </w:rPr>
        <w:t>způsob sestavování a</w:t>
      </w:r>
      <w:r w:rsidR="000B08BC">
        <w:rPr>
          <w:rFonts w:ascii="Arial" w:hAnsi="Arial" w:cs="Arial"/>
          <w:color w:val="auto"/>
          <w:sz w:val="20"/>
        </w:rPr>
        <w:t> </w:t>
      </w:r>
      <w:r w:rsidR="00E56D8A">
        <w:rPr>
          <w:rFonts w:ascii="Arial" w:hAnsi="Arial" w:cs="Arial"/>
          <w:color w:val="auto"/>
          <w:sz w:val="20"/>
        </w:rPr>
        <w:t>předkládání stanoví vyhláška č. 235/2013 Sb.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235510">
        <w:rPr>
          <w:rFonts w:ascii="Arial" w:hAnsi="Arial" w:cs="Arial"/>
          <w:color w:val="auto"/>
          <w:sz w:val="20"/>
        </w:rPr>
        <w:t>Jako h</w:t>
      </w:r>
      <w:r w:rsidR="00D11DEA">
        <w:rPr>
          <w:rFonts w:ascii="Arial" w:hAnsi="Arial" w:cs="Arial"/>
          <w:color w:val="auto"/>
          <w:sz w:val="20"/>
        </w:rPr>
        <w:t xml:space="preserve">lavní zdroj jsou </w:t>
      </w:r>
      <w:r w:rsidR="00235510">
        <w:rPr>
          <w:rFonts w:ascii="Arial" w:hAnsi="Arial" w:cs="Arial"/>
          <w:color w:val="auto"/>
          <w:sz w:val="20"/>
        </w:rPr>
        <w:t xml:space="preserve">využívány </w:t>
      </w:r>
      <w:r w:rsidR="00D11DEA" w:rsidRPr="00C822C2">
        <w:rPr>
          <w:rFonts w:ascii="Arial" w:hAnsi="Arial" w:cs="Arial"/>
          <w:color w:val="auto"/>
          <w:sz w:val="20"/>
        </w:rPr>
        <w:t>čtvrtletní výkaz</w:t>
      </w:r>
      <w:r w:rsidR="00D965A3">
        <w:rPr>
          <w:rFonts w:ascii="Arial" w:hAnsi="Arial" w:cs="Arial"/>
          <w:color w:val="auto"/>
          <w:sz w:val="20"/>
        </w:rPr>
        <w:t>y</w:t>
      </w:r>
      <w:r w:rsidR="00D11DEA" w:rsidRPr="00C822C2">
        <w:rPr>
          <w:rFonts w:ascii="Arial" w:hAnsi="Arial" w:cs="Arial"/>
          <w:color w:val="auto"/>
          <w:sz w:val="20"/>
        </w:rPr>
        <w:t xml:space="preserve"> o v</w:t>
      </w:r>
      <w:r w:rsidR="00D11DEA" w:rsidRPr="00C822C2">
        <w:rPr>
          <w:rFonts w:ascii="Arial" w:hAnsi="Arial" w:cs="Arial"/>
          <w:sz w:val="20"/>
        </w:rPr>
        <w:t>ybraných aktivech</w:t>
      </w:r>
      <w:r w:rsidR="000B08BC">
        <w:rPr>
          <w:rFonts w:ascii="Arial" w:hAnsi="Arial" w:cs="Arial"/>
          <w:sz w:val="20"/>
        </w:rPr>
        <w:t xml:space="preserve"> </w:t>
      </w:r>
      <w:r w:rsidR="00D11DEA" w:rsidRPr="00C822C2">
        <w:rPr>
          <w:rFonts w:ascii="Arial" w:hAnsi="Arial" w:cs="Arial"/>
          <w:sz w:val="20"/>
        </w:rPr>
        <w:t>a</w:t>
      </w:r>
      <w:r w:rsidR="000B08BC">
        <w:rPr>
          <w:rFonts w:ascii="Arial" w:hAnsi="Arial" w:cs="Arial"/>
          <w:sz w:val="20"/>
        </w:rPr>
        <w:t> </w:t>
      </w:r>
      <w:r w:rsidR="00D11DEA" w:rsidRPr="00C822C2">
        <w:rPr>
          <w:rFonts w:ascii="Arial" w:hAnsi="Arial" w:cs="Arial"/>
          <w:sz w:val="20"/>
        </w:rPr>
        <w:t>pasivech vůči zahraničí</w:t>
      </w:r>
      <w:r w:rsidR="00D11DEA" w:rsidRPr="00C822C2">
        <w:rPr>
          <w:rFonts w:ascii="Arial" w:hAnsi="Arial" w:cs="Arial"/>
          <w:color w:val="auto"/>
          <w:sz w:val="20"/>
        </w:rPr>
        <w:t xml:space="preserve"> </w:t>
      </w:r>
      <w:r w:rsidR="00D11DEA">
        <w:rPr>
          <w:rFonts w:ascii="Arial" w:hAnsi="Arial" w:cs="Arial"/>
          <w:color w:val="auto"/>
          <w:sz w:val="20"/>
        </w:rPr>
        <w:t>a</w:t>
      </w:r>
      <w:r w:rsidR="000B08BC">
        <w:rPr>
          <w:rFonts w:ascii="Arial" w:hAnsi="Arial" w:cs="Arial"/>
          <w:color w:val="auto"/>
          <w:sz w:val="20"/>
        </w:rPr>
        <w:t> </w:t>
      </w:r>
      <w:r w:rsidR="00D11DEA" w:rsidRPr="00C822C2">
        <w:rPr>
          <w:rFonts w:ascii="Arial" w:hAnsi="Arial" w:cs="Arial"/>
          <w:color w:val="auto"/>
          <w:sz w:val="20"/>
        </w:rPr>
        <w:t>roční výkazy nefinančních podniků o stavech přímých investic v tuzemsku a v zahraničí,</w:t>
      </w:r>
      <w:r w:rsidR="00D11DEA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color w:val="auto"/>
          <w:sz w:val="20"/>
        </w:rPr>
        <w:t>Doplňujícími informačními zdroji jsou výkazy bankovních subjektů, ministerstva financí</w:t>
      </w:r>
      <w:r w:rsidR="0046656C" w:rsidRPr="00C822C2">
        <w:rPr>
          <w:rFonts w:ascii="Arial" w:hAnsi="Arial" w:cs="Arial"/>
          <w:color w:val="auto"/>
          <w:sz w:val="20"/>
        </w:rPr>
        <w:t xml:space="preserve"> o </w:t>
      </w:r>
      <w:r w:rsidRPr="00C822C2">
        <w:rPr>
          <w:rFonts w:ascii="Arial" w:hAnsi="Arial" w:cs="Arial"/>
          <w:color w:val="auto"/>
          <w:sz w:val="20"/>
        </w:rPr>
        <w:t>zahraničních platbách,</w:t>
      </w:r>
      <w:r w:rsidR="00C43935" w:rsidRPr="00C822C2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color w:val="auto"/>
          <w:sz w:val="20"/>
        </w:rPr>
        <w:t>informace z burzy cenných papírů, obchodní věstník</w:t>
      </w:r>
      <w:r w:rsidR="00C43935" w:rsidRPr="00C822C2">
        <w:rPr>
          <w:rFonts w:ascii="Arial" w:hAnsi="Arial" w:cs="Arial"/>
          <w:color w:val="auto"/>
          <w:sz w:val="20"/>
        </w:rPr>
        <w:t xml:space="preserve"> a</w:t>
      </w:r>
      <w:r w:rsidR="0046656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tisk.</w:t>
      </w:r>
    </w:p>
    <w:p w:rsidR="000572F9" w:rsidRPr="00C822C2" w:rsidRDefault="000572F9" w:rsidP="00EF756D">
      <w:pPr>
        <w:pStyle w:val="Standardnte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Vykazované údaje zachycují příliv (tok) přímých zahraničních investic v daném roce do základního kapitálu včetně reinvestovaných zisků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úvěrové vztahy s přímým investorem.</w:t>
      </w:r>
    </w:p>
    <w:p w:rsidR="000572F9" w:rsidRPr="00C822C2" w:rsidRDefault="000572F9" w:rsidP="00EF756D">
      <w:pPr>
        <w:pStyle w:val="Standardnte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Za přímé zahraniční investice se v souladu s definicí Mezinárodního měnového fondu považují vklady zahraničních investorů do českých podniků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společností, které představují minimálně 10 % základního kapitálu nebo nejméně 10 % hlasovacích práv. Podmínkou je trvalý zájem investora na společnosti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jeho podíl na řízení.</w:t>
      </w:r>
    </w:p>
    <w:p w:rsidR="000572F9" w:rsidRPr="00C822C2" w:rsidRDefault="000572F9" w:rsidP="00EF756D">
      <w:pPr>
        <w:pStyle w:val="Standardn1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outlineLvl w:val="0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Tab.</w:t>
      </w:r>
      <w:r w:rsidRPr="00A47F5D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 xml:space="preserve">-15. </w:t>
      </w:r>
      <w:r w:rsidRPr="00C822C2">
        <w:rPr>
          <w:rFonts w:ascii="Arial" w:hAnsi="Arial" w:cs="Arial"/>
          <w:b/>
          <w:color w:val="auto"/>
          <w:sz w:val="20"/>
        </w:rPr>
        <w:t>Investiční pozice vůči zahraničí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Investiční pozice vůči zahraničí poskytuje přehled</w:t>
      </w:r>
      <w:r w:rsidR="0046656C" w:rsidRPr="00C822C2">
        <w:rPr>
          <w:rFonts w:ascii="Arial" w:hAnsi="Arial" w:cs="Arial"/>
          <w:color w:val="auto"/>
          <w:sz w:val="20"/>
        </w:rPr>
        <w:t xml:space="preserve"> o </w:t>
      </w:r>
      <w:r w:rsidRPr="00C822C2">
        <w:rPr>
          <w:rFonts w:ascii="Arial" w:hAnsi="Arial" w:cs="Arial"/>
          <w:color w:val="auto"/>
          <w:sz w:val="20"/>
        </w:rPr>
        <w:t>celkové skladbě finančních aktiv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="00F950A2" w:rsidRPr="00C822C2">
        <w:rPr>
          <w:rFonts w:ascii="Arial" w:hAnsi="Arial" w:cs="Arial"/>
          <w:color w:val="auto"/>
          <w:sz w:val="20"/>
        </w:rPr>
        <w:t>jednotek národního hospodářství (rezidentů)</w:t>
      </w:r>
      <w:r w:rsidRPr="00C822C2">
        <w:rPr>
          <w:rFonts w:ascii="Arial" w:hAnsi="Arial" w:cs="Arial"/>
          <w:color w:val="auto"/>
          <w:sz w:val="20"/>
        </w:rPr>
        <w:t xml:space="preserve"> ve vztahu k zahraničí (nerezidentům) k určitému datu. 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Investiční pozice odpovídá svou strukturou finančnímu účtu platební bilance; v aktivech i </w:t>
      </w:r>
      <w:r w:rsidR="00C822C2" w:rsidRPr="00C822C2">
        <w:rPr>
          <w:rFonts w:ascii="Arial" w:hAnsi="Arial" w:cs="Arial"/>
          <w:color w:val="auto"/>
          <w:sz w:val="20"/>
        </w:rPr>
        <w:t xml:space="preserve">pasivech </w:t>
      </w:r>
      <w:r w:rsidRPr="00C822C2">
        <w:rPr>
          <w:rFonts w:ascii="Arial" w:hAnsi="Arial" w:cs="Arial"/>
          <w:color w:val="auto"/>
          <w:sz w:val="20"/>
        </w:rPr>
        <w:t xml:space="preserve">je členěna </w:t>
      </w:r>
      <w:r w:rsidR="00F950A2" w:rsidRPr="00C822C2">
        <w:rPr>
          <w:rFonts w:ascii="Arial" w:hAnsi="Arial" w:cs="Arial"/>
          <w:color w:val="auto"/>
          <w:sz w:val="20"/>
        </w:rPr>
        <w:t xml:space="preserve">podle instrumentů </w:t>
      </w:r>
      <w:r w:rsidRPr="00C822C2">
        <w:rPr>
          <w:rFonts w:ascii="Arial" w:hAnsi="Arial" w:cs="Arial"/>
          <w:color w:val="auto"/>
          <w:sz w:val="20"/>
        </w:rPr>
        <w:t>na přímé investice (základní kapitál</w:t>
      </w:r>
      <w:r w:rsidR="00134134">
        <w:rPr>
          <w:rFonts w:ascii="Arial" w:hAnsi="Arial" w:cs="Arial"/>
          <w:color w:val="auto"/>
          <w:sz w:val="20"/>
        </w:rPr>
        <w:t xml:space="preserve"> vč</w:t>
      </w:r>
      <w:r w:rsidR="00DC446A">
        <w:rPr>
          <w:rFonts w:ascii="Arial" w:hAnsi="Arial" w:cs="Arial"/>
          <w:color w:val="auto"/>
          <w:sz w:val="20"/>
        </w:rPr>
        <w:t>etně</w:t>
      </w:r>
      <w:r w:rsidR="00134134">
        <w:rPr>
          <w:rFonts w:ascii="Arial" w:hAnsi="Arial" w:cs="Arial"/>
          <w:color w:val="auto"/>
          <w:sz w:val="20"/>
        </w:rPr>
        <w:t xml:space="preserve"> reinvestovaného zisku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134134">
        <w:rPr>
          <w:rFonts w:ascii="Arial" w:hAnsi="Arial" w:cs="Arial"/>
          <w:color w:val="auto"/>
          <w:sz w:val="20"/>
        </w:rPr>
        <w:t>dluhové nástroje</w:t>
      </w:r>
      <w:r w:rsidRPr="00C822C2">
        <w:rPr>
          <w:rFonts w:ascii="Arial" w:hAnsi="Arial" w:cs="Arial"/>
          <w:color w:val="auto"/>
          <w:sz w:val="20"/>
        </w:rPr>
        <w:t>), portfoliové investice (majetkové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dluhové), finanční deriváty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ostatní investice</w:t>
      </w:r>
      <w:r w:rsidR="00783CB5" w:rsidRPr="00C822C2">
        <w:rPr>
          <w:rFonts w:ascii="Arial" w:hAnsi="Arial" w:cs="Arial"/>
          <w:color w:val="auto"/>
          <w:sz w:val="20"/>
        </w:rPr>
        <w:t xml:space="preserve">, které jsou členěny </w:t>
      </w:r>
      <w:r w:rsidR="00134134">
        <w:rPr>
          <w:rFonts w:ascii="Arial" w:hAnsi="Arial" w:cs="Arial"/>
          <w:color w:val="auto"/>
          <w:sz w:val="20"/>
        </w:rPr>
        <w:t>podle finančních instrumentů (majetkové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dluhové cenné papíry, oběživo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depozita, půjčky, pojistné, penzijní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standardizované záruční programy, obchodní úvěry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zálohy, jiné pohledávky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závazky, a</w:t>
      </w:r>
      <w:r w:rsidR="00DC446A">
        <w:rPr>
          <w:rFonts w:ascii="Arial" w:hAnsi="Arial" w:cs="Arial"/>
          <w:color w:val="auto"/>
          <w:sz w:val="20"/>
        </w:rPr>
        <w:t> </w:t>
      </w:r>
      <w:r w:rsidR="00134134">
        <w:rPr>
          <w:rFonts w:ascii="Arial" w:hAnsi="Arial" w:cs="Arial"/>
          <w:color w:val="auto"/>
          <w:sz w:val="20"/>
        </w:rPr>
        <w:t>zvláštní práva čerpání), podle splatnosti (</w:t>
      </w:r>
      <w:r w:rsidRPr="00C822C2">
        <w:rPr>
          <w:rFonts w:ascii="Arial" w:hAnsi="Arial" w:cs="Arial"/>
          <w:color w:val="auto"/>
          <w:sz w:val="20"/>
        </w:rPr>
        <w:t>dlouhodobé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krátkodobé</w:t>
      </w:r>
      <w:r w:rsidR="00134134">
        <w:rPr>
          <w:rFonts w:ascii="Arial" w:hAnsi="Arial" w:cs="Arial"/>
          <w:color w:val="auto"/>
          <w:sz w:val="20"/>
        </w:rPr>
        <w:t>)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783CB5" w:rsidRPr="00C822C2">
        <w:rPr>
          <w:rFonts w:ascii="Arial" w:hAnsi="Arial" w:cs="Arial"/>
          <w:color w:val="auto"/>
          <w:sz w:val="20"/>
        </w:rPr>
        <w:t>a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 xml:space="preserve">podle základních </w:t>
      </w:r>
      <w:r w:rsidR="00783CB5" w:rsidRPr="00C822C2">
        <w:rPr>
          <w:rFonts w:ascii="Arial" w:hAnsi="Arial" w:cs="Arial"/>
          <w:color w:val="auto"/>
          <w:sz w:val="20"/>
        </w:rPr>
        <w:t xml:space="preserve">skupin institucionálních </w:t>
      </w:r>
      <w:r w:rsidRPr="00C822C2">
        <w:rPr>
          <w:rFonts w:ascii="Arial" w:hAnsi="Arial" w:cs="Arial"/>
          <w:color w:val="auto"/>
          <w:sz w:val="20"/>
        </w:rPr>
        <w:t xml:space="preserve">sektorů. Na straně aktiv jsou </w:t>
      </w:r>
      <w:r w:rsidR="00134134">
        <w:rPr>
          <w:rFonts w:ascii="Arial" w:hAnsi="Arial" w:cs="Arial"/>
          <w:color w:val="auto"/>
          <w:sz w:val="20"/>
        </w:rPr>
        <w:t xml:space="preserve">dále </w:t>
      </w:r>
      <w:r w:rsidRPr="00C822C2">
        <w:rPr>
          <w:rFonts w:ascii="Arial" w:hAnsi="Arial" w:cs="Arial"/>
          <w:color w:val="auto"/>
          <w:sz w:val="20"/>
        </w:rPr>
        <w:t xml:space="preserve">uvedeny </w:t>
      </w:r>
      <w:r w:rsidR="00134134">
        <w:rPr>
          <w:rFonts w:ascii="Arial" w:hAnsi="Arial" w:cs="Arial"/>
          <w:color w:val="auto"/>
          <w:sz w:val="20"/>
        </w:rPr>
        <w:t>rezervní aktiva</w:t>
      </w:r>
      <w:r w:rsidR="00134134" w:rsidRPr="00C822C2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color w:val="auto"/>
          <w:sz w:val="20"/>
        </w:rPr>
        <w:t>ČNB. Zlato jako součást jejích rezerv (obdobně i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 xml:space="preserve">zlato v držení obchodních bank) </w:t>
      </w:r>
      <w:r w:rsidR="00783CB5" w:rsidRPr="00C822C2">
        <w:rPr>
          <w:rFonts w:ascii="Arial" w:hAnsi="Arial" w:cs="Arial"/>
          <w:color w:val="auto"/>
          <w:sz w:val="20"/>
        </w:rPr>
        <w:t>je</w:t>
      </w:r>
      <w:r w:rsidR="0046656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od roku 2000</w:t>
      </w:r>
      <w:r w:rsidR="00783CB5" w:rsidRPr="00C822C2">
        <w:rPr>
          <w:rFonts w:ascii="Arial" w:hAnsi="Arial" w:cs="Arial"/>
          <w:color w:val="auto"/>
          <w:sz w:val="20"/>
        </w:rPr>
        <w:t xml:space="preserve"> oceněno</w:t>
      </w:r>
      <w:r w:rsidRPr="00C822C2">
        <w:rPr>
          <w:rFonts w:ascii="Arial" w:hAnsi="Arial" w:cs="Arial"/>
          <w:color w:val="auto"/>
          <w:sz w:val="20"/>
        </w:rPr>
        <w:t xml:space="preserve"> tržní cenou.</w:t>
      </w:r>
      <w:r w:rsidR="00134134">
        <w:rPr>
          <w:rFonts w:ascii="Arial" w:hAnsi="Arial" w:cs="Arial"/>
          <w:color w:val="auto"/>
          <w:sz w:val="20"/>
        </w:rPr>
        <w:t xml:space="preserve"> Na straně pasiv </w:t>
      </w:r>
      <w:r w:rsidR="00D6328D">
        <w:rPr>
          <w:rFonts w:ascii="Arial" w:hAnsi="Arial" w:cs="Arial"/>
          <w:color w:val="auto"/>
          <w:sz w:val="20"/>
        </w:rPr>
        <w:t xml:space="preserve">jsou odděleně uvedeny </w:t>
      </w:r>
      <w:r w:rsidR="00134134">
        <w:rPr>
          <w:rFonts w:ascii="Arial" w:hAnsi="Arial" w:cs="Arial"/>
          <w:color w:val="auto"/>
          <w:sz w:val="20"/>
        </w:rPr>
        <w:t>závazky z</w:t>
      </w:r>
      <w:r w:rsidR="00544CA6">
        <w:rPr>
          <w:rFonts w:ascii="Arial" w:hAnsi="Arial" w:cs="Arial"/>
          <w:color w:val="auto"/>
          <w:sz w:val="20"/>
        </w:rPr>
        <w:t xml:space="preserve"> alokace</w:t>
      </w:r>
      <w:r w:rsidR="00134134">
        <w:rPr>
          <w:rFonts w:ascii="Arial" w:hAnsi="Arial" w:cs="Arial"/>
          <w:color w:val="auto"/>
          <w:sz w:val="20"/>
        </w:rPr>
        <w:t xml:space="preserve"> </w:t>
      </w:r>
      <w:r w:rsidR="00FD5BF6">
        <w:rPr>
          <w:rFonts w:ascii="Arial" w:hAnsi="Arial" w:cs="Arial"/>
          <w:color w:val="auto"/>
          <w:sz w:val="20"/>
        </w:rPr>
        <w:t xml:space="preserve">zvláštních </w:t>
      </w:r>
      <w:r w:rsidR="00134134">
        <w:rPr>
          <w:rFonts w:ascii="Arial" w:hAnsi="Arial" w:cs="Arial"/>
          <w:color w:val="auto"/>
          <w:sz w:val="20"/>
        </w:rPr>
        <w:t>práv čerpání.</w:t>
      </w:r>
    </w:p>
    <w:p w:rsidR="000572F9" w:rsidRPr="00C822C2" w:rsidRDefault="00783CB5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Saldo investiční pozice (tj. r</w:t>
      </w:r>
      <w:r w:rsidR="000572F9" w:rsidRPr="00C822C2">
        <w:rPr>
          <w:rFonts w:ascii="Arial" w:hAnsi="Arial" w:cs="Arial"/>
          <w:color w:val="auto"/>
          <w:sz w:val="20"/>
        </w:rPr>
        <w:t>ozdíl mezi úhrnnými aktivy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C822C2" w:rsidRPr="00C822C2">
        <w:rPr>
          <w:rFonts w:ascii="Arial" w:hAnsi="Arial" w:cs="Arial"/>
          <w:color w:val="auto"/>
          <w:sz w:val="20"/>
        </w:rPr>
        <w:t>pasivy</w:t>
      </w:r>
      <w:r w:rsidR="000572F9" w:rsidRPr="00C822C2">
        <w:rPr>
          <w:rFonts w:ascii="Arial" w:hAnsi="Arial" w:cs="Arial"/>
          <w:color w:val="auto"/>
          <w:sz w:val="20"/>
        </w:rPr>
        <w:t>) představuje čistý vztah vůči zahraničí (věřitelskou či dlužnickou pozici).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lastRenderedPageBreak/>
        <w:t>Ve stavu aktiv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Pr="00C822C2">
        <w:rPr>
          <w:rFonts w:ascii="Arial" w:hAnsi="Arial" w:cs="Arial"/>
          <w:color w:val="auto"/>
          <w:sz w:val="20"/>
        </w:rPr>
        <w:t>zachycených v investiční pozici</w:t>
      </w:r>
      <w:r w:rsidR="0046656C" w:rsidRPr="00C822C2">
        <w:rPr>
          <w:rFonts w:ascii="Arial" w:hAnsi="Arial" w:cs="Arial"/>
          <w:color w:val="auto"/>
          <w:sz w:val="20"/>
        </w:rPr>
        <w:t xml:space="preserve"> k </w:t>
      </w:r>
      <w:r w:rsidRPr="00C822C2">
        <w:rPr>
          <w:rFonts w:ascii="Arial" w:hAnsi="Arial" w:cs="Arial"/>
          <w:color w:val="auto"/>
          <w:sz w:val="20"/>
        </w:rPr>
        <w:t>určitému datu se odrážejí vedle transakcí uskutečněných v předcházejících obdobích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 xml:space="preserve">vykázaných v platební bilanci </w:t>
      </w:r>
      <w:r w:rsidR="00A07482">
        <w:rPr>
          <w:rFonts w:ascii="Arial" w:hAnsi="Arial" w:cs="Arial"/>
          <w:color w:val="auto"/>
          <w:sz w:val="20"/>
        </w:rPr>
        <w:t>–</w:t>
      </w:r>
      <w:r w:rsidR="00134134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kurzové</w:t>
      </w:r>
      <w:r w:rsidR="00134134">
        <w:rPr>
          <w:rFonts w:ascii="Arial" w:hAnsi="Arial" w:cs="Arial"/>
          <w:color w:val="auto"/>
          <w:sz w:val="20"/>
        </w:rPr>
        <w:t>, cenové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další vlivy.</w:t>
      </w:r>
    </w:p>
    <w:p w:rsidR="00783CB5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Zdroj</w:t>
      </w:r>
      <w:r w:rsidR="00783CB5" w:rsidRPr="00C822C2">
        <w:rPr>
          <w:rFonts w:ascii="Arial" w:hAnsi="Arial" w:cs="Arial"/>
          <w:color w:val="auto"/>
          <w:sz w:val="20"/>
        </w:rPr>
        <w:t>e</w:t>
      </w:r>
      <w:r w:rsidRPr="00C822C2">
        <w:rPr>
          <w:rFonts w:ascii="Arial" w:hAnsi="Arial" w:cs="Arial"/>
          <w:color w:val="auto"/>
          <w:sz w:val="20"/>
        </w:rPr>
        <w:t xml:space="preserve"> dat pro sestavení investiční pozice jsou </w:t>
      </w:r>
      <w:r w:rsidR="00783CB5" w:rsidRPr="00C822C2">
        <w:rPr>
          <w:rFonts w:ascii="Arial" w:hAnsi="Arial" w:cs="Arial"/>
          <w:color w:val="auto"/>
          <w:sz w:val="20"/>
        </w:rPr>
        <w:t>následující:</w:t>
      </w:r>
    </w:p>
    <w:p w:rsidR="00511B05" w:rsidRPr="00C822C2" w:rsidRDefault="00783CB5" w:rsidP="00EF756D">
      <w:pPr>
        <w:pStyle w:val="Standardnte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Přímé investice</w:t>
      </w:r>
      <w:r w:rsidR="00C60A31" w:rsidRPr="00C822C2">
        <w:rPr>
          <w:rFonts w:ascii="Arial" w:hAnsi="Arial" w:cs="Arial"/>
          <w:color w:val="auto"/>
          <w:sz w:val="20"/>
        </w:rPr>
        <w:t xml:space="preserve"> –</w:t>
      </w:r>
      <w:r w:rsidRPr="00C822C2">
        <w:rPr>
          <w:rFonts w:ascii="Arial" w:hAnsi="Arial" w:cs="Arial"/>
          <w:color w:val="auto"/>
          <w:sz w:val="20"/>
        </w:rPr>
        <w:t xml:space="preserve"> </w:t>
      </w:r>
      <w:r w:rsidR="00C60A31" w:rsidRPr="00C822C2">
        <w:rPr>
          <w:rFonts w:ascii="Arial" w:hAnsi="Arial" w:cs="Arial"/>
          <w:color w:val="auto"/>
          <w:sz w:val="20"/>
        </w:rPr>
        <w:t>čtvrtletní šetření nefinančních podniků zaměřené na aktiva a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="00C822C2" w:rsidRPr="00C822C2">
        <w:rPr>
          <w:rFonts w:ascii="Arial" w:hAnsi="Arial" w:cs="Arial"/>
          <w:color w:val="auto"/>
          <w:sz w:val="20"/>
        </w:rPr>
        <w:t>pasiva</w:t>
      </w:r>
      <w:r w:rsidR="00C60A31" w:rsidRPr="00C822C2">
        <w:rPr>
          <w:rFonts w:ascii="Arial" w:hAnsi="Arial" w:cs="Arial"/>
          <w:color w:val="auto"/>
          <w:sz w:val="20"/>
        </w:rPr>
        <w:t xml:space="preserve"> a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="00C60A31" w:rsidRPr="00C822C2">
        <w:rPr>
          <w:rFonts w:ascii="Arial" w:hAnsi="Arial" w:cs="Arial"/>
          <w:color w:val="auto"/>
          <w:sz w:val="20"/>
        </w:rPr>
        <w:t xml:space="preserve">roční </w:t>
      </w:r>
      <w:r w:rsidR="00C43935" w:rsidRPr="00C822C2">
        <w:rPr>
          <w:rFonts w:ascii="Arial" w:hAnsi="Arial" w:cs="Arial"/>
          <w:color w:val="auto"/>
          <w:sz w:val="20"/>
        </w:rPr>
        <w:t xml:space="preserve">výkazy </w:t>
      </w:r>
      <w:r w:rsidR="00C60A31" w:rsidRPr="00C822C2">
        <w:rPr>
          <w:rFonts w:ascii="Arial" w:hAnsi="Arial" w:cs="Arial"/>
          <w:color w:val="auto"/>
          <w:sz w:val="20"/>
        </w:rPr>
        <w:t>nefinančních podniků o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="00C60A31" w:rsidRPr="00C822C2">
        <w:rPr>
          <w:rFonts w:ascii="Arial" w:hAnsi="Arial" w:cs="Arial"/>
          <w:color w:val="auto"/>
          <w:sz w:val="20"/>
        </w:rPr>
        <w:t>stavech přímých investic v tuzemsku a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="00511B05" w:rsidRPr="00C822C2">
        <w:rPr>
          <w:rFonts w:ascii="Arial" w:hAnsi="Arial" w:cs="Arial"/>
          <w:color w:val="auto"/>
          <w:sz w:val="20"/>
        </w:rPr>
        <w:t>v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="00C60A31" w:rsidRPr="00C822C2">
        <w:rPr>
          <w:rFonts w:ascii="Arial" w:hAnsi="Arial" w:cs="Arial"/>
          <w:color w:val="auto"/>
          <w:sz w:val="20"/>
        </w:rPr>
        <w:t>zahraničí.</w:t>
      </w:r>
    </w:p>
    <w:p w:rsidR="00783CB5" w:rsidRPr="00C822C2" w:rsidRDefault="00B57F7F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Portfoliové investice –</w:t>
      </w:r>
      <w:r w:rsidR="008D2FDE" w:rsidRPr="00C822C2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color w:val="auto"/>
          <w:sz w:val="20"/>
        </w:rPr>
        <w:t>měsíční výkaz měnových a</w:t>
      </w:r>
      <w:r w:rsidR="00BB1052" w:rsidRPr="00C822C2">
        <w:rPr>
          <w:rFonts w:ascii="Arial" w:hAnsi="Arial" w:cs="Arial"/>
          <w:color w:val="auto"/>
          <w:sz w:val="20"/>
        </w:rPr>
        <w:t> </w:t>
      </w:r>
      <w:r w:rsidR="00355B80" w:rsidRPr="00C822C2">
        <w:rPr>
          <w:rFonts w:ascii="Arial" w:hAnsi="Arial" w:cs="Arial"/>
          <w:color w:val="auto"/>
          <w:sz w:val="20"/>
        </w:rPr>
        <w:t xml:space="preserve">ostatních </w:t>
      </w:r>
      <w:r w:rsidRPr="00C822C2">
        <w:rPr>
          <w:rFonts w:ascii="Arial" w:hAnsi="Arial" w:cs="Arial"/>
          <w:color w:val="auto"/>
          <w:sz w:val="20"/>
        </w:rPr>
        <w:t xml:space="preserve">finančních institucí, čtvrtletní šetření nefinančních podniků zaměřené na aktiva, </w:t>
      </w:r>
      <w:r w:rsidR="00355B80" w:rsidRPr="00C822C2">
        <w:rPr>
          <w:rFonts w:ascii="Arial" w:hAnsi="Arial" w:cs="Arial"/>
          <w:color w:val="auto"/>
          <w:sz w:val="20"/>
        </w:rPr>
        <w:t xml:space="preserve">měsíční </w:t>
      </w:r>
      <w:r w:rsidRPr="00C822C2">
        <w:rPr>
          <w:rFonts w:ascii="Arial" w:hAnsi="Arial" w:cs="Arial"/>
          <w:color w:val="auto"/>
          <w:sz w:val="20"/>
        </w:rPr>
        <w:t>výkaz obchodníků s cennými papíry (na účet zákazníka</w:t>
      </w:r>
      <w:r w:rsidR="008D2FDE" w:rsidRPr="00C822C2">
        <w:rPr>
          <w:rFonts w:ascii="Arial" w:hAnsi="Arial" w:cs="Arial"/>
          <w:color w:val="auto"/>
          <w:sz w:val="20"/>
        </w:rPr>
        <w:t xml:space="preserve"> a</w:t>
      </w:r>
      <w:r w:rsidR="00F702D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 xml:space="preserve">na vlastní účet), </w:t>
      </w:r>
      <w:r w:rsidR="00DC4637" w:rsidRPr="00C822C2">
        <w:rPr>
          <w:rFonts w:ascii="Arial" w:hAnsi="Arial" w:cs="Arial"/>
          <w:color w:val="auto"/>
          <w:sz w:val="20"/>
        </w:rPr>
        <w:t>oznámení tuzemců o </w:t>
      </w:r>
      <w:r w:rsidR="00355B80" w:rsidRPr="00C822C2">
        <w:rPr>
          <w:rFonts w:ascii="Arial" w:hAnsi="Arial" w:cs="Arial"/>
          <w:color w:val="auto"/>
          <w:sz w:val="20"/>
        </w:rPr>
        <w:t xml:space="preserve">emisích cenných papírů </w:t>
      </w:r>
      <w:r w:rsidR="001F0D38" w:rsidRPr="00C822C2">
        <w:rPr>
          <w:rFonts w:ascii="Arial" w:hAnsi="Arial" w:cs="Arial"/>
          <w:color w:val="auto"/>
          <w:sz w:val="20"/>
        </w:rPr>
        <w:t>na zahraničních trzích a </w:t>
      </w:r>
      <w:r w:rsidR="00355B80" w:rsidRPr="00C822C2">
        <w:rPr>
          <w:rFonts w:ascii="Arial" w:hAnsi="Arial" w:cs="Arial"/>
          <w:color w:val="auto"/>
          <w:sz w:val="20"/>
        </w:rPr>
        <w:t xml:space="preserve">údaje </w:t>
      </w:r>
      <w:r w:rsidR="008D2FDE" w:rsidRPr="00C822C2">
        <w:rPr>
          <w:rFonts w:ascii="Arial" w:hAnsi="Arial" w:cs="Arial"/>
          <w:color w:val="auto"/>
          <w:sz w:val="20"/>
        </w:rPr>
        <w:t>SKD (Systém krátkodobých dluhopisů spravovaný ČNB)</w:t>
      </w:r>
      <w:r w:rsidR="00355B80" w:rsidRPr="00C822C2">
        <w:rPr>
          <w:rFonts w:ascii="Arial" w:hAnsi="Arial" w:cs="Arial"/>
          <w:color w:val="auto"/>
          <w:sz w:val="20"/>
        </w:rPr>
        <w:t>.</w:t>
      </w:r>
      <w:r w:rsidR="008D2FDE" w:rsidRPr="00C822C2">
        <w:rPr>
          <w:rFonts w:ascii="Arial" w:hAnsi="Arial" w:cs="Arial"/>
          <w:color w:val="auto"/>
          <w:sz w:val="20"/>
        </w:rPr>
        <w:t xml:space="preserve"> </w:t>
      </w:r>
      <w:r w:rsidR="00355B80" w:rsidRPr="00C822C2">
        <w:rPr>
          <w:rFonts w:ascii="Arial" w:hAnsi="Arial" w:cs="Arial"/>
          <w:color w:val="auto"/>
          <w:sz w:val="20"/>
        </w:rPr>
        <w:t>Získaná data jsou porovnávána</w:t>
      </w:r>
      <w:r w:rsidR="00DC4637" w:rsidRPr="00C822C2">
        <w:rPr>
          <w:rFonts w:ascii="Arial" w:hAnsi="Arial" w:cs="Arial"/>
          <w:color w:val="auto"/>
          <w:sz w:val="20"/>
        </w:rPr>
        <w:t xml:space="preserve"> s </w:t>
      </w:r>
      <w:r w:rsidR="001F0D38" w:rsidRPr="00C822C2">
        <w:rPr>
          <w:rFonts w:ascii="Arial" w:hAnsi="Arial" w:cs="Arial"/>
          <w:color w:val="auto"/>
          <w:sz w:val="20"/>
        </w:rPr>
        <w:t>údaji</w:t>
      </w:r>
      <w:r w:rsidR="008D2FDE" w:rsidRPr="00C822C2">
        <w:rPr>
          <w:rFonts w:ascii="Arial" w:hAnsi="Arial" w:cs="Arial"/>
          <w:color w:val="auto"/>
          <w:sz w:val="20"/>
        </w:rPr>
        <w:t xml:space="preserve"> CDCP (Centrální depozitář cenných papírů).</w:t>
      </w:r>
    </w:p>
    <w:p w:rsidR="00783CB5" w:rsidRPr="00C822C2" w:rsidRDefault="00EA165A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Finanční deriváty –</w:t>
      </w:r>
      <w:r w:rsidR="008D2FDE" w:rsidRPr="00C822C2">
        <w:rPr>
          <w:rFonts w:ascii="Arial" w:hAnsi="Arial" w:cs="Arial"/>
          <w:color w:val="auto"/>
          <w:sz w:val="20"/>
        </w:rPr>
        <w:t xml:space="preserve"> měsíční výkaz zahraničních aktiv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="008D2FDE" w:rsidRPr="00C822C2">
        <w:rPr>
          <w:rFonts w:ascii="Arial" w:hAnsi="Arial" w:cs="Arial"/>
          <w:color w:val="auto"/>
          <w:sz w:val="20"/>
        </w:rPr>
        <w:t>bankovního sektoru (ČNB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8D2FDE" w:rsidRPr="00C822C2">
        <w:rPr>
          <w:rFonts w:ascii="Arial" w:hAnsi="Arial" w:cs="Arial"/>
          <w:color w:val="auto"/>
          <w:sz w:val="20"/>
        </w:rPr>
        <w:t>ostatní měnové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8D2FDE" w:rsidRPr="00C822C2">
        <w:rPr>
          <w:rFonts w:ascii="Arial" w:hAnsi="Arial" w:cs="Arial"/>
          <w:color w:val="auto"/>
          <w:sz w:val="20"/>
        </w:rPr>
        <w:t>finanční instituce)</w:t>
      </w:r>
      <w:r w:rsidR="00714B89" w:rsidRPr="00C822C2">
        <w:rPr>
          <w:rFonts w:ascii="Arial" w:hAnsi="Arial" w:cs="Arial"/>
          <w:color w:val="auto"/>
          <w:sz w:val="20"/>
        </w:rPr>
        <w:t>,</w:t>
      </w:r>
      <w:r w:rsidR="00C43935" w:rsidRPr="00C822C2">
        <w:rPr>
          <w:rFonts w:ascii="Arial" w:hAnsi="Arial" w:cs="Arial"/>
          <w:color w:val="auto"/>
          <w:sz w:val="20"/>
        </w:rPr>
        <w:t xml:space="preserve"> čtvrtletní výkazy zahraničních aktiv a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="00C43935" w:rsidRPr="00C822C2">
        <w:rPr>
          <w:rFonts w:ascii="Arial" w:hAnsi="Arial" w:cs="Arial"/>
          <w:color w:val="auto"/>
          <w:sz w:val="20"/>
        </w:rPr>
        <w:t>sektoru nefinančních podniků, pojišťoven a</w:t>
      </w:r>
      <w:r w:rsidR="001F0D38" w:rsidRPr="00C822C2">
        <w:rPr>
          <w:rFonts w:ascii="Arial" w:hAnsi="Arial" w:cs="Arial"/>
          <w:color w:val="auto"/>
          <w:sz w:val="20"/>
        </w:rPr>
        <w:t> </w:t>
      </w:r>
      <w:r w:rsidR="00C43935" w:rsidRPr="00C822C2">
        <w:rPr>
          <w:rFonts w:ascii="Arial" w:hAnsi="Arial" w:cs="Arial"/>
          <w:color w:val="auto"/>
          <w:sz w:val="20"/>
        </w:rPr>
        <w:t>centrální vlády</w:t>
      </w:r>
      <w:r w:rsidR="00DC4637" w:rsidRPr="00C822C2">
        <w:rPr>
          <w:rFonts w:ascii="Arial" w:hAnsi="Arial" w:cs="Arial"/>
          <w:color w:val="auto"/>
          <w:sz w:val="20"/>
        </w:rPr>
        <w:t xml:space="preserve"> a měsíční výkaz o </w:t>
      </w:r>
      <w:r w:rsidR="001F0D38" w:rsidRPr="00C822C2">
        <w:rPr>
          <w:rFonts w:ascii="Arial" w:hAnsi="Arial" w:cs="Arial"/>
          <w:color w:val="auto"/>
          <w:sz w:val="20"/>
        </w:rPr>
        <w:t>aktivech a </w:t>
      </w:r>
      <w:r w:rsidR="00C822C2" w:rsidRPr="00C822C2">
        <w:rPr>
          <w:rFonts w:ascii="Arial" w:hAnsi="Arial" w:cs="Arial"/>
          <w:color w:val="auto"/>
          <w:sz w:val="20"/>
        </w:rPr>
        <w:t xml:space="preserve">pasivech </w:t>
      </w:r>
      <w:r w:rsidR="00714B89" w:rsidRPr="00C822C2">
        <w:rPr>
          <w:rFonts w:ascii="Arial" w:hAnsi="Arial" w:cs="Arial"/>
          <w:color w:val="auto"/>
          <w:sz w:val="20"/>
        </w:rPr>
        <w:t>sektoru penzijních fondů</w:t>
      </w:r>
      <w:r w:rsidR="008243EC" w:rsidRPr="00C822C2">
        <w:rPr>
          <w:rFonts w:ascii="Arial" w:hAnsi="Arial" w:cs="Arial"/>
          <w:color w:val="auto"/>
          <w:sz w:val="20"/>
        </w:rPr>
        <w:t>.</w:t>
      </w:r>
    </w:p>
    <w:p w:rsidR="00191C8E" w:rsidRPr="00C822C2" w:rsidRDefault="00EA165A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Ostatní investice – měsíční výkaz zahraničních aktiv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Pr="00C822C2">
        <w:rPr>
          <w:rFonts w:ascii="Arial" w:hAnsi="Arial" w:cs="Arial"/>
          <w:color w:val="auto"/>
          <w:sz w:val="20"/>
        </w:rPr>
        <w:t>bankovního sektoru (ČNB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ostatní měnové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finanční instituce), čtvrtletní šetření nefinančních podniků zaměřené na aktiva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C822C2" w:rsidRPr="00C822C2">
        <w:rPr>
          <w:rFonts w:ascii="Arial" w:hAnsi="Arial" w:cs="Arial"/>
          <w:color w:val="auto"/>
          <w:sz w:val="20"/>
        </w:rPr>
        <w:t>pasiva</w:t>
      </w:r>
      <w:r w:rsidR="00E67753" w:rsidRPr="00C822C2">
        <w:rPr>
          <w:rFonts w:ascii="Arial" w:hAnsi="Arial" w:cs="Arial"/>
          <w:color w:val="auto"/>
          <w:sz w:val="20"/>
        </w:rPr>
        <w:t xml:space="preserve"> (obchodní úvěry)</w:t>
      </w:r>
      <w:r w:rsidRPr="00C822C2">
        <w:rPr>
          <w:rFonts w:ascii="Arial" w:hAnsi="Arial" w:cs="Arial"/>
          <w:color w:val="auto"/>
          <w:sz w:val="20"/>
        </w:rPr>
        <w:t xml:space="preserve">, </w:t>
      </w:r>
      <w:r w:rsidR="00E67753" w:rsidRPr="00C822C2">
        <w:rPr>
          <w:rFonts w:ascii="Arial" w:hAnsi="Arial" w:cs="Arial"/>
          <w:color w:val="auto"/>
          <w:sz w:val="20"/>
        </w:rPr>
        <w:t>měsíční výkaz</w:t>
      </w:r>
      <w:r w:rsidR="00DC4637" w:rsidRPr="00C822C2">
        <w:rPr>
          <w:rFonts w:ascii="Arial" w:hAnsi="Arial" w:cs="Arial"/>
          <w:color w:val="auto"/>
          <w:sz w:val="20"/>
        </w:rPr>
        <w:t xml:space="preserve"> o </w:t>
      </w:r>
      <w:r w:rsidR="001F0D38" w:rsidRPr="00C822C2">
        <w:rPr>
          <w:rFonts w:ascii="Arial" w:hAnsi="Arial" w:cs="Arial"/>
          <w:color w:val="auto"/>
          <w:sz w:val="20"/>
        </w:rPr>
        <w:t>finančních úvěrech a </w:t>
      </w:r>
      <w:r w:rsidR="00E67753" w:rsidRPr="00C822C2">
        <w:rPr>
          <w:rFonts w:ascii="Arial" w:hAnsi="Arial" w:cs="Arial"/>
          <w:color w:val="auto"/>
          <w:sz w:val="20"/>
        </w:rPr>
        <w:t xml:space="preserve">účtech </w:t>
      </w:r>
      <w:r w:rsidR="00DC4637" w:rsidRPr="00C822C2">
        <w:rPr>
          <w:rFonts w:ascii="Arial" w:hAnsi="Arial" w:cs="Arial"/>
          <w:color w:val="auto"/>
          <w:sz w:val="20"/>
        </w:rPr>
        <w:t>v </w:t>
      </w:r>
      <w:r w:rsidR="00E67753" w:rsidRPr="00C822C2">
        <w:rPr>
          <w:rFonts w:ascii="Arial" w:hAnsi="Arial" w:cs="Arial"/>
          <w:color w:val="auto"/>
          <w:sz w:val="20"/>
        </w:rPr>
        <w:t>zahraničí nefinančních podniků a</w:t>
      </w:r>
      <w:r w:rsidR="001F0D38" w:rsidRPr="00C822C2">
        <w:rPr>
          <w:rFonts w:ascii="Arial" w:hAnsi="Arial" w:cs="Arial"/>
          <w:color w:val="auto"/>
          <w:sz w:val="20"/>
        </w:rPr>
        <w:t> ostatních finančních institucí</w:t>
      </w:r>
      <w:r w:rsidR="00191C8E" w:rsidRPr="00C822C2">
        <w:rPr>
          <w:rFonts w:ascii="Arial" w:hAnsi="Arial" w:cs="Arial"/>
          <w:color w:val="auto"/>
          <w:sz w:val="20"/>
        </w:rPr>
        <w:t>, měsíční výkaz vládních aktiv 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C822C2" w:rsidRPr="00C822C2">
        <w:rPr>
          <w:rFonts w:ascii="Arial" w:hAnsi="Arial" w:cs="Arial"/>
          <w:color w:val="auto"/>
          <w:sz w:val="20"/>
        </w:rPr>
        <w:t>pasiv</w:t>
      </w:r>
      <w:r w:rsidR="00191C8E" w:rsidRPr="00C822C2">
        <w:rPr>
          <w:rFonts w:ascii="Arial" w:hAnsi="Arial" w:cs="Arial"/>
          <w:color w:val="auto"/>
          <w:sz w:val="20"/>
        </w:rPr>
        <w:t>, administrativní zdroje.</w:t>
      </w:r>
    </w:p>
    <w:p w:rsidR="000572F9" w:rsidRPr="00C822C2" w:rsidRDefault="00191C8E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Rezervní aktiva – rozvaha ČNB.</w:t>
      </w: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Tab.</w:t>
      </w:r>
      <w:r w:rsidRPr="00A47F5D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>-16.</w:t>
      </w:r>
      <w:r w:rsidRPr="00C822C2">
        <w:rPr>
          <w:rFonts w:ascii="Arial" w:hAnsi="Arial" w:cs="Arial"/>
          <w:b/>
          <w:color w:val="auto"/>
          <w:sz w:val="20"/>
        </w:rPr>
        <w:t xml:space="preserve"> Zahraniční zadluženost České republiky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Zahraniční zadluženost představuje stav finančních </w:t>
      </w:r>
      <w:r w:rsidR="00C822C2" w:rsidRPr="00C822C2">
        <w:rPr>
          <w:rFonts w:ascii="Arial" w:hAnsi="Arial" w:cs="Arial"/>
          <w:color w:val="auto"/>
          <w:sz w:val="20"/>
        </w:rPr>
        <w:t xml:space="preserve">pasiv </w:t>
      </w:r>
      <w:r w:rsidRPr="00C822C2">
        <w:rPr>
          <w:rFonts w:ascii="Arial" w:hAnsi="Arial" w:cs="Arial"/>
          <w:color w:val="auto"/>
          <w:sz w:val="20"/>
        </w:rPr>
        <w:t xml:space="preserve">(s pevně stanovenou lhůtou splatnosti) </w:t>
      </w:r>
      <w:r w:rsidR="0080080B" w:rsidRPr="00C822C2">
        <w:rPr>
          <w:rFonts w:ascii="Arial" w:hAnsi="Arial" w:cs="Arial"/>
          <w:color w:val="auto"/>
          <w:sz w:val="20"/>
        </w:rPr>
        <w:t xml:space="preserve">jednotek národního hospodářství (rezidentů) </w:t>
      </w:r>
      <w:r w:rsidRPr="00C822C2">
        <w:rPr>
          <w:rFonts w:ascii="Arial" w:hAnsi="Arial" w:cs="Arial"/>
          <w:color w:val="auto"/>
          <w:sz w:val="20"/>
        </w:rPr>
        <w:t>ve vztahu k zahraničí (nerezidentům), tj. hodnotu čerpaných (na základě smluvního ujednání)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 xml:space="preserve">k určitému datu nesplacených (dlužných) částek. Nezahrnuje majetkové investice, tj. přímé investice </w:t>
      </w:r>
      <w:r w:rsidR="00E044C4" w:rsidRPr="00C822C2">
        <w:rPr>
          <w:rFonts w:ascii="Arial" w:hAnsi="Arial" w:cs="Arial"/>
          <w:color w:val="auto"/>
          <w:sz w:val="20"/>
        </w:rPr>
        <w:t xml:space="preserve">– </w:t>
      </w:r>
      <w:r w:rsidRPr="00C822C2">
        <w:rPr>
          <w:rFonts w:ascii="Arial" w:hAnsi="Arial" w:cs="Arial"/>
          <w:color w:val="auto"/>
          <w:sz w:val="20"/>
        </w:rPr>
        <w:t>základní kapitál</w:t>
      </w:r>
      <w:r w:rsidR="007246BF">
        <w:rPr>
          <w:rFonts w:ascii="Arial" w:hAnsi="Arial" w:cs="Arial"/>
          <w:color w:val="auto"/>
          <w:sz w:val="20"/>
        </w:rPr>
        <w:t xml:space="preserve"> vč</w:t>
      </w:r>
      <w:r w:rsidR="00985FF3">
        <w:rPr>
          <w:rFonts w:ascii="Arial" w:hAnsi="Arial" w:cs="Arial"/>
          <w:color w:val="auto"/>
          <w:sz w:val="20"/>
        </w:rPr>
        <w:t>etně</w:t>
      </w:r>
      <w:r w:rsidR="007246BF">
        <w:rPr>
          <w:rFonts w:ascii="Arial" w:hAnsi="Arial" w:cs="Arial"/>
          <w:color w:val="auto"/>
          <w:sz w:val="20"/>
        </w:rPr>
        <w:t xml:space="preserve"> reinvestovaného zisku</w:t>
      </w:r>
      <w:r w:rsidRPr="00C822C2">
        <w:rPr>
          <w:rFonts w:ascii="Arial" w:hAnsi="Arial" w:cs="Arial"/>
          <w:color w:val="auto"/>
          <w:sz w:val="20"/>
        </w:rPr>
        <w:t>, portfoliové investice – majetkové cenné papíry</w:t>
      </w:r>
      <w:r w:rsidR="00374D75" w:rsidRPr="00C822C2">
        <w:rPr>
          <w:rFonts w:ascii="Arial" w:hAnsi="Arial" w:cs="Arial"/>
          <w:color w:val="auto"/>
          <w:sz w:val="20"/>
        </w:rPr>
        <w:t xml:space="preserve">, </w:t>
      </w:r>
      <w:r w:rsidR="007246BF">
        <w:rPr>
          <w:rFonts w:ascii="Arial" w:hAnsi="Arial" w:cs="Arial"/>
          <w:color w:val="auto"/>
          <w:sz w:val="20"/>
        </w:rPr>
        <w:t xml:space="preserve">ostatní </w:t>
      </w:r>
      <w:r w:rsidR="00374D75" w:rsidRPr="00C822C2">
        <w:rPr>
          <w:rFonts w:ascii="Arial" w:hAnsi="Arial" w:cs="Arial"/>
          <w:color w:val="auto"/>
          <w:sz w:val="20"/>
        </w:rPr>
        <w:t>účasti</w:t>
      </w:r>
      <w:r w:rsidR="0046656C" w:rsidRPr="00C822C2">
        <w:rPr>
          <w:rFonts w:ascii="Arial" w:hAnsi="Arial" w:cs="Arial"/>
          <w:color w:val="auto"/>
          <w:sz w:val="20"/>
        </w:rPr>
        <w:t xml:space="preserve"> </w:t>
      </w:r>
      <w:r w:rsidR="004B08E7" w:rsidRPr="00C822C2">
        <w:rPr>
          <w:rFonts w:ascii="Arial" w:hAnsi="Arial" w:cs="Arial"/>
          <w:color w:val="auto"/>
          <w:sz w:val="20"/>
        </w:rPr>
        <w:t>a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4B08E7" w:rsidRPr="00C822C2">
        <w:rPr>
          <w:rFonts w:ascii="Arial" w:hAnsi="Arial" w:cs="Arial"/>
          <w:color w:val="auto"/>
          <w:sz w:val="20"/>
        </w:rPr>
        <w:t>deriváty</w:t>
      </w:r>
      <w:r w:rsidRPr="00C822C2">
        <w:rPr>
          <w:rFonts w:ascii="Arial" w:hAnsi="Arial" w:cs="Arial"/>
          <w:color w:val="auto"/>
          <w:sz w:val="20"/>
        </w:rPr>
        <w:t>.</w:t>
      </w:r>
    </w:p>
    <w:p w:rsidR="000572F9" w:rsidRPr="00C822C2" w:rsidRDefault="00C251ED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Zdroje </w:t>
      </w:r>
      <w:r w:rsidR="000572F9" w:rsidRPr="00C822C2">
        <w:rPr>
          <w:rFonts w:ascii="Arial" w:hAnsi="Arial" w:cs="Arial"/>
          <w:color w:val="auto"/>
          <w:sz w:val="20"/>
        </w:rPr>
        <w:t xml:space="preserve">dat pro sestavení zahraniční zadluženosti jsou </w:t>
      </w:r>
      <w:r w:rsidR="00374D75" w:rsidRPr="00C822C2">
        <w:rPr>
          <w:rFonts w:ascii="Arial" w:hAnsi="Arial" w:cs="Arial"/>
          <w:color w:val="auto"/>
          <w:sz w:val="20"/>
        </w:rPr>
        <w:t xml:space="preserve">shodné se zdroji dat </w:t>
      </w:r>
      <w:r w:rsidR="00900606" w:rsidRPr="00C822C2">
        <w:rPr>
          <w:rFonts w:ascii="Arial" w:hAnsi="Arial" w:cs="Arial"/>
          <w:color w:val="auto"/>
          <w:sz w:val="20"/>
        </w:rPr>
        <w:t>i</w:t>
      </w:r>
      <w:r w:rsidR="00374D75" w:rsidRPr="00C822C2">
        <w:rPr>
          <w:rFonts w:ascii="Arial" w:hAnsi="Arial" w:cs="Arial"/>
          <w:color w:val="auto"/>
          <w:sz w:val="20"/>
        </w:rPr>
        <w:t xml:space="preserve">nvestiční pozice vůči zahraničí (viz </w:t>
      </w:r>
      <w:r w:rsidRPr="00C822C2">
        <w:rPr>
          <w:rFonts w:ascii="Arial" w:hAnsi="Arial" w:cs="Arial"/>
          <w:color w:val="auto"/>
          <w:sz w:val="20"/>
        </w:rPr>
        <w:t>metodika k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Pr="00C822C2">
        <w:rPr>
          <w:rFonts w:ascii="Arial" w:hAnsi="Arial" w:cs="Arial"/>
          <w:color w:val="auto"/>
          <w:sz w:val="20"/>
        </w:rPr>
        <w:t>tabulce</w:t>
      </w:r>
      <w:r w:rsidR="002023AC" w:rsidRPr="00C822C2">
        <w:rPr>
          <w:rFonts w:ascii="Arial" w:hAnsi="Arial" w:cs="Arial"/>
          <w:color w:val="auto"/>
          <w:sz w:val="20"/>
        </w:rPr>
        <w:t> </w:t>
      </w:r>
      <w:r w:rsidR="00374D75" w:rsidRPr="00C822C2">
        <w:rPr>
          <w:rFonts w:ascii="Arial" w:hAnsi="Arial" w:cs="Arial"/>
          <w:b/>
          <w:color w:val="auto"/>
          <w:sz w:val="20"/>
        </w:rPr>
        <w:t>7</w:t>
      </w:r>
      <w:r w:rsidR="00374D75" w:rsidRPr="00C822C2">
        <w:rPr>
          <w:rFonts w:ascii="Arial" w:hAnsi="Arial" w:cs="Arial"/>
          <w:color w:val="auto"/>
          <w:sz w:val="20"/>
        </w:rPr>
        <w:t>-15</w:t>
      </w:r>
      <w:r w:rsidR="00AA14F9" w:rsidRPr="00C822C2">
        <w:rPr>
          <w:rFonts w:ascii="Arial" w:hAnsi="Arial" w:cs="Arial"/>
          <w:color w:val="auto"/>
          <w:sz w:val="20"/>
        </w:rPr>
        <w:t>.</w:t>
      </w:r>
      <w:r w:rsidR="00374D75" w:rsidRPr="00C822C2">
        <w:rPr>
          <w:rFonts w:ascii="Arial" w:hAnsi="Arial" w:cs="Arial"/>
          <w:color w:val="auto"/>
          <w:sz w:val="20"/>
        </w:rPr>
        <w:t>)</w:t>
      </w:r>
      <w:r w:rsidR="000572F9" w:rsidRPr="00C822C2">
        <w:rPr>
          <w:rFonts w:ascii="Arial" w:hAnsi="Arial" w:cs="Arial"/>
          <w:color w:val="auto"/>
          <w:sz w:val="20"/>
        </w:rPr>
        <w:t>.</w:t>
      </w: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Tab.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>-17.</w:t>
      </w:r>
      <w:r w:rsidRPr="00C822C2">
        <w:rPr>
          <w:rFonts w:ascii="Arial" w:hAnsi="Arial" w:cs="Arial"/>
          <w:b/>
          <w:color w:val="auto"/>
          <w:sz w:val="20"/>
        </w:rPr>
        <w:t xml:space="preserve"> </w:t>
      </w:r>
      <w:r w:rsidR="007246BF">
        <w:rPr>
          <w:rFonts w:ascii="Arial" w:hAnsi="Arial" w:cs="Arial"/>
          <w:b/>
          <w:color w:val="auto"/>
          <w:sz w:val="20"/>
        </w:rPr>
        <w:t>Rezervní aktiva</w:t>
      </w:r>
    </w:p>
    <w:p w:rsidR="000572F9" w:rsidRPr="00C822C2" w:rsidRDefault="007246BF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Rezervní aktiva</w:t>
      </w:r>
      <w:r w:rsidR="000572F9" w:rsidRPr="00C822C2">
        <w:rPr>
          <w:rFonts w:ascii="Arial" w:hAnsi="Arial" w:cs="Arial"/>
          <w:color w:val="auto"/>
          <w:sz w:val="20"/>
        </w:rPr>
        <w:t xml:space="preserve"> představují krátkodobá (likvidní) zahraniční aktiva </w:t>
      </w:r>
      <w:r w:rsidR="007255BB">
        <w:rPr>
          <w:rFonts w:ascii="Arial" w:hAnsi="Arial" w:cs="Arial"/>
          <w:color w:val="auto"/>
          <w:sz w:val="20"/>
        </w:rPr>
        <w:t>ČNB</w:t>
      </w:r>
      <w:r w:rsidR="000572F9" w:rsidRPr="00C822C2">
        <w:rPr>
          <w:rFonts w:ascii="Arial" w:hAnsi="Arial" w:cs="Arial"/>
          <w:color w:val="auto"/>
          <w:sz w:val="20"/>
        </w:rPr>
        <w:t xml:space="preserve"> </w:t>
      </w:r>
      <w:r w:rsidR="00900606" w:rsidRPr="00C822C2">
        <w:rPr>
          <w:rFonts w:ascii="Arial" w:hAnsi="Arial" w:cs="Arial"/>
          <w:color w:val="auto"/>
          <w:sz w:val="20"/>
        </w:rPr>
        <w:t>ve </w:t>
      </w:r>
      <w:r w:rsidR="000572F9" w:rsidRPr="00C822C2">
        <w:rPr>
          <w:rFonts w:ascii="Arial" w:hAnsi="Arial" w:cs="Arial"/>
          <w:color w:val="auto"/>
          <w:sz w:val="20"/>
        </w:rPr>
        <w:t>směnitelných měnách (vklady v zahraničních bankách, poskytnuté úvěry, cenn</w:t>
      </w:r>
      <w:r w:rsidR="00CC0A91" w:rsidRPr="00C822C2">
        <w:rPr>
          <w:rFonts w:ascii="Arial" w:hAnsi="Arial" w:cs="Arial"/>
          <w:color w:val="auto"/>
          <w:sz w:val="20"/>
        </w:rPr>
        <w:t>é</w:t>
      </w:r>
      <w:r w:rsidR="000572F9" w:rsidRPr="00C822C2">
        <w:rPr>
          <w:rFonts w:ascii="Arial" w:hAnsi="Arial" w:cs="Arial"/>
          <w:color w:val="auto"/>
          <w:sz w:val="20"/>
        </w:rPr>
        <w:t xml:space="preserve"> papír</w:t>
      </w:r>
      <w:r w:rsidR="00CC0A91" w:rsidRPr="00C822C2">
        <w:rPr>
          <w:rFonts w:ascii="Arial" w:hAnsi="Arial" w:cs="Arial"/>
          <w:color w:val="auto"/>
          <w:sz w:val="20"/>
        </w:rPr>
        <w:t>y</w:t>
      </w:r>
      <w:r w:rsidR="000572F9" w:rsidRPr="00C822C2">
        <w:rPr>
          <w:rFonts w:ascii="Arial" w:hAnsi="Arial" w:cs="Arial"/>
          <w:color w:val="auto"/>
          <w:sz w:val="20"/>
        </w:rPr>
        <w:t>, valut</w:t>
      </w:r>
      <w:r w:rsidR="000D73EC" w:rsidRPr="00C822C2">
        <w:rPr>
          <w:rFonts w:ascii="Arial" w:hAnsi="Arial" w:cs="Arial"/>
          <w:color w:val="auto"/>
          <w:sz w:val="20"/>
        </w:rPr>
        <w:t>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0572F9" w:rsidRPr="00C822C2">
        <w:rPr>
          <w:rFonts w:ascii="Arial" w:hAnsi="Arial" w:cs="Arial"/>
          <w:color w:val="auto"/>
          <w:sz w:val="20"/>
        </w:rPr>
        <w:t>zlat</w:t>
      </w:r>
      <w:r w:rsidR="000D73EC" w:rsidRPr="00C822C2">
        <w:rPr>
          <w:rFonts w:ascii="Arial" w:hAnsi="Arial" w:cs="Arial"/>
          <w:color w:val="auto"/>
          <w:sz w:val="20"/>
        </w:rPr>
        <w:t>o</w:t>
      </w:r>
      <w:r w:rsidR="000572F9" w:rsidRPr="00C822C2">
        <w:rPr>
          <w:rFonts w:ascii="Arial" w:hAnsi="Arial" w:cs="Arial"/>
          <w:color w:val="auto"/>
          <w:sz w:val="20"/>
        </w:rPr>
        <w:t>, zvláštní práva čerpání, rezervní pozice</w:t>
      </w:r>
      <w:r w:rsidR="0046656C" w:rsidRPr="00C822C2">
        <w:rPr>
          <w:rFonts w:ascii="Arial" w:hAnsi="Arial" w:cs="Arial"/>
          <w:color w:val="auto"/>
          <w:sz w:val="20"/>
        </w:rPr>
        <w:t xml:space="preserve"> u </w:t>
      </w:r>
      <w:r w:rsidR="000572F9" w:rsidRPr="00C822C2">
        <w:rPr>
          <w:rFonts w:ascii="Arial" w:hAnsi="Arial" w:cs="Arial"/>
          <w:color w:val="auto"/>
          <w:sz w:val="20"/>
        </w:rPr>
        <w:t>MMF) použitelná k financování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="000572F9" w:rsidRPr="00C822C2">
        <w:rPr>
          <w:rFonts w:ascii="Arial" w:hAnsi="Arial" w:cs="Arial"/>
          <w:color w:val="auto"/>
          <w:sz w:val="20"/>
        </w:rPr>
        <w:t>regulování nerovnováhy platební bilance.</w:t>
      </w:r>
    </w:p>
    <w:p w:rsidR="000572F9" w:rsidRPr="00C822C2" w:rsidRDefault="000572F9" w:rsidP="00EF756D">
      <w:pPr>
        <w:pStyle w:val="Standardn1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Podkladem pro jejich propočet je </w:t>
      </w:r>
      <w:r w:rsidR="00D77E4B" w:rsidRPr="000210CC">
        <w:rPr>
          <w:rFonts w:ascii="Arial" w:hAnsi="Arial" w:cs="Arial"/>
          <w:color w:val="auto"/>
          <w:sz w:val="20"/>
        </w:rPr>
        <w:t>rozvaha</w:t>
      </w:r>
      <w:r w:rsidR="00FB55C0" w:rsidRPr="00C822C2">
        <w:rPr>
          <w:rFonts w:ascii="Arial" w:hAnsi="Arial" w:cs="Arial"/>
          <w:color w:val="auto"/>
          <w:sz w:val="20"/>
        </w:rPr>
        <w:t xml:space="preserve"> </w:t>
      </w:r>
      <w:r w:rsidRPr="00C822C2">
        <w:rPr>
          <w:rFonts w:ascii="Arial" w:hAnsi="Arial" w:cs="Arial"/>
          <w:color w:val="auto"/>
          <w:sz w:val="20"/>
        </w:rPr>
        <w:t>ČNB.</w:t>
      </w: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1"/>
        <w:widowControl/>
        <w:jc w:val="both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Tab.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 xml:space="preserve">-18. </w:t>
      </w:r>
      <w:r w:rsidRPr="00C822C2">
        <w:rPr>
          <w:rFonts w:ascii="Arial" w:hAnsi="Arial" w:cs="Arial"/>
          <w:b/>
          <w:color w:val="auto"/>
          <w:sz w:val="20"/>
        </w:rPr>
        <w:t>Indexy nominálního</w:t>
      </w:r>
      <w:r w:rsidR="0046656C" w:rsidRPr="00C822C2">
        <w:rPr>
          <w:rFonts w:ascii="Arial" w:hAnsi="Arial" w:cs="Arial"/>
          <w:b/>
          <w:color w:val="auto"/>
          <w:sz w:val="20"/>
        </w:rPr>
        <w:t xml:space="preserve"> a </w:t>
      </w:r>
      <w:r w:rsidRPr="00C822C2">
        <w:rPr>
          <w:rFonts w:ascii="Arial" w:hAnsi="Arial" w:cs="Arial"/>
          <w:b/>
          <w:color w:val="auto"/>
          <w:sz w:val="20"/>
        </w:rPr>
        <w:t>reálného efektivního kurzu koruny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Nominální efektivní kurz koruny (NEER) vyjádřený indexem uvádí zhodnocení (index nad</w:t>
      </w:r>
      <w:r w:rsidR="00C02B31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100) či znehodnocení (index pod</w:t>
      </w:r>
      <w:r w:rsidR="00C02B31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100) národní měny vůči koši vybraných měn za určité období oproti základnímu období (rok</w:t>
      </w:r>
      <w:r w:rsidR="00411917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20</w:t>
      </w:r>
      <w:r w:rsidR="00511B05" w:rsidRPr="00C822C2">
        <w:rPr>
          <w:rFonts w:ascii="Arial" w:hAnsi="Arial" w:cs="Arial"/>
          <w:snapToGrid w:val="0"/>
        </w:rPr>
        <w:t>1</w:t>
      </w:r>
      <w:r w:rsidRPr="00C822C2">
        <w:rPr>
          <w:rFonts w:ascii="Arial" w:hAnsi="Arial" w:cs="Arial"/>
          <w:snapToGrid w:val="0"/>
        </w:rPr>
        <w:t xml:space="preserve">0). 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 xml:space="preserve">K výpočtům byla použita </w:t>
      </w:r>
      <w:r w:rsidR="002F0EF9">
        <w:rPr>
          <w:rFonts w:ascii="Arial" w:hAnsi="Arial" w:cs="Arial"/>
          <w:snapToGrid w:val="0"/>
        </w:rPr>
        <w:t xml:space="preserve">nejrozšířenější </w:t>
      </w:r>
      <w:r w:rsidRPr="00C822C2">
        <w:rPr>
          <w:rFonts w:ascii="Arial" w:hAnsi="Arial" w:cs="Arial"/>
          <w:snapToGrid w:val="0"/>
        </w:rPr>
        <w:t>metoda váženého geometrického průměru nominálních směnných kurzů se zohledněním váhových podílů celkového exportu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importu zemí, které patří k našim nejvýznamnějším obchodním partnerům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jejichž podíl na zahraničním obchod</w:t>
      </w:r>
      <w:r w:rsidR="008613A9" w:rsidRPr="00C822C2">
        <w:rPr>
          <w:rFonts w:ascii="Arial" w:hAnsi="Arial" w:cs="Arial"/>
          <w:snapToGrid w:val="0"/>
        </w:rPr>
        <w:t>u</w:t>
      </w:r>
      <w:r w:rsidRPr="00C822C2">
        <w:rPr>
          <w:rFonts w:ascii="Arial" w:hAnsi="Arial" w:cs="Arial"/>
          <w:snapToGrid w:val="0"/>
        </w:rPr>
        <w:t xml:space="preserve"> Č</w:t>
      </w:r>
      <w:r w:rsidR="00C56E0B" w:rsidRPr="00C822C2">
        <w:rPr>
          <w:rFonts w:ascii="Arial" w:hAnsi="Arial" w:cs="Arial"/>
          <w:snapToGrid w:val="0"/>
        </w:rPr>
        <w:t>eské republiky</w:t>
      </w:r>
      <w:r w:rsidRPr="00C822C2">
        <w:rPr>
          <w:rFonts w:ascii="Arial" w:hAnsi="Arial" w:cs="Arial"/>
          <w:snapToGrid w:val="0"/>
        </w:rPr>
        <w:t xml:space="preserve"> zaujímá cca 90 %. Mimo zem</w:t>
      </w:r>
      <w:r w:rsidR="003B2090" w:rsidRPr="00C822C2">
        <w:rPr>
          <w:rFonts w:ascii="Arial" w:hAnsi="Arial" w:cs="Arial"/>
          <w:snapToGrid w:val="0"/>
        </w:rPr>
        <w:t>ě</w:t>
      </w:r>
      <w:r w:rsidRPr="00C822C2">
        <w:rPr>
          <w:rFonts w:ascii="Arial" w:hAnsi="Arial" w:cs="Arial"/>
          <w:snapToGrid w:val="0"/>
        </w:rPr>
        <w:t xml:space="preserve"> eurozóny, </w:t>
      </w:r>
      <w:r w:rsidR="00D560D6" w:rsidRPr="00C822C2">
        <w:rPr>
          <w:rFonts w:ascii="Arial" w:hAnsi="Arial" w:cs="Arial"/>
          <w:snapToGrid w:val="0"/>
        </w:rPr>
        <w:t xml:space="preserve">zohledněné </w:t>
      </w:r>
      <w:r w:rsidRPr="00C822C2">
        <w:rPr>
          <w:rFonts w:ascii="Arial" w:hAnsi="Arial" w:cs="Arial"/>
          <w:snapToGrid w:val="0"/>
        </w:rPr>
        <w:t>jedním váhovým podílem</w:t>
      </w:r>
      <w:r w:rsidR="0046656C" w:rsidRPr="00C822C2">
        <w:rPr>
          <w:rFonts w:ascii="Arial" w:hAnsi="Arial" w:cs="Arial"/>
          <w:snapToGrid w:val="0"/>
        </w:rPr>
        <w:t xml:space="preserve"> a </w:t>
      </w:r>
      <w:r w:rsidRPr="00C822C2">
        <w:rPr>
          <w:rFonts w:ascii="Arial" w:hAnsi="Arial" w:cs="Arial"/>
          <w:snapToGrid w:val="0"/>
        </w:rPr>
        <w:t>kurzem EUR, je to Rusk</w:t>
      </w:r>
      <w:r w:rsidR="00C34D3F">
        <w:rPr>
          <w:rFonts w:ascii="Arial" w:hAnsi="Arial" w:cs="Arial"/>
          <w:snapToGrid w:val="0"/>
        </w:rPr>
        <w:t>o</w:t>
      </w:r>
      <w:r w:rsidRPr="00C822C2">
        <w:rPr>
          <w:rFonts w:ascii="Arial" w:hAnsi="Arial" w:cs="Arial"/>
          <w:snapToGrid w:val="0"/>
        </w:rPr>
        <w:t xml:space="preserve">, Polsko, </w:t>
      </w:r>
      <w:r w:rsidR="00C34D3F">
        <w:rPr>
          <w:rFonts w:ascii="Arial" w:hAnsi="Arial" w:cs="Arial"/>
          <w:snapToGrid w:val="0"/>
        </w:rPr>
        <w:t>Velká Británie</w:t>
      </w:r>
      <w:r w:rsidRPr="00C822C2">
        <w:rPr>
          <w:rFonts w:ascii="Arial" w:hAnsi="Arial" w:cs="Arial"/>
          <w:snapToGrid w:val="0"/>
        </w:rPr>
        <w:t xml:space="preserve">, </w:t>
      </w:r>
      <w:r w:rsidR="00A563BC" w:rsidRPr="00C822C2">
        <w:rPr>
          <w:rFonts w:ascii="Arial" w:hAnsi="Arial" w:cs="Arial"/>
          <w:snapToGrid w:val="0"/>
        </w:rPr>
        <w:t>Spojené státy</w:t>
      </w:r>
      <w:r w:rsidRPr="00C822C2">
        <w:rPr>
          <w:rFonts w:ascii="Arial" w:hAnsi="Arial" w:cs="Arial"/>
          <w:snapToGrid w:val="0"/>
        </w:rPr>
        <w:t>, Japonsko, Maďarsko, Švýcarsko, Švédsko, Dánsko</w:t>
      </w:r>
      <w:r w:rsidR="008613A9" w:rsidRPr="00C822C2">
        <w:rPr>
          <w:rFonts w:ascii="Arial" w:hAnsi="Arial" w:cs="Arial"/>
          <w:snapToGrid w:val="0"/>
        </w:rPr>
        <w:t xml:space="preserve">, </w:t>
      </w:r>
      <w:r w:rsidRPr="00C822C2">
        <w:rPr>
          <w:rFonts w:ascii="Arial" w:hAnsi="Arial" w:cs="Arial"/>
          <w:snapToGrid w:val="0"/>
        </w:rPr>
        <w:t>Čína</w:t>
      </w:r>
      <w:r w:rsidR="008613A9" w:rsidRPr="00C822C2">
        <w:rPr>
          <w:rFonts w:ascii="Arial" w:hAnsi="Arial" w:cs="Arial"/>
          <w:snapToGrid w:val="0"/>
        </w:rPr>
        <w:t xml:space="preserve">, </w:t>
      </w:r>
      <w:r w:rsidR="00A563BC" w:rsidRPr="00C822C2">
        <w:rPr>
          <w:rFonts w:ascii="Arial" w:hAnsi="Arial" w:cs="Arial"/>
          <w:snapToGrid w:val="0"/>
        </w:rPr>
        <w:t>Korejská republika</w:t>
      </w:r>
      <w:r w:rsidR="008613A9" w:rsidRPr="00C822C2">
        <w:rPr>
          <w:rFonts w:ascii="Arial" w:hAnsi="Arial" w:cs="Arial"/>
          <w:snapToGrid w:val="0"/>
        </w:rPr>
        <w:t xml:space="preserve"> a</w:t>
      </w:r>
      <w:r w:rsidR="00BB1052" w:rsidRPr="00C822C2">
        <w:rPr>
          <w:rFonts w:ascii="Arial" w:hAnsi="Arial" w:cs="Arial"/>
          <w:snapToGrid w:val="0"/>
        </w:rPr>
        <w:t> </w:t>
      </w:r>
      <w:r w:rsidR="008613A9" w:rsidRPr="00C822C2">
        <w:rPr>
          <w:rFonts w:ascii="Arial" w:hAnsi="Arial" w:cs="Arial"/>
          <w:snapToGrid w:val="0"/>
        </w:rPr>
        <w:t>Rumunsko</w:t>
      </w:r>
      <w:r w:rsidRPr="00C822C2">
        <w:rPr>
          <w:rFonts w:ascii="Arial" w:hAnsi="Arial" w:cs="Arial"/>
          <w:snapToGrid w:val="0"/>
        </w:rPr>
        <w:t>. Váhové podíly byly zpracovány ve dvou variantách. První varianta</w:t>
      </w:r>
      <w:r w:rsidR="002F0EF9">
        <w:rPr>
          <w:rFonts w:ascii="Arial" w:hAnsi="Arial" w:cs="Arial"/>
          <w:snapToGrid w:val="0"/>
        </w:rPr>
        <w:t>,</w:t>
      </w:r>
      <w:r w:rsidRPr="00C822C2">
        <w:rPr>
          <w:rFonts w:ascii="Arial" w:hAnsi="Arial" w:cs="Arial"/>
          <w:snapToGrid w:val="0"/>
        </w:rPr>
        <w:t xml:space="preserve"> uplatňovaná Mezinárodním měnovým fondem</w:t>
      </w:r>
      <w:r w:rsidR="002F0EF9">
        <w:rPr>
          <w:rFonts w:ascii="Arial" w:hAnsi="Arial" w:cs="Arial"/>
          <w:snapToGrid w:val="0"/>
        </w:rPr>
        <w:t>,</w:t>
      </w:r>
      <w:r w:rsidRPr="00C822C2">
        <w:rPr>
          <w:rFonts w:ascii="Arial" w:hAnsi="Arial" w:cs="Arial"/>
          <w:snapToGrid w:val="0"/>
        </w:rPr>
        <w:t xml:space="preserve"> se vztahuje k celému obchodnímu obratu zahraničního obchodu Č</w:t>
      </w:r>
      <w:r w:rsidR="00C56E0B" w:rsidRPr="00C822C2">
        <w:rPr>
          <w:rFonts w:ascii="Arial" w:hAnsi="Arial" w:cs="Arial"/>
          <w:snapToGrid w:val="0"/>
        </w:rPr>
        <w:t>eské republiky</w:t>
      </w:r>
      <w:r w:rsidRPr="00C822C2">
        <w:rPr>
          <w:rFonts w:ascii="Arial" w:hAnsi="Arial" w:cs="Arial"/>
          <w:snapToGrid w:val="0"/>
        </w:rPr>
        <w:t>. Druhá varianta</w:t>
      </w:r>
      <w:r w:rsidR="002F0EF9">
        <w:rPr>
          <w:rFonts w:ascii="Arial" w:hAnsi="Arial" w:cs="Arial"/>
          <w:snapToGrid w:val="0"/>
        </w:rPr>
        <w:t>,</w:t>
      </w:r>
      <w:r w:rsidRPr="00C822C2">
        <w:rPr>
          <w:rFonts w:ascii="Arial" w:hAnsi="Arial" w:cs="Arial"/>
          <w:snapToGrid w:val="0"/>
        </w:rPr>
        <w:t xml:space="preserve"> uplatňovaná Evropskou centrální bankou</w:t>
      </w:r>
      <w:r w:rsidR="002F0EF9">
        <w:rPr>
          <w:rFonts w:ascii="Arial" w:hAnsi="Arial" w:cs="Arial"/>
          <w:snapToGrid w:val="0"/>
        </w:rPr>
        <w:t>,</w:t>
      </w:r>
      <w:r w:rsidRPr="00C822C2">
        <w:rPr>
          <w:rFonts w:ascii="Arial" w:hAnsi="Arial" w:cs="Arial"/>
          <w:snapToGrid w:val="0"/>
        </w:rPr>
        <w:t xml:space="preserve"> </w:t>
      </w:r>
      <w:r w:rsidR="008613A9" w:rsidRPr="00C822C2">
        <w:rPr>
          <w:rFonts w:ascii="Arial" w:hAnsi="Arial" w:cs="Arial"/>
          <w:snapToGrid w:val="0"/>
        </w:rPr>
        <w:t>se </w:t>
      </w:r>
      <w:r w:rsidRPr="00C822C2">
        <w:rPr>
          <w:rFonts w:ascii="Arial" w:hAnsi="Arial" w:cs="Arial"/>
          <w:snapToGrid w:val="0"/>
        </w:rPr>
        <w:t>vztahuje pouze ke čtyřem komoditním skupinám zahraničního obchodu Č</w:t>
      </w:r>
      <w:r w:rsidR="00C56E0B" w:rsidRPr="00C822C2">
        <w:rPr>
          <w:rFonts w:ascii="Arial" w:hAnsi="Arial" w:cs="Arial"/>
          <w:snapToGrid w:val="0"/>
        </w:rPr>
        <w:t xml:space="preserve">eské </w:t>
      </w:r>
      <w:r w:rsidR="00C56E0B" w:rsidRPr="00C822C2">
        <w:rPr>
          <w:rFonts w:ascii="Arial" w:hAnsi="Arial" w:cs="Arial"/>
          <w:snapToGrid w:val="0"/>
        </w:rPr>
        <w:lastRenderedPageBreak/>
        <w:t>republiky</w:t>
      </w:r>
      <w:r w:rsidRPr="00C822C2">
        <w:rPr>
          <w:rFonts w:ascii="Arial" w:hAnsi="Arial" w:cs="Arial"/>
          <w:snapToGrid w:val="0"/>
        </w:rPr>
        <w:t>, mezi které patří komoditní skupiny</w:t>
      </w:r>
      <w:r w:rsidR="002A75CF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(5–8) podle klasifikace OSN </w:t>
      </w:r>
      <w:r w:rsidR="00E044C4" w:rsidRPr="00C822C2">
        <w:rPr>
          <w:rFonts w:ascii="Arial" w:hAnsi="Arial" w:cs="Arial"/>
          <w:snapToGrid w:val="0"/>
        </w:rPr>
        <w:t>– </w:t>
      </w:r>
      <w:r w:rsidRPr="00C822C2">
        <w:rPr>
          <w:rFonts w:ascii="Arial" w:hAnsi="Arial" w:cs="Arial"/>
          <w:i/>
          <w:iCs/>
          <w:snapToGrid w:val="0"/>
        </w:rPr>
        <w:t>Standard International Trade Classification</w:t>
      </w:r>
      <w:r w:rsidR="002A75CF" w:rsidRPr="00C822C2">
        <w:rPr>
          <w:rFonts w:ascii="Arial" w:hAnsi="Arial" w:cs="Arial"/>
          <w:snapToGrid w:val="0"/>
        </w:rPr>
        <w:t> </w:t>
      </w:r>
      <w:r w:rsidRPr="00C822C2">
        <w:rPr>
          <w:rFonts w:ascii="Arial" w:hAnsi="Arial" w:cs="Arial"/>
          <w:snapToGrid w:val="0"/>
        </w:rPr>
        <w:t>(SITC).</w:t>
      </w:r>
      <w:r w:rsidR="003B2090" w:rsidRPr="00C822C2">
        <w:rPr>
          <w:rFonts w:ascii="Arial" w:hAnsi="Arial" w:cs="Arial"/>
          <w:snapToGrid w:val="0"/>
        </w:rPr>
        <w:t xml:space="preserve"> </w:t>
      </w:r>
    </w:p>
    <w:p w:rsidR="000572F9" w:rsidRPr="00C822C2" w:rsidRDefault="000572F9" w:rsidP="00EF756D">
      <w:pPr>
        <w:spacing w:before="120"/>
        <w:ind w:firstLine="709"/>
        <w:jc w:val="both"/>
        <w:rPr>
          <w:rFonts w:ascii="Arial" w:hAnsi="Arial" w:cs="Arial"/>
          <w:snapToGrid w:val="0"/>
        </w:rPr>
      </w:pPr>
      <w:r w:rsidRPr="00C822C2">
        <w:rPr>
          <w:rFonts w:ascii="Arial" w:hAnsi="Arial" w:cs="Arial"/>
          <w:snapToGrid w:val="0"/>
        </w:rPr>
        <w:t>Zdroj dat: kurzovní lístek ČNB</w:t>
      </w:r>
      <w:r w:rsidR="002F0EF9">
        <w:rPr>
          <w:rFonts w:ascii="Arial" w:hAnsi="Arial" w:cs="Arial"/>
          <w:snapToGrid w:val="0"/>
        </w:rPr>
        <w:t>;</w:t>
      </w:r>
      <w:r w:rsidR="002F0EF9" w:rsidRPr="00C822C2">
        <w:rPr>
          <w:rFonts w:ascii="Arial" w:hAnsi="Arial" w:cs="Arial"/>
          <w:snapToGrid w:val="0"/>
        </w:rPr>
        <w:t xml:space="preserve"> </w:t>
      </w:r>
      <w:r w:rsidRPr="00C822C2">
        <w:rPr>
          <w:rFonts w:ascii="Arial" w:hAnsi="Arial" w:cs="Arial"/>
          <w:snapToGrid w:val="0"/>
        </w:rPr>
        <w:t>publikace ČSÚ</w:t>
      </w:r>
      <w:r w:rsidR="0046656C" w:rsidRPr="00C822C2">
        <w:rPr>
          <w:rFonts w:ascii="Arial" w:hAnsi="Arial" w:cs="Arial"/>
          <w:snapToGrid w:val="0"/>
        </w:rPr>
        <w:t xml:space="preserve"> o </w:t>
      </w:r>
      <w:r w:rsidRPr="00C822C2">
        <w:rPr>
          <w:rFonts w:ascii="Arial" w:hAnsi="Arial" w:cs="Arial"/>
          <w:snapToGrid w:val="0"/>
        </w:rPr>
        <w:t>zahraničním obchod</w:t>
      </w:r>
      <w:r w:rsidR="008613A9" w:rsidRPr="00C822C2">
        <w:rPr>
          <w:rFonts w:ascii="Arial" w:hAnsi="Arial" w:cs="Arial"/>
          <w:snapToGrid w:val="0"/>
        </w:rPr>
        <w:t>u</w:t>
      </w:r>
      <w:r w:rsidRPr="00C822C2">
        <w:rPr>
          <w:rFonts w:ascii="Arial" w:hAnsi="Arial" w:cs="Arial"/>
          <w:snapToGrid w:val="0"/>
        </w:rPr>
        <w:t xml:space="preserve"> ČR. 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Reálný efektivní</w:t>
      </w:r>
      <w:r w:rsidR="00027B73" w:rsidRPr="00C822C2">
        <w:rPr>
          <w:rFonts w:ascii="Arial" w:hAnsi="Arial" w:cs="Arial"/>
          <w:sz w:val="20"/>
        </w:rPr>
        <w:t xml:space="preserve"> kurz koruny (REER) je jedním z</w:t>
      </w:r>
      <w:r w:rsidR="00C56E0B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indikátorů vývoje mezinárodní konkurenceschopnosti země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>obecně se jím rozumí různé míry relativních cen nebo nákladů vyjádřené v určité měně. Z tohoto pohledu index REER nad</w:t>
      </w:r>
      <w:r w:rsidR="00C02B31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100 signalizuje tendenci ke snižování konkurenceschopnosti země proti základnímu období, pokles indexu REER pod</w:t>
      </w:r>
      <w:r w:rsidR="00C02B31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100 znamená zvyšování konkurenceschopnosti země oproti základnímu období (rok</w:t>
      </w:r>
      <w:r w:rsidR="00411917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20</w:t>
      </w:r>
      <w:r w:rsidR="00511B05" w:rsidRPr="00C822C2">
        <w:rPr>
          <w:rFonts w:ascii="Arial" w:hAnsi="Arial" w:cs="Arial"/>
          <w:sz w:val="20"/>
        </w:rPr>
        <w:t>1</w:t>
      </w:r>
      <w:r w:rsidRPr="00C822C2">
        <w:rPr>
          <w:rFonts w:ascii="Arial" w:hAnsi="Arial" w:cs="Arial"/>
          <w:sz w:val="20"/>
        </w:rPr>
        <w:t>0).</w:t>
      </w:r>
      <w:r w:rsidR="003B2090" w:rsidRPr="00C822C2">
        <w:rPr>
          <w:rFonts w:ascii="Arial" w:hAnsi="Arial" w:cs="Arial"/>
          <w:sz w:val="20"/>
        </w:rPr>
        <w:t xml:space="preserve"> 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Z metod používaných pro výpočet REER byla použita nejrozšířenější metoda váženého geometrického průměru poměru indexu nominálního kurzu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>cenového diferenciálu, přičemž vahami jsou podíly největších obchodních partnerů na obratu zahraničního obchodu.</w:t>
      </w:r>
      <w:r w:rsidR="003B2090" w:rsidRPr="00C822C2">
        <w:rPr>
          <w:rFonts w:ascii="Arial" w:hAnsi="Arial" w:cs="Arial"/>
          <w:sz w:val="20"/>
        </w:rPr>
        <w:t xml:space="preserve"> 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Při konstrukci indexu reálného efektivního kurzu koruny byly použity spotřebitelské ceny a ceny průmyslových výrobců 1</w:t>
      </w:r>
      <w:r w:rsidR="008613A9" w:rsidRPr="00C822C2">
        <w:rPr>
          <w:rFonts w:ascii="Arial" w:hAnsi="Arial" w:cs="Arial"/>
          <w:sz w:val="20"/>
        </w:rPr>
        <w:t>2</w:t>
      </w:r>
      <w:r w:rsidR="00C02B31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zemí mimo eurozónu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>všech zemí eurozóny. Jednotlivé země eurozóny jsou pro výpočty uváděny jako jedna měnová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 xml:space="preserve">cenová oblast. Počet zemí eurozóny </w:t>
      </w:r>
      <w:r w:rsidR="008613A9" w:rsidRPr="00C822C2">
        <w:rPr>
          <w:rFonts w:ascii="Arial" w:hAnsi="Arial" w:cs="Arial"/>
          <w:sz w:val="20"/>
        </w:rPr>
        <w:t>se </w:t>
      </w:r>
      <w:r w:rsidRPr="00C822C2">
        <w:rPr>
          <w:rFonts w:ascii="Arial" w:hAnsi="Arial" w:cs="Arial"/>
          <w:sz w:val="20"/>
        </w:rPr>
        <w:t>mění podle aktuálního stavu. Struktura zemí</w:t>
      </w:r>
      <w:r w:rsidR="0046656C" w:rsidRPr="00C822C2">
        <w:rPr>
          <w:rFonts w:ascii="Arial" w:hAnsi="Arial" w:cs="Arial"/>
          <w:sz w:val="20"/>
        </w:rPr>
        <w:t xml:space="preserve"> a </w:t>
      </w:r>
      <w:r w:rsidRPr="00C822C2">
        <w:rPr>
          <w:rFonts w:ascii="Arial" w:hAnsi="Arial" w:cs="Arial"/>
          <w:sz w:val="20"/>
        </w:rPr>
        <w:t xml:space="preserve">jejich váhové podíly jsou shodné s metodikou výpočtu indexu </w:t>
      </w:r>
      <w:r w:rsidR="002F0EF9">
        <w:rPr>
          <w:rFonts w:ascii="Arial" w:hAnsi="Arial" w:cs="Arial"/>
          <w:sz w:val="20"/>
        </w:rPr>
        <w:t>NEER</w:t>
      </w:r>
      <w:r w:rsidRPr="00C822C2">
        <w:rPr>
          <w:rFonts w:ascii="Arial" w:hAnsi="Arial" w:cs="Arial"/>
          <w:sz w:val="20"/>
        </w:rPr>
        <w:t>. V první variantě se váhy vztahují k celému obratu zahraničního obchodu, ve druhé variantě se váhové podíly vztahují pouze na obrat v komoditních skupinách</w:t>
      </w:r>
      <w:r w:rsidR="00411917" w:rsidRPr="00C822C2">
        <w:rPr>
          <w:rFonts w:ascii="Arial" w:hAnsi="Arial" w:cs="Arial"/>
          <w:sz w:val="20"/>
        </w:rPr>
        <w:t> </w:t>
      </w:r>
      <w:r w:rsidRPr="00C822C2">
        <w:rPr>
          <w:rFonts w:ascii="Arial" w:hAnsi="Arial" w:cs="Arial"/>
          <w:sz w:val="20"/>
        </w:rPr>
        <w:t>(5–8) podle klasifikace SITC.</w:t>
      </w:r>
    </w:p>
    <w:p w:rsidR="000572F9" w:rsidRPr="00C822C2" w:rsidRDefault="000572F9" w:rsidP="00EF756D">
      <w:pPr>
        <w:pStyle w:val="Zkladntext"/>
        <w:widowControl/>
        <w:spacing w:before="120"/>
        <w:ind w:right="0" w:firstLine="709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>Zdroj dat: statistiky ECB</w:t>
      </w:r>
      <w:r w:rsidR="002F0EF9">
        <w:rPr>
          <w:rFonts w:ascii="Arial" w:hAnsi="Arial" w:cs="Arial"/>
          <w:sz w:val="20"/>
        </w:rPr>
        <w:t>;</w:t>
      </w:r>
      <w:r w:rsidRPr="00C822C2">
        <w:rPr>
          <w:rFonts w:ascii="Arial" w:hAnsi="Arial" w:cs="Arial"/>
          <w:sz w:val="20"/>
        </w:rPr>
        <w:t xml:space="preserve"> indexy nominálního kurzu z propočtů ČNB.</w:t>
      </w:r>
    </w:p>
    <w:p w:rsidR="000572F9" w:rsidRPr="00C822C2" w:rsidRDefault="000572F9" w:rsidP="00EF756D">
      <w:pPr>
        <w:pStyle w:val="Zkladntext"/>
        <w:widowControl/>
        <w:spacing w:before="120"/>
        <w:ind w:right="0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sz w:val="20"/>
        </w:rPr>
        <w:t xml:space="preserve">Vzorec výpočtu indexu </w:t>
      </w:r>
      <w:r w:rsidR="002F0EF9">
        <w:rPr>
          <w:rFonts w:ascii="Arial" w:hAnsi="Arial" w:cs="Arial"/>
          <w:sz w:val="20"/>
        </w:rPr>
        <w:t>REER</w:t>
      </w:r>
      <w:r w:rsidRPr="00C822C2">
        <w:rPr>
          <w:rFonts w:ascii="Arial" w:hAnsi="Arial" w:cs="Arial"/>
          <w:sz w:val="20"/>
        </w:rPr>
        <w:t>:</w:t>
      </w:r>
    </w:p>
    <w:p w:rsidR="000572F9" w:rsidRPr="00C822C2" w:rsidRDefault="000572F9" w:rsidP="00EF756D">
      <w:pPr>
        <w:pStyle w:val="Zkladntext"/>
        <w:widowControl/>
        <w:ind w:left="737" w:right="0"/>
        <w:jc w:val="both"/>
        <w:rPr>
          <w:rFonts w:ascii="Arial" w:hAnsi="Arial" w:cs="Arial"/>
          <w:sz w:val="20"/>
        </w:rPr>
      </w:pPr>
      <w:r w:rsidRPr="00C822C2">
        <w:rPr>
          <w:rFonts w:ascii="Arial" w:hAnsi="Arial" w:cs="Arial"/>
          <w:position w:val="-36"/>
          <w:sz w:val="20"/>
        </w:rPr>
        <w:object w:dxaOrig="2920" w:dyaOrig="940">
          <v:shape id="_x0000_i1025" type="#_x0000_t75" style="width:180.6pt;height:60pt" o:ole="" fillcolor="window">
            <v:imagedata r:id="rId15" o:title=""/>
          </v:shape>
          <o:OLEObject Type="Embed" ProgID="Equation.3" ShapeID="_x0000_i1025" DrawAspect="Content" ObjectID="_1538888485" r:id="rId16"/>
        </w:object>
      </w:r>
    </w:p>
    <w:p w:rsidR="000572F9" w:rsidRPr="00C822C2" w:rsidRDefault="000572F9" w:rsidP="00EF756D">
      <w:pPr>
        <w:pStyle w:val="Zkladntext"/>
        <w:widowControl/>
        <w:ind w:right="0"/>
        <w:jc w:val="both"/>
        <w:rPr>
          <w:rFonts w:ascii="Arial" w:hAnsi="Arial" w:cs="Arial"/>
          <w:sz w:val="20"/>
        </w:rPr>
      </w:pPr>
    </w:p>
    <w:p w:rsidR="000572F9" w:rsidRPr="00C822C2" w:rsidRDefault="000572F9" w:rsidP="00EF756D">
      <w:pPr>
        <w:pStyle w:val="Zkladntext"/>
        <w:widowControl/>
        <w:ind w:right="0"/>
        <w:jc w:val="both"/>
        <w:rPr>
          <w:rFonts w:ascii="Arial" w:hAnsi="Arial" w:cs="Arial"/>
          <w:sz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708"/>
        <w:gridCol w:w="7938"/>
      </w:tblGrid>
      <w:tr w:rsidR="000572F9" w:rsidRPr="00C822C2">
        <w:tc>
          <w:tcPr>
            <w:tcW w:w="496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kde</w:t>
            </w:r>
          </w:p>
        </w:tc>
        <w:tc>
          <w:tcPr>
            <w:tcW w:w="708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S</w:t>
            </w:r>
            <w:r w:rsidRPr="00C822C2">
              <w:rPr>
                <w:rFonts w:ascii="Arial" w:hAnsi="Arial" w:cs="Arial"/>
                <w:color w:val="auto"/>
                <w:sz w:val="20"/>
                <w:vertAlign w:val="subscript"/>
              </w:rPr>
              <w:t>it</w:t>
            </w:r>
            <w:r w:rsidRPr="00C822C2">
              <w:rPr>
                <w:rFonts w:ascii="Arial" w:hAnsi="Arial" w:cs="Arial"/>
                <w:color w:val="auto"/>
                <w:sz w:val="20"/>
                <w:vertAlign w:val="superscript"/>
              </w:rPr>
              <w:t>*</w:t>
            </w:r>
            <w:r w:rsidRPr="00C822C2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AA14F9" w:rsidRPr="00C822C2">
              <w:rPr>
                <w:rFonts w:ascii="Arial" w:hAnsi="Arial" w:cs="Arial"/>
                <w:color w:val="auto"/>
                <w:sz w:val="20"/>
              </w:rPr>
              <w:t>–</w:t>
            </w:r>
          </w:p>
        </w:tc>
        <w:tc>
          <w:tcPr>
            <w:tcW w:w="7938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bazický index tuzemské měny k měně i-tého obchodního partnera v období t</w:t>
            </w:r>
          </w:p>
        </w:tc>
      </w:tr>
      <w:tr w:rsidR="000572F9" w:rsidRPr="00C822C2">
        <w:tc>
          <w:tcPr>
            <w:tcW w:w="496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08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P</w:t>
            </w:r>
            <w:r w:rsidRPr="00C822C2">
              <w:rPr>
                <w:rFonts w:ascii="Arial" w:hAnsi="Arial" w:cs="Arial"/>
                <w:color w:val="auto"/>
                <w:sz w:val="20"/>
                <w:vertAlign w:val="subscript"/>
              </w:rPr>
              <w:t>it</w:t>
            </w:r>
            <w:r w:rsidRPr="00C822C2">
              <w:rPr>
                <w:rFonts w:ascii="Arial" w:hAnsi="Arial" w:cs="Arial"/>
                <w:color w:val="auto"/>
                <w:sz w:val="20"/>
                <w:vertAlign w:val="superscript"/>
              </w:rPr>
              <w:t>*</w:t>
            </w:r>
            <w:r w:rsidRPr="00C822C2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AA14F9" w:rsidRPr="00C822C2">
              <w:rPr>
                <w:rFonts w:ascii="Arial" w:hAnsi="Arial" w:cs="Arial"/>
                <w:color w:val="auto"/>
                <w:sz w:val="20"/>
              </w:rPr>
              <w:t>–</w:t>
            </w:r>
          </w:p>
        </w:tc>
        <w:tc>
          <w:tcPr>
            <w:tcW w:w="7938" w:type="dxa"/>
          </w:tcPr>
          <w:p w:rsidR="000572F9" w:rsidRPr="00C822C2" w:rsidRDefault="00733795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p</w:t>
            </w:r>
            <w:r w:rsidR="000572F9" w:rsidRPr="00C822C2">
              <w:rPr>
                <w:rFonts w:ascii="Arial" w:hAnsi="Arial" w:cs="Arial"/>
                <w:color w:val="auto"/>
                <w:sz w:val="20"/>
              </w:rPr>
              <w:t>oměr bazického cenového indexu i-tého obchodního partnera v období t k bazickému cenovému indexu ČR v období t, kde bazický rok je stejný jako bazický rok při výpočtu S</w:t>
            </w:r>
            <w:r w:rsidR="000572F9" w:rsidRPr="00C822C2">
              <w:rPr>
                <w:rFonts w:ascii="Arial" w:hAnsi="Arial" w:cs="Arial"/>
                <w:color w:val="auto"/>
                <w:sz w:val="20"/>
                <w:vertAlign w:val="subscript"/>
              </w:rPr>
              <w:t>i</w:t>
            </w:r>
            <w:r w:rsidR="000572F9" w:rsidRPr="00C822C2">
              <w:rPr>
                <w:rFonts w:ascii="Arial" w:hAnsi="Arial" w:cs="Arial"/>
                <w:color w:val="auto"/>
                <w:sz w:val="20"/>
                <w:vertAlign w:val="superscript"/>
              </w:rPr>
              <w:t>*</w:t>
            </w:r>
          </w:p>
        </w:tc>
      </w:tr>
      <w:tr w:rsidR="000572F9" w:rsidRPr="00C822C2">
        <w:tc>
          <w:tcPr>
            <w:tcW w:w="496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708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w</w:t>
            </w:r>
            <w:r w:rsidRPr="00C822C2">
              <w:rPr>
                <w:rFonts w:ascii="Arial" w:hAnsi="Arial" w:cs="Arial"/>
                <w:color w:val="auto"/>
                <w:sz w:val="20"/>
                <w:vertAlign w:val="subscript"/>
              </w:rPr>
              <w:t>i</w:t>
            </w:r>
            <w:r w:rsidRPr="00C822C2">
              <w:rPr>
                <w:rFonts w:ascii="Arial" w:hAnsi="Arial" w:cs="Arial"/>
                <w:color w:val="auto"/>
                <w:sz w:val="20"/>
                <w:vertAlign w:val="superscript"/>
              </w:rPr>
              <w:t>*</w:t>
            </w:r>
            <w:r w:rsidRPr="00C822C2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AA14F9" w:rsidRPr="00C822C2">
              <w:rPr>
                <w:rFonts w:ascii="Arial" w:hAnsi="Arial" w:cs="Arial"/>
                <w:color w:val="auto"/>
                <w:sz w:val="20"/>
              </w:rPr>
              <w:t>–</w:t>
            </w:r>
          </w:p>
        </w:tc>
        <w:tc>
          <w:tcPr>
            <w:tcW w:w="7938" w:type="dxa"/>
          </w:tcPr>
          <w:p w:rsidR="000572F9" w:rsidRPr="00C822C2" w:rsidRDefault="000572F9" w:rsidP="00EF756D">
            <w:pPr>
              <w:pStyle w:val="Standardnte"/>
              <w:widowControl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C822C2">
              <w:rPr>
                <w:rFonts w:ascii="Arial" w:hAnsi="Arial" w:cs="Arial"/>
                <w:color w:val="auto"/>
                <w:sz w:val="20"/>
              </w:rPr>
              <w:t>normalizované váhy měny i-tého obchodního partnera</w:t>
            </w:r>
          </w:p>
        </w:tc>
      </w:tr>
    </w:tbl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both"/>
        <w:outlineLvl w:val="0"/>
        <w:rPr>
          <w:rFonts w:ascii="Arial" w:hAnsi="Arial" w:cs="Arial"/>
          <w:b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Tab. </w:t>
      </w:r>
      <w:r w:rsidRPr="00C822C2">
        <w:rPr>
          <w:rFonts w:ascii="Arial" w:hAnsi="Arial" w:cs="Arial"/>
          <w:b/>
          <w:color w:val="auto"/>
          <w:sz w:val="20"/>
        </w:rPr>
        <w:t>7</w:t>
      </w:r>
      <w:r w:rsidRPr="00C822C2">
        <w:rPr>
          <w:rFonts w:ascii="Arial" w:hAnsi="Arial" w:cs="Arial"/>
          <w:color w:val="auto"/>
          <w:sz w:val="20"/>
        </w:rPr>
        <w:t xml:space="preserve">-19. </w:t>
      </w:r>
      <w:r w:rsidRPr="00C822C2">
        <w:rPr>
          <w:rFonts w:ascii="Arial" w:hAnsi="Arial" w:cs="Arial"/>
          <w:b/>
          <w:color w:val="auto"/>
          <w:sz w:val="20"/>
        </w:rPr>
        <w:t>Devizové kurzy hlavních měn</w:t>
      </w:r>
    </w:p>
    <w:p w:rsidR="000572F9" w:rsidRPr="00C822C2" w:rsidRDefault="000572F9" w:rsidP="00EF756D">
      <w:pPr>
        <w:pStyle w:val="Standardnte"/>
        <w:widowControl/>
        <w:spacing w:before="120"/>
        <w:ind w:firstLine="709"/>
        <w:jc w:val="both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 xml:space="preserve">Průměrné roční kurzy </w:t>
      </w:r>
      <w:r w:rsidR="0089424A" w:rsidRPr="00C822C2">
        <w:rPr>
          <w:rFonts w:ascii="Arial" w:hAnsi="Arial" w:cs="Arial"/>
          <w:color w:val="auto"/>
          <w:sz w:val="20"/>
        </w:rPr>
        <w:t xml:space="preserve">zahraničních </w:t>
      </w:r>
      <w:r w:rsidRPr="00C822C2">
        <w:rPr>
          <w:rFonts w:ascii="Arial" w:hAnsi="Arial" w:cs="Arial"/>
          <w:color w:val="auto"/>
          <w:sz w:val="20"/>
        </w:rPr>
        <w:t>měn vůči Kč byly počítány z denních kótovaných hodnot uváděných v kurzovním lístku vydávaném ČNB.</w:t>
      </w:r>
    </w:p>
    <w:p w:rsidR="000572F9" w:rsidRPr="00C822C2" w:rsidRDefault="000572F9" w:rsidP="00EF756D">
      <w:pPr>
        <w:pStyle w:val="Standardnte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center"/>
        <w:rPr>
          <w:rFonts w:ascii="Arial" w:hAnsi="Arial" w:cs="Arial"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*          *          *</w:t>
      </w:r>
    </w:p>
    <w:p w:rsidR="000572F9" w:rsidRPr="00C822C2" w:rsidRDefault="000572F9" w:rsidP="00EF756D">
      <w:pPr>
        <w:pStyle w:val="Standardnte"/>
        <w:widowControl/>
        <w:jc w:val="both"/>
        <w:rPr>
          <w:rFonts w:ascii="Arial" w:hAnsi="Arial" w:cs="Arial"/>
          <w:color w:val="auto"/>
          <w:sz w:val="20"/>
        </w:rPr>
      </w:pPr>
    </w:p>
    <w:p w:rsidR="000572F9" w:rsidRPr="00C822C2" w:rsidRDefault="000572F9" w:rsidP="00EF756D">
      <w:pPr>
        <w:pStyle w:val="Standardnte"/>
        <w:widowControl/>
        <w:jc w:val="both"/>
        <w:rPr>
          <w:rFonts w:ascii="Arial" w:hAnsi="Arial" w:cs="Arial"/>
          <w:color w:val="auto"/>
          <w:sz w:val="20"/>
        </w:rPr>
      </w:pPr>
    </w:p>
    <w:p w:rsidR="00F628D6" w:rsidRPr="00C822C2" w:rsidRDefault="000572F9" w:rsidP="00EF756D">
      <w:pPr>
        <w:pStyle w:val="Standardnte"/>
        <w:widowControl/>
        <w:ind w:firstLine="709"/>
        <w:jc w:val="both"/>
        <w:rPr>
          <w:rFonts w:ascii="Arial" w:hAnsi="Arial" w:cs="Arial"/>
          <w:bCs/>
          <w:color w:val="auto"/>
          <w:sz w:val="20"/>
        </w:rPr>
      </w:pPr>
      <w:r w:rsidRPr="00C822C2">
        <w:rPr>
          <w:rFonts w:ascii="Arial" w:hAnsi="Arial" w:cs="Arial"/>
          <w:color w:val="auto"/>
          <w:sz w:val="20"/>
        </w:rPr>
        <w:t>Podrobnější přehledy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>aktuální údaje z oblasti měnové statistiky</w:t>
      </w:r>
      <w:r w:rsidR="0046656C" w:rsidRPr="00C822C2">
        <w:rPr>
          <w:rFonts w:ascii="Arial" w:hAnsi="Arial" w:cs="Arial"/>
          <w:color w:val="auto"/>
          <w:sz w:val="20"/>
        </w:rPr>
        <w:t xml:space="preserve"> a </w:t>
      </w:r>
      <w:r w:rsidRPr="00C822C2">
        <w:rPr>
          <w:rFonts w:ascii="Arial" w:hAnsi="Arial" w:cs="Arial"/>
          <w:color w:val="auto"/>
          <w:sz w:val="20"/>
        </w:rPr>
        <w:t xml:space="preserve">platební bilance jsou k dispozici na </w:t>
      </w:r>
      <w:r w:rsidR="004C496E">
        <w:rPr>
          <w:rFonts w:ascii="Arial" w:hAnsi="Arial" w:cs="Arial"/>
          <w:color w:val="auto"/>
          <w:sz w:val="20"/>
        </w:rPr>
        <w:t>internetových stránkách ČNB</w:t>
      </w:r>
      <w:r w:rsidRPr="00C822C2">
        <w:rPr>
          <w:rFonts w:ascii="Arial" w:hAnsi="Arial" w:cs="Arial"/>
          <w:color w:val="auto"/>
          <w:sz w:val="20"/>
        </w:rPr>
        <w:t>:</w:t>
      </w:r>
      <w:r w:rsidRPr="00C822C2">
        <w:rPr>
          <w:rFonts w:ascii="Arial" w:hAnsi="Arial" w:cs="Arial"/>
          <w:bCs/>
          <w:color w:val="auto"/>
          <w:sz w:val="20"/>
        </w:rPr>
        <w:t xml:space="preserve"> </w:t>
      </w:r>
    </w:p>
    <w:p w:rsidR="000572F9" w:rsidRPr="009067CA" w:rsidRDefault="000572F9" w:rsidP="00EF756D">
      <w:pPr>
        <w:pStyle w:val="Standardnte"/>
        <w:widowControl/>
        <w:spacing w:before="120"/>
        <w:jc w:val="both"/>
        <w:rPr>
          <w:rFonts w:ascii="Arial" w:hAnsi="Arial" w:cs="Arial"/>
          <w:bCs/>
          <w:color w:val="auto"/>
          <w:sz w:val="20"/>
        </w:rPr>
      </w:pPr>
      <w:r w:rsidRPr="009067CA">
        <w:rPr>
          <w:rFonts w:ascii="Arial" w:hAnsi="Arial" w:cs="Arial"/>
          <w:bCs/>
          <w:color w:val="auto"/>
          <w:sz w:val="20"/>
        </w:rPr>
        <w:t>– </w:t>
      </w:r>
      <w:hyperlink w:history="1"/>
      <w:hyperlink r:id="rId17" w:history="1">
        <w:r w:rsidR="0000297B" w:rsidRPr="009067CA">
          <w:rPr>
            <w:rStyle w:val="Hypertextovodkaz"/>
            <w:rFonts w:ascii="Arial" w:hAnsi="Arial" w:cs="Arial"/>
            <w:bCs/>
            <w:sz w:val="20"/>
          </w:rPr>
          <w:t>www.cnb.cz/</w:t>
        </w:r>
        <w:r w:rsidR="0000297B" w:rsidRPr="009067CA">
          <w:rPr>
            <w:rStyle w:val="Hypertextovodkaz"/>
            <w:rFonts w:ascii="Arial" w:hAnsi="Arial" w:cs="Arial"/>
            <w:bCs/>
            <w:sz w:val="20"/>
          </w:rPr>
          <w:t>c</w:t>
        </w:r>
        <w:r w:rsidR="0000297B" w:rsidRPr="009067CA">
          <w:rPr>
            <w:rStyle w:val="Hypertextovodkaz"/>
            <w:rFonts w:ascii="Arial" w:hAnsi="Arial" w:cs="Arial"/>
            <w:bCs/>
            <w:sz w:val="20"/>
          </w:rPr>
          <w:t>s/statistika</w:t>
        </w:r>
      </w:hyperlink>
      <w:r w:rsidR="00433F84" w:rsidRPr="009067CA">
        <w:rPr>
          <w:rFonts w:ascii="Arial" w:hAnsi="Arial" w:cs="Arial"/>
          <w:bCs/>
          <w:color w:val="auto"/>
          <w:sz w:val="20"/>
        </w:rPr>
        <w:t xml:space="preserve"> </w:t>
      </w:r>
    </w:p>
    <w:sectPr w:rsidR="000572F9" w:rsidRPr="009067CA" w:rsidSect="00615E70">
      <w:headerReference w:type="even" r:id="rId18"/>
      <w:pgSz w:w="11907" w:h="16840" w:code="9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54D" w:rsidRDefault="0033754D">
      <w:r>
        <w:separator/>
      </w:r>
    </w:p>
  </w:endnote>
  <w:endnote w:type="continuationSeparator" w:id="0">
    <w:p w:rsidR="0033754D" w:rsidRDefault="0033754D">
      <w:r>
        <w:continuationSeparator/>
      </w:r>
    </w:p>
  </w:endnote>
  <w:endnote w:type="continuationNotice" w:id="1">
    <w:p w:rsidR="0033754D" w:rsidRDefault="0033754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54D" w:rsidRDefault="0033754D">
      <w:r>
        <w:separator/>
      </w:r>
    </w:p>
  </w:footnote>
  <w:footnote w:type="continuationSeparator" w:id="0">
    <w:p w:rsidR="0033754D" w:rsidRDefault="0033754D">
      <w:r>
        <w:continuationSeparator/>
      </w:r>
    </w:p>
  </w:footnote>
  <w:footnote w:type="continuationNotice" w:id="1">
    <w:p w:rsidR="0033754D" w:rsidRDefault="0033754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DEA" w:rsidRDefault="0099601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11DE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1DEA">
      <w:rPr>
        <w:rStyle w:val="slostrnky"/>
        <w:noProof/>
      </w:rPr>
      <w:t>10</w:t>
    </w:r>
    <w:r>
      <w:rPr>
        <w:rStyle w:val="slostrnky"/>
      </w:rPr>
      <w:fldChar w:fldCharType="end"/>
    </w:r>
  </w:p>
  <w:p w:rsidR="00D11DEA" w:rsidRDefault="00D11DE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5DF9"/>
    <w:multiLevelType w:val="hybridMultilevel"/>
    <w:tmpl w:val="BBE490D4"/>
    <w:lvl w:ilvl="0" w:tplc="A95A6686">
      <w:start w:val="1"/>
      <w:numFmt w:val="bullet"/>
      <w:lvlText w:val="-"/>
      <w:lvlJc w:val="left"/>
      <w:pPr>
        <w:tabs>
          <w:tab w:val="num" w:pos="1871"/>
        </w:tabs>
        <w:ind w:left="1871" w:hanging="283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">
    <w:nsid w:val="0EAF02FE"/>
    <w:multiLevelType w:val="hybridMultilevel"/>
    <w:tmpl w:val="A29266D0"/>
    <w:lvl w:ilvl="0" w:tplc="BC8E353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103FDB"/>
    <w:multiLevelType w:val="singleLevel"/>
    <w:tmpl w:val="E4A4222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">
    <w:nsid w:val="296A0290"/>
    <w:multiLevelType w:val="singleLevel"/>
    <w:tmpl w:val="EECA49DA"/>
    <w:lvl w:ilvl="0">
      <w:start w:val="8"/>
      <w:numFmt w:val="bullet"/>
      <w:lvlText w:val="-"/>
      <w:lvlJc w:val="left"/>
      <w:pPr>
        <w:tabs>
          <w:tab w:val="num" w:pos="1443"/>
        </w:tabs>
        <w:ind w:left="1443" w:hanging="735"/>
      </w:pPr>
      <w:rPr>
        <w:rFonts w:hint="default"/>
      </w:rPr>
    </w:lvl>
  </w:abstractNum>
  <w:abstractNum w:abstractNumId="4">
    <w:nsid w:val="2B005284"/>
    <w:multiLevelType w:val="singleLevel"/>
    <w:tmpl w:val="BEDE03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</w:abstractNum>
  <w:abstractNum w:abstractNumId="5">
    <w:nsid w:val="37957E5F"/>
    <w:multiLevelType w:val="singleLevel"/>
    <w:tmpl w:val="C2FE0DFC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</w:rPr>
    </w:lvl>
  </w:abstractNum>
  <w:abstractNum w:abstractNumId="6">
    <w:nsid w:val="387F2640"/>
    <w:multiLevelType w:val="singleLevel"/>
    <w:tmpl w:val="42F29A38"/>
    <w:lvl w:ilvl="0">
      <w:numFmt w:val="bullet"/>
      <w:lvlText w:val="-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7">
    <w:nsid w:val="44094F94"/>
    <w:multiLevelType w:val="hybridMultilevel"/>
    <w:tmpl w:val="DABCDCF0"/>
    <w:lvl w:ilvl="0" w:tplc="907A372C">
      <w:numFmt w:val="bullet"/>
      <w:lvlText w:val="–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8">
    <w:nsid w:val="54B03CA2"/>
    <w:multiLevelType w:val="hybridMultilevel"/>
    <w:tmpl w:val="65DAD58E"/>
    <w:lvl w:ilvl="0" w:tplc="28BC16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AA67C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32B3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F27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C6A5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8C0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BCC3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D4E7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47324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61511DB"/>
    <w:multiLevelType w:val="singleLevel"/>
    <w:tmpl w:val="75907F7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/>
      </w:rPr>
    </w:lvl>
  </w:abstractNum>
  <w:abstractNum w:abstractNumId="11">
    <w:nsid w:val="6A2439DD"/>
    <w:multiLevelType w:val="multilevel"/>
    <w:tmpl w:val="0A3C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1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67C8"/>
    <w:rsid w:val="0000297B"/>
    <w:rsid w:val="000057E2"/>
    <w:rsid w:val="00010178"/>
    <w:rsid w:val="00013564"/>
    <w:rsid w:val="00016A3A"/>
    <w:rsid w:val="000204BA"/>
    <w:rsid w:val="00020A4A"/>
    <w:rsid w:val="000210CC"/>
    <w:rsid w:val="00023BB7"/>
    <w:rsid w:val="0002783A"/>
    <w:rsid w:val="00027B73"/>
    <w:rsid w:val="000314C8"/>
    <w:rsid w:val="000572F9"/>
    <w:rsid w:val="000900E9"/>
    <w:rsid w:val="0009131E"/>
    <w:rsid w:val="000A3B45"/>
    <w:rsid w:val="000B065A"/>
    <w:rsid w:val="000B08BC"/>
    <w:rsid w:val="000B0F0D"/>
    <w:rsid w:val="000B149F"/>
    <w:rsid w:val="000B59E8"/>
    <w:rsid w:val="000B62E4"/>
    <w:rsid w:val="000C3F4E"/>
    <w:rsid w:val="000D73EC"/>
    <w:rsid w:val="000E42BA"/>
    <w:rsid w:val="00102B3F"/>
    <w:rsid w:val="00104267"/>
    <w:rsid w:val="00110527"/>
    <w:rsid w:val="00125F53"/>
    <w:rsid w:val="001314C6"/>
    <w:rsid w:val="00134134"/>
    <w:rsid w:val="00136612"/>
    <w:rsid w:val="00137347"/>
    <w:rsid w:val="00156C83"/>
    <w:rsid w:val="00164427"/>
    <w:rsid w:val="00173A21"/>
    <w:rsid w:val="00173F39"/>
    <w:rsid w:val="00184F43"/>
    <w:rsid w:val="00191C8E"/>
    <w:rsid w:val="001933C7"/>
    <w:rsid w:val="00193E70"/>
    <w:rsid w:val="001A14FE"/>
    <w:rsid w:val="001A33C5"/>
    <w:rsid w:val="001A5E5B"/>
    <w:rsid w:val="001B0D4E"/>
    <w:rsid w:val="001B7B11"/>
    <w:rsid w:val="001D300C"/>
    <w:rsid w:val="001D301D"/>
    <w:rsid w:val="001D3DCD"/>
    <w:rsid w:val="001D78B7"/>
    <w:rsid w:val="001F0D38"/>
    <w:rsid w:val="001F3F9F"/>
    <w:rsid w:val="001F706B"/>
    <w:rsid w:val="002023AC"/>
    <w:rsid w:val="00203D9E"/>
    <w:rsid w:val="002125E4"/>
    <w:rsid w:val="00214344"/>
    <w:rsid w:val="002148E2"/>
    <w:rsid w:val="00216260"/>
    <w:rsid w:val="0023066C"/>
    <w:rsid w:val="002319FD"/>
    <w:rsid w:val="00235510"/>
    <w:rsid w:val="002446C8"/>
    <w:rsid w:val="00244FB1"/>
    <w:rsid w:val="00247B6C"/>
    <w:rsid w:val="00251255"/>
    <w:rsid w:val="002523C8"/>
    <w:rsid w:val="00253088"/>
    <w:rsid w:val="00263CC5"/>
    <w:rsid w:val="0027794F"/>
    <w:rsid w:val="002834A3"/>
    <w:rsid w:val="00291215"/>
    <w:rsid w:val="00291252"/>
    <w:rsid w:val="002A75CF"/>
    <w:rsid w:val="002B7687"/>
    <w:rsid w:val="002C1CDF"/>
    <w:rsid w:val="002C3710"/>
    <w:rsid w:val="002C422A"/>
    <w:rsid w:val="002E1558"/>
    <w:rsid w:val="002E3BCC"/>
    <w:rsid w:val="002F0EF9"/>
    <w:rsid w:val="002F54BA"/>
    <w:rsid w:val="0030666D"/>
    <w:rsid w:val="00310A25"/>
    <w:rsid w:val="00314A5F"/>
    <w:rsid w:val="0031770F"/>
    <w:rsid w:val="00322EDB"/>
    <w:rsid w:val="00336EC0"/>
    <w:rsid w:val="0033754D"/>
    <w:rsid w:val="003478B2"/>
    <w:rsid w:val="00354553"/>
    <w:rsid w:val="00355B80"/>
    <w:rsid w:val="00373677"/>
    <w:rsid w:val="003738AF"/>
    <w:rsid w:val="0037401A"/>
    <w:rsid w:val="00374D75"/>
    <w:rsid w:val="00377B82"/>
    <w:rsid w:val="00381E65"/>
    <w:rsid w:val="00382AA3"/>
    <w:rsid w:val="003B077F"/>
    <w:rsid w:val="003B2090"/>
    <w:rsid w:val="003C1771"/>
    <w:rsid w:val="003D5AF0"/>
    <w:rsid w:val="003D6C67"/>
    <w:rsid w:val="003E1C8F"/>
    <w:rsid w:val="003E1CEC"/>
    <w:rsid w:val="003E57AD"/>
    <w:rsid w:val="003E6D84"/>
    <w:rsid w:val="003F4A82"/>
    <w:rsid w:val="003F6772"/>
    <w:rsid w:val="00411917"/>
    <w:rsid w:val="00413B7F"/>
    <w:rsid w:val="00420721"/>
    <w:rsid w:val="00433F84"/>
    <w:rsid w:val="00441322"/>
    <w:rsid w:val="00443EA9"/>
    <w:rsid w:val="00460051"/>
    <w:rsid w:val="0046656C"/>
    <w:rsid w:val="00466912"/>
    <w:rsid w:val="00466A75"/>
    <w:rsid w:val="004675B5"/>
    <w:rsid w:val="0048508B"/>
    <w:rsid w:val="004862BA"/>
    <w:rsid w:val="004929E8"/>
    <w:rsid w:val="004B06C2"/>
    <w:rsid w:val="004B08E7"/>
    <w:rsid w:val="004B3135"/>
    <w:rsid w:val="004B48D4"/>
    <w:rsid w:val="004C345F"/>
    <w:rsid w:val="004C4780"/>
    <w:rsid w:val="004C496E"/>
    <w:rsid w:val="004D040B"/>
    <w:rsid w:val="004D06BD"/>
    <w:rsid w:val="00511B05"/>
    <w:rsid w:val="005271E2"/>
    <w:rsid w:val="005337EA"/>
    <w:rsid w:val="005379AC"/>
    <w:rsid w:val="00537C1B"/>
    <w:rsid w:val="005407C2"/>
    <w:rsid w:val="005419BF"/>
    <w:rsid w:val="0054296F"/>
    <w:rsid w:val="00544857"/>
    <w:rsid w:val="00544CA6"/>
    <w:rsid w:val="00556C47"/>
    <w:rsid w:val="005679FE"/>
    <w:rsid w:val="00586676"/>
    <w:rsid w:val="005967C8"/>
    <w:rsid w:val="005A3C44"/>
    <w:rsid w:val="005C00D3"/>
    <w:rsid w:val="005C070A"/>
    <w:rsid w:val="005C3D6D"/>
    <w:rsid w:val="005C427B"/>
    <w:rsid w:val="005D5A54"/>
    <w:rsid w:val="005E650A"/>
    <w:rsid w:val="00601606"/>
    <w:rsid w:val="0060409A"/>
    <w:rsid w:val="00615E70"/>
    <w:rsid w:val="00625A82"/>
    <w:rsid w:val="00626950"/>
    <w:rsid w:val="006468C7"/>
    <w:rsid w:val="00655E31"/>
    <w:rsid w:val="00672335"/>
    <w:rsid w:val="00685343"/>
    <w:rsid w:val="006A4D6B"/>
    <w:rsid w:val="006B2312"/>
    <w:rsid w:val="006B3F7B"/>
    <w:rsid w:val="006B4BA9"/>
    <w:rsid w:val="006C0161"/>
    <w:rsid w:val="006C26CC"/>
    <w:rsid w:val="006C380B"/>
    <w:rsid w:val="006D72FF"/>
    <w:rsid w:val="006F3573"/>
    <w:rsid w:val="006F5AAA"/>
    <w:rsid w:val="00702827"/>
    <w:rsid w:val="00707180"/>
    <w:rsid w:val="00710B5A"/>
    <w:rsid w:val="00714B89"/>
    <w:rsid w:val="00715964"/>
    <w:rsid w:val="007246BF"/>
    <w:rsid w:val="007255BB"/>
    <w:rsid w:val="0072688C"/>
    <w:rsid w:val="00726D99"/>
    <w:rsid w:val="00733795"/>
    <w:rsid w:val="0074223B"/>
    <w:rsid w:val="00744B25"/>
    <w:rsid w:val="00744FE7"/>
    <w:rsid w:val="0075023A"/>
    <w:rsid w:val="0075344E"/>
    <w:rsid w:val="00760E27"/>
    <w:rsid w:val="007701F8"/>
    <w:rsid w:val="007709C2"/>
    <w:rsid w:val="00771A50"/>
    <w:rsid w:val="00771FD4"/>
    <w:rsid w:val="00781BC9"/>
    <w:rsid w:val="00783CB5"/>
    <w:rsid w:val="007B2365"/>
    <w:rsid w:val="007B4A87"/>
    <w:rsid w:val="007D3609"/>
    <w:rsid w:val="007E3009"/>
    <w:rsid w:val="007F6D32"/>
    <w:rsid w:val="007F6F47"/>
    <w:rsid w:val="0080080B"/>
    <w:rsid w:val="00816E88"/>
    <w:rsid w:val="008243EC"/>
    <w:rsid w:val="008268E7"/>
    <w:rsid w:val="00826A80"/>
    <w:rsid w:val="00832D78"/>
    <w:rsid w:val="00846AEF"/>
    <w:rsid w:val="00854289"/>
    <w:rsid w:val="008613A9"/>
    <w:rsid w:val="0086606D"/>
    <w:rsid w:val="008875E8"/>
    <w:rsid w:val="0089102C"/>
    <w:rsid w:val="008932C2"/>
    <w:rsid w:val="0089424A"/>
    <w:rsid w:val="008A1D53"/>
    <w:rsid w:val="008A3195"/>
    <w:rsid w:val="008B6BF7"/>
    <w:rsid w:val="008B71D3"/>
    <w:rsid w:val="008D2FDE"/>
    <w:rsid w:val="008D3471"/>
    <w:rsid w:val="008E675C"/>
    <w:rsid w:val="008F4534"/>
    <w:rsid w:val="00900606"/>
    <w:rsid w:val="009067CA"/>
    <w:rsid w:val="00947303"/>
    <w:rsid w:val="00964FA2"/>
    <w:rsid w:val="00983AD7"/>
    <w:rsid w:val="00985FF3"/>
    <w:rsid w:val="00995CD6"/>
    <w:rsid w:val="00996013"/>
    <w:rsid w:val="009A4A2D"/>
    <w:rsid w:val="009A56C7"/>
    <w:rsid w:val="009C3F86"/>
    <w:rsid w:val="009D7A9D"/>
    <w:rsid w:val="009E3002"/>
    <w:rsid w:val="009E6D29"/>
    <w:rsid w:val="009F3604"/>
    <w:rsid w:val="00A031DA"/>
    <w:rsid w:val="00A04CD0"/>
    <w:rsid w:val="00A07482"/>
    <w:rsid w:val="00A319AF"/>
    <w:rsid w:val="00A338FF"/>
    <w:rsid w:val="00A43914"/>
    <w:rsid w:val="00A47F5D"/>
    <w:rsid w:val="00A534B0"/>
    <w:rsid w:val="00A563BC"/>
    <w:rsid w:val="00A85731"/>
    <w:rsid w:val="00AA00B2"/>
    <w:rsid w:val="00AA14F9"/>
    <w:rsid w:val="00AC25B9"/>
    <w:rsid w:val="00AD5E63"/>
    <w:rsid w:val="00AE118D"/>
    <w:rsid w:val="00AF4E93"/>
    <w:rsid w:val="00B01E93"/>
    <w:rsid w:val="00B14691"/>
    <w:rsid w:val="00B462CA"/>
    <w:rsid w:val="00B57F7F"/>
    <w:rsid w:val="00B63BDD"/>
    <w:rsid w:val="00B7004D"/>
    <w:rsid w:val="00B91D94"/>
    <w:rsid w:val="00B961B1"/>
    <w:rsid w:val="00BA3F1C"/>
    <w:rsid w:val="00BB1052"/>
    <w:rsid w:val="00BB23B7"/>
    <w:rsid w:val="00BB69ED"/>
    <w:rsid w:val="00BC074A"/>
    <w:rsid w:val="00BD0F80"/>
    <w:rsid w:val="00BD41C9"/>
    <w:rsid w:val="00BD4BF8"/>
    <w:rsid w:val="00BE1EC3"/>
    <w:rsid w:val="00BE3CF3"/>
    <w:rsid w:val="00C023D1"/>
    <w:rsid w:val="00C02B31"/>
    <w:rsid w:val="00C1633E"/>
    <w:rsid w:val="00C1634C"/>
    <w:rsid w:val="00C22594"/>
    <w:rsid w:val="00C251ED"/>
    <w:rsid w:val="00C253B4"/>
    <w:rsid w:val="00C34D3F"/>
    <w:rsid w:val="00C365AF"/>
    <w:rsid w:val="00C43935"/>
    <w:rsid w:val="00C44086"/>
    <w:rsid w:val="00C55882"/>
    <w:rsid w:val="00C56E0B"/>
    <w:rsid w:val="00C60A31"/>
    <w:rsid w:val="00C80648"/>
    <w:rsid w:val="00C822C2"/>
    <w:rsid w:val="00C86A31"/>
    <w:rsid w:val="00C97F6F"/>
    <w:rsid w:val="00CC0A91"/>
    <w:rsid w:val="00CC1B1B"/>
    <w:rsid w:val="00CC6BAA"/>
    <w:rsid w:val="00CD2908"/>
    <w:rsid w:val="00CE4728"/>
    <w:rsid w:val="00CF06E3"/>
    <w:rsid w:val="00D06A34"/>
    <w:rsid w:val="00D11DEA"/>
    <w:rsid w:val="00D12EBA"/>
    <w:rsid w:val="00D33E20"/>
    <w:rsid w:val="00D35264"/>
    <w:rsid w:val="00D37C43"/>
    <w:rsid w:val="00D46514"/>
    <w:rsid w:val="00D47B2B"/>
    <w:rsid w:val="00D560D6"/>
    <w:rsid w:val="00D6328D"/>
    <w:rsid w:val="00D755D4"/>
    <w:rsid w:val="00D77E4B"/>
    <w:rsid w:val="00D813AF"/>
    <w:rsid w:val="00D965A3"/>
    <w:rsid w:val="00DA5445"/>
    <w:rsid w:val="00DC446A"/>
    <w:rsid w:val="00DC4637"/>
    <w:rsid w:val="00DC4920"/>
    <w:rsid w:val="00DC5E89"/>
    <w:rsid w:val="00DD0207"/>
    <w:rsid w:val="00DD5844"/>
    <w:rsid w:val="00DE036F"/>
    <w:rsid w:val="00DF61B9"/>
    <w:rsid w:val="00E044C4"/>
    <w:rsid w:val="00E13551"/>
    <w:rsid w:val="00E3417C"/>
    <w:rsid w:val="00E34847"/>
    <w:rsid w:val="00E35332"/>
    <w:rsid w:val="00E41919"/>
    <w:rsid w:val="00E54F3A"/>
    <w:rsid w:val="00E56D8A"/>
    <w:rsid w:val="00E67753"/>
    <w:rsid w:val="00E67817"/>
    <w:rsid w:val="00E757DC"/>
    <w:rsid w:val="00E845F2"/>
    <w:rsid w:val="00E93D81"/>
    <w:rsid w:val="00EA165A"/>
    <w:rsid w:val="00EA42AB"/>
    <w:rsid w:val="00EA7F4C"/>
    <w:rsid w:val="00EC59A9"/>
    <w:rsid w:val="00EC5FCF"/>
    <w:rsid w:val="00ED6289"/>
    <w:rsid w:val="00ED695D"/>
    <w:rsid w:val="00EE1943"/>
    <w:rsid w:val="00EF756D"/>
    <w:rsid w:val="00F012D7"/>
    <w:rsid w:val="00F2295B"/>
    <w:rsid w:val="00F2522E"/>
    <w:rsid w:val="00F33C3A"/>
    <w:rsid w:val="00F375A7"/>
    <w:rsid w:val="00F628D6"/>
    <w:rsid w:val="00F643C6"/>
    <w:rsid w:val="00F702DC"/>
    <w:rsid w:val="00F726C8"/>
    <w:rsid w:val="00F950A2"/>
    <w:rsid w:val="00F975EC"/>
    <w:rsid w:val="00FA741A"/>
    <w:rsid w:val="00FB55C0"/>
    <w:rsid w:val="00FD5BF6"/>
    <w:rsid w:val="00FD7B55"/>
    <w:rsid w:val="00FE574F"/>
    <w:rsid w:val="00FF7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15E70"/>
  </w:style>
  <w:style w:type="paragraph" w:styleId="Nadpis1">
    <w:name w:val="heading 1"/>
    <w:basedOn w:val="Normln"/>
    <w:next w:val="Normln"/>
    <w:qFormat/>
    <w:rsid w:val="00615E70"/>
    <w:pPr>
      <w:keepNext/>
      <w:widowControl w:val="0"/>
      <w:outlineLvl w:val="0"/>
    </w:pPr>
    <w:rPr>
      <w:b/>
      <w:snapToGrid w:val="0"/>
      <w:sz w:val="24"/>
    </w:rPr>
  </w:style>
  <w:style w:type="paragraph" w:styleId="Nadpis2">
    <w:name w:val="heading 2"/>
    <w:basedOn w:val="Normln"/>
    <w:next w:val="Normln"/>
    <w:qFormat/>
    <w:rsid w:val="00615E70"/>
    <w:pPr>
      <w:keepNext/>
      <w:widowControl w:val="0"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rsid w:val="00615E70"/>
    <w:pPr>
      <w:keepNext/>
      <w:jc w:val="both"/>
      <w:outlineLvl w:val="2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1">
    <w:name w:val="Standardní :1"/>
    <w:rsid w:val="00615E70"/>
    <w:pPr>
      <w:widowControl w:val="0"/>
    </w:pPr>
    <w:rPr>
      <w:snapToGrid w:val="0"/>
      <w:color w:val="000000"/>
      <w:sz w:val="24"/>
    </w:rPr>
  </w:style>
  <w:style w:type="paragraph" w:customStyle="1" w:styleId="Standardnte">
    <w:name w:val="Standardní te"/>
    <w:rsid w:val="00615E70"/>
    <w:pPr>
      <w:widowControl w:val="0"/>
    </w:pPr>
    <w:rPr>
      <w:snapToGrid w:val="0"/>
      <w:color w:val="000000"/>
      <w:sz w:val="24"/>
    </w:rPr>
  </w:style>
  <w:style w:type="paragraph" w:styleId="Zkladntext">
    <w:name w:val="Body Text"/>
    <w:basedOn w:val="Normln"/>
    <w:rsid w:val="00615E70"/>
    <w:pPr>
      <w:widowControl w:val="0"/>
      <w:ind w:right="-375"/>
    </w:pPr>
    <w:rPr>
      <w:snapToGrid w:val="0"/>
      <w:sz w:val="24"/>
    </w:rPr>
  </w:style>
  <w:style w:type="paragraph" w:styleId="Zkladntext2">
    <w:name w:val="Body Text 2"/>
    <w:basedOn w:val="Normln"/>
    <w:rsid w:val="00615E70"/>
    <w:pPr>
      <w:widowControl w:val="0"/>
      <w:ind w:right="-659"/>
    </w:pPr>
    <w:rPr>
      <w:snapToGrid w:val="0"/>
      <w:sz w:val="24"/>
    </w:rPr>
  </w:style>
  <w:style w:type="paragraph" w:styleId="Zkladntext3">
    <w:name w:val="Body Text 3"/>
    <w:basedOn w:val="Normln"/>
    <w:rsid w:val="00615E70"/>
    <w:pPr>
      <w:widowControl w:val="0"/>
      <w:ind w:right="-517"/>
    </w:pPr>
    <w:rPr>
      <w:snapToGrid w:val="0"/>
      <w:sz w:val="24"/>
    </w:rPr>
  </w:style>
  <w:style w:type="paragraph" w:styleId="Rozvrendokumentu">
    <w:name w:val="Document Map"/>
    <w:basedOn w:val="Normln"/>
    <w:semiHidden/>
    <w:rsid w:val="00615E70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link w:val="ZhlavChar"/>
    <w:uiPriority w:val="99"/>
    <w:rsid w:val="00615E7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15E70"/>
  </w:style>
  <w:style w:type="character" w:styleId="Hypertextovodkaz">
    <w:name w:val="Hyperlink"/>
    <w:basedOn w:val="Standardnpsmoodstavce"/>
    <w:rsid w:val="00615E70"/>
    <w:rPr>
      <w:color w:val="0000FF"/>
      <w:u w:val="single"/>
    </w:rPr>
  </w:style>
  <w:style w:type="paragraph" w:styleId="Podtitul">
    <w:name w:val="Subtitle"/>
    <w:basedOn w:val="Normln"/>
    <w:qFormat/>
    <w:rsid w:val="00615E70"/>
    <w:pPr>
      <w:jc w:val="center"/>
    </w:pPr>
    <w:rPr>
      <w:sz w:val="28"/>
      <w:lang w:val="en-GB"/>
    </w:rPr>
  </w:style>
  <w:style w:type="paragraph" w:styleId="Zkladntextodsazen2">
    <w:name w:val="Body Text Indent 2"/>
    <w:basedOn w:val="Normln"/>
    <w:rsid w:val="00615E70"/>
    <w:pPr>
      <w:ind w:left="709"/>
      <w:jc w:val="both"/>
    </w:pPr>
    <w:rPr>
      <w:sz w:val="24"/>
      <w:lang w:val="en-GB"/>
    </w:rPr>
  </w:style>
  <w:style w:type="paragraph" w:styleId="Zkladntextodsazen3">
    <w:name w:val="Body Text Indent 3"/>
    <w:basedOn w:val="Normln"/>
    <w:rsid w:val="00615E70"/>
    <w:pPr>
      <w:ind w:left="1134" w:hanging="567"/>
      <w:jc w:val="both"/>
    </w:pPr>
    <w:rPr>
      <w:snapToGrid w:val="0"/>
      <w:sz w:val="24"/>
    </w:rPr>
  </w:style>
  <w:style w:type="paragraph" w:styleId="Zkladntextodsazen">
    <w:name w:val="Body Text Indent"/>
    <w:basedOn w:val="Normln"/>
    <w:rsid w:val="00615E70"/>
    <w:pPr>
      <w:widowControl w:val="0"/>
      <w:ind w:firstLine="720"/>
    </w:pPr>
    <w:rPr>
      <w:snapToGrid w:val="0"/>
      <w:sz w:val="24"/>
    </w:rPr>
  </w:style>
  <w:style w:type="paragraph" w:styleId="Zpat">
    <w:name w:val="footer"/>
    <w:basedOn w:val="Normln"/>
    <w:rsid w:val="00615E7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15E70"/>
    <w:pPr>
      <w:jc w:val="center"/>
    </w:pPr>
    <w:rPr>
      <w:b/>
      <w:sz w:val="32"/>
    </w:rPr>
  </w:style>
  <w:style w:type="paragraph" w:styleId="Textbubliny">
    <w:name w:val="Balloon Text"/>
    <w:basedOn w:val="Normln"/>
    <w:semiHidden/>
    <w:rsid w:val="00615E70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rsid w:val="00615E70"/>
    <w:rPr>
      <w:color w:val="800080"/>
      <w:u w:val="single"/>
    </w:rPr>
  </w:style>
  <w:style w:type="character" w:customStyle="1" w:styleId="Typewriter">
    <w:name w:val="Typewriter"/>
    <w:rsid w:val="00615E70"/>
    <w:rPr>
      <w:rFonts w:ascii="Courier New" w:hAnsi="Courier New"/>
      <w:sz w:val="20"/>
    </w:rPr>
  </w:style>
  <w:style w:type="paragraph" w:styleId="Normlnweb">
    <w:name w:val="Normal (Web)"/>
    <w:basedOn w:val="Normln"/>
    <w:rsid w:val="00783CB5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basedOn w:val="Standardnpsmoodstavce"/>
    <w:rsid w:val="007255B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5BB"/>
  </w:style>
  <w:style w:type="character" w:customStyle="1" w:styleId="TextkomenteChar">
    <w:name w:val="Text komentáře Char"/>
    <w:basedOn w:val="Standardnpsmoodstavce"/>
    <w:link w:val="Textkomente"/>
    <w:rsid w:val="007255BB"/>
  </w:style>
  <w:style w:type="paragraph" w:styleId="Pedmtkomente">
    <w:name w:val="annotation subject"/>
    <w:basedOn w:val="Textkomente"/>
    <w:next w:val="Textkomente"/>
    <w:link w:val="PedmtkomenteChar"/>
    <w:rsid w:val="007255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5BB"/>
    <w:rPr>
      <w:b/>
      <w:bCs/>
    </w:rPr>
  </w:style>
  <w:style w:type="paragraph" w:customStyle="1" w:styleId="Default">
    <w:name w:val="Default"/>
    <w:rsid w:val="00AC25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63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15E70"/>
  </w:style>
  <w:style w:type="paragraph" w:styleId="Nadpis1">
    <w:name w:val="heading 1"/>
    <w:basedOn w:val="Normln"/>
    <w:next w:val="Normln"/>
    <w:qFormat/>
    <w:rsid w:val="00615E70"/>
    <w:pPr>
      <w:keepNext/>
      <w:widowControl w:val="0"/>
      <w:outlineLvl w:val="0"/>
    </w:pPr>
    <w:rPr>
      <w:b/>
      <w:snapToGrid w:val="0"/>
      <w:sz w:val="24"/>
    </w:rPr>
  </w:style>
  <w:style w:type="paragraph" w:styleId="Nadpis2">
    <w:name w:val="heading 2"/>
    <w:basedOn w:val="Normln"/>
    <w:next w:val="Normln"/>
    <w:qFormat/>
    <w:rsid w:val="00615E70"/>
    <w:pPr>
      <w:keepNext/>
      <w:widowControl w:val="0"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rsid w:val="00615E70"/>
    <w:pPr>
      <w:keepNext/>
      <w:jc w:val="both"/>
      <w:outlineLvl w:val="2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1">
    <w:name w:val="Standardní :1"/>
    <w:rsid w:val="00615E70"/>
    <w:pPr>
      <w:widowControl w:val="0"/>
    </w:pPr>
    <w:rPr>
      <w:snapToGrid w:val="0"/>
      <w:color w:val="000000"/>
      <w:sz w:val="24"/>
    </w:rPr>
  </w:style>
  <w:style w:type="paragraph" w:customStyle="1" w:styleId="Standardnte">
    <w:name w:val="Standardní te"/>
    <w:rsid w:val="00615E70"/>
    <w:pPr>
      <w:widowControl w:val="0"/>
    </w:pPr>
    <w:rPr>
      <w:snapToGrid w:val="0"/>
      <w:color w:val="000000"/>
      <w:sz w:val="24"/>
    </w:rPr>
  </w:style>
  <w:style w:type="paragraph" w:styleId="Zkladntext">
    <w:name w:val="Body Text"/>
    <w:basedOn w:val="Normln"/>
    <w:rsid w:val="00615E70"/>
    <w:pPr>
      <w:widowControl w:val="0"/>
      <w:ind w:right="-375"/>
    </w:pPr>
    <w:rPr>
      <w:snapToGrid w:val="0"/>
      <w:sz w:val="24"/>
    </w:rPr>
  </w:style>
  <w:style w:type="paragraph" w:styleId="Zkladntext2">
    <w:name w:val="Body Text 2"/>
    <w:basedOn w:val="Normln"/>
    <w:rsid w:val="00615E70"/>
    <w:pPr>
      <w:widowControl w:val="0"/>
      <w:ind w:right="-659"/>
    </w:pPr>
    <w:rPr>
      <w:snapToGrid w:val="0"/>
      <w:sz w:val="24"/>
    </w:rPr>
  </w:style>
  <w:style w:type="paragraph" w:styleId="Zkladntext3">
    <w:name w:val="Body Text 3"/>
    <w:basedOn w:val="Normln"/>
    <w:rsid w:val="00615E70"/>
    <w:pPr>
      <w:widowControl w:val="0"/>
      <w:ind w:right="-517"/>
    </w:pPr>
    <w:rPr>
      <w:snapToGrid w:val="0"/>
      <w:sz w:val="24"/>
    </w:rPr>
  </w:style>
  <w:style w:type="paragraph" w:styleId="Rozloendokumentu">
    <w:name w:val="Document Map"/>
    <w:basedOn w:val="Normln"/>
    <w:semiHidden/>
    <w:rsid w:val="00615E70"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link w:val="ZhlavChar"/>
    <w:uiPriority w:val="99"/>
    <w:rsid w:val="00615E7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15E70"/>
  </w:style>
  <w:style w:type="character" w:styleId="Hypertextovodkaz">
    <w:name w:val="Hyperlink"/>
    <w:basedOn w:val="Standardnpsmoodstavce"/>
    <w:rsid w:val="00615E70"/>
    <w:rPr>
      <w:color w:val="0000FF"/>
      <w:u w:val="single"/>
    </w:rPr>
  </w:style>
  <w:style w:type="paragraph" w:styleId="Podtitul">
    <w:name w:val="Subtitle"/>
    <w:basedOn w:val="Normln"/>
    <w:qFormat/>
    <w:rsid w:val="00615E70"/>
    <w:pPr>
      <w:jc w:val="center"/>
    </w:pPr>
    <w:rPr>
      <w:sz w:val="28"/>
      <w:lang w:val="en-GB"/>
    </w:rPr>
  </w:style>
  <w:style w:type="paragraph" w:styleId="Zkladntextodsazen2">
    <w:name w:val="Body Text Indent 2"/>
    <w:basedOn w:val="Normln"/>
    <w:rsid w:val="00615E70"/>
    <w:pPr>
      <w:ind w:left="709"/>
      <w:jc w:val="both"/>
    </w:pPr>
    <w:rPr>
      <w:sz w:val="24"/>
      <w:lang w:val="en-GB"/>
    </w:rPr>
  </w:style>
  <w:style w:type="paragraph" w:styleId="Zkladntextodsazen3">
    <w:name w:val="Body Text Indent 3"/>
    <w:basedOn w:val="Normln"/>
    <w:rsid w:val="00615E70"/>
    <w:pPr>
      <w:ind w:left="1134" w:hanging="567"/>
      <w:jc w:val="both"/>
    </w:pPr>
    <w:rPr>
      <w:snapToGrid w:val="0"/>
      <w:sz w:val="24"/>
    </w:rPr>
  </w:style>
  <w:style w:type="paragraph" w:styleId="Zkladntextodsazen">
    <w:name w:val="Body Text Indent"/>
    <w:basedOn w:val="Normln"/>
    <w:rsid w:val="00615E70"/>
    <w:pPr>
      <w:widowControl w:val="0"/>
      <w:ind w:firstLine="720"/>
    </w:pPr>
    <w:rPr>
      <w:snapToGrid w:val="0"/>
      <w:sz w:val="24"/>
    </w:rPr>
  </w:style>
  <w:style w:type="paragraph" w:styleId="Zpat">
    <w:name w:val="footer"/>
    <w:basedOn w:val="Normln"/>
    <w:rsid w:val="00615E7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15E70"/>
    <w:pPr>
      <w:jc w:val="center"/>
    </w:pPr>
    <w:rPr>
      <w:b/>
      <w:sz w:val="32"/>
    </w:rPr>
  </w:style>
  <w:style w:type="paragraph" w:styleId="Textbubliny">
    <w:name w:val="Balloon Text"/>
    <w:basedOn w:val="Normln"/>
    <w:semiHidden/>
    <w:rsid w:val="00615E70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rsid w:val="00615E70"/>
    <w:rPr>
      <w:color w:val="800080"/>
      <w:u w:val="single"/>
    </w:rPr>
  </w:style>
  <w:style w:type="character" w:customStyle="1" w:styleId="Typewriter">
    <w:name w:val="Typewriter"/>
    <w:rsid w:val="00615E70"/>
    <w:rPr>
      <w:rFonts w:ascii="Courier New" w:hAnsi="Courier New"/>
      <w:sz w:val="20"/>
    </w:rPr>
  </w:style>
  <w:style w:type="paragraph" w:styleId="Normlnweb">
    <w:name w:val="Normal (Web)"/>
    <w:basedOn w:val="Normln"/>
    <w:rsid w:val="00783CB5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basedOn w:val="Standardnpsmoodstavce"/>
    <w:rsid w:val="007255B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255BB"/>
  </w:style>
  <w:style w:type="character" w:customStyle="1" w:styleId="TextkomenteChar">
    <w:name w:val="Text komentáře Char"/>
    <w:basedOn w:val="Standardnpsmoodstavce"/>
    <w:link w:val="Textkomente"/>
    <w:rsid w:val="007255BB"/>
  </w:style>
  <w:style w:type="paragraph" w:styleId="Pedmtkomente">
    <w:name w:val="annotation subject"/>
    <w:basedOn w:val="Textkomente"/>
    <w:next w:val="Textkomente"/>
    <w:link w:val="PedmtkomenteChar"/>
    <w:rsid w:val="007255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255BB"/>
    <w:rPr>
      <w:b/>
      <w:bCs/>
    </w:rPr>
  </w:style>
  <w:style w:type="paragraph" w:customStyle="1" w:styleId="Default">
    <w:name w:val="Default"/>
    <w:rsid w:val="00AC25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63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96361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1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hyperlink" Target="http://www.cnb.cz/cs/statistika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E26CC-7F51-4991-A539-DA53C1786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4110</Words>
  <Characters>24251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</vt:lpstr>
    </vt:vector>
  </TitlesOfParts>
  <Company>ČSÚ</Company>
  <LinksUpToDate>false</LinksUpToDate>
  <CharactersWithSpaces>28305</CharactersWithSpaces>
  <SharedDoc>false</SharedDoc>
  <HLinks>
    <vt:vector size="12" baseType="variant">
      <vt:variant>
        <vt:i4>7405628</vt:i4>
      </vt:variant>
      <vt:variant>
        <vt:i4>8</vt:i4>
      </vt:variant>
      <vt:variant>
        <vt:i4>0</vt:i4>
      </vt:variant>
      <vt:variant>
        <vt:i4>5</vt:i4>
      </vt:variant>
      <vt:variant>
        <vt:lpwstr>http://www.cnb.cz/cs/statistika</vt:lpwstr>
      </vt:variant>
      <vt:variant>
        <vt:lpwstr/>
      </vt:variant>
      <vt:variant>
        <vt:i4>3932195</vt:i4>
      </vt:variant>
      <vt:variant>
        <vt:i4>0</vt:i4>
      </vt:variant>
      <vt:variant>
        <vt:i4>0</vt:i4>
      </vt:variant>
      <vt:variant>
        <vt:i4>5</vt:i4>
      </vt:variant>
      <vt:variant>
        <vt:lpwstr>../../../../Documents and Settings/u00187/Documents and Settings/u04183/Temporary Internet Files/Documents and Settings/Documents and Settings/temp/e.htm</vt:lpwstr>
      </vt:variant>
      <vt:variant>
        <vt:lpwstr>e4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Jan Kučera</dc:creator>
  <cp:lastModifiedBy>Ing. Venuše Novotná</cp:lastModifiedBy>
  <cp:revision>5</cp:revision>
  <cp:lastPrinted>2016-07-11T12:10:00Z</cp:lastPrinted>
  <dcterms:created xsi:type="dcterms:W3CDTF">2016-07-11T10:50:00Z</dcterms:created>
  <dcterms:modified xsi:type="dcterms:W3CDTF">2016-10-25T06:15:00Z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1526178164</vt:i4>
  </property>
  <property fmtid="{D5CDD505-2E9C-101B-9397-08002B2CF9AE}" pid="3" name="_NewReviewCycle">
    <vt:lpwstr/>
  </property>
  <property fmtid="{D5CDD505-2E9C-101B-9397-08002B2CF9AE}" pid="4" name="_EmailSubject">
    <vt:lpwstr>ČSÚ, Statistická ročenka ČR 2016</vt:lpwstr>
  </property>
  <property fmtid="{D5CDD505-2E9C-101B-9397-08002B2CF9AE}" pid="5" name="_AuthorEmail">
    <vt:lpwstr>Ladislav.Riziky@cnb.cz</vt:lpwstr>
  </property>
  <property fmtid="{D5CDD505-2E9C-101B-9397-08002B2CF9AE}" pid="6" name="_AuthorEmailDisplayName">
    <vt:lpwstr>Riziky Ladislav</vt:lpwstr>
  </property>
  <property fmtid="{D5CDD505-2E9C-101B-9397-08002B2CF9AE}" pid="7" name="_PreviousAdHocReviewCycleID">
    <vt:i4>155517693</vt:i4>
  </property>
  <property fmtid="{D5CDD505-2E9C-101B-9397-08002B2CF9AE}" pid="8" name="_ReviewingToolsShownOnce">
    <vt:lpwstr/>
  </property>
</Properties>
</file>