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5C287" w14:textId="77777777" w:rsidR="00EA1EBB" w:rsidRDefault="00EA1EBB" w:rsidP="00EA1EBB">
      <w:pPr>
        <w:pStyle w:val="Nadpis11"/>
      </w:pPr>
      <w:bookmarkStart w:id="0" w:name="_Toc121993822"/>
      <w:bookmarkStart w:id="1" w:name="_Toc153531177"/>
      <w:bookmarkStart w:id="2" w:name="_Toc161914425"/>
      <w:r>
        <w:t>5. Ceny</w:t>
      </w:r>
      <w:bookmarkEnd w:id="1"/>
      <w:bookmarkEnd w:id="2"/>
    </w:p>
    <w:tbl>
      <w:tblPr>
        <w:tblW w:w="9639" w:type="dxa"/>
        <w:tblInd w:w="-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04"/>
        <w:gridCol w:w="224"/>
        <w:gridCol w:w="7611"/>
      </w:tblGrid>
      <w:tr w:rsidR="00EA1EBB" w14:paraId="71473CC2" w14:textId="77777777" w:rsidTr="00EA1EBB">
        <w:trPr>
          <w:trHeight w:val="145"/>
        </w:trPr>
        <w:tc>
          <w:tcPr>
            <w:tcW w:w="1804" w:type="dxa"/>
            <w:hideMark/>
          </w:tcPr>
          <w:p w14:paraId="13E46214" w14:textId="77777777" w:rsidR="00EA1EBB" w:rsidRDefault="00EA1EBB">
            <w:pPr>
              <w:pStyle w:val="Marginlie"/>
              <w:rPr>
                <w:spacing w:val="0"/>
                <w:lang w:eastAsia="en-US"/>
              </w:rPr>
            </w:pPr>
            <w:r>
              <w:rPr>
                <w:spacing w:val="0"/>
                <w:lang w:eastAsia="en-US"/>
              </w:rPr>
              <w:t>Celková cenová hladina loni silně rostla.</w:t>
            </w:r>
          </w:p>
        </w:tc>
        <w:tc>
          <w:tcPr>
            <w:tcW w:w="224" w:type="dxa"/>
          </w:tcPr>
          <w:p w14:paraId="3B93531C" w14:textId="77777777" w:rsidR="00EA1EBB" w:rsidRDefault="00EA1EBB">
            <w:pPr>
              <w:pStyle w:val="Textpoznpodarou1"/>
              <w:jc w:val="both"/>
              <w:rPr>
                <w:lang w:eastAsia="en-US"/>
              </w:rPr>
            </w:pPr>
          </w:p>
        </w:tc>
        <w:tc>
          <w:tcPr>
            <w:tcW w:w="7611" w:type="dxa"/>
            <w:hideMark/>
          </w:tcPr>
          <w:p w14:paraId="1DE83BB4" w14:textId="77777777" w:rsidR="00EA1EBB" w:rsidRDefault="00EA1EBB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Za celý rok 2023 celková cenová hladina v ekonomice měřená deflátorem HDP vzrostla o 8,6 %. Ceny spotřeby byly vyšší o 8,2 %, přičemž u spotřeby domácností růst oslabil na 9,3 % a cenová hladina statků spotřebovávaných sektorem vládních institucí vzrostla o 5,8 %. Ve srovnání se zbytkem ekonomiky mírněji rostly ceny kapitálových statků (4,2 %). Ceny dovozu zboží a služeb se loni propadly výrazněji než ceny exportu, což vedlo ke znatelně kladným směnným relacím, které dosáhly 102,7 %. Ve 4. čtvrtletí 2023 cenová hladina meziročně stoupla o 6,0 %, nejmírněji od konce roku 2021. Ceny spotřeby byly meziročně vyšší o 5,0 %, z toho u domácností o 6,0 % a vlády o 2,5 %. Růst cen kapitálových statků ve 4. čtvrtletí posílil na 3,5 %. Směnné relace zůstaly kladné a dosáhly 102,5 %. Směnné relace zahraničního obchodu se zbožím přitom dosáhly 102,0 %, zatímco u služeb to bylo 105,2 %. Mezičtvrtletně se celková cenová hladina ve 4. čtvrtletí neměnila. U spotřeby došlo k nárůstu o 0,4 % a kapitálové statky zdražily o 3,6 %. Mezičtvrtletní směnné relace byly ale záporné a dosáhly 98,4 %.    </w:t>
            </w:r>
          </w:p>
        </w:tc>
      </w:tr>
      <w:tr w:rsidR="00EA1EBB" w14:paraId="3E701DD2" w14:textId="77777777" w:rsidTr="00EA1EBB">
        <w:trPr>
          <w:trHeight w:val="170"/>
        </w:trPr>
        <w:tc>
          <w:tcPr>
            <w:tcW w:w="1804" w:type="dxa"/>
            <w:vMerge w:val="restart"/>
          </w:tcPr>
          <w:p w14:paraId="54F2CC8C" w14:textId="77777777" w:rsidR="00EA1EBB" w:rsidRDefault="00EA1EBB">
            <w:pPr>
              <w:pStyle w:val="Marginlie"/>
              <w:rPr>
                <w:spacing w:val="0"/>
                <w:lang w:eastAsia="en-US"/>
              </w:rPr>
            </w:pPr>
          </w:p>
        </w:tc>
        <w:tc>
          <w:tcPr>
            <w:tcW w:w="224" w:type="dxa"/>
            <w:vMerge w:val="restart"/>
          </w:tcPr>
          <w:p w14:paraId="019DEA42" w14:textId="77777777" w:rsidR="00EA1EBB" w:rsidRDefault="00EA1EBB">
            <w:pPr>
              <w:pStyle w:val="Textpoznpodarou1"/>
              <w:jc w:val="both"/>
              <w:rPr>
                <w:lang w:eastAsia="en-US"/>
              </w:rPr>
            </w:pPr>
          </w:p>
        </w:tc>
        <w:tc>
          <w:tcPr>
            <w:tcW w:w="7611" w:type="dxa"/>
            <w:hideMark/>
          </w:tcPr>
          <w:p w14:paraId="22309FD3" w14:textId="0259CA41" w:rsidR="00EA1EBB" w:rsidRDefault="00EA1EBB" w:rsidP="00174ED1">
            <w:pPr>
              <w:spacing w:after="0"/>
              <w:rPr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  <w:t>Graf č. 1</w:t>
            </w:r>
            <w:r w:rsidR="00174ED1"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Ceny ve vybraných oddílech indexu spotřebitelských cen</w:t>
            </w:r>
            <w:r>
              <w:rPr>
                <w:rFonts w:cs="Arial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>(meziročně v %)</w:t>
            </w:r>
          </w:p>
        </w:tc>
      </w:tr>
      <w:tr w:rsidR="00EA1EBB" w14:paraId="02F64EB3" w14:textId="77777777" w:rsidTr="00EA1EBB">
        <w:trPr>
          <w:trHeight w:val="170"/>
        </w:trPr>
        <w:tc>
          <w:tcPr>
            <w:tcW w:w="0" w:type="auto"/>
            <w:vMerge/>
            <w:vAlign w:val="center"/>
            <w:hideMark/>
          </w:tcPr>
          <w:p w14:paraId="6E34E128" w14:textId="77777777" w:rsidR="00EA1EBB" w:rsidRDefault="00EA1EBB">
            <w:pPr>
              <w:spacing w:after="0" w:line="240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DAEB835" w14:textId="77777777" w:rsidR="00EA1EBB" w:rsidRDefault="00EA1EBB">
            <w:pPr>
              <w:spacing w:after="0" w:line="240" w:lineRule="auto"/>
              <w:jc w:val="left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761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DDD30C" w14:textId="300322D9" w:rsidR="00EA1EBB" w:rsidRDefault="00EA1EBB">
            <w:pPr>
              <w:spacing w:after="0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809F352" wp14:editId="0489A81D">
                  <wp:extent cx="4736465" cy="3237230"/>
                  <wp:effectExtent l="0" t="0" r="6985" b="1270"/>
                  <wp:docPr id="37" name="Graf 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EA1EBB" w14:paraId="345C2603" w14:textId="77777777" w:rsidTr="00EA1EBB">
        <w:trPr>
          <w:trHeight w:val="170"/>
        </w:trPr>
        <w:tc>
          <w:tcPr>
            <w:tcW w:w="0" w:type="auto"/>
            <w:vMerge/>
            <w:vAlign w:val="center"/>
            <w:hideMark/>
          </w:tcPr>
          <w:p w14:paraId="3E35EC9D" w14:textId="77777777" w:rsidR="00EA1EBB" w:rsidRDefault="00EA1EBB">
            <w:pPr>
              <w:spacing w:after="0" w:line="240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C316BC" w14:textId="77777777" w:rsidR="00EA1EBB" w:rsidRDefault="00EA1EBB">
            <w:pPr>
              <w:spacing w:after="0" w:line="240" w:lineRule="auto"/>
              <w:jc w:val="left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7611" w:type="dxa"/>
            <w:hideMark/>
          </w:tcPr>
          <w:p w14:paraId="184BF0A8" w14:textId="77777777" w:rsidR="00EA1EBB" w:rsidRDefault="00EA1EBB">
            <w:pPr>
              <w:rPr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Zdroj: ČSÚ</w:t>
            </w:r>
          </w:p>
        </w:tc>
      </w:tr>
      <w:tr w:rsidR="00EA1EBB" w14:paraId="59B389BB" w14:textId="77777777" w:rsidTr="00EA1EBB">
        <w:trPr>
          <w:trHeight w:val="145"/>
        </w:trPr>
        <w:tc>
          <w:tcPr>
            <w:tcW w:w="1804" w:type="dxa"/>
            <w:hideMark/>
          </w:tcPr>
          <w:p w14:paraId="4E2B17C8" w14:textId="77777777" w:rsidR="00EA1EBB" w:rsidRDefault="00EA1EBB">
            <w:pPr>
              <w:pStyle w:val="Marginlie"/>
              <w:rPr>
                <w:spacing w:val="0"/>
                <w:lang w:eastAsia="en-US"/>
              </w:rPr>
            </w:pPr>
            <w:r>
              <w:rPr>
                <w:spacing w:val="0"/>
                <w:lang w:eastAsia="en-US"/>
              </w:rPr>
              <w:t>Meziroční růst spotřebitelských cen v průběhu roku zpomaloval.</w:t>
            </w:r>
          </w:p>
        </w:tc>
        <w:tc>
          <w:tcPr>
            <w:tcW w:w="224" w:type="dxa"/>
          </w:tcPr>
          <w:p w14:paraId="663C3390" w14:textId="77777777" w:rsidR="00EA1EBB" w:rsidRDefault="00EA1EBB">
            <w:pPr>
              <w:pStyle w:val="Textpoznpodarou1"/>
              <w:jc w:val="both"/>
              <w:rPr>
                <w:lang w:eastAsia="en-US"/>
              </w:rPr>
            </w:pPr>
          </w:p>
        </w:tc>
        <w:tc>
          <w:tcPr>
            <w:tcW w:w="7611" w:type="dxa"/>
            <w:hideMark/>
          </w:tcPr>
          <w:p w14:paraId="2E930856" w14:textId="77777777" w:rsidR="00EA1EBB" w:rsidRDefault="00EA1EBB">
            <w:pPr>
              <w:rPr>
                <w:lang w:eastAsia="en-US"/>
              </w:rPr>
            </w:pPr>
            <w:r>
              <w:rPr>
                <w:lang w:eastAsia="en-US"/>
              </w:rPr>
              <w:t>Meziroční růst spotřebitelských cen v průběhu roku 2023 postupně zpomaloval (16,4 %, 11,1 % a 8,0 % v 1., 2. a 3. čtvrtletí) a závěr roku nebyl výjimkou. Ve 4. čtvrtletí 2023 index spotřebitelských cen meziročně vzrostl o 7,6 %. Meziroční dynamika naprosté většiny oddílů spotřebního koše zpomalila ve srovnání se 3. kvartálem. Výjimkou bylo bydlení, voda energie a paliva, kde se projevila srovnávací základna konce roku 2022, kdy byl do výpočtu inflace zahrnut úsporný tarif a skokově tak klesly ceny energií. Zmírnil se také propad cen dopravy. K meziročnímu růstu spotřebitelských cen ve 4. čtvrtletí 2023 nejvíce přispívalo bydlení a energie, rekreace a kultura, stravování a ubytování a alkoholické nápoje a tabák. Prudce poklesl vliv potravin a nealkoholických nápojů, které cenový růst stimulovaly v předchozích čtvrtletích. Meziročně klesaly jen ceny dopravy. Mezičtvrtletně se spotřebitelské ceny ve 4. kvartálu snížily o 0,4 %. Za celý rok 2023 dosáhl nárůst spotřebitelských cen 10,7 %. Oproti roku 2022 přírůstek zmírnil o 4,4 p. b. Nejvíce k celkovému navýšení cen přispěl vývoj u cen bydlení a energií, potravin a nealkoholických nápojů, rekreací a kultury a stravování a ubytování. Loni klesly pouze ceny dopravy.</w:t>
            </w:r>
          </w:p>
        </w:tc>
      </w:tr>
      <w:tr w:rsidR="00EA1EBB" w14:paraId="55367628" w14:textId="77777777" w:rsidTr="00EA1EBB">
        <w:trPr>
          <w:trHeight w:val="145"/>
        </w:trPr>
        <w:tc>
          <w:tcPr>
            <w:tcW w:w="1804" w:type="dxa"/>
            <w:hideMark/>
          </w:tcPr>
          <w:p w14:paraId="57B7B781" w14:textId="77777777" w:rsidR="00EA1EBB" w:rsidRDefault="00EA1EBB">
            <w:pPr>
              <w:pStyle w:val="Marginlie"/>
              <w:rPr>
                <w:spacing w:val="0"/>
                <w:lang w:eastAsia="en-US"/>
              </w:rPr>
            </w:pPr>
            <w:r>
              <w:rPr>
                <w:spacing w:val="0"/>
                <w:lang w:eastAsia="en-US"/>
              </w:rPr>
              <w:lastRenderedPageBreak/>
              <w:t xml:space="preserve">Na rozdíl od zbytku cen ve spotřebitelském koši </w:t>
            </w:r>
            <w:r>
              <w:rPr>
                <w:spacing w:val="0"/>
                <w:lang w:eastAsia="en-US"/>
              </w:rPr>
              <w:br/>
              <w:t>u bydlení a energií došlo v závěru roku ke zrychlení meziročního růstu.</w:t>
            </w:r>
          </w:p>
        </w:tc>
        <w:tc>
          <w:tcPr>
            <w:tcW w:w="224" w:type="dxa"/>
          </w:tcPr>
          <w:p w14:paraId="3E07B145" w14:textId="77777777" w:rsidR="00EA1EBB" w:rsidRDefault="00EA1EBB">
            <w:pPr>
              <w:pStyle w:val="Textpoznpodarou1"/>
              <w:jc w:val="both"/>
              <w:rPr>
                <w:lang w:eastAsia="en-US"/>
              </w:rPr>
            </w:pPr>
          </w:p>
        </w:tc>
        <w:tc>
          <w:tcPr>
            <w:tcW w:w="7611" w:type="dxa"/>
            <w:hideMark/>
          </w:tcPr>
          <w:p w14:paraId="48288300" w14:textId="77777777" w:rsidR="00EA1EBB" w:rsidRDefault="00EA1EBB">
            <w:pPr>
              <w:rPr>
                <w:lang w:eastAsia="en-US"/>
              </w:rPr>
            </w:pPr>
            <w:r>
              <w:rPr>
                <w:lang w:eastAsia="en-US"/>
              </w:rPr>
              <w:t>Jak již bylo zmíněno, ceny bydlení a energií byly ve 4. čtvrtletí jediným oddílem spotřebního koše, u kterého došlo ke zrychlení meziročního růstu cen. Přírůstek dosáhl 17,8 %. Mírnější bylo meziroční navýšení nájemného z bytu (7,5 %), běžné údržby a oprav (6,2 %), imputovaného nájemného</w:t>
            </w:r>
            <w:r>
              <w:rPr>
                <w:rStyle w:val="Znakapoznpodarou"/>
                <w:lang w:eastAsia="en-US"/>
              </w:rPr>
              <w:footnoteReference w:id="1"/>
            </w:r>
            <w:r>
              <w:rPr>
                <w:lang w:eastAsia="en-US"/>
              </w:rPr>
              <w:t xml:space="preserve"> (0,3 %) a stejný zůstal přírůstek cen za ostatní služby související s bydlením (15,3 %). Vlivem srovnávací základny konce roku 2022 ale v loňském 4. čtvrtletí prudce posílil nárůst cen elektrické a tepelné energie, plynu a ostatních paliv (47,1 %). Mezičtvrtletně se ceny bydlení, vody, energie a paliv snížily o 0,4 %. Za celý rok 2023 cenový nárůst v tomto oddílu činil 16,8 %. Z naprosté většiny za tím stálo navýšení cen energií a paliv (37,2 %), vyšší byly ale také ceny ostatních položek.   </w:t>
            </w:r>
          </w:p>
        </w:tc>
      </w:tr>
      <w:tr w:rsidR="00EA1EBB" w14:paraId="1E28AA6D" w14:textId="77777777" w:rsidTr="00EA1EBB">
        <w:trPr>
          <w:trHeight w:val="145"/>
        </w:trPr>
        <w:tc>
          <w:tcPr>
            <w:tcW w:w="1804" w:type="dxa"/>
            <w:hideMark/>
          </w:tcPr>
          <w:p w14:paraId="255FD099" w14:textId="77777777" w:rsidR="00EA1EBB" w:rsidRDefault="00EA1EBB">
            <w:pPr>
              <w:pStyle w:val="Marginlie"/>
              <w:rPr>
                <w:spacing w:val="0"/>
                <w:lang w:eastAsia="en-US"/>
              </w:rPr>
            </w:pPr>
            <w:r>
              <w:rPr>
                <w:spacing w:val="0"/>
                <w:lang w:eastAsia="en-US"/>
              </w:rPr>
              <w:t>Meziroční růst cen potravin ve 4. čtvrtletí výrazně zpomalil.</w:t>
            </w:r>
          </w:p>
        </w:tc>
        <w:tc>
          <w:tcPr>
            <w:tcW w:w="224" w:type="dxa"/>
          </w:tcPr>
          <w:p w14:paraId="67D23EEB" w14:textId="77777777" w:rsidR="00EA1EBB" w:rsidRDefault="00EA1EBB">
            <w:pPr>
              <w:pStyle w:val="Textpoznpodarou1"/>
              <w:jc w:val="both"/>
              <w:rPr>
                <w:lang w:eastAsia="en-US"/>
              </w:rPr>
            </w:pPr>
          </w:p>
        </w:tc>
        <w:tc>
          <w:tcPr>
            <w:tcW w:w="7611" w:type="dxa"/>
            <w:hideMark/>
          </w:tcPr>
          <w:p w14:paraId="07C4A633" w14:textId="77777777" w:rsidR="00EA1EBB" w:rsidRDefault="00EA1EBB">
            <w:pPr>
              <w:rPr>
                <w:lang w:eastAsia="en-US"/>
              </w:rPr>
            </w:pPr>
            <w:r>
              <w:rPr>
                <w:lang w:eastAsia="en-US"/>
              </w:rPr>
              <w:t>Ve 4. čtvrtletí dál výrazně zpomaloval meziroční růst cen potravin a nealkoholických nápojů (v prosinci už došlo k poklesu) a za celý kvartál přírůstek dosáhl 1,6 %. Mírnější byl meziroční nárůst cen pekárenských výrobků a obilovin (3,0 %), zeleniny (16,6 %), ovoce (8,2 %), cukru a souvisejících výrobků (4,4 %) i ostatních potravinářských výrobků (7,0 %). Z růstu do poklesu se ve 4. čtvrtletí dostal vývoj cen masa (−1,5 %) a mléka, sýrů a vajec (−7,0 %). V hlubokém poklesu setrvaly ceny olejů a tuků (−10,0 %). Mezičtvrtletně se ceny potravin a nealkoholických nápojů snížily o 1,4 %. Za celý rok 2023 vzrostly ceny potravin a nealkoholických nápojů o 11,5 % a přírůstek se tak oproti roku 2022 zmírnil o 5,2 p. b. Za poslední dva roky tak ceny v tomto oddílu vzrostly o 30,1 %. Loňské navýšení cen potravin a nealkoholických nápojů nejvíce ovlivnily ceny pekárenských výrobků a obilovin (13,6 %), masa (7,7 %), mléka, sýrů a vajec (10,6 %) a zeleniny (21,5 %).</w:t>
            </w:r>
          </w:p>
        </w:tc>
      </w:tr>
      <w:tr w:rsidR="00EA1EBB" w14:paraId="79FFDF48" w14:textId="77777777" w:rsidTr="00EA1EBB">
        <w:trPr>
          <w:trHeight w:val="145"/>
        </w:trPr>
        <w:tc>
          <w:tcPr>
            <w:tcW w:w="1804" w:type="dxa"/>
            <w:hideMark/>
          </w:tcPr>
          <w:p w14:paraId="191EDE68" w14:textId="77777777" w:rsidR="00EA1EBB" w:rsidRDefault="00EA1EBB">
            <w:pPr>
              <w:pStyle w:val="Marginlie"/>
              <w:rPr>
                <w:spacing w:val="0"/>
                <w:lang w:eastAsia="en-US"/>
              </w:rPr>
            </w:pPr>
            <w:r>
              <w:rPr>
                <w:spacing w:val="0"/>
                <w:lang w:eastAsia="en-US"/>
              </w:rPr>
              <w:t>Solidní zůstal přírůstek cen u různých služeb.</w:t>
            </w:r>
          </w:p>
        </w:tc>
        <w:tc>
          <w:tcPr>
            <w:tcW w:w="224" w:type="dxa"/>
          </w:tcPr>
          <w:p w14:paraId="50470835" w14:textId="77777777" w:rsidR="00EA1EBB" w:rsidRDefault="00EA1EBB">
            <w:pPr>
              <w:pStyle w:val="Textpoznpodarou1"/>
              <w:jc w:val="both"/>
              <w:rPr>
                <w:lang w:eastAsia="en-US"/>
              </w:rPr>
            </w:pPr>
          </w:p>
        </w:tc>
        <w:tc>
          <w:tcPr>
            <w:tcW w:w="7611" w:type="dxa"/>
            <w:hideMark/>
          </w:tcPr>
          <w:p w14:paraId="5012BD95" w14:textId="77777777" w:rsidR="00EA1EBB" w:rsidRDefault="00EA1EBB">
            <w:pPr>
              <w:rPr>
                <w:lang w:eastAsia="en-US"/>
              </w:rPr>
            </w:pPr>
            <w:r>
              <w:rPr>
                <w:lang w:eastAsia="en-US"/>
              </w:rPr>
              <w:t>Mezi oddíly spotřebitelského koše, které ve 4. čtvrtletí nejvíce přispívaly k celkovému růstu spotřebitelských cen, patřily i rekreace a kultura, jejichž ceny meziročně vzrostly o 6,9 %. Největší podíl na tomto nárůstu měly ceny dovolených s komplexními službami (9,7 %) a rekreační a kulturní služby (8,6 %). Mezičtvrtletně se ceny rekreací a kultury snížily o výrazných 3,6 %. Tento oddíl patřil k výrazným hybatelům cenového růstu i z pohledu celého roku 2023. Ceny zde se loni celkově zvýšily o 10,5 %, především pod vlivem dovolených s komplexními službami (15,3 %). Také ceny stravování a ubytování ve 4. čtvrtletí stejně jako po celý rok 2023 významně promlouvaly do meziroční spotřebitelské inflace. Jejich meziroční přírůstek ve 4. čtvrtletí zpomalil na 8,8 %, ale mezičtvrtletně dál poměrně výrazně rostly (1,1 %). Za celý rok 2023 se ceny stravování a ubytování zvýšily o 14,2 %. Stabilně silný vliv na meziroční růst spotřebitelských cen si držely ceny alkoholických nápojů a tabáku. Ty ve 4. čtvrtletí meziročně vzrostly o 5,9 %, mezičtvrtletně klesly o 0,3 % a za celý rok byly vyšší o 6,6 %.</w:t>
            </w:r>
          </w:p>
        </w:tc>
      </w:tr>
      <w:tr w:rsidR="00EA1EBB" w14:paraId="12B46305" w14:textId="77777777" w:rsidTr="00EA1EBB">
        <w:trPr>
          <w:trHeight w:val="145"/>
        </w:trPr>
        <w:tc>
          <w:tcPr>
            <w:tcW w:w="1804" w:type="dxa"/>
            <w:hideMark/>
          </w:tcPr>
          <w:p w14:paraId="6825CB69" w14:textId="77777777" w:rsidR="00EA1EBB" w:rsidRDefault="00EA1EBB">
            <w:pPr>
              <w:pStyle w:val="Marginlie"/>
              <w:rPr>
                <w:spacing w:val="0"/>
                <w:lang w:eastAsia="en-US"/>
              </w:rPr>
            </w:pPr>
            <w:r>
              <w:rPr>
                <w:spacing w:val="0"/>
                <w:lang w:eastAsia="en-US"/>
              </w:rPr>
              <w:t>Meziroční dynamika cen odívání a obuvi zpomalovala.</w:t>
            </w:r>
          </w:p>
        </w:tc>
        <w:tc>
          <w:tcPr>
            <w:tcW w:w="224" w:type="dxa"/>
          </w:tcPr>
          <w:p w14:paraId="0CF95789" w14:textId="77777777" w:rsidR="00EA1EBB" w:rsidRDefault="00EA1EBB">
            <w:pPr>
              <w:pStyle w:val="Textpoznpodarou1"/>
              <w:jc w:val="both"/>
              <w:rPr>
                <w:lang w:eastAsia="en-US"/>
              </w:rPr>
            </w:pPr>
          </w:p>
        </w:tc>
        <w:tc>
          <w:tcPr>
            <w:tcW w:w="7611" w:type="dxa"/>
            <w:hideMark/>
          </w:tcPr>
          <w:p w14:paraId="549FD4D2" w14:textId="77777777" w:rsidR="00EA1EBB" w:rsidRDefault="00EA1EBB">
            <w:pPr>
              <w:rPr>
                <w:lang w:eastAsia="en-US"/>
              </w:rPr>
            </w:pPr>
            <w:r>
              <w:rPr>
                <w:lang w:eastAsia="en-US"/>
              </w:rPr>
              <w:t>U cen odívání a obuvi stejně jako u bytového vybavení a zařízení domácnosti v roce 2022 došlo k prudkému růstu cen poháněného obnovenou poptávkou spotřebitelů. V průběhu loňského roku zde ale docházelo k postupnému útlumu meziroční dynamiky cen. Odívání a obuv ve 4. čtvrtletí meziročně zdražily o 7,1 % a mezičtvrtletně o 3,9 % a ceny bytového vybavení a zařízení byly meziročně vyšší o 2,7 % a mezičtvrtletně stagnovaly. Za celý rok 2023 vzrostly ceny odívání a obuvi o 11,1 % (zmírnění oproti roku 2022 o 7,5 p. b.) a bytového vybavení, zařízení domácnosti a oprav o 7,6 % (−4,4 p. b.). Také ceny ostatního zboží a služeb</w:t>
            </w:r>
            <w:r>
              <w:rPr>
                <w:rStyle w:val="Znakapoznpodarou"/>
                <w:lang w:eastAsia="en-US"/>
              </w:rPr>
              <w:footnoteReference w:id="2"/>
            </w:r>
            <w:r>
              <w:rPr>
                <w:lang w:eastAsia="en-US"/>
              </w:rPr>
              <w:t xml:space="preserve"> v posledních dvou letech výrazně rostly v souvislosti s postpandemickým oživením poptávky a jejich meziroční dynamika ve 4. čtvrtletí 2023 oslabila na 5,5 %. Mezičtvrtletně byly vyšší o 0,3 % a za celý rok 2023 vzrostly o 9,4 %. Výrazný cenový růst si po celý rok 2023 udržovaly méně váhově </w:t>
            </w:r>
            <w:r>
              <w:rPr>
                <w:lang w:eastAsia="en-US"/>
              </w:rPr>
              <w:lastRenderedPageBreak/>
              <w:t>významné položky – pošty a telekomunikace (3,6 % za celý rok), zdraví (8,8 %) a vzdělávání (7,0 %).</w:t>
            </w:r>
          </w:p>
        </w:tc>
      </w:tr>
      <w:tr w:rsidR="00EA1EBB" w14:paraId="54E69A1B" w14:textId="77777777" w:rsidTr="00EA1EBB">
        <w:trPr>
          <w:trHeight w:val="145"/>
        </w:trPr>
        <w:tc>
          <w:tcPr>
            <w:tcW w:w="1804" w:type="dxa"/>
            <w:hideMark/>
          </w:tcPr>
          <w:p w14:paraId="2D476B6B" w14:textId="77777777" w:rsidR="00EA1EBB" w:rsidRDefault="00EA1EBB">
            <w:pPr>
              <w:pStyle w:val="Marginlie"/>
              <w:rPr>
                <w:spacing w:val="0"/>
                <w:lang w:eastAsia="en-US"/>
              </w:rPr>
            </w:pPr>
            <w:r>
              <w:rPr>
                <w:spacing w:val="0"/>
                <w:lang w:eastAsia="en-US"/>
              </w:rPr>
              <w:lastRenderedPageBreak/>
              <w:t>Ceny dopravy celkově loni klesly.</w:t>
            </w:r>
          </w:p>
        </w:tc>
        <w:tc>
          <w:tcPr>
            <w:tcW w:w="224" w:type="dxa"/>
          </w:tcPr>
          <w:p w14:paraId="27F0AEFB" w14:textId="77777777" w:rsidR="00EA1EBB" w:rsidRDefault="00EA1EBB">
            <w:pPr>
              <w:pStyle w:val="Textpoznpodarou1"/>
              <w:jc w:val="both"/>
              <w:rPr>
                <w:lang w:eastAsia="en-US"/>
              </w:rPr>
            </w:pPr>
          </w:p>
        </w:tc>
        <w:tc>
          <w:tcPr>
            <w:tcW w:w="7611" w:type="dxa"/>
            <w:hideMark/>
          </w:tcPr>
          <w:p w14:paraId="5775951F" w14:textId="77777777" w:rsidR="00EA1EBB" w:rsidRDefault="00EA1EBB">
            <w:pPr>
              <w:rPr>
                <w:lang w:eastAsia="en-US"/>
              </w:rPr>
            </w:pPr>
            <w:r>
              <w:rPr>
                <w:lang w:eastAsia="en-US"/>
              </w:rPr>
              <w:t>Ceny dopravy s výjimkou první čtvrtiny roku meziročně klesaly. Ve 4. čtvrtletí jejich pokles zmírnil na 1,6 %. Jedinou položkou v oddíle, kde ceny meziročně rostly, byly dopravní služby (7,9 %). Prohloubil se meziroční pokles cen osobních dopravních prostředků (−3,8 %). Zmírnil se ale pokles v případě nákladů na jejich provoz (−1,5 %), z toho snížení cen pohonných hmot dosáhlo 6,5 %. Mezičtvrtletně se ceny dopravy snížily o 0,3 %. Za celý rok 2023 ceny dopravy klesly o 1,0 %. Z toho ceny provozu osobních dopravních prostředků klesly o 4,1 % (pohonné hmoty −12,0 %), ceny samotných osobních dopravních prostředků prakticky stagnovaly (0,1 %) a ceny dopravních služeb byly vyšší o 12,0 %.</w:t>
            </w:r>
          </w:p>
        </w:tc>
      </w:tr>
      <w:tr w:rsidR="00EA1EBB" w14:paraId="29042C68" w14:textId="77777777" w:rsidTr="00EA1EBB">
        <w:trPr>
          <w:trHeight w:val="145"/>
        </w:trPr>
        <w:tc>
          <w:tcPr>
            <w:tcW w:w="1804" w:type="dxa"/>
            <w:hideMark/>
          </w:tcPr>
          <w:p w14:paraId="2DB2E177" w14:textId="77777777" w:rsidR="00EA1EBB" w:rsidRDefault="00EA1EBB">
            <w:pPr>
              <w:pStyle w:val="Marginlie"/>
              <w:rPr>
                <w:spacing w:val="0"/>
                <w:lang w:eastAsia="en-US"/>
              </w:rPr>
            </w:pPr>
            <w:r>
              <w:rPr>
                <w:spacing w:val="0"/>
                <w:lang w:eastAsia="en-US"/>
              </w:rPr>
              <w:t>Meziroční růst spotřebitelských cen v EU loni postupně zpomaloval.</w:t>
            </w:r>
          </w:p>
        </w:tc>
        <w:tc>
          <w:tcPr>
            <w:tcW w:w="224" w:type="dxa"/>
          </w:tcPr>
          <w:p w14:paraId="42805C09" w14:textId="77777777" w:rsidR="00EA1EBB" w:rsidRDefault="00EA1EBB">
            <w:pPr>
              <w:pStyle w:val="Textpoznpodarou1"/>
              <w:jc w:val="both"/>
              <w:rPr>
                <w:lang w:eastAsia="en-US"/>
              </w:rPr>
            </w:pPr>
          </w:p>
        </w:tc>
        <w:tc>
          <w:tcPr>
            <w:tcW w:w="7611" w:type="dxa"/>
            <w:hideMark/>
          </w:tcPr>
          <w:p w14:paraId="51579BE3" w14:textId="77777777" w:rsidR="00EA1EBB" w:rsidRDefault="00EA1EBB">
            <w:pPr>
              <w:rPr>
                <w:lang w:eastAsia="en-US"/>
              </w:rPr>
            </w:pPr>
            <w:r>
              <w:rPr>
                <w:lang w:eastAsia="en-US"/>
              </w:rPr>
              <w:t>Harmonizovaný index spotřebitelských cen (HICP) v EU</w:t>
            </w:r>
            <w:r>
              <w:rPr>
                <w:rStyle w:val="Znakapoznpodarou"/>
                <w:lang w:eastAsia="en-US"/>
              </w:rPr>
              <w:footnoteReference w:id="3"/>
            </w:r>
            <w:r>
              <w:rPr>
                <w:lang w:eastAsia="en-US"/>
              </w:rPr>
              <w:t xml:space="preserve"> v roce 2023 vzrostl o 6,4 %. Přírůstek oproti roku 2022 zpomalil (z 9,2 %), především pod vlivem oslabení růstu cen energií a paliv, což se promítlo do mírnějšího růstu cen bydlení a energií (z 18,0 % na 3,4 %) a dopravy (z 12,1 % na 2,5 %). Mírně loni posílil růst cen potravin a nealkoholických nápojů (12,6 %), ubytování a stravování (8,4 %) a výrazněji rostly také ceny alkoholických nápojů a tabáku (7,8 %) a rekreací a kultury (6,1 %). Podle HICP nejvíce loni rostly spotřebitelské ceny v Maďarsku (17,0 %), Česku (12,0 %) a na Slovensku (11,0 %) a 10% hranici překročila dynamika cen i v Polsku (10,9 %). Nejmírněji narostly loni spotřebitelské ceny v Belgii (2,3 %), Lucembursku (2,9 %) a shodně o 3,4 % v Dánsku a ve Španělsku. Během roku meziroční růst cen v EU postupně zpomaloval až na 3,4 % ve 4. čtvrtletí. Nejvíce rostly ceny v Česku (8,4 %), Maďarsku (7,6 %) a v Rumunsku (7,4 %). Jedinou zemí, kde ve 4. čtvrtletí HICP meziročně klesl, byla Belgie (−0,6 %). Nejmírněji meziročně rostly spotřebitelské ceny v Dánsku (0,1 %) a v Nizozemsku (0,4 %). Mezičtvrtletně se HICP v EU ve 4. čtvrtletí zvýšil o 0,2 %.   </w:t>
            </w:r>
          </w:p>
        </w:tc>
      </w:tr>
      <w:tr w:rsidR="00EA1EBB" w14:paraId="1C2D94F4" w14:textId="77777777" w:rsidTr="00EA1EBB">
        <w:trPr>
          <w:trHeight w:val="170"/>
        </w:trPr>
        <w:tc>
          <w:tcPr>
            <w:tcW w:w="1804" w:type="dxa"/>
            <w:vMerge w:val="restart"/>
          </w:tcPr>
          <w:p w14:paraId="20285C90" w14:textId="77777777" w:rsidR="00EA1EBB" w:rsidRDefault="00EA1EBB">
            <w:pPr>
              <w:pStyle w:val="Marginlie"/>
              <w:rPr>
                <w:spacing w:val="0"/>
                <w:lang w:eastAsia="en-US"/>
              </w:rPr>
            </w:pPr>
          </w:p>
        </w:tc>
        <w:tc>
          <w:tcPr>
            <w:tcW w:w="224" w:type="dxa"/>
            <w:vMerge w:val="restart"/>
          </w:tcPr>
          <w:p w14:paraId="4773BE6E" w14:textId="77777777" w:rsidR="00EA1EBB" w:rsidRDefault="00EA1EBB">
            <w:pPr>
              <w:pStyle w:val="Textpoznpodarou1"/>
              <w:jc w:val="both"/>
              <w:rPr>
                <w:lang w:eastAsia="en-US"/>
              </w:rPr>
            </w:pPr>
          </w:p>
        </w:tc>
        <w:tc>
          <w:tcPr>
            <w:tcW w:w="7611" w:type="dxa"/>
            <w:hideMark/>
          </w:tcPr>
          <w:p w14:paraId="3E5D4BB1" w14:textId="13BD6951" w:rsidR="00EA1EBB" w:rsidRDefault="00EA1EBB" w:rsidP="00174ED1">
            <w:pPr>
              <w:spacing w:after="0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Graf č. 1</w:t>
            </w:r>
            <w:r w:rsidR="00174ED1">
              <w:rPr>
                <w:b/>
                <w:sz w:val="18"/>
                <w:szCs w:val="18"/>
                <w:lang w:eastAsia="en-US"/>
              </w:rPr>
              <w:t>2</w:t>
            </w:r>
            <w:r>
              <w:rPr>
                <w:b/>
                <w:sz w:val="18"/>
                <w:szCs w:val="18"/>
                <w:lang w:eastAsia="en-US"/>
              </w:rPr>
              <w:t xml:space="preserve"> Ceny nemovitostí </w:t>
            </w:r>
            <w:r>
              <w:rPr>
                <w:sz w:val="18"/>
                <w:szCs w:val="18"/>
                <w:lang w:eastAsia="en-US"/>
              </w:rPr>
              <w:t>(meziroční změna, v %)</w:t>
            </w:r>
          </w:p>
        </w:tc>
      </w:tr>
      <w:tr w:rsidR="00EA1EBB" w14:paraId="4DA84CE8" w14:textId="77777777" w:rsidTr="00EA1EBB">
        <w:trPr>
          <w:trHeight w:val="170"/>
        </w:trPr>
        <w:tc>
          <w:tcPr>
            <w:tcW w:w="0" w:type="auto"/>
            <w:vMerge/>
            <w:vAlign w:val="center"/>
            <w:hideMark/>
          </w:tcPr>
          <w:p w14:paraId="1BB80B57" w14:textId="77777777" w:rsidR="00EA1EBB" w:rsidRDefault="00EA1EBB">
            <w:pPr>
              <w:spacing w:after="0" w:line="240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97D301" w14:textId="77777777" w:rsidR="00EA1EBB" w:rsidRDefault="00EA1EBB">
            <w:pPr>
              <w:spacing w:after="0" w:line="240" w:lineRule="auto"/>
              <w:jc w:val="left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761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86DBBB" w14:textId="58FD5155" w:rsidR="00EA1EBB" w:rsidRDefault="00EA1EBB">
            <w:pPr>
              <w:spacing w:after="0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0C88454" wp14:editId="74CF8A66">
                  <wp:extent cx="4736465" cy="3237230"/>
                  <wp:effectExtent l="0" t="0" r="6985" b="1270"/>
                  <wp:docPr id="36" name="Graf 3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5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EA1EBB" w14:paraId="632C258F" w14:textId="77777777" w:rsidTr="00EA1EBB">
        <w:trPr>
          <w:trHeight w:val="170"/>
        </w:trPr>
        <w:tc>
          <w:tcPr>
            <w:tcW w:w="0" w:type="auto"/>
            <w:vMerge/>
            <w:vAlign w:val="center"/>
            <w:hideMark/>
          </w:tcPr>
          <w:p w14:paraId="4C9B2E0E" w14:textId="77777777" w:rsidR="00EA1EBB" w:rsidRDefault="00EA1EBB">
            <w:pPr>
              <w:spacing w:after="0" w:line="240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42BDC0" w14:textId="77777777" w:rsidR="00EA1EBB" w:rsidRDefault="00EA1EBB">
            <w:pPr>
              <w:spacing w:after="0" w:line="240" w:lineRule="auto"/>
              <w:jc w:val="left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7611" w:type="dxa"/>
            <w:hideMark/>
          </w:tcPr>
          <w:p w14:paraId="337679D1" w14:textId="77777777" w:rsidR="00EA1EBB" w:rsidRDefault="00EA1EBB">
            <w:pPr>
              <w:rPr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Zdroj: ČSÚ</w:t>
            </w:r>
          </w:p>
        </w:tc>
      </w:tr>
      <w:tr w:rsidR="00EA1EBB" w14:paraId="5B3FC254" w14:textId="77777777" w:rsidTr="00EA1EBB">
        <w:trPr>
          <w:trHeight w:val="145"/>
        </w:trPr>
        <w:tc>
          <w:tcPr>
            <w:tcW w:w="1804" w:type="dxa"/>
            <w:hideMark/>
          </w:tcPr>
          <w:p w14:paraId="2FA9C899" w14:textId="77777777" w:rsidR="00EA1EBB" w:rsidRDefault="00EA1EBB">
            <w:pPr>
              <w:pStyle w:val="Marginlie"/>
              <w:rPr>
                <w:spacing w:val="0"/>
                <w:lang w:eastAsia="en-US"/>
              </w:rPr>
            </w:pPr>
            <w:r>
              <w:rPr>
                <w:spacing w:val="0"/>
                <w:lang w:eastAsia="en-US"/>
              </w:rPr>
              <w:lastRenderedPageBreak/>
              <w:t>Ceny bytů meziročně klesaly.</w:t>
            </w:r>
          </w:p>
        </w:tc>
        <w:tc>
          <w:tcPr>
            <w:tcW w:w="224" w:type="dxa"/>
          </w:tcPr>
          <w:p w14:paraId="1F8173C5" w14:textId="77777777" w:rsidR="00EA1EBB" w:rsidRDefault="00EA1EBB">
            <w:pPr>
              <w:pStyle w:val="Textpoznpodarou1"/>
              <w:jc w:val="both"/>
              <w:rPr>
                <w:lang w:eastAsia="en-US"/>
              </w:rPr>
            </w:pPr>
          </w:p>
        </w:tc>
        <w:tc>
          <w:tcPr>
            <w:tcW w:w="7611" w:type="dxa"/>
            <w:hideMark/>
          </w:tcPr>
          <w:p w14:paraId="44430C68" w14:textId="77777777" w:rsidR="00EA1EBB" w:rsidRDefault="00EA1EB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Nabídkové ceny bytů v Česku ve 4. čtvrtletí pokračovaly v meziročním poklesu, který trval již třetí čtvrtletí a prohloubil se na −4,2 %. Mezičtvrtletně se nabídkové ceny bytů v ČR snížily o 0,4 %, počtvrté v řadě. Výrazněji se ve 4. čtvrtletí meziročně propadaly ceny bytů mimo Prahu (−4,9 %), které také popáté v řadě klesly mezičtvrtletně, a to o 0,9 %. Nabídkové ceny bytů v Praze meziročně klesly o 3,6 % a mezičtvrtletně se nezměnily. Realizované ceny starších bytů v Česku ve 4. čtvrtletí meziročně klesly o 5,6 % a pokles se tak zmírnil oproti předchozímu kvartálu. Zároveň se realizované ceny po čtyřech čtvrtletích poklesů v závěru roku 2023 opět mezičtvrtletně zvýšily (0,4 %). Mimo Prahu realizované ceny bytů meziročně klesly o 6,4 % a trval také jejich mezičtvrtletní pokles (−0,3 %). Situace v Praze se ve 4. čtvrtletí 2023 od zbytku země lišila. Realizované ceny starších bytů zde mezičtvrtletně vzrostly o 3,2 % a jejich meziroční pokles se tak zmírnil na −2,6 %. Realizované ceny nových bytů, které jsou zjišťovány pouze za Prahu, se ve 4. čtvrtletí meziročně snížily o 3,3 % a mezičtvrtletně klesly o 1,9 %.       </w:t>
            </w:r>
          </w:p>
        </w:tc>
      </w:tr>
      <w:tr w:rsidR="00EA1EBB" w14:paraId="3FCE32C0" w14:textId="77777777" w:rsidTr="00EA1EBB">
        <w:trPr>
          <w:trHeight w:val="145"/>
        </w:trPr>
        <w:tc>
          <w:tcPr>
            <w:tcW w:w="1804" w:type="dxa"/>
            <w:hideMark/>
          </w:tcPr>
          <w:p w14:paraId="380EF479" w14:textId="77777777" w:rsidR="00EA1EBB" w:rsidRDefault="00EA1EBB">
            <w:pPr>
              <w:pStyle w:val="Marginlie"/>
              <w:rPr>
                <w:spacing w:val="0"/>
                <w:lang w:eastAsia="en-US"/>
              </w:rPr>
            </w:pPr>
            <w:r>
              <w:rPr>
                <w:spacing w:val="0"/>
                <w:lang w:eastAsia="en-US"/>
              </w:rPr>
              <w:t>Ceny průmyslových výrobců celý rok meziročně rostly, přírůstek ale v průběhu roku zpomaloval.</w:t>
            </w:r>
          </w:p>
        </w:tc>
        <w:tc>
          <w:tcPr>
            <w:tcW w:w="224" w:type="dxa"/>
          </w:tcPr>
          <w:p w14:paraId="30C58546" w14:textId="77777777" w:rsidR="00EA1EBB" w:rsidRDefault="00EA1EBB">
            <w:pPr>
              <w:pStyle w:val="Textpoznpodarou1"/>
              <w:jc w:val="both"/>
              <w:rPr>
                <w:lang w:eastAsia="en-US"/>
              </w:rPr>
            </w:pPr>
          </w:p>
        </w:tc>
        <w:tc>
          <w:tcPr>
            <w:tcW w:w="7611" w:type="dxa"/>
            <w:hideMark/>
          </w:tcPr>
          <w:p w14:paraId="24969491" w14:textId="77777777" w:rsidR="00EA1EBB" w:rsidRDefault="00EA1EBB">
            <w:pPr>
              <w:rPr>
                <w:lang w:eastAsia="en-US"/>
              </w:rPr>
            </w:pPr>
            <w:r>
              <w:rPr>
                <w:lang w:eastAsia="en-US"/>
              </w:rPr>
              <w:t>Ceny průmyslových výrobců ve 4. čtvrtletí meziročně vzrostly o 0,8 %. Jejich růst v průběhu loňska výrazně zpomaloval (15,0 %, 3,9 % a 1,3 % v 1., 2. a 3. čtvrtletí). Mezičtvrtletně se ceny průmyslových výrobců ve 4. kvartálu snížily o 0,3 %. Za celý rok 2023 ceny průmyslových výrobců vzrostly o 5,0 %. V samotném 4. čtvrtletí se na velmi vysoké úrovni udržel meziroční růst cen těžby a dobývání (40,2 %). Posílil meziroční růst cen ropy a zemního plynu (40,6 %), na 61,9 % oslabil přírůstek u černého a hnědého uhlí a lignitu a výrazná byla nadále dynamika u ostatní těžby a dobývání nerostných surovin (18,6 %), zahrnující zejména stavební hmoty. Silný meziroční růst cen těžby a dobývání po celý rok 2023 (celkem o 46,4 %) byl výsledkem zejména prudkého mezičtvrtletního navýšení v první čtvrtině roku. Ve 4. čtvrtletí ceny v této sekci mezičtvrtletně vzrostly o 0,8 %. Také u cen elektřiny, plynu, páry a klimatizovaného vzduchu v průběhu roku došlo ke zmírnění meziročního růstu až na 7,1 % ve 4. kvartálu. Mezičtvrtletně zde ceny klesly o 0,5 %. Za celý rok 2023 jejich přírůstek činil 15,8 %. Ceny zásobování vodou a služeb souvisejících s odpadními vodami ve 4. čtvrtletí stejně jako za celý loňský rok vzrostly o 16,3 %.</w:t>
            </w:r>
          </w:p>
        </w:tc>
      </w:tr>
      <w:tr w:rsidR="00EA1EBB" w14:paraId="633FAC7D" w14:textId="77777777" w:rsidTr="00EA1EBB">
        <w:trPr>
          <w:trHeight w:val="170"/>
        </w:trPr>
        <w:tc>
          <w:tcPr>
            <w:tcW w:w="1804" w:type="dxa"/>
            <w:vMerge w:val="restart"/>
          </w:tcPr>
          <w:p w14:paraId="647DD2CE" w14:textId="77777777" w:rsidR="00EA1EBB" w:rsidRDefault="00EA1EBB">
            <w:pPr>
              <w:pStyle w:val="Marginlie"/>
              <w:rPr>
                <w:spacing w:val="0"/>
                <w:lang w:eastAsia="en-US"/>
              </w:rPr>
            </w:pPr>
          </w:p>
        </w:tc>
        <w:tc>
          <w:tcPr>
            <w:tcW w:w="224" w:type="dxa"/>
            <w:vMerge w:val="restart"/>
          </w:tcPr>
          <w:p w14:paraId="4A0D079F" w14:textId="77777777" w:rsidR="00EA1EBB" w:rsidRDefault="00EA1EBB">
            <w:pPr>
              <w:pStyle w:val="Textpoznpodarou1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7611" w:type="dxa"/>
            <w:hideMark/>
          </w:tcPr>
          <w:p w14:paraId="70EA2FFB" w14:textId="0B25EB5B" w:rsidR="00EA1EBB" w:rsidRDefault="00EA1EBB" w:rsidP="00174ED1">
            <w:pPr>
              <w:spacing w:after="0"/>
              <w:rPr>
                <w:b/>
                <w:szCs w:val="20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Graf č. 1</w:t>
            </w:r>
            <w:r w:rsidR="00174ED1">
              <w:rPr>
                <w:b/>
                <w:sz w:val="18"/>
                <w:szCs w:val="18"/>
                <w:lang w:eastAsia="en-US"/>
              </w:rPr>
              <w:t>3</w:t>
            </w:r>
            <w:r>
              <w:rPr>
                <w:b/>
                <w:sz w:val="18"/>
                <w:szCs w:val="18"/>
                <w:lang w:eastAsia="en-US"/>
              </w:rPr>
              <w:t xml:space="preserve"> Ceny hlavních skupin průmyslových výrobců </w:t>
            </w:r>
            <w:r>
              <w:rPr>
                <w:sz w:val="18"/>
                <w:szCs w:val="18"/>
                <w:lang w:eastAsia="en-US"/>
              </w:rPr>
              <w:t>(meziroční změna, v %, podle klasifikace CPA)</w:t>
            </w:r>
          </w:p>
        </w:tc>
      </w:tr>
      <w:tr w:rsidR="00EA1EBB" w14:paraId="77CBB589" w14:textId="77777777" w:rsidTr="00EA1EBB">
        <w:trPr>
          <w:trHeight w:val="170"/>
        </w:trPr>
        <w:tc>
          <w:tcPr>
            <w:tcW w:w="0" w:type="auto"/>
            <w:vMerge/>
            <w:vAlign w:val="center"/>
            <w:hideMark/>
          </w:tcPr>
          <w:p w14:paraId="1CC91E70" w14:textId="77777777" w:rsidR="00EA1EBB" w:rsidRDefault="00EA1EBB">
            <w:pPr>
              <w:spacing w:after="0" w:line="240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A17F29" w14:textId="77777777" w:rsidR="00EA1EBB" w:rsidRDefault="00EA1EBB">
            <w:pPr>
              <w:spacing w:after="0" w:line="240" w:lineRule="auto"/>
              <w:jc w:val="left"/>
              <w:rPr>
                <w:rFonts w:eastAsia="Calibri"/>
                <w:szCs w:val="20"/>
                <w:highlight w:val="yellow"/>
                <w:lang w:eastAsia="en-US"/>
              </w:rPr>
            </w:pPr>
          </w:p>
        </w:tc>
        <w:tc>
          <w:tcPr>
            <w:tcW w:w="761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9824E1" w14:textId="4F3366EB" w:rsidR="00EA1EBB" w:rsidRDefault="00EA1EBB">
            <w:pPr>
              <w:spacing w:after="0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78967F4" wp14:editId="41AE1A4A">
                  <wp:extent cx="4736465" cy="3237230"/>
                  <wp:effectExtent l="0" t="0" r="6985" b="1270"/>
                  <wp:docPr id="34" name="Graf 3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EA1EBB" w14:paraId="2BCEA42A" w14:textId="77777777" w:rsidTr="00EA1EBB">
        <w:trPr>
          <w:trHeight w:val="170"/>
        </w:trPr>
        <w:tc>
          <w:tcPr>
            <w:tcW w:w="0" w:type="auto"/>
            <w:vMerge/>
            <w:vAlign w:val="center"/>
            <w:hideMark/>
          </w:tcPr>
          <w:p w14:paraId="5D0034E4" w14:textId="77777777" w:rsidR="00EA1EBB" w:rsidRDefault="00EA1EBB">
            <w:pPr>
              <w:spacing w:after="0" w:line="240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F9ECDC" w14:textId="77777777" w:rsidR="00EA1EBB" w:rsidRDefault="00EA1EBB">
            <w:pPr>
              <w:spacing w:after="0" w:line="240" w:lineRule="auto"/>
              <w:jc w:val="left"/>
              <w:rPr>
                <w:rFonts w:eastAsia="Calibri"/>
                <w:szCs w:val="20"/>
                <w:highlight w:val="yellow"/>
                <w:lang w:eastAsia="en-US"/>
              </w:rPr>
            </w:pPr>
          </w:p>
        </w:tc>
        <w:tc>
          <w:tcPr>
            <w:tcW w:w="7611" w:type="dxa"/>
            <w:hideMark/>
          </w:tcPr>
          <w:p w14:paraId="6E00B28C" w14:textId="77777777" w:rsidR="00EA1EBB" w:rsidRDefault="00EA1EBB">
            <w:pPr>
              <w:rPr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Zdroj: ČSÚ</w:t>
            </w:r>
          </w:p>
        </w:tc>
      </w:tr>
      <w:tr w:rsidR="00EA1EBB" w14:paraId="6634B888" w14:textId="77777777" w:rsidTr="00EA1EBB">
        <w:trPr>
          <w:trHeight w:val="145"/>
        </w:trPr>
        <w:tc>
          <w:tcPr>
            <w:tcW w:w="1804" w:type="dxa"/>
            <w:hideMark/>
          </w:tcPr>
          <w:p w14:paraId="317CAA1D" w14:textId="77777777" w:rsidR="00EA1EBB" w:rsidRDefault="00EA1EBB">
            <w:pPr>
              <w:pStyle w:val="Marginlie"/>
              <w:rPr>
                <w:spacing w:val="0"/>
                <w:lang w:eastAsia="en-US"/>
              </w:rPr>
            </w:pPr>
            <w:r>
              <w:rPr>
                <w:spacing w:val="0"/>
                <w:lang w:eastAsia="en-US"/>
              </w:rPr>
              <w:lastRenderedPageBreak/>
              <w:t>Ve zpracovatelském průmyslu klesaly zejména ceny surovin.</w:t>
            </w:r>
          </w:p>
        </w:tc>
        <w:tc>
          <w:tcPr>
            <w:tcW w:w="224" w:type="dxa"/>
          </w:tcPr>
          <w:p w14:paraId="1696DF9F" w14:textId="77777777" w:rsidR="00EA1EBB" w:rsidRDefault="00EA1EBB">
            <w:pPr>
              <w:pStyle w:val="Textpoznpodarou1"/>
              <w:jc w:val="both"/>
              <w:rPr>
                <w:lang w:eastAsia="en-US"/>
              </w:rPr>
            </w:pPr>
          </w:p>
        </w:tc>
        <w:tc>
          <w:tcPr>
            <w:tcW w:w="7611" w:type="dxa"/>
            <w:hideMark/>
          </w:tcPr>
          <w:p w14:paraId="350D9C5F" w14:textId="77777777" w:rsidR="00EA1EBB" w:rsidRDefault="00EA1EBB">
            <w:pPr>
              <w:rPr>
                <w:lang w:eastAsia="en-US"/>
              </w:rPr>
            </w:pPr>
            <w:r>
              <w:rPr>
                <w:lang w:eastAsia="en-US"/>
              </w:rPr>
              <w:t>Ceny ve 4. čtvrtletí meziročně klesly u výrobků a služeb zpracovatelského průmyslu (−2,3 %). Mezičtvrtletně se ceny ve 4. kvartálu snížily o 0,3 %. V hlubokém meziročním poklesu ve 4. čtvrtletí byly ceny výrobků souvisejících se základními surovinami, jako jsou dřevo a výrobky z něj (kromě nábytku, −22,9 %), papír a výrobky z něj (−14,5 %), základní kovy (−14,5 %) nebo chemické látky a přípravky (−9,2 %). Nižší byly i ceny koksu a rafinovaných ropných výrobků</w:t>
            </w:r>
            <w:r>
              <w:rPr>
                <w:rStyle w:val="Znakapoznpodarou"/>
                <w:lang w:eastAsia="en-US"/>
              </w:rPr>
              <w:footnoteReference w:id="4"/>
            </w:r>
            <w:r>
              <w:rPr>
                <w:lang w:eastAsia="en-US"/>
              </w:rPr>
              <w:t xml:space="preserve">. Meziroční pokles byl zaznamenán také u potravinářských výrobků (−3,1 %), pryžových a plastových výrobků (−3,0 %) nebo kovodělných výrobků (−0,5 %). Silný meziroční přírůstek se udržel u cen oprav, údržby a instalace strojů a zařízení (9,6 %) a ceny meziročně rostly také u váhově významných druhů zboží, jako jsou stroje a zařízení (6,1 %), počítače, elektronické a optické přístroje (4,8 %), motorová vozidla (3,3 %) nebo elektrická zařízení (0,8 %). </w:t>
            </w:r>
          </w:p>
        </w:tc>
      </w:tr>
      <w:tr w:rsidR="00EA1EBB" w14:paraId="4F8AFAD6" w14:textId="77777777" w:rsidTr="00EA1EBB">
        <w:trPr>
          <w:trHeight w:val="145"/>
        </w:trPr>
        <w:tc>
          <w:tcPr>
            <w:tcW w:w="1804" w:type="dxa"/>
            <w:hideMark/>
          </w:tcPr>
          <w:p w14:paraId="0F983950" w14:textId="77777777" w:rsidR="00EA1EBB" w:rsidRDefault="00EA1EBB">
            <w:pPr>
              <w:pStyle w:val="Marginlie"/>
              <w:rPr>
                <w:spacing w:val="0"/>
                <w:lang w:eastAsia="en-US"/>
              </w:rPr>
            </w:pPr>
            <w:r>
              <w:rPr>
                <w:spacing w:val="0"/>
                <w:lang w:eastAsia="en-US"/>
              </w:rPr>
              <w:t xml:space="preserve">Celkově loni vzrostly ceny výrobků a služeb zpracovatelského průmyslu. </w:t>
            </w:r>
          </w:p>
        </w:tc>
        <w:tc>
          <w:tcPr>
            <w:tcW w:w="224" w:type="dxa"/>
          </w:tcPr>
          <w:p w14:paraId="5DDB67DC" w14:textId="77777777" w:rsidR="00EA1EBB" w:rsidRDefault="00EA1EBB">
            <w:pPr>
              <w:pStyle w:val="Textpoznpodarou1"/>
              <w:jc w:val="both"/>
              <w:rPr>
                <w:lang w:eastAsia="en-US"/>
              </w:rPr>
            </w:pPr>
          </w:p>
        </w:tc>
        <w:tc>
          <w:tcPr>
            <w:tcW w:w="7611" w:type="dxa"/>
            <w:hideMark/>
          </w:tcPr>
          <w:p w14:paraId="452C4CCC" w14:textId="77777777" w:rsidR="00EA1EBB" w:rsidRDefault="00EA1EB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Po silném navýšení na začátku roku (10,3 % v 1. čtvrtletí) meziroční dynamika cen ve zpracovatelském průmyslu spadla do poklesu (−0,9 % a −2,4 % ve 2. a 3. kvartálu) a celkově za celý rok v této sekci ceny vzrostly o 0,9 %. Celoroční výsledek ve směru poklesu ovlivňoval zejména vývoj cen surovin a souvisejících výrobků, u kterých působila vysoká srovnávací základna roku 2022 – dřevo a výrobky z něj (kromě nábytku, −12,7 %), základní kovy (−9,4 %), chemické látky a přípravky (−9,0 %), papír a výrobky z něj (−4,2 %) nebo ceny koksu a rafinovaných ropných výrobků. Naopak výrazně rostly ceny nápojů (12,2 %) i potravinářských výrobků (8,6 %), oprav, údržby a instalace strojů a zařízení (9,5 %) strojů a zařízení (8,0 %), počítačů, elektronických a optických přístrojů (4,0 %) nebo motorových vozidel (3,7 %). </w:t>
            </w:r>
          </w:p>
        </w:tc>
      </w:tr>
      <w:tr w:rsidR="00EA1EBB" w14:paraId="38F55783" w14:textId="77777777" w:rsidTr="00EA1EBB">
        <w:trPr>
          <w:trHeight w:val="145"/>
        </w:trPr>
        <w:tc>
          <w:tcPr>
            <w:tcW w:w="1804" w:type="dxa"/>
            <w:hideMark/>
          </w:tcPr>
          <w:p w14:paraId="21C5BD95" w14:textId="77777777" w:rsidR="00EA1EBB" w:rsidRDefault="00EA1EBB">
            <w:pPr>
              <w:pStyle w:val="Marginlie"/>
              <w:rPr>
                <w:spacing w:val="0"/>
                <w:lang w:eastAsia="en-US"/>
              </w:rPr>
            </w:pPr>
            <w:r>
              <w:rPr>
                <w:spacing w:val="0"/>
                <w:lang w:eastAsia="en-US"/>
              </w:rPr>
              <w:t>Ceny průmyslových výrobců v EU loni klesly.</w:t>
            </w:r>
          </w:p>
        </w:tc>
        <w:tc>
          <w:tcPr>
            <w:tcW w:w="224" w:type="dxa"/>
          </w:tcPr>
          <w:p w14:paraId="3A06CECD" w14:textId="77777777" w:rsidR="00EA1EBB" w:rsidRDefault="00EA1EBB">
            <w:pPr>
              <w:pStyle w:val="Textpoznpodarou1"/>
              <w:jc w:val="both"/>
              <w:rPr>
                <w:lang w:eastAsia="en-US"/>
              </w:rPr>
            </w:pPr>
          </w:p>
        </w:tc>
        <w:tc>
          <w:tcPr>
            <w:tcW w:w="7611" w:type="dxa"/>
            <w:hideMark/>
          </w:tcPr>
          <w:p w14:paraId="323867DD" w14:textId="77777777" w:rsidR="00EA1EBB" w:rsidRDefault="00EA1EBB">
            <w:pPr>
              <w:rPr>
                <w:lang w:eastAsia="en-US"/>
              </w:rPr>
            </w:pPr>
            <w:r>
              <w:rPr>
                <w:lang w:eastAsia="en-US"/>
              </w:rPr>
              <w:t>Vývoj cen průmyslových výrobců v EU</w:t>
            </w:r>
            <w:r>
              <w:rPr>
                <w:rStyle w:val="Znakapoznpodarou"/>
                <w:lang w:eastAsia="en-US"/>
              </w:rPr>
              <w:footnoteReference w:id="5"/>
            </w:r>
            <w:r>
              <w:rPr>
                <w:lang w:eastAsia="en-US"/>
              </w:rPr>
              <w:t xml:space="preserve"> byl loni značně rozmanitý. Po prudkém navýšení z roku 2022 (34,4 %) ceny průmyslových výrobců v EU loni celkově klesly o 2,1 %. Zatímco u některých zemí navzdory oslabení tempa ceny stále silně rostly – o 21,5 % v Maďarsku, o 17,2 % v Lucembursku a o 16,9 % na Slovensku, ve 14 zemích došlo k poklesu, nejvíce v Irsku (−25,6 %), Bulharsku (−12,5 %) a v Belgii (−9,3 %). Celkově se v EU loni propadly ceny těžby a dobývání (−6,9 %) a elektřiny, plynu, páry a klimatizovaného vzduchu (−12,7 %). Naopak ceny výrobků a služeb zpracovatelského průmyslu loni v EU mírně vzrostly (1,9 %). V samotném 4. čtvrtletí ceny průmyslových výrobců v EU meziročně klesly o 8,9 %, zatímco mezičtvrtletně mírně vzrostly (0,2 %). Meziroční pokles cen průmyslových výrobců ovlivňovaly všechny sekce – ceny těžby a dobývání byly nižší o 10,0 %, ceny výrobků a služeb zpracovatelského průmyslu o 1,6 % a ceny elektřiny, plynu, páry a klimatizovaného vzduchu o 26,0 %. Ceny průmyslových výrobců ve 4. kvartálu meziročně klesaly ve většině zemí EU s výjimkou Lucemburska (19,1 %), Slovenska (8,1 %), Slovinska (2,4 %), Česka (0,8 %) a Malty (0,8 %). Oproti tomu nejvíce se meziročně propadly ceny průmyslových výrobců v Irsku (−22,0 %), Bulharsku (−20,3 %) a Belgii (−19,2 %).    </w:t>
            </w:r>
          </w:p>
        </w:tc>
      </w:tr>
      <w:tr w:rsidR="00EA1EBB" w14:paraId="4C29B5A1" w14:textId="77777777" w:rsidTr="00EA1EBB">
        <w:trPr>
          <w:trHeight w:val="145"/>
        </w:trPr>
        <w:tc>
          <w:tcPr>
            <w:tcW w:w="1804" w:type="dxa"/>
            <w:hideMark/>
          </w:tcPr>
          <w:p w14:paraId="372B0858" w14:textId="77777777" w:rsidR="00EA1EBB" w:rsidRDefault="00EA1EBB">
            <w:pPr>
              <w:pStyle w:val="Marginlie"/>
              <w:rPr>
                <w:spacing w:val="0"/>
                <w:lang w:eastAsia="en-US"/>
              </w:rPr>
            </w:pPr>
            <w:r>
              <w:rPr>
                <w:spacing w:val="0"/>
                <w:lang w:eastAsia="en-US"/>
              </w:rPr>
              <w:t xml:space="preserve">Ceny materiálů </w:t>
            </w:r>
            <w:r>
              <w:rPr>
                <w:spacing w:val="0"/>
                <w:lang w:eastAsia="en-US"/>
              </w:rPr>
              <w:br/>
              <w:t>a výrobků spotřebovávaných ve stavebnictví loni rostly výrazně pomaleji než v roce 2022.</w:t>
            </w:r>
          </w:p>
        </w:tc>
        <w:tc>
          <w:tcPr>
            <w:tcW w:w="224" w:type="dxa"/>
          </w:tcPr>
          <w:p w14:paraId="08EBE3F3" w14:textId="77777777" w:rsidR="00EA1EBB" w:rsidRDefault="00EA1EBB">
            <w:pPr>
              <w:pStyle w:val="Textpoznpodarou1"/>
              <w:jc w:val="both"/>
              <w:rPr>
                <w:lang w:eastAsia="en-US"/>
              </w:rPr>
            </w:pPr>
          </w:p>
        </w:tc>
        <w:tc>
          <w:tcPr>
            <w:tcW w:w="7611" w:type="dxa"/>
            <w:hideMark/>
          </w:tcPr>
          <w:p w14:paraId="5C949BCC" w14:textId="77777777" w:rsidR="00EA1EBB" w:rsidRDefault="00EA1EBB">
            <w:pPr>
              <w:rPr>
                <w:lang w:eastAsia="en-US"/>
              </w:rPr>
            </w:pPr>
            <w:r>
              <w:rPr>
                <w:lang w:eastAsia="en-US"/>
              </w:rPr>
              <w:t>Meziroční růst cen stavebních prací v průběhu roku 2023 postupně zpomaloval a dle odhadů ve 4. čtvrtletí dosáhl 3,2 %. Mezičtvrtletně se ceny stavebních prací zvýšily o 0,6 %. Za celý rok 2023 pak ceny stavebních prací vzrostly o 6,0 % (v roce 2022 po zpřesnění o 12,4 %). Ceny materiálů a výrobků spotřebovávaných ve stavebnictví naopak ve 4. čtvrtletí meziročně klesly o 0,3 % a mezičtvrtletně byly nižší o 0,7 %. Za celý rok 2023 ceny materiálů a výrobků spotřebovávaných ve stavebnictví vzrostly v průměru o 3,8 %. To představuje prudké zpomalení ve srovnání s rokem 2022, kdy materiály a výrobky spotřebovávané ve stavebnictví zdražily o 20,7 % a materiální náklady tak byly výraznou brzdou rozvoje stavební produkce.</w:t>
            </w:r>
          </w:p>
        </w:tc>
      </w:tr>
      <w:tr w:rsidR="00EA1EBB" w14:paraId="61E7B8A0" w14:textId="77777777" w:rsidTr="00EA1EBB">
        <w:trPr>
          <w:trHeight w:val="145"/>
        </w:trPr>
        <w:tc>
          <w:tcPr>
            <w:tcW w:w="1804" w:type="dxa"/>
            <w:hideMark/>
          </w:tcPr>
          <w:p w14:paraId="7729B721" w14:textId="77777777" w:rsidR="00EA1EBB" w:rsidRDefault="00EA1EBB">
            <w:pPr>
              <w:pStyle w:val="Marginlie"/>
              <w:rPr>
                <w:spacing w:val="0"/>
                <w:lang w:eastAsia="en-US"/>
              </w:rPr>
            </w:pPr>
            <w:r>
              <w:rPr>
                <w:spacing w:val="0"/>
                <w:lang w:eastAsia="en-US"/>
              </w:rPr>
              <w:lastRenderedPageBreak/>
              <w:t>Růst cen tržních služeb se po celý rok držel na výrazné úrovni.</w:t>
            </w:r>
          </w:p>
        </w:tc>
        <w:tc>
          <w:tcPr>
            <w:tcW w:w="224" w:type="dxa"/>
          </w:tcPr>
          <w:p w14:paraId="16635E6F" w14:textId="77777777" w:rsidR="00EA1EBB" w:rsidRDefault="00EA1EBB">
            <w:pPr>
              <w:pStyle w:val="Textpoznpodarou1"/>
              <w:jc w:val="both"/>
              <w:rPr>
                <w:lang w:eastAsia="en-US"/>
              </w:rPr>
            </w:pPr>
          </w:p>
        </w:tc>
        <w:tc>
          <w:tcPr>
            <w:tcW w:w="7611" w:type="dxa"/>
            <w:hideMark/>
          </w:tcPr>
          <w:p w14:paraId="7D2A7C19" w14:textId="77777777" w:rsidR="00EA1EBB" w:rsidRDefault="00EA1EBB">
            <w:pPr>
              <w:rPr>
                <w:lang w:eastAsia="en-US"/>
              </w:rPr>
            </w:pPr>
            <w:r>
              <w:rPr>
                <w:lang w:eastAsia="en-US"/>
              </w:rPr>
              <w:t>Ceny tržních služeb ve 4. čtvrtletí meziročně vzrostly o 4,9 % a přírůstek tak byl nejmírnější za celý rok 2023. Mezičtvrtletně se ceny ve 4. čtvrtletí zvýšily o 1,2 %. Ve směru meziročního růstu cen nejvíce působily služby v oblasti nemovitostí (meziroční přírůstek 6,7 %), služby v oblasti programování a souvisejícího poradenství (6,5 %), pozemní a potrubní doprava (3,1 %) a služby v oblasti zaměstnání (15,6 %). Významný příspěvek měl i vývoj cen úklidových služeb (12,9 %), poštovních a kurýrních služeb (11,7 %), informačních služeb (10,0 %), právních a účetnických služeb (6,8 %), reklamních služeb a průzkumu trhu (4,3 %), skladování a podpůrných služeb v dopravě (3,6 %) nebo architektonických a inženýrských služeb a technických zkoušek a analýz (2,6 %). Meziroční dynamika cen tržních služeb se držela vysoko a na rozdíl od zbytku ekonomiky v průběhu roku výrazně nezpomalovala. Šlo o projev přetrvávajícího silného nominálního růstu mezd, které u služeb tvoří klíčovou součást nákladů. Za celý rok 2023 se ceny tržních služeb zvýšily o 5,6 %. Nejvíce k tomu přispěly služby v oblasti programování a souvisejícího poradenství (růst o 8,2 %), služby v oblasti nemovitostí (6,5 %), pozemní a potrubní doprava (4,2 %) a služby v oblasti zaměstnání (22,1 %).</w:t>
            </w:r>
          </w:p>
        </w:tc>
      </w:tr>
      <w:tr w:rsidR="00EA1EBB" w14:paraId="4B22C9D2" w14:textId="77777777" w:rsidTr="00EA1EBB">
        <w:trPr>
          <w:trHeight w:val="145"/>
        </w:trPr>
        <w:tc>
          <w:tcPr>
            <w:tcW w:w="1804" w:type="dxa"/>
            <w:hideMark/>
          </w:tcPr>
          <w:p w14:paraId="11A2C18C" w14:textId="77777777" w:rsidR="00EA1EBB" w:rsidRDefault="00EA1EBB">
            <w:pPr>
              <w:pStyle w:val="Marginlie"/>
              <w:rPr>
                <w:spacing w:val="0"/>
                <w:lang w:eastAsia="en-US"/>
              </w:rPr>
            </w:pPr>
            <w:r>
              <w:rPr>
                <w:spacing w:val="0"/>
                <w:lang w:eastAsia="en-US"/>
              </w:rPr>
              <w:t>Ve 4. čtvrtletí se ceny zemědělských výrobců výrazně meziročně propadly.</w:t>
            </w:r>
          </w:p>
        </w:tc>
        <w:tc>
          <w:tcPr>
            <w:tcW w:w="224" w:type="dxa"/>
          </w:tcPr>
          <w:p w14:paraId="2BE7CF28" w14:textId="77777777" w:rsidR="00EA1EBB" w:rsidRDefault="00EA1EBB">
            <w:pPr>
              <w:pStyle w:val="Textpoznpodarou1"/>
              <w:jc w:val="both"/>
              <w:rPr>
                <w:lang w:eastAsia="en-US"/>
              </w:rPr>
            </w:pPr>
          </w:p>
        </w:tc>
        <w:tc>
          <w:tcPr>
            <w:tcW w:w="7611" w:type="dxa"/>
            <w:hideMark/>
          </w:tcPr>
          <w:p w14:paraId="77030D51" w14:textId="77777777" w:rsidR="00EA1EBB" w:rsidRDefault="00EA1EB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Ceny zemědělských výrobců (včetně ryb) ve 4. čtvrtletí 2023 meziročně klesly </w:t>
            </w:r>
            <w:r>
              <w:rPr>
                <w:lang w:eastAsia="en-US"/>
              </w:rPr>
              <w:br/>
              <w:t xml:space="preserve">o 14,5 % a hloubka propadu se tak téměř nezměnila oproti 3. čtvrtletí. Meziročně nižší byly ceny rostlinné (−16,5 %) i živočišné (−10,9 %) výroby. Za úrovní stejného období roku 2022 hluboce zaostávaly ceny obilovin (−36,0 %). O desítky procent se meziročně propadly ceny pšenice, žita, ječmene, ovsa i kukuřice. Ceny průmyslových plodin byly nižší o 16,7 %, z toho olejnin o více než třetinu. Naopak ceny cukrové řepy vzrostly o 14,8 %. Krmné plodiny byly meziročně dražší o 17,9 %, zelenina a zahradnické produkty o 12,5 %, brambory o 34,7 % a ovoce o 32,8 % (vliv měla zejména o více než třetinu dražší jablka). V rámci živočišné výroby ve 4. čtvrtletí meziročně stagnovaly ceny hospodářských zvířat (0,1 %), z toho ale klesaly ceny drůbeže (−6,9 %) a skotu (−3,1 %) a naopak rostly ceny prasat a selat (8,7 %). V hlubokém propadu byly naopak živočišné výrobky (−17,8 %). Mléko bylo meziročně levnější o 18,7 % a vejce o 10,8 %.     </w:t>
            </w:r>
          </w:p>
        </w:tc>
      </w:tr>
      <w:tr w:rsidR="00EA1EBB" w14:paraId="7B7C0B85" w14:textId="77777777" w:rsidTr="00EA1EBB">
        <w:trPr>
          <w:trHeight w:val="145"/>
        </w:trPr>
        <w:tc>
          <w:tcPr>
            <w:tcW w:w="1804" w:type="dxa"/>
            <w:hideMark/>
          </w:tcPr>
          <w:p w14:paraId="10A55EA0" w14:textId="77777777" w:rsidR="00EA1EBB" w:rsidRDefault="00EA1EBB">
            <w:pPr>
              <w:pStyle w:val="Marginlie"/>
              <w:rPr>
                <w:spacing w:val="0"/>
                <w:lang w:eastAsia="en-US"/>
              </w:rPr>
            </w:pPr>
            <w:r>
              <w:rPr>
                <w:spacing w:val="0"/>
                <w:lang w:eastAsia="en-US"/>
              </w:rPr>
              <w:t xml:space="preserve">Loni klesly ceny rostlinné výroby, zatímco </w:t>
            </w:r>
            <w:r>
              <w:rPr>
                <w:spacing w:val="0"/>
                <w:lang w:eastAsia="en-US"/>
              </w:rPr>
              <w:br/>
              <w:t>u živočišné výroby došlo k celkovému navýšení.</w:t>
            </w:r>
          </w:p>
        </w:tc>
        <w:tc>
          <w:tcPr>
            <w:tcW w:w="224" w:type="dxa"/>
          </w:tcPr>
          <w:p w14:paraId="332BD1BB" w14:textId="77777777" w:rsidR="00EA1EBB" w:rsidRDefault="00EA1EBB">
            <w:pPr>
              <w:pStyle w:val="Textpoznpodarou1"/>
              <w:jc w:val="both"/>
              <w:rPr>
                <w:lang w:eastAsia="en-US"/>
              </w:rPr>
            </w:pPr>
          </w:p>
        </w:tc>
        <w:tc>
          <w:tcPr>
            <w:tcW w:w="7611" w:type="dxa"/>
            <w:hideMark/>
          </w:tcPr>
          <w:p w14:paraId="3319AFDA" w14:textId="77777777" w:rsidR="00EA1EBB" w:rsidRDefault="00EA1EB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Ještě v 1. čtvrtletí ceny zemědělské výroby včetně ryb meziročně rostly (19,4 %) a následně spadly do poklesu (−8,1 % a −14,7 % ve 2. a 3. čtvrtletí). Za celý rok byly ceny zemědělské výroby nižší o 6,0 %. Pokles byl podpořen zejména vývojem cen rostlinné výroby, které klesly o 13,7 %. Velký podíl na tom mělo srovnání s rokem 2022, kdy geopolitické události vedly k prudkému zdražení klíčových plodin. I proto loni prudce klesly ceny obilovin (−20,4 %, z toho pšenice o 24,0 %) i průmyslových plodin (−21,8 %, z toho olejniny o 28,8 %). Naopak ceny zeleniny a zahradnických produktů byly loni vyšší o 15,4 %, brambor o 39,4 % a ovoce o 10,4 %. Ceny živočišné výroby v roce 2023 naopak celkově vzrostly o 7,0 %. Ceny hospodářských zvířat byly vyšší o 12,6 %, z toho prasat o 25,0 %. Ceny živočišných výrobků vzrostly o 3,3 %. Zatímco ceny mléka loni celkově spíše stagnovaly (0,5 %), u vajec došlo k navýšení o 28,6 %. </w:t>
            </w:r>
          </w:p>
        </w:tc>
      </w:tr>
      <w:tr w:rsidR="00EA1EBB" w14:paraId="57497850" w14:textId="77777777" w:rsidTr="00EA1EBB">
        <w:trPr>
          <w:trHeight w:val="145"/>
        </w:trPr>
        <w:tc>
          <w:tcPr>
            <w:tcW w:w="1804" w:type="dxa"/>
            <w:hideMark/>
          </w:tcPr>
          <w:p w14:paraId="60D2D88A" w14:textId="77777777" w:rsidR="00EA1EBB" w:rsidRDefault="00EA1EBB">
            <w:pPr>
              <w:pStyle w:val="Marginlie"/>
              <w:rPr>
                <w:spacing w:val="0"/>
                <w:lang w:eastAsia="en-US"/>
              </w:rPr>
            </w:pPr>
            <w:r>
              <w:rPr>
                <w:spacing w:val="0"/>
                <w:lang w:eastAsia="en-US"/>
              </w:rPr>
              <w:t>Ceny vývozu loni meziročně klesly.</w:t>
            </w:r>
          </w:p>
        </w:tc>
        <w:tc>
          <w:tcPr>
            <w:tcW w:w="224" w:type="dxa"/>
          </w:tcPr>
          <w:p w14:paraId="13C9FD47" w14:textId="77777777" w:rsidR="00EA1EBB" w:rsidRDefault="00EA1EBB">
            <w:pPr>
              <w:pStyle w:val="Textpoznpodarou1"/>
              <w:jc w:val="both"/>
              <w:rPr>
                <w:lang w:eastAsia="en-US"/>
              </w:rPr>
            </w:pPr>
          </w:p>
        </w:tc>
        <w:tc>
          <w:tcPr>
            <w:tcW w:w="7611" w:type="dxa"/>
            <w:hideMark/>
          </w:tcPr>
          <w:p w14:paraId="470649C9" w14:textId="77777777" w:rsidR="00EA1EBB" w:rsidRDefault="00EA1EBB">
            <w:pPr>
              <w:rPr>
                <w:lang w:eastAsia="en-US"/>
              </w:rPr>
            </w:pPr>
            <w:r>
              <w:rPr>
                <w:lang w:eastAsia="en-US"/>
              </w:rPr>
              <w:t>Ceny vývozu zboží v roce 2023 celkově klesly o 0,7 %. Nejvíce se propadly ceny exportu ostatních surovin</w:t>
            </w:r>
            <w:r>
              <w:rPr>
                <w:rStyle w:val="Znakapoznpodarou"/>
                <w:lang w:eastAsia="en-US"/>
              </w:rPr>
              <w:footnoteReference w:id="6"/>
            </w:r>
            <w:r>
              <w:rPr>
                <w:lang w:eastAsia="en-US"/>
              </w:rPr>
              <w:t xml:space="preserve"> (−18,6 %) a chemikálií (−7,2 %). Naopak prudce vzrostly ceny nápojů (16,0 %). Po meziročním navýšení v 1. čtvrtletí se ceny exportu ve zbytku roku 2023 kleslay. Ve 4. čtvrtletí 2023 byly ceny vývozu nižší o 2,2 %. Vliv kurzu koruny na meziroční vývoj cen zahraničního obchodu v závěru roku oslabil</w:t>
            </w:r>
            <w:r>
              <w:rPr>
                <w:rStyle w:val="Znakapoznpodarou"/>
                <w:lang w:eastAsia="en-US"/>
              </w:rPr>
              <w:footnoteReference w:id="7"/>
            </w:r>
            <w:r>
              <w:rPr>
                <w:lang w:eastAsia="en-US"/>
              </w:rPr>
              <w:t>. Mezičtvrtletně se ceny vývozu ve 4. čtvrtletí zvýšily o 0,6 %. Ve 4. kvartálu nejvíce meziročně klesly ceny ostatních surovin (−14,7 %) a minerálních paliv (−13,7 %). Nižší byly také ceny vývozu chemikálií (−7,7 %), potravin a živých zvířat (−7,3 %) a polotovarů</w:t>
            </w:r>
            <w:r>
              <w:rPr>
                <w:rStyle w:val="Znakapoznpodarou"/>
                <w:lang w:eastAsia="en-US"/>
              </w:rPr>
              <w:footnoteReference w:id="8"/>
            </w:r>
            <w:r>
              <w:rPr>
                <w:lang w:eastAsia="en-US"/>
              </w:rPr>
              <w:t xml:space="preserve"> (−6,8 %). Stejně jako v předcházejících kvartálech také ve 4. čtvrtletí prudce rostly ceny nápojů </w:t>
            </w:r>
            <w:r>
              <w:rPr>
                <w:lang w:eastAsia="en-US"/>
              </w:rPr>
              <w:lastRenderedPageBreak/>
              <w:t>(11,1 %). Posílil meziroční přírůstek u cen exportu průmyslového spotřebního zboží (4,1 %) a strojů a dopravních prostředků (2,8 %).</w:t>
            </w:r>
          </w:p>
        </w:tc>
      </w:tr>
      <w:tr w:rsidR="00EA1EBB" w14:paraId="53F95227" w14:textId="77777777" w:rsidTr="00EA1EBB">
        <w:trPr>
          <w:trHeight w:val="145"/>
        </w:trPr>
        <w:tc>
          <w:tcPr>
            <w:tcW w:w="1804" w:type="dxa"/>
            <w:hideMark/>
          </w:tcPr>
          <w:p w14:paraId="38997C2A" w14:textId="77777777" w:rsidR="00EA1EBB" w:rsidRDefault="00EA1EBB">
            <w:pPr>
              <w:pStyle w:val="Marginlie"/>
              <w:rPr>
                <w:spacing w:val="0"/>
                <w:lang w:eastAsia="en-US"/>
              </w:rPr>
            </w:pPr>
            <w:r>
              <w:rPr>
                <w:spacing w:val="0"/>
                <w:lang w:eastAsia="en-US"/>
              </w:rPr>
              <w:lastRenderedPageBreak/>
              <w:t>Směnné relace byly loni výrazně kladné.</w:t>
            </w:r>
          </w:p>
        </w:tc>
        <w:tc>
          <w:tcPr>
            <w:tcW w:w="224" w:type="dxa"/>
          </w:tcPr>
          <w:p w14:paraId="733D2EB2" w14:textId="77777777" w:rsidR="00EA1EBB" w:rsidRDefault="00EA1EBB">
            <w:pPr>
              <w:pStyle w:val="Textpoznpodarou1"/>
              <w:jc w:val="both"/>
              <w:rPr>
                <w:lang w:eastAsia="en-US"/>
              </w:rPr>
            </w:pPr>
          </w:p>
        </w:tc>
        <w:tc>
          <w:tcPr>
            <w:tcW w:w="7611" w:type="dxa"/>
            <w:hideMark/>
          </w:tcPr>
          <w:p w14:paraId="0D3561E5" w14:textId="77777777" w:rsidR="00EA1EBB" w:rsidRDefault="00EA1EB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Ceny dovozu zboží se v loňském roce celkově propadly o 5,7 %. Na poklesu se projevil zejména vývoj u cen minerálních paliv (−27,7 %) a ostatních surovin (−10,7 %). V hlubokém poklesu byly také ceny dovozu chemikálií (−7,9 %). Naopak o více než pětinu (22,7 %) vzrostly ceny nápojů a tabáku. V samotném 4. čtvrtletí 2023 ceny importu meziročně klesly o 6,1 %, zatímco mezičtvrtletně vzrostly o 1,5 %. Ve 4. čtvrtletí se nejvíce meziročně snižovaly ceny dovozu minerálních paliv (−28,7 %), ostatních surovin (−9,6 %), chemikálií (−8,0 %) a polotovarů (−5,9 %). Naopak meziročně vyšší byly ceny importu nápojů a tabáku (23,9 %), průmyslového spotřebního zboží (2,3 %), potravin a živých zvířat (1,7 %), strojů a dopravních prostředků (0,3 %). Po celý rok setrvávaly meziroční směnné relace zahraničního obchodu se zbožím ve výrazně kladném pásmu. Celkově za rok 2023 směnné relace dosáhly 105,3 %. V samotném 4. čtvrtletí meziroční směnné relace činily 104,2 %. Kladné směnné relace měl obchod s minerálními palivy (121,0 %), stroji a dopravními prostředky (102,4 %), průmyslovým spotřebním zbožím (101,8 %) a chemikáliemi (100,3 %). Naproti tomu záporné směnné relace měl obchod s nápoji a tabákem (89,7 %), potravinami a živými zvířaty (91,2 %), ostatními surovinami (94,4 %) a polotovary (99,0 %). </w:t>
            </w:r>
          </w:p>
        </w:tc>
      </w:tr>
    </w:tbl>
    <w:p w14:paraId="1ED17258" w14:textId="77777777" w:rsidR="00EA1EBB" w:rsidRDefault="00EA1EBB" w:rsidP="00871E73">
      <w:pPr>
        <w:pStyle w:val="Nadpis11"/>
        <w:spacing w:after="120"/>
      </w:pPr>
      <w:bookmarkStart w:id="3" w:name="_GoBack"/>
      <w:bookmarkEnd w:id="0"/>
      <w:bookmarkEnd w:id="3"/>
    </w:p>
    <w:sectPr w:rsidR="00EA1EBB" w:rsidSect="00871E73">
      <w:headerReference w:type="even" r:id="rId15"/>
      <w:headerReference w:type="default" r:id="rId16"/>
      <w:footerReference w:type="even" r:id="rId17"/>
      <w:footerReference w:type="default" r:id="rId18"/>
      <w:pgSz w:w="11906" w:h="16838" w:code="9"/>
      <w:pgMar w:top="1134" w:right="1134" w:bottom="1418" w:left="1134" w:header="680" w:footer="737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5E4DD" w14:textId="77777777" w:rsidR="00D0761D" w:rsidRDefault="00D0761D" w:rsidP="00E71A58">
      <w:r>
        <w:separator/>
      </w:r>
    </w:p>
  </w:endnote>
  <w:endnote w:type="continuationSeparator" w:id="0">
    <w:p w14:paraId="2F889831" w14:textId="77777777" w:rsidR="00D0761D" w:rsidRDefault="00D0761D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4B6C8" w14:textId="44F809ED" w:rsidR="00BA5125" w:rsidRPr="00932443" w:rsidRDefault="00BA5125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67968" behindDoc="0" locked="0" layoutInCell="1" allowOverlap="1" wp14:anchorId="5009AFEB" wp14:editId="1EAEA9AF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22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871E73">
      <w:rPr>
        <w:szCs w:val="16"/>
      </w:rPr>
      <w:t>30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rok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FAFAF" w14:textId="3334F395" w:rsidR="00BA5125" w:rsidRPr="00932443" w:rsidRDefault="00BA5125" w:rsidP="00FA6CB6">
    <w:pPr>
      <w:pStyle w:val="Zpat"/>
      <w:rPr>
        <w:szCs w:val="16"/>
      </w:rPr>
    </w:pPr>
    <w:r w:rsidRPr="00FA6CB6">
      <w:rPr>
        <w:szCs w:val="16"/>
      </w:rPr>
      <w:tab/>
    </w:r>
    <w:r>
      <w:rPr>
        <w:szCs w:val="16"/>
      </w:rPr>
      <w:t>rok 202</w:t>
    </w:r>
    <w:r>
      <w:rPr>
        <w:szCs w:val="16"/>
        <w:lang w:eastAsia="cs-CZ"/>
      </w:rPr>
      <w:drawing>
        <wp:anchor distT="0" distB="0" distL="114300" distR="114300" simplePos="0" relativeHeight="251658752" behindDoc="0" locked="0" layoutInCell="1" allowOverlap="1" wp14:anchorId="2DB053DA" wp14:editId="608D8B4A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24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Cs w:val="16"/>
      </w:rPr>
      <w:t>3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871E73">
      <w:rPr>
        <w:rStyle w:val="ZpatChar"/>
        <w:szCs w:val="16"/>
      </w:rPr>
      <w:t>29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E6379" w14:textId="77777777" w:rsidR="00D0761D" w:rsidRDefault="00D0761D" w:rsidP="00A21B4D">
      <w:pPr>
        <w:spacing w:after="0"/>
      </w:pPr>
      <w:r>
        <w:separator/>
      </w:r>
    </w:p>
  </w:footnote>
  <w:footnote w:type="continuationSeparator" w:id="0">
    <w:p w14:paraId="2C15EF68" w14:textId="77777777" w:rsidR="00D0761D" w:rsidRDefault="00D0761D" w:rsidP="00E71A58">
      <w:r>
        <w:continuationSeparator/>
      </w:r>
    </w:p>
  </w:footnote>
  <w:footnote w:id="1">
    <w:p w14:paraId="6C72D3BA" w14:textId="77777777" w:rsidR="00BA5125" w:rsidRDefault="00BA5125" w:rsidP="00EA1EBB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Imputované nájemné vyjadřuje náklady vlastnického bydlení. Kromě samotných cen bydlení zahrnuje i náklady na výstavbu a renovace a další poplatky. Více na: </w:t>
      </w:r>
      <w:hyperlink r:id="rId1" w:history="1">
        <w:r>
          <w:rPr>
            <w:rStyle w:val="Hypertextovodkaz"/>
            <w:sz w:val="16"/>
            <w:szCs w:val="16"/>
          </w:rPr>
          <w:t>https://www.czso.cz/csu/czso/metodicka-poznamka-k-indexu-spotrebitelskych-cen-imputovane-najemne</w:t>
        </w:r>
      </w:hyperlink>
      <w:r>
        <w:rPr>
          <w:rStyle w:val="Hypertextovodkaz"/>
          <w:sz w:val="16"/>
          <w:szCs w:val="16"/>
        </w:rPr>
        <w:t>.</w:t>
      </w:r>
    </w:p>
  </w:footnote>
  <w:footnote w:id="2">
    <w:p w14:paraId="0C3183EE" w14:textId="77777777" w:rsidR="00BA5125" w:rsidRDefault="00BA5125" w:rsidP="00EA1EBB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Zahrnuje služby osobní péče a osobní potřeby a doplňky, sociální péči, pojištění a další finanční služby apod.</w:t>
      </w:r>
    </w:p>
  </w:footnote>
  <w:footnote w:id="3">
    <w:p w14:paraId="629EF097" w14:textId="77777777" w:rsidR="00BA5125" w:rsidRDefault="00BA5125" w:rsidP="00EA1EBB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Oproti indexu spotřebitelských cen, který ČSÚ pro českou ekonomiku sestavuje, HICP neobsahuje imputované nájemné, což bývá zdrojem rozdílů mezi HICP a Indexem spotřebitelských cen.</w:t>
      </w:r>
    </w:p>
  </w:footnote>
  <w:footnote w:id="4">
    <w:p w14:paraId="0680B45D" w14:textId="77777777" w:rsidR="00BA5125" w:rsidRDefault="00BA5125" w:rsidP="00EA1EBB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Přesné hodnoty ukazatele nejsou uvedeny kvůli ochraně individuálních dat.</w:t>
      </w:r>
    </w:p>
  </w:footnote>
  <w:footnote w:id="5">
    <w:p w14:paraId="12940FA8" w14:textId="77777777" w:rsidR="00BA5125" w:rsidRDefault="00BA5125" w:rsidP="00EA1EBB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Bez cen zásobování vodou a služeb souvisejících s odpadními vodami.</w:t>
      </w:r>
    </w:p>
  </w:footnote>
  <w:footnote w:id="6">
    <w:p w14:paraId="55295887" w14:textId="77777777" w:rsidR="00BA5125" w:rsidRDefault="00BA5125" w:rsidP="00EA1EBB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SITC 2 – suroviny nepoživatelné s výjimkou paliv.</w:t>
      </w:r>
    </w:p>
  </w:footnote>
  <w:footnote w:id="7">
    <w:p w14:paraId="2E360B3C" w14:textId="77777777" w:rsidR="00BA5125" w:rsidRDefault="00BA5125" w:rsidP="00EA1EBB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Podle údajů ČNB byl ve 4. čtvrtletí 2023 průměrný kurz koruny vůči euru 24,521 CZK/EUR. V roce 2022 to bylo 24,387 CZK/EUR. Kurz dolaru meziročně posílil. Ve 4. čtvrtletí 2022 činil průměr 23,923 CZK/USD a letos 22,820 CZK/USD.</w:t>
      </w:r>
    </w:p>
  </w:footnote>
  <w:footnote w:id="8">
    <w:p w14:paraId="6A59CE9E" w14:textId="77777777" w:rsidR="00BA5125" w:rsidRDefault="00BA5125" w:rsidP="00EA1EBB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SITC 6 – tržní výrobky tříděné hlavně podle materiálu.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94A67" w14:textId="77777777" w:rsidR="00BA5125" w:rsidRDefault="00BA5125" w:rsidP="00937AE2">
    <w:pPr>
      <w:pStyle w:val="Zhlav"/>
    </w:pPr>
    <w:r>
      <w:t>Vývoj ekonomiky České republiky</w:t>
    </w:r>
  </w:p>
  <w:p w14:paraId="3E881AB3" w14:textId="77777777" w:rsidR="00BA5125" w:rsidRPr="006F5416" w:rsidRDefault="00BA5125" w:rsidP="00937A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2D3DB" w14:textId="77777777" w:rsidR="00BA5125" w:rsidRDefault="00BA5125" w:rsidP="00937AE2">
    <w:pPr>
      <w:pStyle w:val="Zhlav"/>
    </w:pPr>
    <w:r>
      <w:t>Vývoj ekonomiky České republiky</w:t>
    </w:r>
  </w:p>
  <w:p w14:paraId="57266714" w14:textId="77777777" w:rsidR="00BA5125" w:rsidRPr="006F5416" w:rsidRDefault="00BA5125" w:rsidP="00937A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5pt;height:11.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C5946"/>
    <w:multiLevelType w:val="hybridMultilevel"/>
    <w:tmpl w:val="4C1C2D78"/>
    <w:lvl w:ilvl="0" w:tplc="B01A5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95764B"/>
    <w:multiLevelType w:val="hybridMultilevel"/>
    <w:tmpl w:val="84788BC8"/>
    <w:lvl w:ilvl="0" w:tplc="1B96A2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D55121"/>
    <w:multiLevelType w:val="hybridMultilevel"/>
    <w:tmpl w:val="338E27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361065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1B2A5724"/>
    <w:multiLevelType w:val="hybridMultilevel"/>
    <w:tmpl w:val="0EA8A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5C59E0"/>
    <w:multiLevelType w:val="multilevel"/>
    <w:tmpl w:val="74A4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CAB4B86"/>
    <w:multiLevelType w:val="multilevel"/>
    <w:tmpl w:val="52D0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35280B15"/>
    <w:multiLevelType w:val="hybridMultilevel"/>
    <w:tmpl w:val="5156A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6C06F7"/>
    <w:multiLevelType w:val="multilevel"/>
    <w:tmpl w:val="AF4EC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6841503"/>
    <w:multiLevelType w:val="hybridMultilevel"/>
    <w:tmpl w:val="322E8B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D23EC3"/>
    <w:multiLevelType w:val="hybridMultilevel"/>
    <w:tmpl w:val="B65A4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5236EE"/>
    <w:multiLevelType w:val="hybridMultilevel"/>
    <w:tmpl w:val="CC2A1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7C1667"/>
    <w:multiLevelType w:val="hybridMultilevel"/>
    <w:tmpl w:val="735E7570"/>
    <w:lvl w:ilvl="0" w:tplc="5588AF8E">
      <w:start w:val="1"/>
      <w:numFmt w:val="decimal"/>
      <w:lvlText w:val="%1."/>
      <w:lvlJc w:val="left"/>
      <w:pPr>
        <w:ind w:left="4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20" w:hanging="360"/>
      </w:pPr>
    </w:lvl>
    <w:lvl w:ilvl="2" w:tplc="0405001B" w:tentative="1">
      <w:start w:val="1"/>
      <w:numFmt w:val="lowerRoman"/>
      <w:lvlText w:val="%3."/>
      <w:lvlJc w:val="right"/>
      <w:pPr>
        <w:ind w:left="6240" w:hanging="180"/>
      </w:pPr>
    </w:lvl>
    <w:lvl w:ilvl="3" w:tplc="0405000F" w:tentative="1">
      <w:start w:val="1"/>
      <w:numFmt w:val="decimal"/>
      <w:lvlText w:val="%4."/>
      <w:lvlJc w:val="left"/>
      <w:pPr>
        <w:ind w:left="6960" w:hanging="360"/>
      </w:pPr>
    </w:lvl>
    <w:lvl w:ilvl="4" w:tplc="04050019" w:tentative="1">
      <w:start w:val="1"/>
      <w:numFmt w:val="lowerLetter"/>
      <w:lvlText w:val="%5."/>
      <w:lvlJc w:val="left"/>
      <w:pPr>
        <w:ind w:left="7680" w:hanging="360"/>
      </w:pPr>
    </w:lvl>
    <w:lvl w:ilvl="5" w:tplc="0405001B" w:tentative="1">
      <w:start w:val="1"/>
      <w:numFmt w:val="lowerRoman"/>
      <w:lvlText w:val="%6."/>
      <w:lvlJc w:val="right"/>
      <w:pPr>
        <w:ind w:left="8400" w:hanging="180"/>
      </w:pPr>
    </w:lvl>
    <w:lvl w:ilvl="6" w:tplc="0405000F" w:tentative="1">
      <w:start w:val="1"/>
      <w:numFmt w:val="decimal"/>
      <w:lvlText w:val="%7."/>
      <w:lvlJc w:val="left"/>
      <w:pPr>
        <w:ind w:left="9120" w:hanging="360"/>
      </w:pPr>
    </w:lvl>
    <w:lvl w:ilvl="7" w:tplc="04050019" w:tentative="1">
      <w:start w:val="1"/>
      <w:numFmt w:val="lowerLetter"/>
      <w:lvlText w:val="%8."/>
      <w:lvlJc w:val="left"/>
      <w:pPr>
        <w:ind w:left="9840" w:hanging="360"/>
      </w:pPr>
    </w:lvl>
    <w:lvl w:ilvl="8" w:tplc="0405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31" w15:restartNumberingAfterBreak="0">
    <w:nsid w:val="3D4D0562"/>
    <w:multiLevelType w:val="hybridMultilevel"/>
    <w:tmpl w:val="E8A8F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BB1D16"/>
    <w:multiLevelType w:val="hybridMultilevel"/>
    <w:tmpl w:val="CA440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9678F7"/>
    <w:multiLevelType w:val="hybridMultilevel"/>
    <w:tmpl w:val="A4DE71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4077D1"/>
    <w:multiLevelType w:val="multilevel"/>
    <w:tmpl w:val="B708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8567A6"/>
    <w:multiLevelType w:val="hybridMultilevel"/>
    <w:tmpl w:val="50E0F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9A0FF0"/>
    <w:multiLevelType w:val="hybridMultilevel"/>
    <w:tmpl w:val="3D88D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67F0B9"/>
    <w:multiLevelType w:val="hybridMultilevel"/>
    <w:tmpl w:val="9B0C99B6"/>
    <w:lvl w:ilvl="0" w:tplc="5FC8F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7298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18EA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78DB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062F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920A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A63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0420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4CC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CC6022"/>
    <w:multiLevelType w:val="multilevel"/>
    <w:tmpl w:val="70CA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E819D0"/>
    <w:multiLevelType w:val="multilevel"/>
    <w:tmpl w:val="DBAA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F8E301A"/>
    <w:multiLevelType w:val="hybridMultilevel"/>
    <w:tmpl w:val="1A92D7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7"/>
  </w:num>
  <w:num w:numId="13">
    <w:abstractNumId w:val="37"/>
  </w:num>
  <w:num w:numId="14">
    <w:abstractNumId w:val="14"/>
  </w:num>
  <w:num w:numId="15">
    <w:abstractNumId w:val="23"/>
  </w:num>
  <w:num w:numId="16">
    <w:abstractNumId w:val="18"/>
  </w:num>
  <w:num w:numId="17">
    <w:abstractNumId w:val="38"/>
  </w:num>
  <w:num w:numId="18">
    <w:abstractNumId w:val="29"/>
  </w:num>
  <w:num w:numId="19">
    <w:abstractNumId w:val="41"/>
  </w:num>
  <w:num w:numId="20">
    <w:abstractNumId w:val="44"/>
  </w:num>
  <w:num w:numId="21">
    <w:abstractNumId w:val="36"/>
  </w:num>
  <w:num w:numId="22">
    <w:abstractNumId w:val="22"/>
  </w:num>
  <w:num w:numId="23">
    <w:abstractNumId w:val="19"/>
  </w:num>
  <w:num w:numId="24">
    <w:abstractNumId w:val="20"/>
  </w:num>
  <w:num w:numId="25">
    <w:abstractNumId w:val="13"/>
  </w:num>
  <w:num w:numId="26">
    <w:abstractNumId w:val="31"/>
  </w:num>
  <w:num w:numId="27">
    <w:abstractNumId w:val="30"/>
  </w:num>
  <w:num w:numId="28">
    <w:abstractNumId w:val="10"/>
  </w:num>
  <w:num w:numId="29">
    <w:abstractNumId w:val="44"/>
  </w:num>
  <w:num w:numId="30">
    <w:abstractNumId w:val="32"/>
  </w:num>
  <w:num w:numId="31">
    <w:abstractNumId w:val="12"/>
  </w:num>
  <w:num w:numId="32">
    <w:abstractNumId w:val="46"/>
  </w:num>
  <w:num w:numId="33">
    <w:abstractNumId w:val="44"/>
  </w:num>
  <w:num w:numId="34">
    <w:abstractNumId w:val="11"/>
  </w:num>
  <w:num w:numId="35">
    <w:abstractNumId w:val="39"/>
  </w:num>
  <w:num w:numId="36">
    <w:abstractNumId w:val="33"/>
  </w:num>
  <w:num w:numId="37">
    <w:abstractNumId w:val="24"/>
  </w:num>
  <w:num w:numId="38">
    <w:abstractNumId w:val="28"/>
  </w:num>
  <w:num w:numId="39">
    <w:abstractNumId w:val="15"/>
  </w:num>
  <w:num w:numId="40">
    <w:abstractNumId w:val="26"/>
  </w:num>
  <w:num w:numId="41">
    <w:abstractNumId w:val="27"/>
  </w:num>
  <w:num w:numId="42">
    <w:abstractNumId w:val="45"/>
  </w:num>
  <w:num w:numId="43">
    <w:abstractNumId w:val="25"/>
  </w:num>
  <w:num w:numId="44">
    <w:abstractNumId w:val="16"/>
  </w:num>
  <w:num w:numId="45">
    <w:abstractNumId w:val="21"/>
  </w:num>
  <w:num w:numId="46">
    <w:abstractNumId w:val="35"/>
  </w:num>
  <w:num w:numId="47">
    <w:abstractNumId w:val="43"/>
  </w:num>
  <w:num w:numId="48">
    <w:abstractNumId w:val="40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28"/>
    <w:rsid w:val="000005AF"/>
    <w:rsid w:val="00000994"/>
    <w:rsid w:val="00000B55"/>
    <w:rsid w:val="0000209D"/>
    <w:rsid w:val="00002566"/>
    <w:rsid w:val="0000370A"/>
    <w:rsid w:val="00003849"/>
    <w:rsid w:val="00003F5C"/>
    <w:rsid w:val="00004D5A"/>
    <w:rsid w:val="00005219"/>
    <w:rsid w:val="000056D5"/>
    <w:rsid w:val="00005D9E"/>
    <w:rsid w:val="000063D5"/>
    <w:rsid w:val="00006625"/>
    <w:rsid w:val="00006ABD"/>
    <w:rsid w:val="00006B67"/>
    <w:rsid w:val="00006C0B"/>
    <w:rsid w:val="000073A0"/>
    <w:rsid w:val="0000767A"/>
    <w:rsid w:val="00007ABE"/>
    <w:rsid w:val="00010107"/>
    <w:rsid w:val="00010256"/>
    <w:rsid w:val="00010702"/>
    <w:rsid w:val="00010A2C"/>
    <w:rsid w:val="0001128E"/>
    <w:rsid w:val="00011912"/>
    <w:rsid w:val="000129B7"/>
    <w:rsid w:val="0001387D"/>
    <w:rsid w:val="00014ED0"/>
    <w:rsid w:val="00016420"/>
    <w:rsid w:val="00016BDB"/>
    <w:rsid w:val="00017B01"/>
    <w:rsid w:val="000200BE"/>
    <w:rsid w:val="000205D1"/>
    <w:rsid w:val="00020F22"/>
    <w:rsid w:val="0002195D"/>
    <w:rsid w:val="00021F9B"/>
    <w:rsid w:val="000228AE"/>
    <w:rsid w:val="000233D1"/>
    <w:rsid w:val="000234D6"/>
    <w:rsid w:val="00023D29"/>
    <w:rsid w:val="00024348"/>
    <w:rsid w:val="00026109"/>
    <w:rsid w:val="0002622B"/>
    <w:rsid w:val="000262B5"/>
    <w:rsid w:val="00026389"/>
    <w:rsid w:val="0002669F"/>
    <w:rsid w:val="000279E5"/>
    <w:rsid w:val="000305E0"/>
    <w:rsid w:val="00031AE0"/>
    <w:rsid w:val="00031BB2"/>
    <w:rsid w:val="000322EF"/>
    <w:rsid w:val="00032C3C"/>
    <w:rsid w:val="00033FCD"/>
    <w:rsid w:val="000348AF"/>
    <w:rsid w:val="00034B70"/>
    <w:rsid w:val="00034DF7"/>
    <w:rsid w:val="00034E68"/>
    <w:rsid w:val="000350C8"/>
    <w:rsid w:val="00036195"/>
    <w:rsid w:val="000374B2"/>
    <w:rsid w:val="000376C0"/>
    <w:rsid w:val="000403A7"/>
    <w:rsid w:val="00040632"/>
    <w:rsid w:val="00041AFC"/>
    <w:rsid w:val="00041CEC"/>
    <w:rsid w:val="00041D02"/>
    <w:rsid w:val="00042596"/>
    <w:rsid w:val="00042A4A"/>
    <w:rsid w:val="00044183"/>
    <w:rsid w:val="0004431D"/>
    <w:rsid w:val="00044AAC"/>
    <w:rsid w:val="0004694F"/>
    <w:rsid w:val="00046F2F"/>
    <w:rsid w:val="000472CA"/>
    <w:rsid w:val="00047AD4"/>
    <w:rsid w:val="00047D54"/>
    <w:rsid w:val="00050541"/>
    <w:rsid w:val="0005054A"/>
    <w:rsid w:val="00050A87"/>
    <w:rsid w:val="00051506"/>
    <w:rsid w:val="000522E4"/>
    <w:rsid w:val="00053713"/>
    <w:rsid w:val="0005434E"/>
    <w:rsid w:val="00055CB6"/>
    <w:rsid w:val="000572DD"/>
    <w:rsid w:val="00057B1E"/>
    <w:rsid w:val="0006033F"/>
    <w:rsid w:val="000610E1"/>
    <w:rsid w:val="000616AD"/>
    <w:rsid w:val="000622A6"/>
    <w:rsid w:val="00062D70"/>
    <w:rsid w:val="00062EC5"/>
    <w:rsid w:val="00062F22"/>
    <w:rsid w:val="00063975"/>
    <w:rsid w:val="00063CEA"/>
    <w:rsid w:val="0006444D"/>
    <w:rsid w:val="000645FC"/>
    <w:rsid w:val="00065296"/>
    <w:rsid w:val="0006533F"/>
    <w:rsid w:val="00065348"/>
    <w:rsid w:val="0006551C"/>
    <w:rsid w:val="0006558D"/>
    <w:rsid w:val="00065A75"/>
    <w:rsid w:val="000663F0"/>
    <w:rsid w:val="00066558"/>
    <w:rsid w:val="000671DB"/>
    <w:rsid w:val="00067363"/>
    <w:rsid w:val="00067982"/>
    <w:rsid w:val="00070A87"/>
    <w:rsid w:val="000712B3"/>
    <w:rsid w:val="00071A7C"/>
    <w:rsid w:val="00071E38"/>
    <w:rsid w:val="00072FF5"/>
    <w:rsid w:val="00073A5A"/>
    <w:rsid w:val="0007474E"/>
    <w:rsid w:val="00074988"/>
    <w:rsid w:val="0007512B"/>
    <w:rsid w:val="00075551"/>
    <w:rsid w:val="000767F5"/>
    <w:rsid w:val="00076D90"/>
    <w:rsid w:val="00077FF0"/>
    <w:rsid w:val="00081A55"/>
    <w:rsid w:val="0008263E"/>
    <w:rsid w:val="00082C19"/>
    <w:rsid w:val="00082F89"/>
    <w:rsid w:val="00083457"/>
    <w:rsid w:val="000834ED"/>
    <w:rsid w:val="000837CD"/>
    <w:rsid w:val="00083B7F"/>
    <w:rsid w:val="00084BFF"/>
    <w:rsid w:val="00085395"/>
    <w:rsid w:val="00086896"/>
    <w:rsid w:val="00086AC1"/>
    <w:rsid w:val="00086D19"/>
    <w:rsid w:val="00087634"/>
    <w:rsid w:val="00087F2B"/>
    <w:rsid w:val="00090694"/>
    <w:rsid w:val="00090EE2"/>
    <w:rsid w:val="00090FC6"/>
    <w:rsid w:val="0009122C"/>
    <w:rsid w:val="000913B1"/>
    <w:rsid w:val="0009290F"/>
    <w:rsid w:val="00093241"/>
    <w:rsid w:val="00093868"/>
    <w:rsid w:val="00094A84"/>
    <w:rsid w:val="00095025"/>
    <w:rsid w:val="00095135"/>
    <w:rsid w:val="00095152"/>
    <w:rsid w:val="0009626E"/>
    <w:rsid w:val="0009644D"/>
    <w:rsid w:val="00097191"/>
    <w:rsid w:val="000974D1"/>
    <w:rsid w:val="00097784"/>
    <w:rsid w:val="0009799E"/>
    <w:rsid w:val="000A07CB"/>
    <w:rsid w:val="000A0BC0"/>
    <w:rsid w:val="000A1183"/>
    <w:rsid w:val="000A12ED"/>
    <w:rsid w:val="000A1D49"/>
    <w:rsid w:val="000A212B"/>
    <w:rsid w:val="000A242D"/>
    <w:rsid w:val="000A256D"/>
    <w:rsid w:val="000A2643"/>
    <w:rsid w:val="000A2E5F"/>
    <w:rsid w:val="000A385C"/>
    <w:rsid w:val="000A3A2C"/>
    <w:rsid w:val="000A3D9E"/>
    <w:rsid w:val="000A4A54"/>
    <w:rsid w:val="000A4ED9"/>
    <w:rsid w:val="000A5DB7"/>
    <w:rsid w:val="000A6753"/>
    <w:rsid w:val="000A6D94"/>
    <w:rsid w:val="000A72BC"/>
    <w:rsid w:val="000A7377"/>
    <w:rsid w:val="000A74A4"/>
    <w:rsid w:val="000A775A"/>
    <w:rsid w:val="000A7D63"/>
    <w:rsid w:val="000A7FF4"/>
    <w:rsid w:val="000B03CC"/>
    <w:rsid w:val="000B4212"/>
    <w:rsid w:val="000B67B7"/>
    <w:rsid w:val="000B6A0A"/>
    <w:rsid w:val="000C0127"/>
    <w:rsid w:val="000C0CA6"/>
    <w:rsid w:val="000C0EA8"/>
    <w:rsid w:val="000C13A2"/>
    <w:rsid w:val="000C21E7"/>
    <w:rsid w:val="000C23EC"/>
    <w:rsid w:val="000C26A2"/>
    <w:rsid w:val="000C290E"/>
    <w:rsid w:val="000C30C3"/>
    <w:rsid w:val="000C3408"/>
    <w:rsid w:val="000C35AB"/>
    <w:rsid w:val="000C3F7B"/>
    <w:rsid w:val="000C4769"/>
    <w:rsid w:val="000C4D56"/>
    <w:rsid w:val="000C52FC"/>
    <w:rsid w:val="000C5DFA"/>
    <w:rsid w:val="000C6AFD"/>
    <w:rsid w:val="000C6C90"/>
    <w:rsid w:val="000C72B7"/>
    <w:rsid w:val="000C7A79"/>
    <w:rsid w:val="000D0A26"/>
    <w:rsid w:val="000D13CB"/>
    <w:rsid w:val="000D2196"/>
    <w:rsid w:val="000D2C2E"/>
    <w:rsid w:val="000D3058"/>
    <w:rsid w:val="000D310A"/>
    <w:rsid w:val="000D3EF4"/>
    <w:rsid w:val="000D4761"/>
    <w:rsid w:val="000D4DC0"/>
    <w:rsid w:val="000D55BA"/>
    <w:rsid w:val="000D5637"/>
    <w:rsid w:val="000D5A03"/>
    <w:rsid w:val="000D5ED3"/>
    <w:rsid w:val="000D6F4E"/>
    <w:rsid w:val="000D6FDA"/>
    <w:rsid w:val="000D73BB"/>
    <w:rsid w:val="000D7AC7"/>
    <w:rsid w:val="000D7C6F"/>
    <w:rsid w:val="000E04FD"/>
    <w:rsid w:val="000E0E96"/>
    <w:rsid w:val="000E298B"/>
    <w:rsid w:val="000E2C7D"/>
    <w:rsid w:val="000E3E56"/>
    <w:rsid w:val="000E440D"/>
    <w:rsid w:val="000E4AC5"/>
    <w:rsid w:val="000E6253"/>
    <w:rsid w:val="000E6AC4"/>
    <w:rsid w:val="000E6E4D"/>
    <w:rsid w:val="000E6FBD"/>
    <w:rsid w:val="000E6FCB"/>
    <w:rsid w:val="000F0848"/>
    <w:rsid w:val="000F090B"/>
    <w:rsid w:val="000F0E42"/>
    <w:rsid w:val="000F15F7"/>
    <w:rsid w:val="000F1AA2"/>
    <w:rsid w:val="000F378E"/>
    <w:rsid w:val="000F3F3B"/>
    <w:rsid w:val="000F4721"/>
    <w:rsid w:val="000F47E8"/>
    <w:rsid w:val="000F70E4"/>
    <w:rsid w:val="000F76EA"/>
    <w:rsid w:val="00100A8B"/>
    <w:rsid w:val="00100F5C"/>
    <w:rsid w:val="00101B15"/>
    <w:rsid w:val="00101CDA"/>
    <w:rsid w:val="00102037"/>
    <w:rsid w:val="00103DCB"/>
    <w:rsid w:val="00104C4C"/>
    <w:rsid w:val="00105015"/>
    <w:rsid w:val="001055D2"/>
    <w:rsid w:val="001057C2"/>
    <w:rsid w:val="00106BCC"/>
    <w:rsid w:val="00107124"/>
    <w:rsid w:val="0011038E"/>
    <w:rsid w:val="0011055D"/>
    <w:rsid w:val="00111573"/>
    <w:rsid w:val="00112370"/>
    <w:rsid w:val="0011239B"/>
    <w:rsid w:val="001125EF"/>
    <w:rsid w:val="00112CAB"/>
    <w:rsid w:val="0011440C"/>
    <w:rsid w:val="00114C33"/>
    <w:rsid w:val="00114D5B"/>
    <w:rsid w:val="00116D3F"/>
    <w:rsid w:val="00117474"/>
    <w:rsid w:val="00117623"/>
    <w:rsid w:val="00117FEA"/>
    <w:rsid w:val="001200CF"/>
    <w:rsid w:val="001208E3"/>
    <w:rsid w:val="001211F9"/>
    <w:rsid w:val="00121609"/>
    <w:rsid w:val="0012192F"/>
    <w:rsid w:val="00122994"/>
    <w:rsid w:val="00123204"/>
    <w:rsid w:val="00124B46"/>
    <w:rsid w:val="001257BE"/>
    <w:rsid w:val="001257E0"/>
    <w:rsid w:val="00125D69"/>
    <w:rsid w:val="0012799C"/>
    <w:rsid w:val="00127BC2"/>
    <w:rsid w:val="00127E15"/>
    <w:rsid w:val="001308F1"/>
    <w:rsid w:val="00130ADC"/>
    <w:rsid w:val="00130D9F"/>
    <w:rsid w:val="00132C4D"/>
    <w:rsid w:val="00133FC1"/>
    <w:rsid w:val="00134659"/>
    <w:rsid w:val="00135111"/>
    <w:rsid w:val="00135376"/>
    <w:rsid w:val="00136A6F"/>
    <w:rsid w:val="00136C1A"/>
    <w:rsid w:val="00137812"/>
    <w:rsid w:val="00137F06"/>
    <w:rsid w:val="001405FA"/>
    <w:rsid w:val="00140D1A"/>
    <w:rsid w:val="00141184"/>
    <w:rsid w:val="00141315"/>
    <w:rsid w:val="0014152B"/>
    <w:rsid w:val="00141AA0"/>
    <w:rsid w:val="001425C3"/>
    <w:rsid w:val="0014262D"/>
    <w:rsid w:val="00142B29"/>
    <w:rsid w:val="00143EED"/>
    <w:rsid w:val="00144108"/>
    <w:rsid w:val="00144588"/>
    <w:rsid w:val="001447DD"/>
    <w:rsid w:val="00145358"/>
    <w:rsid w:val="001459BC"/>
    <w:rsid w:val="0014779E"/>
    <w:rsid w:val="00147B13"/>
    <w:rsid w:val="00150ECA"/>
    <w:rsid w:val="0015108F"/>
    <w:rsid w:val="00151707"/>
    <w:rsid w:val="00152C86"/>
    <w:rsid w:val="00152EBC"/>
    <w:rsid w:val="00152F4F"/>
    <w:rsid w:val="00153264"/>
    <w:rsid w:val="0015329F"/>
    <w:rsid w:val="001544A1"/>
    <w:rsid w:val="001553B8"/>
    <w:rsid w:val="001554C2"/>
    <w:rsid w:val="00156D04"/>
    <w:rsid w:val="001571C0"/>
    <w:rsid w:val="001574FE"/>
    <w:rsid w:val="0015753D"/>
    <w:rsid w:val="00157984"/>
    <w:rsid w:val="00157CC9"/>
    <w:rsid w:val="00160C21"/>
    <w:rsid w:val="001612F4"/>
    <w:rsid w:val="00161553"/>
    <w:rsid w:val="0016216F"/>
    <w:rsid w:val="0016256B"/>
    <w:rsid w:val="00162F81"/>
    <w:rsid w:val="00163793"/>
    <w:rsid w:val="00163868"/>
    <w:rsid w:val="00164CA1"/>
    <w:rsid w:val="00165313"/>
    <w:rsid w:val="001659C3"/>
    <w:rsid w:val="001665AB"/>
    <w:rsid w:val="00167485"/>
    <w:rsid w:val="001679F5"/>
    <w:rsid w:val="00167B92"/>
    <w:rsid w:val="00167CB9"/>
    <w:rsid w:val="00167DD8"/>
    <w:rsid w:val="001705AD"/>
    <w:rsid w:val="001706D6"/>
    <w:rsid w:val="001714F2"/>
    <w:rsid w:val="00171FEA"/>
    <w:rsid w:val="00173622"/>
    <w:rsid w:val="00174ED1"/>
    <w:rsid w:val="00175B9F"/>
    <w:rsid w:val="001762F4"/>
    <w:rsid w:val="001777BA"/>
    <w:rsid w:val="00181029"/>
    <w:rsid w:val="00181BBC"/>
    <w:rsid w:val="0018385F"/>
    <w:rsid w:val="00183BCF"/>
    <w:rsid w:val="00184017"/>
    <w:rsid w:val="001847BB"/>
    <w:rsid w:val="00184B08"/>
    <w:rsid w:val="00185010"/>
    <w:rsid w:val="001854F2"/>
    <w:rsid w:val="00185C22"/>
    <w:rsid w:val="00186BA9"/>
    <w:rsid w:val="00187D50"/>
    <w:rsid w:val="00190B4D"/>
    <w:rsid w:val="0019123D"/>
    <w:rsid w:val="0019196C"/>
    <w:rsid w:val="001926A9"/>
    <w:rsid w:val="00192F05"/>
    <w:rsid w:val="00194729"/>
    <w:rsid w:val="00194850"/>
    <w:rsid w:val="00195234"/>
    <w:rsid w:val="00195EA6"/>
    <w:rsid w:val="00196016"/>
    <w:rsid w:val="00196117"/>
    <w:rsid w:val="00197A70"/>
    <w:rsid w:val="00197C0F"/>
    <w:rsid w:val="00197D0E"/>
    <w:rsid w:val="001A0487"/>
    <w:rsid w:val="001A0675"/>
    <w:rsid w:val="001A0A37"/>
    <w:rsid w:val="001A164B"/>
    <w:rsid w:val="001A1F68"/>
    <w:rsid w:val="001A21FA"/>
    <w:rsid w:val="001A4D7C"/>
    <w:rsid w:val="001A4EF0"/>
    <w:rsid w:val="001A552F"/>
    <w:rsid w:val="001A70B1"/>
    <w:rsid w:val="001A7672"/>
    <w:rsid w:val="001B0738"/>
    <w:rsid w:val="001B1235"/>
    <w:rsid w:val="001B158D"/>
    <w:rsid w:val="001B1BBB"/>
    <w:rsid w:val="001B2CA9"/>
    <w:rsid w:val="001B3110"/>
    <w:rsid w:val="001B3E38"/>
    <w:rsid w:val="001B40F5"/>
    <w:rsid w:val="001B4729"/>
    <w:rsid w:val="001B4F0E"/>
    <w:rsid w:val="001B5F40"/>
    <w:rsid w:val="001B6310"/>
    <w:rsid w:val="001B6C09"/>
    <w:rsid w:val="001B6E12"/>
    <w:rsid w:val="001C05CD"/>
    <w:rsid w:val="001C082B"/>
    <w:rsid w:val="001C0F17"/>
    <w:rsid w:val="001C11A6"/>
    <w:rsid w:val="001C1B24"/>
    <w:rsid w:val="001C1B66"/>
    <w:rsid w:val="001C1BB5"/>
    <w:rsid w:val="001C2732"/>
    <w:rsid w:val="001C31A2"/>
    <w:rsid w:val="001C351D"/>
    <w:rsid w:val="001C3794"/>
    <w:rsid w:val="001C3855"/>
    <w:rsid w:val="001C4B8F"/>
    <w:rsid w:val="001C4BB8"/>
    <w:rsid w:val="001C4D8C"/>
    <w:rsid w:val="001C4FD0"/>
    <w:rsid w:val="001C544D"/>
    <w:rsid w:val="001C5E46"/>
    <w:rsid w:val="001C6B3B"/>
    <w:rsid w:val="001C7A26"/>
    <w:rsid w:val="001C7E3F"/>
    <w:rsid w:val="001D0EF1"/>
    <w:rsid w:val="001D1A44"/>
    <w:rsid w:val="001D22C2"/>
    <w:rsid w:val="001D2C99"/>
    <w:rsid w:val="001D3B75"/>
    <w:rsid w:val="001D452E"/>
    <w:rsid w:val="001D54C1"/>
    <w:rsid w:val="001D556E"/>
    <w:rsid w:val="001D5DF2"/>
    <w:rsid w:val="001D6175"/>
    <w:rsid w:val="001D68B2"/>
    <w:rsid w:val="001D6B3F"/>
    <w:rsid w:val="001D7EFD"/>
    <w:rsid w:val="001D7F60"/>
    <w:rsid w:val="001E085B"/>
    <w:rsid w:val="001E149B"/>
    <w:rsid w:val="001E15CB"/>
    <w:rsid w:val="001E1AF1"/>
    <w:rsid w:val="001E3306"/>
    <w:rsid w:val="001E504C"/>
    <w:rsid w:val="001E56AC"/>
    <w:rsid w:val="001E5A17"/>
    <w:rsid w:val="001E6441"/>
    <w:rsid w:val="001E74C5"/>
    <w:rsid w:val="001F1236"/>
    <w:rsid w:val="001F2F90"/>
    <w:rsid w:val="001F4597"/>
    <w:rsid w:val="001F4826"/>
    <w:rsid w:val="001F4933"/>
    <w:rsid w:val="001F59C8"/>
    <w:rsid w:val="001F6483"/>
    <w:rsid w:val="001F6CD3"/>
    <w:rsid w:val="001F75DA"/>
    <w:rsid w:val="001F7931"/>
    <w:rsid w:val="001F7CE0"/>
    <w:rsid w:val="00200085"/>
    <w:rsid w:val="00201633"/>
    <w:rsid w:val="00203332"/>
    <w:rsid w:val="002036E6"/>
    <w:rsid w:val="00203CD5"/>
    <w:rsid w:val="00203D8F"/>
    <w:rsid w:val="00203DA4"/>
    <w:rsid w:val="00204EA6"/>
    <w:rsid w:val="00205186"/>
    <w:rsid w:val="00206516"/>
    <w:rsid w:val="002070CF"/>
    <w:rsid w:val="002071D5"/>
    <w:rsid w:val="002073FD"/>
    <w:rsid w:val="002111E5"/>
    <w:rsid w:val="0021149E"/>
    <w:rsid w:val="002118B9"/>
    <w:rsid w:val="00213691"/>
    <w:rsid w:val="002142C0"/>
    <w:rsid w:val="00217BED"/>
    <w:rsid w:val="00217C5B"/>
    <w:rsid w:val="00220A43"/>
    <w:rsid w:val="0022139E"/>
    <w:rsid w:val="00222729"/>
    <w:rsid w:val="0022287B"/>
    <w:rsid w:val="002228DB"/>
    <w:rsid w:val="00223185"/>
    <w:rsid w:val="00223264"/>
    <w:rsid w:val="002233D6"/>
    <w:rsid w:val="0022441D"/>
    <w:rsid w:val="00224574"/>
    <w:rsid w:val="00224E3F"/>
    <w:rsid w:val="00225000"/>
    <w:rsid w:val="0022521D"/>
    <w:rsid w:val="002252E0"/>
    <w:rsid w:val="002255F6"/>
    <w:rsid w:val="00226032"/>
    <w:rsid w:val="0022738D"/>
    <w:rsid w:val="00227605"/>
    <w:rsid w:val="00227850"/>
    <w:rsid w:val="00227A53"/>
    <w:rsid w:val="00227C6C"/>
    <w:rsid w:val="00227E2E"/>
    <w:rsid w:val="00227F53"/>
    <w:rsid w:val="00230C6E"/>
    <w:rsid w:val="00230E21"/>
    <w:rsid w:val="00231066"/>
    <w:rsid w:val="002316A8"/>
    <w:rsid w:val="00231859"/>
    <w:rsid w:val="002320C9"/>
    <w:rsid w:val="0023288F"/>
    <w:rsid w:val="0023359B"/>
    <w:rsid w:val="00233603"/>
    <w:rsid w:val="002340EF"/>
    <w:rsid w:val="00234B82"/>
    <w:rsid w:val="00236443"/>
    <w:rsid w:val="00236700"/>
    <w:rsid w:val="00237C8B"/>
    <w:rsid w:val="00240391"/>
    <w:rsid w:val="00240AF3"/>
    <w:rsid w:val="002418D5"/>
    <w:rsid w:val="00241A9F"/>
    <w:rsid w:val="00241B06"/>
    <w:rsid w:val="0024343A"/>
    <w:rsid w:val="002436BA"/>
    <w:rsid w:val="002438DC"/>
    <w:rsid w:val="00244652"/>
    <w:rsid w:val="00244A15"/>
    <w:rsid w:val="002452D9"/>
    <w:rsid w:val="00247319"/>
    <w:rsid w:val="0024799E"/>
    <w:rsid w:val="00247E60"/>
    <w:rsid w:val="002512B7"/>
    <w:rsid w:val="00251496"/>
    <w:rsid w:val="00251B08"/>
    <w:rsid w:val="00251C53"/>
    <w:rsid w:val="00252AB9"/>
    <w:rsid w:val="002532B1"/>
    <w:rsid w:val="00253C0F"/>
    <w:rsid w:val="00253F48"/>
    <w:rsid w:val="00254FC3"/>
    <w:rsid w:val="002558C1"/>
    <w:rsid w:val="00256207"/>
    <w:rsid w:val="002575F3"/>
    <w:rsid w:val="002601B4"/>
    <w:rsid w:val="002603E1"/>
    <w:rsid w:val="002605FE"/>
    <w:rsid w:val="0026120E"/>
    <w:rsid w:val="002617EE"/>
    <w:rsid w:val="00262582"/>
    <w:rsid w:val="0026291D"/>
    <w:rsid w:val="00262CF3"/>
    <w:rsid w:val="00264309"/>
    <w:rsid w:val="00264992"/>
    <w:rsid w:val="00264B4F"/>
    <w:rsid w:val="00264B85"/>
    <w:rsid w:val="0026564B"/>
    <w:rsid w:val="00265C83"/>
    <w:rsid w:val="00265E85"/>
    <w:rsid w:val="00267B49"/>
    <w:rsid w:val="00267C51"/>
    <w:rsid w:val="002700D9"/>
    <w:rsid w:val="0027025F"/>
    <w:rsid w:val="002709CC"/>
    <w:rsid w:val="00270D25"/>
    <w:rsid w:val="00271022"/>
    <w:rsid w:val="00271465"/>
    <w:rsid w:val="00271A07"/>
    <w:rsid w:val="00271E47"/>
    <w:rsid w:val="002721F5"/>
    <w:rsid w:val="00272DF4"/>
    <w:rsid w:val="00275062"/>
    <w:rsid w:val="00275758"/>
    <w:rsid w:val="0027583D"/>
    <w:rsid w:val="002759C7"/>
    <w:rsid w:val="00275DEF"/>
    <w:rsid w:val="00275E43"/>
    <w:rsid w:val="002763A2"/>
    <w:rsid w:val="00276B33"/>
    <w:rsid w:val="00277669"/>
    <w:rsid w:val="002803A5"/>
    <w:rsid w:val="00280ACB"/>
    <w:rsid w:val="002812E3"/>
    <w:rsid w:val="00281576"/>
    <w:rsid w:val="00282AD4"/>
    <w:rsid w:val="0028341F"/>
    <w:rsid w:val="002837AE"/>
    <w:rsid w:val="00283C13"/>
    <w:rsid w:val="00283F7B"/>
    <w:rsid w:val="0028431A"/>
    <w:rsid w:val="002853FA"/>
    <w:rsid w:val="00285412"/>
    <w:rsid w:val="00286220"/>
    <w:rsid w:val="0029110B"/>
    <w:rsid w:val="00291640"/>
    <w:rsid w:val="0029237E"/>
    <w:rsid w:val="00292997"/>
    <w:rsid w:val="00293D24"/>
    <w:rsid w:val="0029461A"/>
    <w:rsid w:val="0029509B"/>
    <w:rsid w:val="0029588F"/>
    <w:rsid w:val="00295E96"/>
    <w:rsid w:val="00297256"/>
    <w:rsid w:val="00297A5C"/>
    <w:rsid w:val="00297D51"/>
    <w:rsid w:val="002A0122"/>
    <w:rsid w:val="002A016B"/>
    <w:rsid w:val="002A103E"/>
    <w:rsid w:val="002A16D4"/>
    <w:rsid w:val="002A1E4F"/>
    <w:rsid w:val="002A230C"/>
    <w:rsid w:val="002A2AF7"/>
    <w:rsid w:val="002A30ED"/>
    <w:rsid w:val="002A3209"/>
    <w:rsid w:val="002A34B5"/>
    <w:rsid w:val="002A38F3"/>
    <w:rsid w:val="002A3EA2"/>
    <w:rsid w:val="002A51AC"/>
    <w:rsid w:val="002A532A"/>
    <w:rsid w:val="002A5846"/>
    <w:rsid w:val="002A5D97"/>
    <w:rsid w:val="002A603E"/>
    <w:rsid w:val="002A63B9"/>
    <w:rsid w:val="002A7089"/>
    <w:rsid w:val="002B0692"/>
    <w:rsid w:val="002B1619"/>
    <w:rsid w:val="002B3EF4"/>
    <w:rsid w:val="002B4845"/>
    <w:rsid w:val="002B5567"/>
    <w:rsid w:val="002B5812"/>
    <w:rsid w:val="002B72AA"/>
    <w:rsid w:val="002B75C0"/>
    <w:rsid w:val="002C1110"/>
    <w:rsid w:val="002C1BC2"/>
    <w:rsid w:val="002C1F09"/>
    <w:rsid w:val="002C22A4"/>
    <w:rsid w:val="002C260B"/>
    <w:rsid w:val="002C27A6"/>
    <w:rsid w:val="002C31E4"/>
    <w:rsid w:val="002C398D"/>
    <w:rsid w:val="002C40D2"/>
    <w:rsid w:val="002C43BD"/>
    <w:rsid w:val="002C5245"/>
    <w:rsid w:val="002C564A"/>
    <w:rsid w:val="002C59D8"/>
    <w:rsid w:val="002C5FEB"/>
    <w:rsid w:val="002C6494"/>
    <w:rsid w:val="002D05CB"/>
    <w:rsid w:val="002D0E59"/>
    <w:rsid w:val="002D2C4F"/>
    <w:rsid w:val="002D3EBB"/>
    <w:rsid w:val="002D455C"/>
    <w:rsid w:val="002D6066"/>
    <w:rsid w:val="002D6A4C"/>
    <w:rsid w:val="002E02A1"/>
    <w:rsid w:val="002E196A"/>
    <w:rsid w:val="002E1F8A"/>
    <w:rsid w:val="002E20C7"/>
    <w:rsid w:val="002E20CD"/>
    <w:rsid w:val="002E222E"/>
    <w:rsid w:val="002E28D8"/>
    <w:rsid w:val="002E3638"/>
    <w:rsid w:val="002E37D1"/>
    <w:rsid w:val="002E3BEE"/>
    <w:rsid w:val="002E4DCE"/>
    <w:rsid w:val="002E4E4C"/>
    <w:rsid w:val="002E4EA7"/>
    <w:rsid w:val="002E5846"/>
    <w:rsid w:val="002E631B"/>
    <w:rsid w:val="002E792B"/>
    <w:rsid w:val="002E7AEB"/>
    <w:rsid w:val="002E7B79"/>
    <w:rsid w:val="002F1B09"/>
    <w:rsid w:val="002F1D56"/>
    <w:rsid w:val="002F1DCB"/>
    <w:rsid w:val="002F1DE4"/>
    <w:rsid w:val="002F333D"/>
    <w:rsid w:val="002F351A"/>
    <w:rsid w:val="002F357F"/>
    <w:rsid w:val="002F46D6"/>
    <w:rsid w:val="002F498A"/>
    <w:rsid w:val="002F4AD8"/>
    <w:rsid w:val="002F5285"/>
    <w:rsid w:val="002F5820"/>
    <w:rsid w:val="002F64BB"/>
    <w:rsid w:val="002F7D9B"/>
    <w:rsid w:val="00300C31"/>
    <w:rsid w:val="00300D42"/>
    <w:rsid w:val="00301294"/>
    <w:rsid w:val="003017EC"/>
    <w:rsid w:val="00302165"/>
    <w:rsid w:val="00303BB4"/>
    <w:rsid w:val="00304771"/>
    <w:rsid w:val="00304F9C"/>
    <w:rsid w:val="003052D4"/>
    <w:rsid w:val="00305863"/>
    <w:rsid w:val="003060D6"/>
    <w:rsid w:val="003060E9"/>
    <w:rsid w:val="00306C5B"/>
    <w:rsid w:val="00307529"/>
    <w:rsid w:val="00307DB3"/>
    <w:rsid w:val="00307ED2"/>
    <w:rsid w:val="0031076D"/>
    <w:rsid w:val="0031169A"/>
    <w:rsid w:val="00311AA6"/>
    <w:rsid w:val="00311C4D"/>
    <w:rsid w:val="003121AB"/>
    <w:rsid w:val="00312A85"/>
    <w:rsid w:val="00315169"/>
    <w:rsid w:val="003153C8"/>
    <w:rsid w:val="00315524"/>
    <w:rsid w:val="00315561"/>
    <w:rsid w:val="00316A8B"/>
    <w:rsid w:val="00316B3D"/>
    <w:rsid w:val="0032058C"/>
    <w:rsid w:val="003208D0"/>
    <w:rsid w:val="003209D6"/>
    <w:rsid w:val="003217B9"/>
    <w:rsid w:val="00321924"/>
    <w:rsid w:val="00321AF1"/>
    <w:rsid w:val="00321EB6"/>
    <w:rsid w:val="003220A5"/>
    <w:rsid w:val="003238E0"/>
    <w:rsid w:val="00323A1C"/>
    <w:rsid w:val="00323A2F"/>
    <w:rsid w:val="00323A8E"/>
    <w:rsid w:val="003247E1"/>
    <w:rsid w:val="00324B59"/>
    <w:rsid w:val="00325E46"/>
    <w:rsid w:val="0032656E"/>
    <w:rsid w:val="0032788F"/>
    <w:rsid w:val="00332190"/>
    <w:rsid w:val="00332A98"/>
    <w:rsid w:val="003334BD"/>
    <w:rsid w:val="00333973"/>
    <w:rsid w:val="00333CD0"/>
    <w:rsid w:val="0033448D"/>
    <w:rsid w:val="00334AD2"/>
    <w:rsid w:val="00334CB6"/>
    <w:rsid w:val="0033709C"/>
    <w:rsid w:val="003370C5"/>
    <w:rsid w:val="003373C6"/>
    <w:rsid w:val="0033753A"/>
    <w:rsid w:val="003375E0"/>
    <w:rsid w:val="00340BF3"/>
    <w:rsid w:val="00341C6C"/>
    <w:rsid w:val="00341D26"/>
    <w:rsid w:val="00341F05"/>
    <w:rsid w:val="0034335E"/>
    <w:rsid w:val="00344668"/>
    <w:rsid w:val="00344940"/>
    <w:rsid w:val="0034506D"/>
    <w:rsid w:val="00346234"/>
    <w:rsid w:val="003462D9"/>
    <w:rsid w:val="0034723F"/>
    <w:rsid w:val="00347247"/>
    <w:rsid w:val="003474B6"/>
    <w:rsid w:val="00347DD4"/>
    <w:rsid w:val="00352B43"/>
    <w:rsid w:val="00352C28"/>
    <w:rsid w:val="003541BB"/>
    <w:rsid w:val="00354502"/>
    <w:rsid w:val="00354F89"/>
    <w:rsid w:val="0035506D"/>
    <w:rsid w:val="003579A1"/>
    <w:rsid w:val="0036077F"/>
    <w:rsid w:val="00360A35"/>
    <w:rsid w:val="00360C86"/>
    <w:rsid w:val="00360F7A"/>
    <w:rsid w:val="00360FBC"/>
    <w:rsid w:val="00361537"/>
    <w:rsid w:val="00361B2D"/>
    <w:rsid w:val="00361FB7"/>
    <w:rsid w:val="0036242A"/>
    <w:rsid w:val="00362C23"/>
    <w:rsid w:val="00362DCA"/>
    <w:rsid w:val="00362E90"/>
    <w:rsid w:val="00364FA0"/>
    <w:rsid w:val="003657F3"/>
    <w:rsid w:val="00365844"/>
    <w:rsid w:val="00365F61"/>
    <w:rsid w:val="0036624C"/>
    <w:rsid w:val="00367F84"/>
    <w:rsid w:val="003712BC"/>
    <w:rsid w:val="00372164"/>
    <w:rsid w:val="003738BD"/>
    <w:rsid w:val="00374263"/>
    <w:rsid w:val="003746F0"/>
    <w:rsid w:val="00374A20"/>
    <w:rsid w:val="00374B96"/>
    <w:rsid w:val="00374E21"/>
    <w:rsid w:val="0037537A"/>
    <w:rsid w:val="00377B2E"/>
    <w:rsid w:val="00380C9B"/>
    <w:rsid w:val="003810F0"/>
    <w:rsid w:val="003815D4"/>
    <w:rsid w:val="003818DC"/>
    <w:rsid w:val="00382513"/>
    <w:rsid w:val="00383388"/>
    <w:rsid w:val="003834F8"/>
    <w:rsid w:val="003838D0"/>
    <w:rsid w:val="003840C2"/>
    <w:rsid w:val="00384327"/>
    <w:rsid w:val="00384A89"/>
    <w:rsid w:val="00385086"/>
    <w:rsid w:val="00385D98"/>
    <w:rsid w:val="00390306"/>
    <w:rsid w:val="003908A6"/>
    <w:rsid w:val="0039109D"/>
    <w:rsid w:val="00391989"/>
    <w:rsid w:val="00391A6C"/>
    <w:rsid w:val="003927F6"/>
    <w:rsid w:val="0039398D"/>
    <w:rsid w:val="00393B3F"/>
    <w:rsid w:val="0039402D"/>
    <w:rsid w:val="00396739"/>
    <w:rsid w:val="003978B1"/>
    <w:rsid w:val="003A04F6"/>
    <w:rsid w:val="003A0837"/>
    <w:rsid w:val="003A2B4D"/>
    <w:rsid w:val="003A2D12"/>
    <w:rsid w:val="003A2EBA"/>
    <w:rsid w:val="003A32DB"/>
    <w:rsid w:val="003A45E3"/>
    <w:rsid w:val="003A46B8"/>
    <w:rsid w:val="003A478C"/>
    <w:rsid w:val="003A4A38"/>
    <w:rsid w:val="003A5295"/>
    <w:rsid w:val="003A5525"/>
    <w:rsid w:val="003A5889"/>
    <w:rsid w:val="003A5C8C"/>
    <w:rsid w:val="003A6B38"/>
    <w:rsid w:val="003A6B83"/>
    <w:rsid w:val="003A6C97"/>
    <w:rsid w:val="003A722F"/>
    <w:rsid w:val="003A7373"/>
    <w:rsid w:val="003A7D09"/>
    <w:rsid w:val="003B039F"/>
    <w:rsid w:val="003B0DF4"/>
    <w:rsid w:val="003B1F9D"/>
    <w:rsid w:val="003B2A8D"/>
    <w:rsid w:val="003B2AD1"/>
    <w:rsid w:val="003B2D2E"/>
    <w:rsid w:val="003B376A"/>
    <w:rsid w:val="003B461F"/>
    <w:rsid w:val="003B483F"/>
    <w:rsid w:val="003B4998"/>
    <w:rsid w:val="003B5A32"/>
    <w:rsid w:val="003B5B59"/>
    <w:rsid w:val="003B709D"/>
    <w:rsid w:val="003B7B50"/>
    <w:rsid w:val="003C0B07"/>
    <w:rsid w:val="003C2CE7"/>
    <w:rsid w:val="003C2DB8"/>
    <w:rsid w:val="003C3490"/>
    <w:rsid w:val="003C3608"/>
    <w:rsid w:val="003C3A87"/>
    <w:rsid w:val="003C3AE8"/>
    <w:rsid w:val="003C3D2C"/>
    <w:rsid w:val="003C4058"/>
    <w:rsid w:val="003C4E13"/>
    <w:rsid w:val="003C58A5"/>
    <w:rsid w:val="003C6221"/>
    <w:rsid w:val="003C63D7"/>
    <w:rsid w:val="003C68CC"/>
    <w:rsid w:val="003C7E62"/>
    <w:rsid w:val="003D12B9"/>
    <w:rsid w:val="003D1E7A"/>
    <w:rsid w:val="003D242B"/>
    <w:rsid w:val="003D2492"/>
    <w:rsid w:val="003D29AA"/>
    <w:rsid w:val="003D2A99"/>
    <w:rsid w:val="003D5EBF"/>
    <w:rsid w:val="003D6920"/>
    <w:rsid w:val="003D6982"/>
    <w:rsid w:val="003E0249"/>
    <w:rsid w:val="003E08A4"/>
    <w:rsid w:val="003E105C"/>
    <w:rsid w:val="003E1EF8"/>
    <w:rsid w:val="003E2DFB"/>
    <w:rsid w:val="003E4466"/>
    <w:rsid w:val="003E4C91"/>
    <w:rsid w:val="003E52D8"/>
    <w:rsid w:val="003E62F1"/>
    <w:rsid w:val="003E6ED5"/>
    <w:rsid w:val="003E6F84"/>
    <w:rsid w:val="003F0148"/>
    <w:rsid w:val="003F313C"/>
    <w:rsid w:val="003F33B1"/>
    <w:rsid w:val="003F33B9"/>
    <w:rsid w:val="003F37FC"/>
    <w:rsid w:val="003F3E76"/>
    <w:rsid w:val="003F4318"/>
    <w:rsid w:val="003F4B2C"/>
    <w:rsid w:val="003F551C"/>
    <w:rsid w:val="003F626D"/>
    <w:rsid w:val="003F72ED"/>
    <w:rsid w:val="003F7D23"/>
    <w:rsid w:val="00400050"/>
    <w:rsid w:val="004002C8"/>
    <w:rsid w:val="00400468"/>
    <w:rsid w:val="0040099D"/>
    <w:rsid w:val="004016CB"/>
    <w:rsid w:val="00401B23"/>
    <w:rsid w:val="00402ADB"/>
    <w:rsid w:val="0040368D"/>
    <w:rsid w:val="00403D1D"/>
    <w:rsid w:val="00403F57"/>
    <w:rsid w:val="004046BD"/>
    <w:rsid w:val="00404BAB"/>
    <w:rsid w:val="00405318"/>
    <w:rsid w:val="004059D2"/>
    <w:rsid w:val="004060C9"/>
    <w:rsid w:val="004066D0"/>
    <w:rsid w:val="00406C2E"/>
    <w:rsid w:val="00406CDA"/>
    <w:rsid w:val="00406EB0"/>
    <w:rsid w:val="00407711"/>
    <w:rsid w:val="00407C13"/>
    <w:rsid w:val="004103F6"/>
    <w:rsid w:val="00410638"/>
    <w:rsid w:val="00412511"/>
    <w:rsid w:val="004125C2"/>
    <w:rsid w:val="00412DFA"/>
    <w:rsid w:val="00413465"/>
    <w:rsid w:val="004149AC"/>
    <w:rsid w:val="0041501E"/>
    <w:rsid w:val="00415452"/>
    <w:rsid w:val="004159C3"/>
    <w:rsid w:val="00415A57"/>
    <w:rsid w:val="00416DAC"/>
    <w:rsid w:val="00417106"/>
    <w:rsid w:val="00420880"/>
    <w:rsid w:val="00421179"/>
    <w:rsid w:val="004225D7"/>
    <w:rsid w:val="00423623"/>
    <w:rsid w:val="0042470E"/>
    <w:rsid w:val="0042507B"/>
    <w:rsid w:val="00425352"/>
    <w:rsid w:val="00426C99"/>
    <w:rsid w:val="004272BE"/>
    <w:rsid w:val="00430C96"/>
    <w:rsid w:val="0043174F"/>
    <w:rsid w:val="00431BFF"/>
    <w:rsid w:val="00432199"/>
    <w:rsid w:val="00432A58"/>
    <w:rsid w:val="00432FC7"/>
    <w:rsid w:val="004331C3"/>
    <w:rsid w:val="00433C17"/>
    <w:rsid w:val="00434617"/>
    <w:rsid w:val="00434DE9"/>
    <w:rsid w:val="00435051"/>
    <w:rsid w:val="00435C69"/>
    <w:rsid w:val="004360FB"/>
    <w:rsid w:val="00437CED"/>
    <w:rsid w:val="004407BF"/>
    <w:rsid w:val="00440900"/>
    <w:rsid w:val="00440D2A"/>
    <w:rsid w:val="0044121D"/>
    <w:rsid w:val="00441BF6"/>
    <w:rsid w:val="00441D2B"/>
    <w:rsid w:val="00441F8B"/>
    <w:rsid w:val="00442085"/>
    <w:rsid w:val="0044279E"/>
    <w:rsid w:val="004441A0"/>
    <w:rsid w:val="00445861"/>
    <w:rsid w:val="00445A8E"/>
    <w:rsid w:val="00446D44"/>
    <w:rsid w:val="0045078A"/>
    <w:rsid w:val="0045086D"/>
    <w:rsid w:val="00450DAB"/>
    <w:rsid w:val="0045125B"/>
    <w:rsid w:val="00451E25"/>
    <w:rsid w:val="00451EF1"/>
    <w:rsid w:val="00452E60"/>
    <w:rsid w:val="0045321B"/>
    <w:rsid w:val="00455833"/>
    <w:rsid w:val="00456FB5"/>
    <w:rsid w:val="00456FE5"/>
    <w:rsid w:val="00457490"/>
    <w:rsid w:val="0045778B"/>
    <w:rsid w:val="0045786C"/>
    <w:rsid w:val="00457953"/>
    <w:rsid w:val="004604D8"/>
    <w:rsid w:val="00460656"/>
    <w:rsid w:val="00460FB3"/>
    <w:rsid w:val="00463D3C"/>
    <w:rsid w:val="00464851"/>
    <w:rsid w:val="00464BF5"/>
    <w:rsid w:val="00466595"/>
    <w:rsid w:val="00466B3E"/>
    <w:rsid w:val="0046746A"/>
    <w:rsid w:val="00467B14"/>
    <w:rsid w:val="004707FE"/>
    <w:rsid w:val="00470EDC"/>
    <w:rsid w:val="00472418"/>
    <w:rsid w:val="0047276D"/>
    <w:rsid w:val="00472AF6"/>
    <w:rsid w:val="00473482"/>
    <w:rsid w:val="00474646"/>
    <w:rsid w:val="00474A04"/>
    <w:rsid w:val="00476240"/>
    <w:rsid w:val="00476439"/>
    <w:rsid w:val="00476450"/>
    <w:rsid w:val="004769BF"/>
    <w:rsid w:val="004769E1"/>
    <w:rsid w:val="00476AEE"/>
    <w:rsid w:val="0047735C"/>
    <w:rsid w:val="004776BC"/>
    <w:rsid w:val="00477820"/>
    <w:rsid w:val="00477B96"/>
    <w:rsid w:val="00480802"/>
    <w:rsid w:val="00480BAE"/>
    <w:rsid w:val="00480D7F"/>
    <w:rsid w:val="0048139F"/>
    <w:rsid w:val="00481E40"/>
    <w:rsid w:val="00482405"/>
    <w:rsid w:val="004826A7"/>
    <w:rsid w:val="004828DA"/>
    <w:rsid w:val="0048368C"/>
    <w:rsid w:val="0048372F"/>
    <w:rsid w:val="0048399F"/>
    <w:rsid w:val="00483A0C"/>
    <w:rsid w:val="004841CC"/>
    <w:rsid w:val="00484ECE"/>
    <w:rsid w:val="00485E82"/>
    <w:rsid w:val="00486132"/>
    <w:rsid w:val="0048686D"/>
    <w:rsid w:val="00486A4D"/>
    <w:rsid w:val="004915CB"/>
    <w:rsid w:val="00491A2B"/>
    <w:rsid w:val="004924DC"/>
    <w:rsid w:val="00492879"/>
    <w:rsid w:val="00493E85"/>
    <w:rsid w:val="00495145"/>
    <w:rsid w:val="0049531F"/>
    <w:rsid w:val="004979A5"/>
    <w:rsid w:val="004A0144"/>
    <w:rsid w:val="004A036E"/>
    <w:rsid w:val="004A0389"/>
    <w:rsid w:val="004A0498"/>
    <w:rsid w:val="004A06B0"/>
    <w:rsid w:val="004A0D0E"/>
    <w:rsid w:val="004A14E4"/>
    <w:rsid w:val="004A204E"/>
    <w:rsid w:val="004A26A5"/>
    <w:rsid w:val="004A27F0"/>
    <w:rsid w:val="004A3212"/>
    <w:rsid w:val="004A37CD"/>
    <w:rsid w:val="004A3BE4"/>
    <w:rsid w:val="004A40D9"/>
    <w:rsid w:val="004A49A5"/>
    <w:rsid w:val="004A4F8A"/>
    <w:rsid w:val="004A52AB"/>
    <w:rsid w:val="004A5494"/>
    <w:rsid w:val="004A5D4E"/>
    <w:rsid w:val="004A61C5"/>
    <w:rsid w:val="004A62A0"/>
    <w:rsid w:val="004A77DF"/>
    <w:rsid w:val="004A7DC0"/>
    <w:rsid w:val="004B1417"/>
    <w:rsid w:val="004B1627"/>
    <w:rsid w:val="004B305C"/>
    <w:rsid w:val="004B31B8"/>
    <w:rsid w:val="004B339A"/>
    <w:rsid w:val="004B4C83"/>
    <w:rsid w:val="004B55B7"/>
    <w:rsid w:val="004B591D"/>
    <w:rsid w:val="004B5BFA"/>
    <w:rsid w:val="004B619E"/>
    <w:rsid w:val="004B6468"/>
    <w:rsid w:val="004B6EF8"/>
    <w:rsid w:val="004B7125"/>
    <w:rsid w:val="004B756A"/>
    <w:rsid w:val="004B7FB1"/>
    <w:rsid w:val="004C0970"/>
    <w:rsid w:val="004C0B3F"/>
    <w:rsid w:val="004C0F87"/>
    <w:rsid w:val="004C25F9"/>
    <w:rsid w:val="004C2794"/>
    <w:rsid w:val="004C2BB6"/>
    <w:rsid w:val="004C2C2D"/>
    <w:rsid w:val="004C3027"/>
    <w:rsid w:val="004C384C"/>
    <w:rsid w:val="004C3867"/>
    <w:rsid w:val="004C3CE4"/>
    <w:rsid w:val="004C3DB0"/>
    <w:rsid w:val="004C439A"/>
    <w:rsid w:val="004C4720"/>
    <w:rsid w:val="004C4CD0"/>
    <w:rsid w:val="004C5060"/>
    <w:rsid w:val="004C5165"/>
    <w:rsid w:val="004C589C"/>
    <w:rsid w:val="004C5AE8"/>
    <w:rsid w:val="004C6E0E"/>
    <w:rsid w:val="004C70DC"/>
    <w:rsid w:val="004D0211"/>
    <w:rsid w:val="004D0794"/>
    <w:rsid w:val="004D17A6"/>
    <w:rsid w:val="004D2D31"/>
    <w:rsid w:val="004D2E03"/>
    <w:rsid w:val="004D3296"/>
    <w:rsid w:val="004D4056"/>
    <w:rsid w:val="004D4CB0"/>
    <w:rsid w:val="004D5B0F"/>
    <w:rsid w:val="004D7626"/>
    <w:rsid w:val="004E085C"/>
    <w:rsid w:val="004E12DF"/>
    <w:rsid w:val="004E186A"/>
    <w:rsid w:val="004E1A40"/>
    <w:rsid w:val="004E1DB2"/>
    <w:rsid w:val="004E200A"/>
    <w:rsid w:val="004E23FC"/>
    <w:rsid w:val="004E2409"/>
    <w:rsid w:val="004E261D"/>
    <w:rsid w:val="004E3927"/>
    <w:rsid w:val="004E3B7F"/>
    <w:rsid w:val="004E57BF"/>
    <w:rsid w:val="004E5F41"/>
    <w:rsid w:val="004E6011"/>
    <w:rsid w:val="004E6DE6"/>
    <w:rsid w:val="004E765E"/>
    <w:rsid w:val="004E7815"/>
    <w:rsid w:val="004F06F5"/>
    <w:rsid w:val="004F12A4"/>
    <w:rsid w:val="004F253F"/>
    <w:rsid w:val="004F33A0"/>
    <w:rsid w:val="004F3873"/>
    <w:rsid w:val="004F3BD2"/>
    <w:rsid w:val="004F46ED"/>
    <w:rsid w:val="004F49A3"/>
    <w:rsid w:val="004F4C99"/>
    <w:rsid w:val="004F5358"/>
    <w:rsid w:val="004F601B"/>
    <w:rsid w:val="004F6484"/>
    <w:rsid w:val="004F6539"/>
    <w:rsid w:val="00503D54"/>
    <w:rsid w:val="005048E2"/>
    <w:rsid w:val="00505FC8"/>
    <w:rsid w:val="00506603"/>
    <w:rsid w:val="0050689D"/>
    <w:rsid w:val="005077F5"/>
    <w:rsid w:val="005108C0"/>
    <w:rsid w:val="0051094F"/>
    <w:rsid w:val="00511217"/>
    <w:rsid w:val="00511873"/>
    <w:rsid w:val="00511BAF"/>
    <w:rsid w:val="00512461"/>
    <w:rsid w:val="00512585"/>
    <w:rsid w:val="00512A2F"/>
    <w:rsid w:val="00513B7E"/>
    <w:rsid w:val="00513E9D"/>
    <w:rsid w:val="0051475D"/>
    <w:rsid w:val="00514B11"/>
    <w:rsid w:val="00514DED"/>
    <w:rsid w:val="00515485"/>
    <w:rsid w:val="00515BE9"/>
    <w:rsid w:val="00515C74"/>
    <w:rsid w:val="00515CEB"/>
    <w:rsid w:val="0051630F"/>
    <w:rsid w:val="00517113"/>
    <w:rsid w:val="0052007E"/>
    <w:rsid w:val="0052032E"/>
    <w:rsid w:val="00521CAD"/>
    <w:rsid w:val="0052200D"/>
    <w:rsid w:val="00522425"/>
    <w:rsid w:val="00522A1B"/>
    <w:rsid w:val="00522E01"/>
    <w:rsid w:val="0052337A"/>
    <w:rsid w:val="00524385"/>
    <w:rsid w:val="005246BE"/>
    <w:rsid w:val="00525137"/>
    <w:rsid w:val="005251DD"/>
    <w:rsid w:val="0052762C"/>
    <w:rsid w:val="0052792D"/>
    <w:rsid w:val="0053012B"/>
    <w:rsid w:val="005301A6"/>
    <w:rsid w:val="00530A68"/>
    <w:rsid w:val="00530AD4"/>
    <w:rsid w:val="0053129F"/>
    <w:rsid w:val="00531C5A"/>
    <w:rsid w:val="00532CE7"/>
    <w:rsid w:val="00532D8B"/>
    <w:rsid w:val="0053324C"/>
    <w:rsid w:val="00533A8D"/>
    <w:rsid w:val="00534A28"/>
    <w:rsid w:val="00535018"/>
    <w:rsid w:val="00535782"/>
    <w:rsid w:val="0053595E"/>
    <w:rsid w:val="00537571"/>
    <w:rsid w:val="00540056"/>
    <w:rsid w:val="005410E2"/>
    <w:rsid w:val="00541508"/>
    <w:rsid w:val="00541AE3"/>
    <w:rsid w:val="00543498"/>
    <w:rsid w:val="00544011"/>
    <w:rsid w:val="00544BE5"/>
    <w:rsid w:val="005453A3"/>
    <w:rsid w:val="005455F6"/>
    <w:rsid w:val="0054582F"/>
    <w:rsid w:val="0054632B"/>
    <w:rsid w:val="00546FC7"/>
    <w:rsid w:val="005500F9"/>
    <w:rsid w:val="00550160"/>
    <w:rsid w:val="00550249"/>
    <w:rsid w:val="00550540"/>
    <w:rsid w:val="005519E2"/>
    <w:rsid w:val="00551E16"/>
    <w:rsid w:val="005523A8"/>
    <w:rsid w:val="00552F2C"/>
    <w:rsid w:val="00553A25"/>
    <w:rsid w:val="005547EB"/>
    <w:rsid w:val="00554863"/>
    <w:rsid w:val="005555E0"/>
    <w:rsid w:val="0055599F"/>
    <w:rsid w:val="00556D68"/>
    <w:rsid w:val="0055707B"/>
    <w:rsid w:val="005570D6"/>
    <w:rsid w:val="00557E0E"/>
    <w:rsid w:val="00557E45"/>
    <w:rsid w:val="005605F3"/>
    <w:rsid w:val="00560C41"/>
    <w:rsid w:val="00560C68"/>
    <w:rsid w:val="00560CAC"/>
    <w:rsid w:val="00561F44"/>
    <w:rsid w:val="00562B4D"/>
    <w:rsid w:val="00562DB1"/>
    <w:rsid w:val="00563EB8"/>
    <w:rsid w:val="005647BF"/>
    <w:rsid w:val="00564AF1"/>
    <w:rsid w:val="005655DB"/>
    <w:rsid w:val="00565E88"/>
    <w:rsid w:val="00567339"/>
    <w:rsid w:val="005678EE"/>
    <w:rsid w:val="00567910"/>
    <w:rsid w:val="00570270"/>
    <w:rsid w:val="00570464"/>
    <w:rsid w:val="00570601"/>
    <w:rsid w:val="00570BC3"/>
    <w:rsid w:val="00571766"/>
    <w:rsid w:val="0057182A"/>
    <w:rsid w:val="00571E59"/>
    <w:rsid w:val="00572079"/>
    <w:rsid w:val="00572900"/>
    <w:rsid w:val="00573602"/>
    <w:rsid w:val="0057364B"/>
    <w:rsid w:val="00574773"/>
    <w:rsid w:val="005761EC"/>
    <w:rsid w:val="00576E34"/>
    <w:rsid w:val="00577C07"/>
    <w:rsid w:val="00577DB1"/>
    <w:rsid w:val="00580AD3"/>
    <w:rsid w:val="00580DE7"/>
    <w:rsid w:val="005810E1"/>
    <w:rsid w:val="005820CD"/>
    <w:rsid w:val="00582A12"/>
    <w:rsid w:val="00583BDD"/>
    <w:rsid w:val="00583E52"/>
    <w:rsid w:val="00583FFD"/>
    <w:rsid w:val="00584252"/>
    <w:rsid w:val="005848DD"/>
    <w:rsid w:val="0058519A"/>
    <w:rsid w:val="005856BD"/>
    <w:rsid w:val="00585983"/>
    <w:rsid w:val="00586BCA"/>
    <w:rsid w:val="00587038"/>
    <w:rsid w:val="00587319"/>
    <w:rsid w:val="00590608"/>
    <w:rsid w:val="00590B28"/>
    <w:rsid w:val="005911BE"/>
    <w:rsid w:val="00591273"/>
    <w:rsid w:val="00591E9E"/>
    <w:rsid w:val="005927A4"/>
    <w:rsid w:val="00593152"/>
    <w:rsid w:val="00593389"/>
    <w:rsid w:val="00593FE6"/>
    <w:rsid w:val="005956A3"/>
    <w:rsid w:val="00595958"/>
    <w:rsid w:val="00595CAB"/>
    <w:rsid w:val="0059622E"/>
    <w:rsid w:val="0059684D"/>
    <w:rsid w:val="00597671"/>
    <w:rsid w:val="00597BBF"/>
    <w:rsid w:val="005A040C"/>
    <w:rsid w:val="005A0463"/>
    <w:rsid w:val="005A05DF"/>
    <w:rsid w:val="005A0948"/>
    <w:rsid w:val="005A0A03"/>
    <w:rsid w:val="005A10F2"/>
    <w:rsid w:val="005A16C0"/>
    <w:rsid w:val="005A2156"/>
    <w:rsid w:val="005A21E0"/>
    <w:rsid w:val="005A2401"/>
    <w:rsid w:val="005A28FF"/>
    <w:rsid w:val="005A2C09"/>
    <w:rsid w:val="005A3778"/>
    <w:rsid w:val="005A37B0"/>
    <w:rsid w:val="005A3DF8"/>
    <w:rsid w:val="005A5549"/>
    <w:rsid w:val="005A566A"/>
    <w:rsid w:val="005A56E0"/>
    <w:rsid w:val="005A70CA"/>
    <w:rsid w:val="005A7ABD"/>
    <w:rsid w:val="005A7CF8"/>
    <w:rsid w:val="005B0EDA"/>
    <w:rsid w:val="005B121D"/>
    <w:rsid w:val="005B1705"/>
    <w:rsid w:val="005B26B0"/>
    <w:rsid w:val="005B41C9"/>
    <w:rsid w:val="005B44E6"/>
    <w:rsid w:val="005B4853"/>
    <w:rsid w:val="005B591B"/>
    <w:rsid w:val="005B6CA1"/>
    <w:rsid w:val="005B770C"/>
    <w:rsid w:val="005C06ED"/>
    <w:rsid w:val="005C0CE1"/>
    <w:rsid w:val="005C11B8"/>
    <w:rsid w:val="005C1B24"/>
    <w:rsid w:val="005C216C"/>
    <w:rsid w:val="005C2609"/>
    <w:rsid w:val="005C2B30"/>
    <w:rsid w:val="005C412B"/>
    <w:rsid w:val="005C43EC"/>
    <w:rsid w:val="005C45DD"/>
    <w:rsid w:val="005C4704"/>
    <w:rsid w:val="005C4CB1"/>
    <w:rsid w:val="005C70AB"/>
    <w:rsid w:val="005D015C"/>
    <w:rsid w:val="005D3F06"/>
    <w:rsid w:val="005D4608"/>
    <w:rsid w:val="005D4B73"/>
    <w:rsid w:val="005D533D"/>
    <w:rsid w:val="005D5645"/>
    <w:rsid w:val="005D5802"/>
    <w:rsid w:val="005D5AA9"/>
    <w:rsid w:val="005D5B60"/>
    <w:rsid w:val="005D66E6"/>
    <w:rsid w:val="005D7119"/>
    <w:rsid w:val="005D76C8"/>
    <w:rsid w:val="005D7890"/>
    <w:rsid w:val="005D7AAF"/>
    <w:rsid w:val="005E19C1"/>
    <w:rsid w:val="005E2194"/>
    <w:rsid w:val="005E24F0"/>
    <w:rsid w:val="005E3113"/>
    <w:rsid w:val="005E36FE"/>
    <w:rsid w:val="005E3F66"/>
    <w:rsid w:val="005E490F"/>
    <w:rsid w:val="005E4BC9"/>
    <w:rsid w:val="005E5314"/>
    <w:rsid w:val="005E53DC"/>
    <w:rsid w:val="005E764D"/>
    <w:rsid w:val="005E7724"/>
    <w:rsid w:val="005E7C78"/>
    <w:rsid w:val="005F04A7"/>
    <w:rsid w:val="005F114F"/>
    <w:rsid w:val="005F18C5"/>
    <w:rsid w:val="005F247B"/>
    <w:rsid w:val="005F2A08"/>
    <w:rsid w:val="005F36CC"/>
    <w:rsid w:val="005F3EB1"/>
    <w:rsid w:val="005F413E"/>
    <w:rsid w:val="005F466B"/>
    <w:rsid w:val="005F46D8"/>
    <w:rsid w:val="005F480F"/>
    <w:rsid w:val="005F5271"/>
    <w:rsid w:val="005F5469"/>
    <w:rsid w:val="005F63F3"/>
    <w:rsid w:val="005F66F0"/>
    <w:rsid w:val="005F6D7F"/>
    <w:rsid w:val="005F6DFE"/>
    <w:rsid w:val="005F7174"/>
    <w:rsid w:val="005F7B79"/>
    <w:rsid w:val="0060120D"/>
    <w:rsid w:val="006017C1"/>
    <w:rsid w:val="00601ADE"/>
    <w:rsid w:val="00601EEF"/>
    <w:rsid w:val="0060255A"/>
    <w:rsid w:val="00602998"/>
    <w:rsid w:val="00602EB3"/>
    <w:rsid w:val="00604307"/>
    <w:rsid w:val="0060487F"/>
    <w:rsid w:val="00604EAD"/>
    <w:rsid w:val="0060513F"/>
    <w:rsid w:val="006065E2"/>
    <w:rsid w:val="0060694B"/>
    <w:rsid w:val="00607E1D"/>
    <w:rsid w:val="006104FB"/>
    <w:rsid w:val="006116FF"/>
    <w:rsid w:val="0061176D"/>
    <w:rsid w:val="0061200F"/>
    <w:rsid w:val="00612756"/>
    <w:rsid w:val="00612A2F"/>
    <w:rsid w:val="00612AAE"/>
    <w:rsid w:val="00612B07"/>
    <w:rsid w:val="00612FD9"/>
    <w:rsid w:val="006139E0"/>
    <w:rsid w:val="00614D35"/>
    <w:rsid w:val="006156B4"/>
    <w:rsid w:val="00615DAF"/>
    <w:rsid w:val="00616254"/>
    <w:rsid w:val="0061672A"/>
    <w:rsid w:val="00616E05"/>
    <w:rsid w:val="00617985"/>
    <w:rsid w:val="00620641"/>
    <w:rsid w:val="00620B77"/>
    <w:rsid w:val="00621190"/>
    <w:rsid w:val="0062131B"/>
    <w:rsid w:val="00621E26"/>
    <w:rsid w:val="006224EA"/>
    <w:rsid w:val="0062263A"/>
    <w:rsid w:val="006227DF"/>
    <w:rsid w:val="006234A0"/>
    <w:rsid w:val="006236C8"/>
    <w:rsid w:val="00624093"/>
    <w:rsid w:val="0062415E"/>
    <w:rsid w:val="00625A84"/>
    <w:rsid w:val="00626079"/>
    <w:rsid w:val="00626B8F"/>
    <w:rsid w:val="006275B5"/>
    <w:rsid w:val="00631698"/>
    <w:rsid w:val="00631E44"/>
    <w:rsid w:val="00634C57"/>
    <w:rsid w:val="00634CE7"/>
    <w:rsid w:val="006350D5"/>
    <w:rsid w:val="00635EBE"/>
    <w:rsid w:val="0063642C"/>
    <w:rsid w:val="006376B3"/>
    <w:rsid w:val="00637858"/>
    <w:rsid w:val="006404A7"/>
    <w:rsid w:val="00640A38"/>
    <w:rsid w:val="00640E6B"/>
    <w:rsid w:val="00641787"/>
    <w:rsid w:val="0064179B"/>
    <w:rsid w:val="00642338"/>
    <w:rsid w:val="00642489"/>
    <w:rsid w:val="00644055"/>
    <w:rsid w:val="00644137"/>
    <w:rsid w:val="0064478C"/>
    <w:rsid w:val="00644938"/>
    <w:rsid w:val="00645160"/>
    <w:rsid w:val="006451E4"/>
    <w:rsid w:val="0064574B"/>
    <w:rsid w:val="00645B33"/>
    <w:rsid w:val="00650FFC"/>
    <w:rsid w:val="0065153D"/>
    <w:rsid w:val="006516CB"/>
    <w:rsid w:val="00652444"/>
    <w:rsid w:val="00652E30"/>
    <w:rsid w:val="00653BD0"/>
    <w:rsid w:val="00654110"/>
    <w:rsid w:val="00656C5D"/>
    <w:rsid w:val="00656CFB"/>
    <w:rsid w:val="00656D25"/>
    <w:rsid w:val="00657E87"/>
    <w:rsid w:val="00660D2D"/>
    <w:rsid w:val="0066110B"/>
    <w:rsid w:val="00661C41"/>
    <w:rsid w:val="00661EC9"/>
    <w:rsid w:val="00662469"/>
    <w:rsid w:val="0066411C"/>
    <w:rsid w:val="00664205"/>
    <w:rsid w:val="00664647"/>
    <w:rsid w:val="00664803"/>
    <w:rsid w:val="0066502F"/>
    <w:rsid w:val="006653CC"/>
    <w:rsid w:val="00665501"/>
    <w:rsid w:val="00665982"/>
    <w:rsid w:val="00665BA4"/>
    <w:rsid w:val="00666BF3"/>
    <w:rsid w:val="00667748"/>
    <w:rsid w:val="00667856"/>
    <w:rsid w:val="00667AF2"/>
    <w:rsid w:val="00670489"/>
    <w:rsid w:val="006710C9"/>
    <w:rsid w:val="00671D85"/>
    <w:rsid w:val="00672586"/>
    <w:rsid w:val="006727BC"/>
    <w:rsid w:val="006741CD"/>
    <w:rsid w:val="006745DF"/>
    <w:rsid w:val="00674BAC"/>
    <w:rsid w:val="00674D89"/>
    <w:rsid w:val="0067514E"/>
    <w:rsid w:val="00675E37"/>
    <w:rsid w:val="0067635D"/>
    <w:rsid w:val="00676736"/>
    <w:rsid w:val="006769A4"/>
    <w:rsid w:val="006769C6"/>
    <w:rsid w:val="00676D76"/>
    <w:rsid w:val="00676F9F"/>
    <w:rsid w:val="00677519"/>
    <w:rsid w:val="00677591"/>
    <w:rsid w:val="00677594"/>
    <w:rsid w:val="00677FA3"/>
    <w:rsid w:val="0068032F"/>
    <w:rsid w:val="00680D37"/>
    <w:rsid w:val="0068174E"/>
    <w:rsid w:val="00681DCE"/>
    <w:rsid w:val="00682110"/>
    <w:rsid w:val="0068260E"/>
    <w:rsid w:val="006846B3"/>
    <w:rsid w:val="006849F8"/>
    <w:rsid w:val="00684B9B"/>
    <w:rsid w:val="00684D59"/>
    <w:rsid w:val="00684E25"/>
    <w:rsid w:val="006858A4"/>
    <w:rsid w:val="00685C08"/>
    <w:rsid w:val="00685C8C"/>
    <w:rsid w:val="00686718"/>
    <w:rsid w:val="00686BFA"/>
    <w:rsid w:val="00686DED"/>
    <w:rsid w:val="006875A0"/>
    <w:rsid w:val="006878C6"/>
    <w:rsid w:val="00687D27"/>
    <w:rsid w:val="00691943"/>
    <w:rsid w:val="00693550"/>
    <w:rsid w:val="00694622"/>
    <w:rsid w:val="00695065"/>
    <w:rsid w:val="00695BEF"/>
    <w:rsid w:val="00696251"/>
    <w:rsid w:val="006966C7"/>
    <w:rsid w:val="006968C1"/>
    <w:rsid w:val="006977F6"/>
    <w:rsid w:val="00697A13"/>
    <w:rsid w:val="006A0DD4"/>
    <w:rsid w:val="006A109C"/>
    <w:rsid w:val="006A3CAF"/>
    <w:rsid w:val="006A4E91"/>
    <w:rsid w:val="006A5F4B"/>
    <w:rsid w:val="006A6114"/>
    <w:rsid w:val="006A6565"/>
    <w:rsid w:val="006A7665"/>
    <w:rsid w:val="006A7691"/>
    <w:rsid w:val="006A7EE2"/>
    <w:rsid w:val="006B0514"/>
    <w:rsid w:val="006B0F92"/>
    <w:rsid w:val="006B2785"/>
    <w:rsid w:val="006B27C7"/>
    <w:rsid w:val="006B344A"/>
    <w:rsid w:val="006B58C9"/>
    <w:rsid w:val="006B60ED"/>
    <w:rsid w:val="006B6CC5"/>
    <w:rsid w:val="006B74AC"/>
    <w:rsid w:val="006B78D8"/>
    <w:rsid w:val="006B79EA"/>
    <w:rsid w:val="006C0C5D"/>
    <w:rsid w:val="006C113F"/>
    <w:rsid w:val="006C123E"/>
    <w:rsid w:val="006C15A1"/>
    <w:rsid w:val="006C1752"/>
    <w:rsid w:val="006C1DDC"/>
    <w:rsid w:val="006C28CA"/>
    <w:rsid w:val="006C2BBF"/>
    <w:rsid w:val="006C2FBD"/>
    <w:rsid w:val="006C3336"/>
    <w:rsid w:val="006C3495"/>
    <w:rsid w:val="006C4355"/>
    <w:rsid w:val="006C4587"/>
    <w:rsid w:val="006C469D"/>
    <w:rsid w:val="006C46B5"/>
    <w:rsid w:val="006C484F"/>
    <w:rsid w:val="006C52EC"/>
    <w:rsid w:val="006C5506"/>
    <w:rsid w:val="006C56D4"/>
    <w:rsid w:val="006C6681"/>
    <w:rsid w:val="006C683C"/>
    <w:rsid w:val="006C6924"/>
    <w:rsid w:val="006C6C1E"/>
    <w:rsid w:val="006C7076"/>
    <w:rsid w:val="006C7981"/>
    <w:rsid w:val="006C7AEC"/>
    <w:rsid w:val="006C7CA6"/>
    <w:rsid w:val="006D15D3"/>
    <w:rsid w:val="006D18B3"/>
    <w:rsid w:val="006D1E89"/>
    <w:rsid w:val="006D26CE"/>
    <w:rsid w:val="006D317E"/>
    <w:rsid w:val="006D3E8A"/>
    <w:rsid w:val="006D47D9"/>
    <w:rsid w:val="006D61F6"/>
    <w:rsid w:val="006E1081"/>
    <w:rsid w:val="006E1332"/>
    <w:rsid w:val="006E19CB"/>
    <w:rsid w:val="006E279A"/>
    <w:rsid w:val="006E313B"/>
    <w:rsid w:val="006E34B2"/>
    <w:rsid w:val="006E3A45"/>
    <w:rsid w:val="006E4078"/>
    <w:rsid w:val="006E51C4"/>
    <w:rsid w:val="006E53AD"/>
    <w:rsid w:val="006E58CB"/>
    <w:rsid w:val="006E6A93"/>
    <w:rsid w:val="006E7227"/>
    <w:rsid w:val="006E761A"/>
    <w:rsid w:val="006F0646"/>
    <w:rsid w:val="006F0741"/>
    <w:rsid w:val="006F1C27"/>
    <w:rsid w:val="006F2A65"/>
    <w:rsid w:val="006F3DD6"/>
    <w:rsid w:val="006F40DF"/>
    <w:rsid w:val="006F42BB"/>
    <w:rsid w:val="006F438E"/>
    <w:rsid w:val="006F440B"/>
    <w:rsid w:val="006F48A3"/>
    <w:rsid w:val="006F4DA4"/>
    <w:rsid w:val="006F5416"/>
    <w:rsid w:val="006F624B"/>
    <w:rsid w:val="006F6D87"/>
    <w:rsid w:val="006F6FF2"/>
    <w:rsid w:val="006F79FB"/>
    <w:rsid w:val="007008A9"/>
    <w:rsid w:val="00700E8A"/>
    <w:rsid w:val="007018A4"/>
    <w:rsid w:val="0070398A"/>
    <w:rsid w:val="00705242"/>
    <w:rsid w:val="007055E0"/>
    <w:rsid w:val="007056ED"/>
    <w:rsid w:val="00705F4E"/>
    <w:rsid w:val="0070658E"/>
    <w:rsid w:val="007065C5"/>
    <w:rsid w:val="007068E1"/>
    <w:rsid w:val="00706AA0"/>
    <w:rsid w:val="00706AD4"/>
    <w:rsid w:val="00707150"/>
    <w:rsid w:val="007124D7"/>
    <w:rsid w:val="00712C20"/>
    <w:rsid w:val="00713549"/>
    <w:rsid w:val="007140BE"/>
    <w:rsid w:val="007147AB"/>
    <w:rsid w:val="00715502"/>
    <w:rsid w:val="00715D01"/>
    <w:rsid w:val="00715E4D"/>
    <w:rsid w:val="00715F12"/>
    <w:rsid w:val="0071677A"/>
    <w:rsid w:val="00716F48"/>
    <w:rsid w:val="007170FB"/>
    <w:rsid w:val="00717114"/>
    <w:rsid w:val="0071779F"/>
    <w:rsid w:val="007201A6"/>
    <w:rsid w:val="00720310"/>
    <w:rsid w:val="00720D7A"/>
    <w:rsid w:val="007211F5"/>
    <w:rsid w:val="007213C3"/>
    <w:rsid w:val="00721601"/>
    <w:rsid w:val="00722777"/>
    <w:rsid w:val="00723435"/>
    <w:rsid w:val="00723436"/>
    <w:rsid w:val="007240E2"/>
    <w:rsid w:val="0072454C"/>
    <w:rsid w:val="0072583E"/>
    <w:rsid w:val="00725BB5"/>
    <w:rsid w:val="00727C02"/>
    <w:rsid w:val="0073008E"/>
    <w:rsid w:val="00730A8B"/>
    <w:rsid w:val="00730AE8"/>
    <w:rsid w:val="00730F1B"/>
    <w:rsid w:val="0073186D"/>
    <w:rsid w:val="007324A6"/>
    <w:rsid w:val="0073261D"/>
    <w:rsid w:val="0073333D"/>
    <w:rsid w:val="007343D9"/>
    <w:rsid w:val="00734F71"/>
    <w:rsid w:val="00735448"/>
    <w:rsid w:val="00736F07"/>
    <w:rsid w:val="007377BD"/>
    <w:rsid w:val="00737DEC"/>
    <w:rsid w:val="0074004D"/>
    <w:rsid w:val="00741493"/>
    <w:rsid w:val="00741F2A"/>
    <w:rsid w:val="007434E5"/>
    <w:rsid w:val="00743884"/>
    <w:rsid w:val="0074499B"/>
    <w:rsid w:val="007449D6"/>
    <w:rsid w:val="0074501E"/>
    <w:rsid w:val="007450BF"/>
    <w:rsid w:val="0074599A"/>
    <w:rsid w:val="00746EE5"/>
    <w:rsid w:val="00746F45"/>
    <w:rsid w:val="007471A1"/>
    <w:rsid w:val="007477BD"/>
    <w:rsid w:val="007477DA"/>
    <w:rsid w:val="00747EE9"/>
    <w:rsid w:val="007520B6"/>
    <w:rsid w:val="00752180"/>
    <w:rsid w:val="00752323"/>
    <w:rsid w:val="007532B7"/>
    <w:rsid w:val="00753CAB"/>
    <w:rsid w:val="00754A70"/>
    <w:rsid w:val="00754BC9"/>
    <w:rsid w:val="00754FB0"/>
    <w:rsid w:val="00755202"/>
    <w:rsid w:val="00755D3A"/>
    <w:rsid w:val="00757241"/>
    <w:rsid w:val="0075751D"/>
    <w:rsid w:val="0075763E"/>
    <w:rsid w:val="007578D3"/>
    <w:rsid w:val="007602CF"/>
    <w:rsid w:val="00760391"/>
    <w:rsid w:val="007609C6"/>
    <w:rsid w:val="007615F3"/>
    <w:rsid w:val="0076175D"/>
    <w:rsid w:val="00761CB5"/>
    <w:rsid w:val="007629D5"/>
    <w:rsid w:val="007635F8"/>
    <w:rsid w:val="00763A88"/>
    <w:rsid w:val="00763B23"/>
    <w:rsid w:val="00763B85"/>
    <w:rsid w:val="007644A2"/>
    <w:rsid w:val="00764974"/>
    <w:rsid w:val="00764D18"/>
    <w:rsid w:val="0076521E"/>
    <w:rsid w:val="0076579C"/>
    <w:rsid w:val="00765928"/>
    <w:rsid w:val="00765BCC"/>
    <w:rsid w:val="0076600D"/>
    <w:rsid w:val="007661E9"/>
    <w:rsid w:val="00766460"/>
    <w:rsid w:val="00767062"/>
    <w:rsid w:val="00767601"/>
    <w:rsid w:val="00767777"/>
    <w:rsid w:val="00767933"/>
    <w:rsid w:val="00770AB9"/>
    <w:rsid w:val="00770CFC"/>
    <w:rsid w:val="0077130E"/>
    <w:rsid w:val="007715EE"/>
    <w:rsid w:val="00771972"/>
    <w:rsid w:val="00772279"/>
    <w:rsid w:val="00772DAB"/>
    <w:rsid w:val="00772FF9"/>
    <w:rsid w:val="0077348B"/>
    <w:rsid w:val="007743DB"/>
    <w:rsid w:val="00774D2C"/>
    <w:rsid w:val="00775E00"/>
    <w:rsid w:val="0077605B"/>
    <w:rsid w:val="00776169"/>
    <w:rsid w:val="00776527"/>
    <w:rsid w:val="00777040"/>
    <w:rsid w:val="00777CE6"/>
    <w:rsid w:val="00777D57"/>
    <w:rsid w:val="00780BF0"/>
    <w:rsid w:val="00780EF1"/>
    <w:rsid w:val="00781A91"/>
    <w:rsid w:val="00781AD3"/>
    <w:rsid w:val="00781F36"/>
    <w:rsid w:val="00783576"/>
    <w:rsid w:val="00783810"/>
    <w:rsid w:val="00784980"/>
    <w:rsid w:val="007853FD"/>
    <w:rsid w:val="00785778"/>
    <w:rsid w:val="00786C87"/>
    <w:rsid w:val="0078755E"/>
    <w:rsid w:val="007877C9"/>
    <w:rsid w:val="00790764"/>
    <w:rsid w:val="0079085F"/>
    <w:rsid w:val="00790E96"/>
    <w:rsid w:val="00791005"/>
    <w:rsid w:val="00793D78"/>
    <w:rsid w:val="0079420B"/>
    <w:rsid w:val="0079453C"/>
    <w:rsid w:val="00794677"/>
    <w:rsid w:val="00795759"/>
    <w:rsid w:val="007A0B5E"/>
    <w:rsid w:val="007A170B"/>
    <w:rsid w:val="007A20EB"/>
    <w:rsid w:val="007A282C"/>
    <w:rsid w:val="007A293C"/>
    <w:rsid w:val="007A2A3A"/>
    <w:rsid w:val="007A33E2"/>
    <w:rsid w:val="007A3CAF"/>
    <w:rsid w:val="007A4551"/>
    <w:rsid w:val="007A4664"/>
    <w:rsid w:val="007A4782"/>
    <w:rsid w:val="007A516D"/>
    <w:rsid w:val="007A5E65"/>
    <w:rsid w:val="007A65E1"/>
    <w:rsid w:val="007A6A6E"/>
    <w:rsid w:val="007A6AAA"/>
    <w:rsid w:val="007A7033"/>
    <w:rsid w:val="007A775D"/>
    <w:rsid w:val="007B04B0"/>
    <w:rsid w:val="007B0834"/>
    <w:rsid w:val="007B0E83"/>
    <w:rsid w:val="007B11FA"/>
    <w:rsid w:val="007B1396"/>
    <w:rsid w:val="007B16D6"/>
    <w:rsid w:val="007B1D1B"/>
    <w:rsid w:val="007B1E3F"/>
    <w:rsid w:val="007B2011"/>
    <w:rsid w:val="007B2CFE"/>
    <w:rsid w:val="007B309B"/>
    <w:rsid w:val="007B37AB"/>
    <w:rsid w:val="007B3D5E"/>
    <w:rsid w:val="007B3DCB"/>
    <w:rsid w:val="007B54AE"/>
    <w:rsid w:val="007B5725"/>
    <w:rsid w:val="007B5C1F"/>
    <w:rsid w:val="007B6689"/>
    <w:rsid w:val="007B6747"/>
    <w:rsid w:val="007B6F72"/>
    <w:rsid w:val="007B74AA"/>
    <w:rsid w:val="007C10BD"/>
    <w:rsid w:val="007C162D"/>
    <w:rsid w:val="007C1A03"/>
    <w:rsid w:val="007C1F0C"/>
    <w:rsid w:val="007C1FFB"/>
    <w:rsid w:val="007C2D94"/>
    <w:rsid w:val="007C4A6B"/>
    <w:rsid w:val="007C5F92"/>
    <w:rsid w:val="007C6227"/>
    <w:rsid w:val="007C64F7"/>
    <w:rsid w:val="007C6BBD"/>
    <w:rsid w:val="007C6D89"/>
    <w:rsid w:val="007C6F5E"/>
    <w:rsid w:val="007D0382"/>
    <w:rsid w:val="007D0F6B"/>
    <w:rsid w:val="007D14FE"/>
    <w:rsid w:val="007D1A1F"/>
    <w:rsid w:val="007D213B"/>
    <w:rsid w:val="007D2783"/>
    <w:rsid w:val="007D2E18"/>
    <w:rsid w:val="007D3EF3"/>
    <w:rsid w:val="007D40DF"/>
    <w:rsid w:val="007D42E5"/>
    <w:rsid w:val="007D4458"/>
    <w:rsid w:val="007D6AF9"/>
    <w:rsid w:val="007D7763"/>
    <w:rsid w:val="007D7F4F"/>
    <w:rsid w:val="007E0535"/>
    <w:rsid w:val="007E07F2"/>
    <w:rsid w:val="007E0D4A"/>
    <w:rsid w:val="007E1788"/>
    <w:rsid w:val="007E1EE3"/>
    <w:rsid w:val="007E29B4"/>
    <w:rsid w:val="007E2F12"/>
    <w:rsid w:val="007E3627"/>
    <w:rsid w:val="007E435A"/>
    <w:rsid w:val="007E445C"/>
    <w:rsid w:val="007E49F7"/>
    <w:rsid w:val="007E4C70"/>
    <w:rsid w:val="007E5149"/>
    <w:rsid w:val="007E5B5F"/>
    <w:rsid w:val="007E69C6"/>
    <w:rsid w:val="007E78B6"/>
    <w:rsid w:val="007E7E61"/>
    <w:rsid w:val="007F0845"/>
    <w:rsid w:val="007F0873"/>
    <w:rsid w:val="007F20F3"/>
    <w:rsid w:val="007F2353"/>
    <w:rsid w:val="007F2390"/>
    <w:rsid w:val="007F2CAC"/>
    <w:rsid w:val="007F3CB6"/>
    <w:rsid w:val="007F4740"/>
    <w:rsid w:val="007F595A"/>
    <w:rsid w:val="007F5C38"/>
    <w:rsid w:val="007F708D"/>
    <w:rsid w:val="007F7E3F"/>
    <w:rsid w:val="008006B3"/>
    <w:rsid w:val="00800B63"/>
    <w:rsid w:val="0080158A"/>
    <w:rsid w:val="00801E13"/>
    <w:rsid w:val="00803008"/>
    <w:rsid w:val="00803069"/>
    <w:rsid w:val="0080346B"/>
    <w:rsid w:val="00803E08"/>
    <w:rsid w:val="00804155"/>
    <w:rsid w:val="00804C9F"/>
    <w:rsid w:val="0080559E"/>
    <w:rsid w:val="00805AF3"/>
    <w:rsid w:val="00806C9C"/>
    <w:rsid w:val="008071B1"/>
    <w:rsid w:val="0080734C"/>
    <w:rsid w:val="00807C82"/>
    <w:rsid w:val="008107EE"/>
    <w:rsid w:val="008117CC"/>
    <w:rsid w:val="00811FF8"/>
    <w:rsid w:val="0081249F"/>
    <w:rsid w:val="00813D58"/>
    <w:rsid w:val="00813DCA"/>
    <w:rsid w:val="008161A6"/>
    <w:rsid w:val="008165B8"/>
    <w:rsid w:val="00816905"/>
    <w:rsid w:val="00816D98"/>
    <w:rsid w:val="00816E42"/>
    <w:rsid w:val="00817040"/>
    <w:rsid w:val="00817A17"/>
    <w:rsid w:val="00817EC1"/>
    <w:rsid w:val="0082112D"/>
    <w:rsid w:val="00821624"/>
    <w:rsid w:val="00821FF6"/>
    <w:rsid w:val="00822574"/>
    <w:rsid w:val="00822980"/>
    <w:rsid w:val="00822F08"/>
    <w:rsid w:val="00824BA6"/>
    <w:rsid w:val="00825007"/>
    <w:rsid w:val="00825120"/>
    <w:rsid w:val="00825C4D"/>
    <w:rsid w:val="00826A08"/>
    <w:rsid w:val="00826AC0"/>
    <w:rsid w:val="00826D45"/>
    <w:rsid w:val="00827186"/>
    <w:rsid w:val="00827C8E"/>
    <w:rsid w:val="00830569"/>
    <w:rsid w:val="00830AEA"/>
    <w:rsid w:val="00830E86"/>
    <w:rsid w:val="0083143E"/>
    <w:rsid w:val="008315B8"/>
    <w:rsid w:val="008315D5"/>
    <w:rsid w:val="00831CDE"/>
    <w:rsid w:val="00831F2B"/>
    <w:rsid w:val="008320CF"/>
    <w:rsid w:val="008324A3"/>
    <w:rsid w:val="00832F77"/>
    <w:rsid w:val="00834304"/>
    <w:rsid w:val="008343CE"/>
    <w:rsid w:val="0083471A"/>
    <w:rsid w:val="00834FAA"/>
    <w:rsid w:val="00835495"/>
    <w:rsid w:val="008354FB"/>
    <w:rsid w:val="00835FF1"/>
    <w:rsid w:val="00836086"/>
    <w:rsid w:val="0083630F"/>
    <w:rsid w:val="00836A06"/>
    <w:rsid w:val="008374BC"/>
    <w:rsid w:val="008379D6"/>
    <w:rsid w:val="00837E48"/>
    <w:rsid w:val="00840293"/>
    <w:rsid w:val="008402AD"/>
    <w:rsid w:val="008408D4"/>
    <w:rsid w:val="008417B5"/>
    <w:rsid w:val="00841901"/>
    <w:rsid w:val="008458BD"/>
    <w:rsid w:val="00846121"/>
    <w:rsid w:val="008461C2"/>
    <w:rsid w:val="008462F1"/>
    <w:rsid w:val="008466C6"/>
    <w:rsid w:val="0084708F"/>
    <w:rsid w:val="008477C8"/>
    <w:rsid w:val="008478A6"/>
    <w:rsid w:val="008502F6"/>
    <w:rsid w:val="0085036C"/>
    <w:rsid w:val="00850E83"/>
    <w:rsid w:val="0085114D"/>
    <w:rsid w:val="00851163"/>
    <w:rsid w:val="008520A8"/>
    <w:rsid w:val="00852217"/>
    <w:rsid w:val="00853282"/>
    <w:rsid w:val="0085334C"/>
    <w:rsid w:val="00854291"/>
    <w:rsid w:val="00855408"/>
    <w:rsid w:val="00855D03"/>
    <w:rsid w:val="00856AA1"/>
    <w:rsid w:val="00856D65"/>
    <w:rsid w:val="00856FA4"/>
    <w:rsid w:val="00860D79"/>
    <w:rsid w:val="00861B41"/>
    <w:rsid w:val="00861B9F"/>
    <w:rsid w:val="00861BE3"/>
    <w:rsid w:val="00861EB6"/>
    <w:rsid w:val="008625D3"/>
    <w:rsid w:val="00862C0A"/>
    <w:rsid w:val="00863434"/>
    <w:rsid w:val="0086344F"/>
    <w:rsid w:val="008641AC"/>
    <w:rsid w:val="00865E4C"/>
    <w:rsid w:val="00866074"/>
    <w:rsid w:val="00867546"/>
    <w:rsid w:val="0086796D"/>
    <w:rsid w:val="00867DAB"/>
    <w:rsid w:val="0087000B"/>
    <w:rsid w:val="008701E4"/>
    <w:rsid w:val="008704E9"/>
    <w:rsid w:val="008705FB"/>
    <w:rsid w:val="00870ECD"/>
    <w:rsid w:val="00871E73"/>
    <w:rsid w:val="0087347C"/>
    <w:rsid w:val="008734E7"/>
    <w:rsid w:val="0087368D"/>
    <w:rsid w:val="008740CC"/>
    <w:rsid w:val="0087442A"/>
    <w:rsid w:val="00874578"/>
    <w:rsid w:val="00874FE8"/>
    <w:rsid w:val="00875A32"/>
    <w:rsid w:val="00875CC1"/>
    <w:rsid w:val="00876086"/>
    <w:rsid w:val="00876651"/>
    <w:rsid w:val="00876E83"/>
    <w:rsid w:val="0087722C"/>
    <w:rsid w:val="008772BC"/>
    <w:rsid w:val="00880A0E"/>
    <w:rsid w:val="008817FE"/>
    <w:rsid w:val="00881CD7"/>
    <w:rsid w:val="00882911"/>
    <w:rsid w:val="00882F6E"/>
    <w:rsid w:val="00883202"/>
    <w:rsid w:val="00884E02"/>
    <w:rsid w:val="0088502B"/>
    <w:rsid w:val="00885D40"/>
    <w:rsid w:val="008873D4"/>
    <w:rsid w:val="008902A5"/>
    <w:rsid w:val="00890CB1"/>
    <w:rsid w:val="00891EDF"/>
    <w:rsid w:val="00892872"/>
    <w:rsid w:val="0089296D"/>
    <w:rsid w:val="00893E85"/>
    <w:rsid w:val="00893EBE"/>
    <w:rsid w:val="00894031"/>
    <w:rsid w:val="00894C5D"/>
    <w:rsid w:val="00895508"/>
    <w:rsid w:val="00895797"/>
    <w:rsid w:val="008967E9"/>
    <w:rsid w:val="00896A5C"/>
    <w:rsid w:val="00897155"/>
    <w:rsid w:val="008972D2"/>
    <w:rsid w:val="0089754C"/>
    <w:rsid w:val="00897CFA"/>
    <w:rsid w:val="008A0659"/>
    <w:rsid w:val="008A0ADD"/>
    <w:rsid w:val="008A0D27"/>
    <w:rsid w:val="008A1C59"/>
    <w:rsid w:val="008A2254"/>
    <w:rsid w:val="008A37E2"/>
    <w:rsid w:val="008A388E"/>
    <w:rsid w:val="008A394E"/>
    <w:rsid w:val="008A3CBA"/>
    <w:rsid w:val="008A4B59"/>
    <w:rsid w:val="008A63E1"/>
    <w:rsid w:val="008A66B7"/>
    <w:rsid w:val="008A68BB"/>
    <w:rsid w:val="008A6AA5"/>
    <w:rsid w:val="008A7127"/>
    <w:rsid w:val="008B02E7"/>
    <w:rsid w:val="008B0CBA"/>
    <w:rsid w:val="008B1850"/>
    <w:rsid w:val="008B2639"/>
    <w:rsid w:val="008B3537"/>
    <w:rsid w:val="008B35C1"/>
    <w:rsid w:val="008B3690"/>
    <w:rsid w:val="008B3A80"/>
    <w:rsid w:val="008B3AEC"/>
    <w:rsid w:val="008B3C07"/>
    <w:rsid w:val="008B3C6E"/>
    <w:rsid w:val="008B3F7B"/>
    <w:rsid w:val="008B43CA"/>
    <w:rsid w:val="008B5324"/>
    <w:rsid w:val="008B5C99"/>
    <w:rsid w:val="008B6106"/>
    <w:rsid w:val="008B7C02"/>
    <w:rsid w:val="008B7D2B"/>
    <w:rsid w:val="008B7EF9"/>
    <w:rsid w:val="008C0049"/>
    <w:rsid w:val="008C025A"/>
    <w:rsid w:val="008C0314"/>
    <w:rsid w:val="008C0E88"/>
    <w:rsid w:val="008C0EBE"/>
    <w:rsid w:val="008C1717"/>
    <w:rsid w:val="008C17F0"/>
    <w:rsid w:val="008C3A32"/>
    <w:rsid w:val="008C3B05"/>
    <w:rsid w:val="008C4B50"/>
    <w:rsid w:val="008C5A37"/>
    <w:rsid w:val="008C7569"/>
    <w:rsid w:val="008C79C3"/>
    <w:rsid w:val="008D006F"/>
    <w:rsid w:val="008D033D"/>
    <w:rsid w:val="008D06A2"/>
    <w:rsid w:val="008D0DBD"/>
    <w:rsid w:val="008D117E"/>
    <w:rsid w:val="008D127E"/>
    <w:rsid w:val="008D1CA8"/>
    <w:rsid w:val="008D1E0A"/>
    <w:rsid w:val="008D1E6A"/>
    <w:rsid w:val="008D2407"/>
    <w:rsid w:val="008D2A16"/>
    <w:rsid w:val="008D2AEC"/>
    <w:rsid w:val="008D3295"/>
    <w:rsid w:val="008D33F5"/>
    <w:rsid w:val="008D35E4"/>
    <w:rsid w:val="008D3ACD"/>
    <w:rsid w:val="008D3D21"/>
    <w:rsid w:val="008D6C3A"/>
    <w:rsid w:val="008D70E2"/>
    <w:rsid w:val="008D7F47"/>
    <w:rsid w:val="008E0001"/>
    <w:rsid w:val="008E039E"/>
    <w:rsid w:val="008E292B"/>
    <w:rsid w:val="008E2C57"/>
    <w:rsid w:val="008E31FF"/>
    <w:rsid w:val="008E3287"/>
    <w:rsid w:val="008E38E4"/>
    <w:rsid w:val="008E3DFA"/>
    <w:rsid w:val="008E419B"/>
    <w:rsid w:val="008E51EB"/>
    <w:rsid w:val="008E5746"/>
    <w:rsid w:val="008E64D7"/>
    <w:rsid w:val="008E6DCB"/>
    <w:rsid w:val="008E6E5D"/>
    <w:rsid w:val="008E6F06"/>
    <w:rsid w:val="008E7000"/>
    <w:rsid w:val="008E723E"/>
    <w:rsid w:val="008E7B8E"/>
    <w:rsid w:val="008E7FC9"/>
    <w:rsid w:val="008F0107"/>
    <w:rsid w:val="008F029B"/>
    <w:rsid w:val="008F0589"/>
    <w:rsid w:val="008F130B"/>
    <w:rsid w:val="008F2A5D"/>
    <w:rsid w:val="008F2BC7"/>
    <w:rsid w:val="008F2E83"/>
    <w:rsid w:val="008F3636"/>
    <w:rsid w:val="008F3FC9"/>
    <w:rsid w:val="008F418F"/>
    <w:rsid w:val="008F509F"/>
    <w:rsid w:val="008F525A"/>
    <w:rsid w:val="008F5383"/>
    <w:rsid w:val="008F585B"/>
    <w:rsid w:val="008F7FB0"/>
    <w:rsid w:val="009003A8"/>
    <w:rsid w:val="009005E4"/>
    <w:rsid w:val="00900977"/>
    <w:rsid w:val="009021DA"/>
    <w:rsid w:val="00902500"/>
    <w:rsid w:val="00902EFF"/>
    <w:rsid w:val="00903A8E"/>
    <w:rsid w:val="0090432C"/>
    <w:rsid w:val="00904F96"/>
    <w:rsid w:val="009052A3"/>
    <w:rsid w:val="00905314"/>
    <w:rsid w:val="009056D7"/>
    <w:rsid w:val="00905B8D"/>
    <w:rsid w:val="00906401"/>
    <w:rsid w:val="009065CB"/>
    <w:rsid w:val="009067EA"/>
    <w:rsid w:val="00906B79"/>
    <w:rsid w:val="0090786F"/>
    <w:rsid w:val="0091001E"/>
    <w:rsid w:val="00910C18"/>
    <w:rsid w:val="009110F7"/>
    <w:rsid w:val="009112E3"/>
    <w:rsid w:val="0091155E"/>
    <w:rsid w:val="00912437"/>
    <w:rsid w:val="00912A92"/>
    <w:rsid w:val="00913237"/>
    <w:rsid w:val="00913B36"/>
    <w:rsid w:val="0091476D"/>
    <w:rsid w:val="00915D07"/>
    <w:rsid w:val="009162AE"/>
    <w:rsid w:val="00917154"/>
    <w:rsid w:val="00917251"/>
    <w:rsid w:val="0091728D"/>
    <w:rsid w:val="0092036B"/>
    <w:rsid w:val="009203CC"/>
    <w:rsid w:val="00920EC4"/>
    <w:rsid w:val="0092180B"/>
    <w:rsid w:val="00921F14"/>
    <w:rsid w:val="0092292F"/>
    <w:rsid w:val="00922D28"/>
    <w:rsid w:val="00923CB0"/>
    <w:rsid w:val="00923D8C"/>
    <w:rsid w:val="00924871"/>
    <w:rsid w:val="00924AC8"/>
    <w:rsid w:val="00925429"/>
    <w:rsid w:val="00925615"/>
    <w:rsid w:val="0092597A"/>
    <w:rsid w:val="00926520"/>
    <w:rsid w:val="00926B2B"/>
    <w:rsid w:val="00926CF0"/>
    <w:rsid w:val="009273A9"/>
    <w:rsid w:val="00930251"/>
    <w:rsid w:val="0093033E"/>
    <w:rsid w:val="009305FC"/>
    <w:rsid w:val="00930FB1"/>
    <w:rsid w:val="0093139F"/>
    <w:rsid w:val="00932239"/>
    <w:rsid w:val="00932443"/>
    <w:rsid w:val="00932B32"/>
    <w:rsid w:val="0093305E"/>
    <w:rsid w:val="00933F4A"/>
    <w:rsid w:val="009341F1"/>
    <w:rsid w:val="00934FF2"/>
    <w:rsid w:val="009358D7"/>
    <w:rsid w:val="00935BD4"/>
    <w:rsid w:val="00935DFE"/>
    <w:rsid w:val="00935F70"/>
    <w:rsid w:val="009360FA"/>
    <w:rsid w:val="0093648B"/>
    <w:rsid w:val="00937017"/>
    <w:rsid w:val="009373B2"/>
    <w:rsid w:val="00937AE2"/>
    <w:rsid w:val="0094061F"/>
    <w:rsid w:val="00940F0F"/>
    <w:rsid w:val="00941912"/>
    <w:rsid w:val="0094416B"/>
    <w:rsid w:val="0094427A"/>
    <w:rsid w:val="009449C6"/>
    <w:rsid w:val="00944C7C"/>
    <w:rsid w:val="00945245"/>
    <w:rsid w:val="00945523"/>
    <w:rsid w:val="00946C43"/>
    <w:rsid w:val="00946FE0"/>
    <w:rsid w:val="00950921"/>
    <w:rsid w:val="00951D68"/>
    <w:rsid w:val="00951E5B"/>
    <w:rsid w:val="00952050"/>
    <w:rsid w:val="00952315"/>
    <w:rsid w:val="009523D9"/>
    <w:rsid w:val="00952B7B"/>
    <w:rsid w:val="0095357B"/>
    <w:rsid w:val="009538B3"/>
    <w:rsid w:val="00954F39"/>
    <w:rsid w:val="009555FD"/>
    <w:rsid w:val="00955BAD"/>
    <w:rsid w:val="0095664B"/>
    <w:rsid w:val="009568DC"/>
    <w:rsid w:val="00956B8B"/>
    <w:rsid w:val="00957140"/>
    <w:rsid w:val="00957445"/>
    <w:rsid w:val="0095759C"/>
    <w:rsid w:val="009618EE"/>
    <w:rsid w:val="00961DDD"/>
    <w:rsid w:val="009624D2"/>
    <w:rsid w:val="009628D9"/>
    <w:rsid w:val="009637AE"/>
    <w:rsid w:val="00963A06"/>
    <w:rsid w:val="00964068"/>
    <w:rsid w:val="009640F6"/>
    <w:rsid w:val="0096469D"/>
    <w:rsid w:val="00964776"/>
    <w:rsid w:val="00964A4E"/>
    <w:rsid w:val="00964B35"/>
    <w:rsid w:val="009651C7"/>
    <w:rsid w:val="00965797"/>
    <w:rsid w:val="00965A10"/>
    <w:rsid w:val="00965AD0"/>
    <w:rsid w:val="009670A3"/>
    <w:rsid w:val="009674BE"/>
    <w:rsid w:val="00970FB5"/>
    <w:rsid w:val="00971710"/>
    <w:rsid w:val="00971B87"/>
    <w:rsid w:val="00971C77"/>
    <w:rsid w:val="0097203A"/>
    <w:rsid w:val="00972FCD"/>
    <w:rsid w:val="00973324"/>
    <w:rsid w:val="009736DF"/>
    <w:rsid w:val="009741AE"/>
    <w:rsid w:val="009741FC"/>
    <w:rsid w:val="00974782"/>
    <w:rsid w:val="00974923"/>
    <w:rsid w:val="00975909"/>
    <w:rsid w:val="00977C33"/>
    <w:rsid w:val="00977C3D"/>
    <w:rsid w:val="00980D3D"/>
    <w:rsid w:val="0098103E"/>
    <w:rsid w:val="0098157D"/>
    <w:rsid w:val="00983101"/>
    <w:rsid w:val="00983E41"/>
    <w:rsid w:val="009845E1"/>
    <w:rsid w:val="00984CE5"/>
    <w:rsid w:val="00984D1B"/>
    <w:rsid w:val="00986246"/>
    <w:rsid w:val="00987A30"/>
    <w:rsid w:val="00990312"/>
    <w:rsid w:val="009908AF"/>
    <w:rsid w:val="0099182E"/>
    <w:rsid w:val="00991D45"/>
    <w:rsid w:val="00992B49"/>
    <w:rsid w:val="00992BB3"/>
    <w:rsid w:val="00992CF3"/>
    <w:rsid w:val="00993194"/>
    <w:rsid w:val="0099321E"/>
    <w:rsid w:val="00993ECA"/>
    <w:rsid w:val="00994171"/>
    <w:rsid w:val="00994868"/>
    <w:rsid w:val="00994976"/>
    <w:rsid w:val="00994D28"/>
    <w:rsid w:val="00994F2C"/>
    <w:rsid w:val="00995720"/>
    <w:rsid w:val="009957CC"/>
    <w:rsid w:val="009968D6"/>
    <w:rsid w:val="00997953"/>
    <w:rsid w:val="00997D55"/>
    <w:rsid w:val="009A0BFF"/>
    <w:rsid w:val="009A10A0"/>
    <w:rsid w:val="009A12B7"/>
    <w:rsid w:val="009A1CAB"/>
    <w:rsid w:val="009A2359"/>
    <w:rsid w:val="009A24F1"/>
    <w:rsid w:val="009A27E0"/>
    <w:rsid w:val="009A4D57"/>
    <w:rsid w:val="009A51A5"/>
    <w:rsid w:val="009A5309"/>
    <w:rsid w:val="009A5759"/>
    <w:rsid w:val="009A60D1"/>
    <w:rsid w:val="009A6225"/>
    <w:rsid w:val="009A64F5"/>
    <w:rsid w:val="009B00D2"/>
    <w:rsid w:val="009B05B3"/>
    <w:rsid w:val="009B07C8"/>
    <w:rsid w:val="009B0CAF"/>
    <w:rsid w:val="009B1324"/>
    <w:rsid w:val="009B2558"/>
    <w:rsid w:val="009B284F"/>
    <w:rsid w:val="009B3742"/>
    <w:rsid w:val="009B3764"/>
    <w:rsid w:val="009B3840"/>
    <w:rsid w:val="009B52AC"/>
    <w:rsid w:val="009B553D"/>
    <w:rsid w:val="009B59EA"/>
    <w:rsid w:val="009B5B6E"/>
    <w:rsid w:val="009B66CE"/>
    <w:rsid w:val="009B6FD3"/>
    <w:rsid w:val="009B72BE"/>
    <w:rsid w:val="009B78A4"/>
    <w:rsid w:val="009B7DB2"/>
    <w:rsid w:val="009C03DB"/>
    <w:rsid w:val="009C15AF"/>
    <w:rsid w:val="009C1750"/>
    <w:rsid w:val="009C2E29"/>
    <w:rsid w:val="009C3E8F"/>
    <w:rsid w:val="009C554B"/>
    <w:rsid w:val="009C5E83"/>
    <w:rsid w:val="009C66F8"/>
    <w:rsid w:val="009C7126"/>
    <w:rsid w:val="009C719E"/>
    <w:rsid w:val="009C7799"/>
    <w:rsid w:val="009D07A9"/>
    <w:rsid w:val="009D0AE2"/>
    <w:rsid w:val="009D0D9F"/>
    <w:rsid w:val="009D0EBB"/>
    <w:rsid w:val="009D2C46"/>
    <w:rsid w:val="009D3ACD"/>
    <w:rsid w:val="009D4254"/>
    <w:rsid w:val="009D4F21"/>
    <w:rsid w:val="009D587D"/>
    <w:rsid w:val="009D6EA6"/>
    <w:rsid w:val="009D7731"/>
    <w:rsid w:val="009D78C3"/>
    <w:rsid w:val="009E1120"/>
    <w:rsid w:val="009E1393"/>
    <w:rsid w:val="009E1922"/>
    <w:rsid w:val="009E1A3D"/>
    <w:rsid w:val="009E4715"/>
    <w:rsid w:val="009E4A58"/>
    <w:rsid w:val="009E5273"/>
    <w:rsid w:val="009E57A8"/>
    <w:rsid w:val="009E5B85"/>
    <w:rsid w:val="009E5DDB"/>
    <w:rsid w:val="009F032E"/>
    <w:rsid w:val="009F1CA6"/>
    <w:rsid w:val="009F2921"/>
    <w:rsid w:val="009F3063"/>
    <w:rsid w:val="009F42CF"/>
    <w:rsid w:val="009F4982"/>
    <w:rsid w:val="009F4CA7"/>
    <w:rsid w:val="009F4F6A"/>
    <w:rsid w:val="009F55BA"/>
    <w:rsid w:val="009F7D36"/>
    <w:rsid w:val="009F7D61"/>
    <w:rsid w:val="00A00470"/>
    <w:rsid w:val="00A00E71"/>
    <w:rsid w:val="00A0187B"/>
    <w:rsid w:val="00A02E8B"/>
    <w:rsid w:val="00A0306F"/>
    <w:rsid w:val="00A03511"/>
    <w:rsid w:val="00A03B10"/>
    <w:rsid w:val="00A03E2E"/>
    <w:rsid w:val="00A04616"/>
    <w:rsid w:val="00A04717"/>
    <w:rsid w:val="00A05D8F"/>
    <w:rsid w:val="00A05EB1"/>
    <w:rsid w:val="00A05EE4"/>
    <w:rsid w:val="00A06F99"/>
    <w:rsid w:val="00A1053B"/>
    <w:rsid w:val="00A10D66"/>
    <w:rsid w:val="00A113A4"/>
    <w:rsid w:val="00A12A8E"/>
    <w:rsid w:val="00A133F9"/>
    <w:rsid w:val="00A14114"/>
    <w:rsid w:val="00A16413"/>
    <w:rsid w:val="00A16545"/>
    <w:rsid w:val="00A16A1A"/>
    <w:rsid w:val="00A16A9F"/>
    <w:rsid w:val="00A16AED"/>
    <w:rsid w:val="00A16BD3"/>
    <w:rsid w:val="00A16C37"/>
    <w:rsid w:val="00A16E1D"/>
    <w:rsid w:val="00A171D5"/>
    <w:rsid w:val="00A17A15"/>
    <w:rsid w:val="00A17A37"/>
    <w:rsid w:val="00A17D5B"/>
    <w:rsid w:val="00A2016A"/>
    <w:rsid w:val="00A201E1"/>
    <w:rsid w:val="00A2028B"/>
    <w:rsid w:val="00A20FE1"/>
    <w:rsid w:val="00A2102F"/>
    <w:rsid w:val="00A21B4D"/>
    <w:rsid w:val="00A22073"/>
    <w:rsid w:val="00A223E0"/>
    <w:rsid w:val="00A22959"/>
    <w:rsid w:val="00A23158"/>
    <w:rsid w:val="00A232D7"/>
    <w:rsid w:val="00A23847"/>
    <w:rsid w:val="00A23E43"/>
    <w:rsid w:val="00A24726"/>
    <w:rsid w:val="00A24DEB"/>
    <w:rsid w:val="00A24ED9"/>
    <w:rsid w:val="00A251DB"/>
    <w:rsid w:val="00A25216"/>
    <w:rsid w:val="00A2597D"/>
    <w:rsid w:val="00A25FC3"/>
    <w:rsid w:val="00A2628E"/>
    <w:rsid w:val="00A266BF"/>
    <w:rsid w:val="00A26777"/>
    <w:rsid w:val="00A269AB"/>
    <w:rsid w:val="00A2731E"/>
    <w:rsid w:val="00A309AC"/>
    <w:rsid w:val="00A30EA4"/>
    <w:rsid w:val="00A30F65"/>
    <w:rsid w:val="00A315D0"/>
    <w:rsid w:val="00A3279E"/>
    <w:rsid w:val="00A33DB1"/>
    <w:rsid w:val="00A33EEB"/>
    <w:rsid w:val="00A351C8"/>
    <w:rsid w:val="00A35900"/>
    <w:rsid w:val="00A35F33"/>
    <w:rsid w:val="00A401A3"/>
    <w:rsid w:val="00A40EAC"/>
    <w:rsid w:val="00A418BC"/>
    <w:rsid w:val="00A419FF"/>
    <w:rsid w:val="00A41FCF"/>
    <w:rsid w:val="00A42936"/>
    <w:rsid w:val="00A43CF8"/>
    <w:rsid w:val="00A43DF2"/>
    <w:rsid w:val="00A445A8"/>
    <w:rsid w:val="00A44B0D"/>
    <w:rsid w:val="00A44D21"/>
    <w:rsid w:val="00A45087"/>
    <w:rsid w:val="00A45489"/>
    <w:rsid w:val="00A45858"/>
    <w:rsid w:val="00A45CED"/>
    <w:rsid w:val="00A465E9"/>
    <w:rsid w:val="00A468E7"/>
    <w:rsid w:val="00A46DE0"/>
    <w:rsid w:val="00A47240"/>
    <w:rsid w:val="00A478BA"/>
    <w:rsid w:val="00A50D73"/>
    <w:rsid w:val="00A518BB"/>
    <w:rsid w:val="00A51A9B"/>
    <w:rsid w:val="00A52A88"/>
    <w:rsid w:val="00A52CAD"/>
    <w:rsid w:val="00A53340"/>
    <w:rsid w:val="00A53FC7"/>
    <w:rsid w:val="00A55569"/>
    <w:rsid w:val="00A55C36"/>
    <w:rsid w:val="00A5661B"/>
    <w:rsid w:val="00A566A0"/>
    <w:rsid w:val="00A601E7"/>
    <w:rsid w:val="00A60AC1"/>
    <w:rsid w:val="00A62162"/>
    <w:rsid w:val="00A626FF"/>
    <w:rsid w:val="00A62CE1"/>
    <w:rsid w:val="00A65469"/>
    <w:rsid w:val="00A65528"/>
    <w:rsid w:val="00A655D3"/>
    <w:rsid w:val="00A662D9"/>
    <w:rsid w:val="00A6630C"/>
    <w:rsid w:val="00A6741E"/>
    <w:rsid w:val="00A67E29"/>
    <w:rsid w:val="00A7016A"/>
    <w:rsid w:val="00A7018D"/>
    <w:rsid w:val="00A7191D"/>
    <w:rsid w:val="00A722F9"/>
    <w:rsid w:val="00A72D42"/>
    <w:rsid w:val="00A746C9"/>
    <w:rsid w:val="00A74C2A"/>
    <w:rsid w:val="00A75E40"/>
    <w:rsid w:val="00A76818"/>
    <w:rsid w:val="00A77D1D"/>
    <w:rsid w:val="00A77E6B"/>
    <w:rsid w:val="00A809AD"/>
    <w:rsid w:val="00A81652"/>
    <w:rsid w:val="00A82BF0"/>
    <w:rsid w:val="00A82C91"/>
    <w:rsid w:val="00A83150"/>
    <w:rsid w:val="00A83398"/>
    <w:rsid w:val="00A83D6E"/>
    <w:rsid w:val="00A83FD5"/>
    <w:rsid w:val="00A8521A"/>
    <w:rsid w:val="00A857C0"/>
    <w:rsid w:val="00A85ACB"/>
    <w:rsid w:val="00A9036F"/>
    <w:rsid w:val="00A9092B"/>
    <w:rsid w:val="00A90F2C"/>
    <w:rsid w:val="00A90FED"/>
    <w:rsid w:val="00A91482"/>
    <w:rsid w:val="00A9189D"/>
    <w:rsid w:val="00A91E71"/>
    <w:rsid w:val="00A91EAD"/>
    <w:rsid w:val="00A925B1"/>
    <w:rsid w:val="00A92A3E"/>
    <w:rsid w:val="00A934F9"/>
    <w:rsid w:val="00A940E3"/>
    <w:rsid w:val="00A94983"/>
    <w:rsid w:val="00A9532C"/>
    <w:rsid w:val="00A95F1A"/>
    <w:rsid w:val="00A96116"/>
    <w:rsid w:val="00A9614E"/>
    <w:rsid w:val="00A96422"/>
    <w:rsid w:val="00A96C0F"/>
    <w:rsid w:val="00A97075"/>
    <w:rsid w:val="00AA0E80"/>
    <w:rsid w:val="00AA16F4"/>
    <w:rsid w:val="00AA17CD"/>
    <w:rsid w:val="00AA1D85"/>
    <w:rsid w:val="00AA212B"/>
    <w:rsid w:val="00AA212F"/>
    <w:rsid w:val="00AA26A9"/>
    <w:rsid w:val="00AA2996"/>
    <w:rsid w:val="00AA2AF4"/>
    <w:rsid w:val="00AA4282"/>
    <w:rsid w:val="00AA43F2"/>
    <w:rsid w:val="00AA4790"/>
    <w:rsid w:val="00AA49E1"/>
    <w:rsid w:val="00AA52BF"/>
    <w:rsid w:val="00AA559A"/>
    <w:rsid w:val="00AA6C31"/>
    <w:rsid w:val="00AA7752"/>
    <w:rsid w:val="00AA7CE8"/>
    <w:rsid w:val="00AB1457"/>
    <w:rsid w:val="00AB2AF1"/>
    <w:rsid w:val="00AB32CB"/>
    <w:rsid w:val="00AB3AD7"/>
    <w:rsid w:val="00AB3BA7"/>
    <w:rsid w:val="00AB3EC7"/>
    <w:rsid w:val="00AB5A64"/>
    <w:rsid w:val="00AB5CA1"/>
    <w:rsid w:val="00AB6456"/>
    <w:rsid w:val="00AB75C5"/>
    <w:rsid w:val="00AC044E"/>
    <w:rsid w:val="00AC2118"/>
    <w:rsid w:val="00AC2395"/>
    <w:rsid w:val="00AC2960"/>
    <w:rsid w:val="00AC2AC4"/>
    <w:rsid w:val="00AC4284"/>
    <w:rsid w:val="00AC45BD"/>
    <w:rsid w:val="00AC50BB"/>
    <w:rsid w:val="00AC5256"/>
    <w:rsid w:val="00AC78F1"/>
    <w:rsid w:val="00AC7B96"/>
    <w:rsid w:val="00AD0B22"/>
    <w:rsid w:val="00AD0EE7"/>
    <w:rsid w:val="00AD168E"/>
    <w:rsid w:val="00AD306C"/>
    <w:rsid w:val="00AD44CD"/>
    <w:rsid w:val="00AD47A7"/>
    <w:rsid w:val="00AD5AD2"/>
    <w:rsid w:val="00AD6462"/>
    <w:rsid w:val="00AD66C5"/>
    <w:rsid w:val="00AD68C4"/>
    <w:rsid w:val="00AD71F9"/>
    <w:rsid w:val="00AE09B3"/>
    <w:rsid w:val="00AE1A83"/>
    <w:rsid w:val="00AE2A78"/>
    <w:rsid w:val="00AE30BE"/>
    <w:rsid w:val="00AE3E6A"/>
    <w:rsid w:val="00AE417E"/>
    <w:rsid w:val="00AE56EE"/>
    <w:rsid w:val="00AE6414"/>
    <w:rsid w:val="00AE7269"/>
    <w:rsid w:val="00AE797C"/>
    <w:rsid w:val="00AE7CE7"/>
    <w:rsid w:val="00AE7FAB"/>
    <w:rsid w:val="00AF0DE4"/>
    <w:rsid w:val="00AF12A0"/>
    <w:rsid w:val="00AF1E87"/>
    <w:rsid w:val="00AF422A"/>
    <w:rsid w:val="00AF436B"/>
    <w:rsid w:val="00AF5179"/>
    <w:rsid w:val="00AF5CC2"/>
    <w:rsid w:val="00AF660D"/>
    <w:rsid w:val="00AF6776"/>
    <w:rsid w:val="00AF6F98"/>
    <w:rsid w:val="00AF7277"/>
    <w:rsid w:val="00B00550"/>
    <w:rsid w:val="00B00913"/>
    <w:rsid w:val="00B00D4D"/>
    <w:rsid w:val="00B01593"/>
    <w:rsid w:val="00B01D0F"/>
    <w:rsid w:val="00B01FF9"/>
    <w:rsid w:val="00B023F2"/>
    <w:rsid w:val="00B026FE"/>
    <w:rsid w:val="00B0271F"/>
    <w:rsid w:val="00B038CA"/>
    <w:rsid w:val="00B05F00"/>
    <w:rsid w:val="00B06DB4"/>
    <w:rsid w:val="00B0750D"/>
    <w:rsid w:val="00B07850"/>
    <w:rsid w:val="00B0799C"/>
    <w:rsid w:val="00B102CE"/>
    <w:rsid w:val="00B10A4D"/>
    <w:rsid w:val="00B10C90"/>
    <w:rsid w:val="00B11002"/>
    <w:rsid w:val="00B1114F"/>
    <w:rsid w:val="00B121B2"/>
    <w:rsid w:val="00B131B1"/>
    <w:rsid w:val="00B141B6"/>
    <w:rsid w:val="00B14BC1"/>
    <w:rsid w:val="00B154DE"/>
    <w:rsid w:val="00B162C3"/>
    <w:rsid w:val="00B16DD1"/>
    <w:rsid w:val="00B16EB8"/>
    <w:rsid w:val="00B1700A"/>
    <w:rsid w:val="00B17E71"/>
    <w:rsid w:val="00B17FDE"/>
    <w:rsid w:val="00B20632"/>
    <w:rsid w:val="00B2379C"/>
    <w:rsid w:val="00B23D5D"/>
    <w:rsid w:val="00B23E6E"/>
    <w:rsid w:val="00B2450C"/>
    <w:rsid w:val="00B2687D"/>
    <w:rsid w:val="00B27EC6"/>
    <w:rsid w:val="00B3108D"/>
    <w:rsid w:val="00B32DDB"/>
    <w:rsid w:val="00B32F57"/>
    <w:rsid w:val="00B3345C"/>
    <w:rsid w:val="00B343C4"/>
    <w:rsid w:val="00B34528"/>
    <w:rsid w:val="00B34750"/>
    <w:rsid w:val="00B34CC9"/>
    <w:rsid w:val="00B34CDA"/>
    <w:rsid w:val="00B35160"/>
    <w:rsid w:val="00B3563B"/>
    <w:rsid w:val="00B36BDC"/>
    <w:rsid w:val="00B37D3A"/>
    <w:rsid w:val="00B37D96"/>
    <w:rsid w:val="00B402FC"/>
    <w:rsid w:val="00B422E2"/>
    <w:rsid w:val="00B42517"/>
    <w:rsid w:val="00B42902"/>
    <w:rsid w:val="00B42D5F"/>
    <w:rsid w:val="00B43216"/>
    <w:rsid w:val="00B439DA"/>
    <w:rsid w:val="00B4411A"/>
    <w:rsid w:val="00B45FE8"/>
    <w:rsid w:val="00B46604"/>
    <w:rsid w:val="00B47089"/>
    <w:rsid w:val="00B47587"/>
    <w:rsid w:val="00B5150A"/>
    <w:rsid w:val="00B52151"/>
    <w:rsid w:val="00B530CD"/>
    <w:rsid w:val="00B53639"/>
    <w:rsid w:val="00B53C7D"/>
    <w:rsid w:val="00B53E56"/>
    <w:rsid w:val="00B55311"/>
    <w:rsid w:val="00B55A97"/>
    <w:rsid w:val="00B55F5E"/>
    <w:rsid w:val="00B5601B"/>
    <w:rsid w:val="00B5642C"/>
    <w:rsid w:val="00B5658D"/>
    <w:rsid w:val="00B56B6F"/>
    <w:rsid w:val="00B5752E"/>
    <w:rsid w:val="00B60AC1"/>
    <w:rsid w:val="00B61FF6"/>
    <w:rsid w:val="00B62316"/>
    <w:rsid w:val="00B6274C"/>
    <w:rsid w:val="00B63A11"/>
    <w:rsid w:val="00B64425"/>
    <w:rsid w:val="00B64C24"/>
    <w:rsid w:val="00B64E72"/>
    <w:rsid w:val="00B65CEF"/>
    <w:rsid w:val="00B6608F"/>
    <w:rsid w:val="00B674C7"/>
    <w:rsid w:val="00B67749"/>
    <w:rsid w:val="00B679FB"/>
    <w:rsid w:val="00B71FBF"/>
    <w:rsid w:val="00B734A0"/>
    <w:rsid w:val="00B73A14"/>
    <w:rsid w:val="00B73FE8"/>
    <w:rsid w:val="00B748BD"/>
    <w:rsid w:val="00B74964"/>
    <w:rsid w:val="00B76100"/>
    <w:rsid w:val="00B7680F"/>
    <w:rsid w:val="00B76B48"/>
    <w:rsid w:val="00B76D1E"/>
    <w:rsid w:val="00B77543"/>
    <w:rsid w:val="00B77584"/>
    <w:rsid w:val="00B77E34"/>
    <w:rsid w:val="00B80D44"/>
    <w:rsid w:val="00B80D89"/>
    <w:rsid w:val="00B80EC6"/>
    <w:rsid w:val="00B81288"/>
    <w:rsid w:val="00B81D70"/>
    <w:rsid w:val="00B833B9"/>
    <w:rsid w:val="00B83AAF"/>
    <w:rsid w:val="00B83E07"/>
    <w:rsid w:val="00B84CF6"/>
    <w:rsid w:val="00B85016"/>
    <w:rsid w:val="00B8561A"/>
    <w:rsid w:val="00B86628"/>
    <w:rsid w:val="00B86643"/>
    <w:rsid w:val="00B868F7"/>
    <w:rsid w:val="00B86EB1"/>
    <w:rsid w:val="00B871A7"/>
    <w:rsid w:val="00B90131"/>
    <w:rsid w:val="00B92951"/>
    <w:rsid w:val="00B92D1D"/>
    <w:rsid w:val="00B92D7E"/>
    <w:rsid w:val="00B930CE"/>
    <w:rsid w:val="00B938C5"/>
    <w:rsid w:val="00B940A8"/>
    <w:rsid w:val="00B9554A"/>
    <w:rsid w:val="00B95940"/>
    <w:rsid w:val="00B95ACA"/>
    <w:rsid w:val="00B95C12"/>
    <w:rsid w:val="00B96D74"/>
    <w:rsid w:val="00B9720E"/>
    <w:rsid w:val="00B97ACC"/>
    <w:rsid w:val="00B97F3A"/>
    <w:rsid w:val="00B97FE2"/>
    <w:rsid w:val="00BA0E0B"/>
    <w:rsid w:val="00BA201A"/>
    <w:rsid w:val="00BA21DF"/>
    <w:rsid w:val="00BA361D"/>
    <w:rsid w:val="00BA3787"/>
    <w:rsid w:val="00BA403A"/>
    <w:rsid w:val="00BA46E8"/>
    <w:rsid w:val="00BA49DB"/>
    <w:rsid w:val="00BA4AE9"/>
    <w:rsid w:val="00BA4E19"/>
    <w:rsid w:val="00BA5125"/>
    <w:rsid w:val="00BA6436"/>
    <w:rsid w:val="00BA64F2"/>
    <w:rsid w:val="00BA684E"/>
    <w:rsid w:val="00BA6C2B"/>
    <w:rsid w:val="00BA7B64"/>
    <w:rsid w:val="00BB02A3"/>
    <w:rsid w:val="00BB0351"/>
    <w:rsid w:val="00BB15C3"/>
    <w:rsid w:val="00BB1AF4"/>
    <w:rsid w:val="00BB2202"/>
    <w:rsid w:val="00BB286B"/>
    <w:rsid w:val="00BB3C6B"/>
    <w:rsid w:val="00BB3FD6"/>
    <w:rsid w:val="00BB453F"/>
    <w:rsid w:val="00BB46F3"/>
    <w:rsid w:val="00BB4A71"/>
    <w:rsid w:val="00BB4CB1"/>
    <w:rsid w:val="00BB4E47"/>
    <w:rsid w:val="00BB4F98"/>
    <w:rsid w:val="00BB50C0"/>
    <w:rsid w:val="00BB5AB2"/>
    <w:rsid w:val="00BB5ABF"/>
    <w:rsid w:val="00BB5F94"/>
    <w:rsid w:val="00BB6EA2"/>
    <w:rsid w:val="00BB7142"/>
    <w:rsid w:val="00BB76F3"/>
    <w:rsid w:val="00BB7B5B"/>
    <w:rsid w:val="00BB7EB1"/>
    <w:rsid w:val="00BC003F"/>
    <w:rsid w:val="00BC06AA"/>
    <w:rsid w:val="00BC0930"/>
    <w:rsid w:val="00BC223A"/>
    <w:rsid w:val="00BC327F"/>
    <w:rsid w:val="00BC3512"/>
    <w:rsid w:val="00BC4B35"/>
    <w:rsid w:val="00BC50BE"/>
    <w:rsid w:val="00BC5332"/>
    <w:rsid w:val="00BC5715"/>
    <w:rsid w:val="00BC5C12"/>
    <w:rsid w:val="00BC641B"/>
    <w:rsid w:val="00BC7154"/>
    <w:rsid w:val="00BC731E"/>
    <w:rsid w:val="00BC7614"/>
    <w:rsid w:val="00BC7EFA"/>
    <w:rsid w:val="00BD041B"/>
    <w:rsid w:val="00BD25BB"/>
    <w:rsid w:val="00BD2AF8"/>
    <w:rsid w:val="00BD366B"/>
    <w:rsid w:val="00BD3C09"/>
    <w:rsid w:val="00BD410B"/>
    <w:rsid w:val="00BD4A73"/>
    <w:rsid w:val="00BD4EDD"/>
    <w:rsid w:val="00BD4EF4"/>
    <w:rsid w:val="00BD6659"/>
    <w:rsid w:val="00BD6C75"/>
    <w:rsid w:val="00BD6D50"/>
    <w:rsid w:val="00BD7105"/>
    <w:rsid w:val="00BD73D2"/>
    <w:rsid w:val="00BE0AD1"/>
    <w:rsid w:val="00BE0EF9"/>
    <w:rsid w:val="00BE10A1"/>
    <w:rsid w:val="00BE18B9"/>
    <w:rsid w:val="00BE190A"/>
    <w:rsid w:val="00BE2495"/>
    <w:rsid w:val="00BE24DD"/>
    <w:rsid w:val="00BE34BB"/>
    <w:rsid w:val="00BE386D"/>
    <w:rsid w:val="00BE4DA9"/>
    <w:rsid w:val="00BE54BF"/>
    <w:rsid w:val="00BE557B"/>
    <w:rsid w:val="00BE55EF"/>
    <w:rsid w:val="00BE652B"/>
    <w:rsid w:val="00BE7F5F"/>
    <w:rsid w:val="00BF02C8"/>
    <w:rsid w:val="00BF1578"/>
    <w:rsid w:val="00BF15CA"/>
    <w:rsid w:val="00BF1D12"/>
    <w:rsid w:val="00BF1D3A"/>
    <w:rsid w:val="00BF2B5B"/>
    <w:rsid w:val="00BF2D41"/>
    <w:rsid w:val="00BF3274"/>
    <w:rsid w:val="00BF32DC"/>
    <w:rsid w:val="00BF35C9"/>
    <w:rsid w:val="00BF4329"/>
    <w:rsid w:val="00BF4E43"/>
    <w:rsid w:val="00BF5C4C"/>
    <w:rsid w:val="00BF765C"/>
    <w:rsid w:val="00BF77FC"/>
    <w:rsid w:val="00C006D6"/>
    <w:rsid w:val="00C00BD7"/>
    <w:rsid w:val="00C01410"/>
    <w:rsid w:val="00C024BB"/>
    <w:rsid w:val="00C02D23"/>
    <w:rsid w:val="00C03D4D"/>
    <w:rsid w:val="00C044F4"/>
    <w:rsid w:val="00C04B78"/>
    <w:rsid w:val="00C052AA"/>
    <w:rsid w:val="00C06EE3"/>
    <w:rsid w:val="00C07279"/>
    <w:rsid w:val="00C07749"/>
    <w:rsid w:val="00C07C2F"/>
    <w:rsid w:val="00C07C67"/>
    <w:rsid w:val="00C10805"/>
    <w:rsid w:val="00C11244"/>
    <w:rsid w:val="00C118A9"/>
    <w:rsid w:val="00C11D48"/>
    <w:rsid w:val="00C12304"/>
    <w:rsid w:val="00C12316"/>
    <w:rsid w:val="00C1246C"/>
    <w:rsid w:val="00C1493E"/>
    <w:rsid w:val="00C15537"/>
    <w:rsid w:val="00C15DBD"/>
    <w:rsid w:val="00C161C5"/>
    <w:rsid w:val="00C172F7"/>
    <w:rsid w:val="00C2010D"/>
    <w:rsid w:val="00C20CB5"/>
    <w:rsid w:val="00C21430"/>
    <w:rsid w:val="00C216DF"/>
    <w:rsid w:val="00C21E61"/>
    <w:rsid w:val="00C21F94"/>
    <w:rsid w:val="00C224BD"/>
    <w:rsid w:val="00C2272B"/>
    <w:rsid w:val="00C234DB"/>
    <w:rsid w:val="00C23C5C"/>
    <w:rsid w:val="00C2479A"/>
    <w:rsid w:val="00C24903"/>
    <w:rsid w:val="00C2590D"/>
    <w:rsid w:val="00C25D9C"/>
    <w:rsid w:val="00C26086"/>
    <w:rsid w:val="00C27913"/>
    <w:rsid w:val="00C27FA7"/>
    <w:rsid w:val="00C300E2"/>
    <w:rsid w:val="00C31F21"/>
    <w:rsid w:val="00C32631"/>
    <w:rsid w:val="00C33301"/>
    <w:rsid w:val="00C33311"/>
    <w:rsid w:val="00C33B68"/>
    <w:rsid w:val="00C34AD4"/>
    <w:rsid w:val="00C35570"/>
    <w:rsid w:val="00C3579B"/>
    <w:rsid w:val="00C35A2A"/>
    <w:rsid w:val="00C36A79"/>
    <w:rsid w:val="00C401A9"/>
    <w:rsid w:val="00C401D2"/>
    <w:rsid w:val="00C4031A"/>
    <w:rsid w:val="00C405D4"/>
    <w:rsid w:val="00C419D5"/>
    <w:rsid w:val="00C41D54"/>
    <w:rsid w:val="00C42EBB"/>
    <w:rsid w:val="00C435E8"/>
    <w:rsid w:val="00C4513B"/>
    <w:rsid w:val="00C475E8"/>
    <w:rsid w:val="00C50E79"/>
    <w:rsid w:val="00C5197D"/>
    <w:rsid w:val="00C525FB"/>
    <w:rsid w:val="00C527AD"/>
    <w:rsid w:val="00C5390B"/>
    <w:rsid w:val="00C540D3"/>
    <w:rsid w:val="00C54257"/>
    <w:rsid w:val="00C54697"/>
    <w:rsid w:val="00C550CE"/>
    <w:rsid w:val="00C553A5"/>
    <w:rsid w:val="00C55402"/>
    <w:rsid w:val="00C5603B"/>
    <w:rsid w:val="00C6020C"/>
    <w:rsid w:val="00C60AE3"/>
    <w:rsid w:val="00C61F47"/>
    <w:rsid w:val="00C62828"/>
    <w:rsid w:val="00C63132"/>
    <w:rsid w:val="00C655DA"/>
    <w:rsid w:val="00C672C1"/>
    <w:rsid w:val="00C706D2"/>
    <w:rsid w:val="00C715CC"/>
    <w:rsid w:val="00C719A3"/>
    <w:rsid w:val="00C71D2F"/>
    <w:rsid w:val="00C72984"/>
    <w:rsid w:val="00C72BC7"/>
    <w:rsid w:val="00C73885"/>
    <w:rsid w:val="00C73C93"/>
    <w:rsid w:val="00C7435A"/>
    <w:rsid w:val="00C747B1"/>
    <w:rsid w:val="00C75510"/>
    <w:rsid w:val="00C755F9"/>
    <w:rsid w:val="00C75752"/>
    <w:rsid w:val="00C75B60"/>
    <w:rsid w:val="00C761EC"/>
    <w:rsid w:val="00C770C9"/>
    <w:rsid w:val="00C8019E"/>
    <w:rsid w:val="00C81070"/>
    <w:rsid w:val="00C8174E"/>
    <w:rsid w:val="00C82191"/>
    <w:rsid w:val="00C83134"/>
    <w:rsid w:val="00C831E7"/>
    <w:rsid w:val="00C832F3"/>
    <w:rsid w:val="00C84307"/>
    <w:rsid w:val="00C845A4"/>
    <w:rsid w:val="00C8504C"/>
    <w:rsid w:val="00C85545"/>
    <w:rsid w:val="00C855B5"/>
    <w:rsid w:val="00C85F0E"/>
    <w:rsid w:val="00C867F9"/>
    <w:rsid w:val="00C872AA"/>
    <w:rsid w:val="00C87C6B"/>
    <w:rsid w:val="00C90357"/>
    <w:rsid w:val="00C90CF4"/>
    <w:rsid w:val="00C91C20"/>
    <w:rsid w:val="00C922DE"/>
    <w:rsid w:val="00C92843"/>
    <w:rsid w:val="00C929FE"/>
    <w:rsid w:val="00C92EB6"/>
    <w:rsid w:val="00C93389"/>
    <w:rsid w:val="00C948E6"/>
    <w:rsid w:val="00C94CDD"/>
    <w:rsid w:val="00C95123"/>
    <w:rsid w:val="00C97588"/>
    <w:rsid w:val="00CA0346"/>
    <w:rsid w:val="00CA0649"/>
    <w:rsid w:val="00CA0BD5"/>
    <w:rsid w:val="00CA0DA1"/>
    <w:rsid w:val="00CA1BD6"/>
    <w:rsid w:val="00CA2D95"/>
    <w:rsid w:val="00CA37FF"/>
    <w:rsid w:val="00CA423A"/>
    <w:rsid w:val="00CA47BC"/>
    <w:rsid w:val="00CA5EAD"/>
    <w:rsid w:val="00CA6AB4"/>
    <w:rsid w:val="00CA7255"/>
    <w:rsid w:val="00CA79E2"/>
    <w:rsid w:val="00CA7E12"/>
    <w:rsid w:val="00CB111E"/>
    <w:rsid w:val="00CB18B2"/>
    <w:rsid w:val="00CB1BEE"/>
    <w:rsid w:val="00CB2351"/>
    <w:rsid w:val="00CB2BF7"/>
    <w:rsid w:val="00CB3605"/>
    <w:rsid w:val="00CB4022"/>
    <w:rsid w:val="00CB4257"/>
    <w:rsid w:val="00CB4930"/>
    <w:rsid w:val="00CB4BA9"/>
    <w:rsid w:val="00CB4C48"/>
    <w:rsid w:val="00CB4C63"/>
    <w:rsid w:val="00CB5A48"/>
    <w:rsid w:val="00CB5E10"/>
    <w:rsid w:val="00CB613B"/>
    <w:rsid w:val="00CB6152"/>
    <w:rsid w:val="00CB64E1"/>
    <w:rsid w:val="00CB6C6F"/>
    <w:rsid w:val="00CB6E4D"/>
    <w:rsid w:val="00CC009B"/>
    <w:rsid w:val="00CC0834"/>
    <w:rsid w:val="00CC0AEA"/>
    <w:rsid w:val="00CC20FE"/>
    <w:rsid w:val="00CC225C"/>
    <w:rsid w:val="00CC2E7D"/>
    <w:rsid w:val="00CC469E"/>
    <w:rsid w:val="00CC5BE8"/>
    <w:rsid w:val="00CC612B"/>
    <w:rsid w:val="00CC655F"/>
    <w:rsid w:val="00CC66F9"/>
    <w:rsid w:val="00CC6C2A"/>
    <w:rsid w:val="00CC6FE5"/>
    <w:rsid w:val="00CC7458"/>
    <w:rsid w:val="00CC76BD"/>
    <w:rsid w:val="00CC7A87"/>
    <w:rsid w:val="00CD08BF"/>
    <w:rsid w:val="00CD0D6B"/>
    <w:rsid w:val="00CD1060"/>
    <w:rsid w:val="00CD10A5"/>
    <w:rsid w:val="00CD1129"/>
    <w:rsid w:val="00CD1A80"/>
    <w:rsid w:val="00CD1CB5"/>
    <w:rsid w:val="00CD2076"/>
    <w:rsid w:val="00CD24CE"/>
    <w:rsid w:val="00CD29B5"/>
    <w:rsid w:val="00CD2B78"/>
    <w:rsid w:val="00CD3866"/>
    <w:rsid w:val="00CD3FAB"/>
    <w:rsid w:val="00CD5456"/>
    <w:rsid w:val="00CD5C3E"/>
    <w:rsid w:val="00CD5C57"/>
    <w:rsid w:val="00CD5EE0"/>
    <w:rsid w:val="00CD6331"/>
    <w:rsid w:val="00CD7E9E"/>
    <w:rsid w:val="00CE12FB"/>
    <w:rsid w:val="00CE14BE"/>
    <w:rsid w:val="00CE17A4"/>
    <w:rsid w:val="00CE1BA9"/>
    <w:rsid w:val="00CE2D8F"/>
    <w:rsid w:val="00CE3532"/>
    <w:rsid w:val="00CE3E48"/>
    <w:rsid w:val="00CE46C0"/>
    <w:rsid w:val="00CE47B8"/>
    <w:rsid w:val="00CE54FD"/>
    <w:rsid w:val="00CE5C92"/>
    <w:rsid w:val="00CE5E12"/>
    <w:rsid w:val="00CE62FA"/>
    <w:rsid w:val="00CE670B"/>
    <w:rsid w:val="00CE6833"/>
    <w:rsid w:val="00CE7562"/>
    <w:rsid w:val="00CF020B"/>
    <w:rsid w:val="00CF0E03"/>
    <w:rsid w:val="00CF15BF"/>
    <w:rsid w:val="00CF2E4D"/>
    <w:rsid w:val="00CF35A7"/>
    <w:rsid w:val="00CF4205"/>
    <w:rsid w:val="00CF4908"/>
    <w:rsid w:val="00CF51EC"/>
    <w:rsid w:val="00CF545D"/>
    <w:rsid w:val="00CF5873"/>
    <w:rsid w:val="00CF6AB7"/>
    <w:rsid w:val="00CF73AE"/>
    <w:rsid w:val="00CF7777"/>
    <w:rsid w:val="00D0085A"/>
    <w:rsid w:val="00D0197F"/>
    <w:rsid w:val="00D01B31"/>
    <w:rsid w:val="00D0242D"/>
    <w:rsid w:val="00D02716"/>
    <w:rsid w:val="00D03842"/>
    <w:rsid w:val="00D03A72"/>
    <w:rsid w:val="00D040DD"/>
    <w:rsid w:val="00D04134"/>
    <w:rsid w:val="00D05C65"/>
    <w:rsid w:val="00D06B56"/>
    <w:rsid w:val="00D06D68"/>
    <w:rsid w:val="00D075BE"/>
    <w:rsid w:val="00D0761D"/>
    <w:rsid w:val="00D07AFF"/>
    <w:rsid w:val="00D07CC2"/>
    <w:rsid w:val="00D10C15"/>
    <w:rsid w:val="00D11011"/>
    <w:rsid w:val="00D11476"/>
    <w:rsid w:val="00D12C25"/>
    <w:rsid w:val="00D133B4"/>
    <w:rsid w:val="00D13986"/>
    <w:rsid w:val="00D13F3E"/>
    <w:rsid w:val="00D14C5B"/>
    <w:rsid w:val="00D15D3A"/>
    <w:rsid w:val="00D15FED"/>
    <w:rsid w:val="00D16712"/>
    <w:rsid w:val="00D174E0"/>
    <w:rsid w:val="00D214EF"/>
    <w:rsid w:val="00D215B0"/>
    <w:rsid w:val="00D21B36"/>
    <w:rsid w:val="00D21D6D"/>
    <w:rsid w:val="00D21D83"/>
    <w:rsid w:val="00D22A47"/>
    <w:rsid w:val="00D235B7"/>
    <w:rsid w:val="00D23A99"/>
    <w:rsid w:val="00D23FAE"/>
    <w:rsid w:val="00D25F28"/>
    <w:rsid w:val="00D26071"/>
    <w:rsid w:val="00D260C7"/>
    <w:rsid w:val="00D26133"/>
    <w:rsid w:val="00D269B9"/>
    <w:rsid w:val="00D26E6B"/>
    <w:rsid w:val="00D27973"/>
    <w:rsid w:val="00D27F07"/>
    <w:rsid w:val="00D27F3A"/>
    <w:rsid w:val="00D31537"/>
    <w:rsid w:val="00D31E1E"/>
    <w:rsid w:val="00D322A0"/>
    <w:rsid w:val="00D32824"/>
    <w:rsid w:val="00D33297"/>
    <w:rsid w:val="00D334E2"/>
    <w:rsid w:val="00D335E5"/>
    <w:rsid w:val="00D350B1"/>
    <w:rsid w:val="00D35AD6"/>
    <w:rsid w:val="00D35BBB"/>
    <w:rsid w:val="00D35E1A"/>
    <w:rsid w:val="00D36B0A"/>
    <w:rsid w:val="00D36DFB"/>
    <w:rsid w:val="00D36E1C"/>
    <w:rsid w:val="00D373AF"/>
    <w:rsid w:val="00D40556"/>
    <w:rsid w:val="00D418E9"/>
    <w:rsid w:val="00D41F74"/>
    <w:rsid w:val="00D428C8"/>
    <w:rsid w:val="00D43034"/>
    <w:rsid w:val="00D43ED2"/>
    <w:rsid w:val="00D50F46"/>
    <w:rsid w:val="00D5302A"/>
    <w:rsid w:val="00D533C4"/>
    <w:rsid w:val="00D5384E"/>
    <w:rsid w:val="00D544E7"/>
    <w:rsid w:val="00D5499F"/>
    <w:rsid w:val="00D5560A"/>
    <w:rsid w:val="00D56FBF"/>
    <w:rsid w:val="00D57677"/>
    <w:rsid w:val="00D5781F"/>
    <w:rsid w:val="00D60415"/>
    <w:rsid w:val="00D60DAE"/>
    <w:rsid w:val="00D60E3C"/>
    <w:rsid w:val="00D60FA7"/>
    <w:rsid w:val="00D61FAB"/>
    <w:rsid w:val="00D62C4E"/>
    <w:rsid w:val="00D63BE5"/>
    <w:rsid w:val="00D6475F"/>
    <w:rsid w:val="00D652EB"/>
    <w:rsid w:val="00D655D4"/>
    <w:rsid w:val="00D66223"/>
    <w:rsid w:val="00D667B8"/>
    <w:rsid w:val="00D67D55"/>
    <w:rsid w:val="00D70289"/>
    <w:rsid w:val="00D7041F"/>
    <w:rsid w:val="00D70822"/>
    <w:rsid w:val="00D72076"/>
    <w:rsid w:val="00D721B4"/>
    <w:rsid w:val="00D726A9"/>
    <w:rsid w:val="00D72DBA"/>
    <w:rsid w:val="00D743E0"/>
    <w:rsid w:val="00D7469D"/>
    <w:rsid w:val="00D7490C"/>
    <w:rsid w:val="00D75AC1"/>
    <w:rsid w:val="00D77252"/>
    <w:rsid w:val="00D8084C"/>
    <w:rsid w:val="00D81809"/>
    <w:rsid w:val="00D82EF1"/>
    <w:rsid w:val="00D84CC9"/>
    <w:rsid w:val="00D84F43"/>
    <w:rsid w:val="00D85114"/>
    <w:rsid w:val="00D85821"/>
    <w:rsid w:val="00D8598C"/>
    <w:rsid w:val="00D87C06"/>
    <w:rsid w:val="00D915EA"/>
    <w:rsid w:val="00D919ED"/>
    <w:rsid w:val="00D922A1"/>
    <w:rsid w:val="00D928BE"/>
    <w:rsid w:val="00D92CD7"/>
    <w:rsid w:val="00D932B8"/>
    <w:rsid w:val="00D932F0"/>
    <w:rsid w:val="00D95302"/>
    <w:rsid w:val="00D95889"/>
    <w:rsid w:val="00D95C5D"/>
    <w:rsid w:val="00D95CBE"/>
    <w:rsid w:val="00D95E7F"/>
    <w:rsid w:val="00D97D00"/>
    <w:rsid w:val="00DA0121"/>
    <w:rsid w:val="00DA096C"/>
    <w:rsid w:val="00DA1AB6"/>
    <w:rsid w:val="00DA2E65"/>
    <w:rsid w:val="00DA37DE"/>
    <w:rsid w:val="00DA3ADF"/>
    <w:rsid w:val="00DA4174"/>
    <w:rsid w:val="00DA544C"/>
    <w:rsid w:val="00DA5F8E"/>
    <w:rsid w:val="00DA6364"/>
    <w:rsid w:val="00DA7114"/>
    <w:rsid w:val="00DA7C0C"/>
    <w:rsid w:val="00DA7E2F"/>
    <w:rsid w:val="00DB03DD"/>
    <w:rsid w:val="00DB08A9"/>
    <w:rsid w:val="00DB0B33"/>
    <w:rsid w:val="00DB0FD9"/>
    <w:rsid w:val="00DB13EF"/>
    <w:rsid w:val="00DB2DFA"/>
    <w:rsid w:val="00DB2EC8"/>
    <w:rsid w:val="00DB321D"/>
    <w:rsid w:val="00DB459B"/>
    <w:rsid w:val="00DB47FD"/>
    <w:rsid w:val="00DB5E3A"/>
    <w:rsid w:val="00DB5E9A"/>
    <w:rsid w:val="00DB613B"/>
    <w:rsid w:val="00DB657E"/>
    <w:rsid w:val="00DB7342"/>
    <w:rsid w:val="00DB7489"/>
    <w:rsid w:val="00DC0B4D"/>
    <w:rsid w:val="00DC0CBB"/>
    <w:rsid w:val="00DC17D0"/>
    <w:rsid w:val="00DC1E5D"/>
    <w:rsid w:val="00DC2B41"/>
    <w:rsid w:val="00DC2EA7"/>
    <w:rsid w:val="00DC3128"/>
    <w:rsid w:val="00DC435B"/>
    <w:rsid w:val="00DC4AC4"/>
    <w:rsid w:val="00DC53D8"/>
    <w:rsid w:val="00DC56FE"/>
    <w:rsid w:val="00DC5B3B"/>
    <w:rsid w:val="00DC5F11"/>
    <w:rsid w:val="00DC6C2D"/>
    <w:rsid w:val="00DC7B1A"/>
    <w:rsid w:val="00DD04B0"/>
    <w:rsid w:val="00DD129F"/>
    <w:rsid w:val="00DD13FC"/>
    <w:rsid w:val="00DD1A3F"/>
    <w:rsid w:val="00DD29B5"/>
    <w:rsid w:val="00DD32DD"/>
    <w:rsid w:val="00DD33E8"/>
    <w:rsid w:val="00DD5287"/>
    <w:rsid w:val="00DD5B36"/>
    <w:rsid w:val="00DD7849"/>
    <w:rsid w:val="00DE03DE"/>
    <w:rsid w:val="00DE0D8B"/>
    <w:rsid w:val="00DE1237"/>
    <w:rsid w:val="00DE140F"/>
    <w:rsid w:val="00DE17E9"/>
    <w:rsid w:val="00DE2491"/>
    <w:rsid w:val="00DE273F"/>
    <w:rsid w:val="00DE27CD"/>
    <w:rsid w:val="00DE2B97"/>
    <w:rsid w:val="00DE3231"/>
    <w:rsid w:val="00DE3E22"/>
    <w:rsid w:val="00DE3E5D"/>
    <w:rsid w:val="00DE450F"/>
    <w:rsid w:val="00DE4865"/>
    <w:rsid w:val="00DE5CA6"/>
    <w:rsid w:val="00DE5E55"/>
    <w:rsid w:val="00DE6209"/>
    <w:rsid w:val="00DE63AE"/>
    <w:rsid w:val="00DE7156"/>
    <w:rsid w:val="00DE7AC8"/>
    <w:rsid w:val="00DF0830"/>
    <w:rsid w:val="00DF1D57"/>
    <w:rsid w:val="00DF2C5D"/>
    <w:rsid w:val="00DF2CD3"/>
    <w:rsid w:val="00DF3643"/>
    <w:rsid w:val="00DF42FF"/>
    <w:rsid w:val="00DF4369"/>
    <w:rsid w:val="00DF4423"/>
    <w:rsid w:val="00DF4ADF"/>
    <w:rsid w:val="00DF57D6"/>
    <w:rsid w:val="00DF5D1E"/>
    <w:rsid w:val="00DF77E4"/>
    <w:rsid w:val="00DF7F88"/>
    <w:rsid w:val="00E00B88"/>
    <w:rsid w:val="00E01C0E"/>
    <w:rsid w:val="00E0368F"/>
    <w:rsid w:val="00E03D73"/>
    <w:rsid w:val="00E03F9A"/>
    <w:rsid w:val="00E040DA"/>
    <w:rsid w:val="00E04694"/>
    <w:rsid w:val="00E05333"/>
    <w:rsid w:val="00E1168B"/>
    <w:rsid w:val="00E12191"/>
    <w:rsid w:val="00E129E7"/>
    <w:rsid w:val="00E12ABE"/>
    <w:rsid w:val="00E12B1E"/>
    <w:rsid w:val="00E135EB"/>
    <w:rsid w:val="00E13995"/>
    <w:rsid w:val="00E1444C"/>
    <w:rsid w:val="00E159C6"/>
    <w:rsid w:val="00E17262"/>
    <w:rsid w:val="00E17F36"/>
    <w:rsid w:val="00E20016"/>
    <w:rsid w:val="00E2009B"/>
    <w:rsid w:val="00E20BB9"/>
    <w:rsid w:val="00E20BCC"/>
    <w:rsid w:val="00E2251C"/>
    <w:rsid w:val="00E2363D"/>
    <w:rsid w:val="00E23C6A"/>
    <w:rsid w:val="00E2484B"/>
    <w:rsid w:val="00E253A2"/>
    <w:rsid w:val="00E260F6"/>
    <w:rsid w:val="00E27127"/>
    <w:rsid w:val="00E27233"/>
    <w:rsid w:val="00E274BB"/>
    <w:rsid w:val="00E30F15"/>
    <w:rsid w:val="00E31771"/>
    <w:rsid w:val="00E3186D"/>
    <w:rsid w:val="00E31A3E"/>
    <w:rsid w:val="00E32080"/>
    <w:rsid w:val="00E32778"/>
    <w:rsid w:val="00E3309D"/>
    <w:rsid w:val="00E34E3F"/>
    <w:rsid w:val="00E350B1"/>
    <w:rsid w:val="00E35A53"/>
    <w:rsid w:val="00E3634A"/>
    <w:rsid w:val="00E3656B"/>
    <w:rsid w:val="00E3712B"/>
    <w:rsid w:val="00E3724A"/>
    <w:rsid w:val="00E378B1"/>
    <w:rsid w:val="00E41131"/>
    <w:rsid w:val="00E41179"/>
    <w:rsid w:val="00E417BE"/>
    <w:rsid w:val="00E41CD5"/>
    <w:rsid w:val="00E42054"/>
    <w:rsid w:val="00E4372D"/>
    <w:rsid w:val="00E43A9E"/>
    <w:rsid w:val="00E44243"/>
    <w:rsid w:val="00E453F9"/>
    <w:rsid w:val="00E45D7D"/>
    <w:rsid w:val="00E4623F"/>
    <w:rsid w:val="00E4665D"/>
    <w:rsid w:val="00E47854"/>
    <w:rsid w:val="00E478E2"/>
    <w:rsid w:val="00E47C5D"/>
    <w:rsid w:val="00E47EBA"/>
    <w:rsid w:val="00E50156"/>
    <w:rsid w:val="00E504EB"/>
    <w:rsid w:val="00E5076C"/>
    <w:rsid w:val="00E50D2E"/>
    <w:rsid w:val="00E50D7D"/>
    <w:rsid w:val="00E51EF0"/>
    <w:rsid w:val="00E53470"/>
    <w:rsid w:val="00E5368D"/>
    <w:rsid w:val="00E539F6"/>
    <w:rsid w:val="00E54698"/>
    <w:rsid w:val="00E54BE9"/>
    <w:rsid w:val="00E54D22"/>
    <w:rsid w:val="00E54FB4"/>
    <w:rsid w:val="00E5539A"/>
    <w:rsid w:val="00E55791"/>
    <w:rsid w:val="00E55E1A"/>
    <w:rsid w:val="00E578A2"/>
    <w:rsid w:val="00E579ED"/>
    <w:rsid w:val="00E60043"/>
    <w:rsid w:val="00E61740"/>
    <w:rsid w:val="00E61EB5"/>
    <w:rsid w:val="00E6324D"/>
    <w:rsid w:val="00E647C1"/>
    <w:rsid w:val="00E65084"/>
    <w:rsid w:val="00E6519D"/>
    <w:rsid w:val="00E66062"/>
    <w:rsid w:val="00E6660E"/>
    <w:rsid w:val="00E66768"/>
    <w:rsid w:val="00E67305"/>
    <w:rsid w:val="00E67696"/>
    <w:rsid w:val="00E709AF"/>
    <w:rsid w:val="00E70C5F"/>
    <w:rsid w:val="00E71A58"/>
    <w:rsid w:val="00E728D7"/>
    <w:rsid w:val="00E72A26"/>
    <w:rsid w:val="00E72A7A"/>
    <w:rsid w:val="00E7335A"/>
    <w:rsid w:val="00E73986"/>
    <w:rsid w:val="00E7467D"/>
    <w:rsid w:val="00E747DC"/>
    <w:rsid w:val="00E74A2D"/>
    <w:rsid w:val="00E75C94"/>
    <w:rsid w:val="00E76A08"/>
    <w:rsid w:val="00E76B9B"/>
    <w:rsid w:val="00E76E61"/>
    <w:rsid w:val="00E76EE4"/>
    <w:rsid w:val="00E77CC0"/>
    <w:rsid w:val="00E80B3D"/>
    <w:rsid w:val="00E80CA3"/>
    <w:rsid w:val="00E81AAA"/>
    <w:rsid w:val="00E82618"/>
    <w:rsid w:val="00E82A42"/>
    <w:rsid w:val="00E82AB6"/>
    <w:rsid w:val="00E84E09"/>
    <w:rsid w:val="00E87CE2"/>
    <w:rsid w:val="00E87D5B"/>
    <w:rsid w:val="00E90CA8"/>
    <w:rsid w:val="00E911C6"/>
    <w:rsid w:val="00E920DE"/>
    <w:rsid w:val="00E930A1"/>
    <w:rsid w:val="00E93820"/>
    <w:rsid w:val="00E93FD5"/>
    <w:rsid w:val="00E94A86"/>
    <w:rsid w:val="00E951AB"/>
    <w:rsid w:val="00E953F6"/>
    <w:rsid w:val="00E96143"/>
    <w:rsid w:val="00E96833"/>
    <w:rsid w:val="00E97506"/>
    <w:rsid w:val="00E97BB5"/>
    <w:rsid w:val="00E97D5B"/>
    <w:rsid w:val="00E97F14"/>
    <w:rsid w:val="00EA0B1A"/>
    <w:rsid w:val="00EA0C68"/>
    <w:rsid w:val="00EA0E39"/>
    <w:rsid w:val="00EA1D0E"/>
    <w:rsid w:val="00EA1EBB"/>
    <w:rsid w:val="00EA2072"/>
    <w:rsid w:val="00EA2841"/>
    <w:rsid w:val="00EA32BC"/>
    <w:rsid w:val="00EA35A7"/>
    <w:rsid w:val="00EA3B32"/>
    <w:rsid w:val="00EA3CEB"/>
    <w:rsid w:val="00EA3D05"/>
    <w:rsid w:val="00EA4222"/>
    <w:rsid w:val="00EA4402"/>
    <w:rsid w:val="00EA4B8D"/>
    <w:rsid w:val="00EA513E"/>
    <w:rsid w:val="00EA7419"/>
    <w:rsid w:val="00EB0E32"/>
    <w:rsid w:val="00EB1CDC"/>
    <w:rsid w:val="00EB1D89"/>
    <w:rsid w:val="00EB3E60"/>
    <w:rsid w:val="00EB4511"/>
    <w:rsid w:val="00EB48D7"/>
    <w:rsid w:val="00EB49F1"/>
    <w:rsid w:val="00EB4A8E"/>
    <w:rsid w:val="00EB4BC5"/>
    <w:rsid w:val="00EB5BF7"/>
    <w:rsid w:val="00EB5E79"/>
    <w:rsid w:val="00EB6473"/>
    <w:rsid w:val="00EB6DA6"/>
    <w:rsid w:val="00EB6FAC"/>
    <w:rsid w:val="00EB7BAC"/>
    <w:rsid w:val="00EB7CC9"/>
    <w:rsid w:val="00EC03D7"/>
    <w:rsid w:val="00EC13A7"/>
    <w:rsid w:val="00EC189D"/>
    <w:rsid w:val="00EC2EB6"/>
    <w:rsid w:val="00EC4FFF"/>
    <w:rsid w:val="00EC5517"/>
    <w:rsid w:val="00EC6E8C"/>
    <w:rsid w:val="00ED0962"/>
    <w:rsid w:val="00ED0EF0"/>
    <w:rsid w:val="00ED0F73"/>
    <w:rsid w:val="00ED12B9"/>
    <w:rsid w:val="00ED16B8"/>
    <w:rsid w:val="00ED1959"/>
    <w:rsid w:val="00ED1A00"/>
    <w:rsid w:val="00ED1DF0"/>
    <w:rsid w:val="00ED2386"/>
    <w:rsid w:val="00ED2525"/>
    <w:rsid w:val="00ED2EA1"/>
    <w:rsid w:val="00ED3851"/>
    <w:rsid w:val="00ED3E51"/>
    <w:rsid w:val="00ED3F10"/>
    <w:rsid w:val="00ED3F9B"/>
    <w:rsid w:val="00ED3FB3"/>
    <w:rsid w:val="00ED4D04"/>
    <w:rsid w:val="00ED566D"/>
    <w:rsid w:val="00ED5907"/>
    <w:rsid w:val="00ED5F5B"/>
    <w:rsid w:val="00ED62C6"/>
    <w:rsid w:val="00ED64C1"/>
    <w:rsid w:val="00ED781F"/>
    <w:rsid w:val="00EE0E7E"/>
    <w:rsid w:val="00EE249F"/>
    <w:rsid w:val="00EE2EB4"/>
    <w:rsid w:val="00EE3446"/>
    <w:rsid w:val="00EE3E78"/>
    <w:rsid w:val="00EE41FD"/>
    <w:rsid w:val="00EE460E"/>
    <w:rsid w:val="00EE4B1B"/>
    <w:rsid w:val="00EE5FBA"/>
    <w:rsid w:val="00EE601C"/>
    <w:rsid w:val="00EE6A09"/>
    <w:rsid w:val="00EE6E06"/>
    <w:rsid w:val="00EE7179"/>
    <w:rsid w:val="00EF0D90"/>
    <w:rsid w:val="00EF150D"/>
    <w:rsid w:val="00EF1967"/>
    <w:rsid w:val="00EF1F5A"/>
    <w:rsid w:val="00EF23B5"/>
    <w:rsid w:val="00EF326A"/>
    <w:rsid w:val="00EF3898"/>
    <w:rsid w:val="00EF47BF"/>
    <w:rsid w:val="00EF52F7"/>
    <w:rsid w:val="00EF54CF"/>
    <w:rsid w:val="00EF59B1"/>
    <w:rsid w:val="00EF5A13"/>
    <w:rsid w:val="00EF5FF9"/>
    <w:rsid w:val="00EF77D4"/>
    <w:rsid w:val="00EF7CC7"/>
    <w:rsid w:val="00F00535"/>
    <w:rsid w:val="00F00853"/>
    <w:rsid w:val="00F00866"/>
    <w:rsid w:val="00F00EC8"/>
    <w:rsid w:val="00F0160B"/>
    <w:rsid w:val="00F0193E"/>
    <w:rsid w:val="00F03E2F"/>
    <w:rsid w:val="00F03F8D"/>
    <w:rsid w:val="00F04811"/>
    <w:rsid w:val="00F0488C"/>
    <w:rsid w:val="00F04955"/>
    <w:rsid w:val="00F052D2"/>
    <w:rsid w:val="00F06002"/>
    <w:rsid w:val="00F067B8"/>
    <w:rsid w:val="00F0730A"/>
    <w:rsid w:val="00F073ED"/>
    <w:rsid w:val="00F07C4C"/>
    <w:rsid w:val="00F07E45"/>
    <w:rsid w:val="00F10F11"/>
    <w:rsid w:val="00F11159"/>
    <w:rsid w:val="00F1152E"/>
    <w:rsid w:val="00F115E4"/>
    <w:rsid w:val="00F11AC4"/>
    <w:rsid w:val="00F11FDC"/>
    <w:rsid w:val="00F120A5"/>
    <w:rsid w:val="00F12CFB"/>
    <w:rsid w:val="00F13E60"/>
    <w:rsid w:val="00F13FDB"/>
    <w:rsid w:val="00F15AAA"/>
    <w:rsid w:val="00F15BEF"/>
    <w:rsid w:val="00F1770C"/>
    <w:rsid w:val="00F17898"/>
    <w:rsid w:val="00F204BF"/>
    <w:rsid w:val="00F207C2"/>
    <w:rsid w:val="00F21337"/>
    <w:rsid w:val="00F219A1"/>
    <w:rsid w:val="00F23927"/>
    <w:rsid w:val="00F23E20"/>
    <w:rsid w:val="00F24407"/>
    <w:rsid w:val="00F249CE"/>
    <w:rsid w:val="00F24FAA"/>
    <w:rsid w:val="00F25040"/>
    <w:rsid w:val="00F269D7"/>
    <w:rsid w:val="00F26FB5"/>
    <w:rsid w:val="00F27071"/>
    <w:rsid w:val="00F27331"/>
    <w:rsid w:val="00F276D3"/>
    <w:rsid w:val="00F27EE5"/>
    <w:rsid w:val="00F27FB1"/>
    <w:rsid w:val="00F27FD6"/>
    <w:rsid w:val="00F307CB"/>
    <w:rsid w:val="00F30C0C"/>
    <w:rsid w:val="00F30C65"/>
    <w:rsid w:val="00F321D2"/>
    <w:rsid w:val="00F32649"/>
    <w:rsid w:val="00F33523"/>
    <w:rsid w:val="00F3364D"/>
    <w:rsid w:val="00F33914"/>
    <w:rsid w:val="00F349BF"/>
    <w:rsid w:val="00F34DDC"/>
    <w:rsid w:val="00F36191"/>
    <w:rsid w:val="00F3629F"/>
    <w:rsid w:val="00F36DF3"/>
    <w:rsid w:val="00F37362"/>
    <w:rsid w:val="00F37EDC"/>
    <w:rsid w:val="00F437CC"/>
    <w:rsid w:val="00F442E7"/>
    <w:rsid w:val="00F44537"/>
    <w:rsid w:val="00F46185"/>
    <w:rsid w:val="00F46423"/>
    <w:rsid w:val="00F4696A"/>
    <w:rsid w:val="00F47067"/>
    <w:rsid w:val="00F47234"/>
    <w:rsid w:val="00F51ADD"/>
    <w:rsid w:val="00F525AB"/>
    <w:rsid w:val="00F525EB"/>
    <w:rsid w:val="00F52CB5"/>
    <w:rsid w:val="00F53378"/>
    <w:rsid w:val="00F53917"/>
    <w:rsid w:val="00F53A68"/>
    <w:rsid w:val="00F54934"/>
    <w:rsid w:val="00F55A92"/>
    <w:rsid w:val="00F5615B"/>
    <w:rsid w:val="00F575D3"/>
    <w:rsid w:val="00F57983"/>
    <w:rsid w:val="00F57A76"/>
    <w:rsid w:val="00F57D57"/>
    <w:rsid w:val="00F6178B"/>
    <w:rsid w:val="00F62BFF"/>
    <w:rsid w:val="00F62CCE"/>
    <w:rsid w:val="00F63092"/>
    <w:rsid w:val="00F63AAE"/>
    <w:rsid w:val="00F63DDE"/>
    <w:rsid w:val="00F63FB7"/>
    <w:rsid w:val="00F6421B"/>
    <w:rsid w:val="00F647F1"/>
    <w:rsid w:val="00F649D2"/>
    <w:rsid w:val="00F64D5A"/>
    <w:rsid w:val="00F6602B"/>
    <w:rsid w:val="00F6799D"/>
    <w:rsid w:val="00F7150B"/>
    <w:rsid w:val="00F717E4"/>
    <w:rsid w:val="00F71DE6"/>
    <w:rsid w:val="00F72D71"/>
    <w:rsid w:val="00F7381C"/>
    <w:rsid w:val="00F73A0C"/>
    <w:rsid w:val="00F752DC"/>
    <w:rsid w:val="00F7549F"/>
    <w:rsid w:val="00F756DB"/>
    <w:rsid w:val="00F766BE"/>
    <w:rsid w:val="00F767A8"/>
    <w:rsid w:val="00F77590"/>
    <w:rsid w:val="00F77A50"/>
    <w:rsid w:val="00F82D14"/>
    <w:rsid w:val="00F84E7D"/>
    <w:rsid w:val="00F85066"/>
    <w:rsid w:val="00F874F8"/>
    <w:rsid w:val="00F87A4D"/>
    <w:rsid w:val="00F90EEB"/>
    <w:rsid w:val="00F9135C"/>
    <w:rsid w:val="00F91B66"/>
    <w:rsid w:val="00F9354A"/>
    <w:rsid w:val="00F93688"/>
    <w:rsid w:val="00F939F3"/>
    <w:rsid w:val="00F93C6E"/>
    <w:rsid w:val="00F93F2C"/>
    <w:rsid w:val="00F947E9"/>
    <w:rsid w:val="00F962AD"/>
    <w:rsid w:val="00F9644E"/>
    <w:rsid w:val="00FA0105"/>
    <w:rsid w:val="00FA05A0"/>
    <w:rsid w:val="00FA0AEF"/>
    <w:rsid w:val="00FA17CC"/>
    <w:rsid w:val="00FA1CFE"/>
    <w:rsid w:val="00FA1EE7"/>
    <w:rsid w:val="00FA1F01"/>
    <w:rsid w:val="00FA26DF"/>
    <w:rsid w:val="00FA2C07"/>
    <w:rsid w:val="00FA32BC"/>
    <w:rsid w:val="00FA3FA8"/>
    <w:rsid w:val="00FA4059"/>
    <w:rsid w:val="00FA4574"/>
    <w:rsid w:val="00FA48A4"/>
    <w:rsid w:val="00FA4CB7"/>
    <w:rsid w:val="00FA5112"/>
    <w:rsid w:val="00FA5526"/>
    <w:rsid w:val="00FA5D4D"/>
    <w:rsid w:val="00FA6CB6"/>
    <w:rsid w:val="00FA70D3"/>
    <w:rsid w:val="00FA7AEC"/>
    <w:rsid w:val="00FB0AEA"/>
    <w:rsid w:val="00FB0EE2"/>
    <w:rsid w:val="00FB1A79"/>
    <w:rsid w:val="00FB1BA4"/>
    <w:rsid w:val="00FB208B"/>
    <w:rsid w:val="00FB2B2D"/>
    <w:rsid w:val="00FB542E"/>
    <w:rsid w:val="00FB5580"/>
    <w:rsid w:val="00FB564F"/>
    <w:rsid w:val="00FB7DBB"/>
    <w:rsid w:val="00FC05F8"/>
    <w:rsid w:val="00FC077B"/>
    <w:rsid w:val="00FC0E5F"/>
    <w:rsid w:val="00FC1070"/>
    <w:rsid w:val="00FC1266"/>
    <w:rsid w:val="00FC1A95"/>
    <w:rsid w:val="00FC1ED4"/>
    <w:rsid w:val="00FC3BEC"/>
    <w:rsid w:val="00FC42C5"/>
    <w:rsid w:val="00FC440B"/>
    <w:rsid w:val="00FC56DE"/>
    <w:rsid w:val="00FC63D9"/>
    <w:rsid w:val="00FC64DE"/>
    <w:rsid w:val="00FC6785"/>
    <w:rsid w:val="00FC684B"/>
    <w:rsid w:val="00FC7D98"/>
    <w:rsid w:val="00FD1135"/>
    <w:rsid w:val="00FD3265"/>
    <w:rsid w:val="00FD3CF7"/>
    <w:rsid w:val="00FD4124"/>
    <w:rsid w:val="00FD4372"/>
    <w:rsid w:val="00FD4916"/>
    <w:rsid w:val="00FD4D12"/>
    <w:rsid w:val="00FD4F73"/>
    <w:rsid w:val="00FD595E"/>
    <w:rsid w:val="00FD6667"/>
    <w:rsid w:val="00FD7802"/>
    <w:rsid w:val="00FD7D3B"/>
    <w:rsid w:val="00FD7FBE"/>
    <w:rsid w:val="00FE27C7"/>
    <w:rsid w:val="00FE2C7E"/>
    <w:rsid w:val="00FE2F78"/>
    <w:rsid w:val="00FE3137"/>
    <w:rsid w:val="00FE346B"/>
    <w:rsid w:val="00FE346F"/>
    <w:rsid w:val="00FE431E"/>
    <w:rsid w:val="00FE460E"/>
    <w:rsid w:val="00FE48E4"/>
    <w:rsid w:val="00FE5466"/>
    <w:rsid w:val="00FE634C"/>
    <w:rsid w:val="00FE6E69"/>
    <w:rsid w:val="00FE6F59"/>
    <w:rsid w:val="00FF01B6"/>
    <w:rsid w:val="00FF0989"/>
    <w:rsid w:val="00FF0F79"/>
    <w:rsid w:val="00FF1136"/>
    <w:rsid w:val="00FF3D76"/>
    <w:rsid w:val="00FF556A"/>
    <w:rsid w:val="00FF5B8C"/>
    <w:rsid w:val="00FF63E6"/>
    <w:rsid w:val="00FF72DC"/>
    <w:rsid w:val="00FF7B96"/>
    <w:rsid w:val="019CB78C"/>
    <w:rsid w:val="0241D284"/>
    <w:rsid w:val="04BD1937"/>
    <w:rsid w:val="0523CDF2"/>
    <w:rsid w:val="06B1A837"/>
    <w:rsid w:val="07FB41B9"/>
    <w:rsid w:val="08A648BF"/>
    <w:rsid w:val="08AB0269"/>
    <w:rsid w:val="0A844D4D"/>
    <w:rsid w:val="0BCD71E1"/>
    <w:rsid w:val="0EBE9DEC"/>
    <w:rsid w:val="0FBB85B6"/>
    <w:rsid w:val="12650F4E"/>
    <w:rsid w:val="1371242A"/>
    <w:rsid w:val="1394E51D"/>
    <w:rsid w:val="14DB2A87"/>
    <w:rsid w:val="15DD577B"/>
    <w:rsid w:val="16EC38E2"/>
    <w:rsid w:val="17178072"/>
    <w:rsid w:val="173F358F"/>
    <w:rsid w:val="17513AF8"/>
    <w:rsid w:val="1812CB49"/>
    <w:rsid w:val="1B53A8C8"/>
    <w:rsid w:val="1BEE6986"/>
    <w:rsid w:val="20D21749"/>
    <w:rsid w:val="2111A021"/>
    <w:rsid w:val="21BE069A"/>
    <w:rsid w:val="224238BC"/>
    <w:rsid w:val="224482AD"/>
    <w:rsid w:val="23E0530E"/>
    <w:rsid w:val="24FC0D77"/>
    <w:rsid w:val="2A0E9F3A"/>
    <w:rsid w:val="2A2A6298"/>
    <w:rsid w:val="2F72CB2D"/>
    <w:rsid w:val="3204B56C"/>
    <w:rsid w:val="36A6CB7D"/>
    <w:rsid w:val="37D604A5"/>
    <w:rsid w:val="38C72AFC"/>
    <w:rsid w:val="3A31F626"/>
    <w:rsid w:val="3AA0BED0"/>
    <w:rsid w:val="3C7646FC"/>
    <w:rsid w:val="3E4A9713"/>
    <w:rsid w:val="3E77F3B4"/>
    <w:rsid w:val="40C3BF09"/>
    <w:rsid w:val="47207A7B"/>
    <w:rsid w:val="48038D4B"/>
    <w:rsid w:val="49E8263C"/>
    <w:rsid w:val="4A567F3C"/>
    <w:rsid w:val="50A35788"/>
    <w:rsid w:val="52944939"/>
    <w:rsid w:val="53942896"/>
    <w:rsid w:val="5536E42E"/>
    <w:rsid w:val="55914544"/>
    <w:rsid w:val="581B14F9"/>
    <w:rsid w:val="58FD3BB8"/>
    <w:rsid w:val="5B145290"/>
    <w:rsid w:val="5CF587E8"/>
    <w:rsid w:val="5DD689BF"/>
    <w:rsid w:val="5E8D8646"/>
    <w:rsid w:val="60B2C930"/>
    <w:rsid w:val="64244C5C"/>
    <w:rsid w:val="64B5C10F"/>
    <w:rsid w:val="661E5011"/>
    <w:rsid w:val="67F8BB57"/>
    <w:rsid w:val="6AEA4E8B"/>
    <w:rsid w:val="6AEC8A78"/>
    <w:rsid w:val="6D951AA9"/>
    <w:rsid w:val="7059F910"/>
    <w:rsid w:val="74248E8F"/>
    <w:rsid w:val="74EA3077"/>
    <w:rsid w:val="754BB0AE"/>
    <w:rsid w:val="75B5B795"/>
    <w:rsid w:val="76D4E0D9"/>
    <w:rsid w:val="78058569"/>
    <w:rsid w:val="785B85D1"/>
    <w:rsid w:val="78E73CD1"/>
    <w:rsid w:val="78EC659F"/>
    <w:rsid w:val="7C941E33"/>
    <w:rsid w:val="7E2BC7B5"/>
    <w:rsid w:val="7F508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D395025"/>
  <w15:docId w15:val="{56910147-D8D0-4759-AD79-65565E20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C62828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character" w:styleId="Znakapoznpodarou">
    <w:name w:val="footnote reference"/>
    <w:basedOn w:val="Standardnpsmoodstavce"/>
    <w:rsid w:val="00C62828"/>
    <w:rPr>
      <w:rFonts w:cs="Times New Roman"/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54C2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Zdraznn">
    <w:name w:val="Emphasis"/>
    <w:basedOn w:val="Standardnpsmoodstavce"/>
    <w:uiPriority w:val="20"/>
    <w:qFormat/>
    <w:rsid w:val="00965797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rsid w:val="00AD5AD2"/>
    <w:pPr>
      <w:spacing w:after="0" w:line="288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D5AD2"/>
    <w:rPr>
      <w:rFonts w:ascii="Tahoma" w:hAnsi="Tahoma" w:cs="Tahoma"/>
      <w:sz w:val="16"/>
      <w:szCs w:val="16"/>
      <w:lang w:eastAsia="cs-CZ"/>
    </w:rPr>
  </w:style>
  <w:style w:type="paragraph" w:customStyle="1" w:styleId="Nadpis12">
    <w:name w:val="Nadpis 12"/>
    <w:basedOn w:val="Normln"/>
    <w:uiPriority w:val="9"/>
    <w:qFormat/>
    <w:rsid w:val="00E747DC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Textpoznpodarou1">
    <w:name w:val="Text pozn. pod čarou1"/>
    <w:basedOn w:val="Normln"/>
    <w:qFormat/>
    <w:rsid w:val="002F4AD8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spelle">
    <w:name w:val="spelle"/>
    <w:basedOn w:val="Standardnpsmoodstavce"/>
    <w:rsid w:val="00830AEA"/>
  </w:style>
  <w:style w:type="paragraph" w:styleId="Revize">
    <w:name w:val="Revision"/>
    <w:hidden/>
    <w:uiPriority w:val="99"/>
    <w:semiHidden/>
    <w:rsid w:val="005D66E6"/>
    <w:rPr>
      <w:rFonts w:ascii="Arial" w:eastAsia="Times New Roman" w:hAnsi="Arial"/>
      <w:szCs w:val="24"/>
      <w:lang w:eastAsia="cs-CZ"/>
    </w:rPr>
  </w:style>
  <w:style w:type="character" w:customStyle="1" w:styleId="odkaz-style-wrapper">
    <w:name w:val="odkaz-style-wrapper"/>
    <w:basedOn w:val="Standardnpsmoodstavce"/>
    <w:rsid w:val="00524385"/>
  </w:style>
  <w:style w:type="character" w:customStyle="1" w:styleId="tabulka">
    <w:name w:val="tabulka"/>
    <w:basedOn w:val="Standardnpsmoodstavce"/>
    <w:rsid w:val="0074499B"/>
  </w:style>
  <w:style w:type="paragraph" w:customStyle="1" w:styleId="Default">
    <w:name w:val="Default"/>
    <w:rsid w:val="00100A8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F77A5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Standardnpsmoodstavce"/>
    <w:rsid w:val="006A3CAF"/>
  </w:style>
  <w:style w:type="paragraph" w:customStyle="1" w:styleId="paragraph">
    <w:name w:val="paragraph"/>
    <w:basedOn w:val="Normln"/>
    <w:rsid w:val="006A3CA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eop">
    <w:name w:val="eop"/>
    <w:basedOn w:val="Standardnpsmoodstavce"/>
    <w:rsid w:val="00784980"/>
  </w:style>
  <w:style w:type="character" w:customStyle="1" w:styleId="scxw9398236">
    <w:name w:val="scxw9398236"/>
    <w:basedOn w:val="Standardnpsmoodstavce"/>
    <w:rsid w:val="000D7C6F"/>
  </w:style>
  <w:style w:type="character" w:customStyle="1" w:styleId="superscript">
    <w:name w:val="superscript"/>
    <w:basedOn w:val="Standardnpsmoodstavce"/>
    <w:rsid w:val="000D7C6F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51A9B"/>
    <w:rPr>
      <w:rFonts w:ascii="Arial" w:eastAsia="Times New Roman" w:hAnsi="Arial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33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2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5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1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9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6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4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76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15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7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5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3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8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1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9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3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6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5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4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0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7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82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5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5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68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9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15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5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5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7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69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hart" Target="charts/chart2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hart" Target="charts/char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hart" Target="charts/chart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zso.cz/csu/czso/metodicka-poznamka-k-indexu-spotrebitelskych-cen-imputovane-najemn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Q\2018Q1\Publikace\Q_analyza_Q12018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abojnikova31519.CZSO\Documents\Anal&#253;za\Q\2023Q4\Makroanal&#253;za%20graf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https://czsocz-my.sharepoint.com/personal/karolina_zabojnikova_czso_cz/Documents/Dokumenty/Anal&#253;za/Q/2023Q4/Makroanal&#253;za%20grafy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abojnikova31519.CZSO\Documents\Anal&#253;za\Q\2023Q4\Makroanal&#253;za%20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8568840579710145E-2"/>
          <c:y val="2.1811315924220327E-2"/>
          <c:w val="0.92237743255066085"/>
          <c:h val="0.71471575213004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'Ceny 2'!$C$5</c:f>
              <c:strCache>
                <c:ptCount val="1"/>
                <c:pt idx="0">
                  <c:v>Celkem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19050">
              <a:noFill/>
            </a:ln>
          </c:spPr>
          <c:invertIfNegative val="0"/>
          <c:cat>
            <c:multiLvlStrRef>
              <c:f>'Ceny 2'!$A$30:$B$53</c:f>
              <c:multiLvlStrCache>
                <c:ptCount val="2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  <c:pt idx="8">
                    <c:v>2020</c:v>
                  </c:pt>
                  <c:pt idx="12">
                    <c:v>2021</c:v>
                  </c:pt>
                  <c:pt idx="16">
                    <c:v>2022</c:v>
                  </c:pt>
                  <c:pt idx="20">
                    <c:v>2023</c:v>
                  </c:pt>
                </c:lvl>
              </c:multiLvlStrCache>
            </c:multiLvlStrRef>
          </c:cat>
          <c:val>
            <c:numRef>
              <c:f>'Ceny 2'!$C$30:$C$53</c:f>
              <c:numCache>
                <c:formatCode>0.0</c:formatCode>
                <c:ptCount val="24"/>
                <c:pt idx="0">
                  <c:v>1.9000000000000001</c:v>
                </c:pt>
                <c:pt idx="1">
                  <c:v>2.2999999999999998</c:v>
                </c:pt>
                <c:pt idx="2">
                  <c:v>2.4</c:v>
                </c:pt>
                <c:pt idx="3">
                  <c:v>2.1</c:v>
                </c:pt>
                <c:pt idx="4">
                  <c:v>2.7</c:v>
                </c:pt>
                <c:pt idx="5">
                  <c:v>2.8</c:v>
                </c:pt>
                <c:pt idx="6">
                  <c:v>2.8</c:v>
                </c:pt>
                <c:pt idx="7">
                  <c:v>3</c:v>
                </c:pt>
                <c:pt idx="8">
                  <c:v>3.6</c:v>
                </c:pt>
                <c:pt idx="9">
                  <c:v>3.1</c:v>
                </c:pt>
                <c:pt idx="10">
                  <c:v>3.3</c:v>
                </c:pt>
                <c:pt idx="11">
                  <c:v>2.6</c:v>
                </c:pt>
                <c:pt idx="12">
                  <c:v>2.2000000000000002</c:v>
                </c:pt>
                <c:pt idx="13">
                  <c:v>2.9</c:v>
                </c:pt>
                <c:pt idx="14">
                  <c:v>4.0999999999999996</c:v>
                </c:pt>
                <c:pt idx="15">
                  <c:v>6.1</c:v>
                </c:pt>
                <c:pt idx="16">
                  <c:v>11.2</c:v>
                </c:pt>
                <c:pt idx="17">
                  <c:v>15.8</c:v>
                </c:pt>
                <c:pt idx="18">
                  <c:v>17.600000000000001</c:v>
                </c:pt>
                <c:pt idx="19">
                  <c:v>15.7</c:v>
                </c:pt>
                <c:pt idx="20">
                  <c:v>16.399999999999999</c:v>
                </c:pt>
                <c:pt idx="21">
                  <c:v>11.1</c:v>
                </c:pt>
                <c:pt idx="22">
                  <c:v>8</c:v>
                </c:pt>
                <c:pt idx="23">
                  <c:v>7.6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F9-4589-AA60-B6610FB7AB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axId val="113584768"/>
        <c:axId val="113787264"/>
      </c:barChart>
      <c:lineChart>
        <c:grouping val="standard"/>
        <c:varyColors val="0"/>
        <c:ser>
          <c:idx val="1"/>
          <c:order val="1"/>
          <c:tx>
            <c:strRef>
              <c:f>'Ceny 2'!$D$5</c:f>
              <c:strCache>
                <c:ptCount val="1"/>
                <c:pt idx="0">
                  <c:v>Potraviny a nealkoholické nápoje</c:v>
                </c:pt>
              </c:strCache>
            </c:strRef>
          </c:tx>
          <c:spPr>
            <a:ln w="19050">
              <a:solidFill>
                <a:srgbClr val="0071BC"/>
              </a:solidFill>
            </a:ln>
          </c:spPr>
          <c:marker>
            <c:symbol val="none"/>
          </c:marker>
          <c:cat>
            <c:multiLvlStrRef>
              <c:f>'Ceny 2'!$A$30:$B$53</c:f>
              <c:multiLvlStrCache>
                <c:ptCount val="2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  <c:pt idx="8">
                    <c:v>2020</c:v>
                  </c:pt>
                  <c:pt idx="12">
                    <c:v>2021</c:v>
                  </c:pt>
                  <c:pt idx="16">
                    <c:v>2022</c:v>
                  </c:pt>
                  <c:pt idx="20">
                    <c:v>2023</c:v>
                  </c:pt>
                </c:lvl>
              </c:multiLvlStrCache>
            </c:multiLvlStrRef>
          </c:cat>
          <c:val>
            <c:numRef>
              <c:f>'Ceny 2'!$D$30:$D$53</c:f>
              <c:numCache>
                <c:formatCode>#\ ##0.0_ ;\-#\ ##0.0\ </c:formatCode>
                <c:ptCount val="24"/>
                <c:pt idx="0" formatCode="0.0">
                  <c:v>2.9</c:v>
                </c:pt>
                <c:pt idx="1">
                  <c:v>2.2999999999999998</c:v>
                </c:pt>
                <c:pt idx="2" formatCode="0.0">
                  <c:v>0.6000000000000002</c:v>
                </c:pt>
                <c:pt idx="3" formatCode="0.0">
                  <c:v>-0.5</c:v>
                </c:pt>
                <c:pt idx="4" formatCode="0.0">
                  <c:v>1</c:v>
                </c:pt>
                <c:pt idx="5" formatCode="0.0">
                  <c:v>2.5</c:v>
                </c:pt>
                <c:pt idx="6" formatCode="0.0">
                  <c:v>3.5</c:v>
                </c:pt>
                <c:pt idx="7" formatCode="0.0">
                  <c:v>4.3</c:v>
                </c:pt>
                <c:pt idx="8" formatCode="0.0">
                  <c:v>6.1</c:v>
                </c:pt>
                <c:pt idx="9" formatCode="0.0">
                  <c:v>6.5</c:v>
                </c:pt>
                <c:pt idx="10" formatCode="0.0">
                  <c:v>4</c:v>
                </c:pt>
                <c:pt idx="11" formatCode="0.0">
                  <c:v>1.7000000000000002</c:v>
                </c:pt>
                <c:pt idx="12" formatCode="0.0">
                  <c:v>0.3000000000000001</c:v>
                </c:pt>
                <c:pt idx="13" formatCode="0.0">
                  <c:v>-0.8</c:v>
                </c:pt>
                <c:pt idx="14" formatCode="0.0">
                  <c:v>1.4</c:v>
                </c:pt>
                <c:pt idx="15" formatCode="0.0">
                  <c:v>2.2999999999999998</c:v>
                </c:pt>
                <c:pt idx="16" formatCode="0.0">
                  <c:v>6.7</c:v>
                </c:pt>
                <c:pt idx="17" formatCode="0.0">
                  <c:v>14.6</c:v>
                </c:pt>
                <c:pt idx="18" formatCode="0.0">
                  <c:v>20</c:v>
                </c:pt>
                <c:pt idx="19" formatCode="0.0">
                  <c:v>25.5</c:v>
                </c:pt>
                <c:pt idx="20" formatCode="0.0">
                  <c:v>24.1</c:v>
                </c:pt>
                <c:pt idx="21" formatCode="0.0">
                  <c:v>14.6</c:v>
                </c:pt>
                <c:pt idx="22" formatCode="0.0">
                  <c:v>7.8</c:v>
                </c:pt>
                <c:pt idx="23" formatCode="0.0">
                  <c:v>1.6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3F9-4589-AA60-B6610FB7AB68}"/>
            </c:ext>
          </c:extLst>
        </c:ser>
        <c:ser>
          <c:idx val="3"/>
          <c:order val="2"/>
          <c:tx>
            <c:strRef>
              <c:f>'Ceny 2'!$F$5</c:f>
              <c:strCache>
                <c:ptCount val="1"/>
                <c:pt idx="0">
                  <c:v>Bydlení a energie</c:v>
                </c:pt>
              </c:strCache>
            </c:strRef>
          </c:tx>
          <c:spPr>
            <a:ln w="19050">
              <a:solidFill>
                <a:srgbClr val="7DBB2D"/>
              </a:solidFill>
            </a:ln>
          </c:spPr>
          <c:marker>
            <c:symbol val="none"/>
          </c:marker>
          <c:cat>
            <c:multiLvlStrRef>
              <c:f>'Ceny 2'!$A$30:$B$53</c:f>
              <c:multiLvlStrCache>
                <c:ptCount val="2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  <c:pt idx="8">
                    <c:v>2020</c:v>
                  </c:pt>
                  <c:pt idx="12">
                    <c:v>2021</c:v>
                  </c:pt>
                  <c:pt idx="16">
                    <c:v>2022</c:v>
                  </c:pt>
                  <c:pt idx="20">
                    <c:v>2023</c:v>
                  </c:pt>
                </c:lvl>
              </c:multiLvlStrCache>
            </c:multiLvlStrRef>
          </c:cat>
          <c:val>
            <c:numRef>
              <c:f>'Ceny 2'!$F$30:$F$53</c:f>
              <c:numCache>
                <c:formatCode>0.0</c:formatCode>
                <c:ptCount val="24"/>
                <c:pt idx="0">
                  <c:v>2.2999999999999998</c:v>
                </c:pt>
                <c:pt idx="1">
                  <c:v>2.6</c:v>
                </c:pt>
                <c:pt idx="2">
                  <c:v>3.2</c:v>
                </c:pt>
                <c:pt idx="3">
                  <c:v>3.8</c:v>
                </c:pt>
                <c:pt idx="4">
                  <c:v>5.4</c:v>
                </c:pt>
                <c:pt idx="5">
                  <c:v>5.7</c:v>
                </c:pt>
                <c:pt idx="6">
                  <c:v>5.2</c:v>
                </c:pt>
                <c:pt idx="7">
                  <c:v>5</c:v>
                </c:pt>
                <c:pt idx="8">
                  <c:v>4.2</c:v>
                </c:pt>
                <c:pt idx="9">
                  <c:v>3.2</c:v>
                </c:pt>
                <c:pt idx="10">
                  <c:v>2.7</c:v>
                </c:pt>
                <c:pt idx="11">
                  <c:v>1.4</c:v>
                </c:pt>
                <c:pt idx="12">
                  <c:v>0.6000000000000002</c:v>
                </c:pt>
                <c:pt idx="13">
                  <c:v>1.3</c:v>
                </c:pt>
                <c:pt idx="14">
                  <c:v>3.6</c:v>
                </c:pt>
                <c:pt idx="15">
                  <c:v>5.6</c:v>
                </c:pt>
                <c:pt idx="16">
                  <c:v>16</c:v>
                </c:pt>
                <c:pt idx="17">
                  <c:v>21.4</c:v>
                </c:pt>
                <c:pt idx="18">
                  <c:v>23.6</c:v>
                </c:pt>
                <c:pt idx="19">
                  <c:v>14.9</c:v>
                </c:pt>
                <c:pt idx="20">
                  <c:v>22.2</c:v>
                </c:pt>
                <c:pt idx="21">
                  <c:v>16</c:v>
                </c:pt>
                <c:pt idx="22">
                  <c:v>11.6</c:v>
                </c:pt>
                <c:pt idx="23">
                  <c:v>17.8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3F9-4589-AA60-B6610FB7AB68}"/>
            </c:ext>
          </c:extLst>
        </c:ser>
        <c:ser>
          <c:idx val="4"/>
          <c:order val="3"/>
          <c:tx>
            <c:strRef>
              <c:f>'Ceny 2'!$G$5</c:f>
              <c:strCache>
                <c:ptCount val="1"/>
                <c:pt idx="0">
                  <c:v>Doprava</c:v>
                </c:pt>
              </c:strCache>
            </c:strRef>
          </c:tx>
          <c:spPr>
            <a:ln w="19050">
              <a:solidFill>
                <a:srgbClr val="FFC000"/>
              </a:solidFill>
            </a:ln>
          </c:spPr>
          <c:marker>
            <c:symbol val="none"/>
          </c:marker>
          <c:cat>
            <c:multiLvlStrRef>
              <c:f>'Ceny 2'!$A$30:$B$53</c:f>
              <c:multiLvlStrCache>
                <c:ptCount val="2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  <c:pt idx="8">
                    <c:v>2020</c:v>
                  </c:pt>
                  <c:pt idx="12">
                    <c:v>2021</c:v>
                  </c:pt>
                  <c:pt idx="16">
                    <c:v>2022</c:v>
                  </c:pt>
                  <c:pt idx="20">
                    <c:v>2023</c:v>
                  </c:pt>
                </c:lvl>
              </c:multiLvlStrCache>
            </c:multiLvlStrRef>
          </c:cat>
          <c:val>
            <c:numRef>
              <c:f>'Ceny 2'!$G$30:$G$53</c:f>
              <c:numCache>
                <c:formatCode>0.0</c:formatCode>
                <c:ptCount val="24"/>
                <c:pt idx="0">
                  <c:v>1</c:v>
                </c:pt>
                <c:pt idx="1">
                  <c:v>3</c:v>
                </c:pt>
                <c:pt idx="2">
                  <c:v>4.5</c:v>
                </c:pt>
                <c:pt idx="3">
                  <c:v>2.6</c:v>
                </c:pt>
                <c:pt idx="4">
                  <c:v>0.6000000000000002</c:v>
                </c:pt>
                <c:pt idx="5">
                  <c:v>0.8</c:v>
                </c:pt>
                <c:pt idx="6">
                  <c:v>-0.2</c:v>
                </c:pt>
                <c:pt idx="7">
                  <c:v>0.5</c:v>
                </c:pt>
                <c:pt idx="8" formatCode="General">
                  <c:v>1.7000000000000002</c:v>
                </c:pt>
                <c:pt idx="9">
                  <c:v>-3.4</c:v>
                </c:pt>
                <c:pt idx="10">
                  <c:v>-0.2</c:v>
                </c:pt>
                <c:pt idx="11">
                  <c:v>0.6000000000000002</c:v>
                </c:pt>
                <c:pt idx="12">
                  <c:v>2.4</c:v>
                </c:pt>
                <c:pt idx="13">
                  <c:v>9.1</c:v>
                </c:pt>
                <c:pt idx="14">
                  <c:v>8.8000000000000007</c:v>
                </c:pt>
                <c:pt idx="15">
                  <c:v>13.1</c:v>
                </c:pt>
                <c:pt idx="16">
                  <c:v>17.2</c:v>
                </c:pt>
                <c:pt idx="17">
                  <c:v>22.7</c:v>
                </c:pt>
                <c:pt idx="18">
                  <c:v>19.7</c:v>
                </c:pt>
                <c:pt idx="19">
                  <c:v>13.1</c:v>
                </c:pt>
                <c:pt idx="20">
                  <c:v>4.5</c:v>
                </c:pt>
                <c:pt idx="21">
                  <c:v>-4</c:v>
                </c:pt>
                <c:pt idx="22">
                  <c:v>-2.4</c:v>
                </c:pt>
                <c:pt idx="23">
                  <c:v>-1.6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3F9-4589-AA60-B6610FB7AB68}"/>
            </c:ext>
          </c:extLst>
        </c:ser>
        <c:ser>
          <c:idx val="5"/>
          <c:order val="5"/>
          <c:tx>
            <c:strRef>
              <c:f>'Ceny 2'!$H$5</c:f>
              <c:strCache>
                <c:ptCount val="1"/>
                <c:pt idx="0">
                  <c:v>Stravování a ubytování</c:v>
                </c:pt>
              </c:strCache>
            </c:strRef>
          </c:tx>
          <c:spPr>
            <a:ln w="19050">
              <a:solidFill>
                <a:srgbClr val="7030A0"/>
              </a:solidFill>
            </a:ln>
          </c:spPr>
          <c:marker>
            <c:symbol val="none"/>
          </c:marker>
          <c:cat>
            <c:multiLvlStrRef>
              <c:f>'Ceny 2'!$A$30:$B$53</c:f>
              <c:multiLvlStrCache>
                <c:ptCount val="2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  <c:pt idx="8">
                    <c:v>2020</c:v>
                  </c:pt>
                  <c:pt idx="12">
                    <c:v>2021</c:v>
                  </c:pt>
                  <c:pt idx="16">
                    <c:v>2022</c:v>
                  </c:pt>
                  <c:pt idx="20">
                    <c:v>2023</c:v>
                  </c:pt>
                </c:lvl>
              </c:multiLvlStrCache>
            </c:multiLvlStrRef>
          </c:cat>
          <c:val>
            <c:numRef>
              <c:f>'Ceny 2'!$H$30:$H$53</c:f>
              <c:numCache>
                <c:formatCode>0.0</c:formatCode>
                <c:ptCount val="24"/>
                <c:pt idx="0">
                  <c:v>3.5</c:v>
                </c:pt>
                <c:pt idx="1">
                  <c:v>3.6</c:v>
                </c:pt>
                <c:pt idx="2">
                  <c:v>3.5</c:v>
                </c:pt>
                <c:pt idx="3">
                  <c:v>3.7</c:v>
                </c:pt>
                <c:pt idx="4">
                  <c:v>3.8</c:v>
                </c:pt>
                <c:pt idx="5">
                  <c:v>4</c:v>
                </c:pt>
                <c:pt idx="6">
                  <c:v>4.5</c:v>
                </c:pt>
                <c:pt idx="7">
                  <c:v>4.5999999999999996</c:v>
                </c:pt>
                <c:pt idx="8">
                  <c:v>5.5</c:v>
                </c:pt>
                <c:pt idx="9">
                  <c:v>5.0999999999999996</c:v>
                </c:pt>
                <c:pt idx="10">
                  <c:v>4.9000000000000004</c:v>
                </c:pt>
                <c:pt idx="11">
                  <c:v>4.3</c:v>
                </c:pt>
                <c:pt idx="12">
                  <c:v>3</c:v>
                </c:pt>
                <c:pt idx="13">
                  <c:v>2.9</c:v>
                </c:pt>
                <c:pt idx="14">
                  <c:v>4.5999999999999996</c:v>
                </c:pt>
                <c:pt idx="15">
                  <c:v>6.8</c:v>
                </c:pt>
                <c:pt idx="16">
                  <c:v>12.3</c:v>
                </c:pt>
                <c:pt idx="17">
                  <c:v>21.4</c:v>
                </c:pt>
                <c:pt idx="18">
                  <c:v>24.3</c:v>
                </c:pt>
                <c:pt idx="19">
                  <c:v>25.6</c:v>
                </c:pt>
                <c:pt idx="20">
                  <c:v>22.4</c:v>
                </c:pt>
                <c:pt idx="21">
                  <c:v>15.4</c:v>
                </c:pt>
                <c:pt idx="22">
                  <c:v>11.6</c:v>
                </c:pt>
                <c:pt idx="23">
                  <c:v>8.8000000000000007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3F9-4589-AA60-B6610FB7AB68}"/>
            </c:ext>
          </c:extLst>
        </c:ser>
        <c:ser>
          <c:idx val="6"/>
          <c:order val="6"/>
          <c:tx>
            <c:strRef>
              <c:f>'Ceny 2'!$I$5</c:f>
              <c:strCache>
                <c:ptCount val="1"/>
                <c:pt idx="0">
                  <c:v>Rekreace a kultura</c:v>
                </c:pt>
              </c:strCache>
            </c:strRef>
          </c:tx>
          <c:spPr>
            <a:ln w="19050">
              <a:solidFill>
                <a:srgbClr val="FF0000"/>
              </a:solidFill>
            </a:ln>
          </c:spPr>
          <c:marker>
            <c:symbol val="none"/>
          </c:marker>
          <c:cat>
            <c:multiLvlStrRef>
              <c:f>'Ceny 2'!$A$30:$B$53</c:f>
              <c:multiLvlStrCache>
                <c:ptCount val="2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  <c:pt idx="8">
                    <c:v>2020</c:v>
                  </c:pt>
                  <c:pt idx="12">
                    <c:v>2021</c:v>
                  </c:pt>
                  <c:pt idx="16">
                    <c:v>2022</c:v>
                  </c:pt>
                  <c:pt idx="20">
                    <c:v>2023</c:v>
                  </c:pt>
                </c:lvl>
              </c:multiLvlStrCache>
            </c:multiLvlStrRef>
          </c:cat>
          <c:val>
            <c:numRef>
              <c:f>'Ceny 2'!$I$30:$I$53</c:f>
              <c:numCache>
                <c:formatCode>General</c:formatCode>
                <c:ptCount val="24"/>
                <c:pt idx="0">
                  <c:v>0.5</c:v>
                </c:pt>
                <c:pt idx="1">
                  <c:v>0.59999999999999443</c:v>
                </c:pt>
                <c:pt idx="2">
                  <c:v>2.2000000000000037</c:v>
                </c:pt>
                <c:pt idx="3">
                  <c:v>0.5</c:v>
                </c:pt>
                <c:pt idx="4">
                  <c:v>1.7000000000000031</c:v>
                </c:pt>
                <c:pt idx="5">
                  <c:v>1</c:v>
                </c:pt>
                <c:pt idx="6">
                  <c:v>1.7000000000000031</c:v>
                </c:pt>
                <c:pt idx="7">
                  <c:v>2.0999999999999943</c:v>
                </c:pt>
                <c:pt idx="8">
                  <c:v>2.0999999999999943</c:v>
                </c:pt>
                <c:pt idx="9">
                  <c:v>2</c:v>
                </c:pt>
                <c:pt idx="10">
                  <c:v>2.2000000000000037</c:v>
                </c:pt>
                <c:pt idx="11">
                  <c:v>2.5</c:v>
                </c:pt>
                <c:pt idx="12">
                  <c:v>1.4000000000000057</c:v>
                </c:pt>
                <c:pt idx="13">
                  <c:v>2</c:v>
                </c:pt>
                <c:pt idx="14">
                  <c:v>3.0999999999999943</c:v>
                </c:pt>
                <c:pt idx="15">
                  <c:v>5.2999999999999972</c:v>
                </c:pt>
                <c:pt idx="16">
                  <c:v>8.5</c:v>
                </c:pt>
                <c:pt idx="17">
                  <c:v>11.3</c:v>
                </c:pt>
                <c:pt idx="18">
                  <c:v>12.599999999999998</c:v>
                </c:pt>
                <c:pt idx="19" formatCode="0.0">
                  <c:v>13.2</c:v>
                </c:pt>
                <c:pt idx="20" formatCode="0.0">
                  <c:v>14</c:v>
                </c:pt>
                <c:pt idx="21" formatCode="0.0">
                  <c:v>11.7</c:v>
                </c:pt>
                <c:pt idx="22" formatCode="0.0">
                  <c:v>9.7000000000000011</c:v>
                </c:pt>
                <c:pt idx="23" formatCode="0.0">
                  <c:v>6.9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43F9-4589-AA60-B6610FB7AB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3584768"/>
        <c:axId val="113787264"/>
        <c:extLst>
          <c:ext xmlns:c15="http://schemas.microsoft.com/office/drawing/2012/chart" uri="{02D57815-91ED-43cb-92C2-25804820EDAC}">
            <c15:filteredLineSeries>
              <c15:ser>
                <c:idx val="2"/>
                <c:order val="4"/>
                <c:tx>
                  <c:strRef>
                    <c:extLst>
                      <c:ext uri="{02D57815-91ED-43cb-92C2-25804820EDAC}">
                        <c15:formulaRef>
                          <c15:sqref>'Ceny 2'!$E$5</c15:sqref>
                        </c15:formulaRef>
                      </c:ext>
                    </c:extLst>
                    <c:strCache>
                      <c:ptCount val="1"/>
                      <c:pt idx="0">
                        <c:v>Alkoholické nápoje a tabák</c:v>
                      </c:pt>
                    </c:strCache>
                  </c:strRef>
                </c:tx>
                <c:spPr>
                  <a:ln w="19050">
                    <a:solidFill>
                      <a:schemeClr val="accent2"/>
                    </a:solidFill>
                  </a:ln>
                </c:spPr>
                <c:marker>
                  <c:symbol val="none"/>
                </c:marker>
                <c:cat>
                  <c:multiLvlStrRef>
                    <c:extLst>
                      <c:ext uri="{02D57815-91ED-43cb-92C2-25804820EDAC}">
                        <c15:formulaRef>
                          <c15:sqref>'Ceny 2'!$A$30:$B$53</c15:sqref>
                        </c15:formulaRef>
                      </c:ext>
                    </c:extLst>
                    <c:multiLvlStrCache>
                      <c:ptCount val="24"/>
                      <c:lvl>
                        <c:pt idx="0">
                          <c:v>1</c:v>
                        </c:pt>
                        <c:pt idx="1">
                          <c:v>2</c:v>
                        </c:pt>
                        <c:pt idx="2">
                          <c:v>3</c:v>
                        </c:pt>
                        <c:pt idx="3">
                          <c:v>4</c:v>
                        </c:pt>
                        <c:pt idx="4">
                          <c:v>1</c:v>
                        </c:pt>
                        <c:pt idx="5">
                          <c:v>2</c:v>
                        </c:pt>
                        <c:pt idx="6">
                          <c:v>3</c:v>
                        </c:pt>
                        <c:pt idx="7">
                          <c:v>4</c:v>
                        </c:pt>
                        <c:pt idx="8">
                          <c:v>1</c:v>
                        </c:pt>
                        <c:pt idx="9">
                          <c:v>2</c:v>
                        </c:pt>
                        <c:pt idx="10">
                          <c:v>3</c:v>
                        </c:pt>
                        <c:pt idx="11">
                          <c:v>4</c:v>
                        </c:pt>
                        <c:pt idx="12">
                          <c:v>1</c:v>
                        </c:pt>
                        <c:pt idx="13">
                          <c:v>2</c:v>
                        </c:pt>
                        <c:pt idx="14">
                          <c:v>3</c:v>
                        </c:pt>
                        <c:pt idx="15">
                          <c:v>4</c:v>
                        </c:pt>
                        <c:pt idx="16">
                          <c:v>1</c:v>
                        </c:pt>
                        <c:pt idx="17">
                          <c:v>2</c:v>
                        </c:pt>
                        <c:pt idx="18">
                          <c:v>3</c:v>
                        </c:pt>
                        <c:pt idx="19">
                          <c:v>4</c:v>
                        </c:pt>
                        <c:pt idx="20">
                          <c:v>1</c:v>
                        </c:pt>
                        <c:pt idx="21">
                          <c:v>2</c:v>
                        </c:pt>
                        <c:pt idx="22">
                          <c:v>3</c:v>
                        </c:pt>
                        <c:pt idx="23">
                          <c:v>4</c:v>
                        </c:pt>
                      </c:lvl>
                      <c:lvl>
                        <c:pt idx="0">
                          <c:v>2018</c:v>
                        </c:pt>
                        <c:pt idx="4">
                          <c:v>2019</c:v>
                        </c:pt>
                        <c:pt idx="8">
                          <c:v>2020</c:v>
                        </c:pt>
                        <c:pt idx="12">
                          <c:v>2021</c:v>
                        </c:pt>
                        <c:pt idx="16">
                          <c:v>2022</c:v>
                        </c:pt>
                        <c:pt idx="20">
                          <c:v>2023</c:v>
                        </c:pt>
                      </c:lvl>
                    </c:multiLvlStrCache>
                  </c:multiLvlStrRef>
                </c:cat>
                <c:val>
                  <c:numRef>
                    <c:extLst>
                      <c:ext uri="{02D57815-91ED-43cb-92C2-25804820EDAC}">
                        <c15:formulaRef>
                          <c15:sqref>'Ceny 2'!$E$26:$E$48</c15:sqref>
                        </c15:formulaRef>
                      </c:ext>
                    </c:extLst>
                    <c:numCache>
                      <c:formatCode>General</c:formatCode>
                      <c:ptCount val="23"/>
                      <c:pt idx="0">
                        <c:v>3.4000000000000057</c:v>
                      </c:pt>
                      <c:pt idx="1">
                        <c:v>0.79999999999999716</c:v>
                      </c:pt>
                      <c:pt idx="2" formatCode="0.0">
                        <c:v>1.3</c:v>
                      </c:pt>
                      <c:pt idx="3" formatCode="0.0">
                        <c:v>1.5</c:v>
                      </c:pt>
                      <c:pt idx="4" formatCode="0.0">
                        <c:v>2.5</c:v>
                      </c:pt>
                      <c:pt idx="5" formatCode="0.0">
                        <c:v>3.6</c:v>
                      </c:pt>
                      <c:pt idx="6" formatCode="0.0">
                        <c:v>2.8</c:v>
                      </c:pt>
                      <c:pt idx="7" formatCode="0.0">
                        <c:v>3.1</c:v>
                      </c:pt>
                      <c:pt idx="8" formatCode="0.0">
                        <c:v>3.3</c:v>
                      </c:pt>
                      <c:pt idx="9" formatCode="0.0">
                        <c:v>1.7</c:v>
                      </c:pt>
                      <c:pt idx="10" formatCode="0.0">
                        <c:v>1.9</c:v>
                      </c:pt>
                      <c:pt idx="11" formatCode="0.0">
                        <c:v>1.8</c:v>
                      </c:pt>
                      <c:pt idx="12">
                        <c:v>3.5</c:v>
                      </c:pt>
                      <c:pt idx="13" formatCode="0.0">
                        <c:v>6.6</c:v>
                      </c:pt>
                      <c:pt idx="14" formatCode="0.0">
                        <c:v>10.3</c:v>
                      </c:pt>
                      <c:pt idx="15" formatCode="0.0">
                        <c:v>9.9</c:v>
                      </c:pt>
                      <c:pt idx="16" formatCode="0.0">
                        <c:v>9.9</c:v>
                      </c:pt>
                      <c:pt idx="17" formatCode="0.0">
                        <c:v>9.8000000000000007</c:v>
                      </c:pt>
                      <c:pt idx="18" formatCode="0.0">
                        <c:v>6.5</c:v>
                      </c:pt>
                      <c:pt idx="19" formatCode="0.0">
                        <c:v>7.7</c:v>
                      </c:pt>
                      <c:pt idx="20" formatCode="0.0">
                        <c:v>7.1</c:v>
                      </c:pt>
                      <c:pt idx="21" formatCode="0.0">
                        <c:v>5.6</c:v>
                      </c:pt>
                      <c:pt idx="22" formatCode="0.0">
                        <c:v>6.3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6-43F9-4589-AA60-B6610FB7AB68}"/>
                  </c:ext>
                </c:extLst>
              </c15:ser>
            </c15:filteredLineSeries>
            <c15:filteredLineSeries>
              <c15:ser>
                <c:idx val="7"/>
                <c:order val="7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'Ceny 2'!$J$5</c15:sqref>
                        </c15:formulaRef>
                      </c:ext>
                    </c:extLst>
                    <c:strCache>
                      <c:ptCount val="1"/>
                      <c:pt idx="0">
                        <c:v>Odívání a obuv</c:v>
                      </c:pt>
                    </c:strCache>
                  </c:strRef>
                </c:tx>
                <c:spPr>
                  <a:ln w="19050">
                    <a:solidFill>
                      <a:srgbClr val="E8AFB2"/>
                    </a:solidFill>
                  </a:ln>
                </c:spPr>
                <c:marker>
                  <c:symbol val="none"/>
                </c:marker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'Ceny 2'!$A$30:$B$53</c15:sqref>
                        </c15:formulaRef>
                      </c:ext>
                    </c:extLst>
                    <c:multiLvlStrCache>
                      <c:ptCount val="24"/>
                      <c:lvl>
                        <c:pt idx="0">
                          <c:v>1</c:v>
                        </c:pt>
                        <c:pt idx="1">
                          <c:v>2</c:v>
                        </c:pt>
                        <c:pt idx="2">
                          <c:v>3</c:v>
                        </c:pt>
                        <c:pt idx="3">
                          <c:v>4</c:v>
                        </c:pt>
                        <c:pt idx="4">
                          <c:v>1</c:v>
                        </c:pt>
                        <c:pt idx="5">
                          <c:v>2</c:v>
                        </c:pt>
                        <c:pt idx="6">
                          <c:v>3</c:v>
                        </c:pt>
                        <c:pt idx="7">
                          <c:v>4</c:v>
                        </c:pt>
                        <c:pt idx="8">
                          <c:v>1</c:v>
                        </c:pt>
                        <c:pt idx="9">
                          <c:v>2</c:v>
                        </c:pt>
                        <c:pt idx="10">
                          <c:v>3</c:v>
                        </c:pt>
                        <c:pt idx="11">
                          <c:v>4</c:v>
                        </c:pt>
                        <c:pt idx="12">
                          <c:v>1</c:v>
                        </c:pt>
                        <c:pt idx="13">
                          <c:v>2</c:v>
                        </c:pt>
                        <c:pt idx="14">
                          <c:v>3</c:v>
                        </c:pt>
                        <c:pt idx="15">
                          <c:v>4</c:v>
                        </c:pt>
                        <c:pt idx="16">
                          <c:v>1</c:v>
                        </c:pt>
                        <c:pt idx="17">
                          <c:v>2</c:v>
                        </c:pt>
                        <c:pt idx="18">
                          <c:v>3</c:v>
                        </c:pt>
                        <c:pt idx="19">
                          <c:v>4</c:v>
                        </c:pt>
                        <c:pt idx="20">
                          <c:v>1</c:v>
                        </c:pt>
                        <c:pt idx="21">
                          <c:v>2</c:v>
                        </c:pt>
                        <c:pt idx="22">
                          <c:v>3</c:v>
                        </c:pt>
                        <c:pt idx="23">
                          <c:v>4</c:v>
                        </c:pt>
                      </c:lvl>
                      <c:lvl>
                        <c:pt idx="0">
                          <c:v>2018</c:v>
                        </c:pt>
                        <c:pt idx="4">
                          <c:v>2019</c:v>
                        </c:pt>
                        <c:pt idx="8">
                          <c:v>2020</c:v>
                        </c:pt>
                        <c:pt idx="12">
                          <c:v>2021</c:v>
                        </c:pt>
                        <c:pt idx="16">
                          <c:v>2022</c:v>
                        </c:pt>
                        <c:pt idx="20">
                          <c:v>2023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'Ceny 2'!$J$26:$J$48</c15:sqref>
                        </c15:formulaRef>
                      </c:ext>
                    </c:extLst>
                    <c:numCache>
                      <c:formatCode>General</c:formatCode>
                      <c:ptCount val="23"/>
                      <c:pt idx="0">
                        <c:v>0.5</c:v>
                      </c:pt>
                      <c:pt idx="1">
                        <c:v>1</c:v>
                      </c:pt>
                      <c:pt idx="2" formatCode="0.0">
                        <c:v>0.5</c:v>
                      </c:pt>
                      <c:pt idx="3" formatCode="0.0">
                        <c:v>-0.8</c:v>
                      </c:pt>
                      <c:pt idx="4">
                        <c:v>-0.29999999999999716</c:v>
                      </c:pt>
                      <c:pt idx="5">
                        <c:v>-1</c:v>
                      </c:pt>
                      <c:pt idx="6">
                        <c:v>-1.4000000000000057</c:v>
                      </c:pt>
                      <c:pt idx="7">
                        <c:v>-1.7000000000000028</c:v>
                      </c:pt>
                      <c:pt idx="8">
                        <c:v>-1.0999999999999943</c:v>
                      </c:pt>
                      <c:pt idx="9">
                        <c:v>-1.9000000000000057</c:v>
                      </c:pt>
                      <c:pt idx="10">
                        <c:v>-1.5</c:v>
                      </c:pt>
                      <c:pt idx="11">
                        <c:v>-0.29999999999999716</c:v>
                      </c:pt>
                      <c:pt idx="12">
                        <c:v>3.5</c:v>
                      </c:pt>
                      <c:pt idx="13">
                        <c:v>3.4000000000000057</c:v>
                      </c:pt>
                      <c:pt idx="14">
                        <c:v>4.5</c:v>
                      </c:pt>
                      <c:pt idx="15">
                        <c:v>3.4000000000000057</c:v>
                      </c:pt>
                      <c:pt idx="16">
                        <c:v>2.7000000000000028</c:v>
                      </c:pt>
                      <c:pt idx="17">
                        <c:v>2.9000000000000057</c:v>
                      </c:pt>
                      <c:pt idx="18">
                        <c:v>7.7999999999999972</c:v>
                      </c:pt>
                      <c:pt idx="19">
                        <c:v>12.599999999999994</c:v>
                      </c:pt>
                      <c:pt idx="20">
                        <c:v>16.900000000000006</c:v>
                      </c:pt>
                      <c:pt idx="21">
                        <c:v>20</c:v>
                      </c:pt>
                      <c:pt idx="22">
                        <c:v>19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43F9-4589-AA60-B6610FB7AB68}"/>
                  </c:ext>
                </c:extLst>
              </c15:ser>
            </c15:filteredLineSeries>
          </c:ext>
        </c:extLst>
      </c:lineChart>
      <c:catAx>
        <c:axId val="1135847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13787264"/>
        <c:crosses val="autoZero"/>
        <c:auto val="1"/>
        <c:lblAlgn val="ctr"/>
        <c:lblOffset val="100"/>
        <c:noMultiLvlLbl val="0"/>
      </c:catAx>
      <c:valAx>
        <c:axId val="113787264"/>
        <c:scaling>
          <c:orientation val="minMax"/>
          <c:max val="27"/>
          <c:min val="-6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113584768"/>
        <c:crosses val="autoZero"/>
        <c:crossBetween val="between"/>
        <c:majorUnit val="3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5.3882134414049342E-2"/>
          <c:y val="0.85802375323651958"/>
          <c:w val="0.92470364741641364"/>
          <c:h val="0.13125351795564555"/>
        </c:manualLayout>
      </c:layout>
      <c:overlay val="0"/>
      <c:spPr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703731847348919E-2"/>
          <c:y val="2.9569886214146503E-2"/>
          <c:w val="0.90493308848362042"/>
          <c:h val="0.735566531577169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'Ceny 1'!$C$5</c:f>
              <c:strCache>
                <c:ptCount val="1"/>
                <c:pt idx="0">
                  <c:v>Realizované ceny starších bytů, ČR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19050">
              <a:noFill/>
            </a:ln>
          </c:spPr>
          <c:invertIfNegative val="0"/>
          <c:cat>
            <c:multiLvlStrRef>
              <c:f>'Ceny 1'!$A$6:$B$29</c:f>
              <c:multiLvlStrCache>
                <c:ptCount val="2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  <c:pt idx="8">
                    <c:v>2020</c:v>
                  </c:pt>
                  <c:pt idx="12">
                    <c:v>2021</c:v>
                  </c:pt>
                  <c:pt idx="16">
                    <c:v>2022</c:v>
                  </c:pt>
                  <c:pt idx="20">
                    <c:v>2023</c:v>
                  </c:pt>
                </c:lvl>
              </c:multiLvlStrCache>
            </c:multiLvlStrRef>
          </c:cat>
          <c:val>
            <c:numRef>
              <c:f>'Ceny 1'!$C$6:$C$29</c:f>
              <c:numCache>
                <c:formatCode>General</c:formatCode>
                <c:ptCount val="24"/>
                <c:pt idx="0">
                  <c:v>9.2000000000000011</c:v>
                </c:pt>
                <c:pt idx="1">
                  <c:v>8</c:v>
                </c:pt>
                <c:pt idx="2">
                  <c:v>9.4000000000000057</c:v>
                </c:pt>
                <c:pt idx="3">
                  <c:v>11.400000000000006</c:v>
                </c:pt>
                <c:pt idx="4">
                  <c:v>11.3</c:v>
                </c:pt>
                <c:pt idx="5">
                  <c:v>10.599999999999998</c:v>
                </c:pt>
                <c:pt idx="6">
                  <c:v>9.5</c:v>
                </c:pt>
                <c:pt idx="7">
                  <c:v>9.4000000000000057</c:v>
                </c:pt>
                <c:pt idx="8">
                  <c:v>10.599999999999998</c:v>
                </c:pt>
                <c:pt idx="9">
                  <c:v>10.200000000000003</c:v>
                </c:pt>
                <c:pt idx="10">
                  <c:v>11.200000000000003</c:v>
                </c:pt>
                <c:pt idx="11">
                  <c:v>13.3</c:v>
                </c:pt>
                <c:pt idx="12">
                  <c:v>15.200000000000003</c:v>
                </c:pt>
                <c:pt idx="13">
                  <c:v>17.900000000000006</c:v>
                </c:pt>
                <c:pt idx="14">
                  <c:v>21.29999999999999</c:v>
                </c:pt>
                <c:pt idx="15">
                  <c:v>25.200000000000003</c:v>
                </c:pt>
                <c:pt idx="16">
                  <c:v>27.29999999999999</c:v>
                </c:pt>
                <c:pt idx="17">
                  <c:v>27.599999999999987</c:v>
                </c:pt>
                <c:pt idx="18">
                  <c:v>23.400000000000006</c:v>
                </c:pt>
                <c:pt idx="19">
                  <c:v>13.8</c:v>
                </c:pt>
                <c:pt idx="20">
                  <c:v>3.7000000000000037</c:v>
                </c:pt>
                <c:pt idx="21">
                  <c:v>-4.0999999999999943</c:v>
                </c:pt>
                <c:pt idx="22">
                  <c:v>-7</c:v>
                </c:pt>
                <c:pt idx="23">
                  <c:v>-5.5999999999999943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DF-4BBB-AF27-DF5895EF601D}"/>
            </c:ext>
          </c:extLst>
        </c:ser>
        <c:ser>
          <c:idx val="1"/>
          <c:order val="1"/>
          <c:tx>
            <c:strRef>
              <c:f>'Ceny 1'!$D$5</c:f>
              <c:strCache>
                <c:ptCount val="1"/>
                <c:pt idx="0">
                  <c:v>Realizované ceny starších bytů, Praha</c:v>
                </c:pt>
              </c:strCache>
            </c:strRef>
          </c:tx>
          <c:spPr>
            <a:solidFill>
              <a:prstClr val="black">
                <a:lumMod val="50000"/>
                <a:lumOff val="50000"/>
              </a:prstClr>
            </a:solidFill>
            <a:ln w="19050">
              <a:noFill/>
            </a:ln>
          </c:spPr>
          <c:invertIfNegative val="0"/>
          <c:cat>
            <c:multiLvlStrRef>
              <c:f>'Ceny 1'!$A$6:$B$29</c:f>
              <c:multiLvlStrCache>
                <c:ptCount val="2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  <c:pt idx="8">
                    <c:v>2020</c:v>
                  </c:pt>
                  <c:pt idx="12">
                    <c:v>2021</c:v>
                  </c:pt>
                  <c:pt idx="16">
                    <c:v>2022</c:v>
                  </c:pt>
                  <c:pt idx="20">
                    <c:v>2023</c:v>
                  </c:pt>
                </c:lvl>
              </c:multiLvlStrCache>
            </c:multiLvlStrRef>
          </c:cat>
          <c:val>
            <c:numRef>
              <c:f>'Ceny 1'!$D$6:$D$29</c:f>
              <c:numCache>
                <c:formatCode>General</c:formatCode>
                <c:ptCount val="24"/>
                <c:pt idx="0">
                  <c:v>8.3000000000000025</c:v>
                </c:pt>
                <c:pt idx="1">
                  <c:v>4</c:v>
                </c:pt>
                <c:pt idx="2">
                  <c:v>6</c:v>
                </c:pt>
                <c:pt idx="3">
                  <c:v>8.7000000000000011</c:v>
                </c:pt>
                <c:pt idx="4">
                  <c:v>9.4000000000000057</c:v>
                </c:pt>
                <c:pt idx="5">
                  <c:v>8.7000000000000011</c:v>
                </c:pt>
                <c:pt idx="6">
                  <c:v>6.5</c:v>
                </c:pt>
                <c:pt idx="7">
                  <c:v>7.0999999999999943</c:v>
                </c:pt>
                <c:pt idx="8">
                  <c:v>6.2000000000000028</c:v>
                </c:pt>
                <c:pt idx="9">
                  <c:v>8</c:v>
                </c:pt>
                <c:pt idx="10">
                  <c:v>9.4000000000000057</c:v>
                </c:pt>
                <c:pt idx="11">
                  <c:v>10.599999999999998</c:v>
                </c:pt>
                <c:pt idx="12">
                  <c:v>14.3</c:v>
                </c:pt>
                <c:pt idx="13">
                  <c:v>15.8</c:v>
                </c:pt>
                <c:pt idx="14">
                  <c:v>16.599999999999987</c:v>
                </c:pt>
                <c:pt idx="15">
                  <c:v>20</c:v>
                </c:pt>
                <c:pt idx="16">
                  <c:v>19</c:v>
                </c:pt>
                <c:pt idx="17">
                  <c:v>16.700000000000003</c:v>
                </c:pt>
                <c:pt idx="18">
                  <c:v>15.599999999999998</c:v>
                </c:pt>
                <c:pt idx="19">
                  <c:v>8.4000000000000057</c:v>
                </c:pt>
                <c:pt idx="20">
                  <c:v>1.2000000000000028</c:v>
                </c:pt>
                <c:pt idx="21">
                  <c:v>-3.5999999999999943</c:v>
                </c:pt>
                <c:pt idx="22">
                  <c:v>-5.2999999999999972</c:v>
                </c:pt>
                <c:pt idx="23">
                  <c:v>-2.5999999999999943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0DF-4BBB-AF27-DF5895EF60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axId val="114066176"/>
        <c:axId val="114067712"/>
      </c:barChart>
      <c:lineChart>
        <c:grouping val="standard"/>
        <c:varyColors val="0"/>
        <c:ser>
          <c:idx val="2"/>
          <c:order val="2"/>
          <c:tx>
            <c:strRef>
              <c:f>'Ceny 1'!$E$5</c:f>
              <c:strCache>
                <c:ptCount val="1"/>
                <c:pt idx="0">
                  <c:v>Nabídkové ceny bytů, ČR</c:v>
                </c:pt>
              </c:strCache>
            </c:strRef>
          </c:tx>
          <c:spPr>
            <a:ln w="19050">
              <a:solidFill>
                <a:schemeClr val="accent2"/>
              </a:solidFill>
            </a:ln>
          </c:spPr>
          <c:marker>
            <c:symbol val="none"/>
          </c:marker>
          <c:cat>
            <c:multiLvlStrRef>
              <c:f>'Ceny 1'!$A$6:$B$29</c:f>
              <c:multiLvlStrCache>
                <c:ptCount val="2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  <c:pt idx="8">
                    <c:v>2020</c:v>
                  </c:pt>
                  <c:pt idx="12">
                    <c:v>2021</c:v>
                  </c:pt>
                  <c:pt idx="16">
                    <c:v>2022</c:v>
                  </c:pt>
                  <c:pt idx="20">
                    <c:v>2023</c:v>
                  </c:pt>
                </c:lvl>
              </c:multiLvlStrCache>
            </c:multiLvlStrRef>
          </c:cat>
          <c:val>
            <c:numRef>
              <c:f>'Ceny 1'!$E$6:$E$29</c:f>
              <c:numCache>
                <c:formatCode>0.0</c:formatCode>
                <c:ptCount val="24"/>
                <c:pt idx="0">
                  <c:v>12.801932367149751</c:v>
                </c:pt>
                <c:pt idx="1">
                  <c:v>12.22570532915358</c:v>
                </c:pt>
                <c:pt idx="2">
                  <c:v>9.4988780852655257</c:v>
                </c:pt>
                <c:pt idx="3">
                  <c:v>8.4609773887673203</c:v>
                </c:pt>
                <c:pt idx="4">
                  <c:v>7.4232690935046488</c:v>
                </c:pt>
                <c:pt idx="5">
                  <c:v>5.7262569832402352</c:v>
                </c:pt>
                <c:pt idx="6">
                  <c:v>5.1912568306010893</c:v>
                </c:pt>
                <c:pt idx="7">
                  <c:v>5.5144586415601955</c:v>
                </c:pt>
                <c:pt idx="8">
                  <c:v>6.0465116279069644</c:v>
                </c:pt>
                <c:pt idx="9">
                  <c:v>7.1334214002641847</c:v>
                </c:pt>
                <c:pt idx="10">
                  <c:v>7.9870129870129887</c:v>
                </c:pt>
                <c:pt idx="11">
                  <c:v>7.6481835564053533</c:v>
                </c:pt>
                <c:pt idx="12">
                  <c:v>7.6441102756892256</c:v>
                </c:pt>
                <c:pt idx="13">
                  <c:v>7.9531442663378558</c:v>
                </c:pt>
                <c:pt idx="14">
                  <c:v>9.3205051112447475</c:v>
                </c:pt>
                <c:pt idx="15">
                  <c:v>12.433392539964474</c:v>
                </c:pt>
                <c:pt idx="16">
                  <c:v>16.8800931315483</c:v>
                </c:pt>
                <c:pt idx="17">
                  <c:v>24.671616219303267</c:v>
                </c:pt>
                <c:pt idx="18">
                  <c:v>22.937293729372925</c:v>
                </c:pt>
                <c:pt idx="19">
                  <c:v>18.325434439178501</c:v>
                </c:pt>
                <c:pt idx="20">
                  <c:v>9.8107569721115624</c:v>
                </c:pt>
                <c:pt idx="21" formatCode="General">
                  <c:v>-0.7329363261566757</c:v>
                </c:pt>
                <c:pt idx="22" formatCode="General">
                  <c:v>-3.3109619686800897</c:v>
                </c:pt>
                <c:pt idx="23" formatCode="General">
                  <c:v>-4.1833555852247324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0DF-4BBB-AF27-DF5895EF601D}"/>
            </c:ext>
          </c:extLst>
        </c:ser>
        <c:ser>
          <c:idx val="3"/>
          <c:order val="3"/>
          <c:tx>
            <c:strRef>
              <c:f>'Ceny 1'!$F$5</c:f>
              <c:strCache>
                <c:ptCount val="1"/>
                <c:pt idx="0">
                  <c:v>Nabídkové ceny bytů, Praha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multiLvlStrRef>
              <c:f>'Ceny 1'!$A$6:$B$29</c:f>
              <c:multiLvlStrCache>
                <c:ptCount val="2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  <c:pt idx="8">
                    <c:v>2020</c:v>
                  </c:pt>
                  <c:pt idx="12">
                    <c:v>2021</c:v>
                  </c:pt>
                  <c:pt idx="16">
                    <c:v>2022</c:v>
                  </c:pt>
                  <c:pt idx="20">
                    <c:v>2023</c:v>
                  </c:pt>
                </c:lvl>
              </c:multiLvlStrCache>
            </c:multiLvlStrRef>
          </c:cat>
          <c:val>
            <c:numRef>
              <c:f>'Ceny 1'!$F$6:$F$29</c:f>
              <c:numCache>
                <c:formatCode>0.0</c:formatCode>
                <c:ptCount val="24"/>
                <c:pt idx="0">
                  <c:v>15.071428571428555</c:v>
                </c:pt>
                <c:pt idx="1">
                  <c:v>14.246386785960068</c:v>
                </c:pt>
                <c:pt idx="2">
                  <c:v>10.732984293193699</c:v>
                </c:pt>
                <c:pt idx="3">
                  <c:v>8.7531486146095574</c:v>
                </c:pt>
                <c:pt idx="4">
                  <c:v>8.3178150217256377</c:v>
                </c:pt>
                <c:pt idx="5">
                  <c:v>4.9397590361445687</c:v>
                </c:pt>
                <c:pt idx="6">
                  <c:v>3.3096926713947985</c:v>
                </c:pt>
                <c:pt idx="7">
                  <c:v>2.9530978575564593</c:v>
                </c:pt>
                <c:pt idx="8">
                  <c:v>3.5530085959885289</c:v>
                </c:pt>
                <c:pt idx="9">
                  <c:v>5.2812858783008068</c:v>
                </c:pt>
                <c:pt idx="10">
                  <c:v>6.2356979405034298</c:v>
                </c:pt>
                <c:pt idx="11">
                  <c:v>5.1743532058492718</c:v>
                </c:pt>
                <c:pt idx="12">
                  <c:v>4.7592695074709628</c:v>
                </c:pt>
                <c:pt idx="13">
                  <c:v>4.5256270447110012</c:v>
                </c:pt>
                <c:pt idx="14">
                  <c:v>6.2466343564889808</c:v>
                </c:pt>
                <c:pt idx="15">
                  <c:v>9.1443850267379485</c:v>
                </c:pt>
                <c:pt idx="16">
                  <c:v>12.255678816693077</c:v>
                </c:pt>
                <c:pt idx="17">
                  <c:v>19.718309859154935</c:v>
                </c:pt>
                <c:pt idx="18">
                  <c:v>18.49974657881398</c:v>
                </c:pt>
                <c:pt idx="19">
                  <c:v>16.903478686918177</c:v>
                </c:pt>
                <c:pt idx="20">
                  <c:v>10.305882352941186</c:v>
                </c:pt>
                <c:pt idx="21" formatCode="General">
                  <c:v>0.30501089324617692</c:v>
                </c:pt>
                <c:pt idx="22" formatCode="General">
                  <c:v>-1.5825491873396085</c:v>
                </c:pt>
                <c:pt idx="23" formatCode="General">
                  <c:v>-3.5624476110645409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0DF-4BBB-AF27-DF5895EF60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4066176"/>
        <c:axId val="114067712"/>
      </c:lineChart>
      <c:catAx>
        <c:axId val="1140661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14067712"/>
        <c:crosses val="autoZero"/>
        <c:auto val="1"/>
        <c:lblAlgn val="ctr"/>
        <c:lblOffset val="100"/>
        <c:noMultiLvlLbl val="0"/>
      </c:catAx>
      <c:valAx>
        <c:axId val="114067712"/>
        <c:scaling>
          <c:orientation val="minMax"/>
          <c:max val="28"/>
          <c:min val="-8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114066176"/>
        <c:crosses val="autoZero"/>
        <c:crossBetween val="between"/>
        <c:majorUnit val="4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7.3334810874704504E-2"/>
          <c:y val="0.88817854328492629"/>
          <c:w val="0.89999282337048314"/>
          <c:h val="9.8380614657210319E-2"/>
        </c:manualLayout>
      </c:layout>
      <c:overlay val="0"/>
      <c:spPr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510469436001386E-2"/>
          <c:y val="2.1811315924220448E-2"/>
          <c:w val="0.90860161263086836"/>
          <c:h val="0.716632331419565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'Ceny 4'!$C$5</c:f>
              <c:strCache>
                <c:ptCount val="1"/>
                <c:pt idx="0">
                  <c:v>Celkem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19050">
              <a:noFill/>
            </a:ln>
          </c:spPr>
          <c:invertIfNegative val="0"/>
          <c:cat>
            <c:multiLvlStrRef>
              <c:f>'Ceny 4'!$A$6:$B$29</c:f>
              <c:multiLvlStrCache>
                <c:ptCount val="2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  <c:pt idx="8">
                    <c:v>2020</c:v>
                  </c:pt>
                  <c:pt idx="12">
                    <c:v>2021</c:v>
                  </c:pt>
                  <c:pt idx="16">
                    <c:v>2022</c:v>
                  </c:pt>
                  <c:pt idx="20">
                    <c:v>2023</c:v>
                  </c:pt>
                </c:lvl>
              </c:multiLvlStrCache>
            </c:multiLvlStrRef>
          </c:cat>
          <c:val>
            <c:numRef>
              <c:f>'Ceny 4'!$C$6:$C$29</c:f>
              <c:numCache>
                <c:formatCode>General</c:formatCode>
                <c:ptCount val="24"/>
                <c:pt idx="0">
                  <c:v>9.9999999999994357E-2</c:v>
                </c:pt>
                <c:pt idx="1">
                  <c:v>1.5</c:v>
                </c:pt>
                <c:pt idx="2">
                  <c:v>3.2999999999999972</c:v>
                </c:pt>
                <c:pt idx="3">
                  <c:v>3.4000000000000057</c:v>
                </c:pt>
                <c:pt idx="4">
                  <c:v>3.5</c:v>
                </c:pt>
                <c:pt idx="5">
                  <c:v>3.5</c:v>
                </c:pt>
                <c:pt idx="6">
                  <c:v>2</c:v>
                </c:pt>
                <c:pt idx="7">
                  <c:v>1.2999999999999965</c:v>
                </c:pt>
                <c:pt idx="8">
                  <c:v>1.4000000000000057</c:v>
                </c:pt>
                <c:pt idx="9">
                  <c:v>-0.59999999999999432</c:v>
                </c:pt>
                <c:pt idx="10">
                  <c:v>-0.29999999999999738</c:v>
                </c:pt>
                <c:pt idx="11">
                  <c:v>9.9999999999994357E-2</c:v>
                </c:pt>
                <c:pt idx="12">
                  <c:v>1.5</c:v>
                </c:pt>
                <c:pt idx="13">
                  <c:v>5.2999999999999972</c:v>
                </c:pt>
                <c:pt idx="14">
                  <c:v>9</c:v>
                </c:pt>
                <c:pt idx="15">
                  <c:v>12.8</c:v>
                </c:pt>
                <c:pt idx="16">
                  <c:v>21.79999999999999</c:v>
                </c:pt>
                <c:pt idx="17">
                  <c:v>27.700000000000003</c:v>
                </c:pt>
                <c:pt idx="18">
                  <c:v>25.900000000000006</c:v>
                </c:pt>
                <c:pt idx="19">
                  <c:v>21.79999999999999</c:v>
                </c:pt>
                <c:pt idx="20">
                  <c:v>15</c:v>
                </c:pt>
                <c:pt idx="21">
                  <c:v>3.9000000000000057</c:v>
                </c:pt>
                <c:pt idx="22">
                  <c:v>1.3</c:v>
                </c:pt>
                <c:pt idx="23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ED-4B2B-AD2A-DB41E36B95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6"/>
        <c:axId val="116047872"/>
        <c:axId val="116049408"/>
      </c:barChart>
      <c:lineChart>
        <c:grouping val="standard"/>
        <c:varyColors val="0"/>
        <c:ser>
          <c:idx val="1"/>
          <c:order val="1"/>
          <c:tx>
            <c:strRef>
              <c:f>'Ceny 4'!$D$5</c:f>
              <c:strCache>
                <c:ptCount val="1"/>
                <c:pt idx="0">
                  <c:v>Těžba a dobývání</c:v>
                </c:pt>
              </c:strCache>
            </c:strRef>
          </c:tx>
          <c:spPr>
            <a:ln w="19050">
              <a:solidFill>
                <a:srgbClr val="7DBB2D"/>
              </a:solidFill>
            </a:ln>
          </c:spPr>
          <c:marker>
            <c:symbol val="none"/>
          </c:marker>
          <c:cat>
            <c:multiLvlStrRef>
              <c:f>'Ceny 4'!$A$6:$B$29</c:f>
              <c:multiLvlStrCache>
                <c:ptCount val="2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  <c:pt idx="8">
                    <c:v>2020</c:v>
                  </c:pt>
                  <c:pt idx="12">
                    <c:v>2021</c:v>
                  </c:pt>
                  <c:pt idx="16">
                    <c:v>2022</c:v>
                  </c:pt>
                  <c:pt idx="20">
                    <c:v>2023</c:v>
                  </c:pt>
                </c:lvl>
              </c:multiLvlStrCache>
            </c:multiLvlStrRef>
          </c:cat>
          <c:val>
            <c:numRef>
              <c:f>'Ceny 4'!$D$6:$D$29</c:f>
              <c:numCache>
                <c:formatCode>General</c:formatCode>
                <c:ptCount val="24"/>
                <c:pt idx="0">
                  <c:v>5.4000000000000075</c:v>
                </c:pt>
                <c:pt idx="1">
                  <c:v>6.7000000000000028</c:v>
                </c:pt>
                <c:pt idx="2">
                  <c:v>9.4000000000000057</c:v>
                </c:pt>
                <c:pt idx="3">
                  <c:v>8.8000000000000025</c:v>
                </c:pt>
                <c:pt idx="4">
                  <c:v>7.7000000000000028</c:v>
                </c:pt>
                <c:pt idx="5">
                  <c:v>7.7000000000000028</c:v>
                </c:pt>
                <c:pt idx="6">
                  <c:v>6.7000000000000028</c:v>
                </c:pt>
                <c:pt idx="7">
                  <c:v>3.7000000000000037</c:v>
                </c:pt>
                <c:pt idx="8">
                  <c:v>-2.0999999999999943</c:v>
                </c:pt>
                <c:pt idx="9">
                  <c:v>-3.5</c:v>
                </c:pt>
                <c:pt idx="10">
                  <c:v>-3.5999999999999943</c:v>
                </c:pt>
                <c:pt idx="11">
                  <c:v>-2</c:v>
                </c:pt>
                <c:pt idx="12">
                  <c:v>-0.5</c:v>
                </c:pt>
                <c:pt idx="13">
                  <c:v>0.79999999999999738</c:v>
                </c:pt>
                <c:pt idx="14">
                  <c:v>3.2999999999999972</c:v>
                </c:pt>
                <c:pt idx="15">
                  <c:v>13.8</c:v>
                </c:pt>
                <c:pt idx="16">
                  <c:v>25.200000000000003</c:v>
                </c:pt>
                <c:pt idx="17">
                  <c:v>31.900000000000006</c:v>
                </c:pt>
                <c:pt idx="18">
                  <c:v>30.199999999999992</c:v>
                </c:pt>
                <c:pt idx="19">
                  <c:v>23.29999999999999</c:v>
                </c:pt>
                <c:pt idx="20">
                  <c:v>54</c:v>
                </c:pt>
                <c:pt idx="21">
                  <c:v>47.600000000000009</c:v>
                </c:pt>
                <c:pt idx="22">
                  <c:v>44.5</c:v>
                </c:pt>
                <c:pt idx="23">
                  <c:v>40.200000000000003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2ED-4B2B-AD2A-DB41E36B9572}"/>
            </c:ext>
          </c:extLst>
        </c:ser>
        <c:ser>
          <c:idx val="2"/>
          <c:order val="2"/>
          <c:tx>
            <c:strRef>
              <c:f>'Ceny 4'!$E$5</c:f>
              <c:strCache>
                <c:ptCount val="1"/>
                <c:pt idx="0">
                  <c:v>Zpracovatelský průmysl</c:v>
                </c:pt>
              </c:strCache>
            </c:strRef>
          </c:tx>
          <c:spPr>
            <a:ln w="19050">
              <a:solidFill>
                <a:srgbClr val="BD1B21"/>
              </a:solidFill>
            </a:ln>
          </c:spPr>
          <c:marker>
            <c:symbol val="none"/>
          </c:marker>
          <c:cat>
            <c:multiLvlStrRef>
              <c:f>'Ceny 4'!$A$6:$B$29</c:f>
              <c:multiLvlStrCache>
                <c:ptCount val="2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  <c:pt idx="8">
                    <c:v>2020</c:v>
                  </c:pt>
                  <c:pt idx="12">
                    <c:v>2021</c:v>
                  </c:pt>
                  <c:pt idx="16">
                    <c:v>2022</c:v>
                  </c:pt>
                  <c:pt idx="20">
                    <c:v>2023</c:v>
                  </c:pt>
                </c:lvl>
              </c:multiLvlStrCache>
            </c:multiLvlStrRef>
          </c:cat>
          <c:val>
            <c:numRef>
              <c:f>'Ceny 4'!$E$6:$E$29</c:f>
              <c:numCache>
                <c:formatCode>General</c:formatCode>
                <c:ptCount val="24"/>
                <c:pt idx="0">
                  <c:v>-0.40000000000000568</c:v>
                </c:pt>
                <c:pt idx="1">
                  <c:v>1.2000000000000028</c:v>
                </c:pt>
                <c:pt idx="2">
                  <c:v>3.2000000000000037</c:v>
                </c:pt>
                <c:pt idx="3">
                  <c:v>3.2999999999999972</c:v>
                </c:pt>
                <c:pt idx="4">
                  <c:v>2.5999999999999943</c:v>
                </c:pt>
                <c:pt idx="5">
                  <c:v>2.5999999999999943</c:v>
                </c:pt>
                <c:pt idx="6">
                  <c:v>0.79999999999999738</c:v>
                </c:pt>
                <c:pt idx="7">
                  <c:v>-9.9999999999994357E-2</c:v>
                </c:pt>
                <c:pt idx="8">
                  <c:v>0</c:v>
                </c:pt>
                <c:pt idx="9">
                  <c:v>-2.2999999999999972</c:v>
                </c:pt>
                <c:pt idx="10">
                  <c:v>-1.7999999999999965</c:v>
                </c:pt>
                <c:pt idx="11">
                  <c:v>-1.2000000000000028</c:v>
                </c:pt>
                <c:pt idx="12">
                  <c:v>1.7999999999999965</c:v>
                </c:pt>
                <c:pt idx="13">
                  <c:v>6.5</c:v>
                </c:pt>
                <c:pt idx="14">
                  <c:v>11</c:v>
                </c:pt>
                <c:pt idx="15">
                  <c:v>14.5</c:v>
                </c:pt>
                <c:pt idx="16">
                  <c:v>17.5</c:v>
                </c:pt>
                <c:pt idx="17">
                  <c:v>24.200000000000003</c:v>
                </c:pt>
                <c:pt idx="18">
                  <c:v>20.5</c:v>
                </c:pt>
                <c:pt idx="19">
                  <c:v>16</c:v>
                </c:pt>
                <c:pt idx="20">
                  <c:v>10.3</c:v>
                </c:pt>
                <c:pt idx="21">
                  <c:v>-0.90000000000000568</c:v>
                </c:pt>
                <c:pt idx="22">
                  <c:v>-2.4</c:v>
                </c:pt>
                <c:pt idx="23">
                  <c:v>-2.2999999999999998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2ED-4B2B-AD2A-DB41E36B9572}"/>
            </c:ext>
          </c:extLst>
        </c:ser>
        <c:ser>
          <c:idx val="3"/>
          <c:order val="3"/>
          <c:tx>
            <c:strRef>
              <c:f>'Ceny 4'!$F$5</c:f>
              <c:strCache>
                <c:ptCount val="1"/>
                <c:pt idx="0">
                  <c:v>Elektřina, plyn, pára a klim. vzduch</c:v>
                </c:pt>
              </c:strCache>
            </c:strRef>
          </c:tx>
          <c:spPr>
            <a:ln w="19050">
              <a:solidFill>
                <a:srgbClr val="F8A124"/>
              </a:solidFill>
            </a:ln>
          </c:spPr>
          <c:marker>
            <c:symbol val="none"/>
          </c:marker>
          <c:cat>
            <c:multiLvlStrRef>
              <c:f>'Ceny 4'!$A$6:$B$29</c:f>
              <c:multiLvlStrCache>
                <c:ptCount val="2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  <c:pt idx="8">
                    <c:v>2020</c:v>
                  </c:pt>
                  <c:pt idx="12">
                    <c:v>2021</c:v>
                  </c:pt>
                  <c:pt idx="16">
                    <c:v>2022</c:v>
                  </c:pt>
                  <c:pt idx="20">
                    <c:v>2023</c:v>
                  </c:pt>
                </c:lvl>
              </c:multiLvlStrCache>
            </c:multiLvlStrRef>
          </c:cat>
          <c:val>
            <c:numRef>
              <c:f>'Ceny 4'!$F$6:$F$29</c:f>
              <c:numCache>
                <c:formatCode>General</c:formatCode>
                <c:ptCount val="24"/>
                <c:pt idx="0">
                  <c:v>1.5</c:v>
                </c:pt>
                <c:pt idx="1">
                  <c:v>1.9000000000000061</c:v>
                </c:pt>
                <c:pt idx="2">
                  <c:v>2.5999999999999943</c:v>
                </c:pt>
                <c:pt idx="3">
                  <c:v>2.7999999999999972</c:v>
                </c:pt>
                <c:pt idx="4">
                  <c:v>7.7000000000000028</c:v>
                </c:pt>
                <c:pt idx="5">
                  <c:v>8.3000000000000025</c:v>
                </c:pt>
                <c:pt idx="6">
                  <c:v>7.7999999999999972</c:v>
                </c:pt>
                <c:pt idx="7">
                  <c:v>8.3000000000000025</c:v>
                </c:pt>
                <c:pt idx="8">
                  <c:v>8.9000000000000057</c:v>
                </c:pt>
                <c:pt idx="9">
                  <c:v>8.2000000000000011</c:v>
                </c:pt>
                <c:pt idx="10">
                  <c:v>7.7999999999999972</c:v>
                </c:pt>
                <c:pt idx="11">
                  <c:v>6.0999999999999943</c:v>
                </c:pt>
                <c:pt idx="12">
                  <c:v>0.29999999999999738</c:v>
                </c:pt>
                <c:pt idx="13">
                  <c:v>9.9999999999994357E-2</c:v>
                </c:pt>
                <c:pt idx="14">
                  <c:v>0.79999999999999738</c:v>
                </c:pt>
                <c:pt idx="15">
                  <c:v>5.5</c:v>
                </c:pt>
                <c:pt idx="16">
                  <c:v>45</c:v>
                </c:pt>
                <c:pt idx="17">
                  <c:v>47.20000000000001</c:v>
                </c:pt>
                <c:pt idx="18">
                  <c:v>56</c:v>
                </c:pt>
                <c:pt idx="19">
                  <c:v>54.300000000000004</c:v>
                </c:pt>
                <c:pt idx="20">
                  <c:v>28.400000000000006</c:v>
                </c:pt>
                <c:pt idx="21">
                  <c:v>18.400000000000006</c:v>
                </c:pt>
                <c:pt idx="22">
                  <c:v>10.5</c:v>
                </c:pt>
                <c:pt idx="23">
                  <c:v>7.1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2ED-4B2B-AD2A-DB41E36B9572}"/>
            </c:ext>
          </c:extLst>
        </c:ser>
        <c:ser>
          <c:idx val="4"/>
          <c:order val="4"/>
          <c:tx>
            <c:strRef>
              <c:f>'Ceny 4'!$G$5</c:f>
              <c:strCache>
                <c:ptCount val="1"/>
                <c:pt idx="0">
                  <c:v>Zás. vodou; odpadní vody</c:v>
                </c:pt>
              </c:strCache>
            </c:strRef>
          </c:tx>
          <c:spPr>
            <a:ln w="19050">
              <a:solidFill>
                <a:schemeClr val="accent1"/>
              </a:solidFill>
            </a:ln>
          </c:spPr>
          <c:marker>
            <c:symbol val="none"/>
          </c:marker>
          <c:cat>
            <c:multiLvlStrRef>
              <c:f>'Ceny 4'!$A$6:$B$29</c:f>
              <c:multiLvlStrCache>
                <c:ptCount val="2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  <c:pt idx="8">
                    <c:v>2020</c:v>
                  </c:pt>
                  <c:pt idx="12">
                    <c:v>2021</c:v>
                  </c:pt>
                  <c:pt idx="16">
                    <c:v>2022</c:v>
                  </c:pt>
                  <c:pt idx="20">
                    <c:v>2023</c:v>
                  </c:pt>
                </c:lvl>
              </c:multiLvlStrCache>
            </c:multiLvlStrRef>
          </c:cat>
          <c:val>
            <c:numRef>
              <c:f>'Ceny 4'!$G$6:$G$29</c:f>
              <c:numCache>
                <c:formatCode>General</c:formatCode>
                <c:ptCount val="24"/>
                <c:pt idx="0">
                  <c:v>1.9000000000000061</c:v>
                </c:pt>
                <c:pt idx="1">
                  <c:v>1.9000000000000061</c:v>
                </c:pt>
                <c:pt idx="2">
                  <c:v>1.9000000000000061</c:v>
                </c:pt>
                <c:pt idx="3">
                  <c:v>1.9000000000000061</c:v>
                </c:pt>
                <c:pt idx="4">
                  <c:v>2.9000000000000057</c:v>
                </c:pt>
                <c:pt idx="5">
                  <c:v>2.9000000000000057</c:v>
                </c:pt>
                <c:pt idx="6">
                  <c:v>2.9000000000000057</c:v>
                </c:pt>
                <c:pt idx="7">
                  <c:v>2.9000000000000057</c:v>
                </c:pt>
                <c:pt idx="8">
                  <c:v>5.4000000000000075</c:v>
                </c:pt>
                <c:pt idx="9">
                  <c:v>6.0999999999999943</c:v>
                </c:pt>
                <c:pt idx="10">
                  <c:v>6.4000000000000075</c:v>
                </c:pt>
                <c:pt idx="11">
                  <c:v>6.4000000000000075</c:v>
                </c:pt>
                <c:pt idx="12">
                  <c:v>6.9000000000000075</c:v>
                </c:pt>
                <c:pt idx="13">
                  <c:v>6.2000000000000028</c:v>
                </c:pt>
                <c:pt idx="14">
                  <c:v>5.9000000000000075</c:v>
                </c:pt>
                <c:pt idx="15">
                  <c:v>5.9000000000000075</c:v>
                </c:pt>
                <c:pt idx="16">
                  <c:v>5.2999999999999972</c:v>
                </c:pt>
                <c:pt idx="17">
                  <c:v>5.2999999999999972</c:v>
                </c:pt>
                <c:pt idx="18">
                  <c:v>5.2999999999999972</c:v>
                </c:pt>
                <c:pt idx="19">
                  <c:v>5.2999999999999972</c:v>
                </c:pt>
                <c:pt idx="20">
                  <c:v>16.29999999999999</c:v>
                </c:pt>
                <c:pt idx="21">
                  <c:v>16.29999999999999</c:v>
                </c:pt>
                <c:pt idx="22">
                  <c:v>16.3</c:v>
                </c:pt>
                <c:pt idx="23">
                  <c:v>16.3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F2ED-4B2B-AD2A-DB41E36B95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6047872"/>
        <c:axId val="116049408"/>
      </c:lineChart>
      <c:catAx>
        <c:axId val="1160478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crossAx val="116049408"/>
        <c:crosses val="autoZero"/>
        <c:auto val="1"/>
        <c:lblAlgn val="ctr"/>
        <c:lblOffset val="100"/>
        <c:noMultiLvlLbl val="0"/>
      </c:catAx>
      <c:valAx>
        <c:axId val="116049408"/>
        <c:scaling>
          <c:orientation val="minMax"/>
          <c:min val="-5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116047872"/>
        <c:crosses val="autoZero"/>
        <c:crossBetween val="between"/>
        <c:majorUnit val="5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6.1319022289766968E-2"/>
          <c:y val="0.86223931272106069"/>
          <c:w val="0.90901046943600139"/>
          <c:h val="0.12109402425765231"/>
        </c:manualLayout>
      </c:layout>
      <c:overlay val="0"/>
      <c:spPr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204C7C21F48A488F44995C5F8FB06D" ma:contentTypeVersion="11" ma:contentTypeDescription="Vytvoří nový dokument" ma:contentTypeScope="" ma:versionID="9a58d24f60b264923fe9c7150327a53c">
  <xsd:schema xmlns:xsd="http://www.w3.org/2001/XMLSchema" xmlns:xs="http://www.w3.org/2001/XMLSchema" xmlns:p="http://schemas.microsoft.com/office/2006/metadata/properties" xmlns:ns3="b8c0c86d-151e-4fca-b0d5-747e6692fa1d" targetNamespace="http://schemas.microsoft.com/office/2006/metadata/properties" ma:root="true" ma:fieldsID="91c8efd7c542b57fe84d8bfb95d003d1" ns3:_="">
    <xsd:import namespace="b8c0c86d-151e-4fca-b0d5-747e6692fa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0c86d-151e-4fca-b0d5-747e6692f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7926D-EFC2-4F8B-B71C-495191F493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E561CC-7D6C-40EF-AB10-C45997A72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0c86d-151e-4fca-b0d5-747e6692f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238702-393C-4E0B-95FC-6397490058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783FCC-3A2F-437D-9FC6-CFD141DAB98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0CB7726-A2D1-4649-8CC3-E52C1B539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Q_analyza_Q12018.dotx</Template>
  <TotalTime>2</TotalTime>
  <Pages>7</Pages>
  <Words>3062</Words>
  <Characters>18069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21089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Karolína Súkupová</dc:creator>
  <cp:keywords/>
  <dc:description/>
  <cp:lastModifiedBy>Zábojníková Karolína</cp:lastModifiedBy>
  <cp:revision>4</cp:revision>
  <cp:lastPrinted>2023-06-09T17:23:00Z</cp:lastPrinted>
  <dcterms:created xsi:type="dcterms:W3CDTF">2024-03-21T10:53:00Z</dcterms:created>
  <dcterms:modified xsi:type="dcterms:W3CDTF">2024-03-21T11:00:00Z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0x01010070204C7C21F48A488F44995C5F8FB06D</vt:lpwstr>
  </property>
</Properties>
</file>