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26" w:rsidRPr="00A74192" w:rsidRDefault="00DD0726" w:rsidP="005E4C34">
      <w:pPr>
        <w:pStyle w:val="Nadpis1"/>
        <w:numPr>
          <w:ilvl w:val="0"/>
          <w:numId w:val="24"/>
        </w:numPr>
        <w:jc w:val="both"/>
      </w:pPr>
      <w:bookmarkStart w:id="0" w:name="_Toc501441380"/>
      <w:bookmarkStart w:id="1" w:name="_Toc454185153"/>
      <w:r w:rsidRPr="00A74192">
        <w:t>Ceny</w:t>
      </w:r>
      <w:bookmarkEnd w:id="0"/>
    </w:p>
    <w:tbl>
      <w:tblPr>
        <w:tblW w:w="4963" w:type="pct"/>
        <w:tblInd w:w="108" w:type="dxa"/>
        <w:tblLayout w:type="fixed"/>
        <w:tblLook w:val="00A0"/>
      </w:tblPr>
      <w:tblGrid>
        <w:gridCol w:w="1985"/>
        <w:gridCol w:w="282"/>
        <w:gridCol w:w="1135"/>
        <w:gridCol w:w="6379"/>
      </w:tblGrid>
      <w:tr w:rsidR="00254069" w:rsidRPr="00A74192" w:rsidTr="006C3DC1">
        <w:tc>
          <w:tcPr>
            <w:tcW w:w="1015" w:type="pct"/>
          </w:tcPr>
          <w:p w:rsidR="00254069" w:rsidRPr="00A74192" w:rsidRDefault="00254069" w:rsidP="00333134">
            <w:pPr>
              <w:spacing w:line="240" w:lineRule="auto"/>
              <w:ind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Celkový meziroční růst cen v ekonomice dosáhl 1,6</w:t>
            </w:r>
            <w:r w:rsidR="005723B7">
              <w:rPr>
                <w:sz w:val="16"/>
                <w:szCs w:val="16"/>
              </w:rPr>
              <w:t> %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4" w:type="pct"/>
          </w:tcPr>
          <w:p w:rsidR="00254069" w:rsidRPr="00A74192" w:rsidRDefault="00254069" w:rsidP="00333134">
            <w:pPr>
              <w:pStyle w:val="Textpoznpodarou"/>
              <w:jc w:val="both"/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Celkový meziroční růst cenové hladiny v Česku měřený deflátorem HDP dosáhl 1,6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Ve směru růstu cenové hladiny kladně působil deflátor výdajů na spotřebu domácností (2,4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</w:t>
            </w:r>
            <w:r w:rsidR="00B6206C">
              <w:rPr>
                <w:spacing w:val="-4"/>
              </w:rPr>
              <w:t xml:space="preserve"> </w:t>
            </w:r>
            <w:r>
              <w:rPr>
                <w:spacing w:val="-4"/>
              </w:rPr>
              <w:t>vládních institucí (3,8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Rostly i ceny kapitálových statků (1,4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Negativně působily pouze směnné relace. Ceny vývozu totiž klesaly rychleji než ceny dovozu.</w:t>
            </w:r>
          </w:p>
          <w:p w:rsidR="00254069" w:rsidRPr="00A747C1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254069" w:rsidRPr="00F81A26" w:rsidTr="006C3DC1">
        <w:tc>
          <w:tcPr>
            <w:tcW w:w="1015" w:type="pct"/>
          </w:tcPr>
          <w:p w:rsidR="00254069" w:rsidRPr="00F81A26" w:rsidRDefault="00254069" w:rsidP="00333134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Meziroční růst spotřebitelských cen zůstal nad 2</w:t>
            </w:r>
            <w:r w:rsidR="005723B7">
              <w:rPr>
                <w:spacing w:val="-4"/>
                <w:sz w:val="16"/>
                <w:szCs w:val="16"/>
              </w:rPr>
              <w:t> %</w:t>
            </w:r>
            <w:r>
              <w:rPr>
                <w:spacing w:val="-4"/>
                <w:sz w:val="16"/>
                <w:szCs w:val="16"/>
              </w:rPr>
              <w:t>.</w:t>
            </w:r>
          </w:p>
        </w:tc>
        <w:tc>
          <w:tcPr>
            <w:tcW w:w="144" w:type="pct"/>
          </w:tcPr>
          <w:p w:rsidR="00254069" w:rsidRPr="00F81A26" w:rsidRDefault="00254069" w:rsidP="0033313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Spotřebitelské ceny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meziročně vzrostly o 2,5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, což bylo nejvíce </w:t>
            </w:r>
            <w:r w:rsidRPr="009402D5">
              <w:t>od</w:t>
            </w:r>
            <w:r>
              <w:t> </w:t>
            </w:r>
            <w:r w:rsidRPr="009402D5">
              <w:t>začátku</w:t>
            </w:r>
            <w:r>
              <w:rPr>
                <w:spacing w:val="-4"/>
              </w:rPr>
              <w:t xml:space="preserve"> roku. Celkový meziroční růst spotřebitelských cen za uplynulá tři čtvrtletí pak dosáhl 2,4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Z hlavních složek spotřebního koše nejsilněji ovlivnily růst cen ve 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potraviny a nealkoholické nápoje (1,0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>), bydlení, voda, energie a paliva (0,5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>) a stravování a ubytování (0,4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>). V trojici položek s největším vlivem na celkový růst cen tak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nebyla zastoupena doprava, která přispěla 0,3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</w:p>
          <w:p w:rsidR="00254069" w:rsidRPr="00E21F0E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254069" w:rsidRPr="00F81A26" w:rsidTr="006C3DC1">
        <w:tc>
          <w:tcPr>
            <w:tcW w:w="1015" w:type="pct"/>
          </w:tcPr>
          <w:p w:rsidR="00254069" w:rsidRPr="00F81A26" w:rsidRDefault="00254069" w:rsidP="00333134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K růstu přispěly ceny potravin i bydlení. </w:t>
            </w:r>
          </w:p>
        </w:tc>
        <w:tc>
          <w:tcPr>
            <w:tcW w:w="144" w:type="pct"/>
          </w:tcPr>
          <w:p w:rsidR="00254069" w:rsidRPr="00F81A26" w:rsidRDefault="00254069" w:rsidP="0033313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Ceny výše zmíněných potravin a nealkoholických nápojů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meziročně vzrostly o 5,7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, což je </w:t>
            </w:r>
            <w:r w:rsidR="00487E32">
              <w:rPr>
                <w:spacing w:val="-4"/>
              </w:rPr>
              <w:t xml:space="preserve">růst </w:t>
            </w:r>
            <w:r>
              <w:rPr>
                <w:spacing w:val="-4"/>
              </w:rPr>
              <w:t>o více než 1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vyšší</w:t>
            </w:r>
            <w:proofErr w:type="gramEnd"/>
            <w:r>
              <w:rPr>
                <w:spacing w:val="-4"/>
              </w:rPr>
              <w:t xml:space="preserve"> než v předchozích dvou kvartálech. Popsané zrychlení růstu lze přičíst především meziročnímu zvýšení cen mléka, sýrů a vajec o 12,9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(v porovnání s předchozím čtvrtletím více o 3,1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>). Výrazně přispěly i pekárenské výrobky a obiloviny (5,7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maso (5,4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Hojně diskutované zdražování másla se promítlo do cen olejů a tuků, které vzrostly o 19,1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Ceny bydlení, vody, energie a paliv se meziročně zvýšily o 2,1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což je o 0,6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více</w:t>
            </w:r>
            <w:proofErr w:type="gramEnd"/>
            <w:r>
              <w:rPr>
                <w:spacing w:val="-4"/>
              </w:rPr>
              <w:t xml:space="preserve"> než v předchozím čtvrtletí. V tomto oddílu rostly pouze ceny bydlení a souvisejících položek. Nejvýrazněji rostlo imputované nájemné (meziročně o 5,0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zrychlení oproti minulému čtvrtletí o</w:t>
            </w:r>
            <w:r w:rsidR="00487E32">
              <w:rPr>
                <w:spacing w:val="-4"/>
              </w:rPr>
              <w:t> </w:t>
            </w:r>
            <w:r>
              <w:rPr>
                <w:spacing w:val="-4"/>
              </w:rPr>
              <w:t>1,1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>). Nájemné z bytů vzrostlo o 2,2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. Naopak ceny elektřiny, tepla, plynu a ostatních paliv mírně </w:t>
            </w:r>
            <w:proofErr w:type="gramStart"/>
            <w:r>
              <w:rPr>
                <w:spacing w:val="-4"/>
              </w:rPr>
              <w:t>klesaly (</w:t>
            </w:r>
            <w:r w:rsidR="00487E32">
              <w:rPr>
                <w:spacing w:val="-4"/>
              </w:rPr>
              <w:t>–</w:t>
            </w:r>
            <w:r>
              <w:rPr>
                <w:spacing w:val="-4"/>
              </w:rPr>
              <w:t>0,3</w:t>
            </w:r>
            <w:proofErr w:type="gramEnd"/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</w:t>
            </w:r>
          </w:p>
          <w:p w:rsidR="00254069" w:rsidRPr="00D27653" w:rsidRDefault="00254069" w:rsidP="00333134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jc w:val="center"/>
              <w:rPr>
                <w:spacing w:val="-4"/>
                <w:szCs w:val="20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580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  <w:r w:rsidRPr="00F81A26">
              <w:rPr>
                <w:spacing w:val="-4"/>
              </w:rPr>
              <w:t>Graf č. 11</w:t>
            </w:r>
          </w:p>
        </w:tc>
        <w:tc>
          <w:tcPr>
            <w:tcW w:w="3261" w:type="pct"/>
          </w:tcPr>
          <w:p w:rsidR="00DD0726" w:rsidRPr="00F81A26" w:rsidRDefault="00DD0726" w:rsidP="006C3DC1">
            <w:pPr>
              <w:pStyle w:val="Textpoznpodarou"/>
              <w:rPr>
                <w:spacing w:val="-4"/>
              </w:rPr>
            </w:pPr>
            <w:r w:rsidRPr="00F81A26">
              <w:rPr>
                <w:b/>
                <w:spacing w:val="-4"/>
              </w:rPr>
              <w:t>Ceny ve vybraných oddílech indexu spotřebitelských cen</w:t>
            </w:r>
            <w:r w:rsidRPr="00F81A26">
              <w:rPr>
                <w:spacing w:val="-4"/>
              </w:rPr>
              <w:t xml:space="preserve"> (meziroční změna, v</w:t>
            </w:r>
            <w:r w:rsidR="005723B7">
              <w:rPr>
                <w:spacing w:val="-4"/>
              </w:rPr>
              <w:t> %</w:t>
            </w:r>
            <w:r w:rsidRPr="00F81A26">
              <w:rPr>
                <w:spacing w:val="-4"/>
              </w:rPr>
              <w:t>)</w:t>
            </w: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DD0726" w:rsidRPr="00F81A26" w:rsidRDefault="00254069" w:rsidP="006C3DC1">
            <w:pPr>
              <w:pStyle w:val="Textpoznpodarou"/>
              <w:ind w:left="-54"/>
              <w:jc w:val="both"/>
              <w:rPr>
                <w:spacing w:val="-4"/>
              </w:rPr>
            </w:pPr>
            <w:r w:rsidRPr="00254069">
              <w:rPr>
                <w:noProof/>
                <w:spacing w:val="-4"/>
              </w:rPr>
              <w:drawing>
                <wp:inline distT="0" distB="0" distL="0" distR="0">
                  <wp:extent cx="4737600" cy="3553200"/>
                  <wp:effectExtent l="0" t="0" r="0" b="0"/>
                  <wp:docPr id="23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DD0726" w:rsidRPr="00F81A26" w:rsidRDefault="00DD0726" w:rsidP="006C3DC1">
            <w:pPr>
              <w:pStyle w:val="Textpoznpodarou"/>
              <w:ind w:left="-54"/>
              <w:jc w:val="right"/>
              <w:rPr>
                <w:spacing w:val="-4"/>
                <w:sz w:val="14"/>
                <w:szCs w:val="14"/>
              </w:rPr>
            </w:pPr>
            <w:r w:rsidRPr="00F81A26">
              <w:rPr>
                <w:spacing w:val="-4"/>
                <w:sz w:val="14"/>
                <w:szCs w:val="14"/>
              </w:rPr>
              <w:t>Zdroj: ČSÚ</w:t>
            </w:r>
          </w:p>
          <w:p w:rsidR="00DD0726" w:rsidRPr="00F81A26" w:rsidRDefault="00DD0726" w:rsidP="006C3DC1">
            <w:pPr>
              <w:pStyle w:val="Textpoznpodarou"/>
              <w:ind w:left="-54"/>
              <w:jc w:val="right"/>
              <w:rPr>
                <w:spacing w:val="-4"/>
                <w:sz w:val="14"/>
                <w:szCs w:val="14"/>
              </w:rPr>
            </w:pPr>
          </w:p>
        </w:tc>
      </w:tr>
      <w:tr w:rsidR="00254069" w:rsidRPr="00F81A26" w:rsidTr="006C3DC1">
        <w:tc>
          <w:tcPr>
            <w:tcW w:w="1015" w:type="pct"/>
          </w:tcPr>
          <w:p w:rsidR="00254069" w:rsidRPr="00F81A26" w:rsidRDefault="00254069" w:rsidP="00333134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Nezanedbatelný byl vliv cen ubytování a</w:t>
            </w:r>
            <w:r w:rsidR="00487E32">
              <w:rPr>
                <w:spacing w:val="-4"/>
                <w:sz w:val="16"/>
                <w:szCs w:val="16"/>
              </w:rPr>
              <w:t> </w:t>
            </w:r>
            <w:r>
              <w:rPr>
                <w:spacing w:val="-4"/>
                <w:sz w:val="16"/>
                <w:szCs w:val="16"/>
              </w:rPr>
              <w:t>stravování.</w:t>
            </w:r>
          </w:p>
        </w:tc>
        <w:tc>
          <w:tcPr>
            <w:tcW w:w="144" w:type="pct"/>
          </w:tcPr>
          <w:p w:rsidR="00254069" w:rsidRPr="00F81A26" w:rsidRDefault="00254069" w:rsidP="0033313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Třetím nejvýraznějším hybatelem cenového růstu se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staly ceny ubytování a stravování, které se meziročně zvýšily o</w:t>
            </w:r>
            <w:r w:rsidR="00C814FC">
              <w:rPr>
                <w:spacing w:val="-4"/>
              </w:rPr>
              <w:t> </w:t>
            </w:r>
            <w:r>
              <w:rPr>
                <w:spacing w:val="-4"/>
              </w:rPr>
              <w:t>6,3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Zdražování v této spotřební kategorii bylo v roce 2017 soustředěno do stravovacích služeb, kde růst cen dosáhl 7,0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Naopak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zpomalil meziroční růst cen dopravy (</w:t>
            </w:r>
            <w:proofErr w:type="gramStart"/>
            <w:r>
              <w:rPr>
                <w:spacing w:val="-4"/>
              </w:rPr>
              <w:t>ze</w:t>
            </w:r>
            <w:proofErr w:type="gramEnd"/>
            <w:r>
              <w:rPr>
                <w:spacing w:val="-4"/>
              </w:rPr>
              <w:t xml:space="preserve"> 3,9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na 2,5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Za zpomalením růstu lze vidět především snížení tempa růstu nákladů na provoz dopravních prostředků, které se meziročně zvýšily o 2,0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(zpomalení </w:t>
            </w:r>
            <w:r>
              <w:rPr>
                <w:spacing w:val="-4"/>
              </w:rPr>
              <w:lastRenderedPageBreak/>
              <w:t>o 3,8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ve</w:t>
            </w:r>
            <w:proofErr w:type="gramEnd"/>
            <w:r>
              <w:rPr>
                <w:spacing w:val="-4"/>
              </w:rPr>
              <w:t xml:space="preserve"> srovnání s 2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>m). Ceny ropy se totiž držely nad úrovní stejného období minulého roku, meziroční rozdíl se však v porovnání se začátkem roku 2017 zredukoval. Výrazněji rostly náklady na nákup osobních dopravních prostředků (</w:t>
            </w:r>
            <w:r w:rsidRPr="009402D5">
              <w:t>o</w:t>
            </w:r>
            <w:r>
              <w:t> </w:t>
            </w:r>
            <w:r w:rsidRPr="009402D5">
              <w:t>4</w:t>
            </w:r>
            <w:r>
              <w:rPr>
                <w:spacing w:val="-4"/>
              </w:rPr>
              <w:t>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</w:t>
            </w:r>
          </w:p>
          <w:p w:rsidR="00254069" w:rsidRPr="008B199F" w:rsidRDefault="00254069" w:rsidP="00333134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254069" w:rsidRPr="00F81A26" w:rsidTr="006C3DC1">
        <w:tc>
          <w:tcPr>
            <w:tcW w:w="1015" w:type="pct"/>
          </w:tcPr>
          <w:p w:rsidR="00254069" w:rsidRPr="00F81A26" w:rsidRDefault="00254069" w:rsidP="00333134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Ve 3</w:t>
            </w:r>
            <w:r w:rsidR="005723B7">
              <w:rPr>
                <w:spacing w:val="-4"/>
                <w:sz w:val="16"/>
                <w:szCs w:val="16"/>
              </w:rPr>
              <w:t>. čtvrtletí</w:t>
            </w:r>
            <w:r>
              <w:rPr>
                <w:spacing w:val="-4"/>
                <w:sz w:val="16"/>
                <w:szCs w:val="16"/>
              </w:rPr>
              <w:t xml:space="preserve"> se od průměru výrazněji odchýlil vývoj cen domácností důchodců a domácností v Praze. </w:t>
            </w:r>
          </w:p>
        </w:tc>
        <w:tc>
          <w:tcPr>
            <w:tcW w:w="144" w:type="pct"/>
          </w:tcPr>
          <w:p w:rsidR="00254069" w:rsidRPr="00F81A26" w:rsidRDefault="00254069" w:rsidP="0033313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Z pohledu indexu cen pro různé skupiny spotřebitelů došlo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k poměrně výraznému odchýlení od celkového indexu. U domácností důchodců růst indexu zaostával o</w:t>
            </w:r>
            <w:r w:rsidR="00980392">
              <w:rPr>
                <w:spacing w:val="-4"/>
              </w:rPr>
              <w:t> </w:t>
            </w:r>
            <w:r>
              <w:rPr>
                <w:spacing w:val="-4"/>
              </w:rPr>
              <w:t>0,2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 xml:space="preserve"> Potraviny a nealkoholické nápoje, které mají v těchto domácnostech podstatně vyšší váhu než u průměrného spotřebitele, přispěly k růstu cen 1,4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 xml:space="preserve"> Ostatní položky, které ovlivňovaly index spotřebitelských cen (ceny bydlení, stravování a ubytování),</w:t>
            </w:r>
            <w:r w:rsidR="00F11A6D">
              <w:rPr>
                <w:spacing w:val="-4"/>
              </w:rPr>
              <w:t xml:space="preserve"> však</w:t>
            </w:r>
            <w:r>
              <w:rPr>
                <w:spacing w:val="-4"/>
              </w:rPr>
              <w:t xml:space="preserve"> mají v domácnostech důchodců nižší váhu. Náklady na bydlení a energie navíc v domácnostech důchodců meziročně rostly jen o</w:t>
            </w:r>
            <w:r w:rsidR="00AB4D2A">
              <w:rPr>
                <w:spacing w:val="-4"/>
              </w:rPr>
              <w:t> </w:t>
            </w:r>
            <w:r>
              <w:rPr>
                <w:spacing w:val="-4"/>
              </w:rPr>
              <w:t>0,4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(2,1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u průměrné domácnosti). Výrazněji než u průměru se zvyšovaly náklady na spotřební koš u domácností v Praze (2,8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Zde se projevil především výrazně rychlejší růst cen stravování a ubytování</w:t>
            </w:r>
            <w:r w:rsidR="00AB4D2A">
              <w:rPr>
                <w:spacing w:val="-4"/>
              </w:rPr>
              <w:t>,</w:t>
            </w:r>
            <w:r>
              <w:rPr>
                <w:spacing w:val="-4"/>
              </w:rPr>
              <w:t xml:space="preserve"> než byl celorepublikový průměr (v</w:t>
            </w:r>
            <w:r w:rsidR="00AB4D2A">
              <w:rPr>
                <w:spacing w:val="-4"/>
              </w:rPr>
              <w:t> </w:t>
            </w:r>
            <w:r>
              <w:rPr>
                <w:spacing w:val="-4"/>
              </w:rPr>
              <w:t>Praze meziročně o 9,3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</w:t>
            </w:r>
            <w:r w:rsidR="00A66784">
              <w:rPr>
                <w:spacing w:val="-4"/>
              </w:rPr>
              <w:t>,</w:t>
            </w:r>
            <w:r>
              <w:rPr>
                <w:spacing w:val="-4"/>
              </w:rPr>
              <w:t xml:space="preserve"> i mírně vyšší váha této položky. Ze stejných důvodů silněji než u průměrného spotřebitele přispěla k růstu cen položka rekreace a kultura.</w:t>
            </w:r>
          </w:p>
          <w:p w:rsidR="00254069" w:rsidRPr="00363208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967AE9" w:rsidP="00461C4C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Po roce a půl zrychlování došlo ke zpomalení růstu realizovaných cen</w:t>
            </w:r>
            <w:r w:rsidR="00461C4C">
              <w:rPr>
                <w:spacing w:val="-4"/>
                <w:sz w:val="16"/>
                <w:szCs w:val="16"/>
              </w:rPr>
              <w:t xml:space="preserve"> starších </w:t>
            </w:r>
            <w:r>
              <w:rPr>
                <w:spacing w:val="-4"/>
                <w:sz w:val="16"/>
                <w:szCs w:val="16"/>
              </w:rPr>
              <w:t xml:space="preserve">bytů. </w:t>
            </w: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DD0726" w:rsidRDefault="00967AE9" w:rsidP="00461C4C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  <w:r>
              <w:rPr>
                <w:spacing w:val="-5"/>
              </w:rPr>
              <w:t>Nabídkové ceny bytů v ČR ve 3</w:t>
            </w:r>
            <w:r w:rsidR="005723B7">
              <w:rPr>
                <w:spacing w:val="-5"/>
              </w:rPr>
              <w:t>. čtvrtletí</w:t>
            </w:r>
            <w:r>
              <w:rPr>
                <w:spacing w:val="-5"/>
              </w:rPr>
              <w:t xml:space="preserve"> poměrně prudce zrychlily svůj meziroční růst na 12,5</w:t>
            </w:r>
            <w:r w:rsidR="005723B7">
              <w:rPr>
                <w:spacing w:val="-5"/>
              </w:rPr>
              <w:t> %</w:t>
            </w:r>
            <w:r>
              <w:rPr>
                <w:spacing w:val="-5"/>
              </w:rPr>
              <w:t>. Bližší pohled odhaluje, že jde především o</w:t>
            </w:r>
            <w:r w:rsidR="00A66784">
              <w:rPr>
                <w:spacing w:val="-5"/>
              </w:rPr>
              <w:t> </w:t>
            </w:r>
            <w:r>
              <w:rPr>
                <w:spacing w:val="-5"/>
              </w:rPr>
              <w:t>vliv cen bytů v Praze, které vzrostly o 18,3</w:t>
            </w:r>
            <w:r w:rsidR="005723B7">
              <w:rPr>
                <w:spacing w:val="-5"/>
              </w:rPr>
              <w:t> %</w:t>
            </w:r>
            <w:r>
              <w:rPr>
                <w:spacing w:val="-5"/>
              </w:rPr>
              <w:t xml:space="preserve">. </w:t>
            </w:r>
            <w:r w:rsidR="00461C4C">
              <w:rPr>
                <w:spacing w:val="-5"/>
              </w:rPr>
              <w:t>Naopak, realizované ceny starších bytů v Česku svůj meziroční růst zpomalily o</w:t>
            </w:r>
            <w:r w:rsidR="00A66784">
              <w:rPr>
                <w:spacing w:val="-5"/>
              </w:rPr>
              <w:t> </w:t>
            </w:r>
            <w:r w:rsidR="00461C4C">
              <w:rPr>
                <w:spacing w:val="-5"/>
              </w:rPr>
              <w:t>3,4</w:t>
            </w:r>
            <w:r w:rsidR="00A66784">
              <w:rPr>
                <w:spacing w:val="-5"/>
              </w:rPr>
              <w:t> </w:t>
            </w:r>
            <w:r w:rsidR="00461C4C">
              <w:rPr>
                <w:spacing w:val="-5"/>
              </w:rPr>
              <w:t>p.</w:t>
            </w:r>
            <w:r w:rsidR="00A66784">
              <w:rPr>
                <w:spacing w:val="-5"/>
              </w:rPr>
              <w:t> </w:t>
            </w:r>
            <w:r w:rsidR="00461C4C">
              <w:rPr>
                <w:spacing w:val="-5"/>
              </w:rPr>
              <w:t>b na 15,3</w:t>
            </w:r>
            <w:r w:rsidR="005723B7">
              <w:rPr>
                <w:spacing w:val="-5"/>
              </w:rPr>
              <w:t> %</w:t>
            </w:r>
            <w:r w:rsidR="00461C4C">
              <w:rPr>
                <w:spacing w:val="-5"/>
              </w:rPr>
              <w:t>. U</w:t>
            </w:r>
            <w:r w:rsidR="00A66784">
              <w:rPr>
                <w:spacing w:val="-5"/>
              </w:rPr>
              <w:t> </w:t>
            </w:r>
            <w:r w:rsidR="00461C4C">
              <w:rPr>
                <w:spacing w:val="-5"/>
              </w:rPr>
              <w:t>starších bytů v</w:t>
            </w:r>
            <w:r w:rsidR="00A66784">
              <w:rPr>
                <w:spacing w:val="-5"/>
              </w:rPr>
              <w:t> </w:t>
            </w:r>
            <w:r w:rsidR="00461C4C">
              <w:rPr>
                <w:spacing w:val="-5"/>
              </w:rPr>
              <w:t>Praze realizované ceny rovněž nerostly tak rychle jako v minulém kvartálu. Realizované ceny nových bytů v</w:t>
            </w:r>
            <w:r w:rsidR="00A66784">
              <w:rPr>
                <w:spacing w:val="-5"/>
              </w:rPr>
              <w:t> </w:t>
            </w:r>
            <w:r w:rsidR="00461C4C">
              <w:rPr>
                <w:spacing w:val="-5"/>
              </w:rPr>
              <w:t>Praze však potvrdily převažující nabídku bytů ve vyšší cenové kategorii – zrychlily a zvýšily se meziročně o 16,4</w:t>
            </w:r>
            <w:r w:rsidR="005723B7">
              <w:rPr>
                <w:spacing w:val="-5"/>
              </w:rPr>
              <w:t> %</w:t>
            </w:r>
            <w:r w:rsidR="00461C4C">
              <w:rPr>
                <w:spacing w:val="-5"/>
              </w:rPr>
              <w:t>.</w:t>
            </w:r>
          </w:p>
          <w:p w:rsidR="00461C4C" w:rsidRPr="00461C4C" w:rsidRDefault="00461C4C" w:rsidP="00461C4C">
            <w:pPr>
              <w:pStyle w:val="Textpoznpodarou"/>
              <w:ind w:right="-35"/>
              <w:jc w:val="both"/>
              <w:rPr>
                <w:spacing w:val="-5"/>
                <w:sz w:val="16"/>
                <w:szCs w:val="16"/>
              </w:rPr>
            </w:pP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pStyle w:val="Textpoznpodarou"/>
              <w:jc w:val="center"/>
              <w:rPr>
                <w:spacing w:val="-4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580" w:type="pct"/>
          </w:tcPr>
          <w:p w:rsidR="00DD0726" w:rsidRPr="00F81A26" w:rsidRDefault="00DD0726" w:rsidP="006C3DC1">
            <w:pPr>
              <w:pStyle w:val="Textpoznpodarou"/>
              <w:ind w:right="-35"/>
              <w:jc w:val="both"/>
              <w:rPr>
                <w:spacing w:val="-4"/>
              </w:rPr>
            </w:pPr>
            <w:r w:rsidRPr="00F81A26">
              <w:rPr>
                <w:spacing w:val="-4"/>
              </w:rPr>
              <w:t>Graf č. 12</w:t>
            </w:r>
          </w:p>
        </w:tc>
        <w:tc>
          <w:tcPr>
            <w:tcW w:w="3261" w:type="pct"/>
          </w:tcPr>
          <w:p w:rsidR="00DD0726" w:rsidRPr="00F81A26" w:rsidRDefault="00DD0726" w:rsidP="006C3DC1">
            <w:pPr>
              <w:pStyle w:val="Textpoznpodarou"/>
              <w:ind w:right="-35"/>
              <w:rPr>
                <w:spacing w:val="-4"/>
              </w:rPr>
            </w:pPr>
            <w:r w:rsidRPr="00F81A26">
              <w:rPr>
                <w:b/>
                <w:spacing w:val="-4"/>
                <w:lang w:eastAsia="en-US"/>
              </w:rPr>
              <w:t xml:space="preserve">Ceny nemovitostí </w:t>
            </w:r>
            <w:r w:rsidRPr="00F81A26">
              <w:rPr>
                <w:spacing w:val="-4"/>
                <w:lang w:eastAsia="en-US"/>
              </w:rPr>
              <w:t>(meziroční změna, v</w:t>
            </w:r>
            <w:r w:rsidR="005723B7">
              <w:rPr>
                <w:spacing w:val="-4"/>
                <w:lang w:eastAsia="en-US"/>
              </w:rPr>
              <w:t> %</w:t>
            </w:r>
            <w:r w:rsidRPr="00F81A26">
              <w:rPr>
                <w:spacing w:val="-4"/>
                <w:lang w:eastAsia="en-US"/>
              </w:rPr>
              <w:t>)</w:t>
            </w: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DD0726" w:rsidRPr="00F81A26" w:rsidRDefault="009D6727" w:rsidP="006C3DC1">
            <w:pPr>
              <w:pStyle w:val="Textpoznpodarou"/>
              <w:ind w:left="-54" w:right="-35"/>
              <w:jc w:val="both"/>
              <w:rPr>
                <w:spacing w:val="-4"/>
              </w:rPr>
            </w:pPr>
            <w:r w:rsidRPr="009D6727">
              <w:rPr>
                <w:noProof/>
                <w:spacing w:val="-4"/>
              </w:rPr>
              <w:drawing>
                <wp:inline distT="0" distB="0" distL="0" distR="0">
                  <wp:extent cx="4737600" cy="3553200"/>
                  <wp:effectExtent l="19050" t="0" r="0" b="0"/>
                  <wp:docPr id="1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DD0726" w:rsidRPr="00F81A26" w:rsidRDefault="00DD0726" w:rsidP="006C3DC1">
            <w:pPr>
              <w:pStyle w:val="Textpoznpodarou"/>
              <w:ind w:left="-54" w:right="-35"/>
              <w:jc w:val="right"/>
              <w:rPr>
                <w:spacing w:val="-4"/>
                <w:sz w:val="14"/>
                <w:szCs w:val="14"/>
              </w:rPr>
            </w:pPr>
            <w:r w:rsidRPr="00F81A26">
              <w:rPr>
                <w:spacing w:val="-4"/>
                <w:sz w:val="14"/>
                <w:szCs w:val="14"/>
              </w:rPr>
              <w:t>Zdroj: ČSÚ</w:t>
            </w:r>
          </w:p>
          <w:p w:rsidR="00DD0726" w:rsidRPr="00F81A26" w:rsidRDefault="00DD0726" w:rsidP="006C3DC1">
            <w:pPr>
              <w:pStyle w:val="Textpoznpodarou"/>
              <w:ind w:left="-54" w:right="-35"/>
              <w:jc w:val="right"/>
              <w:rPr>
                <w:spacing w:val="-4"/>
                <w:sz w:val="14"/>
                <w:szCs w:val="14"/>
              </w:rPr>
            </w:pPr>
          </w:p>
        </w:tc>
      </w:tr>
      <w:tr w:rsidR="00254069" w:rsidRPr="00F81A26" w:rsidTr="006C3DC1">
        <w:tc>
          <w:tcPr>
            <w:tcW w:w="1015" w:type="pct"/>
          </w:tcPr>
          <w:p w:rsidR="00254069" w:rsidRPr="00F81A26" w:rsidRDefault="00254069" w:rsidP="00333134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 EU se růst spotřebitelských cen držel pod 2</w:t>
            </w:r>
            <w:r w:rsidR="005723B7">
              <w:rPr>
                <w:spacing w:val="-4"/>
                <w:sz w:val="16"/>
                <w:szCs w:val="16"/>
              </w:rPr>
              <w:t> %</w:t>
            </w:r>
            <w:r>
              <w:rPr>
                <w:spacing w:val="-4"/>
                <w:sz w:val="16"/>
                <w:szCs w:val="16"/>
              </w:rPr>
              <w:t>.</w:t>
            </w:r>
          </w:p>
        </w:tc>
        <w:tc>
          <w:tcPr>
            <w:tcW w:w="144" w:type="pct"/>
          </w:tcPr>
          <w:p w:rsidR="00254069" w:rsidRPr="00F81A26" w:rsidRDefault="00254069" w:rsidP="0033313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Meziroční růst spotřebitelských cen v EU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dosáhl 1,7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stejně jako v předchozím kvartálu. Zatímco během 2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docházelo k postupnému zpomalování meziročního růstu až k červnovým 1,5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začal opět mírně zesilovat (1,8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v září). Kladně k růstu cen přispívaly pohonné hmoty a</w:t>
            </w:r>
            <w:r w:rsidR="00D52F9A">
              <w:rPr>
                <w:spacing w:val="-4"/>
              </w:rPr>
              <w:t> </w:t>
            </w:r>
            <w:r>
              <w:rPr>
                <w:spacing w:val="-4"/>
              </w:rPr>
              <w:t>ceny ubytování. V opačném směru působily ceny telekomunikačních služeb. Rozpětí temp růstu cen v jednotlivých zemích EU bylo poměrně široké, všichni členové však zažívali kladný meziroční růst. Nejrychleji rostly spotřebitelské ceny v pobaltských zemích – v Litvě o</w:t>
            </w:r>
            <w:r w:rsidR="00D52F9A">
              <w:rPr>
                <w:spacing w:val="-4"/>
              </w:rPr>
              <w:t> </w:t>
            </w:r>
            <w:r>
              <w:rPr>
                <w:spacing w:val="-4"/>
              </w:rPr>
              <w:t>4,6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v Estonsku o</w:t>
            </w:r>
            <w:r w:rsidR="00D52F9A">
              <w:rPr>
                <w:spacing w:val="-4"/>
              </w:rPr>
              <w:t> </w:t>
            </w:r>
            <w:r>
              <w:rPr>
                <w:spacing w:val="-4"/>
              </w:rPr>
              <w:t>3,9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a v Lotyšsku o</w:t>
            </w:r>
            <w:r w:rsidR="00D52F9A">
              <w:rPr>
                <w:spacing w:val="-4"/>
              </w:rPr>
              <w:t> </w:t>
            </w:r>
            <w:r>
              <w:rPr>
                <w:spacing w:val="-4"/>
              </w:rPr>
              <w:t>3,0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Česká republika se s Maďarskem dělila o</w:t>
            </w:r>
            <w:r w:rsidR="00D52F9A">
              <w:rPr>
                <w:spacing w:val="-4"/>
              </w:rPr>
              <w:t> </w:t>
            </w:r>
            <w:r>
              <w:rPr>
                <w:spacing w:val="-4"/>
              </w:rPr>
              <w:t>čtvrté místo (2,5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Jen o</w:t>
            </w:r>
            <w:r w:rsidR="00D52F9A">
              <w:rPr>
                <w:spacing w:val="-4"/>
              </w:rPr>
              <w:t> </w:t>
            </w:r>
            <w:r>
              <w:rPr>
                <w:spacing w:val="-4"/>
              </w:rPr>
              <w:t>0,1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meziročně vzrostly ceny </w:t>
            </w:r>
            <w:r>
              <w:rPr>
                <w:spacing w:val="-4"/>
              </w:rPr>
              <w:lastRenderedPageBreak/>
              <w:t>v Irsku, o</w:t>
            </w:r>
            <w:r w:rsidR="00D52F9A">
              <w:rPr>
                <w:spacing w:val="-4"/>
              </w:rPr>
              <w:t> </w:t>
            </w:r>
            <w:r>
              <w:rPr>
                <w:spacing w:val="-4"/>
              </w:rPr>
              <w:t>0,2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na Kypru (zpomalení v porovnání s předchozím čtvrtletím zde dosáhlo 1,1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>) a pod jedním procentem se růst cen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držel i ve Finsku (0,8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V </w:t>
            </w:r>
            <w:proofErr w:type="spellStart"/>
            <w:r w:rsidR="00DE3BE8">
              <w:rPr>
                <w:spacing w:val="-4"/>
              </w:rPr>
              <w:t>e</w:t>
            </w:r>
            <w:r>
              <w:rPr>
                <w:spacing w:val="-4"/>
              </w:rPr>
              <w:t>urozóně</w:t>
            </w:r>
            <w:proofErr w:type="spellEnd"/>
            <w:r>
              <w:rPr>
                <w:spacing w:val="-4"/>
              </w:rPr>
              <w:t xml:space="preserve"> se spotřebitelské ceny zvyšovaly mírnějším tempem než v celé EU (1,5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</w:t>
            </w:r>
          </w:p>
          <w:p w:rsidR="00254069" w:rsidRPr="000911E7" w:rsidRDefault="00254069" w:rsidP="00333134">
            <w:pPr>
              <w:pStyle w:val="Textpoznpodarou"/>
              <w:ind w:right="-35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</w:t>
            </w:r>
          </w:p>
        </w:tc>
      </w:tr>
      <w:tr w:rsidR="00254069" w:rsidRPr="00F81A26" w:rsidTr="006C3DC1">
        <w:tc>
          <w:tcPr>
            <w:tcW w:w="1015" w:type="pct"/>
          </w:tcPr>
          <w:p w:rsidR="00254069" w:rsidRPr="00F81A26" w:rsidRDefault="00254069" w:rsidP="00333134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Růst cen průmyslových výrobců se ve 3</w:t>
            </w:r>
            <w:r w:rsidR="005723B7">
              <w:rPr>
                <w:spacing w:val="-4"/>
                <w:sz w:val="16"/>
                <w:szCs w:val="16"/>
              </w:rPr>
              <w:t>. čtvrtletí</w:t>
            </w:r>
            <w:r>
              <w:rPr>
                <w:spacing w:val="-4"/>
                <w:sz w:val="16"/>
                <w:szCs w:val="16"/>
              </w:rPr>
              <w:t xml:space="preserve"> zpomalil.</w:t>
            </w:r>
          </w:p>
        </w:tc>
        <w:tc>
          <w:tcPr>
            <w:tcW w:w="144" w:type="pct"/>
          </w:tcPr>
          <w:p w:rsidR="00254069" w:rsidRPr="00F81A26" w:rsidRDefault="00254069" w:rsidP="0033313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Meziroční růst cen průmyslových výrobců se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zpomalil na 1,4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(dosáhl 2,7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v 1. a 2,3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ve 2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>). Klíčovou úlohu měla dynamika cen ve</w:t>
            </w:r>
            <w:r w:rsidR="00DE5403">
              <w:rPr>
                <w:spacing w:val="-4"/>
              </w:rPr>
              <w:t xml:space="preserve"> </w:t>
            </w:r>
            <w:r>
              <w:rPr>
                <w:spacing w:val="-4"/>
              </w:rPr>
              <w:t>zpracovatelském průmyslu, který má v indexu nejvyšší váhu. Přestože si podstatný vliv zachoval koks a rafinované ropné výrobky, jejich příspěvek k růstu cen průmyslových výrobců se v porovnání s předchozím čtvrtletím snížil. Ke zpomalení cenového růstu přispěly i dopravní prostředky, jejichž ceny se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meziročně propadly o 2,5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Zastavil se i poměrně výrazný růst cen chemických látek a výrobků (meziroční pokles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dosáhl 0,6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v ostrém kontrastu s 5,3% nárůstem v předchozím kvartálu). Silně rostly ceny potravinářských výrobků, nápojů a tabáku (4,1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výrazný zůstal přírůstek u obecných kovů (5,1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Propadl se cenový růst u těžby a dobývání (ze 4,9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ve 2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na současných 2,2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V podstatě neměnná zůstává situace u elektřiny, plynu, páry a klimatizovaného vzduchu (pokles cen o 1,2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u zásobování vodou a služeb souvisejících s odpadními vodami (nárůst o 1,0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</w:t>
            </w:r>
          </w:p>
          <w:p w:rsidR="00254069" w:rsidRPr="00D44CFD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254069" w:rsidRPr="00F81A26" w:rsidTr="006C3DC1">
        <w:tc>
          <w:tcPr>
            <w:tcW w:w="1015" w:type="pct"/>
          </w:tcPr>
          <w:p w:rsidR="00254069" w:rsidRPr="00F81A26" w:rsidRDefault="00254069" w:rsidP="00333134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V EU byl vývoj podobný jako v Česku.</w:t>
            </w:r>
          </w:p>
        </w:tc>
        <w:tc>
          <w:tcPr>
            <w:tcW w:w="144" w:type="pct"/>
          </w:tcPr>
          <w:p w:rsidR="00254069" w:rsidRPr="00F81A26" w:rsidRDefault="00254069" w:rsidP="0033313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Podobně jako v Česku i v Evropě se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zpomalilo tempo růstu cen průmyslových výrobců. Meziroční růst v EU28 dosáhl 2,</w:t>
            </w:r>
            <w:r w:rsidR="008013CB">
              <w:rPr>
                <w:spacing w:val="-4"/>
              </w:rPr>
              <w:t>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(4,7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a 3,7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v 1. a 2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). Na rozdíl od předchozích čtvrtletí však ve všech státech </w:t>
            </w:r>
            <w:r w:rsidR="00A24472">
              <w:rPr>
                <w:spacing w:val="-4"/>
              </w:rPr>
              <w:t>U</w:t>
            </w:r>
            <w:r>
              <w:rPr>
                <w:spacing w:val="-4"/>
              </w:rPr>
              <w:t>nie ceny výrobců meziročně rostly. Nejrychleji v Belgii (6,8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), Bulharsku (5,7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Estonsku (5,5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Česká republika měla čtvrtý nejpomalejší meziroční růst cen výrobců. Pod úrovní ČR se umístil</w:t>
            </w:r>
            <w:r w:rsidR="00A24472">
              <w:rPr>
                <w:spacing w:val="-4"/>
              </w:rPr>
              <w:t>y</w:t>
            </w:r>
            <w:r>
              <w:rPr>
                <w:spacing w:val="-4"/>
              </w:rPr>
              <w:t xml:space="preserve"> Lucembursko (0,</w:t>
            </w:r>
            <w:r w:rsidR="008013CB">
              <w:rPr>
                <w:spacing w:val="-4"/>
              </w:rPr>
              <w:t>7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), Malta (1,0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Rakousko (1,3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</w:t>
            </w:r>
          </w:p>
          <w:p w:rsidR="00254069" w:rsidRPr="005140CF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jc w:val="center"/>
              <w:rPr>
                <w:spacing w:val="-4"/>
                <w:szCs w:val="20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580" w:type="pct"/>
          </w:tcPr>
          <w:p w:rsidR="00DD0726" w:rsidRPr="00F81A26" w:rsidRDefault="00DD0726" w:rsidP="006C3DC1">
            <w:pPr>
              <w:pStyle w:val="Textpoznpodarou"/>
              <w:ind w:right="-35"/>
              <w:jc w:val="both"/>
              <w:rPr>
                <w:spacing w:val="-4"/>
              </w:rPr>
            </w:pPr>
            <w:r w:rsidRPr="00F81A26">
              <w:rPr>
                <w:spacing w:val="-4"/>
              </w:rPr>
              <w:t>Graf č. 13</w:t>
            </w:r>
          </w:p>
        </w:tc>
        <w:tc>
          <w:tcPr>
            <w:tcW w:w="3261" w:type="pct"/>
          </w:tcPr>
          <w:p w:rsidR="00DD0726" w:rsidRPr="00F81A26" w:rsidRDefault="00DD0726" w:rsidP="006C3DC1">
            <w:pPr>
              <w:pStyle w:val="Textpoznpodarou"/>
              <w:ind w:right="-35"/>
              <w:rPr>
                <w:spacing w:val="-4"/>
              </w:rPr>
            </w:pPr>
            <w:r w:rsidRPr="00F81A26">
              <w:rPr>
                <w:b/>
                <w:spacing w:val="-4"/>
                <w:lang w:eastAsia="en-US"/>
              </w:rPr>
              <w:t>Ceny hlavních skupin průmyslových výrobců</w:t>
            </w:r>
            <w:r w:rsidRPr="00F81A26">
              <w:rPr>
                <w:spacing w:val="-4"/>
                <w:lang w:eastAsia="en-US"/>
              </w:rPr>
              <w:t xml:space="preserve"> (meziroční změna, v</w:t>
            </w:r>
            <w:r w:rsidR="005723B7">
              <w:rPr>
                <w:spacing w:val="-4"/>
                <w:lang w:eastAsia="en-US"/>
              </w:rPr>
              <w:t> %</w:t>
            </w:r>
            <w:r w:rsidRPr="00F81A26">
              <w:rPr>
                <w:spacing w:val="-4"/>
                <w:lang w:eastAsia="en-US"/>
              </w:rPr>
              <w:t>, podle klasifikace CPA)</w:t>
            </w: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DD0726" w:rsidRPr="00F81A26" w:rsidRDefault="00254069" w:rsidP="006C3DC1">
            <w:pPr>
              <w:pStyle w:val="Textpoznpodarou"/>
              <w:ind w:left="-54" w:right="-35"/>
              <w:jc w:val="both"/>
              <w:rPr>
                <w:spacing w:val="-4"/>
              </w:rPr>
            </w:pPr>
            <w:r w:rsidRPr="00254069">
              <w:rPr>
                <w:noProof/>
                <w:spacing w:val="-4"/>
              </w:rPr>
              <w:drawing>
                <wp:inline distT="0" distB="0" distL="0" distR="0">
                  <wp:extent cx="4737600" cy="3553200"/>
                  <wp:effectExtent l="0" t="0" r="0" b="0"/>
                  <wp:docPr id="2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DD0726" w:rsidRPr="00F81A26" w:rsidRDefault="00DD0726" w:rsidP="006C3DC1">
            <w:pPr>
              <w:pStyle w:val="Textpoznpodarou"/>
              <w:ind w:left="-54" w:right="-35"/>
              <w:jc w:val="right"/>
              <w:rPr>
                <w:spacing w:val="-4"/>
                <w:sz w:val="14"/>
                <w:szCs w:val="14"/>
              </w:rPr>
            </w:pPr>
            <w:r w:rsidRPr="00F81A26">
              <w:rPr>
                <w:spacing w:val="-4"/>
                <w:sz w:val="14"/>
                <w:szCs w:val="14"/>
              </w:rPr>
              <w:t>Zdroj: ČSÚ</w:t>
            </w:r>
          </w:p>
          <w:p w:rsidR="00DD0726" w:rsidRPr="00F81A26" w:rsidRDefault="00DD0726" w:rsidP="006C3DC1">
            <w:pPr>
              <w:pStyle w:val="Textpoznpodarou"/>
              <w:ind w:left="-54" w:right="-35"/>
              <w:jc w:val="right"/>
              <w:rPr>
                <w:spacing w:val="-4"/>
                <w:sz w:val="14"/>
                <w:szCs w:val="14"/>
              </w:rPr>
            </w:pPr>
          </w:p>
        </w:tc>
      </w:tr>
      <w:tr w:rsidR="00254069" w:rsidRPr="00F81A26" w:rsidTr="006C3DC1">
        <w:tc>
          <w:tcPr>
            <w:tcW w:w="1015" w:type="pct"/>
          </w:tcPr>
          <w:p w:rsidR="00254069" w:rsidRPr="00F81A26" w:rsidRDefault="00254069" w:rsidP="00333134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Ceny zemědělských výrobců pokračovaly ve výrazném růstu.</w:t>
            </w:r>
          </w:p>
        </w:tc>
        <w:tc>
          <w:tcPr>
            <w:tcW w:w="144" w:type="pct"/>
          </w:tcPr>
          <w:p w:rsidR="00254069" w:rsidRPr="00F81A26" w:rsidRDefault="00254069" w:rsidP="0033313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Ceny zemědělských výrobců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meziročně vzrostly o 12,1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a svůj výrazný růst z předchozího čtvrtletí zrychlily o 0,</w:t>
            </w:r>
            <w:r w:rsidR="00320B3F">
              <w:rPr>
                <w:spacing w:val="-4"/>
              </w:rPr>
              <w:t>8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 xml:space="preserve"> K celkovému růstu cen přispěla rostlinná (meziroční přírůstek 8,1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i živočišná výroba (17,2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U rostlinné výroby se projevilo posílení meziročního cenového růstu u obilovin na 6,3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Poměrně silný zůstal růst cen u olejnin (4,6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po čtyřech čtvrtletích hlubokých poklesů se zvýšily ceny brambor (6,3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U živočišné výroby se navyšování cen soustředilo do živočišných výrobků (35,3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), ale ceny hospodářských zvířat se v růstu udržely také </w:t>
            </w:r>
            <w:r>
              <w:rPr>
                <w:spacing w:val="-4"/>
              </w:rPr>
              <w:lastRenderedPageBreak/>
              <w:t>(4,2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zmírnění oproti p</w:t>
            </w:r>
            <w:r w:rsidR="00B30737">
              <w:rPr>
                <w:spacing w:val="-4"/>
              </w:rPr>
              <w:t>ředchozímu kvartálu o 6,3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 w:rsidR="00A24472">
              <w:rPr>
                <w:spacing w:val="-4"/>
              </w:rPr>
              <w:t>;</w:t>
            </w:r>
            <w:r w:rsidR="00B30737">
              <w:rPr>
                <w:spacing w:val="-4"/>
              </w:rPr>
              <w:t xml:space="preserve"> </w:t>
            </w:r>
            <w:r>
              <w:rPr>
                <w:spacing w:val="-4"/>
              </w:rPr>
              <w:t>hlavní příčinou bylo zpomalení růstu cen jatečných prasat). Stejně jako ve 2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výrazně zdražovalo mléko (38,4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), udržel se více než 10% růst cen vajec (11,8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</w:t>
            </w:r>
          </w:p>
          <w:p w:rsidR="00254069" w:rsidRPr="00EE7565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254069" w:rsidRPr="00F81A26" w:rsidTr="006C3DC1">
        <w:tc>
          <w:tcPr>
            <w:tcW w:w="1015" w:type="pct"/>
          </w:tcPr>
          <w:p w:rsidR="00254069" w:rsidRPr="00F81A26" w:rsidRDefault="00254069" w:rsidP="00333134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lastRenderedPageBreak/>
              <w:t>Zrychlil i růst cen tržních služeb.</w:t>
            </w:r>
          </w:p>
        </w:tc>
        <w:tc>
          <w:tcPr>
            <w:tcW w:w="144" w:type="pct"/>
          </w:tcPr>
          <w:p w:rsidR="00254069" w:rsidRPr="00F81A26" w:rsidRDefault="00254069" w:rsidP="0033313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Pokračovalo zrychlování růstu indexu cen tržních služeb. Meziroční přírůstek tak ve 3.</w:t>
            </w:r>
            <w:r w:rsidR="003B1DB0">
              <w:rPr>
                <w:spacing w:val="-4"/>
              </w:rPr>
              <w:t> </w:t>
            </w:r>
            <w:r>
              <w:rPr>
                <w:spacing w:val="-4"/>
              </w:rPr>
              <w:t>čtvrtletí dosáhl 1,6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Jde o nejvyšší tempo růstu od 2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roku 2009. Při pohledu na jednotlivé oddíly klasifikace je patrné, že k růstu alespoň malou měrou přispěla většina. Z nich nejvýznamnější příspěvek k růstu celého indexu (0,3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>) mělo pojištění, zajištění a penzijní financování (meziroční růst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5,3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), dále architektonické a inženýrské služby (2,9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reklamní služby a průzkum trhu (3,3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U</w:t>
            </w:r>
            <w:r w:rsidR="003B1DB0">
              <w:rPr>
                <w:spacing w:val="-4"/>
              </w:rPr>
              <w:t> </w:t>
            </w:r>
            <w:r>
              <w:rPr>
                <w:spacing w:val="-4"/>
              </w:rPr>
              <w:t>posledně jmenovaného oddílu se patrně projevila vyšší poptávka po službách související s vrcholícím předvolebním obdobím. Zrychlení cenového růstu u služeb v oblasti programování a poradenství na 1,</w:t>
            </w:r>
            <w:r w:rsidR="00320B3F">
              <w:rPr>
                <w:spacing w:val="-4"/>
              </w:rPr>
              <w:t>7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přineslo i příspěvek k růstu cen tržních služeb ve výši 0,2</w:t>
            </w:r>
            <w:r w:rsidR="00CE0849">
              <w:rPr>
                <w:spacing w:val="-4"/>
              </w:rPr>
              <w:t> p. </w:t>
            </w:r>
            <w:proofErr w:type="spellStart"/>
            <w:r w:rsidR="00CE0849">
              <w:rPr>
                <w:spacing w:val="-4"/>
              </w:rPr>
              <w:t>b</w:t>
            </w:r>
            <w:proofErr w:type="spellEnd"/>
            <w:r w:rsidR="00CE0849">
              <w:rPr>
                <w:spacing w:val="-4"/>
              </w:rPr>
              <w:t>.</w:t>
            </w:r>
            <w:r>
              <w:rPr>
                <w:spacing w:val="-4"/>
              </w:rPr>
              <w:t xml:space="preserve"> Růst tak významněji brzdily jen ceny telekomunikačních služeb, které klesly o</w:t>
            </w:r>
            <w:r w:rsidR="003B1DB0">
              <w:rPr>
                <w:spacing w:val="-4"/>
              </w:rPr>
              <w:t> </w:t>
            </w:r>
            <w:r>
              <w:rPr>
                <w:spacing w:val="-4"/>
              </w:rPr>
              <w:t>1,1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</w:t>
            </w:r>
          </w:p>
          <w:p w:rsidR="00254069" w:rsidRPr="004F0EBF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254069" w:rsidRPr="00F81A26" w:rsidTr="006C3DC1">
        <w:tc>
          <w:tcPr>
            <w:tcW w:w="1015" w:type="pct"/>
          </w:tcPr>
          <w:p w:rsidR="00254069" w:rsidRPr="00F81A26" w:rsidRDefault="00254069" w:rsidP="00333134">
            <w:pPr>
              <w:spacing w:line="240" w:lineRule="auto"/>
              <w:ind w:right="-1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Posílení koruny mělo za následek pokles cen vývozu i dovozu. Směnné relace se zmírnily, ale zůstaly záporné.</w:t>
            </w:r>
          </w:p>
        </w:tc>
        <w:tc>
          <w:tcPr>
            <w:tcW w:w="144" w:type="pct"/>
          </w:tcPr>
          <w:p w:rsidR="00254069" w:rsidRPr="00F81A26" w:rsidRDefault="00254069" w:rsidP="00333134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254069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Kladný meziroční růst cen vývozu vydržel jen dvě čtvrtletí.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se ceny exportů meziročně snížily o 1,1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Důležitým faktorem však byl vliv posilující koruny. Po očištění od kurzového vlivu totiž ceny vývozu meziročně vzrostly o</w:t>
            </w:r>
            <w:r w:rsidR="004A4760">
              <w:rPr>
                <w:spacing w:val="-4"/>
              </w:rPr>
              <w:t> </w:t>
            </w:r>
            <w:r>
              <w:rPr>
                <w:spacing w:val="-4"/>
              </w:rPr>
              <w:t>1,8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Nejsilnější vliv na meziroční pokles celkového indexu měly ceny strojů a dopravních prostředků, které se snížily o</w:t>
            </w:r>
            <w:r w:rsidR="004A4760">
              <w:rPr>
                <w:spacing w:val="-4"/>
              </w:rPr>
              <w:t> </w:t>
            </w:r>
            <w:r>
              <w:rPr>
                <w:spacing w:val="-4"/>
              </w:rPr>
              <w:t>3,0</w:t>
            </w:r>
            <w:r w:rsidR="005723B7">
              <w:rPr>
                <w:spacing w:val="-4"/>
              </w:rPr>
              <w:t> %</w:t>
            </w:r>
            <w:r w:rsidR="004A4760">
              <w:rPr>
                <w:spacing w:val="-4"/>
              </w:rPr>
              <w:t>,</w:t>
            </w:r>
            <w:r>
              <w:rPr>
                <w:spacing w:val="-4"/>
              </w:rPr>
              <w:t xml:space="preserve"> a ceny průmyslového spotřebního zboží, které klesly o</w:t>
            </w:r>
            <w:r w:rsidR="004A4760">
              <w:rPr>
                <w:spacing w:val="-4"/>
              </w:rPr>
              <w:t> </w:t>
            </w:r>
            <w:r>
              <w:rPr>
                <w:spacing w:val="-4"/>
              </w:rPr>
              <w:t>1,8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Navzdory zpomalení v průběhu roku zůstal poměrně výrazný růst cen minerálních paliv (</w:t>
            </w:r>
            <w:r w:rsidR="00320B3F">
              <w:rPr>
                <w:spacing w:val="-4"/>
              </w:rPr>
              <w:t>9</w:t>
            </w:r>
            <w:r>
              <w:rPr>
                <w:spacing w:val="-4"/>
              </w:rPr>
              <w:t>,6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ostatních surovin (</w:t>
            </w:r>
            <w:r w:rsidR="00320B3F">
              <w:rPr>
                <w:spacing w:val="-4"/>
              </w:rPr>
              <w:t>8</w:t>
            </w:r>
            <w:r>
              <w:rPr>
                <w:spacing w:val="-4"/>
              </w:rPr>
              <w:t>,6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I</w:t>
            </w:r>
            <w:r w:rsidR="004A4760">
              <w:rPr>
                <w:spacing w:val="-4"/>
              </w:rPr>
              <w:t> </w:t>
            </w:r>
            <w:r>
              <w:rPr>
                <w:spacing w:val="-4"/>
              </w:rPr>
              <w:t>ceny dovozu byly ovlivněny posilující korunou.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meziročně klesly o</w:t>
            </w:r>
            <w:r w:rsidR="00154D93">
              <w:rPr>
                <w:spacing w:val="-4"/>
              </w:rPr>
              <w:t> </w:t>
            </w:r>
            <w:r>
              <w:rPr>
                <w:spacing w:val="-4"/>
              </w:rPr>
              <w:t>0,9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po očištění od kurzového vlivu však rostly o</w:t>
            </w:r>
            <w:r w:rsidR="00154D93">
              <w:rPr>
                <w:spacing w:val="-4"/>
              </w:rPr>
              <w:t> </w:t>
            </w:r>
            <w:r>
              <w:rPr>
                <w:spacing w:val="-4"/>
              </w:rPr>
              <w:t>2,5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. Nejvýrazněji k meziročnímu poklesu cen dovozu přispěly stroje a dopravní </w:t>
            </w:r>
            <w:proofErr w:type="gramStart"/>
            <w:r>
              <w:rPr>
                <w:spacing w:val="-4"/>
              </w:rPr>
              <w:t>prostředky (</w:t>
            </w:r>
            <w:r w:rsidR="00154D93">
              <w:rPr>
                <w:spacing w:val="-4"/>
              </w:rPr>
              <w:t>–</w:t>
            </w:r>
            <w:r>
              <w:rPr>
                <w:spacing w:val="-4"/>
              </w:rPr>
              <w:t>4,3</w:t>
            </w:r>
            <w:proofErr w:type="gramEnd"/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průmyslové spotřební zboží (</w:t>
            </w:r>
            <w:r w:rsidR="00154D93">
              <w:rPr>
                <w:spacing w:val="-4"/>
              </w:rPr>
              <w:t>–</w:t>
            </w:r>
            <w:r>
              <w:rPr>
                <w:spacing w:val="-4"/>
              </w:rPr>
              <w:t>3,5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Meziroční propad na druhé straně tlumily polotovary (3,8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minerální paliva (5,2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U minerálních paliv i ostatních surovin se však růst cen značně zpomalil v porovnání s</w:t>
            </w:r>
            <w:r w:rsidR="00154D93">
              <w:rPr>
                <w:spacing w:val="-4"/>
              </w:rPr>
              <w:t> </w:t>
            </w:r>
            <w:r>
              <w:rPr>
                <w:spacing w:val="-4"/>
              </w:rPr>
              <w:t>1.</w:t>
            </w:r>
            <w:r w:rsidR="00154D93">
              <w:rPr>
                <w:spacing w:val="-4"/>
              </w:rPr>
              <w:t> </w:t>
            </w:r>
            <w:r>
              <w:rPr>
                <w:spacing w:val="-4"/>
              </w:rPr>
              <w:t>pololetím roku. Směnné relace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roku zůstaly záporné a</w:t>
            </w:r>
            <w:r w:rsidR="00154D93">
              <w:rPr>
                <w:spacing w:val="-4"/>
              </w:rPr>
              <w:t> </w:t>
            </w:r>
            <w:r>
              <w:rPr>
                <w:spacing w:val="-4"/>
              </w:rPr>
              <w:t>dosáhly 99,8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Při pohledu na vývoj v průběhu roku je patrné, že se směnné relace zmírňovaly. V záporu zůstaly jen polotovary (97,4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), nápoje a tabák (98,0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 chemikálie (99,9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Na rozdíl od 1.</w:t>
            </w:r>
            <w:r w:rsidR="00154D93">
              <w:rPr>
                <w:spacing w:val="-4"/>
              </w:rPr>
              <w:t> </w:t>
            </w:r>
            <w:r>
              <w:rPr>
                <w:spacing w:val="-4"/>
              </w:rPr>
              <w:t>pololetí kladných směnných relací dosáhly stroje a dopravní prostředky (101,4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), ostatní suroviny (103,0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 a potraviny a živá zvířata (100,4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Výrazně kladné byly i směnné relace u minerálních paliv (104,2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</w:t>
            </w:r>
          </w:p>
          <w:p w:rsidR="00254069" w:rsidRPr="00593012" w:rsidRDefault="00254069" w:rsidP="00333134">
            <w:pPr>
              <w:pStyle w:val="Textpoznpodarou"/>
              <w:ind w:right="-35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jc w:val="center"/>
              <w:rPr>
                <w:spacing w:val="-4"/>
                <w:szCs w:val="20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580" w:type="pct"/>
          </w:tcPr>
          <w:p w:rsidR="00DD0726" w:rsidRPr="00F81A26" w:rsidRDefault="00DD0726" w:rsidP="006C3DC1">
            <w:pPr>
              <w:pStyle w:val="Textpoznpodarou"/>
              <w:ind w:right="-35"/>
              <w:jc w:val="both"/>
              <w:rPr>
                <w:spacing w:val="-4"/>
              </w:rPr>
            </w:pPr>
            <w:r w:rsidRPr="00F81A26">
              <w:rPr>
                <w:spacing w:val="-4"/>
              </w:rPr>
              <w:t>Graf č. 14</w:t>
            </w:r>
          </w:p>
        </w:tc>
        <w:tc>
          <w:tcPr>
            <w:tcW w:w="3261" w:type="pct"/>
          </w:tcPr>
          <w:p w:rsidR="00DD0726" w:rsidRPr="00F81A26" w:rsidRDefault="00DD0726" w:rsidP="006C3DC1">
            <w:pPr>
              <w:pStyle w:val="Textpoznpodarou"/>
              <w:ind w:right="-35"/>
              <w:rPr>
                <w:spacing w:val="-4"/>
              </w:rPr>
            </w:pPr>
            <w:r w:rsidRPr="00F81A26">
              <w:rPr>
                <w:b/>
                <w:spacing w:val="-4"/>
                <w:lang w:eastAsia="en-US"/>
              </w:rPr>
              <w:t>Deflátory</w:t>
            </w:r>
            <w:r w:rsidRPr="00F81A26">
              <w:rPr>
                <w:spacing w:val="-4"/>
                <w:lang w:eastAsia="en-US"/>
              </w:rPr>
              <w:t xml:space="preserve"> (očištěno o </w:t>
            </w:r>
            <w:proofErr w:type="spellStart"/>
            <w:r w:rsidRPr="00F81A26">
              <w:rPr>
                <w:spacing w:val="-4"/>
                <w:lang w:eastAsia="en-US"/>
              </w:rPr>
              <w:t>sez</w:t>
            </w:r>
            <w:proofErr w:type="spellEnd"/>
            <w:r w:rsidRPr="00F81A26">
              <w:rPr>
                <w:spacing w:val="-4"/>
                <w:lang w:eastAsia="en-US"/>
              </w:rPr>
              <w:t>. a kalendářní vlivy, meziroční změna, v</w:t>
            </w:r>
            <w:r w:rsidR="005723B7">
              <w:rPr>
                <w:spacing w:val="-4"/>
                <w:lang w:eastAsia="en-US"/>
              </w:rPr>
              <w:t> %</w:t>
            </w:r>
            <w:r w:rsidRPr="00F81A26">
              <w:rPr>
                <w:spacing w:val="-4"/>
                <w:lang w:eastAsia="en-US"/>
              </w:rPr>
              <w:t>)</w:t>
            </w:r>
          </w:p>
        </w:tc>
      </w:tr>
      <w:tr w:rsidR="00DD0726" w:rsidRPr="00F81A26" w:rsidTr="006C3DC1">
        <w:tc>
          <w:tcPr>
            <w:tcW w:w="1015" w:type="pct"/>
          </w:tcPr>
          <w:p w:rsidR="00DD0726" w:rsidRPr="00F81A26" w:rsidRDefault="00DD0726" w:rsidP="006C3DC1">
            <w:pPr>
              <w:spacing w:line="240" w:lineRule="auto"/>
              <w:ind w:right="-19"/>
              <w:rPr>
                <w:rFonts w:cs="Arial"/>
                <w:spacing w:val="-4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F81A26" w:rsidRDefault="00DD0726" w:rsidP="006C3DC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3841" w:type="pct"/>
            <w:gridSpan w:val="2"/>
          </w:tcPr>
          <w:p w:rsidR="00DD0726" w:rsidRPr="00F81A26" w:rsidRDefault="00254069" w:rsidP="006C3DC1">
            <w:pPr>
              <w:pStyle w:val="Textpoznpodarou"/>
              <w:ind w:left="-54" w:right="-35"/>
              <w:jc w:val="both"/>
              <w:rPr>
                <w:spacing w:val="-4"/>
                <w:sz w:val="14"/>
                <w:szCs w:val="14"/>
              </w:rPr>
            </w:pPr>
            <w:r w:rsidRPr="00254069">
              <w:rPr>
                <w:noProof/>
                <w:spacing w:val="-4"/>
                <w:sz w:val="14"/>
                <w:szCs w:val="14"/>
              </w:rPr>
              <w:drawing>
                <wp:inline distT="0" distB="0" distL="0" distR="0">
                  <wp:extent cx="4737600" cy="3553200"/>
                  <wp:effectExtent l="0" t="0" r="0" b="0"/>
                  <wp:docPr id="2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DD0726" w:rsidRPr="00F81A26" w:rsidRDefault="00DD0726" w:rsidP="006C3DC1">
            <w:pPr>
              <w:pStyle w:val="Textpoznpodarou"/>
              <w:ind w:left="-54" w:right="-35"/>
              <w:jc w:val="right"/>
              <w:rPr>
                <w:spacing w:val="-4"/>
                <w:sz w:val="14"/>
                <w:szCs w:val="14"/>
              </w:rPr>
            </w:pPr>
            <w:r w:rsidRPr="00F81A26">
              <w:rPr>
                <w:spacing w:val="-4"/>
                <w:sz w:val="14"/>
                <w:szCs w:val="14"/>
              </w:rPr>
              <w:t>Zdroj: ČSÚ</w:t>
            </w:r>
          </w:p>
        </w:tc>
      </w:tr>
      <w:bookmarkEnd w:id="1"/>
    </w:tbl>
    <w:p w:rsidR="008A03DE" w:rsidRPr="00CE7158" w:rsidRDefault="008A03DE" w:rsidP="005E4C34">
      <w:pPr>
        <w:pStyle w:val="Nadpis1"/>
        <w:rPr>
          <w:rFonts w:cs="Arial"/>
          <w:color w:val="000000"/>
          <w:sz w:val="10"/>
          <w:szCs w:val="10"/>
        </w:rPr>
      </w:pPr>
    </w:p>
    <w:sectPr w:rsidR="008A03DE" w:rsidRPr="00CE7158" w:rsidSect="005E4C3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1134" w:bottom="1418" w:left="1134" w:header="680" w:footer="680" w:gutter="0"/>
      <w:pgNumType w:start="1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CBF40B" w15:done="0"/>
  <w15:commentEx w15:paraId="16C4E902" w15:done="0"/>
  <w15:commentEx w15:paraId="77D26CEC" w15:done="0"/>
  <w15:commentEx w15:paraId="5E0FE7F5" w15:done="0"/>
  <w15:commentEx w15:paraId="4A572DBB" w15:done="0"/>
  <w15:commentEx w15:paraId="51697760" w15:done="0"/>
  <w15:commentEx w15:paraId="5ED29711" w15:done="0"/>
  <w15:commentEx w15:paraId="526810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CBF40B" w16cid:durableId="1DDEACCD"/>
  <w16cid:commentId w16cid:paraId="16C4E902" w16cid:durableId="1DDF6F04"/>
  <w16cid:commentId w16cid:paraId="77D26CEC" w16cid:durableId="1DDF596E"/>
  <w16cid:commentId w16cid:paraId="5E0FE7F5" w16cid:durableId="1DDF7C4B"/>
  <w16cid:commentId w16cid:paraId="4A572DBB" w16cid:durableId="1DDF8DFA"/>
  <w16cid:commentId w16cid:paraId="51697760" w16cid:durableId="1DDFC45F"/>
  <w16cid:commentId w16cid:paraId="5ED29711" w16cid:durableId="1DDFC9D1"/>
  <w16cid:commentId w16cid:paraId="52681086" w16cid:durableId="1DDFCB9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E5" w:rsidRDefault="004724E5" w:rsidP="00E71A58">
      <w:r>
        <w:separator/>
      </w:r>
    </w:p>
  </w:endnote>
  <w:endnote w:type="continuationSeparator" w:id="0">
    <w:p w:rsidR="004724E5" w:rsidRDefault="004724E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Default="004A6717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61C8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E861C8" w:rsidRPr="005A21E0">
      <w:rPr>
        <w:rFonts w:ascii="Arial" w:hAnsi="Arial" w:cs="Arial"/>
        <w:sz w:val="16"/>
        <w:szCs w:val="16"/>
      </w:rPr>
      <w:fldChar w:fldCharType="separate"/>
    </w:r>
    <w:r w:rsidR="005E4C34">
      <w:rPr>
        <w:rFonts w:ascii="Arial" w:hAnsi="Arial" w:cs="Arial"/>
        <w:noProof/>
        <w:sz w:val="16"/>
        <w:szCs w:val="16"/>
      </w:rPr>
      <w:t>16</w:t>
    </w:r>
    <w:r w:rsidR="00E861C8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Default="004A6717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4A6717" w:rsidRPr="00223E00" w:rsidRDefault="004A6717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E861C8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E861C8" w:rsidRPr="00223E00">
      <w:rPr>
        <w:rFonts w:ascii="Arial" w:hAnsi="Arial" w:cs="Arial"/>
        <w:sz w:val="16"/>
        <w:szCs w:val="16"/>
      </w:rPr>
      <w:fldChar w:fldCharType="separate"/>
    </w:r>
    <w:r w:rsidR="005E4C34">
      <w:rPr>
        <w:rFonts w:ascii="Arial" w:hAnsi="Arial" w:cs="Arial"/>
        <w:noProof/>
        <w:sz w:val="16"/>
        <w:szCs w:val="16"/>
      </w:rPr>
      <w:t>19</w:t>
    </w:r>
    <w:r w:rsidR="00E861C8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E5" w:rsidRDefault="004724E5" w:rsidP="00E71A58">
      <w:r>
        <w:separator/>
      </w:r>
    </w:p>
  </w:footnote>
  <w:footnote w:type="continuationSeparator" w:id="0">
    <w:p w:rsidR="004724E5" w:rsidRDefault="004724E5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Pr="00C00831" w:rsidRDefault="004A6717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až 3. čtvrtletí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Pr="0030768C" w:rsidRDefault="004A6717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až 3. čtvrtletí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B457C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057FE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60513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4006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424A18"/>
    <w:multiLevelType w:val="hybridMultilevel"/>
    <w:tmpl w:val="E442799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2"/>
  </w:num>
  <w:num w:numId="4">
    <w:abstractNumId w:val="21"/>
  </w:num>
  <w:num w:numId="5">
    <w:abstractNumId w:val="14"/>
  </w:num>
  <w:num w:numId="6">
    <w:abstractNumId w:val="17"/>
  </w:num>
  <w:num w:numId="7">
    <w:abstractNumId w:val="5"/>
  </w:num>
  <w:num w:numId="8">
    <w:abstractNumId w:val="10"/>
  </w:num>
  <w:num w:numId="9">
    <w:abstractNumId w:val="19"/>
  </w:num>
  <w:num w:numId="10">
    <w:abstractNumId w:val="4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18"/>
  </w:num>
  <w:num w:numId="16">
    <w:abstractNumId w:val="15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3"/>
  </w:num>
  <w:num w:numId="24">
    <w:abstractNumId w:val="2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4028"/>
    <w:rsid w:val="00015195"/>
    <w:rsid w:val="0001519F"/>
    <w:rsid w:val="000151A7"/>
    <w:rsid w:val="0001572B"/>
    <w:rsid w:val="0001573E"/>
    <w:rsid w:val="000157DA"/>
    <w:rsid w:val="0001589D"/>
    <w:rsid w:val="00016033"/>
    <w:rsid w:val="000162DB"/>
    <w:rsid w:val="00017F05"/>
    <w:rsid w:val="000202C6"/>
    <w:rsid w:val="00020315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40BD"/>
    <w:rsid w:val="00035CCF"/>
    <w:rsid w:val="00035FC6"/>
    <w:rsid w:val="0003705E"/>
    <w:rsid w:val="00037667"/>
    <w:rsid w:val="0003780E"/>
    <w:rsid w:val="0004075D"/>
    <w:rsid w:val="000411E1"/>
    <w:rsid w:val="00041E9C"/>
    <w:rsid w:val="00042EC6"/>
    <w:rsid w:val="00043C68"/>
    <w:rsid w:val="00043E05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3AF0"/>
    <w:rsid w:val="00064256"/>
    <w:rsid w:val="000673F8"/>
    <w:rsid w:val="000706A4"/>
    <w:rsid w:val="00070A0C"/>
    <w:rsid w:val="00071F80"/>
    <w:rsid w:val="00072118"/>
    <w:rsid w:val="00073173"/>
    <w:rsid w:val="0007324C"/>
    <w:rsid w:val="00075C64"/>
    <w:rsid w:val="000779AC"/>
    <w:rsid w:val="00080A41"/>
    <w:rsid w:val="00080AA8"/>
    <w:rsid w:val="00081851"/>
    <w:rsid w:val="00083803"/>
    <w:rsid w:val="00083D7F"/>
    <w:rsid w:val="00084393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59BF"/>
    <w:rsid w:val="000A66C2"/>
    <w:rsid w:val="000A68A7"/>
    <w:rsid w:val="000A7F13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1F41"/>
    <w:rsid w:val="000C3408"/>
    <w:rsid w:val="000C54AF"/>
    <w:rsid w:val="000C57C5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8D2"/>
    <w:rsid w:val="000F3332"/>
    <w:rsid w:val="000F33EE"/>
    <w:rsid w:val="000F401E"/>
    <w:rsid w:val="000F5445"/>
    <w:rsid w:val="000F5598"/>
    <w:rsid w:val="000F5673"/>
    <w:rsid w:val="000F67B2"/>
    <w:rsid w:val="000F6CFB"/>
    <w:rsid w:val="000F74B6"/>
    <w:rsid w:val="000F790F"/>
    <w:rsid w:val="000F7E1B"/>
    <w:rsid w:val="00100014"/>
    <w:rsid w:val="0010039A"/>
    <w:rsid w:val="00101E94"/>
    <w:rsid w:val="00101FB2"/>
    <w:rsid w:val="001028CF"/>
    <w:rsid w:val="00102CB8"/>
    <w:rsid w:val="00102F02"/>
    <w:rsid w:val="0010385D"/>
    <w:rsid w:val="00103E41"/>
    <w:rsid w:val="001041B6"/>
    <w:rsid w:val="001070EA"/>
    <w:rsid w:val="001073E5"/>
    <w:rsid w:val="001076CA"/>
    <w:rsid w:val="0011002A"/>
    <w:rsid w:val="001107CE"/>
    <w:rsid w:val="001109F0"/>
    <w:rsid w:val="0011110A"/>
    <w:rsid w:val="001118AF"/>
    <w:rsid w:val="00111CA5"/>
    <w:rsid w:val="0011256E"/>
    <w:rsid w:val="0011352E"/>
    <w:rsid w:val="0011365A"/>
    <w:rsid w:val="00114FC0"/>
    <w:rsid w:val="00115496"/>
    <w:rsid w:val="00116DB9"/>
    <w:rsid w:val="00116F28"/>
    <w:rsid w:val="00117CE8"/>
    <w:rsid w:val="00121961"/>
    <w:rsid w:val="00121C39"/>
    <w:rsid w:val="00123255"/>
    <w:rsid w:val="00124D2D"/>
    <w:rsid w:val="00124DA1"/>
    <w:rsid w:val="00125326"/>
    <w:rsid w:val="00125CB5"/>
    <w:rsid w:val="001264C1"/>
    <w:rsid w:val="00127535"/>
    <w:rsid w:val="001307BE"/>
    <w:rsid w:val="00130A21"/>
    <w:rsid w:val="00130C8F"/>
    <w:rsid w:val="001314F2"/>
    <w:rsid w:val="001317DA"/>
    <w:rsid w:val="00131FFA"/>
    <w:rsid w:val="001323BA"/>
    <w:rsid w:val="0013254D"/>
    <w:rsid w:val="00133AAC"/>
    <w:rsid w:val="00133FBD"/>
    <w:rsid w:val="00134DFD"/>
    <w:rsid w:val="001356FC"/>
    <w:rsid w:val="00136561"/>
    <w:rsid w:val="00136AE8"/>
    <w:rsid w:val="001400E1"/>
    <w:rsid w:val="001405FA"/>
    <w:rsid w:val="001413B3"/>
    <w:rsid w:val="001425C3"/>
    <w:rsid w:val="00142F16"/>
    <w:rsid w:val="00143E03"/>
    <w:rsid w:val="00143E93"/>
    <w:rsid w:val="00143FA3"/>
    <w:rsid w:val="0014428D"/>
    <w:rsid w:val="001459A7"/>
    <w:rsid w:val="0014731B"/>
    <w:rsid w:val="00147E55"/>
    <w:rsid w:val="001500FC"/>
    <w:rsid w:val="00151AC0"/>
    <w:rsid w:val="00151B27"/>
    <w:rsid w:val="00152046"/>
    <w:rsid w:val="00152488"/>
    <w:rsid w:val="00152E53"/>
    <w:rsid w:val="00154147"/>
    <w:rsid w:val="00154D93"/>
    <w:rsid w:val="001550F3"/>
    <w:rsid w:val="00155746"/>
    <w:rsid w:val="00156318"/>
    <w:rsid w:val="0015639A"/>
    <w:rsid w:val="001579FC"/>
    <w:rsid w:val="001603A3"/>
    <w:rsid w:val="0016081D"/>
    <w:rsid w:val="00160CF3"/>
    <w:rsid w:val="00160E61"/>
    <w:rsid w:val="00161300"/>
    <w:rsid w:val="001620FA"/>
    <w:rsid w:val="00162853"/>
    <w:rsid w:val="00163793"/>
    <w:rsid w:val="00163A99"/>
    <w:rsid w:val="00167FB2"/>
    <w:rsid w:val="001707DE"/>
    <w:rsid w:val="00170B04"/>
    <w:rsid w:val="00170F47"/>
    <w:rsid w:val="001711F2"/>
    <w:rsid w:val="001714F2"/>
    <w:rsid w:val="001718C2"/>
    <w:rsid w:val="00173642"/>
    <w:rsid w:val="001736BB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C39"/>
    <w:rsid w:val="00180D58"/>
    <w:rsid w:val="00181132"/>
    <w:rsid w:val="00181938"/>
    <w:rsid w:val="00182981"/>
    <w:rsid w:val="00184CF9"/>
    <w:rsid w:val="00185010"/>
    <w:rsid w:val="001852EC"/>
    <w:rsid w:val="00186447"/>
    <w:rsid w:val="001874CF"/>
    <w:rsid w:val="00190214"/>
    <w:rsid w:val="00190D9B"/>
    <w:rsid w:val="00191678"/>
    <w:rsid w:val="00191BAE"/>
    <w:rsid w:val="00193432"/>
    <w:rsid w:val="0019346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66"/>
    <w:rsid w:val="001C0EB9"/>
    <w:rsid w:val="001C1219"/>
    <w:rsid w:val="001C357A"/>
    <w:rsid w:val="001C3961"/>
    <w:rsid w:val="001C3A37"/>
    <w:rsid w:val="001C4384"/>
    <w:rsid w:val="001C55F5"/>
    <w:rsid w:val="001C65FF"/>
    <w:rsid w:val="001C6747"/>
    <w:rsid w:val="001D3787"/>
    <w:rsid w:val="001D47E5"/>
    <w:rsid w:val="001D584C"/>
    <w:rsid w:val="001D5E1B"/>
    <w:rsid w:val="001D66C1"/>
    <w:rsid w:val="001D6EF6"/>
    <w:rsid w:val="001D7C6F"/>
    <w:rsid w:val="001E0024"/>
    <w:rsid w:val="001E0C65"/>
    <w:rsid w:val="001E23E3"/>
    <w:rsid w:val="001E29AF"/>
    <w:rsid w:val="001E387A"/>
    <w:rsid w:val="001E3DA4"/>
    <w:rsid w:val="001E5469"/>
    <w:rsid w:val="001E5830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40C"/>
    <w:rsid w:val="00203B09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5061"/>
    <w:rsid w:val="0021507A"/>
    <w:rsid w:val="0021552C"/>
    <w:rsid w:val="00215A2C"/>
    <w:rsid w:val="00217980"/>
    <w:rsid w:val="002179F9"/>
    <w:rsid w:val="002205F2"/>
    <w:rsid w:val="0022080E"/>
    <w:rsid w:val="00220895"/>
    <w:rsid w:val="00220B20"/>
    <w:rsid w:val="0022139E"/>
    <w:rsid w:val="0022272B"/>
    <w:rsid w:val="00222A99"/>
    <w:rsid w:val="00223678"/>
    <w:rsid w:val="002236F7"/>
    <w:rsid w:val="00223E00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3E11"/>
    <w:rsid w:val="00254069"/>
    <w:rsid w:val="00254B3B"/>
    <w:rsid w:val="00254C4B"/>
    <w:rsid w:val="002550D8"/>
    <w:rsid w:val="00257613"/>
    <w:rsid w:val="00261A0F"/>
    <w:rsid w:val="00261E5B"/>
    <w:rsid w:val="00262EB9"/>
    <w:rsid w:val="00262F34"/>
    <w:rsid w:val="002633E5"/>
    <w:rsid w:val="00263470"/>
    <w:rsid w:val="00263733"/>
    <w:rsid w:val="00264676"/>
    <w:rsid w:val="00264A46"/>
    <w:rsid w:val="00265536"/>
    <w:rsid w:val="00265E54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86C"/>
    <w:rsid w:val="00277BF7"/>
    <w:rsid w:val="00281416"/>
    <w:rsid w:val="00282084"/>
    <w:rsid w:val="00283C61"/>
    <w:rsid w:val="00284C6F"/>
    <w:rsid w:val="00285CD3"/>
    <w:rsid w:val="0028633E"/>
    <w:rsid w:val="0028686A"/>
    <w:rsid w:val="00286E66"/>
    <w:rsid w:val="002870B7"/>
    <w:rsid w:val="002919B5"/>
    <w:rsid w:val="00293441"/>
    <w:rsid w:val="00293553"/>
    <w:rsid w:val="00294238"/>
    <w:rsid w:val="00294776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B7937"/>
    <w:rsid w:val="002C0FF4"/>
    <w:rsid w:val="002C125A"/>
    <w:rsid w:val="002C2668"/>
    <w:rsid w:val="002C43BD"/>
    <w:rsid w:val="002C493D"/>
    <w:rsid w:val="002C5261"/>
    <w:rsid w:val="002C6091"/>
    <w:rsid w:val="002C63C1"/>
    <w:rsid w:val="002D0562"/>
    <w:rsid w:val="002D1B5A"/>
    <w:rsid w:val="002D2500"/>
    <w:rsid w:val="002D338A"/>
    <w:rsid w:val="002D3E4C"/>
    <w:rsid w:val="002D3F00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2CE4"/>
    <w:rsid w:val="002E34F3"/>
    <w:rsid w:val="002E4217"/>
    <w:rsid w:val="002E435E"/>
    <w:rsid w:val="002E73F2"/>
    <w:rsid w:val="002F149A"/>
    <w:rsid w:val="002F33FB"/>
    <w:rsid w:val="002F663A"/>
    <w:rsid w:val="002F68A4"/>
    <w:rsid w:val="002F7594"/>
    <w:rsid w:val="002F7902"/>
    <w:rsid w:val="003003E7"/>
    <w:rsid w:val="00300D6F"/>
    <w:rsid w:val="00301357"/>
    <w:rsid w:val="0030192C"/>
    <w:rsid w:val="00301D04"/>
    <w:rsid w:val="003035D4"/>
    <w:rsid w:val="00303A3C"/>
    <w:rsid w:val="00303DCB"/>
    <w:rsid w:val="00304771"/>
    <w:rsid w:val="00304E6C"/>
    <w:rsid w:val="00305736"/>
    <w:rsid w:val="00305C33"/>
    <w:rsid w:val="00306C5B"/>
    <w:rsid w:val="00306E3B"/>
    <w:rsid w:val="0030768C"/>
    <w:rsid w:val="00310ADB"/>
    <w:rsid w:val="003119B6"/>
    <w:rsid w:val="00312C3D"/>
    <w:rsid w:val="00314331"/>
    <w:rsid w:val="00317E31"/>
    <w:rsid w:val="00320214"/>
    <w:rsid w:val="003209D6"/>
    <w:rsid w:val="00320B3F"/>
    <w:rsid w:val="0032109A"/>
    <w:rsid w:val="0032214F"/>
    <w:rsid w:val="00322164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134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482"/>
    <w:rsid w:val="00352E57"/>
    <w:rsid w:val="003541B0"/>
    <w:rsid w:val="0035457E"/>
    <w:rsid w:val="00355885"/>
    <w:rsid w:val="00355CAA"/>
    <w:rsid w:val="0035605E"/>
    <w:rsid w:val="00356244"/>
    <w:rsid w:val="00357449"/>
    <w:rsid w:val="00357A0D"/>
    <w:rsid w:val="00357C28"/>
    <w:rsid w:val="00361F76"/>
    <w:rsid w:val="0036238B"/>
    <w:rsid w:val="00362408"/>
    <w:rsid w:val="003630B0"/>
    <w:rsid w:val="00364087"/>
    <w:rsid w:val="003649FC"/>
    <w:rsid w:val="003651A4"/>
    <w:rsid w:val="00365680"/>
    <w:rsid w:val="003657F3"/>
    <w:rsid w:val="00366D4D"/>
    <w:rsid w:val="00366F77"/>
    <w:rsid w:val="00367038"/>
    <w:rsid w:val="003670FE"/>
    <w:rsid w:val="0036710C"/>
    <w:rsid w:val="00367D56"/>
    <w:rsid w:val="00370963"/>
    <w:rsid w:val="0037144E"/>
    <w:rsid w:val="00372272"/>
    <w:rsid w:val="0037290D"/>
    <w:rsid w:val="003736B5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1DB0"/>
    <w:rsid w:val="003B2142"/>
    <w:rsid w:val="003B2580"/>
    <w:rsid w:val="003B293F"/>
    <w:rsid w:val="003B2E63"/>
    <w:rsid w:val="003B3189"/>
    <w:rsid w:val="003B3A9D"/>
    <w:rsid w:val="003B3DDD"/>
    <w:rsid w:val="003B462D"/>
    <w:rsid w:val="003B5031"/>
    <w:rsid w:val="003B5A32"/>
    <w:rsid w:val="003B6105"/>
    <w:rsid w:val="003C03CC"/>
    <w:rsid w:val="003C04C4"/>
    <w:rsid w:val="003C08E2"/>
    <w:rsid w:val="003C0B96"/>
    <w:rsid w:val="003C26F4"/>
    <w:rsid w:val="003C3686"/>
    <w:rsid w:val="003C3E2C"/>
    <w:rsid w:val="003C4852"/>
    <w:rsid w:val="003C5BC7"/>
    <w:rsid w:val="003C601E"/>
    <w:rsid w:val="003C66C4"/>
    <w:rsid w:val="003C6DB9"/>
    <w:rsid w:val="003D2393"/>
    <w:rsid w:val="003D2C4E"/>
    <w:rsid w:val="003D3600"/>
    <w:rsid w:val="003D3825"/>
    <w:rsid w:val="003D3EC4"/>
    <w:rsid w:val="003D44E2"/>
    <w:rsid w:val="003D4760"/>
    <w:rsid w:val="003D49DC"/>
    <w:rsid w:val="003D4DD9"/>
    <w:rsid w:val="003D4FB5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F0293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9B4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329F"/>
    <w:rsid w:val="00414CE5"/>
    <w:rsid w:val="00416673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4D5A"/>
    <w:rsid w:val="00437C76"/>
    <w:rsid w:val="00437F4A"/>
    <w:rsid w:val="0044105C"/>
    <w:rsid w:val="00442197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267"/>
    <w:rsid w:val="00447E36"/>
    <w:rsid w:val="00450700"/>
    <w:rsid w:val="00450C30"/>
    <w:rsid w:val="004529C7"/>
    <w:rsid w:val="004540FF"/>
    <w:rsid w:val="004541F1"/>
    <w:rsid w:val="00455BB8"/>
    <w:rsid w:val="00455ECA"/>
    <w:rsid w:val="00457296"/>
    <w:rsid w:val="00457320"/>
    <w:rsid w:val="00460164"/>
    <w:rsid w:val="0046039A"/>
    <w:rsid w:val="00460A6B"/>
    <w:rsid w:val="00461977"/>
    <w:rsid w:val="00461A3F"/>
    <w:rsid w:val="00461C4C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0EA"/>
    <w:rsid w:val="0046765E"/>
    <w:rsid w:val="004676E2"/>
    <w:rsid w:val="00471EDD"/>
    <w:rsid w:val="004724E5"/>
    <w:rsid w:val="004739AC"/>
    <w:rsid w:val="00473E94"/>
    <w:rsid w:val="0047400C"/>
    <w:rsid w:val="00474471"/>
    <w:rsid w:val="004745D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E32"/>
    <w:rsid w:val="00487F81"/>
    <w:rsid w:val="00490082"/>
    <w:rsid w:val="00490247"/>
    <w:rsid w:val="00490B20"/>
    <w:rsid w:val="0049104F"/>
    <w:rsid w:val="00491218"/>
    <w:rsid w:val="00491CFD"/>
    <w:rsid w:val="00492991"/>
    <w:rsid w:val="00493362"/>
    <w:rsid w:val="00494343"/>
    <w:rsid w:val="00494AAB"/>
    <w:rsid w:val="00496C2F"/>
    <w:rsid w:val="0049740D"/>
    <w:rsid w:val="004978D3"/>
    <w:rsid w:val="004A06A6"/>
    <w:rsid w:val="004A11F8"/>
    <w:rsid w:val="004A22BD"/>
    <w:rsid w:val="004A22FA"/>
    <w:rsid w:val="004A25E2"/>
    <w:rsid w:val="004A269A"/>
    <w:rsid w:val="004A26AF"/>
    <w:rsid w:val="004A26DB"/>
    <w:rsid w:val="004A30FB"/>
    <w:rsid w:val="004A35DD"/>
    <w:rsid w:val="004A37D3"/>
    <w:rsid w:val="004A3AD6"/>
    <w:rsid w:val="004A3BCE"/>
    <w:rsid w:val="004A4760"/>
    <w:rsid w:val="004A5865"/>
    <w:rsid w:val="004A6717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111"/>
    <w:rsid w:val="004C57B5"/>
    <w:rsid w:val="004C5C25"/>
    <w:rsid w:val="004C6717"/>
    <w:rsid w:val="004C6CFF"/>
    <w:rsid w:val="004C7065"/>
    <w:rsid w:val="004C70DC"/>
    <w:rsid w:val="004C7268"/>
    <w:rsid w:val="004C7C50"/>
    <w:rsid w:val="004D0211"/>
    <w:rsid w:val="004D1C9C"/>
    <w:rsid w:val="004D2A0E"/>
    <w:rsid w:val="004D458D"/>
    <w:rsid w:val="004D4F13"/>
    <w:rsid w:val="004D504B"/>
    <w:rsid w:val="004D536E"/>
    <w:rsid w:val="004D58CE"/>
    <w:rsid w:val="004D70B1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1D62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CC5"/>
    <w:rsid w:val="004F6350"/>
    <w:rsid w:val="004F7170"/>
    <w:rsid w:val="00500ADA"/>
    <w:rsid w:val="005028E1"/>
    <w:rsid w:val="00505989"/>
    <w:rsid w:val="00506309"/>
    <w:rsid w:val="0050692E"/>
    <w:rsid w:val="00507040"/>
    <w:rsid w:val="005079F8"/>
    <w:rsid w:val="00510189"/>
    <w:rsid w:val="005108C0"/>
    <w:rsid w:val="00511873"/>
    <w:rsid w:val="00512603"/>
    <w:rsid w:val="00512CC5"/>
    <w:rsid w:val="0051367B"/>
    <w:rsid w:val="00513A89"/>
    <w:rsid w:val="00513B7E"/>
    <w:rsid w:val="005140DE"/>
    <w:rsid w:val="00514474"/>
    <w:rsid w:val="005147E9"/>
    <w:rsid w:val="0051507D"/>
    <w:rsid w:val="0051593C"/>
    <w:rsid w:val="00517567"/>
    <w:rsid w:val="0051778E"/>
    <w:rsid w:val="005215EF"/>
    <w:rsid w:val="0052207A"/>
    <w:rsid w:val="00524637"/>
    <w:rsid w:val="00524FDD"/>
    <w:rsid w:val="00525137"/>
    <w:rsid w:val="005251DD"/>
    <w:rsid w:val="00526DB6"/>
    <w:rsid w:val="0053017A"/>
    <w:rsid w:val="00530492"/>
    <w:rsid w:val="005308E4"/>
    <w:rsid w:val="005325A8"/>
    <w:rsid w:val="00532854"/>
    <w:rsid w:val="00532E85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734B"/>
    <w:rsid w:val="005375B1"/>
    <w:rsid w:val="00537AFD"/>
    <w:rsid w:val="00537CB4"/>
    <w:rsid w:val="00540CB3"/>
    <w:rsid w:val="00540D25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C88"/>
    <w:rsid w:val="005544FC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23B7"/>
    <w:rsid w:val="00573C97"/>
    <w:rsid w:val="00574240"/>
    <w:rsid w:val="0057454C"/>
    <w:rsid w:val="005752EB"/>
    <w:rsid w:val="005755F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0CDE"/>
    <w:rsid w:val="0059176E"/>
    <w:rsid w:val="00592854"/>
    <w:rsid w:val="00593152"/>
    <w:rsid w:val="005931BF"/>
    <w:rsid w:val="005934CE"/>
    <w:rsid w:val="00593CA3"/>
    <w:rsid w:val="00594161"/>
    <w:rsid w:val="00594969"/>
    <w:rsid w:val="00594B91"/>
    <w:rsid w:val="00595035"/>
    <w:rsid w:val="00595C7C"/>
    <w:rsid w:val="00596C5E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A77F6"/>
    <w:rsid w:val="005B0262"/>
    <w:rsid w:val="005B0B8F"/>
    <w:rsid w:val="005B1907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31D"/>
    <w:rsid w:val="005C3F9F"/>
    <w:rsid w:val="005C406F"/>
    <w:rsid w:val="005C40BA"/>
    <w:rsid w:val="005C419C"/>
    <w:rsid w:val="005C4A23"/>
    <w:rsid w:val="005C562C"/>
    <w:rsid w:val="005C5812"/>
    <w:rsid w:val="005C6400"/>
    <w:rsid w:val="005C7F1E"/>
    <w:rsid w:val="005D073B"/>
    <w:rsid w:val="005D2450"/>
    <w:rsid w:val="005D25B4"/>
    <w:rsid w:val="005D374F"/>
    <w:rsid w:val="005D5802"/>
    <w:rsid w:val="005D6CFC"/>
    <w:rsid w:val="005D6D2E"/>
    <w:rsid w:val="005D73E2"/>
    <w:rsid w:val="005D757A"/>
    <w:rsid w:val="005D7C4B"/>
    <w:rsid w:val="005E0DBC"/>
    <w:rsid w:val="005E1871"/>
    <w:rsid w:val="005E1E4B"/>
    <w:rsid w:val="005E362D"/>
    <w:rsid w:val="005E3A0C"/>
    <w:rsid w:val="005E3FAC"/>
    <w:rsid w:val="005E4483"/>
    <w:rsid w:val="005E492C"/>
    <w:rsid w:val="005E4BAA"/>
    <w:rsid w:val="005E4C34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3F04"/>
    <w:rsid w:val="005F4057"/>
    <w:rsid w:val="005F4088"/>
    <w:rsid w:val="005F42F4"/>
    <w:rsid w:val="005F4C83"/>
    <w:rsid w:val="005F5628"/>
    <w:rsid w:val="005F5916"/>
    <w:rsid w:val="005F601D"/>
    <w:rsid w:val="005F6119"/>
    <w:rsid w:val="005F7940"/>
    <w:rsid w:val="00600712"/>
    <w:rsid w:val="0060091A"/>
    <w:rsid w:val="0060107A"/>
    <w:rsid w:val="00601120"/>
    <w:rsid w:val="00601AFF"/>
    <w:rsid w:val="00602A2B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1EB7"/>
    <w:rsid w:val="00612E84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5E8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4093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B1D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1D6"/>
    <w:rsid w:val="00680ECC"/>
    <w:rsid w:val="00680F68"/>
    <w:rsid w:val="0068260E"/>
    <w:rsid w:val="0068373D"/>
    <w:rsid w:val="00683BFE"/>
    <w:rsid w:val="00683EAB"/>
    <w:rsid w:val="0068437D"/>
    <w:rsid w:val="006847C5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9D7"/>
    <w:rsid w:val="006B5CA3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AED"/>
    <w:rsid w:val="006C38DD"/>
    <w:rsid w:val="006C3DC1"/>
    <w:rsid w:val="006C457F"/>
    <w:rsid w:val="006C53C7"/>
    <w:rsid w:val="006C5577"/>
    <w:rsid w:val="006C559A"/>
    <w:rsid w:val="006C586D"/>
    <w:rsid w:val="006C58FA"/>
    <w:rsid w:val="006C6197"/>
    <w:rsid w:val="006D004F"/>
    <w:rsid w:val="006D042D"/>
    <w:rsid w:val="006D06EF"/>
    <w:rsid w:val="006D142E"/>
    <w:rsid w:val="006D164C"/>
    <w:rsid w:val="006D29A8"/>
    <w:rsid w:val="006D3B87"/>
    <w:rsid w:val="006D4497"/>
    <w:rsid w:val="006D4E6F"/>
    <w:rsid w:val="006D5681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42A"/>
    <w:rsid w:val="006E4434"/>
    <w:rsid w:val="006E4A1B"/>
    <w:rsid w:val="006E59FC"/>
    <w:rsid w:val="006E5CFD"/>
    <w:rsid w:val="006E7E2C"/>
    <w:rsid w:val="006F1326"/>
    <w:rsid w:val="006F2280"/>
    <w:rsid w:val="006F2BEE"/>
    <w:rsid w:val="006F3708"/>
    <w:rsid w:val="006F376C"/>
    <w:rsid w:val="006F3A90"/>
    <w:rsid w:val="006F3E6B"/>
    <w:rsid w:val="006F4619"/>
    <w:rsid w:val="006F4A59"/>
    <w:rsid w:val="006F65A8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EF1"/>
    <w:rsid w:val="0071229A"/>
    <w:rsid w:val="00712572"/>
    <w:rsid w:val="00713495"/>
    <w:rsid w:val="00713EEB"/>
    <w:rsid w:val="007142C1"/>
    <w:rsid w:val="00715487"/>
    <w:rsid w:val="007159D2"/>
    <w:rsid w:val="00716DCC"/>
    <w:rsid w:val="00717726"/>
    <w:rsid w:val="0072050E"/>
    <w:rsid w:val="00720958"/>
    <w:rsid w:val="00720FA2"/>
    <w:rsid w:val="007211F5"/>
    <w:rsid w:val="00723581"/>
    <w:rsid w:val="007240C5"/>
    <w:rsid w:val="00724666"/>
    <w:rsid w:val="00724E80"/>
    <w:rsid w:val="00725055"/>
    <w:rsid w:val="00725492"/>
    <w:rsid w:val="007256B7"/>
    <w:rsid w:val="00726043"/>
    <w:rsid w:val="0072704A"/>
    <w:rsid w:val="007279B9"/>
    <w:rsid w:val="00730AE8"/>
    <w:rsid w:val="00731189"/>
    <w:rsid w:val="007315DA"/>
    <w:rsid w:val="00731963"/>
    <w:rsid w:val="00732706"/>
    <w:rsid w:val="0073325D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55EA0"/>
    <w:rsid w:val="00760141"/>
    <w:rsid w:val="007609C6"/>
    <w:rsid w:val="007610A0"/>
    <w:rsid w:val="00762036"/>
    <w:rsid w:val="007620F2"/>
    <w:rsid w:val="00762EBA"/>
    <w:rsid w:val="0076359D"/>
    <w:rsid w:val="00763A13"/>
    <w:rsid w:val="00763D86"/>
    <w:rsid w:val="0077058D"/>
    <w:rsid w:val="00770931"/>
    <w:rsid w:val="00772536"/>
    <w:rsid w:val="00773613"/>
    <w:rsid w:val="0077430F"/>
    <w:rsid w:val="00774782"/>
    <w:rsid w:val="00776476"/>
    <w:rsid w:val="00776527"/>
    <w:rsid w:val="00777DB1"/>
    <w:rsid w:val="0078050E"/>
    <w:rsid w:val="007805E1"/>
    <w:rsid w:val="00780DDF"/>
    <w:rsid w:val="0078113E"/>
    <w:rsid w:val="007813E4"/>
    <w:rsid w:val="00781834"/>
    <w:rsid w:val="007821DB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642"/>
    <w:rsid w:val="007A11D9"/>
    <w:rsid w:val="007A18F5"/>
    <w:rsid w:val="007A327B"/>
    <w:rsid w:val="007A4048"/>
    <w:rsid w:val="007A45B1"/>
    <w:rsid w:val="007A4606"/>
    <w:rsid w:val="007A4D58"/>
    <w:rsid w:val="007A5039"/>
    <w:rsid w:val="007B04E8"/>
    <w:rsid w:val="007B0D67"/>
    <w:rsid w:val="007B0F90"/>
    <w:rsid w:val="007B1966"/>
    <w:rsid w:val="007B2257"/>
    <w:rsid w:val="007B22E6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C7BAC"/>
    <w:rsid w:val="007C7CC5"/>
    <w:rsid w:val="007D2A5A"/>
    <w:rsid w:val="007D2AD8"/>
    <w:rsid w:val="007D2C47"/>
    <w:rsid w:val="007D2C61"/>
    <w:rsid w:val="007D2DA3"/>
    <w:rsid w:val="007D2F81"/>
    <w:rsid w:val="007D3167"/>
    <w:rsid w:val="007D341F"/>
    <w:rsid w:val="007D3CF7"/>
    <w:rsid w:val="007D4128"/>
    <w:rsid w:val="007D4281"/>
    <w:rsid w:val="007D42F5"/>
    <w:rsid w:val="007D44C3"/>
    <w:rsid w:val="007D5947"/>
    <w:rsid w:val="007D65C1"/>
    <w:rsid w:val="007D66E3"/>
    <w:rsid w:val="007D7CAF"/>
    <w:rsid w:val="007E030F"/>
    <w:rsid w:val="007E0D49"/>
    <w:rsid w:val="007E0E59"/>
    <w:rsid w:val="007E0F4B"/>
    <w:rsid w:val="007E12C1"/>
    <w:rsid w:val="007E1EF7"/>
    <w:rsid w:val="007E3715"/>
    <w:rsid w:val="007E5880"/>
    <w:rsid w:val="007E5F3D"/>
    <w:rsid w:val="007E6588"/>
    <w:rsid w:val="007E6A5B"/>
    <w:rsid w:val="007E7063"/>
    <w:rsid w:val="007E7E61"/>
    <w:rsid w:val="007F0316"/>
    <w:rsid w:val="007F0845"/>
    <w:rsid w:val="007F0DF6"/>
    <w:rsid w:val="007F1092"/>
    <w:rsid w:val="007F16F9"/>
    <w:rsid w:val="007F2801"/>
    <w:rsid w:val="007F3E3E"/>
    <w:rsid w:val="007F42E0"/>
    <w:rsid w:val="007F500D"/>
    <w:rsid w:val="007F5F14"/>
    <w:rsid w:val="007F7B54"/>
    <w:rsid w:val="007F7C60"/>
    <w:rsid w:val="00800073"/>
    <w:rsid w:val="008005D7"/>
    <w:rsid w:val="008013CB"/>
    <w:rsid w:val="00801FDD"/>
    <w:rsid w:val="008020C2"/>
    <w:rsid w:val="0080255C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4965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44BE"/>
    <w:rsid w:val="00845AB1"/>
    <w:rsid w:val="00846673"/>
    <w:rsid w:val="008508A9"/>
    <w:rsid w:val="0085188D"/>
    <w:rsid w:val="008518D8"/>
    <w:rsid w:val="008525F9"/>
    <w:rsid w:val="0085281A"/>
    <w:rsid w:val="00853C0F"/>
    <w:rsid w:val="00853F33"/>
    <w:rsid w:val="008548EA"/>
    <w:rsid w:val="008549C5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740"/>
    <w:rsid w:val="0087594C"/>
    <w:rsid w:val="00876058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0F23"/>
    <w:rsid w:val="00883A67"/>
    <w:rsid w:val="00883D45"/>
    <w:rsid w:val="00884D69"/>
    <w:rsid w:val="0088503D"/>
    <w:rsid w:val="00885EC6"/>
    <w:rsid w:val="008869D2"/>
    <w:rsid w:val="00886A8F"/>
    <w:rsid w:val="0088733A"/>
    <w:rsid w:val="008901CC"/>
    <w:rsid w:val="0089061C"/>
    <w:rsid w:val="00891BE0"/>
    <w:rsid w:val="00893302"/>
    <w:rsid w:val="00893648"/>
    <w:rsid w:val="00893D83"/>
    <w:rsid w:val="00893F0C"/>
    <w:rsid w:val="00893F3C"/>
    <w:rsid w:val="008945A1"/>
    <w:rsid w:val="00894A63"/>
    <w:rsid w:val="00894F71"/>
    <w:rsid w:val="00895A54"/>
    <w:rsid w:val="00896776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6F21"/>
    <w:rsid w:val="008A73DA"/>
    <w:rsid w:val="008B00C2"/>
    <w:rsid w:val="008B04A0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E3B"/>
    <w:rsid w:val="008D13EA"/>
    <w:rsid w:val="008D2671"/>
    <w:rsid w:val="008D2A16"/>
    <w:rsid w:val="008D2ECF"/>
    <w:rsid w:val="008D347D"/>
    <w:rsid w:val="008D3F3D"/>
    <w:rsid w:val="008D4376"/>
    <w:rsid w:val="008E0367"/>
    <w:rsid w:val="008E2DCD"/>
    <w:rsid w:val="008E308D"/>
    <w:rsid w:val="008E31FF"/>
    <w:rsid w:val="008E3B0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2BD"/>
    <w:rsid w:val="00910F93"/>
    <w:rsid w:val="00910FBC"/>
    <w:rsid w:val="00911E3B"/>
    <w:rsid w:val="0091255A"/>
    <w:rsid w:val="00914426"/>
    <w:rsid w:val="0091675F"/>
    <w:rsid w:val="00917709"/>
    <w:rsid w:val="00917918"/>
    <w:rsid w:val="00920874"/>
    <w:rsid w:val="00921F14"/>
    <w:rsid w:val="009227C6"/>
    <w:rsid w:val="00923750"/>
    <w:rsid w:val="009243A5"/>
    <w:rsid w:val="0092500F"/>
    <w:rsid w:val="009250D2"/>
    <w:rsid w:val="0092519D"/>
    <w:rsid w:val="0092540B"/>
    <w:rsid w:val="009256C5"/>
    <w:rsid w:val="00925A21"/>
    <w:rsid w:val="00926283"/>
    <w:rsid w:val="00927B6E"/>
    <w:rsid w:val="009306BE"/>
    <w:rsid w:val="0093161F"/>
    <w:rsid w:val="00934836"/>
    <w:rsid w:val="00934963"/>
    <w:rsid w:val="00936ECA"/>
    <w:rsid w:val="00937AF4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67AE9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777B3"/>
    <w:rsid w:val="00977A4D"/>
    <w:rsid w:val="00980373"/>
    <w:rsid w:val="00980392"/>
    <w:rsid w:val="00980621"/>
    <w:rsid w:val="0098095B"/>
    <w:rsid w:val="00982072"/>
    <w:rsid w:val="009829F1"/>
    <w:rsid w:val="009833FA"/>
    <w:rsid w:val="00983DBB"/>
    <w:rsid w:val="00983ECF"/>
    <w:rsid w:val="00985157"/>
    <w:rsid w:val="00986745"/>
    <w:rsid w:val="009867BC"/>
    <w:rsid w:val="00987109"/>
    <w:rsid w:val="00987309"/>
    <w:rsid w:val="00987351"/>
    <w:rsid w:val="0099012D"/>
    <w:rsid w:val="00990363"/>
    <w:rsid w:val="00991266"/>
    <w:rsid w:val="009928AE"/>
    <w:rsid w:val="00993BE6"/>
    <w:rsid w:val="00993D9C"/>
    <w:rsid w:val="00993F56"/>
    <w:rsid w:val="0099483E"/>
    <w:rsid w:val="009954FF"/>
    <w:rsid w:val="0099571E"/>
    <w:rsid w:val="00995E2F"/>
    <w:rsid w:val="009961BC"/>
    <w:rsid w:val="00996355"/>
    <w:rsid w:val="0099788F"/>
    <w:rsid w:val="00997ADD"/>
    <w:rsid w:val="009A05A2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975"/>
    <w:rsid w:val="009B0EF2"/>
    <w:rsid w:val="009B23A3"/>
    <w:rsid w:val="009B25CE"/>
    <w:rsid w:val="009B2C0E"/>
    <w:rsid w:val="009B4925"/>
    <w:rsid w:val="009B4B4B"/>
    <w:rsid w:val="009B4CE3"/>
    <w:rsid w:val="009B6FD3"/>
    <w:rsid w:val="009B70BD"/>
    <w:rsid w:val="009C07A5"/>
    <w:rsid w:val="009C24A3"/>
    <w:rsid w:val="009C3705"/>
    <w:rsid w:val="009C5003"/>
    <w:rsid w:val="009C6215"/>
    <w:rsid w:val="009C7388"/>
    <w:rsid w:val="009C74C2"/>
    <w:rsid w:val="009D0CFF"/>
    <w:rsid w:val="009D1551"/>
    <w:rsid w:val="009D182E"/>
    <w:rsid w:val="009D2859"/>
    <w:rsid w:val="009D36EC"/>
    <w:rsid w:val="009D3CD0"/>
    <w:rsid w:val="009D4173"/>
    <w:rsid w:val="009D51CA"/>
    <w:rsid w:val="009D6095"/>
    <w:rsid w:val="009D6306"/>
    <w:rsid w:val="009D6727"/>
    <w:rsid w:val="009E048A"/>
    <w:rsid w:val="009E1124"/>
    <w:rsid w:val="009E1FBA"/>
    <w:rsid w:val="009E2C54"/>
    <w:rsid w:val="009E3710"/>
    <w:rsid w:val="009E6F65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172C"/>
    <w:rsid w:val="00A05B91"/>
    <w:rsid w:val="00A06788"/>
    <w:rsid w:val="00A10D66"/>
    <w:rsid w:val="00A12BA8"/>
    <w:rsid w:val="00A133F2"/>
    <w:rsid w:val="00A136FD"/>
    <w:rsid w:val="00A13993"/>
    <w:rsid w:val="00A1420C"/>
    <w:rsid w:val="00A1456C"/>
    <w:rsid w:val="00A14821"/>
    <w:rsid w:val="00A14BA8"/>
    <w:rsid w:val="00A14C9D"/>
    <w:rsid w:val="00A17754"/>
    <w:rsid w:val="00A2055B"/>
    <w:rsid w:val="00A20E22"/>
    <w:rsid w:val="00A219FE"/>
    <w:rsid w:val="00A2253C"/>
    <w:rsid w:val="00A23545"/>
    <w:rsid w:val="00A23A55"/>
    <w:rsid w:val="00A23E43"/>
    <w:rsid w:val="00A23EF0"/>
    <w:rsid w:val="00A24472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55F2"/>
    <w:rsid w:val="00A35CB2"/>
    <w:rsid w:val="00A36226"/>
    <w:rsid w:val="00A378F8"/>
    <w:rsid w:val="00A40965"/>
    <w:rsid w:val="00A40B19"/>
    <w:rsid w:val="00A40F56"/>
    <w:rsid w:val="00A41D07"/>
    <w:rsid w:val="00A424F8"/>
    <w:rsid w:val="00A42883"/>
    <w:rsid w:val="00A437B7"/>
    <w:rsid w:val="00A43EA2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430D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66784"/>
    <w:rsid w:val="00A6766C"/>
    <w:rsid w:val="00A70765"/>
    <w:rsid w:val="00A711B0"/>
    <w:rsid w:val="00A71279"/>
    <w:rsid w:val="00A721FB"/>
    <w:rsid w:val="00A727BA"/>
    <w:rsid w:val="00A72D4B"/>
    <w:rsid w:val="00A732AE"/>
    <w:rsid w:val="00A74192"/>
    <w:rsid w:val="00A750EB"/>
    <w:rsid w:val="00A75837"/>
    <w:rsid w:val="00A75E40"/>
    <w:rsid w:val="00A76B12"/>
    <w:rsid w:val="00A76EF2"/>
    <w:rsid w:val="00A7727E"/>
    <w:rsid w:val="00A77EB2"/>
    <w:rsid w:val="00A81094"/>
    <w:rsid w:val="00A82B66"/>
    <w:rsid w:val="00A82C52"/>
    <w:rsid w:val="00A83B58"/>
    <w:rsid w:val="00A84D7D"/>
    <w:rsid w:val="00A84FAF"/>
    <w:rsid w:val="00A851B6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6241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4D2A"/>
    <w:rsid w:val="00AB4E33"/>
    <w:rsid w:val="00AB74C5"/>
    <w:rsid w:val="00AB75A7"/>
    <w:rsid w:val="00AB7BEE"/>
    <w:rsid w:val="00AB7DF2"/>
    <w:rsid w:val="00AC1E3F"/>
    <w:rsid w:val="00AC219A"/>
    <w:rsid w:val="00AC3D02"/>
    <w:rsid w:val="00AC4F18"/>
    <w:rsid w:val="00AC69CA"/>
    <w:rsid w:val="00AD0B46"/>
    <w:rsid w:val="00AD1094"/>
    <w:rsid w:val="00AD2565"/>
    <w:rsid w:val="00AD2862"/>
    <w:rsid w:val="00AD306C"/>
    <w:rsid w:val="00AD3424"/>
    <w:rsid w:val="00AD3E3F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81D"/>
    <w:rsid w:val="00AE608F"/>
    <w:rsid w:val="00AE6734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436"/>
    <w:rsid w:val="00B01C2C"/>
    <w:rsid w:val="00B0231C"/>
    <w:rsid w:val="00B03F5F"/>
    <w:rsid w:val="00B06EE1"/>
    <w:rsid w:val="00B07372"/>
    <w:rsid w:val="00B07C2A"/>
    <w:rsid w:val="00B10100"/>
    <w:rsid w:val="00B128E5"/>
    <w:rsid w:val="00B13681"/>
    <w:rsid w:val="00B13BCE"/>
    <w:rsid w:val="00B15DCD"/>
    <w:rsid w:val="00B16201"/>
    <w:rsid w:val="00B17E71"/>
    <w:rsid w:val="00B17FDE"/>
    <w:rsid w:val="00B208FC"/>
    <w:rsid w:val="00B20C65"/>
    <w:rsid w:val="00B22E17"/>
    <w:rsid w:val="00B25567"/>
    <w:rsid w:val="00B25E31"/>
    <w:rsid w:val="00B266C5"/>
    <w:rsid w:val="00B27293"/>
    <w:rsid w:val="00B300E8"/>
    <w:rsid w:val="00B301BB"/>
    <w:rsid w:val="00B30737"/>
    <w:rsid w:val="00B321E3"/>
    <w:rsid w:val="00B3229E"/>
    <w:rsid w:val="00B32DDB"/>
    <w:rsid w:val="00B3447A"/>
    <w:rsid w:val="00B3448C"/>
    <w:rsid w:val="00B34931"/>
    <w:rsid w:val="00B35174"/>
    <w:rsid w:val="00B35BEA"/>
    <w:rsid w:val="00B365CB"/>
    <w:rsid w:val="00B37915"/>
    <w:rsid w:val="00B3793D"/>
    <w:rsid w:val="00B41BE6"/>
    <w:rsid w:val="00B42831"/>
    <w:rsid w:val="00B428A4"/>
    <w:rsid w:val="00B428EA"/>
    <w:rsid w:val="00B457E7"/>
    <w:rsid w:val="00B45D1B"/>
    <w:rsid w:val="00B45DE5"/>
    <w:rsid w:val="00B46D25"/>
    <w:rsid w:val="00B47430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06C"/>
    <w:rsid w:val="00B62960"/>
    <w:rsid w:val="00B63A11"/>
    <w:rsid w:val="00B63FD0"/>
    <w:rsid w:val="00B6493D"/>
    <w:rsid w:val="00B6553E"/>
    <w:rsid w:val="00B65C84"/>
    <w:rsid w:val="00B6608F"/>
    <w:rsid w:val="00B67E42"/>
    <w:rsid w:val="00B73180"/>
    <w:rsid w:val="00B74317"/>
    <w:rsid w:val="00B75700"/>
    <w:rsid w:val="00B760C1"/>
    <w:rsid w:val="00B76D1E"/>
    <w:rsid w:val="00B77BC8"/>
    <w:rsid w:val="00B77FB7"/>
    <w:rsid w:val="00B800EB"/>
    <w:rsid w:val="00B822D2"/>
    <w:rsid w:val="00B823F1"/>
    <w:rsid w:val="00B831B4"/>
    <w:rsid w:val="00B83D46"/>
    <w:rsid w:val="00B848B8"/>
    <w:rsid w:val="00B84A41"/>
    <w:rsid w:val="00B84D57"/>
    <w:rsid w:val="00B8504B"/>
    <w:rsid w:val="00B853C2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55C"/>
    <w:rsid w:val="00B979A0"/>
    <w:rsid w:val="00BA094F"/>
    <w:rsid w:val="00BA0DED"/>
    <w:rsid w:val="00BA0F99"/>
    <w:rsid w:val="00BA28FD"/>
    <w:rsid w:val="00BA6D2C"/>
    <w:rsid w:val="00BB0274"/>
    <w:rsid w:val="00BB0B13"/>
    <w:rsid w:val="00BB1CFD"/>
    <w:rsid w:val="00BB2C53"/>
    <w:rsid w:val="00BB32DA"/>
    <w:rsid w:val="00BB3A54"/>
    <w:rsid w:val="00BB4286"/>
    <w:rsid w:val="00BB462A"/>
    <w:rsid w:val="00BB4D26"/>
    <w:rsid w:val="00BB4E21"/>
    <w:rsid w:val="00BB62F2"/>
    <w:rsid w:val="00BB6F86"/>
    <w:rsid w:val="00BB7746"/>
    <w:rsid w:val="00BC22EB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3F01"/>
    <w:rsid w:val="00BD5217"/>
    <w:rsid w:val="00BD5298"/>
    <w:rsid w:val="00BD534C"/>
    <w:rsid w:val="00BD557B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BF7F08"/>
    <w:rsid w:val="00BF7F28"/>
    <w:rsid w:val="00C00831"/>
    <w:rsid w:val="00C00F20"/>
    <w:rsid w:val="00C01354"/>
    <w:rsid w:val="00C01700"/>
    <w:rsid w:val="00C01B84"/>
    <w:rsid w:val="00C034E6"/>
    <w:rsid w:val="00C05715"/>
    <w:rsid w:val="00C05926"/>
    <w:rsid w:val="00C06B8B"/>
    <w:rsid w:val="00C0784A"/>
    <w:rsid w:val="00C10B28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711F"/>
    <w:rsid w:val="00C17E38"/>
    <w:rsid w:val="00C20027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4E"/>
    <w:rsid w:val="00C300C6"/>
    <w:rsid w:val="00C30828"/>
    <w:rsid w:val="00C30924"/>
    <w:rsid w:val="00C31DD8"/>
    <w:rsid w:val="00C3271C"/>
    <w:rsid w:val="00C32A35"/>
    <w:rsid w:val="00C34AEA"/>
    <w:rsid w:val="00C34FDE"/>
    <w:rsid w:val="00C35C16"/>
    <w:rsid w:val="00C36EC3"/>
    <w:rsid w:val="00C408BB"/>
    <w:rsid w:val="00C40E09"/>
    <w:rsid w:val="00C40F81"/>
    <w:rsid w:val="00C41463"/>
    <w:rsid w:val="00C41A06"/>
    <w:rsid w:val="00C41A72"/>
    <w:rsid w:val="00C42D45"/>
    <w:rsid w:val="00C43CB1"/>
    <w:rsid w:val="00C4422D"/>
    <w:rsid w:val="00C45380"/>
    <w:rsid w:val="00C466D1"/>
    <w:rsid w:val="00C476C5"/>
    <w:rsid w:val="00C503B0"/>
    <w:rsid w:val="00C511C2"/>
    <w:rsid w:val="00C527C6"/>
    <w:rsid w:val="00C538FC"/>
    <w:rsid w:val="00C53CDB"/>
    <w:rsid w:val="00C53D82"/>
    <w:rsid w:val="00C5474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4F6"/>
    <w:rsid w:val="00C77833"/>
    <w:rsid w:val="00C80953"/>
    <w:rsid w:val="00C80C9B"/>
    <w:rsid w:val="00C814FC"/>
    <w:rsid w:val="00C8180B"/>
    <w:rsid w:val="00C8335E"/>
    <w:rsid w:val="00C83F9C"/>
    <w:rsid w:val="00C84CE3"/>
    <w:rsid w:val="00C85614"/>
    <w:rsid w:val="00C86127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6F2A"/>
    <w:rsid w:val="00C97038"/>
    <w:rsid w:val="00C97D46"/>
    <w:rsid w:val="00CA02B2"/>
    <w:rsid w:val="00CA0883"/>
    <w:rsid w:val="00CA1085"/>
    <w:rsid w:val="00CA140F"/>
    <w:rsid w:val="00CA25C2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2B15"/>
    <w:rsid w:val="00CB2EEA"/>
    <w:rsid w:val="00CB39FE"/>
    <w:rsid w:val="00CB43A7"/>
    <w:rsid w:val="00CB4DF1"/>
    <w:rsid w:val="00CB5852"/>
    <w:rsid w:val="00CB5996"/>
    <w:rsid w:val="00CB6809"/>
    <w:rsid w:val="00CB7452"/>
    <w:rsid w:val="00CC0E10"/>
    <w:rsid w:val="00CC1DAF"/>
    <w:rsid w:val="00CC21A6"/>
    <w:rsid w:val="00CC2642"/>
    <w:rsid w:val="00CC2967"/>
    <w:rsid w:val="00CC2A1E"/>
    <w:rsid w:val="00CC2A36"/>
    <w:rsid w:val="00CC2E15"/>
    <w:rsid w:val="00CC3440"/>
    <w:rsid w:val="00CC351B"/>
    <w:rsid w:val="00CC3908"/>
    <w:rsid w:val="00CC4F3D"/>
    <w:rsid w:val="00CC5BC5"/>
    <w:rsid w:val="00CC62AD"/>
    <w:rsid w:val="00CC6CA2"/>
    <w:rsid w:val="00CC7086"/>
    <w:rsid w:val="00CC7B80"/>
    <w:rsid w:val="00CD0080"/>
    <w:rsid w:val="00CD0779"/>
    <w:rsid w:val="00CD2B3C"/>
    <w:rsid w:val="00CD30F6"/>
    <w:rsid w:val="00CD4B29"/>
    <w:rsid w:val="00CD5493"/>
    <w:rsid w:val="00CD6607"/>
    <w:rsid w:val="00CD67CA"/>
    <w:rsid w:val="00CD6954"/>
    <w:rsid w:val="00CD6DA3"/>
    <w:rsid w:val="00CD6EF1"/>
    <w:rsid w:val="00CD7E35"/>
    <w:rsid w:val="00CE0849"/>
    <w:rsid w:val="00CE21C7"/>
    <w:rsid w:val="00CE2682"/>
    <w:rsid w:val="00CE2756"/>
    <w:rsid w:val="00CE442A"/>
    <w:rsid w:val="00CE44CE"/>
    <w:rsid w:val="00CE4DEB"/>
    <w:rsid w:val="00CE57D8"/>
    <w:rsid w:val="00CE5F03"/>
    <w:rsid w:val="00CE617A"/>
    <w:rsid w:val="00CE65E7"/>
    <w:rsid w:val="00CE6E3C"/>
    <w:rsid w:val="00CE7158"/>
    <w:rsid w:val="00CE797F"/>
    <w:rsid w:val="00CF107E"/>
    <w:rsid w:val="00CF15BF"/>
    <w:rsid w:val="00CF25D2"/>
    <w:rsid w:val="00CF28C2"/>
    <w:rsid w:val="00CF3D3A"/>
    <w:rsid w:val="00CF42BD"/>
    <w:rsid w:val="00CF51EC"/>
    <w:rsid w:val="00CF58ED"/>
    <w:rsid w:val="00CF6A9D"/>
    <w:rsid w:val="00CF6CD7"/>
    <w:rsid w:val="00CF7276"/>
    <w:rsid w:val="00CF75EC"/>
    <w:rsid w:val="00D002DF"/>
    <w:rsid w:val="00D0037A"/>
    <w:rsid w:val="00D0061E"/>
    <w:rsid w:val="00D00DAF"/>
    <w:rsid w:val="00D0103D"/>
    <w:rsid w:val="00D017EC"/>
    <w:rsid w:val="00D01CDA"/>
    <w:rsid w:val="00D020FC"/>
    <w:rsid w:val="00D024A1"/>
    <w:rsid w:val="00D03866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4B3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2F9A"/>
    <w:rsid w:val="00D547BA"/>
    <w:rsid w:val="00D55626"/>
    <w:rsid w:val="00D556BC"/>
    <w:rsid w:val="00D5626D"/>
    <w:rsid w:val="00D56631"/>
    <w:rsid w:val="00D577A4"/>
    <w:rsid w:val="00D57E4B"/>
    <w:rsid w:val="00D60277"/>
    <w:rsid w:val="00D60336"/>
    <w:rsid w:val="00D61B06"/>
    <w:rsid w:val="00D61F88"/>
    <w:rsid w:val="00D62688"/>
    <w:rsid w:val="00D62901"/>
    <w:rsid w:val="00D6345E"/>
    <w:rsid w:val="00D64583"/>
    <w:rsid w:val="00D645E4"/>
    <w:rsid w:val="00D6470C"/>
    <w:rsid w:val="00D64853"/>
    <w:rsid w:val="00D64CB5"/>
    <w:rsid w:val="00D66D48"/>
    <w:rsid w:val="00D7162F"/>
    <w:rsid w:val="00D72897"/>
    <w:rsid w:val="00D73256"/>
    <w:rsid w:val="00D73A30"/>
    <w:rsid w:val="00D73E6F"/>
    <w:rsid w:val="00D74ABF"/>
    <w:rsid w:val="00D74C65"/>
    <w:rsid w:val="00D74E97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1906"/>
    <w:rsid w:val="00D81B44"/>
    <w:rsid w:val="00D82462"/>
    <w:rsid w:val="00D831C6"/>
    <w:rsid w:val="00D83EF3"/>
    <w:rsid w:val="00D84BD1"/>
    <w:rsid w:val="00D85773"/>
    <w:rsid w:val="00D85886"/>
    <w:rsid w:val="00D85D55"/>
    <w:rsid w:val="00D868CE"/>
    <w:rsid w:val="00D86DAE"/>
    <w:rsid w:val="00D90116"/>
    <w:rsid w:val="00D90C1E"/>
    <w:rsid w:val="00D91BDF"/>
    <w:rsid w:val="00D91F2C"/>
    <w:rsid w:val="00D9266B"/>
    <w:rsid w:val="00D93F09"/>
    <w:rsid w:val="00D94859"/>
    <w:rsid w:val="00D954C2"/>
    <w:rsid w:val="00D9640A"/>
    <w:rsid w:val="00D97BB8"/>
    <w:rsid w:val="00DA1318"/>
    <w:rsid w:val="00DA1382"/>
    <w:rsid w:val="00DA28B7"/>
    <w:rsid w:val="00DA2FE8"/>
    <w:rsid w:val="00DA4AF6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3D9"/>
    <w:rsid w:val="00DC5B3B"/>
    <w:rsid w:val="00DC6796"/>
    <w:rsid w:val="00DC6CC6"/>
    <w:rsid w:val="00DC78DF"/>
    <w:rsid w:val="00DC7D4C"/>
    <w:rsid w:val="00DD0726"/>
    <w:rsid w:val="00DD0821"/>
    <w:rsid w:val="00DD0E32"/>
    <w:rsid w:val="00DD1878"/>
    <w:rsid w:val="00DD1DC1"/>
    <w:rsid w:val="00DD2872"/>
    <w:rsid w:val="00DD2A62"/>
    <w:rsid w:val="00DD2BD0"/>
    <w:rsid w:val="00DD2BFE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E3BE8"/>
    <w:rsid w:val="00DE5403"/>
    <w:rsid w:val="00DF0615"/>
    <w:rsid w:val="00DF0DC3"/>
    <w:rsid w:val="00DF1FDA"/>
    <w:rsid w:val="00DF21FD"/>
    <w:rsid w:val="00DF2873"/>
    <w:rsid w:val="00DF293C"/>
    <w:rsid w:val="00DF34B2"/>
    <w:rsid w:val="00DF42DF"/>
    <w:rsid w:val="00DF4C74"/>
    <w:rsid w:val="00DF5578"/>
    <w:rsid w:val="00DF594F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3B58"/>
    <w:rsid w:val="00E04694"/>
    <w:rsid w:val="00E049F6"/>
    <w:rsid w:val="00E04CA9"/>
    <w:rsid w:val="00E05B2B"/>
    <w:rsid w:val="00E05EAD"/>
    <w:rsid w:val="00E06A2A"/>
    <w:rsid w:val="00E07F05"/>
    <w:rsid w:val="00E106A2"/>
    <w:rsid w:val="00E127E1"/>
    <w:rsid w:val="00E12BCE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3313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703"/>
    <w:rsid w:val="00E45A00"/>
    <w:rsid w:val="00E45CE7"/>
    <w:rsid w:val="00E4631F"/>
    <w:rsid w:val="00E46A4A"/>
    <w:rsid w:val="00E4793B"/>
    <w:rsid w:val="00E47CB8"/>
    <w:rsid w:val="00E522BB"/>
    <w:rsid w:val="00E52A3D"/>
    <w:rsid w:val="00E533B7"/>
    <w:rsid w:val="00E539E4"/>
    <w:rsid w:val="00E53C14"/>
    <w:rsid w:val="00E549C7"/>
    <w:rsid w:val="00E569C7"/>
    <w:rsid w:val="00E571F2"/>
    <w:rsid w:val="00E57429"/>
    <w:rsid w:val="00E60FCE"/>
    <w:rsid w:val="00E61EA8"/>
    <w:rsid w:val="00E62A33"/>
    <w:rsid w:val="00E63221"/>
    <w:rsid w:val="00E63960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6F80"/>
    <w:rsid w:val="00E7724B"/>
    <w:rsid w:val="00E80E31"/>
    <w:rsid w:val="00E81130"/>
    <w:rsid w:val="00E83DAB"/>
    <w:rsid w:val="00E84F21"/>
    <w:rsid w:val="00E8618A"/>
    <w:rsid w:val="00E861C8"/>
    <w:rsid w:val="00E90A4B"/>
    <w:rsid w:val="00E90D67"/>
    <w:rsid w:val="00E90F73"/>
    <w:rsid w:val="00E910A7"/>
    <w:rsid w:val="00E9159D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1CFB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20A0"/>
    <w:rsid w:val="00EB29CA"/>
    <w:rsid w:val="00EB2CE9"/>
    <w:rsid w:val="00EB30B6"/>
    <w:rsid w:val="00EB4FA4"/>
    <w:rsid w:val="00EB5146"/>
    <w:rsid w:val="00EB522B"/>
    <w:rsid w:val="00EB55E9"/>
    <w:rsid w:val="00EB5641"/>
    <w:rsid w:val="00EB5BA3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B0B"/>
    <w:rsid w:val="00ED2CA5"/>
    <w:rsid w:val="00ED336F"/>
    <w:rsid w:val="00ED390A"/>
    <w:rsid w:val="00ED3A94"/>
    <w:rsid w:val="00ED40F0"/>
    <w:rsid w:val="00ED4AC0"/>
    <w:rsid w:val="00ED54D6"/>
    <w:rsid w:val="00ED5726"/>
    <w:rsid w:val="00ED7C3C"/>
    <w:rsid w:val="00EE0113"/>
    <w:rsid w:val="00EE0298"/>
    <w:rsid w:val="00EE0384"/>
    <w:rsid w:val="00EE043A"/>
    <w:rsid w:val="00EE0473"/>
    <w:rsid w:val="00EE1057"/>
    <w:rsid w:val="00EE10AA"/>
    <w:rsid w:val="00EE1637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ED5"/>
    <w:rsid w:val="00EF1F5A"/>
    <w:rsid w:val="00EF3486"/>
    <w:rsid w:val="00EF3CF0"/>
    <w:rsid w:val="00EF4685"/>
    <w:rsid w:val="00EF5397"/>
    <w:rsid w:val="00EF63CC"/>
    <w:rsid w:val="00EF6BE3"/>
    <w:rsid w:val="00F00D0E"/>
    <w:rsid w:val="00F00D3C"/>
    <w:rsid w:val="00F020EA"/>
    <w:rsid w:val="00F02A72"/>
    <w:rsid w:val="00F04811"/>
    <w:rsid w:val="00F0488C"/>
    <w:rsid w:val="00F0496E"/>
    <w:rsid w:val="00F04D10"/>
    <w:rsid w:val="00F053EA"/>
    <w:rsid w:val="00F0625B"/>
    <w:rsid w:val="00F068A8"/>
    <w:rsid w:val="00F06944"/>
    <w:rsid w:val="00F06C6F"/>
    <w:rsid w:val="00F0732D"/>
    <w:rsid w:val="00F101FF"/>
    <w:rsid w:val="00F104DF"/>
    <w:rsid w:val="00F10A33"/>
    <w:rsid w:val="00F10B64"/>
    <w:rsid w:val="00F1186C"/>
    <w:rsid w:val="00F11A6D"/>
    <w:rsid w:val="00F11AD5"/>
    <w:rsid w:val="00F126D0"/>
    <w:rsid w:val="00F12A83"/>
    <w:rsid w:val="00F14ACD"/>
    <w:rsid w:val="00F15309"/>
    <w:rsid w:val="00F15BEF"/>
    <w:rsid w:val="00F15FBB"/>
    <w:rsid w:val="00F160EC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6C"/>
    <w:rsid w:val="00F23FFF"/>
    <w:rsid w:val="00F2441D"/>
    <w:rsid w:val="00F2490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8E3"/>
    <w:rsid w:val="00F35ACD"/>
    <w:rsid w:val="00F365BF"/>
    <w:rsid w:val="00F36BF8"/>
    <w:rsid w:val="00F375BA"/>
    <w:rsid w:val="00F37760"/>
    <w:rsid w:val="00F403D1"/>
    <w:rsid w:val="00F4272E"/>
    <w:rsid w:val="00F43921"/>
    <w:rsid w:val="00F44E1B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9EE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6CA8"/>
    <w:rsid w:val="00F67BDA"/>
    <w:rsid w:val="00F70309"/>
    <w:rsid w:val="00F7078A"/>
    <w:rsid w:val="00F70E45"/>
    <w:rsid w:val="00F727D5"/>
    <w:rsid w:val="00F72F44"/>
    <w:rsid w:val="00F73A0C"/>
    <w:rsid w:val="00F7593B"/>
    <w:rsid w:val="00F759DC"/>
    <w:rsid w:val="00F76563"/>
    <w:rsid w:val="00F7717C"/>
    <w:rsid w:val="00F771A5"/>
    <w:rsid w:val="00F80021"/>
    <w:rsid w:val="00F80D1E"/>
    <w:rsid w:val="00F817A4"/>
    <w:rsid w:val="00F81C3A"/>
    <w:rsid w:val="00F83573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B0A9A"/>
    <w:rsid w:val="00FB16AD"/>
    <w:rsid w:val="00FB1F21"/>
    <w:rsid w:val="00FB332E"/>
    <w:rsid w:val="00FB3763"/>
    <w:rsid w:val="00FB483B"/>
    <w:rsid w:val="00FB56F1"/>
    <w:rsid w:val="00FB5FD4"/>
    <w:rsid w:val="00FB6398"/>
    <w:rsid w:val="00FB67F3"/>
    <w:rsid w:val="00FB6AF4"/>
    <w:rsid w:val="00FC0D8A"/>
    <w:rsid w:val="00FC0E5F"/>
    <w:rsid w:val="00FC135D"/>
    <w:rsid w:val="00FC26FB"/>
    <w:rsid w:val="00FC2CF4"/>
    <w:rsid w:val="00FC3C84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3A0"/>
    <w:rsid w:val="00FD473D"/>
    <w:rsid w:val="00FD55BA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53AD"/>
    <w:rsid w:val="00FE688F"/>
    <w:rsid w:val="00FE705E"/>
    <w:rsid w:val="00FF02EB"/>
    <w:rsid w:val="00FF288B"/>
    <w:rsid w:val="00FF28E0"/>
    <w:rsid w:val="00FF2FB4"/>
    <w:rsid w:val="00FF30B3"/>
    <w:rsid w:val="00FF3DF3"/>
    <w:rsid w:val="00FF4027"/>
    <w:rsid w:val="00FF45A2"/>
    <w:rsid w:val="00FF55B1"/>
    <w:rsid w:val="00FF65DF"/>
    <w:rsid w:val="00FF761D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  <w:style w:type="character" w:customStyle="1" w:styleId="tabulka">
    <w:name w:val="tabulka"/>
    <w:basedOn w:val="Standardnpsmoodstavce"/>
    <w:rsid w:val="001C39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57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A0D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1459A7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097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24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3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3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3\Makroanal&#253;za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5.8568840579710145E-2"/>
          <c:y val="2.1811315924220229E-2"/>
          <c:w val="0.92237743255066085"/>
          <c:h val="0.73318107621299766"/>
        </c:manualLayout>
      </c:layout>
      <c:barChart>
        <c:barDir val="col"/>
        <c:grouping val="clustered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2'!$A$10:$B$28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2'!$C$10:$C$28</c:f>
              <c:numCache>
                <c:formatCode>0.0</c:formatCode>
                <c:ptCount val="19"/>
                <c:pt idx="0">
                  <c:v>1.7999999999999849</c:v>
                </c:pt>
                <c:pt idx="1">
                  <c:v>1.5</c:v>
                </c:pt>
                <c:pt idx="2">
                  <c:v>1.2000000000000028</c:v>
                </c:pt>
                <c:pt idx="3">
                  <c:v>1.0999999999999821</c:v>
                </c:pt>
                <c:pt idx="4">
                  <c:v>0.20000000000000284</c:v>
                </c:pt>
                <c:pt idx="5">
                  <c:v>0.20000000000000284</c:v>
                </c:pt>
                <c:pt idx="6">
                  <c:v>0.59999999999999454</c:v>
                </c:pt>
                <c:pt idx="7">
                  <c:v>0.5</c:v>
                </c:pt>
                <c:pt idx="8">
                  <c:v>9.9999999999995245E-2</c:v>
                </c:pt>
                <c:pt idx="9">
                  <c:v>0.70000000000000284</c:v>
                </c:pt>
                <c:pt idx="10">
                  <c:v>0.40000000000000568</c:v>
                </c:pt>
                <c:pt idx="11">
                  <c:v>9.9999999999995245E-2</c:v>
                </c:pt>
                <c:pt idx="12">
                  <c:v>0.5</c:v>
                </c:pt>
                <c:pt idx="13">
                  <c:v>0.20000000000000284</c:v>
                </c:pt>
                <c:pt idx="14">
                  <c:v>0.5</c:v>
                </c:pt>
                <c:pt idx="15">
                  <c:v>1.4000000000000057</c:v>
                </c:pt>
                <c:pt idx="16" formatCode="General">
                  <c:v>2.4000000000000057</c:v>
                </c:pt>
                <c:pt idx="17" formatCode="General">
                  <c:v>2.2000000000000042</c:v>
                </c:pt>
                <c:pt idx="18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39-443A-8F3A-CE22923D37AD}"/>
            </c:ext>
          </c:extLst>
        </c:ser>
        <c:gapWidth val="95"/>
        <c:axId val="181576832"/>
        <c:axId val="181585024"/>
      </c:barChart>
      <c:lineChart>
        <c:grouping val="standard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2'!$D$10:$D$28</c:f>
              <c:numCache>
                <c:formatCode>0.0</c:formatCode>
                <c:ptCount val="19"/>
                <c:pt idx="0">
                  <c:v>4.9000000000000083</c:v>
                </c:pt>
                <c:pt idx="1">
                  <c:v>5.4000000000000083</c:v>
                </c:pt>
                <c:pt idx="2">
                  <c:v>5.2999999999999972</c:v>
                </c:pt>
                <c:pt idx="3">
                  <c:v>4.0999999999999943</c:v>
                </c:pt>
                <c:pt idx="4">
                  <c:v>3.9000000000000057</c:v>
                </c:pt>
                <c:pt idx="5">
                  <c:v>1.5</c:v>
                </c:pt>
                <c:pt idx="6">
                  <c:v>1.4000000000000057</c:v>
                </c:pt>
                <c:pt idx="7">
                  <c:v>1.2000000000000028</c:v>
                </c:pt>
                <c:pt idx="8">
                  <c:v>-1.5999999999999821</c:v>
                </c:pt>
                <c:pt idx="9">
                  <c:v>-9.9999999999995245E-2</c:v>
                </c:pt>
                <c:pt idx="10">
                  <c:v>-0.90000000000000568</c:v>
                </c:pt>
                <c:pt idx="11">
                  <c:v>-1.5999999999999821</c:v>
                </c:pt>
                <c:pt idx="12">
                  <c:v>-1.7000000000000044</c:v>
                </c:pt>
                <c:pt idx="13">
                  <c:v>-2.4000000000000057</c:v>
                </c:pt>
                <c:pt idx="14">
                  <c:v>-0.7999999999999976</c:v>
                </c:pt>
                <c:pt idx="15">
                  <c:v>1.2000000000000028</c:v>
                </c:pt>
                <c:pt idx="16" formatCode="General">
                  <c:v>4.2000000000000028</c:v>
                </c:pt>
                <c:pt idx="17" formatCode="General">
                  <c:v>4.5</c:v>
                </c:pt>
                <c:pt idx="18">
                  <c:v>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39-443A-8F3A-CE22923D37AD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2'!$F$10:$F$28</c:f>
              <c:numCache>
                <c:formatCode>0.0</c:formatCode>
                <c:ptCount val="19"/>
                <c:pt idx="0">
                  <c:v>2.5999999999999943</c:v>
                </c:pt>
                <c:pt idx="1">
                  <c:v>2</c:v>
                </c:pt>
                <c:pt idx="2">
                  <c:v>1.2000000000000028</c:v>
                </c:pt>
                <c:pt idx="3">
                  <c:v>1.2000000000000028</c:v>
                </c:pt>
                <c:pt idx="4">
                  <c:v>-2.4000000000000057</c:v>
                </c:pt>
                <c:pt idx="5">
                  <c:v>-1.7000000000000044</c:v>
                </c:pt>
                <c:pt idx="6">
                  <c:v>-0.70000000000000284</c:v>
                </c:pt>
                <c:pt idx="7">
                  <c:v>-0.59999999999999454</c:v>
                </c:pt>
                <c:pt idx="8">
                  <c:v>1.0999999999999821</c:v>
                </c:pt>
                <c:pt idx="9">
                  <c:v>1.2000000000000028</c:v>
                </c:pt>
                <c:pt idx="10">
                  <c:v>0.7999999999999976</c:v>
                </c:pt>
                <c:pt idx="11">
                  <c:v>0.90000000000000568</c:v>
                </c:pt>
                <c:pt idx="12">
                  <c:v>0.90000000000000568</c:v>
                </c:pt>
                <c:pt idx="13">
                  <c:v>0.5</c:v>
                </c:pt>
                <c:pt idx="14">
                  <c:v>0.40000000000000568</c:v>
                </c:pt>
                <c:pt idx="15">
                  <c:v>0.59999999999999454</c:v>
                </c:pt>
                <c:pt idx="16" formatCode="General">
                  <c:v>0.7999999999999976</c:v>
                </c:pt>
                <c:pt idx="17" formatCode="General">
                  <c:v>1.5</c:v>
                </c:pt>
                <c:pt idx="18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39-443A-8F3A-CE22923D37AD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val>
            <c:numRef>
              <c:f>'Ceny 2'!$G$10:$G$28</c:f>
              <c:numCache>
                <c:formatCode>General</c:formatCode>
                <c:ptCount val="19"/>
                <c:pt idx="0">
                  <c:v>-0.7999999999999976</c:v>
                </c:pt>
                <c:pt idx="1">
                  <c:v>-1.2000000000000028</c:v>
                </c:pt>
                <c:pt idx="2">
                  <c:v>-0.40000000000000568</c:v>
                </c:pt>
                <c:pt idx="3">
                  <c:v>-0.20000000000000284</c:v>
                </c:pt>
                <c:pt idx="4">
                  <c:v>9.9999999999995245E-2</c:v>
                </c:pt>
                <c:pt idx="5">
                  <c:v>0.30000000000000032</c:v>
                </c:pt>
                <c:pt idx="6">
                  <c:v>0.5</c:v>
                </c:pt>
                <c:pt idx="7">
                  <c:v>0</c:v>
                </c:pt>
                <c:pt idx="8">
                  <c:v>-4.9000000000000083</c:v>
                </c:pt>
                <c:pt idx="9">
                  <c:v>-3.2999999999999972</c:v>
                </c:pt>
                <c:pt idx="10">
                  <c:v>-3.7999999999999972</c:v>
                </c:pt>
                <c:pt idx="11">
                  <c:v>-4.7000000000000028</c:v>
                </c:pt>
                <c:pt idx="12">
                  <c:v>-2.7000000000000042</c:v>
                </c:pt>
                <c:pt idx="13">
                  <c:v>-2.9000000000000057</c:v>
                </c:pt>
                <c:pt idx="14">
                  <c:v>-2.2999999999999972</c:v>
                </c:pt>
                <c:pt idx="15">
                  <c:v>1.0999999999999821</c:v>
                </c:pt>
                <c:pt idx="16">
                  <c:v>6</c:v>
                </c:pt>
                <c:pt idx="17">
                  <c:v>3.9000000000000057</c:v>
                </c:pt>
                <c:pt idx="18" formatCode="0.0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639-443A-8F3A-CE22923D37AD}"/>
            </c:ext>
          </c:extLst>
        </c:ser>
        <c:ser>
          <c:idx val="2"/>
          <c:order val="4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val>
            <c:numRef>
              <c:f>'Ceny 2'!$H$10:$H$28</c:f>
              <c:numCache>
                <c:formatCode>###,###,##0.0</c:formatCode>
                <c:ptCount val="19"/>
                <c:pt idx="0">
                  <c:v>2.4000000000000057</c:v>
                </c:pt>
                <c:pt idx="1">
                  <c:v>1.9000000000000061</c:v>
                </c:pt>
                <c:pt idx="2">
                  <c:v>2</c:v>
                </c:pt>
                <c:pt idx="3">
                  <c:v>1.7999999999999849</c:v>
                </c:pt>
                <c:pt idx="4">
                  <c:v>1.5999999999999821</c:v>
                </c:pt>
                <c:pt idx="5">
                  <c:v>1.7000000000000044</c:v>
                </c:pt>
                <c:pt idx="6">
                  <c:v>1.7000000000000044</c:v>
                </c:pt>
                <c:pt idx="7">
                  <c:v>1.7000000000000044</c:v>
                </c:pt>
                <c:pt idx="8">
                  <c:v>1.7000000000000044</c:v>
                </c:pt>
                <c:pt idx="9">
                  <c:v>1.5999999999999821</c:v>
                </c:pt>
                <c:pt idx="10">
                  <c:v>1.4000000000000057</c:v>
                </c:pt>
                <c:pt idx="11">
                  <c:v>1.2999999999999829</c:v>
                </c:pt>
                <c:pt idx="12">
                  <c:v>1.2000000000000028</c:v>
                </c:pt>
                <c:pt idx="13">
                  <c:v>1.0999999999999821</c:v>
                </c:pt>
                <c:pt idx="14">
                  <c:v>1.2000000000000028</c:v>
                </c:pt>
                <c:pt idx="15">
                  <c:v>2.7000000000000042</c:v>
                </c:pt>
                <c:pt idx="16">
                  <c:v>5.2000000000000028</c:v>
                </c:pt>
                <c:pt idx="17">
                  <c:v>5.7999999999999972</c:v>
                </c:pt>
                <c:pt idx="18">
                  <c:v>6.2999999999999972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639-443A-8F3A-CE22923D37AD}"/>
            </c:ext>
          </c:extLst>
        </c:ser>
        <c:marker val="1"/>
        <c:axId val="181576832"/>
        <c:axId val="181585024"/>
      </c:lineChart>
      <c:catAx>
        <c:axId val="181576832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81585024"/>
        <c:crosses val="autoZero"/>
        <c:auto val="1"/>
        <c:lblAlgn val="ctr"/>
        <c:lblOffset val="100"/>
      </c:catAx>
      <c:valAx>
        <c:axId val="181585024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81576832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6562767491901832E-2"/>
          <c:y val="0.87255825734550219"/>
          <c:w val="0.92362905268491513"/>
          <c:h val="0.10076212991106696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9258203189717562E-2"/>
          <c:y val="2.9569886214146503E-2"/>
          <c:w val="0.92637856314472322"/>
          <c:h val="0.73556653157716956"/>
        </c:manualLayout>
      </c:layout>
      <c:barChart>
        <c:barDir val="col"/>
        <c:grouping val="clustered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1'!$A$10:$B$28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1'!$C$10:$C$28</c:f>
              <c:numCache>
                <c:formatCode>General</c:formatCode>
                <c:ptCount val="19"/>
                <c:pt idx="0">
                  <c:v>-5.0999999999999943</c:v>
                </c:pt>
                <c:pt idx="1">
                  <c:v>-3.5999999999999943</c:v>
                </c:pt>
                <c:pt idx="2">
                  <c:v>-2.5</c:v>
                </c:pt>
                <c:pt idx="3">
                  <c:v>-1.7000000000000028</c:v>
                </c:pt>
                <c:pt idx="4">
                  <c:v>1.2000000000000028</c:v>
                </c:pt>
                <c:pt idx="5">
                  <c:v>2.5</c:v>
                </c:pt>
                <c:pt idx="6">
                  <c:v>4.5</c:v>
                </c:pt>
                <c:pt idx="7">
                  <c:v>5.7000000000000028</c:v>
                </c:pt>
                <c:pt idx="8">
                  <c:v>4.2999999999999972</c:v>
                </c:pt>
                <c:pt idx="9">
                  <c:v>4.9000000000000083</c:v>
                </c:pt>
                <c:pt idx="10">
                  <c:v>6</c:v>
                </c:pt>
                <c:pt idx="11">
                  <c:v>6.7999999999999972</c:v>
                </c:pt>
                <c:pt idx="12">
                  <c:v>8.9000000000000057</c:v>
                </c:pt>
                <c:pt idx="13">
                  <c:v>10.3</c:v>
                </c:pt>
                <c:pt idx="14">
                  <c:v>12.3</c:v>
                </c:pt>
                <c:pt idx="15">
                  <c:v>14.600000000000001</c:v>
                </c:pt>
                <c:pt idx="16">
                  <c:v>17.200000000000003</c:v>
                </c:pt>
                <c:pt idx="17">
                  <c:v>18.700000000000003</c:v>
                </c:pt>
                <c:pt idx="18">
                  <c:v>15.3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65-406F-A71C-76BF842F8FE1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cat>
            <c:multiLvlStrRef>
              <c:f>'Ceny 1'!$A$10:$B$28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1'!$D$10:$D$28</c:f>
              <c:numCache>
                <c:formatCode>General</c:formatCode>
                <c:ptCount val="19"/>
                <c:pt idx="0">
                  <c:v>0</c:v>
                </c:pt>
                <c:pt idx="1">
                  <c:v>0.70000000000000284</c:v>
                </c:pt>
                <c:pt idx="2">
                  <c:v>2.0999999999999943</c:v>
                </c:pt>
                <c:pt idx="3">
                  <c:v>0.5</c:v>
                </c:pt>
                <c:pt idx="4">
                  <c:v>2</c:v>
                </c:pt>
                <c:pt idx="5">
                  <c:v>2.0999999999999943</c:v>
                </c:pt>
                <c:pt idx="6">
                  <c:v>3.2000000000000042</c:v>
                </c:pt>
                <c:pt idx="7">
                  <c:v>5.2000000000000028</c:v>
                </c:pt>
                <c:pt idx="8">
                  <c:v>5</c:v>
                </c:pt>
                <c:pt idx="9">
                  <c:v>5.9000000000000083</c:v>
                </c:pt>
                <c:pt idx="10">
                  <c:v>5.5999999999999943</c:v>
                </c:pt>
                <c:pt idx="11">
                  <c:v>4.5999999999999943</c:v>
                </c:pt>
                <c:pt idx="12">
                  <c:v>5.7999999999999972</c:v>
                </c:pt>
                <c:pt idx="13">
                  <c:v>7.5</c:v>
                </c:pt>
                <c:pt idx="14">
                  <c:v>9.4000000000000057</c:v>
                </c:pt>
                <c:pt idx="15">
                  <c:v>13.900000000000006</c:v>
                </c:pt>
                <c:pt idx="16">
                  <c:v>16.200000000000003</c:v>
                </c:pt>
                <c:pt idx="17">
                  <c:v>19</c:v>
                </c:pt>
                <c:pt idx="18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65-406F-A71C-76BF842F8FE1}"/>
            </c:ext>
          </c:extLst>
        </c:ser>
        <c:gapWidth val="95"/>
        <c:axId val="202249344"/>
        <c:axId val="202251264"/>
      </c:barChart>
      <c:lineChart>
        <c:grouping val="standard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1'!$E$10:$E$28</c:f>
              <c:numCache>
                <c:formatCode>0.0</c:formatCode>
                <c:ptCount val="19"/>
                <c:pt idx="0">
                  <c:v>1.5806111696522702</c:v>
                </c:pt>
                <c:pt idx="1">
                  <c:v>-0.20661157024793683</c:v>
                </c:pt>
                <c:pt idx="2">
                  <c:v>1.4583333333333393</c:v>
                </c:pt>
                <c:pt idx="3">
                  <c:v>1.9668737060041468</c:v>
                </c:pt>
                <c:pt idx="4">
                  <c:v>3.0082987551867202</c:v>
                </c:pt>
                <c:pt idx="5">
                  <c:v>4.1407867494823956</c:v>
                </c:pt>
                <c:pt idx="6">
                  <c:v>4.6201232032853978</c:v>
                </c:pt>
                <c:pt idx="7">
                  <c:v>2.7411167512690509</c:v>
                </c:pt>
                <c:pt idx="8">
                  <c:v>3.6253776435045406</c:v>
                </c:pt>
                <c:pt idx="9">
                  <c:v>4.9701789264413518</c:v>
                </c:pt>
                <c:pt idx="10">
                  <c:v>6.0843964671246233</c:v>
                </c:pt>
                <c:pt idx="11">
                  <c:v>9.5849802371541557</c:v>
                </c:pt>
                <c:pt idx="12">
                  <c:v>10.204081632653049</c:v>
                </c:pt>
                <c:pt idx="13">
                  <c:v>10.321969696969704</c:v>
                </c:pt>
                <c:pt idx="14">
                  <c:v>9.8982423681776162</c:v>
                </c:pt>
                <c:pt idx="15">
                  <c:v>9.9188458070333638</c:v>
                </c:pt>
                <c:pt idx="16">
                  <c:v>9.5238095238095202</c:v>
                </c:pt>
                <c:pt idx="17" formatCode="General">
                  <c:v>9.5278969957081507</c:v>
                </c:pt>
                <c:pt idx="18" formatCode="General">
                  <c:v>12.542087542087534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865-406F-A71C-76BF842F8FE1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1'!$F$10:$F$28</c:f>
              <c:numCache>
                <c:formatCode>0.0</c:formatCode>
                <c:ptCount val="19"/>
                <c:pt idx="0">
                  <c:v>6.1522419186652666</c:v>
                </c:pt>
                <c:pt idx="1">
                  <c:v>1.8924302788844536</c:v>
                </c:pt>
                <c:pt idx="2">
                  <c:v>2.681231380337648</c:v>
                </c:pt>
                <c:pt idx="3">
                  <c:v>3.4482758620689653</c:v>
                </c:pt>
                <c:pt idx="4">
                  <c:v>3.8310412573674002</c:v>
                </c:pt>
                <c:pt idx="5">
                  <c:v>5.2785923753665784</c:v>
                </c:pt>
                <c:pt idx="6">
                  <c:v>6.6731141199226212</c:v>
                </c:pt>
                <c:pt idx="7">
                  <c:v>5.1428571428571486</c:v>
                </c:pt>
                <c:pt idx="8">
                  <c:v>5.7710501419110845</c:v>
                </c:pt>
                <c:pt idx="9">
                  <c:v>6.4995357474466076</c:v>
                </c:pt>
                <c:pt idx="10">
                  <c:v>6.7089755213055255</c:v>
                </c:pt>
                <c:pt idx="11">
                  <c:v>8.7862318840579601</c:v>
                </c:pt>
                <c:pt idx="12">
                  <c:v>10.196779964221831</c:v>
                </c:pt>
                <c:pt idx="13">
                  <c:v>10.549258936355701</c:v>
                </c:pt>
                <c:pt idx="14">
                  <c:v>9.7706032285471505</c:v>
                </c:pt>
                <c:pt idx="15">
                  <c:v>11.32389675270611</c:v>
                </c:pt>
                <c:pt idx="16">
                  <c:v>13.636363636363633</c:v>
                </c:pt>
                <c:pt idx="17" formatCode="General">
                  <c:v>14.589905362776037</c:v>
                </c:pt>
                <c:pt idx="18" formatCode="General">
                  <c:v>18.266253869968978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865-406F-A71C-76BF842F8FE1}"/>
            </c:ext>
          </c:extLst>
        </c:ser>
        <c:marker val="1"/>
        <c:axId val="202249344"/>
        <c:axId val="202251264"/>
      </c:lineChart>
      <c:catAx>
        <c:axId val="202249344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02251264"/>
        <c:crosses val="autoZero"/>
        <c:auto val="1"/>
        <c:lblAlgn val="ctr"/>
        <c:lblOffset val="100"/>
      </c:catAx>
      <c:valAx>
        <c:axId val="202251264"/>
        <c:scaling>
          <c:orientation val="minMax"/>
          <c:max val="20"/>
          <c:min val="-6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202249344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6528021206651497E-2"/>
          <c:y val="0.88817854328492629"/>
          <c:w val="0.92679973142892702"/>
          <c:h val="9.838061465721031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1707738197712412E-2"/>
          <c:y val="2.181131592422034E-2"/>
          <c:w val="0.89142432050272657"/>
          <c:h val="0.71663233141956562"/>
        </c:manualLayout>
      </c:layout>
      <c:barChart>
        <c:barDir val="col"/>
        <c:grouping val="clustered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cat>
            <c:multiLvlStrRef>
              <c:f>'Ceny 4'!$A$6:$B$62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4'!$C$6:$C$62</c:f>
              <c:numCache>
                <c:formatCode>0.0</c:formatCode>
                <c:ptCount val="57"/>
                <c:pt idx="0">
                  <c:v>1.4000000000000057</c:v>
                </c:pt>
                <c:pt idx="1">
                  <c:v>1.2999999999999829</c:v>
                </c:pt>
                <c:pt idx="2">
                  <c:v>1</c:v>
                </c:pt>
                <c:pt idx="3">
                  <c:v>0.5</c:v>
                </c:pt>
                <c:pt idx="4">
                  <c:v>0.30000000000000032</c:v>
                </c:pt>
                <c:pt idx="5">
                  <c:v>0.70000000000000284</c:v>
                </c:pt>
                <c:pt idx="6">
                  <c:v>1.0999999999999821</c:v>
                </c:pt>
                <c:pt idx="7">
                  <c:v>0.5</c:v>
                </c:pt>
                <c:pt idx="8">
                  <c:v>0.59999999999999432</c:v>
                </c:pt>
                <c:pt idx="9">
                  <c:v>0</c:v>
                </c:pt>
                <c:pt idx="10">
                  <c:v>0.70000000000000284</c:v>
                </c:pt>
                <c:pt idx="11">
                  <c:v>1.7000000000000028</c:v>
                </c:pt>
                <c:pt idx="12">
                  <c:v>-0.70000000000000284</c:v>
                </c:pt>
                <c:pt idx="13">
                  <c:v>-0.70000000000000284</c:v>
                </c:pt>
                <c:pt idx="14">
                  <c:v>-0.7999999999999976</c:v>
                </c:pt>
                <c:pt idx="15">
                  <c:v>-0.30000000000000032</c:v>
                </c:pt>
                <c:pt idx="16">
                  <c:v>-9.9999999999995245E-2</c:v>
                </c:pt>
                <c:pt idx="17">
                  <c:v>-0.20000000000000284</c:v>
                </c:pt>
                <c:pt idx="18">
                  <c:v>-9.9999999999995245E-2</c:v>
                </c:pt>
                <c:pt idx="19">
                  <c:v>0</c:v>
                </c:pt>
                <c:pt idx="20">
                  <c:v>-0.30000000000000032</c:v>
                </c:pt>
                <c:pt idx="21">
                  <c:v>-0.30000000000000032</c:v>
                </c:pt>
                <c:pt idx="22">
                  <c:v>-1.7000000000000028</c:v>
                </c:pt>
                <c:pt idx="23">
                  <c:v>-3.7000000000000042</c:v>
                </c:pt>
                <c:pt idx="24">
                  <c:v>-3.5</c:v>
                </c:pt>
                <c:pt idx="25">
                  <c:v>-3.5999999999999943</c:v>
                </c:pt>
                <c:pt idx="26">
                  <c:v>-2.9000000000000057</c:v>
                </c:pt>
                <c:pt idx="27">
                  <c:v>-2.5999999999999943</c:v>
                </c:pt>
                <c:pt idx="28">
                  <c:v>-2.0999999999999943</c:v>
                </c:pt>
                <c:pt idx="29">
                  <c:v>-2.2999999999999972</c:v>
                </c:pt>
                <c:pt idx="30">
                  <c:v>-3</c:v>
                </c:pt>
                <c:pt idx="31">
                  <c:v>-3.7000000000000042</c:v>
                </c:pt>
                <c:pt idx="32">
                  <c:v>-4.2000000000000028</c:v>
                </c:pt>
                <c:pt idx="33">
                  <c:v>-3.9000000000000057</c:v>
                </c:pt>
                <c:pt idx="34">
                  <c:v>-3.7000000000000042</c:v>
                </c:pt>
                <c:pt idx="35">
                  <c:v>-2.9000000000000057</c:v>
                </c:pt>
                <c:pt idx="36">
                  <c:v>-3.4000000000000057</c:v>
                </c:pt>
                <c:pt idx="37">
                  <c:v>-4</c:v>
                </c:pt>
                <c:pt idx="38">
                  <c:v>-4.5</c:v>
                </c:pt>
                <c:pt idx="39">
                  <c:v>-4.7000000000000028</c:v>
                </c:pt>
                <c:pt idx="40">
                  <c:v>-4.7999999999999972</c:v>
                </c:pt>
                <c:pt idx="41">
                  <c:v>-4.4000000000000083</c:v>
                </c:pt>
                <c:pt idx="42">
                  <c:v>-4</c:v>
                </c:pt>
                <c:pt idx="43">
                  <c:v>-3.4000000000000057</c:v>
                </c:pt>
                <c:pt idx="44">
                  <c:v>-2.4000000000000057</c:v>
                </c:pt>
                <c:pt idx="45">
                  <c:v>-1.7000000000000028</c:v>
                </c:pt>
                <c:pt idx="46">
                  <c:v>-1.2999999999999829</c:v>
                </c:pt>
                <c:pt idx="47">
                  <c:v>-0.40000000000000568</c:v>
                </c:pt>
                <c:pt idx="48" formatCode="General">
                  <c:v>2.0999999999999943</c:v>
                </c:pt>
                <c:pt idx="49" formatCode="General">
                  <c:v>3.0999999999999943</c:v>
                </c:pt>
                <c:pt idx="50">
                  <c:v>3</c:v>
                </c:pt>
                <c:pt idx="51">
                  <c:v>3.2000000000000042</c:v>
                </c:pt>
                <c:pt idx="52" formatCode="General">
                  <c:v>2.2999999999999972</c:v>
                </c:pt>
                <c:pt idx="53" formatCode="General">
                  <c:v>1.2999999999999829</c:v>
                </c:pt>
                <c:pt idx="54" formatCode="General">
                  <c:v>1.1000000000000001</c:v>
                </c:pt>
                <c:pt idx="55" formatCode="General">
                  <c:v>1.4</c:v>
                </c:pt>
                <c:pt idx="56" formatCode="General">
                  <c:v>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B4-4E92-810A-D46DB24D0262}"/>
            </c:ext>
          </c:extLst>
        </c:ser>
        <c:gapWidth val="96"/>
        <c:axId val="157564928"/>
        <c:axId val="157566464"/>
      </c:barChart>
      <c:lineChart>
        <c:grouping val="standard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4'!$A$6:$B$62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4'!$D$6:$D$62</c:f>
              <c:numCache>
                <c:formatCode>0.0</c:formatCode>
                <c:ptCount val="57"/>
                <c:pt idx="0">
                  <c:v>-2.7000000000000042</c:v>
                </c:pt>
                <c:pt idx="1">
                  <c:v>-3.0999999999999943</c:v>
                </c:pt>
                <c:pt idx="2">
                  <c:v>-2.4000000000000057</c:v>
                </c:pt>
                <c:pt idx="3">
                  <c:v>0.5</c:v>
                </c:pt>
                <c:pt idx="4">
                  <c:v>0.5</c:v>
                </c:pt>
                <c:pt idx="5">
                  <c:v>0.20000000000000284</c:v>
                </c:pt>
                <c:pt idx="6">
                  <c:v>-1.2999999999999829</c:v>
                </c:pt>
                <c:pt idx="7">
                  <c:v>-1.2000000000000028</c:v>
                </c:pt>
                <c:pt idx="8">
                  <c:v>-3.5999999999999943</c:v>
                </c:pt>
                <c:pt idx="9">
                  <c:v>-3</c:v>
                </c:pt>
                <c:pt idx="10">
                  <c:v>0.20000000000000284</c:v>
                </c:pt>
                <c:pt idx="11">
                  <c:v>0.30000000000000032</c:v>
                </c:pt>
                <c:pt idx="12">
                  <c:v>-3</c:v>
                </c:pt>
                <c:pt idx="13">
                  <c:v>-3.0999999999999943</c:v>
                </c:pt>
                <c:pt idx="14">
                  <c:v>-4</c:v>
                </c:pt>
                <c:pt idx="15">
                  <c:v>-4.0999999999999943</c:v>
                </c:pt>
                <c:pt idx="16">
                  <c:v>-4.5999999999999943</c:v>
                </c:pt>
                <c:pt idx="17">
                  <c:v>-4.7999999999999972</c:v>
                </c:pt>
                <c:pt idx="18">
                  <c:v>-3</c:v>
                </c:pt>
                <c:pt idx="19">
                  <c:v>-3.5999999999999943</c:v>
                </c:pt>
                <c:pt idx="20">
                  <c:v>-1.9000000000000061</c:v>
                </c:pt>
                <c:pt idx="21">
                  <c:v>-2.0999999999999943</c:v>
                </c:pt>
                <c:pt idx="22">
                  <c:v>-2.2999999999999972</c:v>
                </c:pt>
                <c:pt idx="23">
                  <c:v>-2.7999999999999972</c:v>
                </c:pt>
                <c:pt idx="24">
                  <c:v>-0.90000000000000568</c:v>
                </c:pt>
                <c:pt idx="25">
                  <c:v>-1.5</c:v>
                </c:pt>
                <c:pt idx="26">
                  <c:v>-0.90000000000000568</c:v>
                </c:pt>
                <c:pt idx="27">
                  <c:v>-0.90000000000000568</c:v>
                </c:pt>
                <c:pt idx="28">
                  <c:v>0.30000000000000032</c:v>
                </c:pt>
                <c:pt idx="29">
                  <c:v>0.59999999999999432</c:v>
                </c:pt>
                <c:pt idx="30">
                  <c:v>0.40000000000000568</c:v>
                </c:pt>
                <c:pt idx="31">
                  <c:v>-0.30000000000000032</c:v>
                </c:pt>
                <c:pt idx="32">
                  <c:v>-1.7000000000000028</c:v>
                </c:pt>
                <c:pt idx="33">
                  <c:v>-1.4000000000000057</c:v>
                </c:pt>
                <c:pt idx="34">
                  <c:v>-0.59999999999999432</c:v>
                </c:pt>
                <c:pt idx="35">
                  <c:v>-0.5</c:v>
                </c:pt>
                <c:pt idx="36">
                  <c:v>-6.5999999999999943</c:v>
                </c:pt>
                <c:pt idx="37">
                  <c:v>-6.0999999999999943</c:v>
                </c:pt>
                <c:pt idx="38">
                  <c:v>-6.5</c:v>
                </c:pt>
                <c:pt idx="39">
                  <c:v>-7</c:v>
                </c:pt>
                <c:pt idx="40">
                  <c:v>-7.0999999999999943</c:v>
                </c:pt>
                <c:pt idx="41">
                  <c:v>-7.2999999999999972</c:v>
                </c:pt>
                <c:pt idx="42">
                  <c:v>-6.5999999999999943</c:v>
                </c:pt>
                <c:pt idx="43">
                  <c:v>-6</c:v>
                </c:pt>
                <c:pt idx="44">
                  <c:v>-4.9000000000000083</c:v>
                </c:pt>
                <c:pt idx="45">
                  <c:v>-5.2000000000000028</c:v>
                </c:pt>
                <c:pt idx="46">
                  <c:v>-5.2999999999999972</c:v>
                </c:pt>
                <c:pt idx="47">
                  <c:v>-5.0999999999999943</c:v>
                </c:pt>
                <c:pt idx="48" formatCode="General">
                  <c:v>2.2999999999999972</c:v>
                </c:pt>
                <c:pt idx="49" formatCode="General">
                  <c:v>5.7999999999999972</c:v>
                </c:pt>
                <c:pt idx="50">
                  <c:v>6.2000000000000028</c:v>
                </c:pt>
                <c:pt idx="51">
                  <c:v>6.4000000000000083</c:v>
                </c:pt>
                <c:pt idx="52" formatCode="General">
                  <c:v>4.2999999999999972</c:v>
                </c:pt>
                <c:pt idx="53" formatCode="General">
                  <c:v>4.0999999999999943</c:v>
                </c:pt>
                <c:pt idx="54" formatCode="General">
                  <c:v>2.9</c:v>
                </c:pt>
                <c:pt idx="55" formatCode="General">
                  <c:v>1.7</c:v>
                </c:pt>
                <c:pt idx="56" formatCode="General">
                  <c:v>1.9000000000000001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B4-4E92-810A-D46DB24D0262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4'!$A$6:$B$62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4'!$E$6:$E$62</c:f>
              <c:numCache>
                <c:formatCode>0.0</c:formatCode>
                <c:ptCount val="57"/>
                <c:pt idx="0">
                  <c:v>1</c:v>
                </c:pt>
                <c:pt idx="1">
                  <c:v>0.90000000000000568</c:v>
                </c:pt>
                <c:pt idx="2">
                  <c:v>0.5</c:v>
                </c:pt>
                <c:pt idx="3">
                  <c:v>-0.30000000000000032</c:v>
                </c:pt>
                <c:pt idx="4">
                  <c:v>-0.40000000000000568</c:v>
                </c:pt>
                <c:pt idx="5">
                  <c:v>0</c:v>
                </c:pt>
                <c:pt idx="6">
                  <c:v>0.59999999999999432</c:v>
                </c:pt>
                <c:pt idx="7">
                  <c:v>-0.30000000000000032</c:v>
                </c:pt>
                <c:pt idx="8">
                  <c:v>0</c:v>
                </c:pt>
                <c:pt idx="9">
                  <c:v>-0.7999999999999976</c:v>
                </c:pt>
                <c:pt idx="10">
                  <c:v>-0.20000000000000284</c:v>
                </c:pt>
                <c:pt idx="11">
                  <c:v>1.2999999999999829</c:v>
                </c:pt>
                <c:pt idx="12">
                  <c:v>1.0999999999999821</c:v>
                </c:pt>
                <c:pt idx="13">
                  <c:v>1.2000000000000028</c:v>
                </c:pt>
                <c:pt idx="14">
                  <c:v>1</c:v>
                </c:pt>
                <c:pt idx="15">
                  <c:v>1.5999999999999821</c:v>
                </c:pt>
                <c:pt idx="16">
                  <c:v>1.9000000000000061</c:v>
                </c:pt>
                <c:pt idx="17">
                  <c:v>1.9000000000000061</c:v>
                </c:pt>
                <c:pt idx="18">
                  <c:v>1.7999999999999829</c:v>
                </c:pt>
                <c:pt idx="19">
                  <c:v>2.0999999999999943</c:v>
                </c:pt>
                <c:pt idx="20">
                  <c:v>1.5</c:v>
                </c:pt>
                <c:pt idx="21">
                  <c:v>1.5</c:v>
                </c:pt>
                <c:pt idx="22">
                  <c:v>-9.9999999999995245E-2</c:v>
                </c:pt>
                <c:pt idx="23">
                  <c:v>-2.7999999999999972</c:v>
                </c:pt>
                <c:pt idx="24">
                  <c:v>-4.2999999999999972</c:v>
                </c:pt>
                <c:pt idx="25">
                  <c:v>-4.4000000000000083</c:v>
                </c:pt>
                <c:pt idx="26">
                  <c:v>-3.5</c:v>
                </c:pt>
                <c:pt idx="27">
                  <c:v>-3.0999999999999943</c:v>
                </c:pt>
                <c:pt idx="28">
                  <c:v>-2.7000000000000042</c:v>
                </c:pt>
                <c:pt idx="29">
                  <c:v>-2.7999999999999972</c:v>
                </c:pt>
                <c:pt idx="30">
                  <c:v>-3.5999999999999943</c:v>
                </c:pt>
                <c:pt idx="31">
                  <c:v>-4.7000000000000028</c:v>
                </c:pt>
                <c:pt idx="32">
                  <c:v>-5.2000000000000028</c:v>
                </c:pt>
                <c:pt idx="33">
                  <c:v>-4.9000000000000083</c:v>
                </c:pt>
                <c:pt idx="34">
                  <c:v>-4.5999999999999943</c:v>
                </c:pt>
                <c:pt idx="35">
                  <c:v>-3.5</c:v>
                </c:pt>
                <c:pt idx="36">
                  <c:v>-3.2999999999999972</c:v>
                </c:pt>
                <c:pt idx="37">
                  <c:v>-4.0999999999999943</c:v>
                </c:pt>
                <c:pt idx="38">
                  <c:v>-4.5999999999999943</c:v>
                </c:pt>
                <c:pt idx="39">
                  <c:v>-4.9000000000000083</c:v>
                </c:pt>
                <c:pt idx="40">
                  <c:v>-5</c:v>
                </c:pt>
                <c:pt idx="41">
                  <c:v>-4.5</c:v>
                </c:pt>
                <c:pt idx="42">
                  <c:v>-4</c:v>
                </c:pt>
                <c:pt idx="43">
                  <c:v>-3.2000000000000042</c:v>
                </c:pt>
                <c:pt idx="44">
                  <c:v>-2</c:v>
                </c:pt>
                <c:pt idx="45">
                  <c:v>-1.0999999999999821</c:v>
                </c:pt>
                <c:pt idx="46">
                  <c:v>-0.59999999999999432</c:v>
                </c:pt>
                <c:pt idx="47">
                  <c:v>0.59999999999999432</c:v>
                </c:pt>
                <c:pt idx="48" formatCode="General">
                  <c:v>2.5999999999999943</c:v>
                </c:pt>
                <c:pt idx="49" formatCode="General">
                  <c:v>4</c:v>
                </c:pt>
                <c:pt idx="50">
                  <c:v>3.7999999999999972</c:v>
                </c:pt>
                <c:pt idx="51">
                  <c:v>4</c:v>
                </c:pt>
                <c:pt idx="52" formatCode="General">
                  <c:v>2.7999999999999972</c:v>
                </c:pt>
                <c:pt idx="53" formatCode="General">
                  <c:v>1.5</c:v>
                </c:pt>
                <c:pt idx="54" formatCode="General">
                  <c:v>1.4</c:v>
                </c:pt>
                <c:pt idx="55" formatCode="General">
                  <c:v>2</c:v>
                </c:pt>
                <c:pt idx="56" formatCode="General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B4-4E92-810A-D46DB24D0262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4'!$A$6:$B$62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4'!$F$6:$F$62</c:f>
              <c:numCache>
                <c:formatCode>0.0</c:formatCode>
                <c:ptCount val="57"/>
                <c:pt idx="0">
                  <c:v>3.7000000000000042</c:v>
                </c:pt>
                <c:pt idx="1">
                  <c:v>3.7000000000000042</c:v>
                </c:pt>
                <c:pt idx="2">
                  <c:v>3.7000000000000042</c:v>
                </c:pt>
                <c:pt idx="3">
                  <c:v>3.5</c:v>
                </c:pt>
                <c:pt idx="4">
                  <c:v>3.5</c:v>
                </c:pt>
                <c:pt idx="5">
                  <c:v>3.5999999999999943</c:v>
                </c:pt>
                <c:pt idx="6">
                  <c:v>3.5999999999999943</c:v>
                </c:pt>
                <c:pt idx="7">
                  <c:v>3.5999999999999943</c:v>
                </c:pt>
                <c:pt idx="8">
                  <c:v>3.5999999999999943</c:v>
                </c:pt>
                <c:pt idx="9">
                  <c:v>3.7999999999999972</c:v>
                </c:pt>
                <c:pt idx="10">
                  <c:v>3.7999999999999972</c:v>
                </c:pt>
                <c:pt idx="11">
                  <c:v>3.5</c:v>
                </c:pt>
                <c:pt idx="12">
                  <c:v>-8.8000000000000025</c:v>
                </c:pt>
                <c:pt idx="13">
                  <c:v>-8.8000000000000025</c:v>
                </c:pt>
                <c:pt idx="14">
                  <c:v>-8.8000000000000025</c:v>
                </c:pt>
                <c:pt idx="15">
                  <c:v>-8.6000000000000014</c:v>
                </c:pt>
                <c:pt idx="16">
                  <c:v>-8.6000000000000014</c:v>
                </c:pt>
                <c:pt idx="17">
                  <c:v>-8.7000000000000011</c:v>
                </c:pt>
                <c:pt idx="18">
                  <c:v>-8.7000000000000011</c:v>
                </c:pt>
                <c:pt idx="19">
                  <c:v>-8.6000000000000014</c:v>
                </c:pt>
                <c:pt idx="20">
                  <c:v>-8.6000000000000014</c:v>
                </c:pt>
                <c:pt idx="21">
                  <c:v>-8.9000000000000057</c:v>
                </c:pt>
                <c:pt idx="22">
                  <c:v>-8.9000000000000057</c:v>
                </c:pt>
                <c:pt idx="23">
                  <c:v>-8.6000000000000014</c:v>
                </c:pt>
                <c:pt idx="24">
                  <c:v>-0.7999999999999976</c:v>
                </c:pt>
                <c:pt idx="25">
                  <c:v>-0.7999999999999976</c:v>
                </c:pt>
                <c:pt idx="26">
                  <c:v>-0.7999999999999976</c:v>
                </c:pt>
                <c:pt idx="27">
                  <c:v>-0.70000000000000284</c:v>
                </c:pt>
                <c:pt idx="28">
                  <c:v>-0.70000000000000284</c:v>
                </c:pt>
                <c:pt idx="29">
                  <c:v>-0.70000000000000284</c:v>
                </c:pt>
                <c:pt idx="30">
                  <c:v>-0.70000000000000284</c:v>
                </c:pt>
                <c:pt idx="31">
                  <c:v>-0.7999999999999976</c:v>
                </c:pt>
                <c:pt idx="32">
                  <c:v>-0.7999999999999976</c:v>
                </c:pt>
                <c:pt idx="33">
                  <c:v>-0.90000000000000568</c:v>
                </c:pt>
                <c:pt idx="34">
                  <c:v>-0.90000000000000568</c:v>
                </c:pt>
                <c:pt idx="35">
                  <c:v>-0.90000000000000568</c:v>
                </c:pt>
                <c:pt idx="36">
                  <c:v>-4</c:v>
                </c:pt>
                <c:pt idx="37">
                  <c:v>-4.0999999999999943</c:v>
                </c:pt>
                <c:pt idx="38">
                  <c:v>-4.0999999999999943</c:v>
                </c:pt>
                <c:pt idx="39">
                  <c:v>-4</c:v>
                </c:pt>
                <c:pt idx="40">
                  <c:v>-4</c:v>
                </c:pt>
                <c:pt idx="41">
                  <c:v>-4.0999999999999943</c:v>
                </c:pt>
                <c:pt idx="42">
                  <c:v>-4</c:v>
                </c:pt>
                <c:pt idx="43">
                  <c:v>-4</c:v>
                </c:pt>
                <c:pt idx="44">
                  <c:v>-4.0999999999999943</c:v>
                </c:pt>
                <c:pt idx="45">
                  <c:v>-4.0999999999999943</c:v>
                </c:pt>
                <c:pt idx="46">
                  <c:v>-4.0999999999999943</c:v>
                </c:pt>
                <c:pt idx="47">
                  <c:v>-4.0999999999999943</c:v>
                </c:pt>
                <c:pt idx="48" formatCode="General">
                  <c:v>-1.0999999999999821</c:v>
                </c:pt>
                <c:pt idx="49" formatCode="General">
                  <c:v>-1.2000000000000028</c:v>
                </c:pt>
                <c:pt idx="50">
                  <c:v>-1.2000000000000028</c:v>
                </c:pt>
                <c:pt idx="51">
                  <c:v>-1.4000000000000057</c:v>
                </c:pt>
                <c:pt idx="52" formatCode="General">
                  <c:v>-1.2999999999999829</c:v>
                </c:pt>
                <c:pt idx="53" formatCode="General">
                  <c:v>-1.0999999999999821</c:v>
                </c:pt>
                <c:pt idx="54" formatCode="General">
                  <c:v>-1.1000000000000001</c:v>
                </c:pt>
                <c:pt idx="55" formatCode="General">
                  <c:v>-1.3</c:v>
                </c:pt>
                <c:pt idx="56" formatCode="General">
                  <c:v>-1.1000000000000001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1B4-4E92-810A-D46DB24D0262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4'!$A$6:$B$62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'Ceny 4'!$G$6:$G$62</c:f>
              <c:numCache>
                <c:formatCode>General</c:formatCode>
                <c:ptCount val="57"/>
                <c:pt idx="0">
                  <c:v>5.9000000000000083</c:v>
                </c:pt>
                <c:pt idx="1">
                  <c:v>5.7999999999999972</c:v>
                </c:pt>
                <c:pt idx="2">
                  <c:v>5.7000000000000028</c:v>
                </c:pt>
                <c:pt idx="3">
                  <c:v>5.7000000000000028</c:v>
                </c:pt>
                <c:pt idx="4">
                  <c:v>5.7000000000000028</c:v>
                </c:pt>
                <c:pt idx="5">
                  <c:v>5.7000000000000028</c:v>
                </c:pt>
                <c:pt idx="6">
                  <c:v>5.7000000000000028</c:v>
                </c:pt>
                <c:pt idx="7">
                  <c:v>5.7000000000000028</c:v>
                </c:pt>
                <c:pt idx="8">
                  <c:v>5.7000000000000028</c:v>
                </c:pt>
                <c:pt idx="9">
                  <c:v>5.7000000000000028</c:v>
                </c:pt>
                <c:pt idx="10">
                  <c:v>5.7000000000000028</c:v>
                </c:pt>
                <c:pt idx="11">
                  <c:v>5.7000000000000028</c:v>
                </c:pt>
                <c:pt idx="12">
                  <c:v>3.4000000000000057</c:v>
                </c:pt>
                <c:pt idx="13">
                  <c:v>3.4000000000000057</c:v>
                </c:pt>
                <c:pt idx="14">
                  <c:v>3.4000000000000057</c:v>
                </c:pt>
                <c:pt idx="15">
                  <c:v>3.4000000000000057</c:v>
                </c:pt>
                <c:pt idx="16">
                  <c:v>3.4000000000000057</c:v>
                </c:pt>
                <c:pt idx="17">
                  <c:v>3.4000000000000057</c:v>
                </c:pt>
                <c:pt idx="18">
                  <c:v>3.4000000000000057</c:v>
                </c:pt>
                <c:pt idx="19">
                  <c:v>3.4000000000000057</c:v>
                </c:pt>
                <c:pt idx="20">
                  <c:v>3.4000000000000057</c:v>
                </c:pt>
                <c:pt idx="21">
                  <c:v>3.4000000000000057</c:v>
                </c:pt>
                <c:pt idx="22">
                  <c:v>3.4000000000000057</c:v>
                </c:pt>
                <c:pt idx="23">
                  <c:v>3.4000000000000057</c:v>
                </c:pt>
                <c:pt idx="24">
                  <c:v>3.4000000000000057</c:v>
                </c:pt>
                <c:pt idx="25">
                  <c:v>3.4000000000000057</c:v>
                </c:pt>
                <c:pt idx="26">
                  <c:v>3.4000000000000057</c:v>
                </c:pt>
                <c:pt idx="27">
                  <c:v>3.4000000000000057</c:v>
                </c:pt>
                <c:pt idx="28">
                  <c:v>3.4000000000000057</c:v>
                </c:pt>
                <c:pt idx="29">
                  <c:v>3.4000000000000057</c:v>
                </c:pt>
                <c:pt idx="30">
                  <c:v>3.4000000000000057</c:v>
                </c:pt>
                <c:pt idx="31">
                  <c:v>3.4000000000000057</c:v>
                </c:pt>
                <c:pt idx="32">
                  <c:v>3.4000000000000057</c:v>
                </c:pt>
                <c:pt idx="33">
                  <c:v>3.4000000000000057</c:v>
                </c:pt>
                <c:pt idx="34">
                  <c:v>3.4000000000000057</c:v>
                </c:pt>
                <c:pt idx="35">
                  <c:v>3.4000000000000057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1.5999999999999821</c:v>
                </c:pt>
                <c:pt idx="40">
                  <c:v>1.5999999999999821</c:v>
                </c:pt>
                <c:pt idx="41">
                  <c:v>1.5999999999999821</c:v>
                </c:pt>
                <c:pt idx="42">
                  <c:v>1.5999999999999821</c:v>
                </c:pt>
                <c:pt idx="43">
                  <c:v>1.5999999999999821</c:v>
                </c:pt>
                <c:pt idx="44">
                  <c:v>1.5999999999999821</c:v>
                </c:pt>
                <c:pt idx="45">
                  <c:v>1.5999999999999821</c:v>
                </c:pt>
                <c:pt idx="46">
                  <c:v>1.5999999999999821</c:v>
                </c:pt>
                <c:pt idx="47">
                  <c:v>1.5999999999999821</c:v>
                </c:pt>
                <c:pt idx="48">
                  <c:v>2.0999999999999943</c:v>
                </c:pt>
                <c:pt idx="49">
                  <c:v>2.0999999999999943</c:v>
                </c:pt>
                <c:pt idx="50" formatCode="0.0">
                  <c:v>2.0999999999999943</c:v>
                </c:pt>
                <c:pt idx="51" formatCode="0.0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1B4-4E92-810A-D46DB24D0262}"/>
            </c:ext>
          </c:extLst>
        </c:ser>
        <c:marker val="1"/>
        <c:axId val="157564928"/>
        <c:axId val="157566464"/>
      </c:lineChart>
      <c:catAx>
        <c:axId val="157564928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crossAx val="157566464"/>
        <c:crosses val="autoZero"/>
        <c:auto val="1"/>
        <c:lblAlgn val="ctr"/>
        <c:lblOffset val="100"/>
      </c:catAx>
      <c:valAx>
        <c:axId val="157566464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5756492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0596282132642556E-2"/>
          <c:y val="0.86223931272106069"/>
          <c:w val="0.89560705842620769"/>
          <c:h val="0.12109402425765209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4942586963863574E-2"/>
          <c:y val="2.8593943487560915E-2"/>
          <c:w val="0.92629263762242564"/>
          <c:h val="0.75790048407069865"/>
        </c:manualLayout>
      </c:layout>
      <c:barChart>
        <c:barDir val="col"/>
        <c:grouping val="clustered"/>
        <c:ser>
          <c:idx val="3"/>
          <c:order val="3"/>
          <c:tx>
            <c:strRef>
              <c:f>'Ceny 3'!$H$5</c:f>
              <c:strCache>
                <c:ptCount val="1"/>
                <c:pt idx="0">
                  <c:v>Směnné relace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val>
            <c:numRef>
              <c:f>'Ceny 3'!$H$10:$H$28</c:f>
              <c:numCache>
                <c:formatCode>0.0</c:formatCode>
                <c:ptCount val="19"/>
                <c:pt idx="0">
                  <c:v>0.72086874091794606</c:v>
                </c:pt>
                <c:pt idx="1">
                  <c:v>0.6649211525087616</c:v>
                </c:pt>
                <c:pt idx="2">
                  <c:v>1.3267678006503587</c:v>
                </c:pt>
                <c:pt idx="3">
                  <c:v>1.2283581212725867</c:v>
                </c:pt>
                <c:pt idx="4">
                  <c:v>1.7793365680396958</c:v>
                </c:pt>
                <c:pt idx="5">
                  <c:v>2.1121774956172437</c:v>
                </c:pt>
                <c:pt idx="6">
                  <c:v>1.603970757155939</c:v>
                </c:pt>
                <c:pt idx="7">
                  <c:v>0.65769164867340335</c:v>
                </c:pt>
                <c:pt idx="8">
                  <c:v>0.66875144912618434</c:v>
                </c:pt>
                <c:pt idx="9">
                  <c:v>-5.2195141937815513E-2</c:v>
                </c:pt>
                <c:pt idx="10">
                  <c:v>0.25811822159073472</c:v>
                </c:pt>
                <c:pt idx="11">
                  <c:v>0.70048196058132817</c:v>
                </c:pt>
                <c:pt idx="12">
                  <c:v>1.5034457920506334</c:v>
                </c:pt>
                <c:pt idx="13">
                  <c:v>1.5316445359934219</c:v>
                </c:pt>
                <c:pt idx="14">
                  <c:v>1.1309975684205757</c:v>
                </c:pt>
                <c:pt idx="15">
                  <c:v>6.2910265216473304E-2</c:v>
                </c:pt>
                <c:pt idx="16">
                  <c:v>-1.8861545259869636</c:v>
                </c:pt>
                <c:pt idx="17">
                  <c:v>-1.7062621016139161</c:v>
                </c:pt>
                <c:pt idx="18">
                  <c:v>-0.70124280272598583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CE-4F9B-9CBB-EB8ECBA657FD}"/>
            </c:ext>
          </c:extLst>
        </c:ser>
        <c:gapWidth val="95"/>
        <c:axId val="157590656"/>
        <c:axId val="157592192"/>
      </c:barChart>
      <c:lineChart>
        <c:grouping val="standard"/>
        <c:ser>
          <c:idx val="1"/>
          <c:order val="0"/>
          <c:tx>
            <c:strRef>
              <c:f>'Ceny 3'!$E$5</c:f>
              <c:strCache>
                <c:ptCount val="1"/>
                <c:pt idx="0">
                  <c:v>HDP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none"/>
          </c:marker>
          <c:cat>
            <c:multiLvlStrRef>
              <c:f>'Ceny 3'!$A$10:$B$28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3'!$E$10:$E$28</c:f>
              <c:numCache>
                <c:formatCode>#,##0.0</c:formatCode>
                <c:ptCount val="19"/>
                <c:pt idx="0">
                  <c:v>1.2999708970934756</c:v>
                </c:pt>
                <c:pt idx="1">
                  <c:v>1.1220533709486007</c:v>
                </c:pt>
                <c:pt idx="2">
                  <c:v>1.3013982471865477</c:v>
                </c:pt>
                <c:pt idx="3">
                  <c:v>1.9705982643273221</c:v>
                </c:pt>
                <c:pt idx="4">
                  <c:v>2.3138763904869237</c:v>
                </c:pt>
                <c:pt idx="5">
                  <c:v>2.7748292282439451</c:v>
                </c:pt>
                <c:pt idx="6">
                  <c:v>2.7588595129771818</c:v>
                </c:pt>
                <c:pt idx="7">
                  <c:v>2.0601986396608538</c:v>
                </c:pt>
                <c:pt idx="8">
                  <c:v>1.5369337674784158</c:v>
                </c:pt>
                <c:pt idx="9">
                  <c:v>1.344899624212232</c:v>
                </c:pt>
                <c:pt idx="10">
                  <c:v>1.0394166136579266</c:v>
                </c:pt>
                <c:pt idx="11">
                  <c:v>0.76946574896925257</c:v>
                </c:pt>
                <c:pt idx="12">
                  <c:v>1.4770885012742809</c:v>
                </c:pt>
                <c:pt idx="13">
                  <c:v>1.0859617317946475</c:v>
                </c:pt>
                <c:pt idx="14">
                  <c:v>1.2927847129702457</c:v>
                </c:pt>
                <c:pt idx="15">
                  <c:v>1.1135418002644359</c:v>
                </c:pt>
                <c:pt idx="16" formatCode="General">
                  <c:v>0.5369720663525186</c:v>
                </c:pt>
                <c:pt idx="17" formatCode="General">
                  <c:v>0.9901283064111368</c:v>
                </c:pt>
                <c:pt idx="18" formatCode="General">
                  <c:v>1.5764759973499594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CE-4F9B-9CBB-EB8ECBA657FD}"/>
            </c:ext>
          </c:extLst>
        </c:ser>
        <c:ser>
          <c:idx val="0"/>
          <c:order val="1"/>
          <c:tx>
            <c:strRef>
              <c:f>'Ceny 3'!$C$5</c:f>
              <c:strCache>
                <c:ptCount val="1"/>
                <c:pt idx="0">
                  <c:v>Výdaje na konečnou spotřebu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3'!$A$10:$B$28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3'!$C$10:$C$28</c:f>
              <c:numCache>
                <c:formatCode>0.0</c:formatCode>
                <c:ptCount val="19"/>
                <c:pt idx="0">
                  <c:v>0.70393081077897468</c:v>
                </c:pt>
                <c:pt idx="1">
                  <c:v>0.6460903683416036</c:v>
                </c:pt>
                <c:pt idx="2">
                  <c:v>0.5078022322107647</c:v>
                </c:pt>
                <c:pt idx="3">
                  <c:v>0.76412283599242414</c:v>
                </c:pt>
                <c:pt idx="4">
                  <c:v>0.58981800757618463</c:v>
                </c:pt>
                <c:pt idx="5">
                  <c:v>0.73002869006748916</c:v>
                </c:pt>
                <c:pt idx="6">
                  <c:v>0.9627234351177667</c:v>
                </c:pt>
                <c:pt idx="7">
                  <c:v>1.371359354161328</c:v>
                </c:pt>
                <c:pt idx="8">
                  <c:v>0.68976772600146319</c:v>
                </c:pt>
                <c:pt idx="9">
                  <c:v>0.98805285803847265</c:v>
                </c:pt>
                <c:pt idx="10">
                  <c:v>0.80963604805681655</c:v>
                </c:pt>
                <c:pt idx="11">
                  <c:v>0.11766427409598708</c:v>
                </c:pt>
                <c:pt idx="12">
                  <c:v>0.59228639059519139</c:v>
                </c:pt>
                <c:pt idx="13">
                  <c:v>0.57477319622762479</c:v>
                </c:pt>
                <c:pt idx="14">
                  <c:v>0.95921467327970689</c:v>
                </c:pt>
                <c:pt idx="15">
                  <c:v>1.4791806391940838</c:v>
                </c:pt>
                <c:pt idx="16" formatCode="General">
                  <c:v>2.4149399914331977</c:v>
                </c:pt>
                <c:pt idx="17" formatCode="General">
                  <c:v>2.6994129495614345</c:v>
                </c:pt>
                <c:pt idx="18" formatCode="General">
                  <c:v>2.8185407826292135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DCE-4F9B-9CBB-EB8ECBA657FD}"/>
            </c:ext>
          </c:extLst>
        </c:ser>
        <c:ser>
          <c:idx val="2"/>
          <c:order val="2"/>
          <c:tx>
            <c:strRef>
              <c:f>'Ceny 3'!$D$5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3'!$A$10:$B$28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'Ceny 3'!$D$10:$D$28</c:f>
              <c:numCache>
                <c:formatCode>0.0</c:formatCode>
                <c:ptCount val="19"/>
                <c:pt idx="0">
                  <c:v>0.93237675467136649</c:v>
                </c:pt>
                <c:pt idx="1">
                  <c:v>0.55587160422214765</c:v>
                </c:pt>
                <c:pt idx="2">
                  <c:v>-0.14502990088750844</c:v>
                </c:pt>
                <c:pt idx="3">
                  <c:v>1.3523234836422091</c:v>
                </c:pt>
                <c:pt idx="4">
                  <c:v>1.1262607990310585</c:v>
                </c:pt>
                <c:pt idx="5">
                  <c:v>1.6967817745947618</c:v>
                </c:pt>
                <c:pt idx="6">
                  <c:v>2.2944262174508632</c:v>
                </c:pt>
                <c:pt idx="7">
                  <c:v>1.7668000014469527</c:v>
                </c:pt>
                <c:pt idx="8">
                  <c:v>2.1227689478053282</c:v>
                </c:pt>
                <c:pt idx="9">
                  <c:v>2.5283893947638467</c:v>
                </c:pt>
                <c:pt idx="10">
                  <c:v>1.5895921078529938</c:v>
                </c:pt>
                <c:pt idx="11">
                  <c:v>1.323034507587969</c:v>
                </c:pt>
                <c:pt idx="12">
                  <c:v>0.68131620837630158</c:v>
                </c:pt>
                <c:pt idx="13">
                  <c:v>-0.4703066090746732</c:v>
                </c:pt>
                <c:pt idx="14">
                  <c:v>-3.1665506301493451E-2</c:v>
                </c:pt>
                <c:pt idx="15">
                  <c:v>0.48648204884011648</c:v>
                </c:pt>
                <c:pt idx="16" formatCode="General">
                  <c:v>0.99282874925741249</c:v>
                </c:pt>
                <c:pt idx="17" formatCode="General">
                  <c:v>1.808940323175662</c:v>
                </c:pt>
                <c:pt idx="18" formatCode="General">
                  <c:v>1.3883053651447181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DCE-4F9B-9CBB-EB8ECBA657FD}"/>
            </c:ext>
          </c:extLst>
        </c:ser>
        <c:marker val="1"/>
        <c:axId val="157590656"/>
        <c:axId val="157592192"/>
      </c:lineChart>
      <c:catAx>
        <c:axId val="157590656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57592192"/>
        <c:crossesAt val="0"/>
        <c:auto val="1"/>
        <c:lblAlgn val="ctr"/>
        <c:lblOffset val="100"/>
      </c:catAx>
      <c:valAx>
        <c:axId val="157592192"/>
        <c:scaling>
          <c:orientation val="minMax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5759065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1257598784194246E-2"/>
          <c:y val="0.9105279747832935"/>
          <c:w val="0.92611385511651467"/>
          <c:h val="7.215158167285828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90610-D5E7-4947-A541-C270C1D4D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6598E-C39C-478B-A680-A5562FE4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2</TotalTime>
  <Pages>4</Pages>
  <Words>1576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10856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2017-12-15T12:34:00Z</cp:lastPrinted>
  <dcterms:created xsi:type="dcterms:W3CDTF">2017-12-20T10:58:00Z</dcterms:created>
  <dcterms:modified xsi:type="dcterms:W3CDTF">2017-12-20T11:00:00Z</dcterms:modified>
</cp:coreProperties>
</file>