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828" w:rsidRPr="009110F7" w:rsidRDefault="00C62828" w:rsidP="00C62828">
      <w:pPr>
        <w:pStyle w:val="Nadpis11"/>
      </w:pPr>
      <w:bookmarkStart w:id="0" w:name="_Toc517166409"/>
      <w:r w:rsidRPr="009110F7">
        <w:t>2. Souhrnná výkonnost</w:t>
      </w:r>
      <w:bookmarkEnd w:id="0"/>
    </w:p>
    <w:tbl>
      <w:tblPr>
        <w:tblW w:w="9639" w:type="dxa"/>
        <w:tblInd w:w="-15" w:type="dxa"/>
        <w:tblCellMar>
          <w:left w:w="0" w:type="dxa"/>
          <w:right w:w="0" w:type="dxa"/>
        </w:tblCellMar>
        <w:tblLook w:val="00A0"/>
      </w:tblPr>
      <w:tblGrid>
        <w:gridCol w:w="1888"/>
        <w:gridCol w:w="250"/>
        <w:gridCol w:w="7501"/>
      </w:tblGrid>
      <w:tr w:rsidR="00C62828" w:rsidRPr="009110F7" w:rsidTr="008D127E">
        <w:trPr>
          <w:trHeight w:val="145"/>
        </w:trPr>
        <w:tc>
          <w:tcPr>
            <w:tcW w:w="1888" w:type="dxa"/>
            <w:shd w:val="clear" w:color="auto" w:fill="auto"/>
            <w:tcMar>
              <w:left w:w="0" w:type="dxa"/>
            </w:tcMar>
          </w:tcPr>
          <w:p w:rsidR="00C62828" w:rsidRPr="009110F7" w:rsidRDefault="00C62828" w:rsidP="008A0ADD">
            <w:pPr>
              <w:pStyle w:val="Marginlie"/>
            </w:pPr>
            <w:r w:rsidRPr="009110F7">
              <w:t xml:space="preserve">Meziroční tempo růstu HDP po výrazném </w:t>
            </w:r>
            <w:r>
              <w:t>2.</w:t>
            </w:r>
            <w:r w:rsidR="008A0ADD">
              <w:t> </w:t>
            </w:r>
            <w:r w:rsidRPr="009110F7">
              <w:t>pololetí 2017 zpomalilo.</w:t>
            </w:r>
          </w:p>
        </w:tc>
        <w:tc>
          <w:tcPr>
            <w:tcW w:w="250" w:type="dxa"/>
            <w:shd w:val="clear" w:color="auto" w:fill="auto"/>
            <w:tcMar>
              <w:left w:w="0" w:type="dxa"/>
            </w:tcMar>
          </w:tcPr>
          <w:p w:rsidR="00C62828" w:rsidRPr="009110F7" w:rsidRDefault="00C62828" w:rsidP="00965797">
            <w:pPr>
              <w:pStyle w:val="Textpoznpodarou"/>
              <w:jc w:val="both"/>
              <w:rPr>
                <w:spacing w:val="-4"/>
              </w:rPr>
            </w:pPr>
          </w:p>
        </w:tc>
        <w:tc>
          <w:tcPr>
            <w:tcW w:w="7501" w:type="dxa"/>
            <w:shd w:val="clear" w:color="auto" w:fill="auto"/>
            <w:tcMar>
              <w:left w:w="0" w:type="dxa"/>
            </w:tcMar>
          </w:tcPr>
          <w:p w:rsidR="00C62828" w:rsidRPr="009110F7" w:rsidRDefault="00C62828" w:rsidP="00446D44">
            <w:r w:rsidRPr="009110F7">
              <w:t>Hrubý domácí produkt (HDP) v </w:t>
            </w:r>
            <w:r w:rsidR="00716F48" w:rsidRPr="009110F7">
              <w:t>1. </w:t>
            </w:r>
            <w:r w:rsidRPr="009110F7">
              <w:t xml:space="preserve">čtvrtletí meziročně reálně vzrostl </w:t>
            </w:r>
            <w:r w:rsidR="00716F48" w:rsidRPr="009110F7">
              <w:t>o </w:t>
            </w:r>
            <w:r w:rsidRPr="009110F7">
              <w:t>4,</w:t>
            </w:r>
            <w:r w:rsidR="00167CB9" w:rsidRPr="009110F7">
              <w:t>4 </w:t>
            </w:r>
            <w:r w:rsidRPr="009110F7">
              <w:t>%</w:t>
            </w:r>
            <w:r w:rsidRPr="009110F7">
              <w:rPr>
                <w:rStyle w:val="Znakapoznpodarou"/>
                <w:rFonts w:cs="Arial"/>
              </w:rPr>
              <w:footnoteReference w:id="1"/>
            </w:r>
            <w:r w:rsidRPr="009110F7">
              <w:t xml:space="preserve">. Vysoká meziroční dynamika </w:t>
            </w:r>
            <w:r w:rsidR="00034DF7">
              <w:t xml:space="preserve">druhé </w:t>
            </w:r>
            <w:r w:rsidRPr="009110F7">
              <w:t>poloviny loňského roku se tak neudržela. Vloni meziroční růst překonal 5% hranici díky součinnost</w:t>
            </w:r>
            <w:r w:rsidR="00034DF7">
              <w:t>i</w:t>
            </w:r>
            <w:r w:rsidRPr="009110F7">
              <w:t xml:space="preserve"> </w:t>
            </w:r>
            <w:r w:rsidR="009741FC" w:rsidRPr="009110F7">
              <w:t>všech</w:t>
            </w:r>
            <w:r w:rsidRPr="009110F7">
              <w:t xml:space="preserve"> složek HDP. </w:t>
            </w:r>
            <w:r w:rsidR="00716F48" w:rsidRPr="009110F7">
              <w:t>V 1. </w:t>
            </w:r>
            <w:r w:rsidRPr="009110F7">
              <w:t xml:space="preserve">čtvrtletí roku 2018 však znatelně oslabila zahraniční poptávka (naopak růst domácí spotřeby byl do jisté míry saturován dovozem). Ačkoli dlouhodobá role spotřeby opět posílila, dominantním růstovým faktorem se staly investiční výdaje. Oslabila </w:t>
            </w:r>
            <w:r w:rsidR="00716F48" w:rsidRPr="009110F7">
              <w:t>i </w:t>
            </w:r>
            <w:proofErr w:type="spellStart"/>
            <w:r w:rsidRPr="009110F7">
              <w:t>mezičtvrtletní</w:t>
            </w:r>
            <w:proofErr w:type="spellEnd"/>
            <w:r w:rsidRPr="009110F7">
              <w:t xml:space="preserve"> dynamika a</w:t>
            </w:r>
            <w:r w:rsidR="00446D44" w:rsidRPr="009110F7">
              <w:t> </w:t>
            </w:r>
            <w:r w:rsidRPr="009110F7">
              <w:t xml:space="preserve">HDP se oproti 4. čtvrtletí 2017 zvýšil </w:t>
            </w:r>
            <w:r w:rsidR="00716F48" w:rsidRPr="009110F7">
              <w:t>o </w:t>
            </w:r>
            <w:r w:rsidRPr="009110F7">
              <w:t>0,</w:t>
            </w:r>
            <w:r w:rsidR="00167CB9" w:rsidRPr="009110F7">
              <w:t>4 </w:t>
            </w:r>
            <w:r w:rsidRPr="009110F7">
              <w:t xml:space="preserve">%. </w:t>
            </w:r>
            <w:r w:rsidR="00716F48" w:rsidRPr="009110F7">
              <w:t>I </w:t>
            </w:r>
            <w:r w:rsidRPr="009110F7">
              <w:t xml:space="preserve">v tomto případě k růstu přispívala domácí poptávka </w:t>
            </w:r>
            <w:r w:rsidR="00716F48" w:rsidRPr="009110F7">
              <w:t>a </w:t>
            </w:r>
            <w:r w:rsidRPr="009110F7">
              <w:t xml:space="preserve">zahraniční jej tlumila. Hrubá přidaná hodnota (HPH) meziročně vzrostla </w:t>
            </w:r>
            <w:r w:rsidR="00716F48" w:rsidRPr="009110F7">
              <w:t>o </w:t>
            </w:r>
            <w:r w:rsidRPr="009110F7">
              <w:t>4,</w:t>
            </w:r>
            <w:r w:rsidR="00167CB9" w:rsidRPr="009110F7">
              <w:t>5 </w:t>
            </w:r>
            <w:r w:rsidRPr="009110F7">
              <w:t xml:space="preserve">%, </w:t>
            </w:r>
            <w:proofErr w:type="spellStart"/>
            <w:r w:rsidRPr="009110F7">
              <w:t>mezičtvrtletně</w:t>
            </w:r>
            <w:proofErr w:type="spellEnd"/>
            <w:r w:rsidRPr="009110F7">
              <w:t xml:space="preserve"> </w:t>
            </w:r>
            <w:r w:rsidR="00716F48" w:rsidRPr="009110F7">
              <w:t>o </w:t>
            </w:r>
            <w:r w:rsidRPr="009110F7">
              <w:t>0,</w:t>
            </w:r>
            <w:r w:rsidR="00167CB9" w:rsidRPr="009110F7">
              <w:t>7 </w:t>
            </w:r>
            <w:r w:rsidRPr="009110F7">
              <w:t xml:space="preserve">% (výrazný rozdíl mezi dynamikou HDP </w:t>
            </w:r>
            <w:r w:rsidR="00716F48" w:rsidRPr="009110F7">
              <w:t>a </w:t>
            </w:r>
            <w:r w:rsidRPr="009110F7">
              <w:t xml:space="preserve">HPH byl způsoben </w:t>
            </w:r>
            <w:proofErr w:type="spellStart"/>
            <w:r w:rsidRPr="009110F7">
              <w:t>mezičtvrtletně</w:t>
            </w:r>
            <w:proofErr w:type="spellEnd"/>
            <w:r w:rsidRPr="009110F7">
              <w:t xml:space="preserve"> nižším výběrem spotřební daně z tabákových výrobků). Růst HPH byl výrazně podpořen zpracovatelským průmyslem, zvýšená domácí poptávka se však projevila na příspěvku odvětví služeb, který tvořil více než polovinu celkového meziročního přírůstku HPH.</w:t>
            </w:r>
          </w:p>
        </w:tc>
      </w:tr>
      <w:tr w:rsidR="00C62828" w:rsidRPr="009110F7" w:rsidTr="008D127E">
        <w:trPr>
          <w:trHeight w:val="170"/>
        </w:trPr>
        <w:tc>
          <w:tcPr>
            <w:tcW w:w="1888" w:type="dxa"/>
            <w:vMerge w:val="restart"/>
            <w:shd w:val="clear" w:color="auto" w:fill="auto"/>
            <w:tcMar>
              <w:left w:w="0" w:type="dxa"/>
            </w:tcMar>
          </w:tcPr>
          <w:p w:rsidR="00C62828" w:rsidRPr="009110F7" w:rsidRDefault="00C62828" w:rsidP="00965797">
            <w:pPr>
              <w:pStyle w:val="Marginlie"/>
            </w:pPr>
          </w:p>
        </w:tc>
        <w:tc>
          <w:tcPr>
            <w:tcW w:w="250" w:type="dxa"/>
            <w:vMerge w:val="restart"/>
            <w:shd w:val="clear" w:color="auto" w:fill="auto"/>
            <w:tcMar>
              <w:left w:w="0" w:type="dxa"/>
            </w:tcMar>
          </w:tcPr>
          <w:p w:rsidR="00C62828" w:rsidRPr="009110F7" w:rsidRDefault="00C62828" w:rsidP="00965797">
            <w:pPr>
              <w:pStyle w:val="Textpoznpodarou"/>
              <w:jc w:val="both"/>
              <w:rPr>
                <w:spacing w:val="-4"/>
              </w:rPr>
            </w:pPr>
          </w:p>
        </w:tc>
        <w:tc>
          <w:tcPr>
            <w:tcW w:w="7501" w:type="dxa"/>
            <w:shd w:val="clear" w:color="auto" w:fill="auto"/>
            <w:tcMar>
              <w:left w:w="0" w:type="dxa"/>
            </w:tcMar>
          </w:tcPr>
          <w:p w:rsidR="00C62828" w:rsidRPr="009110F7" w:rsidRDefault="00C62828" w:rsidP="008A0ADD">
            <w:pPr>
              <w:spacing w:after="0"/>
              <w:rPr>
                <w:b/>
                <w:szCs w:val="20"/>
              </w:rPr>
            </w:pPr>
            <w:r w:rsidRPr="009110F7">
              <w:rPr>
                <w:rFonts w:cs="Arial"/>
                <w:b/>
                <w:bCs/>
                <w:color w:val="000000"/>
                <w:szCs w:val="20"/>
              </w:rPr>
              <w:t>Graf</w:t>
            </w:r>
            <w:r w:rsidR="005B770C">
              <w:rPr>
                <w:rFonts w:cs="Arial"/>
                <w:b/>
                <w:bCs/>
                <w:color w:val="000000"/>
                <w:szCs w:val="20"/>
              </w:rPr>
              <w:t> </w:t>
            </w:r>
            <w:proofErr w:type="gramStart"/>
            <w:r w:rsidR="00167CB9" w:rsidRPr="009110F7">
              <w:rPr>
                <w:rFonts w:cs="Arial"/>
                <w:b/>
                <w:bCs/>
                <w:color w:val="000000"/>
                <w:szCs w:val="20"/>
              </w:rPr>
              <w:t>č. </w:t>
            </w:r>
            <w:r w:rsidR="00716F48" w:rsidRPr="009110F7">
              <w:rPr>
                <w:rFonts w:cs="Arial"/>
                <w:b/>
                <w:bCs/>
                <w:color w:val="000000"/>
                <w:szCs w:val="20"/>
              </w:rPr>
              <w:t>1</w:t>
            </w:r>
            <w:r w:rsidR="008A0ADD">
              <w:rPr>
                <w:rFonts w:cs="Arial"/>
                <w:b/>
                <w:bCs/>
                <w:color w:val="000000"/>
                <w:szCs w:val="20"/>
              </w:rPr>
              <w:t xml:space="preserve">  </w:t>
            </w:r>
            <w:r w:rsidRPr="009110F7">
              <w:rPr>
                <w:rFonts w:cs="Arial"/>
                <w:b/>
                <w:szCs w:val="20"/>
                <w:lang w:eastAsia="en-US"/>
              </w:rPr>
              <w:t>HDP</w:t>
            </w:r>
            <w:proofErr w:type="gramEnd"/>
            <w:r w:rsidRPr="009110F7">
              <w:rPr>
                <w:rFonts w:cs="Arial"/>
                <w:b/>
                <w:szCs w:val="20"/>
                <w:lang w:eastAsia="en-US"/>
              </w:rPr>
              <w:t xml:space="preserve"> (objemové indexy, očištěno </w:t>
            </w:r>
            <w:r w:rsidR="00716F48" w:rsidRPr="009110F7">
              <w:rPr>
                <w:rFonts w:cs="Arial"/>
                <w:b/>
                <w:szCs w:val="20"/>
                <w:lang w:eastAsia="en-US"/>
              </w:rPr>
              <w:t>o </w:t>
            </w:r>
            <w:r w:rsidRPr="009110F7">
              <w:rPr>
                <w:rFonts w:cs="Arial"/>
                <w:b/>
                <w:szCs w:val="20"/>
                <w:lang w:eastAsia="en-US"/>
              </w:rPr>
              <w:t>sezónní a kalendářní vlivy, v</w:t>
            </w:r>
            <w:r w:rsidR="00167CB9" w:rsidRPr="009110F7">
              <w:rPr>
                <w:rFonts w:cs="Arial"/>
                <w:b/>
                <w:szCs w:val="20"/>
                <w:lang w:eastAsia="en-US"/>
              </w:rPr>
              <w:t> %</w:t>
            </w:r>
            <w:r w:rsidRPr="009110F7">
              <w:rPr>
                <w:rFonts w:cs="Arial"/>
                <w:b/>
                <w:szCs w:val="20"/>
                <w:lang w:eastAsia="en-US"/>
              </w:rPr>
              <w:t>)</w:t>
            </w:r>
          </w:p>
        </w:tc>
      </w:tr>
      <w:tr w:rsidR="00C62828" w:rsidRPr="009110F7" w:rsidTr="008D127E">
        <w:trPr>
          <w:trHeight w:val="170"/>
        </w:trPr>
        <w:tc>
          <w:tcPr>
            <w:tcW w:w="1888" w:type="dxa"/>
            <w:vMerge/>
            <w:shd w:val="clear" w:color="auto" w:fill="auto"/>
            <w:tcMar>
              <w:left w:w="0" w:type="dxa"/>
            </w:tcMar>
          </w:tcPr>
          <w:p w:rsidR="00C62828" w:rsidRPr="009110F7" w:rsidRDefault="00C62828" w:rsidP="00965797">
            <w:pPr>
              <w:pStyle w:val="Marginlie"/>
            </w:pPr>
          </w:p>
        </w:tc>
        <w:tc>
          <w:tcPr>
            <w:tcW w:w="250" w:type="dxa"/>
            <w:vMerge/>
            <w:shd w:val="clear" w:color="auto" w:fill="auto"/>
            <w:tcMar>
              <w:left w:w="0" w:type="dxa"/>
            </w:tcMar>
          </w:tcPr>
          <w:p w:rsidR="00C62828" w:rsidRPr="009110F7" w:rsidRDefault="00C62828" w:rsidP="00965797">
            <w:pPr>
              <w:pStyle w:val="Textpoznpodarou"/>
              <w:jc w:val="both"/>
              <w:rPr>
                <w:spacing w:val="-4"/>
              </w:rPr>
            </w:pPr>
          </w:p>
        </w:tc>
        <w:tc>
          <w:tcPr>
            <w:tcW w:w="7501" w:type="dxa"/>
            <w:shd w:val="clear" w:color="auto" w:fill="auto"/>
            <w:tcMar>
              <w:left w:w="0" w:type="dxa"/>
            </w:tcMar>
          </w:tcPr>
          <w:p w:rsidR="00C62828" w:rsidRPr="009110F7" w:rsidRDefault="00C62828" w:rsidP="00965797">
            <w:pPr>
              <w:spacing w:after="0"/>
            </w:pPr>
            <w:r w:rsidRPr="009110F7">
              <w:rPr>
                <w:noProof/>
              </w:rPr>
              <w:drawing>
                <wp:inline distT="0" distB="0" distL="0" distR="0">
                  <wp:extent cx="4737600" cy="3553200"/>
                  <wp:effectExtent l="19050" t="0" r="0" b="0"/>
                  <wp:docPr id="9"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C62828" w:rsidRPr="009110F7" w:rsidTr="008D127E">
        <w:trPr>
          <w:trHeight w:val="170"/>
        </w:trPr>
        <w:tc>
          <w:tcPr>
            <w:tcW w:w="1888" w:type="dxa"/>
            <w:vMerge/>
            <w:shd w:val="clear" w:color="auto" w:fill="auto"/>
            <w:tcMar>
              <w:left w:w="0" w:type="dxa"/>
            </w:tcMar>
          </w:tcPr>
          <w:p w:rsidR="00C62828" w:rsidRPr="009110F7" w:rsidRDefault="00C62828" w:rsidP="00965797">
            <w:pPr>
              <w:pStyle w:val="Marginlie"/>
            </w:pPr>
          </w:p>
        </w:tc>
        <w:tc>
          <w:tcPr>
            <w:tcW w:w="250" w:type="dxa"/>
            <w:vMerge/>
            <w:shd w:val="clear" w:color="auto" w:fill="auto"/>
            <w:tcMar>
              <w:left w:w="0" w:type="dxa"/>
            </w:tcMar>
          </w:tcPr>
          <w:p w:rsidR="00C62828" w:rsidRPr="009110F7" w:rsidRDefault="00C62828" w:rsidP="00965797">
            <w:pPr>
              <w:pStyle w:val="Textpoznpodarou"/>
              <w:jc w:val="both"/>
              <w:rPr>
                <w:spacing w:val="-4"/>
              </w:rPr>
            </w:pPr>
          </w:p>
        </w:tc>
        <w:tc>
          <w:tcPr>
            <w:tcW w:w="7501" w:type="dxa"/>
            <w:shd w:val="clear" w:color="auto" w:fill="auto"/>
            <w:tcMar>
              <w:left w:w="0" w:type="dxa"/>
            </w:tcMar>
          </w:tcPr>
          <w:p w:rsidR="00C62828" w:rsidRPr="009110F7" w:rsidRDefault="00C62828" w:rsidP="00965797">
            <w:pPr>
              <w:rPr>
                <w:sz w:val="14"/>
                <w:szCs w:val="14"/>
              </w:rPr>
            </w:pPr>
            <w:r w:rsidRPr="009110F7">
              <w:rPr>
                <w:sz w:val="14"/>
                <w:szCs w:val="14"/>
              </w:rPr>
              <w:t xml:space="preserve">Zdroj: ČSÚ, </w:t>
            </w:r>
            <w:proofErr w:type="spellStart"/>
            <w:r w:rsidRPr="009110F7">
              <w:rPr>
                <w:sz w:val="14"/>
                <w:szCs w:val="14"/>
              </w:rPr>
              <w:t>Eurostat</w:t>
            </w:r>
            <w:proofErr w:type="spellEnd"/>
          </w:p>
        </w:tc>
      </w:tr>
      <w:tr w:rsidR="00C62828" w:rsidRPr="009110F7" w:rsidTr="008D127E">
        <w:trPr>
          <w:trHeight w:val="145"/>
        </w:trPr>
        <w:tc>
          <w:tcPr>
            <w:tcW w:w="1888" w:type="dxa"/>
            <w:shd w:val="clear" w:color="auto" w:fill="auto"/>
            <w:tcMar>
              <w:left w:w="0" w:type="dxa"/>
            </w:tcMar>
          </w:tcPr>
          <w:p w:rsidR="00C62828" w:rsidRPr="009110F7" w:rsidRDefault="00C62828" w:rsidP="00965797">
            <w:pPr>
              <w:pStyle w:val="Marginlie"/>
            </w:pPr>
            <w:r w:rsidRPr="009110F7">
              <w:t>Meziroční dynamika růstu HDP v EU mírně zpomalila.</w:t>
            </w:r>
          </w:p>
        </w:tc>
        <w:tc>
          <w:tcPr>
            <w:tcW w:w="250" w:type="dxa"/>
            <w:shd w:val="clear" w:color="auto" w:fill="auto"/>
            <w:tcMar>
              <w:left w:w="0" w:type="dxa"/>
            </w:tcMar>
          </w:tcPr>
          <w:p w:rsidR="00C62828" w:rsidRPr="009110F7" w:rsidRDefault="00C62828" w:rsidP="00965797">
            <w:pPr>
              <w:pStyle w:val="Textpoznpodarou"/>
              <w:jc w:val="both"/>
              <w:rPr>
                <w:spacing w:val="-4"/>
              </w:rPr>
            </w:pPr>
          </w:p>
        </w:tc>
        <w:tc>
          <w:tcPr>
            <w:tcW w:w="7501" w:type="dxa"/>
            <w:shd w:val="clear" w:color="auto" w:fill="auto"/>
            <w:tcMar>
              <w:left w:w="0" w:type="dxa"/>
            </w:tcMar>
          </w:tcPr>
          <w:p w:rsidR="00167CB9" w:rsidRPr="009110F7" w:rsidRDefault="00C62828" w:rsidP="00965797">
            <w:pPr>
              <w:spacing w:after="0"/>
            </w:pPr>
            <w:r w:rsidRPr="009110F7">
              <w:t>Meziroční růst HDP v Evropské unii v </w:t>
            </w:r>
            <w:r w:rsidR="00716F48" w:rsidRPr="009110F7">
              <w:t>1. </w:t>
            </w:r>
            <w:r w:rsidRPr="009110F7">
              <w:t>čtvrtletí dosáhl 2,</w:t>
            </w:r>
            <w:r w:rsidR="00167CB9" w:rsidRPr="009110F7">
              <w:t>4 </w:t>
            </w:r>
            <w:r w:rsidRPr="009110F7">
              <w:t>%</w:t>
            </w:r>
            <w:r w:rsidRPr="009110F7">
              <w:rPr>
                <w:rStyle w:val="Znakapoznpodarou"/>
                <w:spacing w:val="-2"/>
              </w:rPr>
              <w:footnoteReference w:id="2"/>
            </w:r>
            <w:r w:rsidRPr="009110F7">
              <w:t xml:space="preserve"> </w:t>
            </w:r>
            <w:r w:rsidR="00716F48" w:rsidRPr="009110F7">
              <w:t>a </w:t>
            </w:r>
            <w:r w:rsidRPr="009110F7">
              <w:t xml:space="preserve">oproti </w:t>
            </w:r>
            <w:r w:rsidR="00716F48" w:rsidRPr="009110F7">
              <w:t>2. </w:t>
            </w:r>
            <w:r w:rsidRPr="009110F7">
              <w:t xml:space="preserve">pololetí loňského roku mírně zpomalil. </w:t>
            </w:r>
            <w:proofErr w:type="spellStart"/>
            <w:r w:rsidRPr="009110F7">
              <w:t>Mezičtvrtletní</w:t>
            </w:r>
            <w:proofErr w:type="spellEnd"/>
            <w:r w:rsidRPr="009110F7">
              <w:t xml:space="preserve"> dynamika dosáhla 0,</w:t>
            </w:r>
            <w:r w:rsidR="00167CB9" w:rsidRPr="009110F7">
              <w:t>4 </w:t>
            </w:r>
            <w:r w:rsidRPr="009110F7">
              <w:t>%</w:t>
            </w:r>
            <w:r w:rsidR="009741FC" w:rsidRPr="009110F7">
              <w:t>, stejně jako v ČR.</w:t>
            </w:r>
            <w:r w:rsidRPr="009110F7">
              <w:t xml:space="preserve"> Podle dostupných údajů nejrychleji rostl HDP v Lotyšsku (5,</w:t>
            </w:r>
            <w:r w:rsidR="00167CB9" w:rsidRPr="009110F7">
              <w:t>1 </w:t>
            </w:r>
            <w:r w:rsidRPr="009110F7">
              <w:t>%)</w:t>
            </w:r>
            <w:r w:rsidR="00754A70">
              <w:t>,</w:t>
            </w:r>
            <w:r w:rsidRPr="009110F7">
              <w:t xml:space="preserve"> Polsku (5,0 %) </w:t>
            </w:r>
            <w:r w:rsidR="00716F48" w:rsidRPr="009110F7">
              <w:t>a </w:t>
            </w:r>
            <w:r w:rsidRPr="009110F7">
              <w:t>Slovinsku (5,</w:t>
            </w:r>
            <w:r w:rsidR="00167CB9" w:rsidRPr="009110F7">
              <w:t>0 </w:t>
            </w:r>
            <w:r w:rsidRPr="009110F7">
              <w:t xml:space="preserve">%). Meziroční pokles </w:t>
            </w:r>
            <w:r w:rsidR="00716F48" w:rsidRPr="009110F7">
              <w:t>o </w:t>
            </w:r>
            <w:r w:rsidRPr="009110F7">
              <w:t>0,</w:t>
            </w:r>
            <w:r w:rsidR="00167CB9" w:rsidRPr="009110F7">
              <w:t>5 </w:t>
            </w:r>
            <w:r w:rsidRPr="009110F7">
              <w:t>% nastal v Dánsku (první pokles v zemi EU od konce roku 2016). Jen mírně rostl HDP ve Velké Británii (1,</w:t>
            </w:r>
            <w:r w:rsidR="00167CB9" w:rsidRPr="009110F7">
              <w:t>2 </w:t>
            </w:r>
            <w:r w:rsidRPr="009110F7">
              <w:t xml:space="preserve">%, tempo zpomalovalo od začátku roku 2017) </w:t>
            </w:r>
            <w:r w:rsidR="00716F48" w:rsidRPr="009110F7">
              <w:t>a </w:t>
            </w:r>
            <w:r w:rsidRPr="009110F7">
              <w:t>Itálii (1,</w:t>
            </w:r>
            <w:r w:rsidR="00167CB9" w:rsidRPr="009110F7">
              <w:t>4 </w:t>
            </w:r>
            <w:r w:rsidRPr="009110F7">
              <w:t xml:space="preserve">%). Ekonomikám našich nejbližších obchodních partnerů se </w:t>
            </w:r>
            <w:r w:rsidR="009741FC" w:rsidRPr="009110F7">
              <w:t xml:space="preserve">rovněž </w:t>
            </w:r>
            <w:r w:rsidRPr="009110F7">
              <w:t>dařilo. Kromě výše uvedeného Polska si solidní růst udrželo Slovensko (3,</w:t>
            </w:r>
            <w:r w:rsidR="00167CB9" w:rsidRPr="009110F7">
              <w:t>6 </w:t>
            </w:r>
            <w:r w:rsidRPr="009110F7">
              <w:t xml:space="preserve">%), meziroční dynamika </w:t>
            </w:r>
            <w:r w:rsidR="009741FC" w:rsidRPr="009110F7">
              <w:t xml:space="preserve">však </w:t>
            </w:r>
            <w:r w:rsidRPr="009110F7">
              <w:t>zpomalila v Německu (2,</w:t>
            </w:r>
            <w:r w:rsidR="00167CB9" w:rsidRPr="009110F7">
              <w:t>3 </w:t>
            </w:r>
            <w:r w:rsidRPr="009110F7">
              <w:t xml:space="preserve">%, především pod vlivem </w:t>
            </w:r>
            <w:r w:rsidR="009741FC" w:rsidRPr="009110F7">
              <w:t xml:space="preserve">mírnějšího růstu </w:t>
            </w:r>
            <w:r w:rsidRPr="009110F7">
              <w:t>domácí spotřeby).</w:t>
            </w:r>
          </w:p>
          <w:p w:rsidR="00C62828" w:rsidRPr="009110F7" w:rsidRDefault="00C62828" w:rsidP="00965797">
            <w:pPr>
              <w:spacing w:after="0"/>
            </w:pPr>
          </w:p>
        </w:tc>
      </w:tr>
      <w:tr w:rsidR="00C62828" w:rsidRPr="009110F7" w:rsidTr="008D127E">
        <w:trPr>
          <w:trHeight w:val="170"/>
        </w:trPr>
        <w:tc>
          <w:tcPr>
            <w:tcW w:w="1888" w:type="dxa"/>
            <w:vMerge w:val="restart"/>
            <w:shd w:val="clear" w:color="auto" w:fill="auto"/>
            <w:tcMar>
              <w:left w:w="0" w:type="dxa"/>
            </w:tcMar>
          </w:tcPr>
          <w:p w:rsidR="00C62828" w:rsidRPr="009110F7" w:rsidRDefault="00C62828" w:rsidP="00965797">
            <w:pPr>
              <w:pStyle w:val="Marginlie"/>
            </w:pPr>
          </w:p>
        </w:tc>
        <w:tc>
          <w:tcPr>
            <w:tcW w:w="250" w:type="dxa"/>
            <w:vMerge w:val="restart"/>
            <w:shd w:val="clear" w:color="auto" w:fill="auto"/>
            <w:tcMar>
              <w:left w:w="0" w:type="dxa"/>
            </w:tcMar>
          </w:tcPr>
          <w:p w:rsidR="00C62828" w:rsidRPr="009110F7" w:rsidRDefault="00C62828" w:rsidP="00965797">
            <w:pPr>
              <w:pStyle w:val="Textpoznpodarou"/>
              <w:jc w:val="both"/>
              <w:rPr>
                <w:spacing w:val="-4"/>
              </w:rPr>
            </w:pPr>
          </w:p>
        </w:tc>
        <w:tc>
          <w:tcPr>
            <w:tcW w:w="7501" w:type="dxa"/>
            <w:shd w:val="clear" w:color="auto" w:fill="auto"/>
            <w:tcMar>
              <w:left w:w="0" w:type="dxa"/>
            </w:tcMar>
          </w:tcPr>
          <w:p w:rsidR="00C62828" w:rsidRPr="009110F7" w:rsidRDefault="00C62828" w:rsidP="008A0ADD">
            <w:pPr>
              <w:spacing w:after="0"/>
              <w:rPr>
                <w:b/>
                <w:szCs w:val="20"/>
              </w:rPr>
            </w:pPr>
            <w:r w:rsidRPr="009110F7">
              <w:rPr>
                <w:b/>
                <w:spacing w:val="-4"/>
                <w:szCs w:val="20"/>
                <w:lang w:eastAsia="en-US"/>
              </w:rPr>
              <w:t>Graf</w:t>
            </w:r>
            <w:r w:rsidR="005B770C">
              <w:rPr>
                <w:b/>
                <w:spacing w:val="-4"/>
                <w:szCs w:val="20"/>
                <w:lang w:eastAsia="en-US"/>
              </w:rPr>
              <w:t> </w:t>
            </w:r>
            <w:proofErr w:type="gramStart"/>
            <w:r w:rsidR="00167CB9" w:rsidRPr="009110F7">
              <w:rPr>
                <w:b/>
                <w:spacing w:val="-4"/>
                <w:szCs w:val="20"/>
                <w:lang w:eastAsia="en-US"/>
              </w:rPr>
              <w:t>č. </w:t>
            </w:r>
            <w:r w:rsidR="00716F48" w:rsidRPr="009110F7">
              <w:rPr>
                <w:b/>
                <w:spacing w:val="-4"/>
                <w:szCs w:val="20"/>
                <w:lang w:eastAsia="en-US"/>
              </w:rPr>
              <w:t>2</w:t>
            </w:r>
            <w:r w:rsidR="005B770C">
              <w:rPr>
                <w:b/>
                <w:spacing w:val="-4"/>
                <w:szCs w:val="20"/>
                <w:lang w:eastAsia="en-US"/>
              </w:rPr>
              <w:t xml:space="preserve"> </w:t>
            </w:r>
            <w:r w:rsidR="008A0ADD">
              <w:rPr>
                <w:b/>
                <w:spacing w:val="-4"/>
                <w:szCs w:val="20"/>
                <w:lang w:eastAsia="en-US"/>
              </w:rPr>
              <w:t xml:space="preserve"> </w:t>
            </w:r>
            <w:r w:rsidRPr="009110F7">
              <w:rPr>
                <w:rFonts w:cs="Arial"/>
                <w:b/>
                <w:szCs w:val="20"/>
                <w:lang w:eastAsia="en-US"/>
              </w:rPr>
              <w:t>HDP</w:t>
            </w:r>
            <w:proofErr w:type="gramEnd"/>
            <w:r w:rsidRPr="009110F7">
              <w:rPr>
                <w:rFonts w:cs="Arial"/>
                <w:b/>
                <w:szCs w:val="20"/>
                <w:lang w:eastAsia="en-US"/>
              </w:rPr>
              <w:t xml:space="preserve"> (objemové indexy, očištěno </w:t>
            </w:r>
            <w:r w:rsidR="00716F48" w:rsidRPr="009110F7">
              <w:rPr>
                <w:rFonts w:cs="Arial"/>
                <w:b/>
                <w:szCs w:val="20"/>
                <w:lang w:eastAsia="en-US"/>
              </w:rPr>
              <w:t>o </w:t>
            </w:r>
            <w:r w:rsidRPr="009110F7">
              <w:rPr>
                <w:rFonts w:cs="Arial"/>
                <w:b/>
                <w:szCs w:val="20"/>
                <w:lang w:eastAsia="en-US"/>
              </w:rPr>
              <w:t>sezónní a kalendářní vlivy, meziročně v %, pravá osa) a indikátory důvěry (2005</w:t>
            </w:r>
            <w:r w:rsidR="005B770C">
              <w:rPr>
                <w:rFonts w:cs="Arial"/>
                <w:b/>
                <w:szCs w:val="20"/>
                <w:lang w:eastAsia="en-US"/>
              </w:rPr>
              <w:t xml:space="preserve"> </w:t>
            </w:r>
            <w:r w:rsidRPr="009110F7">
              <w:rPr>
                <w:rFonts w:cs="Arial"/>
                <w:b/>
                <w:szCs w:val="20"/>
                <w:lang w:eastAsia="en-US"/>
              </w:rPr>
              <w:t>=</w:t>
            </w:r>
            <w:r w:rsidR="005B770C">
              <w:rPr>
                <w:rFonts w:cs="Arial"/>
                <w:b/>
                <w:szCs w:val="20"/>
                <w:lang w:eastAsia="en-US"/>
              </w:rPr>
              <w:t xml:space="preserve"> </w:t>
            </w:r>
            <w:r w:rsidRPr="009110F7">
              <w:rPr>
                <w:rFonts w:cs="Arial"/>
                <w:b/>
                <w:szCs w:val="20"/>
                <w:lang w:eastAsia="en-US"/>
              </w:rPr>
              <w:t>100, levá osa)</w:t>
            </w:r>
          </w:p>
        </w:tc>
      </w:tr>
      <w:tr w:rsidR="00C62828" w:rsidRPr="009110F7" w:rsidTr="008D127E">
        <w:trPr>
          <w:trHeight w:val="170"/>
        </w:trPr>
        <w:tc>
          <w:tcPr>
            <w:tcW w:w="1888" w:type="dxa"/>
            <w:vMerge/>
            <w:shd w:val="clear" w:color="auto" w:fill="auto"/>
            <w:tcMar>
              <w:left w:w="0" w:type="dxa"/>
            </w:tcMar>
          </w:tcPr>
          <w:p w:rsidR="00C62828" w:rsidRPr="009110F7" w:rsidRDefault="00C62828" w:rsidP="00965797">
            <w:pPr>
              <w:pStyle w:val="Marginlie"/>
            </w:pPr>
          </w:p>
        </w:tc>
        <w:tc>
          <w:tcPr>
            <w:tcW w:w="250" w:type="dxa"/>
            <w:vMerge/>
            <w:shd w:val="clear" w:color="auto" w:fill="auto"/>
            <w:tcMar>
              <w:left w:w="0" w:type="dxa"/>
            </w:tcMar>
          </w:tcPr>
          <w:p w:rsidR="00C62828" w:rsidRPr="009110F7" w:rsidRDefault="00C62828" w:rsidP="00965797">
            <w:pPr>
              <w:pStyle w:val="Textpoznpodarou"/>
              <w:jc w:val="both"/>
              <w:rPr>
                <w:spacing w:val="-4"/>
              </w:rPr>
            </w:pPr>
          </w:p>
        </w:tc>
        <w:tc>
          <w:tcPr>
            <w:tcW w:w="7501" w:type="dxa"/>
            <w:shd w:val="clear" w:color="auto" w:fill="auto"/>
            <w:tcMar>
              <w:left w:w="0" w:type="dxa"/>
            </w:tcMar>
          </w:tcPr>
          <w:p w:rsidR="00C62828" w:rsidRPr="009110F7" w:rsidRDefault="00C62828" w:rsidP="00965797">
            <w:pPr>
              <w:spacing w:after="0"/>
            </w:pPr>
            <w:r w:rsidRPr="009110F7">
              <w:rPr>
                <w:noProof/>
              </w:rPr>
              <w:drawing>
                <wp:inline distT="0" distB="0" distL="0" distR="0">
                  <wp:extent cx="4737600" cy="3553200"/>
                  <wp:effectExtent l="0" t="0" r="0" b="0"/>
                  <wp:docPr id="10"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C62828" w:rsidRPr="009110F7" w:rsidTr="008D127E">
        <w:trPr>
          <w:trHeight w:val="170"/>
        </w:trPr>
        <w:tc>
          <w:tcPr>
            <w:tcW w:w="1888" w:type="dxa"/>
            <w:vMerge/>
            <w:shd w:val="clear" w:color="auto" w:fill="auto"/>
            <w:tcMar>
              <w:left w:w="0" w:type="dxa"/>
            </w:tcMar>
          </w:tcPr>
          <w:p w:rsidR="00C62828" w:rsidRPr="009110F7" w:rsidRDefault="00C62828" w:rsidP="00965797">
            <w:pPr>
              <w:pStyle w:val="Marginlie"/>
            </w:pPr>
          </w:p>
        </w:tc>
        <w:tc>
          <w:tcPr>
            <w:tcW w:w="250" w:type="dxa"/>
            <w:vMerge/>
            <w:shd w:val="clear" w:color="auto" w:fill="auto"/>
            <w:tcMar>
              <w:left w:w="0" w:type="dxa"/>
            </w:tcMar>
          </w:tcPr>
          <w:p w:rsidR="00C62828" w:rsidRPr="009110F7" w:rsidRDefault="00C62828" w:rsidP="00965797">
            <w:pPr>
              <w:pStyle w:val="Textpoznpodarou"/>
              <w:jc w:val="both"/>
              <w:rPr>
                <w:spacing w:val="-4"/>
              </w:rPr>
            </w:pPr>
          </w:p>
        </w:tc>
        <w:tc>
          <w:tcPr>
            <w:tcW w:w="7501" w:type="dxa"/>
            <w:shd w:val="clear" w:color="auto" w:fill="auto"/>
            <w:tcMar>
              <w:left w:w="0" w:type="dxa"/>
            </w:tcMar>
          </w:tcPr>
          <w:p w:rsidR="00C62828" w:rsidRPr="009110F7" w:rsidRDefault="00C62828" w:rsidP="00965797">
            <w:pPr>
              <w:rPr>
                <w:sz w:val="14"/>
                <w:szCs w:val="14"/>
              </w:rPr>
            </w:pPr>
            <w:r w:rsidRPr="009110F7">
              <w:rPr>
                <w:sz w:val="14"/>
                <w:szCs w:val="14"/>
              </w:rPr>
              <w:t>Zdroj: ČSÚ</w:t>
            </w:r>
          </w:p>
        </w:tc>
      </w:tr>
      <w:tr w:rsidR="00C62828" w:rsidRPr="009110F7" w:rsidTr="008D127E">
        <w:trPr>
          <w:trHeight w:val="145"/>
        </w:trPr>
        <w:tc>
          <w:tcPr>
            <w:tcW w:w="1888" w:type="dxa"/>
            <w:shd w:val="clear" w:color="auto" w:fill="auto"/>
            <w:tcMar>
              <w:left w:w="0" w:type="dxa"/>
            </w:tcMar>
          </w:tcPr>
          <w:p w:rsidR="00C62828" w:rsidRPr="009110F7" w:rsidRDefault="00C62828" w:rsidP="00965797">
            <w:pPr>
              <w:pStyle w:val="Marginlie"/>
            </w:pPr>
            <w:r w:rsidRPr="009110F7">
              <w:t xml:space="preserve">Spotřeba domácností vzrostla </w:t>
            </w:r>
            <w:r w:rsidR="00716F48" w:rsidRPr="009110F7">
              <w:t>o </w:t>
            </w:r>
            <w:r w:rsidRPr="009110F7">
              <w:t>4,</w:t>
            </w:r>
            <w:r w:rsidR="00167CB9" w:rsidRPr="009110F7">
              <w:t>1 </w:t>
            </w:r>
            <w:r w:rsidRPr="009110F7">
              <w:t>%.</w:t>
            </w:r>
          </w:p>
        </w:tc>
        <w:tc>
          <w:tcPr>
            <w:tcW w:w="250" w:type="dxa"/>
            <w:shd w:val="clear" w:color="auto" w:fill="auto"/>
            <w:tcMar>
              <w:left w:w="0" w:type="dxa"/>
            </w:tcMar>
          </w:tcPr>
          <w:p w:rsidR="00C62828" w:rsidRPr="009110F7" w:rsidRDefault="00C62828" w:rsidP="00965797">
            <w:pPr>
              <w:pStyle w:val="Textpoznpodarou"/>
              <w:jc w:val="both"/>
              <w:rPr>
                <w:spacing w:val="-4"/>
              </w:rPr>
            </w:pPr>
          </w:p>
        </w:tc>
        <w:tc>
          <w:tcPr>
            <w:tcW w:w="7501" w:type="dxa"/>
            <w:shd w:val="clear" w:color="auto" w:fill="auto"/>
            <w:tcMar>
              <w:left w:w="0" w:type="dxa"/>
            </w:tcMar>
          </w:tcPr>
          <w:p w:rsidR="00C62828" w:rsidRPr="009110F7" w:rsidRDefault="00C62828" w:rsidP="00446D44">
            <w:r w:rsidRPr="009110F7">
              <w:t>Výdaje na konečnou spotřebu se v </w:t>
            </w:r>
            <w:r w:rsidR="00716F48" w:rsidRPr="009110F7">
              <w:t>1. </w:t>
            </w:r>
            <w:r w:rsidRPr="009110F7">
              <w:t xml:space="preserve">čtvrtletí meziročně zvýšily </w:t>
            </w:r>
            <w:r w:rsidR="00716F48" w:rsidRPr="009110F7">
              <w:t>o </w:t>
            </w:r>
            <w:r w:rsidRPr="009110F7">
              <w:t>4,</w:t>
            </w:r>
            <w:r w:rsidR="00167CB9" w:rsidRPr="009110F7">
              <w:t>0 </w:t>
            </w:r>
            <w:r w:rsidRPr="009110F7">
              <w:t>% (</w:t>
            </w:r>
            <w:proofErr w:type="spellStart"/>
            <w:r w:rsidRPr="009110F7">
              <w:t>mezičtvrtletní</w:t>
            </w:r>
            <w:proofErr w:type="spellEnd"/>
            <w:r w:rsidRPr="009110F7">
              <w:t xml:space="preserve"> přírůstek dosáhl 1,</w:t>
            </w:r>
            <w:r w:rsidR="00167CB9" w:rsidRPr="009110F7">
              <w:t>0 </w:t>
            </w:r>
            <w:r w:rsidRPr="009110F7">
              <w:t>%).</w:t>
            </w:r>
            <w:r w:rsidR="00161553" w:rsidRPr="009110F7">
              <w:t xml:space="preserve"> </w:t>
            </w:r>
            <w:r w:rsidR="00184017" w:rsidRPr="009110F7">
              <w:t>S</w:t>
            </w:r>
            <w:r w:rsidRPr="009110F7">
              <w:t xml:space="preserve">potřeba domácností </w:t>
            </w:r>
            <w:r w:rsidR="00184017" w:rsidRPr="009110F7">
              <w:t>meziročně vzrostla o</w:t>
            </w:r>
            <w:r w:rsidR="00446D44" w:rsidRPr="009110F7">
              <w:t> </w:t>
            </w:r>
            <w:r w:rsidRPr="009110F7">
              <w:t>4,</w:t>
            </w:r>
            <w:r w:rsidR="00167CB9" w:rsidRPr="009110F7">
              <w:t>1 </w:t>
            </w:r>
            <w:r w:rsidRPr="009110F7">
              <w:t>%, tempo výdajů vládních institucí zrychlilo na 3,</w:t>
            </w:r>
            <w:r w:rsidR="00167CB9" w:rsidRPr="009110F7">
              <w:t>6 </w:t>
            </w:r>
            <w:r w:rsidRPr="009110F7">
              <w:t xml:space="preserve">% (nejvyšší hodnota od konce roku 2003, především díky </w:t>
            </w:r>
            <w:proofErr w:type="spellStart"/>
            <w:r w:rsidRPr="009110F7">
              <w:t>mezičtvrtletnímu</w:t>
            </w:r>
            <w:proofErr w:type="spellEnd"/>
            <w:r w:rsidRPr="009110F7">
              <w:t xml:space="preserve"> nárůstu o</w:t>
            </w:r>
            <w:r w:rsidR="00A44B0D" w:rsidRPr="009110F7">
              <w:t> </w:t>
            </w:r>
            <w:r w:rsidRPr="009110F7">
              <w:t>1,</w:t>
            </w:r>
            <w:r w:rsidR="00167CB9" w:rsidRPr="009110F7">
              <w:t>4 </w:t>
            </w:r>
            <w:r w:rsidRPr="009110F7">
              <w:t>%, který navázal na zrychlení v závěru minulého roku). Výdaje vládních institucí byly totiž zčásti ovlivněny dočerpáváním prostředků z evropských fondů v polovině programového období. Výsledný příspěvek spotřeby domácností k meziročnímu růstu HDP činil 1,4</w:t>
            </w:r>
            <w:r w:rsidR="00446D44" w:rsidRPr="009110F7">
              <w:t> </w:t>
            </w:r>
            <w:r w:rsidR="00167CB9" w:rsidRPr="009110F7">
              <w:t>p. </w:t>
            </w:r>
            <w:proofErr w:type="spellStart"/>
            <w:r w:rsidR="00167CB9" w:rsidRPr="009110F7">
              <w:t>b</w:t>
            </w:r>
            <w:proofErr w:type="spellEnd"/>
            <w:r w:rsidR="00167CB9" w:rsidRPr="009110F7">
              <w:t>.</w:t>
            </w:r>
            <w:r w:rsidRPr="009110F7">
              <w:rPr>
                <w:rStyle w:val="Znakapoznpodarou"/>
              </w:rPr>
              <w:footnoteReference w:id="3"/>
            </w:r>
            <w:r w:rsidRPr="009110F7">
              <w:t>, u vládních institucí dosáhl 0,</w:t>
            </w:r>
            <w:r w:rsidR="00167CB9" w:rsidRPr="009110F7">
              <w:t>7 p. </w:t>
            </w:r>
            <w:proofErr w:type="spellStart"/>
            <w:r w:rsidR="00167CB9" w:rsidRPr="009110F7">
              <w:t>b</w:t>
            </w:r>
            <w:proofErr w:type="spellEnd"/>
            <w:r w:rsidR="00167CB9" w:rsidRPr="009110F7">
              <w:t>.</w:t>
            </w:r>
            <w:r w:rsidRPr="009110F7">
              <w:t xml:space="preserve"> (nejvyšší hodnota od </w:t>
            </w:r>
            <w:r w:rsidR="00716F48" w:rsidRPr="009110F7">
              <w:t>4. </w:t>
            </w:r>
            <w:r w:rsidRPr="009110F7">
              <w:t xml:space="preserve">čtvrtletí 2003). Rozdíl mezi příspěvky po vyloučení dovozu pro konečné užití </w:t>
            </w:r>
            <w:r w:rsidR="00716F48" w:rsidRPr="009110F7">
              <w:t>a </w:t>
            </w:r>
            <w:r w:rsidRPr="009110F7">
              <w:t>před vyloučením poukazuje na pokračující saturaci části domácí spotřeby dovozem. Domácnosti své výdaje soustředily více na předměty dlouhodobé spotřeby (meziroční nárůst 6,</w:t>
            </w:r>
            <w:r w:rsidR="00167CB9" w:rsidRPr="009110F7">
              <w:t>3 </w:t>
            </w:r>
            <w:r w:rsidRPr="009110F7">
              <w:t>%</w:t>
            </w:r>
            <w:r w:rsidRPr="009110F7">
              <w:rPr>
                <w:rStyle w:val="Znakapoznpodarou"/>
              </w:rPr>
              <w:footnoteReference w:id="4"/>
            </w:r>
            <w:r w:rsidRPr="009110F7">
              <w:t xml:space="preserve">) </w:t>
            </w:r>
            <w:r w:rsidR="00716F48" w:rsidRPr="009110F7">
              <w:t>a </w:t>
            </w:r>
            <w:r w:rsidRPr="009110F7">
              <w:t>služby (3,</w:t>
            </w:r>
            <w:r w:rsidR="00167CB9" w:rsidRPr="009110F7">
              <w:t>1 </w:t>
            </w:r>
            <w:r w:rsidRPr="009110F7">
              <w:t xml:space="preserve">%). Růst výdajů na předměty střednědobé </w:t>
            </w:r>
            <w:r w:rsidR="00716F48" w:rsidRPr="009110F7">
              <w:t>a </w:t>
            </w:r>
            <w:r w:rsidRPr="009110F7">
              <w:t>krátkodobé spotřeby zpomalil, stále se však udržuje na relativně vysokých hodnotách (3,</w:t>
            </w:r>
            <w:r w:rsidR="00167CB9" w:rsidRPr="009110F7">
              <w:t>6 </w:t>
            </w:r>
            <w:r w:rsidRPr="009110F7">
              <w:t xml:space="preserve">% </w:t>
            </w:r>
            <w:r w:rsidR="00716F48" w:rsidRPr="009110F7">
              <w:t>a </w:t>
            </w:r>
            <w:r w:rsidRPr="009110F7">
              <w:t>3,</w:t>
            </w:r>
            <w:r w:rsidR="00167CB9" w:rsidRPr="009110F7">
              <w:t>9 </w:t>
            </w:r>
            <w:r w:rsidRPr="009110F7">
              <w:t xml:space="preserve">%). </w:t>
            </w:r>
          </w:p>
        </w:tc>
      </w:tr>
      <w:tr w:rsidR="00C62828" w:rsidRPr="009110F7" w:rsidTr="008D127E">
        <w:trPr>
          <w:trHeight w:val="145"/>
        </w:trPr>
        <w:tc>
          <w:tcPr>
            <w:tcW w:w="1888" w:type="dxa"/>
            <w:shd w:val="clear" w:color="auto" w:fill="auto"/>
            <w:tcMar>
              <w:left w:w="0" w:type="dxa"/>
            </w:tcMar>
          </w:tcPr>
          <w:p w:rsidR="00C62828" w:rsidRPr="009110F7" w:rsidRDefault="00C62828" w:rsidP="00965797">
            <w:pPr>
              <w:pStyle w:val="Marginlie"/>
            </w:pPr>
            <w:r w:rsidRPr="009110F7">
              <w:t xml:space="preserve">Výdaje na mzdy </w:t>
            </w:r>
            <w:r w:rsidR="00716F48" w:rsidRPr="009110F7">
              <w:t>a </w:t>
            </w:r>
            <w:r w:rsidRPr="009110F7">
              <w:t>platy se díky mírné inflaci reálně navýšily nejvíce v</w:t>
            </w:r>
            <w:r w:rsidR="0029588F" w:rsidRPr="009110F7">
              <w:t> </w:t>
            </w:r>
            <w:r w:rsidRPr="009110F7">
              <w:t>historii</w:t>
            </w:r>
            <w:r w:rsidR="0029588F" w:rsidRPr="009110F7">
              <w:t xml:space="preserve"> sledování</w:t>
            </w:r>
            <w:r w:rsidRPr="009110F7">
              <w:t>.</w:t>
            </w:r>
          </w:p>
        </w:tc>
        <w:tc>
          <w:tcPr>
            <w:tcW w:w="250" w:type="dxa"/>
            <w:shd w:val="clear" w:color="auto" w:fill="auto"/>
            <w:tcMar>
              <w:left w:w="0" w:type="dxa"/>
            </w:tcMar>
          </w:tcPr>
          <w:p w:rsidR="00C62828" w:rsidRPr="009110F7" w:rsidRDefault="00C62828" w:rsidP="00965797">
            <w:pPr>
              <w:pStyle w:val="Textpoznpodarou"/>
              <w:jc w:val="both"/>
              <w:rPr>
                <w:spacing w:val="-4"/>
              </w:rPr>
            </w:pPr>
          </w:p>
        </w:tc>
        <w:tc>
          <w:tcPr>
            <w:tcW w:w="7501" w:type="dxa"/>
            <w:shd w:val="clear" w:color="auto" w:fill="auto"/>
            <w:tcMar>
              <w:left w:w="0" w:type="dxa"/>
            </w:tcMar>
          </w:tcPr>
          <w:p w:rsidR="00C62828" w:rsidRPr="009110F7" w:rsidRDefault="00C62828" w:rsidP="00446D44">
            <w:r w:rsidRPr="009110F7">
              <w:t xml:space="preserve">Celková výše výdajů na mzdy </w:t>
            </w:r>
            <w:r w:rsidR="00716F48" w:rsidRPr="009110F7">
              <w:t>a </w:t>
            </w:r>
            <w:r w:rsidRPr="009110F7">
              <w:t>platy v </w:t>
            </w:r>
            <w:r w:rsidR="00716F48" w:rsidRPr="009110F7">
              <w:t>1. </w:t>
            </w:r>
            <w:r w:rsidRPr="009110F7">
              <w:t xml:space="preserve">čtvrtletí meziročně </w:t>
            </w:r>
            <w:r w:rsidR="005547EB">
              <w:t>vzrost</w:t>
            </w:r>
            <w:r w:rsidRPr="009110F7">
              <w:t xml:space="preserve">la </w:t>
            </w:r>
            <w:r w:rsidR="00716F48" w:rsidRPr="009110F7">
              <w:t>o </w:t>
            </w:r>
            <w:r w:rsidRPr="009110F7">
              <w:t>10,</w:t>
            </w:r>
            <w:r w:rsidR="00167CB9" w:rsidRPr="009110F7">
              <w:t>4 </w:t>
            </w:r>
            <w:r w:rsidRPr="009110F7">
              <w:t xml:space="preserve">% (nejvíc od </w:t>
            </w:r>
            <w:r w:rsidR="00716F48" w:rsidRPr="009110F7">
              <w:t>1. </w:t>
            </w:r>
            <w:r w:rsidRPr="009110F7">
              <w:t xml:space="preserve">čtvrtletí 2008). Reálně se výdaje na mzdy </w:t>
            </w:r>
            <w:r w:rsidR="00716F48" w:rsidRPr="009110F7">
              <w:t>a </w:t>
            </w:r>
            <w:r w:rsidRPr="009110F7">
              <w:t xml:space="preserve">platy zvýšily </w:t>
            </w:r>
            <w:r w:rsidR="00716F48" w:rsidRPr="009110F7">
              <w:t>o </w:t>
            </w:r>
            <w:r w:rsidRPr="009110F7">
              <w:t>7,</w:t>
            </w:r>
            <w:r w:rsidR="00167CB9" w:rsidRPr="009110F7">
              <w:t>9 </w:t>
            </w:r>
            <w:r w:rsidRPr="009110F7">
              <w:t>%</w:t>
            </w:r>
            <w:r w:rsidRPr="009110F7">
              <w:rPr>
                <w:rStyle w:val="Znakapoznpodarou"/>
                <w:spacing w:val="-2"/>
              </w:rPr>
              <w:footnoteReference w:id="5"/>
            </w:r>
            <w:r w:rsidRPr="009110F7">
              <w:t>, což je nejvíce za celou dostupnou časovou řadu (od roku 1997). Současná konjunktura se totiž od té v letech 2007–2008</w:t>
            </w:r>
            <w:r w:rsidR="00161553" w:rsidRPr="009110F7">
              <w:t xml:space="preserve"> </w:t>
            </w:r>
            <w:r w:rsidRPr="009110F7">
              <w:t>liší nižší úrovní cenového růstu (například</w:t>
            </w:r>
            <w:r w:rsidR="0029588F" w:rsidRPr="009110F7">
              <w:t xml:space="preserve"> v 1. čtvrtletí 2008 se</w:t>
            </w:r>
            <w:r w:rsidRPr="009110F7">
              <w:t xml:space="preserve"> meziroční 10,4% nominální nárůst výdajů na mzdy </w:t>
            </w:r>
            <w:r w:rsidR="00716F48" w:rsidRPr="009110F7">
              <w:t>a </w:t>
            </w:r>
            <w:r w:rsidRPr="009110F7">
              <w:t>platy v reálném vyjádření zredukoval na 4,</w:t>
            </w:r>
            <w:r w:rsidR="00167CB9" w:rsidRPr="009110F7">
              <w:t>4 </w:t>
            </w:r>
            <w:r w:rsidRPr="009110F7">
              <w:t>%). Zaměstnanost se v </w:t>
            </w:r>
            <w:r w:rsidR="00716F48" w:rsidRPr="009110F7">
              <w:t>1. </w:t>
            </w:r>
            <w:r w:rsidRPr="009110F7">
              <w:t xml:space="preserve">čtvrtletí meziročně zvýšila </w:t>
            </w:r>
            <w:r w:rsidR="00716F48" w:rsidRPr="009110F7">
              <w:t>o </w:t>
            </w:r>
            <w:r w:rsidRPr="009110F7">
              <w:t>1,</w:t>
            </w:r>
            <w:r w:rsidR="00167CB9" w:rsidRPr="009110F7">
              <w:t>7 </w:t>
            </w:r>
            <w:r w:rsidRPr="009110F7">
              <w:t>%</w:t>
            </w:r>
            <w:r w:rsidRPr="009110F7">
              <w:rPr>
                <w:rStyle w:val="Znakapoznpodarou"/>
                <w:spacing w:val="-2"/>
              </w:rPr>
              <w:footnoteReference w:id="6"/>
            </w:r>
            <w:r w:rsidRPr="009110F7">
              <w:t xml:space="preserve">, takže většina nárůstu mzdových prostředků </w:t>
            </w:r>
            <w:r w:rsidR="0029588F" w:rsidRPr="009110F7">
              <w:t>se projevila s</w:t>
            </w:r>
            <w:r w:rsidRPr="009110F7">
              <w:t>amotn</w:t>
            </w:r>
            <w:r w:rsidR="0029588F" w:rsidRPr="009110F7">
              <w:t>ým</w:t>
            </w:r>
            <w:r w:rsidRPr="009110F7">
              <w:t xml:space="preserve"> zvýšení</w:t>
            </w:r>
            <w:r w:rsidR="0029588F" w:rsidRPr="009110F7">
              <w:t>m</w:t>
            </w:r>
            <w:r w:rsidRPr="009110F7">
              <w:t xml:space="preserve"> mezd </w:t>
            </w:r>
            <w:r w:rsidR="00716F48" w:rsidRPr="009110F7">
              <w:t>a </w:t>
            </w:r>
            <w:r w:rsidRPr="009110F7">
              <w:t>platů. Vysoká úroveň růstu mzdových výdajů se udržela u zpracovatelského průmyslu (9,</w:t>
            </w:r>
            <w:r w:rsidR="00167CB9" w:rsidRPr="009110F7">
              <w:t>1 </w:t>
            </w:r>
            <w:r w:rsidRPr="009110F7">
              <w:t xml:space="preserve">%) </w:t>
            </w:r>
            <w:r w:rsidR="00716F48" w:rsidRPr="009110F7">
              <w:t>a </w:t>
            </w:r>
            <w:r w:rsidRPr="009110F7">
              <w:t xml:space="preserve">doprovázel ji nárůst zaměstnanosti </w:t>
            </w:r>
            <w:r w:rsidR="00716F48" w:rsidRPr="009110F7">
              <w:t>o </w:t>
            </w:r>
            <w:r w:rsidRPr="009110F7">
              <w:t>2,</w:t>
            </w:r>
            <w:r w:rsidR="00167CB9" w:rsidRPr="009110F7">
              <w:t>3 </w:t>
            </w:r>
            <w:r w:rsidRPr="009110F7">
              <w:t xml:space="preserve">%. </w:t>
            </w:r>
            <w:r w:rsidR="00716F48" w:rsidRPr="009110F7">
              <w:t>O </w:t>
            </w:r>
            <w:r w:rsidRPr="009110F7">
              <w:t>9,</w:t>
            </w:r>
            <w:r w:rsidR="00167CB9" w:rsidRPr="009110F7">
              <w:t>5 </w:t>
            </w:r>
            <w:r w:rsidRPr="009110F7">
              <w:t xml:space="preserve">% se zvýšily výdaje na mzdy v obchodě, dopravě, ubytování </w:t>
            </w:r>
            <w:r w:rsidR="00716F48" w:rsidRPr="009110F7">
              <w:t>a </w:t>
            </w:r>
            <w:r w:rsidRPr="009110F7">
              <w:t xml:space="preserve">pohostinství </w:t>
            </w:r>
            <w:r w:rsidRPr="009110F7">
              <w:lastRenderedPageBreak/>
              <w:t>(nárůst zaměstnanosti dosáhl 1,</w:t>
            </w:r>
            <w:r w:rsidR="00167CB9" w:rsidRPr="009110F7">
              <w:t>1 </w:t>
            </w:r>
            <w:r w:rsidRPr="009110F7">
              <w:t xml:space="preserve">%). Růst výdajů na mzdy </w:t>
            </w:r>
            <w:r w:rsidR="00716F48" w:rsidRPr="009110F7">
              <w:t>a </w:t>
            </w:r>
            <w:r w:rsidRPr="009110F7">
              <w:t xml:space="preserve">platy zrychlil u informačních </w:t>
            </w:r>
            <w:r w:rsidR="00716F48" w:rsidRPr="009110F7">
              <w:t>a </w:t>
            </w:r>
            <w:r w:rsidRPr="009110F7">
              <w:t>komunikačních činností na 10,</w:t>
            </w:r>
            <w:r w:rsidR="00167CB9" w:rsidRPr="009110F7">
              <w:t>2 </w:t>
            </w:r>
            <w:r w:rsidRPr="009110F7">
              <w:t xml:space="preserve">% (zde pokračoval silný růst zaměstnanosti </w:t>
            </w:r>
            <w:r w:rsidR="00716F48" w:rsidRPr="009110F7">
              <w:t>o </w:t>
            </w:r>
            <w:r w:rsidRPr="009110F7">
              <w:t>4,</w:t>
            </w:r>
            <w:r w:rsidR="00167CB9" w:rsidRPr="009110F7">
              <w:t>1 </w:t>
            </w:r>
            <w:r w:rsidRPr="009110F7">
              <w:t>%)</w:t>
            </w:r>
            <w:r w:rsidR="0029588F" w:rsidRPr="009110F7">
              <w:t>. Dále</w:t>
            </w:r>
            <w:r w:rsidRPr="009110F7">
              <w:t xml:space="preserve"> 4,0% nárůst zaměstnanosti </w:t>
            </w:r>
            <w:r w:rsidR="00716F48" w:rsidRPr="009110F7">
              <w:t>u </w:t>
            </w:r>
            <w:r w:rsidRPr="009110F7">
              <w:t xml:space="preserve">služeb v oblasti nemovitostí přispěl </w:t>
            </w:r>
            <w:r w:rsidR="00716F48" w:rsidRPr="009110F7">
              <w:t>i </w:t>
            </w:r>
            <w:r w:rsidRPr="009110F7">
              <w:t xml:space="preserve">ke zrychlení mzdových výdajů </w:t>
            </w:r>
            <w:r w:rsidR="00716F48" w:rsidRPr="009110F7">
              <w:t>o </w:t>
            </w:r>
            <w:r w:rsidRPr="009110F7">
              <w:t>12,</w:t>
            </w:r>
            <w:r w:rsidR="00167CB9" w:rsidRPr="009110F7">
              <w:t>4 </w:t>
            </w:r>
            <w:r w:rsidRPr="009110F7">
              <w:t>%. Odvětví s dominancí stát</w:t>
            </w:r>
            <w:r w:rsidR="005547EB">
              <w:t>u</w:t>
            </w:r>
            <w:r w:rsidRPr="009110F7">
              <w:t xml:space="preserve"> ovlivnilo listopadové navýšení </w:t>
            </w:r>
            <w:r w:rsidR="0029588F" w:rsidRPr="009110F7">
              <w:t>mzdových tarifů</w:t>
            </w:r>
            <w:r w:rsidRPr="009110F7">
              <w:t>, které společně s nárůstem zaměstnanosti o 2,</w:t>
            </w:r>
            <w:r w:rsidR="00167CB9" w:rsidRPr="009110F7">
              <w:t>6 </w:t>
            </w:r>
            <w:r w:rsidRPr="009110F7">
              <w:t>% vedlo k meziročnímu navýšení vyplácených prostředků o</w:t>
            </w:r>
            <w:r w:rsidR="00446D44" w:rsidRPr="009110F7">
              <w:t> </w:t>
            </w:r>
            <w:r w:rsidRPr="009110F7">
              <w:t>15,</w:t>
            </w:r>
            <w:r w:rsidR="00167CB9" w:rsidRPr="009110F7">
              <w:t>3 </w:t>
            </w:r>
            <w:r w:rsidRPr="009110F7">
              <w:t xml:space="preserve">%. Pozitivní výsledky ve stavebnictví vyústily </w:t>
            </w:r>
            <w:r w:rsidR="00716F48" w:rsidRPr="009110F7">
              <w:t>i </w:t>
            </w:r>
            <w:r w:rsidRPr="009110F7">
              <w:t xml:space="preserve">do mzdového růstu (nárůst výdajů na mzdy o 7,1 % při současném poklesu zaměstnanosti </w:t>
            </w:r>
            <w:r w:rsidR="00716F48" w:rsidRPr="009110F7">
              <w:t>o </w:t>
            </w:r>
            <w:r w:rsidRPr="009110F7">
              <w:t>0,</w:t>
            </w:r>
            <w:r w:rsidR="00167CB9" w:rsidRPr="009110F7">
              <w:t>4 </w:t>
            </w:r>
            <w:r w:rsidRPr="009110F7">
              <w:t>%).</w:t>
            </w:r>
            <w:r w:rsidR="00161553" w:rsidRPr="009110F7">
              <w:t xml:space="preserve"> </w:t>
            </w:r>
          </w:p>
        </w:tc>
      </w:tr>
      <w:tr w:rsidR="00C62828" w:rsidRPr="009110F7" w:rsidTr="008D127E">
        <w:trPr>
          <w:trHeight w:val="170"/>
        </w:trPr>
        <w:tc>
          <w:tcPr>
            <w:tcW w:w="1888" w:type="dxa"/>
            <w:vMerge w:val="restart"/>
            <w:shd w:val="clear" w:color="auto" w:fill="auto"/>
            <w:tcMar>
              <w:left w:w="0" w:type="dxa"/>
            </w:tcMar>
          </w:tcPr>
          <w:p w:rsidR="00C62828" w:rsidRPr="009110F7" w:rsidRDefault="00C62828" w:rsidP="00965797">
            <w:pPr>
              <w:pStyle w:val="Marginlie"/>
            </w:pPr>
          </w:p>
        </w:tc>
        <w:tc>
          <w:tcPr>
            <w:tcW w:w="250" w:type="dxa"/>
            <w:vMerge w:val="restart"/>
            <w:shd w:val="clear" w:color="auto" w:fill="auto"/>
            <w:tcMar>
              <w:left w:w="0" w:type="dxa"/>
            </w:tcMar>
          </w:tcPr>
          <w:p w:rsidR="00C62828" w:rsidRPr="009110F7" w:rsidRDefault="00C62828" w:rsidP="00965797">
            <w:pPr>
              <w:pStyle w:val="Textpoznpodarou"/>
              <w:jc w:val="both"/>
              <w:rPr>
                <w:spacing w:val="-4"/>
              </w:rPr>
            </w:pPr>
          </w:p>
        </w:tc>
        <w:tc>
          <w:tcPr>
            <w:tcW w:w="7501" w:type="dxa"/>
            <w:shd w:val="clear" w:color="auto" w:fill="auto"/>
            <w:tcMar>
              <w:left w:w="0" w:type="dxa"/>
            </w:tcMar>
          </w:tcPr>
          <w:p w:rsidR="00C62828" w:rsidRPr="009110F7" w:rsidRDefault="00C62828" w:rsidP="00965797">
            <w:pPr>
              <w:spacing w:after="0"/>
              <w:rPr>
                <w:b/>
                <w:szCs w:val="20"/>
              </w:rPr>
            </w:pPr>
            <w:r w:rsidRPr="009110F7">
              <w:rPr>
                <w:b/>
                <w:szCs w:val="20"/>
              </w:rPr>
              <w:t>Graf</w:t>
            </w:r>
            <w:r w:rsidR="00686718">
              <w:rPr>
                <w:b/>
                <w:szCs w:val="20"/>
              </w:rPr>
              <w:t> </w:t>
            </w:r>
            <w:proofErr w:type="gramStart"/>
            <w:r w:rsidR="00167CB9" w:rsidRPr="009110F7">
              <w:rPr>
                <w:b/>
                <w:szCs w:val="20"/>
              </w:rPr>
              <w:t>č. </w:t>
            </w:r>
            <w:r w:rsidR="00716F48" w:rsidRPr="009110F7">
              <w:rPr>
                <w:b/>
                <w:szCs w:val="20"/>
              </w:rPr>
              <w:t>3</w:t>
            </w:r>
            <w:r w:rsidR="007E1788">
              <w:rPr>
                <w:b/>
                <w:szCs w:val="20"/>
              </w:rPr>
              <w:t xml:space="preserve">  </w:t>
            </w:r>
            <w:r w:rsidRPr="009110F7">
              <w:rPr>
                <w:rFonts w:cs="Arial"/>
                <w:b/>
                <w:szCs w:val="20"/>
                <w:lang w:eastAsia="en-US"/>
              </w:rPr>
              <w:t>Příspěvky</w:t>
            </w:r>
            <w:proofErr w:type="gramEnd"/>
            <w:r w:rsidRPr="009110F7">
              <w:rPr>
                <w:rFonts w:cs="Arial"/>
                <w:b/>
                <w:szCs w:val="20"/>
                <w:lang w:eastAsia="en-US"/>
              </w:rPr>
              <w:t xml:space="preserve"> výdajových složek </w:t>
            </w:r>
            <w:r w:rsidR="00716F48" w:rsidRPr="009110F7">
              <w:rPr>
                <w:rFonts w:cs="Arial"/>
                <w:b/>
                <w:szCs w:val="20"/>
                <w:lang w:eastAsia="en-US"/>
              </w:rPr>
              <w:t>k </w:t>
            </w:r>
            <w:r w:rsidRPr="009110F7">
              <w:rPr>
                <w:rFonts w:cs="Arial"/>
                <w:b/>
                <w:szCs w:val="20"/>
                <w:lang w:eastAsia="en-US"/>
              </w:rPr>
              <w:t>reálné změně HDP* (objemové indexy, meziroční růst, příspěvky v </w:t>
            </w:r>
            <w:r w:rsidR="00167CB9" w:rsidRPr="009110F7">
              <w:rPr>
                <w:rFonts w:cs="Arial"/>
                <w:b/>
                <w:szCs w:val="20"/>
                <w:lang w:eastAsia="en-US"/>
              </w:rPr>
              <w:t>p. </w:t>
            </w:r>
            <w:proofErr w:type="spellStart"/>
            <w:r w:rsidR="00167CB9" w:rsidRPr="009110F7">
              <w:rPr>
                <w:rFonts w:cs="Arial"/>
                <w:b/>
                <w:szCs w:val="20"/>
                <w:lang w:eastAsia="en-US"/>
              </w:rPr>
              <w:t>b</w:t>
            </w:r>
            <w:proofErr w:type="spellEnd"/>
            <w:r w:rsidR="00167CB9" w:rsidRPr="009110F7">
              <w:rPr>
                <w:rFonts w:cs="Arial"/>
                <w:b/>
                <w:szCs w:val="20"/>
                <w:lang w:eastAsia="en-US"/>
              </w:rPr>
              <w:t>.</w:t>
            </w:r>
            <w:r w:rsidRPr="009110F7">
              <w:rPr>
                <w:rFonts w:cs="Arial"/>
                <w:b/>
                <w:szCs w:val="20"/>
                <w:lang w:eastAsia="en-US"/>
              </w:rPr>
              <w:t>, HDP v</w:t>
            </w:r>
            <w:r w:rsidR="00167CB9" w:rsidRPr="009110F7">
              <w:rPr>
                <w:rFonts w:cs="Arial"/>
                <w:b/>
                <w:szCs w:val="20"/>
                <w:lang w:eastAsia="en-US"/>
              </w:rPr>
              <w:t> %</w:t>
            </w:r>
            <w:r w:rsidRPr="009110F7">
              <w:rPr>
                <w:rFonts w:cs="Arial"/>
                <w:b/>
                <w:szCs w:val="20"/>
                <w:lang w:eastAsia="en-US"/>
              </w:rPr>
              <w:t>)</w:t>
            </w:r>
          </w:p>
        </w:tc>
      </w:tr>
      <w:tr w:rsidR="00C62828" w:rsidRPr="009110F7" w:rsidTr="008D127E">
        <w:trPr>
          <w:trHeight w:val="170"/>
        </w:trPr>
        <w:tc>
          <w:tcPr>
            <w:tcW w:w="1888" w:type="dxa"/>
            <w:vMerge/>
            <w:shd w:val="clear" w:color="auto" w:fill="auto"/>
            <w:tcMar>
              <w:left w:w="0" w:type="dxa"/>
            </w:tcMar>
          </w:tcPr>
          <w:p w:rsidR="00C62828" w:rsidRPr="009110F7" w:rsidRDefault="00C62828" w:rsidP="00965797">
            <w:pPr>
              <w:pStyle w:val="Marginlie"/>
            </w:pPr>
          </w:p>
        </w:tc>
        <w:tc>
          <w:tcPr>
            <w:tcW w:w="250" w:type="dxa"/>
            <w:vMerge/>
            <w:shd w:val="clear" w:color="auto" w:fill="auto"/>
            <w:tcMar>
              <w:left w:w="0" w:type="dxa"/>
            </w:tcMar>
          </w:tcPr>
          <w:p w:rsidR="00C62828" w:rsidRPr="009110F7" w:rsidRDefault="00C62828" w:rsidP="00965797">
            <w:pPr>
              <w:pStyle w:val="Textpoznpodarou"/>
              <w:jc w:val="both"/>
              <w:rPr>
                <w:spacing w:val="-4"/>
              </w:rPr>
            </w:pPr>
          </w:p>
        </w:tc>
        <w:tc>
          <w:tcPr>
            <w:tcW w:w="7501" w:type="dxa"/>
            <w:shd w:val="clear" w:color="auto" w:fill="auto"/>
            <w:tcMar>
              <w:left w:w="0" w:type="dxa"/>
            </w:tcMar>
          </w:tcPr>
          <w:p w:rsidR="00C62828" w:rsidRPr="009110F7" w:rsidRDefault="00C62828" w:rsidP="00965797">
            <w:pPr>
              <w:spacing w:after="0"/>
            </w:pPr>
            <w:r w:rsidRPr="009110F7">
              <w:rPr>
                <w:noProof/>
              </w:rPr>
              <w:drawing>
                <wp:inline distT="0" distB="0" distL="0" distR="0">
                  <wp:extent cx="4737600" cy="3553200"/>
                  <wp:effectExtent l="0" t="0" r="0" b="0"/>
                  <wp:docPr id="1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C62828" w:rsidRPr="009110F7" w:rsidTr="008D127E">
        <w:trPr>
          <w:trHeight w:val="170"/>
        </w:trPr>
        <w:tc>
          <w:tcPr>
            <w:tcW w:w="1888" w:type="dxa"/>
            <w:vMerge/>
            <w:shd w:val="clear" w:color="auto" w:fill="auto"/>
            <w:tcMar>
              <w:left w:w="0" w:type="dxa"/>
            </w:tcMar>
          </w:tcPr>
          <w:p w:rsidR="00C62828" w:rsidRPr="009110F7" w:rsidRDefault="00C62828" w:rsidP="00965797">
            <w:pPr>
              <w:pStyle w:val="Marginlie"/>
            </w:pPr>
          </w:p>
        </w:tc>
        <w:tc>
          <w:tcPr>
            <w:tcW w:w="250" w:type="dxa"/>
            <w:vMerge/>
            <w:shd w:val="clear" w:color="auto" w:fill="auto"/>
            <w:tcMar>
              <w:left w:w="0" w:type="dxa"/>
            </w:tcMar>
          </w:tcPr>
          <w:p w:rsidR="00C62828" w:rsidRPr="009110F7" w:rsidRDefault="00C62828" w:rsidP="00965797">
            <w:pPr>
              <w:pStyle w:val="Textpoznpodarou"/>
              <w:jc w:val="both"/>
              <w:rPr>
                <w:spacing w:val="-4"/>
              </w:rPr>
            </w:pPr>
          </w:p>
        </w:tc>
        <w:tc>
          <w:tcPr>
            <w:tcW w:w="7501" w:type="dxa"/>
            <w:shd w:val="clear" w:color="auto" w:fill="auto"/>
            <w:tcMar>
              <w:left w:w="0" w:type="dxa"/>
            </w:tcMar>
          </w:tcPr>
          <w:p w:rsidR="00C62828" w:rsidRPr="009110F7" w:rsidRDefault="00C62828" w:rsidP="00965797">
            <w:pPr>
              <w:spacing w:after="0"/>
              <w:rPr>
                <w:sz w:val="14"/>
                <w:szCs w:val="14"/>
              </w:rPr>
            </w:pPr>
            <w:r w:rsidRPr="009110F7">
              <w:rPr>
                <w:sz w:val="14"/>
                <w:szCs w:val="14"/>
              </w:rPr>
              <w:t>Zdroj: ČSÚ</w:t>
            </w:r>
          </w:p>
          <w:p w:rsidR="00C62828" w:rsidRPr="009110F7" w:rsidRDefault="00C62828" w:rsidP="00965797">
            <w:pPr>
              <w:rPr>
                <w:sz w:val="14"/>
                <w:szCs w:val="14"/>
              </w:rPr>
            </w:pPr>
            <w:r w:rsidRPr="009110F7">
              <w:rPr>
                <w:sz w:val="14"/>
                <w:szCs w:val="14"/>
              </w:rPr>
              <w:t>*po vyloučení dovozu pro konečné užití</w:t>
            </w:r>
          </w:p>
        </w:tc>
      </w:tr>
      <w:tr w:rsidR="00C62828" w:rsidRPr="009110F7" w:rsidTr="008D127E">
        <w:trPr>
          <w:trHeight w:val="145"/>
        </w:trPr>
        <w:tc>
          <w:tcPr>
            <w:tcW w:w="1888" w:type="dxa"/>
            <w:shd w:val="clear" w:color="auto" w:fill="auto"/>
            <w:tcMar>
              <w:left w:w="0" w:type="dxa"/>
            </w:tcMar>
          </w:tcPr>
          <w:p w:rsidR="00C62828" w:rsidRPr="009110F7" w:rsidRDefault="00C62828" w:rsidP="00965797">
            <w:pPr>
              <w:pStyle w:val="Marginlie"/>
            </w:pPr>
            <w:r w:rsidRPr="009110F7">
              <w:t>Investice byly klíčovým faktorem růstu.</w:t>
            </w:r>
          </w:p>
        </w:tc>
        <w:tc>
          <w:tcPr>
            <w:tcW w:w="250" w:type="dxa"/>
            <w:shd w:val="clear" w:color="auto" w:fill="auto"/>
            <w:tcMar>
              <w:left w:w="0" w:type="dxa"/>
            </w:tcMar>
          </w:tcPr>
          <w:p w:rsidR="00C62828" w:rsidRPr="009110F7" w:rsidRDefault="00C62828" w:rsidP="00965797">
            <w:pPr>
              <w:pStyle w:val="Textpoznpodarou"/>
              <w:jc w:val="both"/>
              <w:rPr>
                <w:spacing w:val="-4"/>
              </w:rPr>
            </w:pPr>
          </w:p>
        </w:tc>
        <w:tc>
          <w:tcPr>
            <w:tcW w:w="7501" w:type="dxa"/>
            <w:shd w:val="clear" w:color="auto" w:fill="auto"/>
            <w:tcMar>
              <w:left w:w="0" w:type="dxa"/>
            </w:tcMar>
          </w:tcPr>
          <w:p w:rsidR="00C62828" w:rsidRPr="009110F7" w:rsidRDefault="00C62828" w:rsidP="00A44B0D">
            <w:r w:rsidRPr="009110F7">
              <w:t>Výdaje na tvorbu hrubého fixního kapitálu v </w:t>
            </w:r>
            <w:r w:rsidR="00716F48" w:rsidRPr="009110F7">
              <w:t>1. </w:t>
            </w:r>
            <w:r w:rsidRPr="009110F7">
              <w:t xml:space="preserve">čtvrtletí meziročně vzrostly </w:t>
            </w:r>
            <w:r w:rsidR="00716F48" w:rsidRPr="009110F7">
              <w:t>o </w:t>
            </w:r>
            <w:r w:rsidRPr="009110F7">
              <w:t>10,</w:t>
            </w:r>
            <w:r w:rsidR="00167CB9" w:rsidRPr="009110F7">
              <w:t>5 </w:t>
            </w:r>
            <w:r w:rsidRPr="009110F7">
              <w:t>% a</w:t>
            </w:r>
            <w:r w:rsidR="00A44B0D" w:rsidRPr="009110F7">
              <w:t> </w:t>
            </w:r>
            <w:r w:rsidRPr="009110F7">
              <w:t>k celkovému růstu HDP přispěly 2,</w:t>
            </w:r>
            <w:r w:rsidR="00167CB9" w:rsidRPr="009110F7">
              <w:t>3 p. </w:t>
            </w:r>
            <w:proofErr w:type="spellStart"/>
            <w:r w:rsidR="00167CB9" w:rsidRPr="009110F7">
              <w:t>b</w:t>
            </w:r>
            <w:proofErr w:type="spellEnd"/>
            <w:r w:rsidR="00167CB9" w:rsidRPr="009110F7">
              <w:t>.</w:t>
            </w:r>
            <w:r w:rsidRPr="009110F7">
              <w:t xml:space="preserve"> V meziročním srovnání se zčásti projevila nižší základna stejného období minulého roku, </w:t>
            </w:r>
            <w:proofErr w:type="spellStart"/>
            <w:r w:rsidRPr="009110F7">
              <w:t>mezičtvrtletní</w:t>
            </w:r>
            <w:proofErr w:type="spellEnd"/>
            <w:r w:rsidRPr="009110F7">
              <w:t xml:space="preserve"> dynamika (3,5</w:t>
            </w:r>
            <w:r w:rsidR="00A44B0D" w:rsidRPr="009110F7">
              <w:t> </w:t>
            </w:r>
            <w:r w:rsidRPr="009110F7">
              <w:t>%) však potvrzuje výrazné oživení investiční aktivity. Věcné členění investičních výdajů</w:t>
            </w:r>
            <w:r w:rsidRPr="009110F7">
              <w:rPr>
                <w:rStyle w:val="Znakapoznpodarou"/>
              </w:rPr>
              <w:footnoteReference w:id="7"/>
            </w:r>
            <w:r w:rsidRPr="009110F7">
              <w:t xml:space="preserve"> nepřímo ukazuje, že v </w:t>
            </w:r>
            <w:r w:rsidR="00716F48" w:rsidRPr="009110F7">
              <w:t>1. </w:t>
            </w:r>
            <w:r w:rsidRPr="009110F7">
              <w:t xml:space="preserve">čtvrtletí se výdaje týkaly všech sektorů ekonomiky. Investiční výdaje na obydlí, která jsou hlavním investičním záměrem domácností, meziročně vzrostly </w:t>
            </w:r>
            <w:r w:rsidR="00716F48" w:rsidRPr="009110F7">
              <w:t>o </w:t>
            </w:r>
            <w:r w:rsidRPr="009110F7">
              <w:t>9,</w:t>
            </w:r>
            <w:r w:rsidR="00167CB9" w:rsidRPr="009110F7">
              <w:t>7 </w:t>
            </w:r>
            <w:r w:rsidRPr="009110F7">
              <w:t>%. Oživení investiční aktivity vládního sektoru se projevilo u</w:t>
            </w:r>
            <w:r w:rsidR="00A44B0D" w:rsidRPr="009110F7">
              <w:t> </w:t>
            </w:r>
            <w:r w:rsidRPr="009110F7">
              <w:t xml:space="preserve">ostatních budov </w:t>
            </w:r>
            <w:r w:rsidR="00716F48" w:rsidRPr="009110F7">
              <w:t>a </w:t>
            </w:r>
            <w:r w:rsidRPr="009110F7">
              <w:t xml:space="preserve">staveb, které navázaly na konec minulého roku </w:t>
            </w:r>
            <w:r w:rsidR="00716F48" w:rsidRPr="009110F7">
              <w:t>a </w:t>
            </w:r>
            <w:r w:rsidRPr="009110F7">
              <w:t xml:space="preserve">výdaje na ně se meziročně zvýšily </w:t>
            </w:r>
            <w:r w:rsidR="00716F48" w:rsidRPr="009110F7">
              <w:t>o </w:t>
            </w:r>
            <w:r w:rsidRPr="009110F7">
              <w:t>11,</w:t>
            </w:r>
            <w:r w:rsidR="00167CB9" w:rsidRPr="009110F7">
              <w:t>1 </w:t>
            </w:r>
            <w:r w:rsidRPr="009110F7">
              <w:t xml:space="preserve">%. Růst výdajů na dopravní prostředky </w:t>
            </w:r>
            <w:r w:rsidR="00716F48" w:rsidRPr="009110F7">
              <w:t>a </w:t>
            </w:r>
            <w:r w:rsidRPr="009110F7">
              <w:t>zařízení zrychlil na 10,</w:t>
            </w:r>
            <w:r w:rsidR="00167CB9" w:rsidRPr="009110F7">
              <w:t>3 </w:t>
            </w:r>
            <w:r w:rsidRPr="009110F7">
              <w:t xml:space="preserve">% (přitom jde </w:t>
            </w:r>
            <w:r w:rsidR="00716F48" w:rsidRPr="009110F7">
              <w:t>o </w:t>
            </w:r>
            <w:r w:rsidRPr="009110F7">
              <w:t xml:space="preserve">srovnání </w:t>
            </w:r>
            <w:r w:rsidR="00716F48" w:rsidRPr="009110F7">
              <w:t>s 1. </w:t>
            </w:r>
            <w:r w:rsidRPr="009110F7">
              <w:t>čtvrtletím 2017, kdy tyto výdaje rostly o</w:t>
            </w:r>
            <w:r w:rsidR="00A44B0D" w:rsidRPr="009110F7">
              <w:t> </w:t>
            </w:r>
            <w:r w:rsidRPr="009110F7">
              <w:t>17,</w:t>
            </w:r>
            <w:r w:rsidR="00167CB9" w:rsidRPr="009110F7">
              <w:t>9 </w:t>
            </w:r>
            <w:r w:rsidRPr="009110F7">
              <w:t xml:space="preserve">%). Investice do ICT </w:t>
            </w:r>
            <w:r w:rsidR="00716F48" w:rsidRPr="009110F7">
              <w:t>a </w:t>
            </w:r>
            <w:r w:rsidRPr="009110F7">
              <w:t xml:space="preserve">ostatních strojů </w:t>
            </w:r>
            <w:r w:rsidR="00716F48" w:rsidRPr="009110F7">
              <w:t>a </w:t>
            </w:r>
            <w:r w:rsidRPr="009110F7">
              <w:t xml:space="preserve">zařízení vzrostly </w:t>
            </w:r>
            <w:r w:rsidR="00716F48" w:rsidRPr="009110F7">
              <w:t>o </w:t>
            </w:r>
            <w:r w:rsidRPr="009110F7">
              <w:t>9,</w:t>
            </w:r>
            <w:r w:rsidR="00167CB9" w:rsidRPr="009110F7">
              <w:t>2 </w:t>
            </w:r>
            <w:r w:rsidRPr="009110F7">
              <w:t xml:space="preserve">% </w:t>
            </w:r>
            <w:r w:rsidR="00716F48" w:rsidRPr="009110F7">
              <w:t>a </w:t>
            </w:r>
            <w:r w:rsidRPr="009110F7">
              <w:t>5,2% nárůstu dosáhly investice do produktů duševního vlastnictví.</w:t>
            </w:r>
          </w:p>
        </w:tc>
      </w:tr>
      <w:tr w:rsidR="00C62828" w:rsidRPr="009110F7" w:rsidTr="008D127E">
        <w:trPr>
          <w:trHeight w:val="145"/>
        </w:trPr>
        <w:tc>
          <w:tcPr>
            <w:tcW w:w="1888" w:type="dxa"/>
            <w:shd w:val="clear" w:color="auto" w:fill="auto"/>
            <w:tcMar>
              <w:left w:w="0" w:type="dxa"/>
            </w:tcMar>
          </w:tcPr>
          <w:p w:rsidR="00C62828" w:rsidRPr="009110F7" w:rsidRDefault="00C62828" w:rsidP="00965797">
            <w:pPr>
              <w:pStyle w:val="Marginlie"/>
            </w:pPr>
            <w:r w:rsidRPr="009110F7">
              <w:t>Bilance zahraničního obchodu poprvé od roku 2013 tlumila růst HDP.</w:t>
            </w:r>
          </w:p>
        </w:tc>
        <w:tc>
          <w:tcPr>
            <w:tcW w:w="250" w:type="dxa"/>
            <w:shd w:val="clear" w:color="auto" w:fill="auto"/>
            <w:tcMar>
              <w:left w:w="0" w:type="dxa"/>
            </w:tcMar>
          </w:tcPr>
          <w:p w:rsidR="00C62828" w:rsidRPr="009110F7" w:rsidRDefault="00C62828" w:rsidP="00965797">
            <w:pPr>
              <w:pStyle w:val="Textpoznpodarou"/>
              <w:jc w:val="both"/>
              <w:rPr>
                <w:spacing w:val="-4"/>
              </w:rPr>
            </w:pPr>
          </w:p>
        </w:tc>
        <w:tc>
          <w:tcPr>
            <w:tcW w:w="7501" w:type="dxa"/>
            <w:shd w:val="clear" w:color="auto" w:fill="auto"/>
            <w:tcMar>
              <w:left w:w="0" w:type="dxa"/>
            </w:tcMar>
          </w:tcPr>
          <w:p w:rsidR="00C62828" w:rsidRPr="009110F7" w:rsidRDefault="00C62828" w:rsidP="00A44B0D">
            <w:r w:rsidRPr="009110F7">
              <w:t>Celková bilance zahraničního obchodu v </w:t>
            </w:r>
            <w:r w:rsidR="00716F48" w:rsidRPr="009110F7">
              <w:t>1. </w:t>
            </w:r>
            <w:r w:rsidRPr="009110F7">
              <w:t>čtvrtletí 2018 dosáhla 82,</w:t>
            </w:r>
            <w:r w:rsidR="00167CB9" w:rsidRPr="009110F7">
              <w:t>2 </w:t>
            </w:r>
            <w:r w:rsidRPr="009110F7">
              <w:t>mld. korun</w:t>
            </w:r>
            <w:r w:rsidRPr="009110F7">
              <w:rPr>
                <w:rStyle w:val="Znakapoznpodarou"/>
              </w:rPr>
              <w:footnoteReference w:id="8"/>
            </w:r>
            <w:r w:rsidRPr="009110F7">
              <w:t xml:space="preserve"> a</w:t>
            </w:r>
            <w:r w:rsidR="00A44B0D" w:rsidRPr="009110F7">
              <w:t> </w:t>
            </w:r>
            <w:r w:rsidRPr="009110F7">
              <w:t xml:space="preserve">meziročně se snížila </w:t>
            </w:r>
            <w:r w:rsidR="00716F48" w:rsidRPr="009110F7">
              <w:t>o </w:t>
            </w:r>
            <w:r w:rsidRPr="009110F7">
              <w:t>11,</w:t>
            </w:r>
            <w:r w:rsidR="00167CB9" w:rsidRPr="009110F7">
              <w:t>2 </w:t>
            </w:r>
            <w:r w:rsidRPr="009110F7">
              <w:t xml:space="preserve">mld. korun. Poprvé od </w:t>
            </w:r>
            <w:r w:rsidR="00716F48" w:rsidRPr="009110F7">
              <w:t>3. </w:t>
            </w:r>
            <w:r w:rsidRPr="009110F7">
              <w:t xml:space="preserve">čtvrtletí 2013 tak zahraniční obchod nepřispíval kladně k růstu HDP (příspěvek činil </w:t>
            </w:r>
            <w:r w:rsidR="00CA37FF">
              <w:t>-</w:t>
            </w:r>
            <w:r w:rsidRPr="009110F7">
              <w:t>0,</w:t>
            </w:r>
            <w:r w:rsidR="00167CB9" w:rsidRPr="009110F7">
              <w:t>6 p. </w:t>
            </w:r>
            <w:proofErr w:type="spellStart"/>
            <w:r w:rsidR="00167CB9" w:rsidRPr="009110F7">
              <w:t>b</w:t>
            </w:r>
            <w:proofErr w:type="spellEnd"/>
            <w:r w:rsidR="00167CB9" w:rsidRPr="009110F7">
              <w:t>.</w:t>
            </w:r>
            <w:r w:rsidRPr="009110F7">
              <w:t xml:space="preserve">). Pokles lze přičíst </w:t>
            </w:r>
            <w:r w:rsidRPr="009110F7">
              <w:lastRenderedPageBreak/>
              <w:t>výlučně obchodu se zbožím, jehož přebytek činil 52,</w:t>
            </w:r>
            <w:r w:rsidR="00167CB9" w:rsidRPr="009110F7">
              <w:t>4 </w:t>
            </w:r>
            <w:r w:rsidRPr="009110F7">
              <w:t xml:space="preserve">mld. korun </w:t>
            </w:r>
            <w:r w:rsidR="00716F48" w:rsidRPr="009110F7">
              <w:t>a </w:t>
            </w:r>
            <w:r w:rsidRPr="009110F7">
              <w:t xml:space="preserve">meziročně se snížil </w:t>
            </w:r>
            <w:r w:rsidR="00716F48" w:rsidRPr="009110F7">
              <w:t>o </w:t>
            </w:r>
            <w:r w:rsidRPr="009110F7">
              <w:t>14,</w:t>
            </w:r>
            <w:r w:rsidR="00167CB9" w:rsidRPr="009110F7">
              <w:t>0 </w:t>
            </w:r>
            <w:r w:rsidRPr="009110F7">
              <w:t xml:space="preserve">mld. korun. Naopak službám se podařilo přebytek zvýšit </w:t>
            </w:r>
            <w:r w:rsidR="00716F48" w:rsidRPr="009110F7">
              <w:t>o </w:t>
            </w:r>
            <w:r w:rsidRPr="009110F7">
              <w:t>2,</w:t>
            </w:r>
            <w:r w:rsidR="00167CB9" w:rsidRPr="009110F7">
              <w:t>8 </w:t>
            </w:r>
            <w:r w:rsidRPr="009110F7">
              <w:t>mld. na 29,</w:t>
            </w:r>
            <w:r w:rsidR="00167CB9" w:rsidRPr="009110F7">
              <w:t>8 </w:t>
            </w:r>
            <w:r w:rsidRPr="009110F7">
              <w:t xml:space="preserve">mld. korun. Cenová hladina klesala </w:t>
            </w:r>
            <w:r w:rsidR="00716F48" w:rsidRPr="009110F7">
              <w:t>u </w:t>
            </w:r>
            <w:r w:rsidRPr="009110F7">
              <w:t xml:space="preserve">vývozu </w:t>
            </w:r>
            <w:r w:rsidR="00716F48" w:rsidRPr="009110F7">
              <w:t>i </w:t>
            </w:r>
            <w:r w:rsidRPr="009110F7">
              <w:t>dovozu, silnější pokles cen dovozu však způsobil, že směnné relace v </w:t>
            </w:r>
            <w:r w:rsidR="00716F48" w:rsidRPr="009110F7">
              <w:t>1. </w:t>
            </w:r>
            <w:r w:rsidRPr="009110F7">
              <w:t xml:space="preserve">čtvrtletí byly kladné </w:t>
            </w:r>
            <w:r w:rsidR="00716F48" w:rsidRPr="009110F7">
              <w:t>a </w:t>
            </w:r>
            <w:r w:rsidRPr="009110F7">
              <w:t>dosáhly 101,</w:t>
            </w:r>
            <w:r w:rsidR="00167CB9" w:rsidRPr="009110F7">
              <w:t>1 </w:t>
            </w:r>
            <w:r w:rsidRPr="009110F7">
              <w:t>%. Výše reálného hrubého domácího důchodu ukázala, že zisk ze směnných relací v 1.</w:t>
            </w:r>
            <w:r w:rsidR="00A44B0D" w:rsidRPr="009110F7">
              <w:t> </w:t>
            </w:r>
            <w:r w:rsidRPr="009110F7">
              <w:t>čtvrtletí dosáhl 5,</w:t>
            </w:r>
            <w:r w:rsidR="00167CB9" w:rsidRPr="009110F7">
              <w:t>7 </w:t>
            </w:r>
            <w:r w:rsidRPr="009110F7">
              <w:t>mld. korun.</w:t>
            </w:r>
          </w:p>
        </w:tc>
      </w:tr>
      <w:tr w:rsidR="00C62828" w:rsidRPr="009110F7" w:rsidTr="008D127E">
        <w:trPr>
          <w:trHeight w:val="145"/>
        </w:trPr>
        <w:tc>
          <w:tcPr>
            <w:tcW w:w="1888" w:type="dxa"/>
            <w:shd w:val="clear" w:color="auto" w:fill="auto"/>
            <w:tcMar>
              <w:left w:w="0" w:type="dxa"/>
            </w:tcMar>
          </w:tcPr>
          <w:p w:rsidR="00C62828" w:rsidRPr="009110F7" w:rsidRDefault="00C62828" w:rsidP="00965797">
            <w:pPr>
              <w:pStyle w:val="Marginlie"/>
            </w:pPr>
            <w:r w:rsidRPr="009110F7">
              <w:lastRenderedPageBreak/>
              <w:t>Vliv zpracovatelského průmyslu na ekonomický růst je stále vysoký, tentokrát však nejvýrazněji působila odvětví služeb.</w:t>
            </w:r>
          </w:p>
        </w:tc>
        <w:tc>
          <w:tcPr>
            <w:tcW w:w="250" w:type="dxa"/>
            <w:shd w:val="clear" w:color="auto" w:fill="auto"/>
            <w:tcMar>
              <w:left w:w="0" w:type="dxa"/>
            </w:tcMar>
          </w:tcPr>
          <w:p w:rsidR="00C62828" w:rsidRPr="009110F7" w:rsidRDefault="00C62828" w:rsidP="00965797">
            <w:pPr>
              <w:pStyle w:val="Textpoznpodarou"/>
              <w:jc w:val="both"/>
              <w:rPr>
                <w:spacing w:val="-4"/>
              </w:rPr>
            </w:pPr>
          </w:p>
        </w:tc>
        <w:tc>
          <w:tcPr>
            <w:tcW w:w="7501" w:type="dxa"/>
            <w:shd w:val="clear" w:color="auto" w:fill="auto"/>
            <w:tcMar>
              <w:left w:w="0" w:type="dxa"/>
            </w:tcMar>
          </w:tcPr>
          <w:p w:rsidR="00C62828" w:rsidRPr="009110F7" w:rsidRDefault="00C62828" w:rsidP="008A0ADD">
            <w:r w:rsidRPr="009110F7">
              <w:t>Meziroční růst hrubé přidané hodnoty v </w:t>
            </w:r>
            <w:r w:rsidR="00716F48" w:rsidRPr="009110F7">
              <w:t>1. </w:t>
            </w:r>
            <w:r w:rsidRPr="009110F7">
              <w:t>čtvrtletí dosáhl 4,</w:t>
            </w:r>
            <w:r w:rsidR="00167CB9" w:rsidRPr="009110F7">
              <w:t>5 </w:t>
            </w:r>
            <w:r w:rsidRPr="009110F7">
              <w:t>%. Zpracovatelský průmysl, který dominuje struktuře české ekonomiky, k tomu přispěl 1,</w:t>
            </w:r>
            <w:r w:rsidR="00167CB9" w:rsidRPr="009110F7">
              <w:t>6 p. </w:t>
            </w:r>
            <w:proofErr w:type="spellStart"/>
            <w:r w:rsidR="00167CB9" w:rsidRPr="009110F7">
              <w:t>b</w:t>
            </w:r>
            <w:proofErr w:type="spellEnd"/>
            <w:r w:rsidR="00167CB9" w:rsidRPr="009110F7">
              <w:t>.</w:t>
            </w:r>
            <w:r w:rsidRPr="009110F7">
              <w:t xml:space="preserve">, když jeho HPH vzrostla </w:t>
            </w:r>
            <w:r w:rsidR="00716F48" w:rsidRPr="009110F7">
              <w:t>o </w:t>
            </w:r>
            <w:r w:rsidRPr="009110F7">
              <w:t>6,</w:t>
            </w:r>
            <w:r w:rsidR="00167CB9" w:rsidRPr="009110F7">
              <w:t>1 </w:t>
            </w:r>
            <w:r w:rsidRPr="009110F7">
              <w:t>%. To je ve srovnání s minulým rokem mírnější přírůstek. Ostatní průmyslová odvětví růst spíše tlumila (</w:t>
            </w:r>
            <w:r w:rsidR="00CA37FF">
              <w:t>-</w:t>
            </w:r>
            <w:r w:rsidRPr="009110F7">
              <w:t>0,</w:t>
            </w:r>
            <w:r w:rsidR="00167CB9" w:rsidRPr="009110F7">
              <w:t>1 p. </w:t>
            </w:r>
            <w:proofErr w:type="spellStart"/>
            <w:r w:rsidR="00167CB9" w:rsidRPr="009110F7">
              <w:t>b</w:t>
            </w:r>
            <w:proofErr w:type="spellEnd"/>
            <w:r w:rsidR="00167CB9" w:rsidRPr="009110F7">
              <w:t>.</w:t>
            </w:r>
            <w:r w:rsidRPr="009110F7">
              <w:t>). Naopak stavebnictví se v </w:t>
            </w:r>
            <w:r w:rsidR="00716F48" w:rsidRPr="009110F7">
              <w:t>1. </w:t>
            </w:r>
            <w:r w:rsidRPr="009110F7">
              <w:t xml:space="preserve">čtvrtletí dařilo. Jeho HPH vzrostla </w:t>
            </w:r>
            <w:r w:rsidR="00716F48" w:rsidRPr="009110F7">
              <w:t>o </w:t>
            </w:r>
            <w:r w:rsidRPr="009110F7">
              <w:t>7,</w:t>
            </w:r>
            <w:r w:rsidR="00167CB9" w:rsidRPr="009110F7">
              <w:t>6 </w:t>
            </w:r>
            <w:r w:rsidRPr="009110F7">
              <w:t xml:space="preserve">% </w:t>
            </w:r>
            <w:r w:rsidR="00716F48" w:rsidRPr="009110F7">
              <w:t>a</w:t>
            </w:r>
            <w:r w:rsidR="007E1788" w:rsidRPr="009110F7">
              <w:t xml:space="preserve"> </w:t>
            </w:r>
            <w:r w:rsidRPr="009110F7">
              <w:t>k celkovému růst</w:t>
            </w:r>
            <w:r w:rsidR="00446D44" w:rsidRPr="009110F7">
              <w:t>u</w:t>
            </w:r>
            <w:r w:rsidRPr="009110F7">
              <w:t xml:space="preserve"> přispělo 0,</w:t>
            </w:r>
            <w:r w:rsidR="00167CB9" w:rsidRPr="009110F7">
              <w:t>4 p. </w:t>
            </w:r>
            <w:proofErr w:type="spellStart"/>
            <w:r w:rsidR="00167CB9" w:rsidRPr="009110F7">
              <w:t>b</w:t>
            </w:r>
            <w:proofErr w:type="spellEnd"/>
            <w:r w:rsidR="00167CB9" w:rsidRPr="009110F7">
              <w:t>.</w:t>
            </w:r>
            <w:r w:rsidRPr="009110F7">
              <w:t xml:space="preserve"> Oživení bylo možné díky příznivým povětrnostním podmínkám na počátku roku a zvýšené aktivitě v rámci infrastrukturních projektů </w:t>
            </w:r>
            <w:r w:rsidR="00716F48" w:rsidRPr="009110F7">
              <w:t>i </w:t>
            </w:r>
            <w:r w:rsidRPr="009110F7">
              <w:t>pozemního stavitelství. Zvýšená domácí poptávka byla rozhodujícím impul</w:t>
            </w:r>
            <w:r w:rsidR="00BB1AF4">
              <w:t>z</w:t>
            </w:r>
            <w:r w:rsidRPr="009110F7">
              <w:t>em pro odvětví služeb, která celkem k růstu HPH přispěla 2,</w:t>
            </w:r>
            <w:r w:rsidR="00167CB9" w:rsidRPr="009110F7">
              <w:t>5 p. </w:t>
            </w:r>
            <w:proofErr w:type="spellStart"/>
            <w:r w:rsidR="00167CB9" w:rsidRPr="009110F7">
              <w:t>b</w:t>
            </w:r>
            <w:proofErr w:type="spellEnd"/>
            <w:r w:rsidR="00167CB9" w:rsidRPr="009110F7">
              <w:t>.</w:t>
            </w:r>
            <w:r w:rsidRPr="009110F7">
              <w:t xml:space="preserve"> Obchod, doprava, ubytování a pohostinství přispěly 0,</w:t>
            </w:r>
            <w:r w:rsidR="00167CB9" w:rsidRPr="009110F7">
              <w:t>9 p. </w:t>
            </w:r>
            <w:proofErr w:type="spellStart"/>
            <w:r w:rsidR="00167CB9" w:rsidRPr="009110F7">
              <w:t>b</w:t>
            </w:r>
            <w:proofErr w:type="spellEnd"/>
            <w:r w:rsidR="00167CB9" w:rsidRPr="009110F7">
              <w:t>.</w:t>
            </w:r>
            <w:r w:rsidRPr="009110F7">
              <w:t xml:space="preserve"> (meziroční přírůstek 5,</w:t>
            </w:r>
            <w:r w:rsidR="00167CB9" w:rsidRPr="009110F7">
              <w:t>0 </w:t>
            </w:r>
            <w:r w:rsidRPr="009110F7">
              <w:t>%). Peněžnictví a pojišťovnictví přispělo k růstu HPH 0,</w:t>
            </w:r>
            <w:r w:rsidR="00167CB9" w:rsidRPr="009110F7">
              <w:t>4 p. </w:t>
            </w:r>
            <w:proofErr w:type="spellStart"/>
            <w:r w:rsidR="00167CB9" w:rsidRPr="009110F7">
              <w:t>b</w:t>
            </w:r>
            <w:proofErr w:type="spellEnd"/>
            <w:r w:rsidR="00167CB9" w:rsidRPr="009110F7">
              <w:t>.</w:t>
            </w:r>
            <w:r w:rsidRPr="009110F7">
              <w:t xml:space="preserve"> (</w:t>
            </w:r>
            <w:r w:rsidR="00716F48" w:rsidRPr="009110F7">
              <w:t>a </w:t>
            </w:r>
            <w:r w:rsidRPr="009110F7">
              <w:t xml:space="preserve">meziročně vzrostlo </w:t>
            </w:r>
            <w:r w:rsidR="00716F48" w:rsidRPr="009110F7">
              <w:t>o </w:t>
            </w:r>
            <w:r w:rsidRPr="009110F7">
              <w:t>9,</w:t>
            </w:r>
            <w:r w:rsidR="00167CB9" w:rsidRPr="009110F7">
              <w:t>7 </w:t>
            </w:r>
            <w:r w:rsidRPr="009110F7">
              <w:t>%). Shodně 0,</w:t>
            </w:r>
            <w:r w:rsidR="00167CB9" w:rsidRPr="009110F7">
              <w:t>3 p. </w:t>
            </w:r>
            <w:proofErr w:type="spellStart"/>
            <w:r w:rsidR="00167CB9" w:rsidRPr="009110F7">
              <w:t>b</w:t>
            </w:r>
            <w:proofErr w:type="spellEnd"/>
            <w:r w:rsidR="00167CB9" w:rsidRPr="009110F7">
              <w:t>.</w:t>
            </w:r>
            <w:r w:rsidR="005570D6">
              <w:t xml:space="preserve"> </w:t>
            </w:r>
            <w:proofErr w:type="gramStart"/>
            <w:r w:rsidR="005570D6">
              <w:t>přispěly</w:t>
            </w:r>
            <w:proofErr w:type="gramEnd"/>
            <w:r w:rsidR="005570D6">
              <w:t xml:space="preserve"> </w:t>
            </w:r>
            <w:r w:rsidRPr="009110F7">
              <w:t xml:space="preserve">k růstu informační </w:t>
            </w:r>
            <w:r w:rsidR="00716F48" w:rsidRPr="009110F7">
              <w:t>a </w:t>
            </w:r>
            <w:r w:rsidRPr="009110F7">
              <w:t>komunikační činnosti (růst HPH o 6,6 %), činnosti v oblasti nemovitostí (3,</w:t>
            </w:r>
            <w:r w:rsidR="00167CB9" w:rsidRPr="009110F7">
              <w:t>6 </w:t>
            </w:r>
            <w:r w:rsidRPr="009110F7">
              <w:t>%), profesní, vědecké, technické a administrativní činnosti (4,</w:t>
            </w:r>
            <w:r w:rsidR="00167CB9" w:rsidRPr="009110F7">
              <w:t>8 </w:t>
            </w:r>
            <w:r w:rsidRPr="009110F7">
              <w:t xml:space="preserve">%) </w:t>
            </w:r>
            <w:r w:rsidR="00716F48" w:rsidRPr="009110F7">
              <w:t>a </w:t>
            </w:r>
            <w:r w:rsidRPr="009110F7">
              <w:t>služby s dominancí státu (1,</w:t>
            </w:r>
            <w:r w:rsidR="00167CB9" w:rsidRPr="009110F7">
              <w:t>9 </w:t>
            </w:r>
            <w:r w:rsidRPr="009110F7">
              <w:t>%).</w:t>
            </w:r>
          </w:p>
        </w:tc>
      </w:tr>
      <w:tr w:rsidR="00C62828" w:rsidRPr="009110F7" w:rsidTr="008D127E">
        <w:trPr>
          <w:trHeight w:val="170"/>
        </w:trPr>
        <w:tc>
          <w:tcPr>
            <w:tcW w:w="1888" w:type="dxa"/>
            <w:vMerge w:val="restart"/>
            <w:shd w:val="clear" w:color="auto" w:fill="auto"/>
            <w:tcMar>
              <w:left w:w="0" w:type="dxa"/>
            </w:tcMar>
          </w:tcPr>
          <w:p w:rsidR="00C62828" w:rsidRPr="009110F7" w:rsidRDefault="00C62828" w:rsidP="00965797">
            <w:pPr>
              <w:pStyle w:val="Marginlie"/>
            </w:pPr>
          </w:p>
        </w:tc>
        <w:tc>
          <w:tcPr>
            <w:tcW w:w="250" w:type="dxa"/>
            <w:vMerge w:val="restart"/>
            <w:shd w:val="clear" w:color="auto" w:fill="auto"/>
            <w:tcMar>
              <w:left w:w="0" w:type="dxa"/>
            </w:tcMar>
          </w:tcPr>
          <w:p w:rsidR="00C62828" w:rsidRPr="009110F7" w:rsidRDefault="00C62828" w:rsidP="00965797">
            <w:pPr>
              <w:pStyle w:val="Textpoznpodarou"/>
              <w:jc w:val="both"/>
              <w:rPr>
                <w:spacing w:val="-4"/>
              </w:rPr>
            </w:pPr>
          </w:p>
        </w:tc>
        <w:tc>
          <w:tcPr>
            <w:tcW w:w="7501" w:type="dxa"/>
            <w:shd w:val="clear" w:color="auto" w:fill="auto"/>
            <w:tcMar>
              <w:left w:w="0" w:type="dxa"/>
            </w:tcMar>
          </w:tcPr>
          <w:p w:rsidR="00C62828" w:rsidRPr="009110F7" w:rsidRDefault="00C62828" w:rsidP="00965797">
            <w:pPr>
              <w:spacing w:after="0"/>
              <w:rPr>
                <w:szCs w:val="20"/>
              </w:rPr>
            </w:pPr>
            <w:r w:rsidRPr="009110F7">
              <w:rPr>
                <w:b/>
                <w:szCs w:val="20"/>
              </w:rPr>
              <w:t>Graf</w:t>
            </w:r>
            <w:r w:rsidR="007E1788">
              <w:rPr>
                <w:b/>
                <w:szCs w:val="20"/>
              </w:rPr>
              <w:t> </w:t>
            </w:r>
            <w:proofErr w:type="gramStart"/>
            <w:r w:rsidR="00167CB9" w:rsidRPr="009110F7">
              <w:rPr>
                <w:b/>
                <w:szCs w:val="20"/>
              </w:rPr>
              <w:t>č. </w:t>
            </w:r>
            <w:r w:rsidR="00716F48" w:rsidRPr="009110F7">
              <w:rPr>
                <w:b/>
                <w:szCs w:val="20"/>
              </w:rPr>
              <w:t>4</w:t>
            </w:r>
            <w:r w:rsidR="007E1788">
              <w:rPr>
                <w:b/>
                <w:szCs w:val="20"/>
              </w:rPr>
              <w:t xml:space="preserve">  </w:t>
            </w:r>
            <w:r w:rsidRPr="009110F7">
              <w:rPr>
                <w:rFonts w:cs="Arial"/>
                <w:b/>
                <w:szCs w:val="20"/>
                <w:lang w:eastAsia="en-US"/>
              </w:rPr>
              <w:t>Příspěvky</w:t>
            </w:r>
            <w:proofErr w:type="gramEnd"/>
            <w:r w:rsidRPr="009110F7">
              <w:rPr>
                <w:rFonts w:cs="Arial"/>
                <w:b/>
                <w:szCs w:val="20"/>
                <w:lang w:eastAsia="en-US"/>
              </w:rPr>
              <w:t xml:space="preserve"> odvětví </w:t>
            </w:r>
            <w:r w:rsidR="00716F48" w:rsidRPr="009110F7">
              <w:rPr>
                <w:rFonts w:cs="Arial"/>
                <w:b/>
                <w:szCs w:val="20"/>
                <w:lang w:eastAsia="en-US"/>
              </w:rPr>
              <w:t>k </w:t>
            </w:r>
            <w:r w:rsidRPr="009110F7">
              <w:rPr>
                <w:rFonts w:cs="Arial"/>
                <w:b/>
                <w:szCs w:val="20"/>
                <w:lang w:eastAsia="en-US"/>
              </w:rPr>
              <w:t>reálné změně HPH (objemové indexy, meziroční příspěvky v </w:t>
            </w:r>
            <w:r w:rsidR="00167CB9" w:rsidRPr="009110F7">
              <w:rPr>
                <w:rFonts w:cs="Arial"/>
                <w:b/>
                <w:szCs w:val="20"/>
                <w:lang w:eastAsia="en-US"/>
              </w:rPr>
              <w:t>p. </w:t>
            </w:r>
            <w:proofErr w:type="spellStart"/>
            <w:r w:rsidR="00167CB9" w:rsidRPr="009110F7">
              <w:rPr>
                <w:rFonts w:cs="Arial"/>
                <w:b/>
                <w:szCs w:val="20"/>
                <w:lang w:eastAsia="en-US"/>
              </w:rPr>
              <w:t>b</w:t>
            </w:r>
            <w:proofErr w:type="spellEnd"/>
            <w:r w:rsidR="00167CB9" w:rsidRPr="009110F7">
              <w:rPr>
                <w:rFonts w:cs="Arial"/>
                <w:b/>
                <w:szCs w:val="20"/>
                <w:lang w:eastAsia="en-US"/>
              </w:rPr>
              <w:t>.</w:t>
            </w:r>
            <w:r w:rsidRPr="009110F7">
              <w:rPr>
                <w:rFonts w:cs="Arial"/>
                <w:b/>
                <w:szCs w:val="20"/>
                <w:lang w:eastAsia="en-US"/>
              </w:rPr>
              <w:t>, HPH v</w:t>
            </w:r>
            <w:r w:rsidR="00167CB9" w:rsidRPr="009110F7">
              <w:rPr>
                <w:rFonts w:cs="Arial"/>
                <w:b/>
                <w:szCs w:val="20"/>
                <w:lang w:eastAsia="en-US"/>
              </w:rPr>
              <w:t> %</w:t>
            </w:r>
            <w:r w:rsidRPr="009110F7">
              <w:rPr>
                <w:rFonts w:cs="Arial"/>
                <w:b/>
                <w:szCs w:val="20"/>
                <w:lang w:eastAsia="en-US"/>
              </w:rPr>
              <w:t>)</w:t>
            </w:r>
          </w:p>
        </w:tc>
      </w:tr>
      <w:tr w:rsidR="00C62828" w:rsidRPr="009110F7" w:rsidTr="008D127E">
        <w:trPr>
          <w:trHeight w:val="170"/>
        </w:trPr>
        <w:tc>
          <w:tcPr>
            <w:tcW w:w="1888" w:type="dxa"/>
            <w:vMerge/>
            <w:shd w:val="clear" w:color="auto" w:fill="auto"/>
            <w:tcMar>
              <w:left w:w="0" w:type="dxa"/>
            </w:tcMar>
          </w:tcPr>
          <w:p w:rsidR="00C62828" w:rsidRPr="009110F7" w:rsidRDefault="00C62828" w:rsidP="00965797">
            <w:pPr>
              <w:pStyle w:val="Marginlie"/>
            </w:pPr>
          </w:p>
        </w:tc>
        <w:tc>
          <w:tcPr>
            <w:tcW w:w="250" w:type="dxa"/>
            <w:vMerge/>
            <w:shd w:val="clear" w:color="auto" w:fill="auto"/>
            <w:tcMar>
              <w:left w:w="0" w:type="dxa"/>
            </w:tcMar>
          </w:tcPr>
          <w:p w:rsidR="00C62828" w:rsidRPr="009110F7" w:rsidRDefault="00C62828" w:rsidP="00965797">
            <w:pPr>
              <w:pStyle w:val="Textpoznpodarou"/>
              <w:jc w:val="both"/>
              <w:rPr>
                <w:spacing w:val="-4"/>
              </w:rPr>
            </w:pPr>
          </w:p>
        </w:tc>
        <w:tc>
          <w:tcPr>
            <w:tcW w:w="7501" w:type="dxa"/>
            <w:shd w:val="clear" w:color="auto" w:fill="auto"/>
            <w:tcMar>
              <w:left w:w="0" w:type="dxa"/>
            </w:tcMar>
          </w:tcPr>
          <w:p w:rsidR="00C62828" w:rsidRPr="009110F7" w:rsidRDefault="00C62828" w:rsidP="00965797">
            <w:pPr>
              <w:spacing w:after="0"/>
            </w:pPr>
            <w:r w:rsidRPr="009110F7">
              <w:rPr>
                <w:noProof/>
              </w:rPr>
              <w:drawing>
                <wp:inline distT="0" distB="0" distL="0" distR="0">
                  <wp:extent cx="4737600" cy="3553200"/>
                  <wp:effectExtent l="0" t="0" r="0" b="0"/>
                  <wp:docPr id="12"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C62828" w:rsidRPr="009110F7" w:rsidTr="008D127E">
        <w:trPr>
          <w:trHeight w:val="170"/>
        </w:trPr>
        <w:tc>
          <w:tcPr>
            <w:tcW w:w="1888" w:type="dxa"/>
            <w:vMerge/>
            <w:shd w:val="clear" w:color="auto" w:fill="auto"/>
            <w:tcMar>
              <w:left w:w="0" w:type="dxa"/>
            </w:tcMar>
          </w:tcPr>
          <w:p w:rsidR="00C62828" w:rsidRPr="009110F7" w:rsidRDefault="00C62828" w:rsidP="00965797">
            <w:pPr>
              <w:pStyle w:val="Marginlie"/>
            </w:pPr>
          </w:p>
        </w:tc>
        <w:tc>
          <w:tcPr>
            <w:tcW w:w="250" w:type="dxa"/>
            <w:vMerge/>
            <w:shd w:val="clear" w:color="auto" w:fill="auto"/>
            <w:tcMar>
              <w:left w:w="0" w:type="dxa"/>
            </w:tcMar>
          </w:tcPr>
          <w:p w:rsidR="00C62828" w:rsidRPr="009110F7" w:rsidRDefault="00C62828" w:rsidP="00965797">
            <w:pPr>
              <w:pStyle w:val="Textpoznpodarou"/>
              <w:jc w:val="both"/>
              <w:rPr>
                <w:spacing w:val="-4"/>
              </w:rPr>
            </w:pPr>
          </w:p>
        </w:tc>
        <w:tc>
          <w:tcPr>
            <w:tcW w:w="7501" w:type="dxa"/>
            <w:shd w:val="clear" w:color="auto" w:fill="auto"/>
            <w:tcMar>
              <w:left w:w="0" w:type="dxa"/>
            </w:tcMar>
          </w:tcPr>
          <w:p w:rsidR="00C62828" w:rsidRPr="009110F7" w:rsidRDefault="00C62828" w:rsidP="00965797">
            <w:pPr>
              <w:rPr>
                <w:sz w:val="14"/>
                <w:szCs w:val="14"/>
              </w:rPr>
            </w:pPr>
            <w:r w:rsidRPr="009110F7">
              <w:rPr>
                <w:sz w:val="14"/>
                <w:szCs w:val="14"/>
              </w:rPr>
              <w:t>Zdroj: ČSÚ</w:t>
            </w:r>
          </w:p>
        </w:tc>
      </w:tr>
    </w:tbl>
    <w:p w:rsidR="00C62828" w:rsidRPr="009110F7" w:rsidRDefault="00C62828" w:rsidP="00935BD4">
      <w:pPr>
        <w:pStyle w:val="Normalodrka"/>
        <w:numPr>
          <w:ilvl w:val="0"/>
          <w:numId w:val="0"/>
        </w:numPr>
        <w:ind w:left="357"/>
      </w:pPr>
    </w:p>
    <w:p w:rsidR="00935BD4" w:rsidRDefault="00935BD4" w:rsidP="00935BD4">
      <w:pPr>
        <w:pStyle w:val="Normalodrka"/>
        <w:numPr>
          <w:ilvl w:val="0"/>
          <w:numId w:val="0"/>
        </w:numPr>
        <w:ind w:left="357"/>
      </w:pPr>
    </w:p>
    <w:p w:rsidR="008A0ADD" w:rsidRPr="009110F7" w:rsidRDefault="008A0ADD" w:rsidP="00935BD4">
      <w:pPr>
        <w:pStyle w:val="Normalodrka"/>
        <w:numPr>
          <w:ilvl w:val="0"/>
          <w:numId w:val="0"/>
        </w:numPr>
        <w:ind w:left="357"/>
      </w:pPr>
    </w:p>
    <w:sectPr w:rsidR="008A0ADD" w:rsidRPr="009110F7" w:rsidSect="00601235">
      <w:headerReference w:type="even" r:id="rId13"/>
      <w:headerReference w:type="default" r:id="rId14"/>
      <w:footerReference w:type="even" r:id="rId15"/>
      <w:footerReference w:type="default" r:id="rId16"/>
      <w:pgSz w:w="11906" w:h="16838" w:code="9"/>
      <w:pgMar w:top="1134" w:right="1134" w:bottom="1418" w:left="1134" w:header="680" w:footer="680" w:gutter="0"/>
      <w:pgNumType w:start="5"/>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9A2AB5" w15:done="0"/>
  <w15:commentEx w15:paraId="6B652B08" w15:done="0"/>
  <w15:commentEx w15:paraId="3F7CEACF" w15:done="0"/>
  <w15:commentEx w15:paraId="63CE648C" w15:done="0"/>
  <w15:commentEx w15:paraId="23A24FDD" w15:done="0"/>
  <w15:commentEx w15:paraId="50CD0878" w15:done="0"/>
  <w15:commentEx w15:paraId="52F35228" w15:done="0"/>
  <w15:commentEx w15:paraId="7A77491F" w15:done="0"/>
  <w15:commentEx w15:paraId="4E0D4B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9A2AB5" w16cid:durableId="1ECFA4FD"/>
  <w16cid:commentId w16cid:paraId="6B652B08" w16cid:durableId="1ECFA85B"/>
  <w16cid:commentId w16cid:paraId="3F7CEACF" w16cid:durableId="1ED155AF"/>
  <w16cid:commentId w16cid:paraId="63CE648C" w16cid:durableId="1ED21B60"/>
  <w16cid:commentId w16cid:paraId="23A24FDD" w16cid:durableId="1ED22580"/>
  <w16cid:commentId w16cid:paraId="50CD0878" w16cid:durableId="1ED23FB5"/>
  <w16cid:commentId w16cid:paraId="52F35228" w16cid:durableId="1ED248CC"/>
  <w16cid:commentId w16cid:paraId="7A77491F" w16cid:durableId="1ED25A84"/>
  <w16cid:commentId w16cid:paraId="4E0D4B34" w16cid:durableId="1ED24E3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725" w:rsidRDefault="00764725" w:rsidP="00E71A58">
      <w:r>
        <w:separator/>
      </w:r>
    </w:p>
  </w:endnote>
  <w:endnote w:type="continuationSeparator" w:id="0">
    <w:p w:rsidR="00764725" w:rsidRDefault="00764725"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E52" w:rsidRPr="00932443" w:rsidRDefault="00583E52" w:rsidP="00A418BC">
    <w:pPr>
      <w:pStyle w:val="Zpat"/>
      <w:rPr>
        <w:szCs w:val="16"/>
      </w:rPr>
    </w:pPr>
    <w:r>
      <w:rPr>
        <w:szCs w:val="16"/>
        <w:lang w:eastAsia="cs-CZ"/>
      </w:rPr>
      <w:drawing>
        <wp:anchor distT="0" distB="0" distL="114300" distR="114300" simplePos="0" relativeHeight="251658240" behindDoc="0" locked="0" layoutInCell="1" allowOverlap="1">
          <wp:simplePos x="0" y="0"/>
          <wp:positionH relativeFrom="column">
            <wp:align>right</wp:align>
          </wp:positionH>
          <wp:positionV relativeFrom="paragraph">
            <wp:posOffset>-64770</wp:posOffset>
          </wp:positionV>
          <wp:extent cx="428625" cy="201295"/>
          <wp:effectExtent l="0" t="0" r="3175" b="1905"/>
          <wp:wrapNone/>
          <wp:docPr id="15"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00631EBA" w:rsidRPr="00932443">
      <w:rPr>
        <w:szCs w:val="16"/>
      </w:rPr>
      <w:fldChar w:fldCharType="begin"/>
    </w:r>
    <w:r w:rsidRPr="00932443">
      <w:rPr>
        <w:szCs w:val="16"/>
      </w:rPr>
      <w:instrText>PAGE   \* MERGEFORMAT</w:instrText>
    </w:r>
    <w:r w:rsidR="00631EBA" w:rsidRPr="00932443">
      <w:rPr>
        <w:szCs w:val="16"/>
      </w:rPr>
      <w:fldChar w:fldCharType="separate"/>
    </w:r>
    <w:r w:rsidR="00601235">
      <w:rPr>
        <w:szCs w:val="16"/>
      </w:rPr>
      <w:t>8</w:t>
    </w:r>
    <w:r w:rsidR="00631EBA" w:rsidRPr="00932443">
      <w:rPr>
        <w:szCs w:val="16"/>
      </w:rPr>
      <w:fldChar w:fldCharType="end"/>
    </w:r>
    <w:r w:rsidRPr="00932443">
      <w:rPr>
        <w:szCs w:val="16"/>
      </w:rPr>
      <w:tab/>
    </w:r>
    <w:r>
      <w:t>1. čtvrtletí 2018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E52" w:rsidRPr="00932443" w:rsidRDefault="00583E52" w:rsidP="00A418BC">
    <w:pPr>
      <w:pStyle w:val="Zpat"/>
      <w:rPr>
        <w:szCs w:val="16"/>
      </w:rPr>
    </w:pPr>
    <w:r>
      <w:rPr>
        <w:szCs w:val="16"/>
        <w:lang w:eastAsia="cs-CZ"/>
      </w:rPr>
      <w:drawing>
        <wp:anchor distT="0" distB="0" distL="114300" distR="114300" simplePos="0" relativeHeight="251657216" behindDoc="0" locked="0" layoutInCell="1" allowOverlap="1">
          <wp:simplePos x="0" y="0"/>
          <wp:positionH relativeFrom="column">
            <wp:align>left</wp:align>
          </wp:positionH>
          <wp:positionV relativeFrom="paragraph">
            <wp:posOffset>-122555</wp:posOffset>
          </wp:positionV>
          <wp:extent cx="510540" cy="272415"/>
          <wp:effectExtent l="0" t="0" r="0" b="6985"/>
          <wp:wrapNone/>
          <wp:docPr id="16" name="Picture 16"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anchor>
      </w:drawing>
    </w:r>
    <w:r w:rsidRPr="00932443">
      <w:rPr>
        <w:szCs w:val="16"/>
      </w:rPr>
      <w:tab/>
    </w:r>
    <w:r>
      <w:t>1. čtvrtletí 2018</w:t>
    </w:r>
    <w:r w:rsidRPr="00932443">
      <w:rPr>
        <w:szCs w:val="16"/>
      </w:rPr>
      <w:tab/>
    </w:r>
    <w:r w:rsidR="00631EBA" w:rsidRPr="00932443">
      <w:rPr>
        <w:rStyle w:val="ZpatChar"/>
        <w:szCs w:val="16"/>
      </w:rPr>
      <w:fldChar w:fldCharType="begin"/>
    </w:r>
    <w:r w:rsidRPr="00932443">
      <w:rPr>
        <w:rStyle w:val="ZpatChar"/>
        <w:szCs w:val="16"/>
      </w:rPr>
      <w:instrText>PAGE   \* MERGEFORMAT</w:instrText>
    </w:r>
    <w:r w:rsidR="00631EBA" w:rsidRPr="00932443">
      <w:rPr>
        <w:rStyle w:val="ZpatChar"/>
        <w:szCs w:val="16"/>
      </w:rPr>
      <w:fldChar w:fldCharType="separate"/>
    </w:r>
    <w:r w:rsidR="00601235">
      <w:rPr>
        <w:rStyle w:val="ZpatChar"/>
        <w:szCs w:val="16"/>
      </w:rPr>
      <w:t>7</w:t>
    </w:r>
    <w:r w:rsidR="00631EBA" w:rsidRPr="00932443">
      <w:rPr>
        <w:rStyle w:val="ZpatChar"/>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725" w:rsidRDefault="00764725" w:rsidP="00E71A58">
      <w:r>
        <w:separator/>
      </w:r>
    </w:p>
  </w:footnote>
  <w:footnote w:type="continuationSeparator" w:id="0">
    <w:p w:rsidR="00764725" w:rsidRDefault="00764725" w:rsidP="00E71A58">
      <w:r>
        <w:continuationSeparator/>
      </w:r>
    </w:p>
  </w:footnote>
  <w:footnote w:id="1">
    <w:p w:rsidR="00583E52" w:rsidRPr="00EF1EE3" w:rsidRDefault="00583E52" w:rsidP="00C62828">
      <w:pPr>
        <w:pStyle w:val="Textpoznpodarou"/>
        <w:rPr>
          <w:sz w:val="16"/>
          <w:szCs w:val="16"/>
        </w:rPr>
      </w:pPr>
      <w:r w:rsidRPr="00EF1EE3">
        <w:rPr>
          <w:rStyle w:val="Znakapoznpodarou"/>
          <w:sz w:val="16"/>
          <w:szCs w:val="16"/>
        </w:rPr>
        <w:footnoteRef/>
      </w:r>
      <w:r w:rsidRPr="00EF1EE3">
        <w:rPr>
          <w:sz w:val="16"/>
          <w:szCs w:val="16"/>
        </w:rPr>
        <w:t xml:space="preserve"> </w:t>
      </w:r>
      <w:r>
        <w:rPr>
          <w:sz w:val="16"/>
          <w:szCs w:val="16"/>
        </w:rPr>
        <w:t>Vývoj</w:t>
      </w:r>
      <w:r w:rsidRPr="00EF1EE3">
        <w:rPr>
          <w:sz w:val="16"/>
          <w:szCs w:val="16"/>
        </w:rPr>
        <w:t xml:space="preserve"> HDP, hrubé přidané hodnot</w:t>
      </w:r>
      <w:r>
        <w:rPr>
          <w:sz w:val="16"/>
          <w:szCs w:val="16"/>
        </w:rPr>
        <w:t>y</w:t>
      </w:r>
      <w:r w:rsidRPr="00EF1EE3">
        <w:rPr>
          <w:sz w:val="16"/>
          <w:szCs w:val="16"/>
        </w:rPr>
        <w:t xml:space="preserve"> a</w:t>
      </w:r>
      <w:r>
        <w:rPr>
          <w:sz w:val="16"/>
          <w:szCs w:val="16"/>
        </w:rPr>
        <w:t> </w:t>
      </w:r>
      <w:r w:rsidRPr="00EF1EE3">
        <w:rPr>
          <w:sz w:val="16"/>
          <w:szCs w:val="16"/>
        </w:rPr>
        <w:t>jejich slož</w:t>
      </w:r>
      <w:r>
        <w:rPr>
          <w:sz w:val="16"/>
          <w:szCs w:val="16"/>
        </w:rPr>
        <w:t>e</w:t>
      </w:r>
      <w:r w:rsidRPr="00EF1EE3">
        <w:rPr>
          <w:sz w:val="16"/>
          <w:szCs w:val="16"/>
        </w:rPr>
        <w:t xml:space="preserve">k </w:t>
      </w:r>
      <w:r>
        <w:rPr>
          <w:sz w:val="16"/>
          <w:szCs w:val="16"/>
        </w:rPr>
        <w:t xml:space="preserve">je </w:t>
      </w:r>
      <w:r w:rsidRPr="00EF1EE3">
        <w:rPr>
          <w:sz w:val="16"/>
          <w:szCs w:val="16"/>
        </w:rPr>
        <w:t>vyjádřen</w:t>
      </w:r>
      <w:r>
        <w:rPr>
          <w:sz w:val="16"/>
          <w:szCs w:val="16"/>
        </w:rPr>
        <w:t xml:space="preserve"> prostřednictvím objemových indexů (tj. očištěn o vliv cen)</w:t>
      </w:r>
      <w:r w:rsidRPr="00EF1EE3">
        <w:rPr>
          <w:sz w:val="16"/>
          <w:szCs w:val="16"/>
        </w:rPr>
        <w:t xml:space="preserve"> a</w:t>
      </w:r>
      <w:r>
        <w:rPr>
          <w:sz w:val="16"/>
          <w:szCs w:val="16"/>
        </w:rPr>
        <w:t> </w:t>
      </w:r>
      <w:r w:rsidRPr="00EF1EE3">
        <w:rPr>
          <w:sz w:val="16"/>
          <w:szCs w:val="16"/>
        </w:rPr>
        <w:t>v očištění o</w:t>
      </w:r>
      <w:r>
        <w:rPr>
          <w:sz w:val="16"/>
          <w:szCs w:val="16"/>
        </w:rPr>
        <w:t> </w:t>
      </w:r>
      <w:r w:rsidRPr="00EF1EE3">
        <w:rPr>
          <w:sz w:val="16"/>
          <w:szCs w:val="16"/>
        </w:rPr>
        <w:t>sezónní a kalendářn</w:t>
      </w:r>
      <w:r>
        <w:rPr>
          <w:sz w:val="16"/>
          <w:szCs w:val="16"/>
        </w:rPr>
        <w:t>í vlivy. Údaje byly zveřejněny 1. 6. </w:t>
      </w:r>
      <w:r w:rsidRPr="00EF1EE3">
        <w:rPr>
          <w:sz w:val="16"/>
          <w:szCs w:val="16"/>
        </w:rPr>
        <w:t>2018 a</w:t>
      </w:r>
      <w:r>
        <w:rPr>
          <w:sz w:val="16"/>
          <w:szCs w:val="16"/>
        </w:rPr>
        <w:t> </w:t>
      </w:r>
      <w:r w:rsidRPr="00EF1EE3">
        <w:rPr>
          <w:sz w:val="16"/>
          <w:szCs w:val="16"/>
        </w:rPr>
        <w:t>z</w:t>
      </w:r>
      <w:r>
        <w:rPr>
          <w:sz w:val="16"/>
          <w:szCs w:val="16"/>
        </w:rPr>
        <w:t xml:space="preserve">revidované údaje </w:t>
      </w:r>
      <w:r w:rsidRPr="00EF1EE3">
        <w:rPr>
          <w:sz w:val="16"/>
          <w:szCs w:val="16"/>
        </w:rPr>
        <w:t>bud</w:t>
      </w:r>
      <w:r>
        <w:rPr>
          <w:sz w:val="16"/>
          <w:szCs w:val="16"/>
        </w:rPr>
        <w:t>ou</w:t>
      </w:r>
      <w:r w:rsidRPr="00EF1EE3">
        <w:rPr>
          <w:sz w:val="16"/>
          <w:szCs w:val="16"/>
        </w:rPr>
        <w:t xml:space="preserve"> publikován</w:t>
      </w:r>
      <w:r>
        <w:rPr>
          <w:sz w:val="16"/>
          <w:szCs w:val="16"/>
        </w:rPr>
        <w:t>y</w:t>
      </w:r>
      <w:r w:rsidRPr="00EF1EE3">
        <w:rPr>
          <w:sz w:val="16"/>
          <w:szCs w:val="16"/>
        </w:rPr>
        <w:t xml:space="preserve"> </w:t>
      </w:r>
      <w:r>
        <w:rPr>
          <w:sz w:val="16"/>
          <w:szCs w:val="16"/>
        </w:rPr>
        <w:t>29. 6. </w:t>
      </w:r>
      <w:r w:rsidRPr="00EF1EE3">
        <w:rPr>
          <w:sz w:val="16"/>
          <w:szCs w:val="16"/>
        </w:rPr>
        <w:t>201</w:t>
      </w:r>
      <w:r>
        <w:rPr>
          <w:sz w:val="16"/>
          <w:szCs w:val="16"/>
        </w:rPr>
        <w:t>8</w:t>
      </w:r>
      <w:r w:rsidRPr="00EF1EE3">
        <w:rPr>
          <w:sz w:val="16"/>
          <w:szCs w:val="16"/>
        </w:rPr>
        <w:t>.</w:t>
      </w:r>
    </w:p>
  </w:footnote>
  <w:footnote w:id="2">
    <w:p w:rsidR="00583E52" w:rsidRPr="00BB319F" w:rsidRDefault="00583E52" w:rsidP="00C62828">
      <w:pPr>
        <w:pStyle w:val="Textpoznpodarou"/>
        <w:rPr>
          <w:sz w:val="16"/>
          <w:szCs w:val="16"/>
        </w:rPr>
      </w:pPr>
      <w:r w:rsidRPr="00AF6B7C">
        <w:rPr>
          <w:rStyle w:val="Znakapoznpodarou"/>
          <w:sz w:val="16"/>
          <w:szCs w:val="16"/>
        </w:rPr>
        <w:footnoteRef/>
      </w:r>
      <w:r w:rsidRPr="00AF6B7C">
        <w:rPr>
          <w:sz w:val="16"/>
          <w:szCs w:val="16"/>
        </w:rPr>
        <w:t xml:space="preserve"> </w:t>
      </w:r>
      <w:r w:rsidRPr="00BB319F">
        <w:rPr>
          <w:sz w:val="16"/>
          <w:szCs w:val="16"/>
        </w:rPr>
        <w:t>Nedostupná data za Irsko</w:t>
      </w:r>
      <w:r>
        <w:rPr>
          <w:sz w:val="16"/>
          <w:szCs w:val="16"/>
        </w:rPr>
        <w:t xml:space="preserve"> </w:t>
      </w:r>
      <w:r w:rsidRPr="00BB319F">
        <w:rPr>
          <w:sz w:val="16"/>
          <w:szCs w:val="16"/>
        </w:rPr>
        <w:t>a</w:t>
      </w:r>
      <w:r>
        <w:rPr>
          <w:sz w:val="16"/>
          <w:szCs w:val="16"/>
        </w:rPr>
        <w:t> </w:t>
      </w:r>
      <w:r w:rsidRPr="00BB319F">
        <w:rPr>
          <w:sz w:val="16"/>
          <w:szCs w:val="16"/>
        </w:rPr>
        <w:t>Lucembursko.</w:t>
      </w:r>
      <w:r>
        <w:rPr>
          <w:sz w:val="16"/>
          <w:szCs w:val="16"/>
        </w:rPr>
        <w:t xml:space="preserve"> Data za Slovensko nejsou očištěna o kalendářní vlivy.</w:t>
      </w:r>
    </w:p>
  </w:footnote>
  <w:footnote w:id="3">
    <w:p w:rsidR="00583E52" w:rsidRPr="009C6EA8" w:rsidRDefault="00583E52" w:rsidP="00C62828">
      <w:pPr>
        <w:pStyle w:val="Textpoznpodarou"/>
        <w:rPr>
          <w:sz w:val="16"/>
          <w:szCs w:val="16"/>
        </w:rPr>
      </w:pPr>
      <w:r w:rsidRPr="009C6EA8">
        <w:rPr>
          <w:rStyle w:val="Znakapoznpodarou"/>
          <w:sz w:val="16"/>
          <w:szCs w:val="16"/>
        </w:rPr>
        <w:footnoteRef/>
      </w:r>
      <w:r w:rsidRPr="009C6EA8">
        <w:rPr>
          <w:sz w:val="16"/>
          <w:szCs w:val="16"/>
        </w:rPr>
        <w:t xml:space="preserve"> Příspěvky ke změně HDP po vyloučení dovozu pro konečné užití.</w:t>
      </w:r>
    </w:p>
  </w:footnote>
  <w:footnote w:id="4">
    <w:p w:rsidR="00583E52" w:rsidRPr="007933CD" w:rsidRDefault="00583E52" w:rsidP="00C62828">
      <w:pPr>
        <w:pStyle w:val="Textpoznpodarou"/>
        <w:rPr>
          <w:sz w:val="16"/>
          <w:szCs w:val="16"/>
        </w:rPr>
      </w:pPr>
      <w:r w:rsidRPr="007933CD">
        <w:rPr>
          <w:rStyle w:val="Znakapoznpodarou"/>
          <w:sz w:val="16"/>
          <w:szCs w:val="16"/>
        </w:rPr>
        <w:footnoteRef/>
      </w:r>
      <w:r w:rsidRPr="007933CD">
        <w:rPr>
          <w:sz w:val="16"/>
          <w:szCs w:val="16"/>
        </w:rPr>
        <w:t xml:space="preserve"> Údaje o</w:t>
      </w:r>
      <w:r>
        <w:rPr>
          <w:sz w:val="16"/>
          <w:szCs w:val="16"/>
        </w:rPr>
        <w:t> </w:t>
      </w:r>
      <w:r w:rsidRPr="007933CD">
        <w:rPr>
          <w:sz w:val="16"/>
          <w:szCs w:val="16"/>
        </w:rPr>
        <w:t>spotřebě domácností podle trvanlivosti statků nejsou sezónně očištěny.</w:t>
      </w:r>
    </w:p>
  </w:footnote>
  <w:footnote w:id="5">
    <w:p w:rsidR="00583E52" w:rsidRPr="009C6EA8" w:rsidRDefault="00583E52" w:rsidP="00C62828">
      <w:pPr>
        <w:pStyle w:val="Textpoznpodarou"/>
        <w:rPr>
          <w:sz w:val="16"/>
          <w:szCs w:val="16"/>
        </w:rPr>
      </w:pPr>
      <w:r w:rsidRPr="009C6EA8">
        <w:rPr>
          <w:rStyle w:val="Znakapoznpodarou"/>
          <w:sz w:val="16"/>
          <w:szCs w:val="16"/>
        </w:rPr>
        <w:footnoteRef/>
      </w:r>
      <w:r w:rsidRPr="009C6EA8">
        <w:rPr>
          <w:sz w:val="16"/>
          <w:szCs w:val="16"/>
        </w:rPr>
        <w:t xml:space="preserve"> Do reálného vyjádření převedeno s využitím deflátoru výdajů na konečnou spotřebu domácností.</w:t>
      </w:r>
    </w:p>
  </w:footnote>
  <w:footnote w:id="6">
    <w:p w:rsidR="00583E52" w:rsidRDefault="00583E52" w:rsidP="00C62828">
      <w:pPr>
        <w:pStyle w:val="Textpoznpodarou"/>
      </w:pPr>
      <w:r w:rsidRPr="009C6EA8">
        <w:rPr>
          <w:rStyle w:val="Znakapoznpodarou"/>
          <w:sz w:val="16"/>
          <w:szCs w:val="16"/>
        </w:rPr>
        <w:footnoteRef/>
      </w:r>
      <w:r w:rsidRPr="009C6EA8">
        <w:rPr>
          <w:sz w:val="16"/>
          <w:szCs w:val="16"/>
        </w:rPr>
        <w:t xml:space="preserve"> V pojetí národních účtů, sezónně očištěno</w:t>
      </w:r>
      <w:r w:rsidRPr="00004BA8">
        <w:rPr>
          <w:sz w:val="16"/>
        </w:rPr>
        <w:t>.</w:t>
      </w:r>
    </w:p>
  </w:footnote>
  <w:footnote w:id="7">
    <w:p w:rsidR="00583E52" w:rsidRPr="0021552C" w:rsidRDefault="00583E52" w:rsidP="00C62828">
      <w:pPr>
        <w:pStyle w:val="Textpoznpodarou"/>
        <w:rPr>
          <w:sz w:val="16"/>
          <w:szCs w:val="16"/>
        </w:rPr>
      </w:pPr>
      <w:r w:rsidRPr="0021552C">
        <w:rPr>
          <w:rStyle w:val="Znakapoznpodarou"/>
          <w:sz w:val="16"/>
          <w:szCs w:val="16"/>
        </w:rPr>
        <w:footnoteRef/>
      </w:r>
      <w:r w:rsidRPr="0021552C">
        <w:rPr>
          <w:sz w:val="16"/>
          <w:szCs w:val="16"/>
        </w:rPr>
        <w:t xml:space="preserve"> </w:t>
      </w:r>
      <w:r>
        <w:rPr>
          <w:rFonts w:cs="Arial"/>
          <w:sz w:val="16"/>
          <w:szCs w:val="16"/>
        </w:rPr>
        <w:t>D</w:t>
      </w:r>
      <w:r w:rsidRPr="0021552C">
        <w:rPr>
          <w:rFonts w:cs="Arial"/>
          <w:sz w:val="16"/>
          <w:szCs w:val="16"/>
        </w:rPr>
        <w:t>ata o</w:t>
      </w:r>
      <w:r>
        <w:rPr>
          <w:rFonts w:cs="Arial"/>
          <w:sz w:val="16"/>
          <w:szCs w:val="16"/>
        </w:rPr>
        <w:t> </w:t>
      </w:r>
      <w:r w:rsidRPr="0021552C">
        <w:rPr>
          <w:rFonts w:cs="Arial"/>
          <w:sz w:val="16"/>
          <w:szCs w:val="16"/>
        </w:rPr>
        <w:t xml:space="preserve">věcném členění tvorby </w:t>
      </w:r>
      <w:r>
        <w:rPr>
          <w:rFonts w:cs="Arial"/>
          <w:sz w:val="16"/>
          <w:szCs w:val="16"/>
        </w:rPr>
        <w:t>hrubého fixního kapitálu</w:t>
      </w:r>
      <w:r w:rsidRPr="0021552C">
        <w:rPr>
          <w:rFonts w:cs="Arial"/>
          <w:sz w:val="16"/>
          <w:szCs w:val="16"/>
        </w:rPr>
        <w:t xml:space="preserve"> nejsou sezónně očištěna</w:t>
      </w:r>
      <w:r>
        <w:rPr>
          <w:rFonts w:cs="Arial"/>
          <w:sz w:val="16"/>
          <w:szCs w:val="16"/>
        </w:rPr>
        <w:t>.</w:t>
      </w:r>
    </w:p>
  </w:footnote>
  <w:footnote w:id="8">
    <w:p w:rsidR="00583E52" w:rsidRPr="00167B30" w:rsidRDefault="00583E52" w:rsidP="00C62828">
      <w:pPr>
        <w:pStyle w:val="Textpoznpodarou"/>
        <w:rPr>
          <w:sz w:val="16"/>
          <w:szCs w:val="16"/>
        </w:rPr>
      </w:pPr>
      <w:r w:rsidRPr="00167B30">
        <w:rPr>
          <w:rStyle w:val="Znakapoznpodarou"/>
          <w:sz w:val="16"/>
          <w:szCs w:val="16"/>
        </w:rPr>
        <w:footnoteRef/>
      </w:r>
      <w:r w:rsidRPr="00167B30">
        <w:rPr>
          <w:sz w:val="16"/>
          <w:szCs w:val="16"/>
        </w:rPr>
        <w:t xml:space="preserve"> Podle metodiky čtvrtletních národních účtů (vývoz a</w:t>
      </w:r>
      <w:r>
        <w:rPr>
          <w:sz w:val="16"/>
          <w:szCs w:val="16"/>
        </w:rPr>
        <w:t> </w:t>
      </w:r>
      <w:r w:rsidRPr="00167B30">
        <w:rPr>
          <w:sz w:val="16"/>
          <w:szCs w:val="16"/>
        </w:rPr>
        <w:t>dovoz v ocenění FOB/FOB)</w:t>
      </w:r>
      <w:r>
        <w:rPr>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E52" w:rsidRPr="006F5416" w:rsidRDefault="00583E52" w:rsidP="00937AE2">
    <w:pPr>
      <w:pStyle w:val="Zhlav"/>
    </w:pPr>
    <w:r>
      <w:t xml:space="preserve">Vývoj ekonomiky České republiky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E52" w:rsidRPr="006F5416" w:rsidRDefault="00583E52" w:rsidP="00937AE2">
    <w:pPr>
      <w:pStyle w:val="Zhlav"/>
    </w:pPr>
    <w:r>
      <w:t xml:space="preserve">Vývoj ekonomiky České republiky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2">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1">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21"/>
  </w:num>
  <w:num w:numId="14">
    <w:abstractNumId w:val="11"/>
  </w:num>
  <w:num w:numId="15">
    <w:abstractNumId w:val="17"/>
  </w:num>
  <w:num w:numId="16">
    <w:abstractNumId w:val="13"/>
  </w:num>
  <w:num w:numId="17">
    <w:abstractNumId w:val="22"/>
  </w:num>
  <w:num w:numId="18">
    <w:abstractNumId w:val="18"/>
  </w:num>
  <w:num w:numId="19">
    <w:abstractNumId w:val="23"/>
  </w:num>
  <w:num w:numId="20">
    <w:abstractNumId w:val="24"/>
  </w:num>
  <w:num w:numId="21">
    <w:abstractNumId w:val="20"/>
  </w:num>
  <w:num w:numId="22">
    <w:abstractNumId w:val="16"/>
  </w:num>
  <w:num w:numId="23">
    <w:abstractNumId w:val="14"/>
  </w:num>
  <w:num w:numId="24">
    <w:abstractNumId w:val="15"/>
  </w:num>
  <w:num w:numId="2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lada">
    <w15:presenceInfo w15:providerId="None" w15:userId="Vlad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evenAndOddHeaders/>
  <w:drawingGridHorizontalSpacing w:val="110"/>
  <w:displayHorizontalDrawingGridEvery w:val="2"/>
  <w:characterSpacingControl w:val="doNotCompress"/>
  <w:hdrShapeDefaults>
    <o:shapedefaults v:ext="edit" spidmax="12290">
      <o:colormru v:ext="edit" colors="#ecf4dd,#eaecee,#fcec0a,#fcecdb,#f1daf5"/>
    </o:shapedefaults>
  </w:hdrShapeDefaults>
  <w:footnotePr>
    <w:footnote w:id="-1"/>
    <w:footnote w:id="0"/>
  </w:footnotePr>
  <w:endnotePr>
    <w:endnote w:id="-1"/>
    <w:endnote w:id="0"/>
  </w:endnotePr>
  <w:compat/>
  <w:rsids>
    <w:rsidRoot w:val="00C62828"/>
    <w:rsid w:val="0000209D"/>
    <w:rsid w:val="00003F5C"/>
    <w:rsid w:val="00004D5A"/>
    <w:rsid w:val="000056D5"/>
    <w:rsid w:val="000063D5"/>
    <w:rsid w:val="00006ABD"/>
    <w:rsid w:val="0000767A"/>
    <w:rsid w:val="00010256"/>
    <w:rsid w:val="00010702"/>
    <w:rsid w:val="00011912"/>
    <w:rsid w:val="00016420"/>
    <w:rsid w:val="00017B01"/>
    <w:rsid w:val="0002195D"/>
    <w:rsid w:val="000234D6"/>
    <w:rsid w:val="00023D29"/>
    <w:rsid w:val="00026389"/>
    <w:rsid w:val="00031AE0"/>
    <w:rsid w:val="000322EF"/>
    <w:rsid w:val="00033FCD"/>
    <w:rsid w:val="00034DF7"/>
    <w:rsid w:val="00036195"/>
    <w:rsid w:val="000403A7"/>
    <w:rsid w:val="00041CEC"/>
    <w:rsid w:val="00044183"/>
    <w:rsid w:val="0004694F"/>
    <w:rsid w:val="00047D54"/>
    <w:rsid w:val="000522E4"/>
    <w:rsid w:val="00053713"/>
    <w:rsid w:val="0005434E"/>
    <w:rsid w:val="00057B1E"/>
    <w:rsid w:val="000610E1"/>
    <w:rsid w:val="00062EC5"/>
    <w:rsid w:val="00062F22"/>
    <w:rsid w:val="00063975"/>
    <w:rsid w:val="0006533F"/>
    <w:rsid w:val="00065A75"/>
    <w:rsid w:val="00070A87"/>
    <w:rsid w:val="000712B3"/>
    <w:rsid w:val="0007474E"/>
    <w:rsid w:val="0008263E"/>
    <w:rsid w:val="00082C19"/>
    <w:rsid w:val="00085395"/>
    <w:rsid w:val="00086AC1"/>
    <w:rsid w:val="00087634"/>
    <w:rsid w:val="00087F2B"/>
    <w:rsid w:val="00090694"/>
    <w:rsid w:val="000913B1"/>
    <w:rsid w:val="00094A84"/>
    <w:rsid w:val="00095025"/>
    <w:rsid w:val="00095135"/>
    <w:rsid w:val="00097191"/>
    <w:rsid w:val="000974D1"/>
    <w:rsid w:val="0009799E"/>
    <w:rsid w:val="000A1183"/>
    <w:rsid w:val="000A256D"/>
    <w:rsid w:val="000A3A2C"/>
    <w:rsid w:val="000A4A54"/>
    <w:rsid w:val="000B03CC"/>
    <w:rsid w:val="000C0EA8"/>
    <w:rsid w:val="000C3408"/>
    <w:rsid w:val="000C6AFD"/>
    <w:rsid w:val="000D3058"/>
    <w:rsid w:val="000D5637"/>
    <w:rsid w:val="000E0E96"/>
    <w:rsid w:val="000E2C7D"/>
    <w:rsid w:val="000E6253"/>
    <w:rsid w:val="000E6FBD"/>
    <w:rsid w:val="00100F5C"/>
    <w:rsid w:val="00101CDA"/>
    <w:rsid w:val="00102037"/>
    <w:rsid w:val="00103DCB"/>
    <w:rsid w:val="00104C4C"/>
    <w:rsid w:val="00112CAB"/>
    <w:rsid w:val="00117623"/>
    <w:rsid w:val="0012192F"/>
    <w:rsid w:val="00122994"/>
    <w:rsid w:val="00124B46"/>
    <w:rsid w:val="00125D69"/>
    <w:rsid w:val="0012799C"/>
    <w:rsid w:val="00130ADC"/>
    <w:rsid w:val="00130D9F"/>
    <w:rsid w:val="001405FA"/>
    <w:rsid w:val="001425C3"/>
    <w:rsid w:val="0014262D"/>
    <w:rsid w:val="001459BC"/>
    <w:rsid w:val="001554C2"/>
    <w:rsid w:val="0015753D"/>
    <w:rsid w:val="001612F4"/>
    <w:rsid w:val="00161553"/>
    <w:rsid w:val="0016256B"/>
    <w:rsid w:val="00163793"/>
    <w:rsid w:val="00167CB9"/>
    <w:rsid w:val="001705AD"/>
    <w:rsid w:val="001706D6"/>
    <w:rsid w:val="001714F2"/>
    <w:rsid w:val="00175B9F"/>
    <w:rsid w:val="00181BBC"/>
    <w:rsid w:val="00184017"/>
    <w:rsid w:val="00184B08"/>
    <w:rsid w:val="00185010"/>
    <w:rsid w:val="00197A70"/>
    <w:rsid w:val="00197C0F"/>
    <w:rsid w:val="001A0487"/>
    <w:rsid w:val="001A552F"/>
    <w:rsid w:val="001B2CA9"/>
    <w:rsid w:val="001B3110"/>
    <w:rsid w:val="001B3E38"/>
    <w:rsid w:val="001B4729"/>
    <w:rsid w:val="001B4F0E"/>
    <w:rsid w:val="001B6310"/>
    <w:rsid w:val="001B6C09"/>
    <w:rsid w:val="001C05CD"/>
    <w:rsid w:val="001C1B66"/>
    <w:rsid w:val="001C31A2"/>
    <w:rsid w:val="001D22C2"/>
    <w:rsid w:val="001D5DF2"/>
    <w:rsid w:val="001D68B2"/>
    <w:rsid w:val="001E504C"/>
    <w:rsid w:val="001F4597"/>
    <w:rsid w:val="00200085"/>
    <w:rsid w:val="00203CD5"/>
    <w:rsid w:val="00203D8F"/>
    <w:rsid w:val="00203DA4"/>
    <w:rsid w:val="002071D5"/>
    <w:rsid w:val="002118B9"/>
    <w:rsid w:val="00217C5B"/>
    <w:rsid w:val="0022139E"/>
    <w:rsid w:val="00222729"/>
    <w:rsid w:val="0022441D"/>
    <w:rsid w:val="002252E0"/>
    <w:rsid w:val="002255F6"/>
    <w:rsid w:val="00227850"/>
    <w:rsid w:val="00227A53"/>
    <w:rsid w:val="00230C6E"/>
    <w:rsid w:val="00233603"/>
    <w:rsid w:val="00236443"/>
    <w:rsid w:val="00241B06"/>
    <w:rsid w:val="002436BA"/>
    <w:rsid w:val="00244A15"/>
    <w:rsid w:val="002452D9"/>
    <w:rsid w:val="00247319"/>
    <w:rsid w:val="0024799E"/>
    <w:rsid w:val="00253C0F"/>
    <w:rsid w:val="002558C1"/>
    <w:rsid w:val="00256207"/>
    <w:rsid w:val="002603E1"/>
    <w:rsid w:val="0026291D"/>
    <w:rsid w:val="00271022"/>
    <w:rsid w:val="00271465"/>
    <w:rsid w:val="00272DF4"/>
    <w:rsid w:val="0027583D"/>
    <w:rsid w:val="00275DEF"/>
    <w:rsid w:val="002812E3"/>
    <w:rsid w:val="002837AE"/>
    <w:rsid w:val="002853FA"/>
    <w:rsid w:val="00285412"/>
    <w:rsid w:val="00291640"/>
    <w:rsid w:val="0029237E"/>
    <w:rsid w:val="00292997"/>
    <w:rsid w:val="0029588F"/>
    <w:rsid w:val="00297D51"/>
    <w:rsid w:val="002A0122"/>
    <w:rsid w:val="002A016B"/>
    <w:rsid w:val="002A16D4"/>
    <w:rsid w:val="002A1E4F"/>
    <w:rsid w:val="002A230C"/>
    <w:rsid w:val="002A532A"/>
    <w:rsid w:val="002A5846"/>
    <w:rsid w:val="002A5D97"/>
    <w:rsid w:val="002B4845"/>
    <w:rsid w:val="002C27A6"/>
    <w:rsid w:val="002C43BD"/>
    <w:rsid w:val="002D0E59"/>
    <w:rsid w:val="002E02A1"/>
    <w:rsid w:val="002E196A"/>
    <w:rsid w:val="002E222E"/>
    <w:rsid w:val="002E37D1"/>
    <w:rsid w:val="002E3BEE"/>
    <w:rsid w:val="002E4E4C"/>
    <w:rsid w:val="002E5846"/>
    <w:rsid w:val="002F498A"/>
    <w:rsid w:val="00304771"/>
    <w:rsid w:val="003052D4"/>
    <w:rsid w:val="00306C5B"/>
    <w:rsid w:val="00307DB3"/>
    <w:rsid w:val="0031076D"/>
    <w:rsid w:val="00311C4D"/>
    <w:rsid w:val="003121AB"/>
    <w:rsid w:val="003153C8"/>
    <w:rsid w:val="003209D6"/>
    <w:rsid w:val="00321924"/>
    <w:rsid w:val="0032656E"/>
    <w:rsid w:val="00332190"/>
    <w:rsid w:val="00341F05"/>
    <w:rsid w:val="0034335E"/>
    <w:rsid w:val="00344668"/>
    <w:rsid w:val="003462D9"/>
    <w:rsid w:val="00360C86"/>
    <w:rsid w:val="00360FBC"/>
    <w:rsid w:val="00361537"/>
    <w:rsid w:val="0036242A"/>
    <w:rsid w:val="00362E90"/>
    <w:rsid w:val="00364FA0"/>
    <w:rsid w:val="003657F3"/>
    <w:rsid w:val="003738BD"/>
    <w:rsid w:val="00374E21"/>
    <w:rsid w:val="003818DC"/>
    <w:rsid w:val="00383388"/>
    <w:rsid w:val="003834F8"/>
    <w:rsid w:val="00384327"/>
    <w:rsid w:val="00385D98"/>
    <w:rsid w:val="003908A6"/>
    <w:rsid w:val="003927F6"/>
    <w:rsid w:val="003A04F6"/>
    <w:rsid w:val="003A2B4D"/>
    <w:rsid w:val="003A2D12"/>
    <w:rsid w:val="003A478C"/>
    <w:rsid w:val="003A5525"/>
    <w:rsid w:val="003A6B38"/>
    <w:rsid w:val="003A6B83"/>
    <w:rsid w:val="003B1F9D"/>
    <w:rsid w:val="003B461F"/>
    <w:rsid w:val="003B5A32"/>
    <w:rsid w:val="003C3490"/>
    <w:rsid w:val="003C6221"/>
    <w:rsid w:val="003C7E62"/>
    <w:rsid w:val="003D242B"/>
    <w:rsid w:val="003D2492"/>
    <w:rsid w:val="003D6920"/>
    <w:rsid w:val="003E4C91"/>
    <w:rsid w:val="003E52D8"/>
    <w:rsid w:val="003F313C"/>
    <w:rsid w:val="003F37FC"/>
    <w:rsid w:val="003F4B2C"/>
    <w:rsid w:val="003F551C"/>
    <w:rsid w:val="003F72ED"/>
    <w:rsid w:val="003F7D23"/>
    <w:rsid w:val="00400050"/>
    <w:rsid w:val="00400468"/>
    <w:rsid w:val="00402ADB"/>
    <w:rsid w:val="004059D2"/>
    <w:rsid w:val="00406C2E"/>
    <w:rsid w:val="00407C13"/>
    <w:rsid w:val="00410638"/>
    <w:rsid w:val="00412511"/>
    <w:rsid w:val="004125C2"/>
    <w:rsid w:val="00413465"/>
    <w:rsid w:val="0041501E"/>
    <w:rsid w:val="004159C3"/>
    <w:rsid w:val="00416DAC"/>
    <w:rsid w:val="00432A58"/>
    <w:rsid w:val="00434617"/>
    <w:rsid w:val="00440900"/>
    <w:rsid w:val="00441BF6"/>
    <w:rsid w:val="004441A0"/>
    <w:rsid w:val="00446D44"/>
    <w:rsid w:val="0045078A"/>
    <w:rsid w:val="0045086D"/>
    <w:rsid w:val="00451EF1"/>
    <w:rsid w:val="00460FB3"/>
    <w:rsid w:val="004707FE"/>
    <w:rsid w:val="0047276D"/>
    <w:rsid w:val="00474A04"/>
    <w:rsid w:val="00476240"/>
    <w:rsid w:val="00476439"/>
    <w:rsid w:val="0047735C"/>
    <w:rsid w:val="004776BC"/>
    <w:rsid w:val="0048139F"/>
    <w:rsid w:val="00481E40"/>
    <w:rsid w:val="00482405"/>
    <w:rsid w:val="004826A7"/>
    <w:rsid w:val="0048368C"/>
    <w:rsid w:val="00484ECE"/>
    <w:rsid w:val="00486A4D"/>
    <w:rsid w:val="004915CB"/>
    <w:rsid w:val="004924DC"/>
    <w:rsid w:val="00492879"/>
    <w:rsid w:val="004A14E4"/>
    <w:rsid w:val="004A27F0"/>
    <w:rsid w:val="004A3212"/>
    <w:rsid w:val="004A40D9"/>
    <w:rsid w:val="004A5494"/>
    <w:rsid w:val="004A61C5"/>
    <w:rsid w:val="004A62A0"/>
    <w:rsid w:val="004A77DF"/>
    <w:rsid w:val="004B1417"/>
    <w:rsid w:val="004B55B7"/>
    <w:rsid w:val="004B6468"/>
    <w:rsid w:val="004B7125"/>
    <w:rsid w:val="004B756A"/>
    <w:rsid w:val="004B7FB1"/>
    <w:rsid w:val="004C384C"/>
    <w:rsid w:val="004C3867"/>
    <w:rsid w:val="004C3DB0"/>
    <w:rsid w:val="004C4CD0"/>
    <w:rsid w:val="004C5165"/>
    <w:rsid w:val="004C6E0E"/>
    <w:rsid w:val="004C70DC"/>
    <w:rsid w:val="004D0211"/>
    <w:rsid w:val="004D0794"/>
    <w:rsid w:val="004E1A40"/>
    <w:rsid w:val="004E200A"/>
    <w:rsid w:val="004E765E"/>
    <w:rsid w:val="004F06F5"/>
    <w:rsid w:val="004F12A4"/>
    <w:rsid w:val="004F253F"/>
    <w:rsid w:val="004F33A0"/>
    <w:rsid w:val="004F3BD2"/>
    <w:rsid w:val="0050689D"/>
    <w:rsid w:val="005108C0"/>
    <w:rsid w:val="00511873"/>
    <w:rsid w:val="00512461"/>
    <w:rsid w:val="00512A2F"/>
    <w:rsid w:val="00513B7E"/>
    <w:rsid w:val="00515BE9"/>
    <w:rsid w:val="00515C74"/>
    <w:rsid w:val="0052007E"/>
    <w:rsid w:val="0052337A"/>
    <w:rsid w:val="00525137"/>
    <w:rsid w:val="005251DD"/>
    <w:rsid w:val="00532CE7"/>
    <w:rsid w:val="0053324C"/>
    <w:rsid w:val="00534A28"/>
    <w:rsid w:val="00535018"/>
    <w:rsid w:val="00537571"/>
    <w:rsid w:val="00541508"/>
    <w:rsid w:val="00543498"/>
    <w:rsid w:val="00544BE5"/>
    <w:rsid w:val="00550160"/>
    <w:rsid w:val="00552F2C"/>
    <w:rsid w:val="005547EB"/>
    <w:rsid w:val="0055599F"/>
    <w:rsid w:val="00556D68"/>
    <w:rsid w:val="005570D6"/>
    <w:rsid w:val="00563EB8"/>
    <w:rsid w:val="005647BF"/>
    <w:rsid w:val="00564AF1"/>
    <w:rsid w:val="00572079"/>
    <w:rsid w:val="00573602"/>
    <w:rsid w:val="0057364B"/>
    <w:rsid w:val="00574773"/>
    <w:rsid w:val="00580DE7"/>
    <w:rsid w:val="00583E52"/>
    <w:rsid w:val="00583FFD"/>
    <w:rsid w:val="0058519A"/>
    <w:rsid w:val="005911BE"/>
    <w:rsid w:val="00591273"/>
    <w:rsid w:val="00593152"/>
    <w:rsid w:val="005A10F2"/>
    <w:rsid w:val="005A21E0"/>
    <w:rsid w:val="005A28FF"/>
    <w:rsid w:val="005A2C09"/>
    <w:rsid w:val="005A3DF8"/>
    <w:rsid w:val="005A5549"/>
    <w:rsid w:val="005B121D"/>
    <w:rsid w:val="005B6CA1"/>
    <w:rsid w:val="005B770C"/>
    <w:rsid w:val="005C06ED"/>
    <w:rsid w:val="005C11B8"/>
    <w:rsid w:val="005C2609"/>
    <w:rsid w:val="005C45DD"/>
    <w:rsid w:val="005D3F06"/>
    <w:rsid w:val="005D4B73"/>
    <w:rsid w:val="005D5802"/>
    <w:rsid w:val="005D5AA9"/>
    <w:rsid w:val="005D7119"/>
    <w:rsid w:val="005D76C8"/>
    <w:rsid w:val="005D7890"/>
    <w:rsid w:val="005E4BC9"/>
    <w:rsid w:val="005E5314"/>
    <w:rsid w:val="005E7C78"/>
    <w:rsid w:val="005F04A7"/>
    <w:rsid w:val="005F18C5"/>
    <w:rsid w:val="005F36CC"/>
    <w:rsid w:val="005F3EB1"/>
    <w:rsid w:val="005F466B"/>
    <w:rsid w:val="005F46D8"/>
    <w:rsid w:val="005F5469"/>
    <w:rsid w:val="005F63F3"/>
    <w:rsid w:val="00601235"/>
    <w:rsid w:val="00604307"/>
    <w:rsid w:val="0060487F"/>
    <w:rsid w:val="00604EAD"/>
    <w:rsid w:val="006104FB"/>
    <w:rsid w:val="00612A2F"/>
    <w:rsid w:val="00612AAE"/>
    <w:rsid w:val="00616E05"/>
    <w:rsid w:val="00617985"/>
    <w:rsid w:val="00624093"/>
    <w:rsid w:val="00631698"/>
    <w:rsid w:val="00631EBA"/>
    <w:rsid w:val="00634CE7"/>
    <w:rsid w:val="006350D5"/>
    <w:rsid w:val="0063642C"/>
    <w:rsid w:val="006404A7"/>
    <w:rsid w:val="006451E4"/>
    <w:rsid w:val="00645B33"/>
    <w:rsid w:val="006516CB"/>
    <w:rsid w:val="00656CFB"/>
    <w:rsid w:val="00657E87"/>
    <w:rsid w:val="00662469"/>
    <w:rsid w:val="00664647"/>
    <w:rsid w:val="00664803"/>
    <w:rsid w:val="00665BA4"/>
    <w:rsid w:val="00667AF2"/>
    <w:rsid w:val="006710C9"/>
    <w:rsid w:val="006741CD"/>
    <w:rsid w:val="00674D89"/>
    <w:rsid w:val="00675E37"/>
    <w:rsid w:val="00676D76"/>
    <w:rsid w:val="00676F9F"/>
    <w:rsid w:val="00677594"/>
    <w:rsid w:val="0068032F"/>
    <w:rsid w:val="00680D37"/>
    <w:rsid w:val="0068174E"/>
    <w:rsid w:val="00681DCE"/>
    <w:rsid w:val="0068260E"/>
    <w:rsid w:val="00684E25"/>
    <w:rsid w:val="006858A4"/>
    <w:rsid w:val="00686718"/>
    <w:rsid w:val="00686BFA"/>
    <w:rsid w:val="00695BEF"/>
    <w:rsid w:val="006968C1"/>
    <w:rsid w:val="006977F6"/>
    <w:rsid w:val="00697A13"/>
    <w:rsid w:val="006A109C"/>
    <w:rsid w:val="006A7691"/>
    <w:rsid w:val="006A7EE2"/>
    <w:rsid w:val="006B0514"/>
    <w:rsid w:val="006B0F92"/>
    <w:rsid w:val="006B2785"/>
    <w:rsid w:val="006B344A"/>
    <w:rsid w:val="006B74AC"/>
    <w:rsid w:val="006B78D8"/>
    <w:rsid w:val="006C113F"/>
    <w:rsid w:val="006C123E"/>
    <w:rsid w:val="006C15A1"/>
    <w:rsid w:val="006C1752"/>
    <w:rsid w:val="006C28CA"/>
    <w:rsid w:val="006C4355"/>
    <w:rsid w:val="006C469D"/>
    <w:rsid w:val="006C56D4"/>
    <w:rsid w:val="006C6924"/>
    <w:rsid w:val="006C7CA6"/>
    <w:rsid w:val="006D3E8A"/>
    <w:rsid w:val="006D61F6"/>
    <w:rsid w:val="006E279A"/>
    <w:rsid w:val="006E313B"/>
    <w:rsid w:val="006E7227"/>
    <w:rsid w:val="006F0741"/>
    <w:rsid w:val="006F1C27"/>
    <w:rsid w:val="006F42BB"/>
    <w:rsid w:val="006F438E"/>
    <w:rsid w:val="006F440B"/>
    <w:rsid w:val="006F5416"/>
    <w:rsid w:val="006F624B"/>
    <w:rsid w:val="00705242"/>
    <w:rsid w:val="00706AD4"/>
    <w:rsid w:val="00707150"/>
    <w:rsid w:val="007140BE"/>
    <w:rsid w:val="00715E4D"/>
    <w:rsid w:val="00716F48"/>
    <w:rsid w:val="007211F5"/>
    <w:rsid w:val="007240E2"/>
    <w:rsid w:val="0072583E"/>
    <w:rsid w:val="00725BB5"/>
    <w:rsid w:val="00730AE8"/>
    <w:rsid w:val="00730F1B"/>
    <w:rsid w:val="00741493"/>
    <w:rsid w:val="007434E5"/>
    <w:rsid w:val="00752180"/>
    <w:rsid w:val="00752323"/>
    <w:rsid w:val="00753CAB"/>
    <w:rsid w:val="00754A70"/>
    <w:rsid w:val="00755202"/>
    <w:rsid w:val="00755D3A"/>
    <w:rsid w:val="0075751D"/>
    <w:rsid w:val="007578D3"/>
    <w:rsid w:val="00760391"/>
    <w:rsid w:val="007609C6"/>
    <w:rsid w:val="0076175D"/>
    <w:rsid w:val="00763B85"/>
    <w:rsid w:val="00764725"/>
    <w:rsid w:val="0076521E"/>
    <w:rsid w:val="007661E9"/>
    <w:rsid w:val="00776169"/>
    <w:rsid w:val="00776527"/>
    <w:rsid w:val="00777040"/>
    <w:rsid w:val="00780EF1"/>
    <w:rsid w:val="00786C87"/>
    <w:rsid w:val="007877C9"/>
    <w:rsid w:val="00790764"/>
    <w:rsid w:val="0079085F"/>
    <w:rsid w:val="0079453C"/>
    <w:rsid w:val="00794677"/>
    <w:rsid w:val="007A3CAF"/>
    <w:rsid w:val="007A516D"/>
    <w:rsid w:val="007A775D"/>
    <w:rsid w:val="007B0834"/>
    <w:rsid w:val="007B11FA"/>
    <w:rsid w:val="007B2011"/>
    <w:rsid w:val="007B2CFE"/>
    <w:rsid w:val="007B3DCB"/>
    <w:rsid w:val="007B6689"/>
    <w:rsid w:val="007B6F72"/>
    <w:rsid w:val="007C2D94"/>
    <w:rsid w:val="007C5F92"/>
    <w:rsid w:val="007C6227"/>
    <w:rsid w:val="007C6BBD"/>
    <w:rsid w:val="007D0382"/>
    <w:rsid w:val="007D1A1F"/>
    <w:rsid w:val="007D40DF"/>
    <w:rsid w:val="007D4458"/>
    <w:rsid w:val="007E1788"/>
    <w:rsid w:val="007E29B4"/>
    <w:rsid w:val="007E435A"/>
    <w:rsid w:val="007E49F7"/>
    <w:rsid w:val="007E7E61"/>
    <w:rsid w:val="007F0845"/>
    <w:rsid w:val="007F20F3"/>
    <w:rsid w:val="007F708D"/>
    <w:rsid w:val="00801E13"/>
    <w:rsid w:val="0080734C"/>
    <w:rsid w:val="00807C82"/>
    <w:rsid w:val="008117CC"/>
    <w:rsid w:val="00816905"/>
    <w:rsid w:val="00817A17"/>
    <w:rsid w:val="00817EC1"/>
    <w:rsid w:val="0082112D"/>
    <w:rsid w:val="00821FF6"/>
    <w:rsid w:val="00822574"/>
    <w:rsid w:val="00825C4D"/>
    <w:rsid w:val="00830E86"/>
    <w:rsid w:val="0083143E"/>
    <w:rsid w:val="00831CDE"/>
    <w:rsid w:val="00834304"/>
    <w:rsid w:val="00834FAA"/>
    <w:rsid w:val="008354FB"/>
    <w:rsid w:val="00836086"/>
    <w:rsid w:val="00836A06"/>
    <w:rsid w:val="008374BC"/>
    <w:rsid w:val="00840293"/>
    <w:rsid w:val="008417B5"/>
    <w:rsid w:val="00846121"/>
    <w:rsid w:val="0084708F"/>
    <w:rsid w:val="008477C8"/>
    <w:rsid w:val="0085114D"/>
    <w:rsid w:val="00852217"/>
    <w:rsid w:val="00855408"/>
    <w:rsid w:val="00856D65"/>
    <w:rsid w:val="00861B41"/>
    <w:rsid w:val="00861B9F"/>
    <w:rsid w:val="00861BE3"/>
    <w:rsid w:val="00863434"/>
    <w:rsid w:val="00865E4C"/>
    <w:rsid w:val="00867DAB"/>
    <w:rsid w:val="008701E4"/>
    <w:rsid w:val="00874FE8"/>
    <w:rsid w:val="00875A32"/>
    <w:rsid w:val="00876086"/>
    <w:rsid w:val="00876E83"/>
    <w:rsid w:val="008772BC"/>
    <w:rsid w:val="00882911"/>
    <w:rsid w:val="00885D40"/>
    <w:rsid w:val="008873D4"/>
    <w:rsid w:val="00891EDF"/>
    <w:rsid w:val="00892872"/>
    <w:rsid w:val="0089296D"/>
    <w:rsid w:val="00893E85"/>
    <w:rsid w:val="00894031"/>
    <w:rsid w:val="00894C5D"/>
    <w:rsid w:val="00895508"/>
    <w:rsid w:val="008A0ADD"/>
    <w:rsid w:val="008A3CBA"/>
    <w:rsid w:val="008A4B59"/>
    <w:rsid w:val="008B3F7B"/>
    <w:rsid w:val="008B6106"/>
    <w:rsid w:val="008B7C02"/>
    <w:rsid w:val="008B7D2B"/>
    <w:rsid w:val="008B7EF9"/>
    <w:rsid w:val="008C0049"/>
    <w:rsid w:val="008C0E88"/>
    <w:rsid w:val="008C4B50"/>
    <w:rsid w:val="008C7569"/>
    <w:rsid w:val="008D0DBD"/>
    <w:rsid w:val="008D127E"/>
    <w:rsid w:val="008D1E6A"/>
    <w:rsid w:val="008D2A16"/>
    <w:rsid w:val="008E2C57"/>
    <w:rsid w:val="008E31FF"/>
    <w:rsid w:val="008E6DCB"/>
    <w:rsid w:val="008E6F06"/>
    <w:rsid w:val="008E7B8E"/>
    <w:rsid w:val="008E7FC9"/>
    <w:rsid w:val="008F029B"/>
    <w:rsid w:val="008F2A5D"/>
    <w:rsid w:val="008F3636"/>
    <w:rsid w:val="008F3FC9"/>
    <w:rsid w:val="008F585B"/>
    <w:rsid w:val="009003A8"/>
    <w:rsid w:val="00902500"/>
    <w:rsid w:val="00902EFF"/>
    <w:rsid w:val="00904F96"/>
    <w:rsid w:val="009052A3"/>
    <w:rsid w:val="00905B8D"/>
    <w:rsid w:val="00906401"/>
    <w:rsid w:val="009110F7"/>
    <w:rsid w:val="0091155E"/>
    <w:rsid w:val="00912A92"/>
    <w:rsid w:val="00915D07"/>
    <w:rsid w:val="009162AE"/>
    <w:rsid w:val="00917251"/>
    <w:rsid w:val="0091728D"/>
    <w:rsid w:val="0092180B"/>
    <w:rsid w:val="00921F14"/>
    <w:rsid w:val="00923CB0"/>
    <w:rsid w:val="00924AC8"/>
    <w:rsid w:val="00925429"/>
    <w:rsid w:val="0092597A"/>
    <w:rsid w:val="00926520"/>
    <w:rsid w:val="0093033E"/>
    <w:rsid w:val="00930FB1"/>
    <w:rsid w:val="0093139F"/>
    <w:rsid w:val="00932443"/>
    <w:rsid w:val="00935BD4"/>
    <w:rsid w:val="009373B2"/>
    <w:rsid w:val="00937AE2"/>
    <w:rsid w:val="0094416B"/>
    <w:rsid w:val="0094427A"/>
    <w:rsid w:val="00944C7C"/>
    <w:rsid w:val="00945245"/>
    <w:rsid w:val="0095759C"/>
    <w:rsid w:val="009618EE"/>
    <w:rsid w:val="009624D2"/>
    <w:rsid w:val="009628D9"/>
    <w:rsid w:val="009637AE"/>
    <w:rsid w:val="00964A4E"/>
    <w:rsid w:val="009651C7"/>
    <w:rsid w:val="00965797"/>
    <w:rsid w:val="009674BE"/>
    <w:rsid w:val="00972FCD"/>
    <w:rsid w:val="009741FC"/>
    <w:rsid w:val="00974923"/>
    <w:rsid w:val="00977C3D"/>
    <w:rsid w:val="00980D3D"/>
    <w:rsid w:val="00983101"/>
    <w:rsid w:val="00983E41"/>
    <w:rsid w:val="00987A30"/>
    <w:rsid w:val="0099182E"/>
    <w:rsid w:val="00992CF3"/>
    <w:rsid w:val="00994868"/>
    <w:rsid w:val="009968D6"/>
    <w:rsid w:val="009A10A0"/>
    <w:rsid w:val="009A1CAB"/>
    <w:rsid w:val="009A2359"/>
    <w:rsid w:val="009A4D57"/>
    <w:rsid w:val="009A60D1"/>
    <w:rsid w:val="009B3764"/>
    <w:rsid w:val="009B6FD3"/>
    <w:rsid w:val="009C1750"/>
    <w:rsid w:val="009C2E29"/>
    <w:rsid w:val="009C3E8F"/>
    <w:rsid w:val="009C554B"/>
    <w:rsid w:val="009C719E"/>
    <w:rsid w:val="009D3ACD"/>
    <w:rsid w:val="009E5273"/>
    <w:rsid w:val="009E5DDB"/>
    <w:rsid w:val="009F4982"/>
    <w:rsid w:val="009F4CA7"/>
    <w:rsid w:val="00A04616"/>
    <w:rsid w:val="00A04717"/>
    <w:rsid w:val="00A05EE4"/>
    <w:rsid w:val="00A10D66"/>
    <w:rsid w:val="00A14114"/>
    <w:rsid w:val="00A16413"/>
    <w:rsid w:val="00A16AED"/>
    <w:rsid w:val="00A16E1D"/>
    <w:rsid w:val="00A17A15"/>
    <w:rsid w:val="00A17D5B"/>
    <w:rsid w:val="00A23E43"/>
    <w:rsid w:val="00A25216"/>
    <w:rsid w:val="00A2628E"/>
    <w:rsid w:val="00A30F65"/>
    <w:rsid w:val="00A40EAC"/>
    <w:rsid w:val="00A418BC"/>
    <w:rsid w:val="00A44B0D"/>
    <w:rsid w:val="00A45087"/>
    <w:rsid w:val="00A45489"/>
    <w:rsid w:val="00A46DE0"/>
    <w:rsid w:val="00A50D73"/>
    <w:rsid w:val="00A52CAD"/>
    <w:rsid w:val="00A53FC7"/>
    <w:rsid w:val="00A626FF"/>
    <w:rsid w:val="00A62CE1"/>
    <w:rsid w:val="00A655D3"/>
    <w:rsid w:val="00A6741E"/>
    <w:rsid w:val="00A722F9"/>
    <w:rsid w:val="00A72D42"/>
    <w:rsid w:val="00A75E40"/>
    <w:rsid w:val="00A77D1D"/>
    <w:rsid w:val="00A81652"/>
    <w:rsid w:val="00A83150"/>
    <w:rsid w:val="00A83398"/>
    <w:rsid w:val="00A857C0"/>
    <w:rsid w:val="00A90FED"/>
    <w:rsid w:val="00A91E71"/>
    <w:rsid w:val="00A96116"/>
    <w:rsid w:val="00A9614E"/>
    <w:rsid w:val="00A96C0F"/>
    <w:rsid w:val="00AA2996"/>
    <w:rsid w:val="00AA52BF"/>
    <w:rsid w:val="00AA559A"/>
    <w:rsid w:val="00AA7CE8"/>
    <w:rsid w:val="00AB2AF1"/>
    <w:rsid w:val="00AB5A64"/>
    <w:rsid w:val="00AC044E"/>
    <w:rsid w:val="00AC2395"/>
    <w:rsid w:val="00AC2960"/>
    <w:rsid w:val="00AC2AC4"/>
    <w:rsid w:val="00AC4284"/>
    <w:rsid w:val="00AC45BD"/>
    <w:rsid w:val="00AD168E"/>
    <w:rsid w:val="00AD306C"/>
    <w:rsid w:val="00AD5AD2"/>
    <w:rsid w:val="00AD6462"/>
    <w:rsid w:val="00AD68C4"/>
    <w:rsid w:val="00AE09B3"/>
    <w:rsid w:val="00AE1A83"/>
    <w:rsid w:val="00AE7CE7"/>
    <w:rsid w:val="00AE7FAB"/>
    <w:rsid w:val="00AF436B"/>
    <w:rsid w:val="00AF5179"/>
    <w:rsid w:val="00B00913"/>
    <w:rsid w:val="00B01593"/>
    <w:rsid w:val="00B01FF9"/>
    <w:rsid w:val="00B023F2"/>
    <w:rsid w:val="00B10A4D"/>
    <w:rsid w:val="00B10C90"/>
    <w:rsid w:val="00B14BC1"/>
    <w:rsid w:val="00B16EB8"/>
    <w:rsid w:val="00B17E71"/>
    <w:rsid w:val="00B17FDE"/>
    <w:rsid w:val="00B20632"/>
    <w:rsid w:val="00B2379C"/>
    <w:rsid w:val="00B2687D"/>
    <w:rsid w:val="00B32DDB"/>
    <w:rsid w:val="00B34528"/>
    <w:rsid w:val="00B34CC9"/>
    <w:rsid w:val="00B402FC"/>
    <w:rsid w:val="00B439DA"/>
    <w:rsid w:val="00B46604"/>
    <w:rsid w:val="00B47089"/>
    <w:rsid w:val="00B52151"/>
    <w:rsid w:val="00B530CD"/>
    <w:rsid w:val="00B55F5E"/>
    <w:rsid w:val="00B56B6F"/>
    <w:rsid w:val="00B5752E"/>
    <w:rsid w:val="00B63A11"/>
    <w:rsid w:val="00B64C24"/>
    <w:rsid w:val="00B6608F"/>
    <w:rsid w:val="00B679FB"/>
    <w:rsid w:val="00B76D1E"/>
    <w:rsid w:val="00B77543"/>
    <w:rsid w:val="00B80EC6"/>
    <w:rsid w:val="00B81D70"/>
    <w:rsid w:val="00B84CF6"/>
    <w:rsid w:val="00B85016"/>
    <w:rsid w:val="00B8561A"/>
    <w:rsid w:val="00B92D1D"/>
    <w:rsid w:val="00B938C5"/>
    <w:rsid w:val="00B95940"/>
    <w:rsid w:val="00B95ACA"/>
    <w:rsid w:val="00BA46E8"/>
    <w:rsid w:val="00BA6C2B"/>
    <w:rsid w:val="00BA7B64"/>
    <w:rsid w:val="00BB0351"/>
    <w:rsid w:val="00BB1AF4"/>
    <w:rsid w:val="00BB46F3"/>
    <w:rsid w:val="00BB4CB1"/>
    <w:rsid w:val="00BB4F98"/>
    <w:rsid w:val="00BB5ABF"/>
    <w:rsid w:val="00BB6EA2"/>
    <w:rsid w:val="00BC5C12"/>
    <w:rsid w:val="00BC7154"/>
    <w:rsid w:val="00BC731E"/>
    <w:rsid w:val="00BD25BB"/>
    <w:rsid w:val="00BD366B"/>
    <w:rsid w:val="00BD6D50"/>
    <w:rsid w:val="00BE18B9"/>
    <w:rsid w:val="00BE2495"/>
    <w:rsid w:val="00BF02C8"/>
    <w:rsid w:val="00BF1578"/>
    <w:rsid w:val="00BF1D12"/>
    <w:rsid w:val="00C06EE3"/>
    <w:rsid w:val="00C07749"/>
    <w:rsid w:val="00C21430"/>
    <w:rsid w:val="00C21E61"/>
    <w:rsid w:val="00C21F94"/>
    <w:rsid w:val="00C27913"/>
    <w:rsid w:val="00C33B68"/>
    <w:rsid w:val="00C36A79"/>
    <w:rsid w:val="00C401D2"/>
    <w:rsid w:val="00C405D4"/>
    <w:rsid w:val="00C419D5"/>
    <w:rsid w:val="00C4513B"/>
    <w:rsid w:val="00C5390B"/>
    <w:rsid w:val="00C54697"/>
    <w:rsid w:val="00C55402"/>
    <w:rsid w:val="00C5603B"/>
    <w:rsid w:val="00C61F47"/>
    <w:rsid w:val="00C62828"/>
    <w:rsid w:val="00C71D2F"/>
    <w:rsid w:val="00C73885"/>
    <w:rsid w:val="00C7435A"/>
    <w:rsid w:val="00C747B1"/>
    <w:rsid w:val="00C82191"/>
    <w:rsid w:val="00C83134"/>
    <w:rsid w:val="00C832F3"/>
    <w:rsid w:val="00C85545"/>
    <w:rsid w:val="00C90CF4"/>
    <w:rsid w:val="00C922DE"/>
    <w:rsid w:val="00C92843"/>
    <w:rsid w:val="00C92EB6"/>
    <w:rsid w:val="00C93389"/>
    <w:rsid w:val="00CA0346"/>
    <w:rsid w:val="00CA37FF"/>
    <w:rsid w:val="00CA6AB4"/>
    <w:rsid w:val="00CB2351"/>
    <w:rsid w:val="00CB4930"/>
    <w:rsid w:val="00CC20FE"/>
    <w:rsid w:val="00CC2E7D"/>
    <w:rsid w:val="00CC655F"/>
    <w:rsid w:val="00CC76BD"/>
    <w:rsid w:val="00CD10A5"/>
    <w:rsid w:val="00CD1129"/>
    <w:rsid w:val="00CD2076"/>
    <w:rsid w:val="00CD24CE"/>
    <w:rsid w:val="00CD29B5"/>
    <w:rsid w:val="00CD2B78"/>
    <w:rsid w:val="00CD5C3E"/>
    <w:rsid w:val="00CD6331"/>
    <w:rsid w:val="00CE62FA"/>
    <w:rsid w:val="00CE670B"/>
    <w:rsid w:val="00CF4908"/>
    <w:rsid w:val="00CF51EC"/>
    <w:rsid w:val="00CF545D"/>
    <w:rsid w:val="00CF5873"/>
    <w:rsid w:val="00CF73AE"/>
    <w:rsid w:val="00D03A72"/>
    <w:rsid w:val="00D040DD"/>
    <w:rsid w:val="00D075BE"/>
    <w:rsid w:val="00D12C25"/>
    <w:rsid w:val="00D133B4"/>
    <w:rsid w:val="00D13986"/>
    <w:rsid w:val="00D214EF"/>
    <w:rsid w:val="00D21D6D"/>
    <w:rsid w:val="00D21D83"/>
    <w:rsid w:val="00D235B7"/>
    <w:rsid w:val="00D25F28"/>
    <w:rsid w:val="00D26071"/>
    <w:rsid w:val="00D27973"/>
    <w:rsid w:val="00D31E1E"/>
    <w:rsid w:val="00D35BBB"/>
    <w:rsid w:val="00D35E1A"/>
    <w:rsid w:val="00D36E1C"/>
    <w:rsid w:val="00D373AF"/>
    <w:rsid w:val="00D40556"/>
    <w:rsid w:val="00D41F74"/>
    <w:rsid w:val="00D50F46"/>
    <w:rsid w:val="00D544E7"/>
    <w:rsid w:val="00D57677"/>
    <w:rsid w:val="00D63BE5"/>
    <w:rsid w:val="00D66223"/>
    <w:rsid w:val="00D72076"/>
    <w:rsid w:val="00D77252"/>
    <w:rsid w:val="00D8084C"/>
    <w:rsid w:val="00D8598C"/>
    <w:rsid w:val="00D915EA"/>
    <w:rsid w:val="00D97D00"/>
    <w:rsid w:val="00DA096C"/>
    <w:rsid w:val="00DA6364"/>
    <w:rsid w:val="00DA7114"/>
    <w:rsid w:val="00DA7C0C"/>
    <w:rsid w:val="00DB08A9"/>
    <w:rsid w:val="00DB2EC8"/>
    <w:rsid w:val="00DC17D0"/>
    <w:rsid w:val="00DC56FE"/>
    <w:rsid w:val="00DC5B3B"/>
    <w:rsid w:val="00DC7B1A"/>
    <w:rsid w:val="00DD129F"/>
    <w:rsid w:val="00DD32DD"/>
    <w:rsid w:val="00DF42FF"/>
    <w:rsid w:val="00DF5D1E"/>
    <w:rsid w:val="00E01C0E"/>
    <w:rsid w:val="00E0368F"/>
    <w:rsid w:val="00E03D73"/>
    <w:rsid w:val="00E03F9A"/>
    <w:rsid w:val="00E04694"/>
    <w:rsid w:val="00E129E7"/>
    <w:rsid w:val="00E12B1E"/>
    <w:rsid w:val="00E1444C"/>
    <w:rsid w:val="00E17262"/>
    <w:rsid w:val="00E2009B"/>
    <w:rsid w:val="00E2251C"/>
    <w:rsid w:val="00E2363D"/>
    <w:rsid w:val="00E253A2"/>
    <w:rsid w:val="00E27233"/>
    <w:rsid w:val="00E31771"/>
    <w:rsid w:val="00E3309D"/>
    <w:rsid w:val="00E417BE"/>
    <w:rsid w:val="00E43A9E"/>
    <w:rsid w:val="00E453F9"/>
    <w:rsid w:val="00E45D7D"/>
    <w:rsid w:val="00E47EBA"/>
    <w:rsid w:val="00E50156"/>
    <w:rsid w:val="00E5076C"/>
    <w:rsid w:val="00E53470"/>
    <w:rsid w:val="00E539F6"/>
    <w:rsid w:val="00E578A2"/>
    <w:rsid w:val="00E61740"/>
    <w:rsid w:val="00E6519D"/>
    <w:rsid w:val="00E67696"/>
    <w:rsid w:val="00E71A58"/>
    <w:rsid w:val="00E72A26"/>
    <w:rsid w:val="00E72A7A"/>
    <w:rsid w:val="00E747DC"/>
    <w:rsid w:val="00E75C94"/>
    <w:rsid w:val="00E76E61"/>
    <w:rsid w:val="00E80CA3"/>
    <w:rsid w:val="00E82618"/>
    <w:rsid w:val="00E930A1"/>
    <w:rsid w:val="00E93820"/>
    <w:rsid w:val="00E94A86"/>
    <w:rsid w:val="00E96143"/>
    <w:rsid w:val="00EA0C68"/>
    <w:rsid w:val="00EA32BC"/>
    <w:rsid w:val="00EA35A7"/>
    <w:rsid w:val="00EA513E"/>
    <w:rsid w:val="00EB4511"/>
    <w:rsid w:val="00EB6FAC"/>
    <w:rsid w:val="00EC03D7"/>
    <w:rsid w:val="00EC13A7"/>
    <w:rsid w:val="00ED2EA1"/>
    <w:rsid w:val="00ED4D04"/>
    <w:rsid w:val="00ED62C6"/>
    <w:rsid w:val="00ED64C1"/>
    <w:rsid w:val="00EE3446"/>
    <w:rsid w:val="00EE3E78"/>
    <w:rsid w:val="00EE4B1B"/>
    <w:rsid w:val="00EF150D"/>
    <w:rsid w:val="00EF1F5A"/>
    <w:rsid w:val="00EF47BF"/>
    <w:rsid w:val="00EF5FF9"/>
    <w:rsid w:val="00F0160B"/>
    <w:rsid w:val="00F04811"/>
    <w:rsid w:val="00F0488C"/>
    <w:rsid w:val="00F073ED"/>
    <w:rsid w:val="00F10F11"/>
    <w:rsid w:val="00F15AAA"/>
    <w:rsid w:val="00F15BEF"/>
    <w:rsid w:val="00F207C2"/>
    <w:rsid w:val="00F219A1"/>
    <w:rsid w:val="00F24407"/>
    <w:rsid w:val="00F24FAA"/>
    <w:rsid w:val="00F25040"/>
    <w:rsid w:val="00F27331"/>
    <w:rsid w:val="00F3364D"/>
    <w:rsid w:val="00F437CC"/>
    <w:rsid w:val="00F44537"/>
    <w:rsid w:val="00F46423"/>
    <w:rsid w:val="00F47067"/>
    <w:rsid w:val="00F525EB"/>
    <w:rsid w:val="00F63AAE"/>
    <w:rsid w:val="00F63DDE"/>
    <w:rsid w:val="00F63FB7"/>
    <w:rsid w:val="00F6421B"/>
    <w:rsid w:val="00F649D2"/>
    <w:rsid w:val="00F6602B"/>
    <w:rsid w:val="00F7150B"/>
    <w:rsid w:val="00F73A0C"/>
    <w:rsid w:val="00F756DB"/>
    <w:rsid w:val="00F767A8"/>
    <w:rsid w:val="00F84E7D"/>
    <w:rsid w:val="00F85066"/>
    <w:rsid w:val="00F87A4D"/>
    <w:rsid w:val="00F939F3"/>
    <w:rsid w:val="00FA05A0"/>
    <w:rsid w:val="00FA17CC"/>
    <w:rsid w:val="00FA5112"/>
    <w:rsid w:val="00FA5526"/>
    <w:rsid w:val="00FA5D4D"/>
    <w:rsid w:val="00FB0EE2"/>
    <w:rsid w:val="00FB1A79"/>
    <w:rsid w:val="00FB208B"/>
    <w:rsid w:val="00FB2B2D"/>
    <w:rsid w:val="00FB542E"/>
    <w:rsid w:val="00FC05F8"/>
    <w:rsid w:val="00FC0E5F"/>
    <w:rsid w:val="00FC1A95"/>
    <w:rsid w:val="00FC56DE"/>
    <w:rsid w:val="00FC684B"/>
    <w:rsid w:val="00FC7D98"/>
    <w:rsid w:val="00FD1135"/>
    <w:rsid w:val="00FD3265"/>
    <w:rsid w:val="00FD4916"/>
    <w:rsid w:val="00FE27C7"/>
    <w:rsid w:val="00FE2F78"/>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lsdException w:name="Lis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titul">
    <w:name w:val="Subtitle"/>
    <w:link w:val="Podtitul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titulChar">
    <w:name w:val="Podtitul Char"/>
    <w:link w:val="Podtitul"/>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semiHidden/>
    <w:unhideWhenUsed/>
    <w:rsid w:val="00E76E61"/>
    <w:pPr>
      <w:spacing w:line="240" w:lineRule="auto"/>
    </w:pPr>
    <w:rPr>
      <w:szCs w:val="20"/>
    </w:rPr>
  </w:style>
  <w:style w:type="character" w:customStyle="1" w:styleId="TextkomenteChar">
    <w:name w:val="Text komentáře Char"/>
    <w:basedOn w:val="Standardnpsmoodstavce"/>
    <w:link w:val="Textkomente"/>
    <w:uiPriority w:val="99"/>
    <w:semiHidden/>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vraznn">
    <w:name w:val="Emphasis"/>
    <w:basedOn w:val="Standardnpsmoodstavce"/>
    <w:uiPriority w:val="20"/>
    <w:qFormat/>
    <w:rsid w:val="00965797"/>
    <w:rPr>
      <w:i/>
      <w:iCs/>
    </w:rPr>
  </w:style>
  <w:style w:type="paragraph" w:styleId="Rozvrendokumentu">
    <w:name w:val="Document Map"/>
    <w:basedOn w:val="Normln"/>
    <w:link w:val="RozvrendokumentuChar"/>
    <w:uiPriority w:val="99"/>
    <w:semiHidden/>
    <w:rsid w:val="00AD5AD2"/>
    <w:pPr>
      <w:spacing w:after="0" w:line="288" w:lineRule="auto"/>
      <w:jc w:val="left"/>
    </w:pPr>
    <w:rPr>
      <w:rFonts w:ascii="Tahoma" w:eastAsia="Calibri" w:hAnsi="Tahoma" w:cs="Tahoma"/>
      <w:sz w:val="16"/>
      <w:szCs w:val="16"/>
    </w:rPr>
  </w:style>
  <w:style w:type="character" w:customStyle="1" w:styleId="RozvrendokumentuChar">
    <w:name w:val="Rozvržení dokumentu Char"/>
    <w:basedOn w:val="Standardnpsmoodstavce"/>
    <w:link w:val="Rozvrendokumentu"/>
    <w:uiPriority w:val="99"/>
    <w:semiHidden/>
    <w:rsid w:val="00AD5AD2"/>
    <w:rPr>
      <w:rFonts w:ascii="Tahoma" w:hAnsi="Tahoma" w:cs="Tahoma"/>
      <w:sz w:val="16"/>
      <w:szCs w:val="16"/>
      <w:lang w:eastAsia="cs-CZ"/>
    </w:rPr>
  </w:style>
  <w:style w:type="paragraph" w:customStyle="1" w:styleId="Heading1">
    <w:name w:val="Heading 1"/>
    <w:basedOn w:val="Normln"/>
    <w:uiPriority w:val="9"/>
    <w:qFormat/>
    <w:rsid w:val="00E747DC"/>
    <w:pPr>
      <w:keepNext/>
      <w:keepLines/>
      <w:spacing w:after="100"/>
      <w:contextualSpacing/>
      <w:jc w:val="left"/>
      <w:outlineLvl w:val="0"/>
    </w:pPr>
    <w:rPr>
      <w:rFonts w:eastAsia="MS Gothic"/>
      <w:b/>
      <w:bCs/>
      <w:color w:val="71818C"/>
      <w:sz w:val="32"/>
      <w:szCs w:val="28"/>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9"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37"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Dokumenty\Anal&#253;za\Q\2018Q1\Makroanal&#253;za%20graf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okumenty\Anal&#253;za\Q\2018Q1\Makroanal&#253;za%20graf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okumenty\Anal&#253;za\Q\2018Q1\Makroanal&#253;za%20graf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Dokumenty\Anal&#253;za\Q\2018Q1\Makroanal&#253;za%20graf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4.2240163796014245E-2"/>
          <c:y val="2.3046636085627001E-2"/>
          <c:w val="0.93617042384329663"/>
          <c:h val="0.74192840256672166"/>
        </c:manualLayout>
      </c:layout>
      <c:barChart>
        <c:barDir val="col"/>
        <c:grouping val="clustered"/>
        <c:ser>
          <c:idx val="0"/>
          <c:order val="0"/>
          <c:tx>
            <c:strRef>
              <c:f>'souhrnná výkonnost 1'!$C$4</c:f>
              <c:strCache>
                <c:ptCount val="1"/>
                <c:pt idx="0">
                  <c:v>ČR meziroční změna</c:v>
                </c:pt>
              </c:strCache>
            </c:strRef>
          </c:tx>
          <c:spPr>
            <a:solidFill>
              <a:srgbClr val="A6A6A6"/>
            </a:solidFill>
            <a:ln>
              <a:noFill/>
            </a:ln>
          </c:spPr>
          <c:cat>
            <c:multiLvlStrRef>
              <c:f>'souhrnná výkonnost 1'!$A$9:$B$29</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2013</c:v>
                  </c:pt>
                  <c:pt idx="4">
                    <c:v>2014</c:v>
                  </c:pt>
                  <c:pt idx="8">
                    <c:v>2015</c:v>
                  </c:pt>
                  <c:pt idx="12">
                    <c:v>2016</c:v>
                  </c:pt>
                  <c:pt idx="16">
                    <c:v>2017</c:v>
                  </c:pt>
                  <c:pt idx="20">
                    <c:v>2018</c:v>
                  </c:pt>
                </c:lvl>
              </c:multiLvlStrCache>
            </c:multiLvlStrRef>
          </c:cat>
          <c:val>
            <c:numRef>
              <c:f>'souhrnná výkonnost 1'!$C$9:$C$29</c:f>
              <c:numCache>
                <c:formatCode>0.0</c:formatCode>
                <c:ptCount val="21"/>
                <c:pt idx="0">
                  <c:v>-1.7511683134985252</c:v>
                </c:pt>
                <c:pt idx="1">
                  <c:v>-1.1225511599608484</c:v>
                </c:pt>
                <c:pt idx="2">
                  <c:v>-0.35187335671894032</c:v>
                </c:pt>
                <c:pt idx="3">
                  <c:v>1.3064560933108851</c:v>
                </c:pt>
                <c:pt idx="4">
                  <c:v>1.6429851449055726</c:v>
                </c:pt>
                <c:pt idx="5">
                  <c:v>2.380005912333516</c:v>
                </c:pt>
                <c:pt idx="6">
                  <c:v>3.4230502025552192</c:v>
                </c:pt>
                <c:pt idx="7">
                  <c:v>3.3996162248718567</c:v>
                </c:pt>
                <c:pt idx="8">
                  <c:v>5.192481496563687</c:v>
                </c:pt>
                <c:pt idx="9">
                  <c:v>5.7975383686409057</c:v>
                </c:pt>
                <c:pt idx="10">
                  <c:v>5.6880380309177045</c:v>
                </c:pt>
                <c:pt idx="11">
                  <c:v>4.8805410212801323</c:v>
                </c:pt>
                <c:pt idx="12">
                  <c:v>3.5407527805050312</c:v>
                </c:pt>
                <c:pt idx="13">
                  <c:v>2.8476786947813078</c:v>
                </c:pt>
                <c:pt idx="14">
                  <c:v>1.8438752983696494</c:v>
                </c:pt>
                <c:pt idx="15">
                  <c:v>1.7657987870616121</c:v>
                </c:pt>
                <c:pt idx="16" formatCode="General">
                  <c:v>3.0212086796601767</c:v>
                </c:pt>
                <c:pt idx="17" formatCode="General">
                  <c:v>4.6357209710506879</c:v>
                </c:pt>
                <c:pt idx="18" formatCode="General">
                  <c:v>5.1854722523414045</c:v>
                </c:pt>
                <c:pt idx="19" formatCode="General">
                  <c:v>5.5424958733431282</c:v>
                </c:pt>
                <c:pt idx="20" formatCode="General">
                  <c:v>4.3580685115212505</c:v>
                </c:pt>
              </c:numCache>
            </c:numRef>
          </c:val>
          <c:extLst xmlns:c16r2="http://schemas.microsoft.com/office/drawing/2015/06/chart">
            <c:ext xmlns:c16="http://schemas.microsoft.com/office/drawing/2014/chart" uri="{C3380CC4-5D6E-409C-BE32-E72D297353CC}">
              <c16:uniqueId val="{00000000-60B2-4311-A090-94F96140E0DE}"/>
            </c:ext>
          </c:extLst>
        </c:ser>
        <c:ser>
          <c:idx val="1"/>
          <c:order val="1"/>
          <c:tx>
            <c:strRef>
              <c:f>'souhrnná výkonnost 1'!$D$4</c:f>
              <c:strCache>
                <c:ptCount val="1"/>
                <c:pt idx="0">
                  <c:v>EU28 meziroční změna</c:v>
                </c:pt>
              </c:strCache>
            </c:strRef>
          </c:tx>
          <c:spPr>
            <a:solidFill>
              <a:srgbClr val="808080"/>
            </a:solidFill>
            <a:ln>
              <a:noFill/>
            </a:ln>
          </c:spPr>
          <c:cat>
            <c:multiLvlStrRef>
              <c:f>'souhrnná výkonnost 1'!$A$9:$B$29</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2013</c:v>
                  </c:pt>
                  <c:pt idx="4">
                    <c:v>2014</c:v>
                  </c:pt>
                  <c:pt idx="8">
                    <c:v>2015</c:v>
                  </c:pt>
                  <c:pt idx="12">
                    <c:v>2016</c:v>
                  </c:pt>
                  <c:pt idx="16">
                    <c:v>2017</c:v>
                  </c:pt>
                  <c:pt idx="20">
                    <c:v>2018</c:v>
                  </c:pt>
                </c:lvl>
              </c:multiLvlStrCache>
            </c:multiLvlStrRef>
          </c:cat>
          <c:val>
            <c:numRef>
              <c:f>'souhrnná výkonnost 1'!$D$9:$D$29</c:f>
              <c:numCache>
                <c:formatCode>0.0</c:formatCode>
                <c:ptCount val="21"/>
                <c:pt idx="0">
                  <c:v>-0.59113300492609722</c:v>
                </c:pt>
                <c:pt idx="1">
                  <c:v>9.8716683119455736E-2</c:v>
                </c:pt>
                <c:pt idx="2">
                  <c:v>0.49358341559723912</c:v>
                </c:pt>
                <c:pt idx="3">
                  <c:v>1.1892963330029618</c:v>
                </c:pt>
                <c:pt idx="4">
                  <c:v>1.6848364717542021</c:v>
                </c:pt>
                <c:pt idx="5">
                  <c:v>1.4792899408284024</c:v>
                </c:pt>
                <c:pt idx="6">
                  <c:v>1.5717092337917571</c:v>
                </c:pt>
                <c:pt idx="7">
                  <c:v>1.8609206660137181</c:v>
                </c:pt>
                <c:pt idx="8" formatCode="#,##0.0">
                  <c:v>2.2000000000000002</c:v>
                </c:pt>
                <c:pt idx="9" formatCode="#,##0.0">
                  <c:v>1.9000000000000001</c:v>
                </c:pt>
                <c:pt idx="10" formatCode="#,##0.0">
                  <c:v>1.9000000000000001</c:v>
                </c:pt>
                <c:pt idx="11" formatCode="#,##0.0">
                  <c:v>1.9000000000000001</c:v>
                </c:pt>
                <c:pt idx="12" formatCode="#,##0.0">
                  <c:v>2.1</c:v>
                </c:pt>
                <c:pt idx="13" formatCode="#,##0.0">
                  <c:v>2.2000000000000002</c:v>
                </c:pt>
                <c:pt idx="14" formatCode="#,##0.0">
                  <c:v>2.5</c:v>
                </c:pt>
                <c:pt idx="15" formatCode="#,##0.0">
                  <c:v>2.7</c:v>
                </c:pt>
                <c:pt idx="16" formatCode="#,##0.0">
                  <c:v>2.7</c:v>
                </c:pt>
                <c:pt idx="17" formatCode="#,##0.0">
                  <c:v>2.4</c:v>
                </c:pt>
                <c:pt idx="18" formatCode="#,##0.0">
                  <c:v>2.8</c:v>
                </c:pt>
                <c:pt idx="19" formatCode="#,##0.0">
                  <c:v>2.6</c:v>
                </c:pt>
                <c:pt idx="20" formatCode="#,##0.0">
                  <c:v>2.4</c:v>
                </c:pt>
              </c:numCache>
            </c:numRef>
          </c:val>
          <c:extLst xmlns:c16r2="http://schemas.microsoft.com/office/drawing/2015/06/chart">
            <c:ext xmlns:c16="http://schemas.microsoft.com/office/drawing/2014/chart" uri="{C3380CC4-5D6E-409C-BE32-E72D297353CC}">
              <c16:uniqueId val="{00000001-60B2-4311-A090-94F96140E0DE}"/>
            </c:ext>
          </c:extLst>
        </c:ser>
        <c:gapWidth val="100"/>
        <c:axId val="128029824"/>
        <c:axId val="128032128"/>
      </c:barChart>
      <c:lineChart>
        <c:grouping val="standard"/>
        <c:ser>
          <c:idx val="2"/>
          <c:order val="2"/>
          <c:tx>
            <c:strRef>
              <c:f>'souhrnná výkonnost 1'!$E$4</c:f>
              <c:strCache>
                <c:ptCount val="1"/>
                <c:pt idx="0">
                  <c:v>ČR mezičtvrtletní změna</c:v>
                </c:pt>
              </c:strCache>
            </c:strRef>
          </c:tx>
          <c:spPr>
            <a:ln w="19050">
              <a:noFill/>
            </a:ln>
          </c:spPr>
          <c:marker>
            <c:symbol val="dash"/>
            <c:size val="8"/>
            <c:spPr>
              <a:solidFill>
                <a:srgbClr val="0071BC"/>
              </a:solidFill>
              <a:ln>
                <a:noFill/>
              </a:ln>
            </c:spPr>
          </c:marker>
          <c:cat>
            <c:multiLvlStrRef>
              <c:f>'souhrnná výkonnost 1'!$A$9:$B$29</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2013</c:v>
                  </c:pt>
                  <c:pt idx="4">
                    <c:v>2014</c:v>
                  </c:pt>
                  <c:pt idx="8">
                    <c:v>2015</c:v>
                  </c:pt>
                  <c:pt idx="12">
                    <c:v>2016</c:v>
                  </c:pt>
                  <c:pt idx="16">
                    <c:v>2017</c:v>
                  </c:pt>
                  <c:pt idx="20">
                    <c:v>2018</c:v>
                  </c:pt>
                </c:lvl>
              </c:multiLvlStrCache>
            </c:multiLvlStrRef>
          </c:cat>
          <c:val>
            <c:numRef>
              <c:f>'souhrnná výkonnost 1'!$E$9:$E$29</c:f>
              <c:numCache>
                <c:formatCode>0.0</c:formatCode>
                <c:ptCount val="21"/>
                <c:pt idx="0">
                  <c:v>-0.45693637688056332</c:v>
                </c:pt>
                <c:pt idx="1">
                  <c:v>0.19806063963226156</c:v>
                </c:pt>
                <c:pt idx="2">
                  <c:v>0.25106366477383801</c:v>
                </c:pt>
                <c:pt idx="3">
                  <c:v>1.3159486871259498</c:v>
                </c:pt>
                <c:pt idx="4">
                  <c:v>-0.12685347461345467</c:v>
                </c:pt>
                <c:pt idx="5">
                  <c:v>0.92460435186374923</c:v>
                </c:pt>
                <c:pt idx="6">
                  <c:v>1.2724186103070698</c:v>
                </c:pt>
                <c:pt idx="7">
                  <c:v>1.2935884078140978</c:v>
                </c:pt>
                <c:pt idx="8">
                  <c:v>1.6048656798419643</c:v>
                </c:pt>
                <c:pt idx="9">
                  <c:v>1.5051128117461445</c:v>
                </c:pt>
                <c:pt idx="10">
                  <c:v>1.1676017666368361</c:v>
                </c:pt>
                <c:pt idx="11">
                  <c:v>0.51966667306828662</c:v>
                </c:pt>
                <c:pt idx="12">
                  <c:v>0.30692229665743737</c:v>
                </c:pt>
                <c:pt idx="13">
                  <c:v>0.82566475512039972</c:v>
                </c:pt>
                <c:pt idx="14">
                  <c:v>0.18019608525490591</c:v>
                </c:pt>
                <c:pt idx="15">
                  <c:v>0.44260533905398325</c:v>
                </c:pt>
                <c:pt idx="16" formatCode="General">
                  <c:v>1.5443351018261753</c:v>
                </c:pt>
                <c:pt idx="17" formatCode="General">
                  <c:v>2.4057692512822655</c:v>
                </c:pt>
                <c:pt idx="18" formatCode="General">
                  <c:v>0.70653824304498869</c:v>
                </c:pt>
                <c:pt idx="19" formatCode="General">
                  <c:v>0.78353058180008517</c:v>
                </c:pt>
                <c:pt idx="20" formatCode="General">
                  <c:v>0.40477621668340191</c:v>
                </c:pt>
              </c:numCache>
            </c:numRef>
          </c:val>
          <c:extLst xmlns:c16r2="http://schemas.microsoft.com/office/drawing/2015/06/chart">
            <c:ext xmlns:c16="http://schemas.microsoft.com/office/drawing/2014/chart" uri="{C3380CC4-5D6E-409C-BE32-E72D297353CC}">
              <c16:uniqueId val="{00000002-60B2-4311-A090-94F96140E0DE}"/>
            </c:ext>
          </c:extLst>
        </c:ser>
        <c:ser>
          <c:idx val="3"/>
          <c:order val="3"/>
          <c:tx>
            <c:strRef>
              <c:f>'souhrnná výkonnost 1'!$F$4</c:f>
              <c:strCache>
                <c:ptCount val="1"/>
                <c:pt idx="0">
                  <c:v>EU28 mezičtvrtletní změna</c:v>
                </c:pt>
              </c:strCache>
            </c:strRef>
          </c:tx>
          <c:spPr>
            <a:ln w="19050">
              <a:noFill/>
            </a:ln>
          </c:spPr>
          <c:marker>
            <c:symbol val="dash"/>
            <c:size val="8"/>
            <c:spPr>
              <a:solidFill>
                <a:srgbClr val="BD1B21"/>
              </a:solidFill>
              <a:ln>
                <a:noFill/>
              </a:ln>
            </c:spPr>
          </c:marker>
          <c:cat>
            <c:multiLvlStrRef>
              <c:f>'souhrnná výkonnost 1'!$A$9:$B$29</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2013</c:v>
                  </c:pt>
                  <c:pt idx="4">
                    <c:v>2014</c:v>
                  </c:pt>
                  <c:pt idx="8">
                    <c:v>2015</c:v>
                  </c:pt>
                  <c:pt idx="12">
                    <c:v>2016</c:v>
                  </c:pt>
                  <c:pt idx="16">
                    <c:v>2017</c:v>
                  </c:pt>
                  <c:pt idx="20">
                    <c:v>2018</c:v>
                  </c:pt>
                </c:lvl>
              </c:multiLvlStrCache>
            </c:multiLvlStrRef>
          </c:cat>
          <c:val>
            <c:numRef>
              <c:f>'souhrnná výkonnost 1'!$F$9:$F$29</c:f>
              <c:numCache>
                <c:formatCode>0.0</c:formatCode>
                <c:ptCount val="21"/>
                <c:pt idx="0">
                  <c:v>0</c:v>
                </c:pt>
                <c:pt idx="1">
                  <c:v>0.49554013875123876</c:v>
                </c:pt>
                <c:pt idx="2">
                  <c:v>0.39447731755423737</c:v>
                </c:pt>
                <c:pt idx="3">
                  <c:v>0.29469548133595408</c:v>
                </c:pt>
                <c:pt idx="4">
                  <c:v>0.48971596474045526</c:v>
                </c:pt>
                <c:pt idx="5">
                  <c:v>0.29239766081872481</c:v>
                </c:pt>
                <c:pt idx="6">
                  <c:v>0.48590864917396043</c:v>
                </c:pt>
                <c:pt idx="7">
                  <c:v>0.58027079303674456</c:v>
                </c:pt>
                <c:pt idx="8" formatCode="#,##0.0">
                  <c:v>0.5</c:v>
                </c:pt>
                <c:pt idx="9" formatCode="#,##0.0">
                  <c:v>0.5</c:v>
                </c:pt>
                <c:pt idx="10" formatCode="#,##0.0">
                  <c:v>0.4</c:v>
                </c:pt>
                <c:pt idx="11" formatCode="#,##0.0">
                  <c:v>0.4</c:v>
                </c:pt>
                <c:pt idx="12" formatCode="#,##0.0">
                  <c:v>0.70000000000000062</c:v>
                </c:pt>
                <c:pt idx="13" formatCode="#,##0.0">
                  <c:v>0.70000000000000062</c:v>
                </c:pt>
                <c:pt idx="14" formatCode="#,##0.0">
                  <c:v>0.70000000000000062</c:v>
                </c:pt>
                <c:pt idx="15" formatCode="#,##0.0">
                  <c:v>0.70000000000000062</c:v>
                </c:pt>
                <c:pt idx="16" formatCode="#,##0.0">
                  <c:v>0.60000000000000064</c:v>
                </c:pt>
                <c:pt idx="17" formatCode="#,##0.0">
                  <c:v>0.4</c:v>
                </c:pt>
                <c:pt idx="18" formatCode="#,##0.0">
                  <c:v>0.70000000000000062</c:v>
                </c:pt>
                <c:pt idx="19" formatCode="#,##0.0">
                  <c:v>0.60000000000000064</c:v>
                </c:pt>
                <c:pt idx="20" formatCode="#,##0.0">
                  <c:v>0.4</c:v>
                </c:pt>
              </c:numCache>
            </c:numRef>
          </c:val>
          <c:extLst xmlns:c16r2="http://schemas.microsoft.com/office/drawing/2015/06/chart">
            <c:ext xmlns:c16="http://schemas.microsoft.com/office/drawing/2014/chart" uri="{C3380CC4-5D6E-409C-BE32-E72D297353CC}">
              <c16:uniqueId val="{00000003-60B2-4311-A090-94F96140E0DE}"/>
            </c:ext>
          </c:extLst>
        </c:ser>
        <c:marker val="1"/>
        <c:axId val="128029824"/>
        <c:axId val="128032128"/>
      </c:lineChart>
      <c:catAx>
        <c:axId val="128029824"/>
        <c:scaling>
          <c:orientation val="minMax"/>
        </c:scaling>
        <c:axPos val="b"/>
        <c:numFmt formatCode="General" sourceLinked="0"/>
        <c:tickLblPos val="low"/>
        <c:spPr>
          <a:ln>
            <a:solidFill>
              <a:schemeClr val="tx1"/>
            </a:solidFill>
          </a:ln>
        </c:spPr>
        <c:txPr>
          <a:bodyPr rot="0" vert="horz"/>
          <a:lstStyle/>
          <a:p>
            <a:pPr>
              <a:defRPr/>
            </a:pPr>
            <a:endParaRPr lang="cs-CZ"/>
          </a:p>
        </c:txPr>
        <c:crossAx val="128032128"/>
        <c:crosses val="autoZero"/>
        <c:auto val="1"/>
        <c:lblAlgn val="ctr"/>
        <c:lblOffset val="100"/>
      </c:catAx>
      <c:valAx>
        <c:axId val="128032128"/>
        <c:scaling>
          <c:orientation val="minMax"/>
          <c:max val="6"/>
        </c:scaling>
        <c:axPos val="l"/>
        <c:majorGridlines>
          <c:spPr>
            <a:ln w="6350">
              <a:solidFill>
                <a:schemeClr val="bg1">
                  <a:lumMod val="75000"/>
                </a:schemeClr>
              </a:solidFill>
            </a:ln>
          </c:spPr>
        </c:majorGridlines>
        <c:numFmt formatCode="0" sourceLinked="0"/>
        <c:tickLblPos val="nextTo"/>
        <c:spPr>
          <a:ln>
            <a:solidFill>
              <a:schemeClr val="tx1"/>
            </a:solidFill>
          </a:ln>
        </c:spPr>
        <c:crossAx val="128029824"/>
        <c:crosses val="autoZero"/>
        <c:crossBetween val="between"/>
      </c:valAx>
      <c:spPr>
        <a:ln>
          <a:solidFill>
            <a:schemeClr val="tx1"/>
          </a:solidFill>
        </a:ln>
      </c:spPr>
    </c:plotArea>
    <c:legend>
      <c:legendPos val="b"/>
      <c:layout>
        <c:manualLayout>
          <c:xMode val="edge"/>
          <c:yMode val="edge"/>
          <c:x val="3.9667131036811895E-2"/>
          <c:y val="0.89437255125718018"/>
          <c:w val="0.93714918946301962"/>
          <c:h val="9.0301755758791014E-2"/>
        </c:manualLayout>
      </c:layout>
      <c:spPr>
        <a:ln w="6350">
          <a:solidFill>
            <a:schemeClr val="tx1"/>
          </a:solidFill>
        </a:ln>
      </c:spPr>
    </c:legend>
    <c:plotVisOnly val="1"/>
    <c:dispBlanksAs val="gap"/>
  </c:chart>
  <c:spPr>
    <a:ln>
      <a:noFill/>
    </a:ln>
  </c:spPr>
  <c:txPr>
    <a:bodyPr/>
    <a:lstStyle/>
    <a:p>
      <a:pPr>
        <a:defRPr sz="800" baseline="0">
          <a:latin typeface="Arial" pitchFamily="34" charset="0"/>
        </a:defRPr>
      </a:pPr>
      <a:endParaRPr lang="cs-CZ"/>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6.3724701079031984E-2"/>
          <c:y val="2.6970778117567793E-2"/>
          <c:w val="0.87770649039241599"/>
          <c:h val="0.76009512552065761"/>
        </c:manualLayout>
      </c:layout>
      <c:barChart>
        <c:barDir val="col"/>
        <c:grouping val="clustered"/>
        <c:ser>
          <c:idx val="0"/>
          <c:order val="0"/>
          <c:tx>
            <c:strRef>
              <c:f>'souhrnná výkonnost 2'!$C$5</c:f>
              <c:strCache>
                <c:ptCount val="1"/>
                <c:pt idx="0">
                  <c:v>HDP (pravá osa)</c:v>
                </c:pt>
              </c:strCache>
            </c:strRef>
          </c:tx>
          <c:spPr>
            <a:solidFill>
              <a:srgbClr val="A6A6A6"/>
            </a:solidFill>
            <a:ln>
              <a:noFill/>
            </a:ln>
          </c:spPr>
          <c:val>
            <c:numRef>
              <c:f>'souhrnná výkonnost 2'!$C$18:$C$80</c:f>
              <c:numCache>
                <c:formatCode>0.0</c:formatCode>
                <c:ptCount val="63"/>
                <c:pt idx="0">
                  <c:v>-1.8</c:v>
                </c:pt>
                <c:pt idx="1">
                  <c:v>-1.8</c:v>
                </c:pt>
                <c:pt idx="2">
                  <c:v>-1.8</c:v>
                </c:pt>
                <c:pt idx="3">
                  <c:v>-1.1000000000000001</c:v>
                </c:pt>
                <c:pt idx="4">
                  <c:v>-1.1000000000000001</c:v>
                </c:pt>
                <c:pt idx="5">
                  <c:v>-1.1000000000000001</c:v>
                </c:pt>
                <c:pt idx="6">
                  <c:v>-0.4</c:v>
                </c:pt>
                <c:pt idx="7">
                  <c:v>-0.4</c:v>
                </c:pt>
                <c:pt idx="8">
                  <c:v>-0.4</c:v>
                </c:pt>
                <c:pt idx="9">
                  <c:v>1.3</c:v>
                </c:pt>
                <c:pt idx="10">
                  <c:v>1.3</c:v>
                </c:pt>
                <c:pt idx="11">
                  <c:v>1.3</c:v>
                </c:pt>
                <c:pt idx="12">
                  <c:v>1.6</c:v>
                </c:pt>
                <c:pt idx="13">
                  <c:v>1.6</c:v>
                </c:pt>
                <c:pt idx="14">
                  <c:v>1.6</c:v>
                </c:pt>
                <c:pt idx="15">
                  <c:v>2.4</c:v>
                </c:pt>
                <c:pt idx="16">
                  <c:v>2.4</c:v>
                </c:pt>
                <c:pt idx="17">
                  <c:v>2.4</c:v>
                </c:pt>
                <c:pt idx="18">
                  <c:v>3.4</c:v>
                </c:pt>
                <c:pt idx="19">
                  <c:v>3.4</c:v>
                </c:pt>
                <c:pt idx="20">
                  <c:v>3.4</c:v>
                </c:pt>
                <c:pt idx="21">
                  <c:v>3.4</c:v>
                </c:pt>
                <c:pt idx="22">
                  <c:v>3.4</c:v>
                </c:pt>
                <c:pt idx="23">
                  <c:v>3.4</c:v>
                </c:pt>
                <c:pt idx="24">
                  <c:v>5.2</c:v>
                </c:pt>
                <c:pt idx="25">
                  <c:v>5.2</c:v>
                </c:pt>
                <c:pt idx="26">
                  <c:v>5.2</c:v>
                </c:pt>
                <c:pt idx="27">
                  <c:v>5.8</c:v>
                </c:pt>
                <c:pt idx="28">
                  <c:v>5.8</c:v>
                </c:pt>
                <c:pt idx="29">
                  <c:v>5.8</c:v>
                </c:pt>
                <c:pt idx="30">
                  <c:v>5.7</c:v>
                </c:pt>
                <c:pt idx="31">
                  <c:v>5.7</c:v>
                </c:pt>
                <c:pt idx="32">
                  <c:v>5.7</c:v>
                </c:pt>
                <c:pt idx="33">
                  <c:v>4.9000000000000004</c:v>
                </c:pt>
                <c:pt idx="34">
                  <c:v>4.9000000000000004</c:v>
                </c:pt>
                <c:pt idx="35">
                  <c:v>4.9000000000000004</c:v>
                </c:pt>
                <c:pt idx="36">
                  <c:v>3.5</c:v>
                </c:pt>
                <c:pt idx="37">
                  <c:v>3.5</c:v>
                </c:pt>
                <c:pt idx="38">
                  <c:v>3.5</c:v>
                </c:pt>
                <c:pt idx="39">
                  <c:v>2.8</c:v>
                </c:pt>
                <c:pt idx="40">
                  <c:v>2.8</c:v>
                </c:pt>
                <c:pt idx="41" formatCode="General">
                  <c:v>2.8</c:v>
                </c:pt>
                <c:pt idx="42" formatCode="General">
                  <c:v>1.8</c:v>
                </c:pt>
                <c:pt idx="43" formatCode="General">
                  <c:v>1.8</c:v>
                </c:pt>
                <c:pt idx="44" formatCode="General">
                  <c:v>1.8</c:v>
                </c:pt>
                <c:pt idx="45" formatCode="General">
                  <c:v>1.8</c:v>
                </c:pt>
                <c:pt idx="46" formatCode="General">
                  <c:v>1.8</c:v>
                </c:pt>
                <c:pt idx="47" formatCode="General">
                  <c:v>1.8</c:v>
                </c:pt>
                <c:pt idx="48" formatCode="General">
                  <c:v>3</c:v>
                </c:pt>
                <c:pt idx="49" formatCode="General">
                  <c:v>3</c:v>
                </c:pt>
                <c:pt idx="50" formatCode="General">
                  <c:v>3</c:v>
                </c:pt>
                <c:pt idx="51" formatCode="General">
                  <c:v>4.5999999999999996</c:v>
                </c:pt>
                <c:pt idx="52" formatCode="General">
                  <c:v>4.5999999999999996</c:v>
                </c:pt>
                <c:pt idx="53" formatCode="General">
                  <c:v>4.5999999999999996</c:v>
                </c:pt>
                <c:pt idx="54" formatCode="General">
                  <c:v>5.2</c:v>
                </c:pt>
                <c:pt idx="55" formatCode="General">
                  <c:v>5.2</c:v>
                </c:pt>
                <c:pt idx="56" formatCode="General">
                  <c:v>5.2</c:v>
                </c:pt>
                <c:pt idx="57" formatCode="General">
                  <c:v>5.5</c:v>
                </c:pt>
                <c:pt idx="58" formatCode="General">
                  <c:v>5.5</c:v>
                </c:pt>
                <c:pt idx="59" formatCode="General">
                  <c:v>5.5</c:v>
                </c:pt>
                <c:pt idx="60" formatCode="General">
                  <c:v>4.4000000000000004</c:v>
                </c:pt>
                <c:pt idx="61" formatCode="General">
                  <c:v>4.4000000000000004</c:v>
                </c:pt>
                <c:pt idx="62" formatCode="General">
                  <c:v>4.4000000000000004</c:v>
                </c:pt>
              </c:numCache>
            </c:numRef>
          </c:val>
          <c:extLst xmlns:c16r2="http://schemas.microsoft.com/office/drawing/2015/06/chart">
            <c:ext xmlns:c16="http://schemas.microsoft.com/office/drawing/2014/chart" uri="{C3380CC4-5D6E-409C-BE32-E72D297353CC}">
              <c16:uniqueId val="{00000000-2864-4479-85CF-8E87F911FD9C}"/>
            </c:ext>
          </c:extLst>
        </c:ser>
        <c:gapWidth val="30"/>
        <c:axId val="128954368"/>
        <c:axId val="128571264"/>
      </c:barChart>
      <c:lineChart>
        <c:grouping val="standard"/>
        <c:ser>
          <c:idx val="3"/>
          <c:order val="1"/>
          <c:tx>
            <c:strRef>
              <c:f>'souhrnná výkonnost 2'!$D$5</c:f>
              <c:strCache>
                <c:ptCount val="1"/>
                <c:pt idx="0">
                  <c:v>Důvěra podnikatelů</c:v>
                </c:pt>
              </c:strCache>
            </c:strRef>
          </c:tx>
          <c:spPr>
            <a:ln w="19050">
              <a:solidFill>
                <a:srgbClr val="0071BC"/>
              </a:solidFill>
            </a:ln>
          </c:spPr>
          <c:marker>
            <c:symbol val="none"/>
          </c:marker>
          <c:cat>
            <c:multiLvlStrRef>
              <c:f>'souhrnná výkonnost 2'!$A$18:$B$80</c:f>
              <c:multiLvlStrCache>
                <c:ptCount val="63"/>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lvl>
                <c:lvl>
                  <c:pt idx="0">
                    <c:v>2013</c:v>
                  </c:pt>
                  <c:pt idx="12">
                    <c:v>2014</c:v>
                  </c:pt>
                  <c:pt idx="24">
                    <c:v>2015</c:v>
                  </c:pt>
                  <c:pt idx="36">
                    <c:v>2016</c:v>
                  </c:pt>
                  <c:pt idx="48">
                    <c:v>2017</c:v>
                  </c:pt>
                  <c:pt idx="60">
                    <c:v>2018</c:v>
                  </c:pt>
                </c:lvl>
              </c:multiLvlStrCache>
            </c:multiLvlStrRef>
          </c:cat>
          <c:val>
            <c:numRef>
              <c:f>'souhrnná výkonnost 2'!$D$18:$D$80</c:f>
              <c:numCache>
                <c:formatCode>###,###,##0.0</c:formatCode>
                <c:ptCount val="63"/>
                <c:pt idx="0">
                  <c:v>84.6</c:v>
                </c:pt>
                <c:pt idx="1">
                  <c:v>85.2</c:v>
                </c:pt>
                <c:pt idx="2" formatCode="###,###,##0">
                  <c:v>85</c:v>
                </c:pt>
                <c:pt idx="3">
                  <c:v>82.7</c:v>
                </c:pt>
                <c:pt idx="4">
                  <c:v>83.6</c:v>
                </c:pt>
                <c:pt idx="5" formatCode="###,###,##0">
                  <c:v>84</c:v>
                </c:pt>
                <c:pt idx="6" formatCode="###,###,##0">
                  <c:v>84</c:v>
                </c:pt>
                <c:pt idx="7">
                  <c:v>84.8</c:v>
                </c:pt>
                <c:pt idx="8">
                  <c:v>87.5</c:v>
                </c:pt>
                <c:pt idx="9" formatCode="###,###,##0">
                  <c:v>89</c:v>
                </c:pt>
                <c:pt idx="10">
                  <c:v>89.9</c:v>
                </c:pt>
                <c:pt idx="11">
                  <c:v>90.9</c:v>
                </c:pt>
                <c:pt idx="12">
                  <c:v>90.1</c:v>
                </c:pt>
                <c:pt idx="13">
                  <c:v>90.9</c:v>
                </c:pt>
                <c:pt idx="14">
                  <c:v>91.6</c:v>
                </c:pt>
                <c:pt idx="15">
                  <c:v>91.5</c:v>
                </c:pt>
                <c:pt idx="16">
                  <c:v>91.5</c:v>
                </c:pt>
                <c:pt idx="17">
                  <c:v>92.5</c:v>
                </c:pt>
                <c:pt idx="18">
                  <c:v>91.6</c:v>
                </c:pt>
                <c:pt idx="19">
                  <c:v>92.5</c:v>
                </c:pt>
                <c:pt idx="20">
                  <c:v>93.2</c:v>
                </c:pt>
                <c:pt idx="21">
                  <c:v>92.8</c:v>
                </c:pt>
                <c:pt idx="22">
                  <c:v>93.5</c:v>
                </c:pt>
                <c:pt idx="23">
                  <c:v>94.8</c:v>
                </c:pt>
                <c:pt idx="24">
                  <c:v>94.3</c:v>
                </c:pt>
                <c:pt idx="25">
                  <c:v>93.4</c:v>
                </c:pt>
                <c:pt idx="26">
                  <c:v>92.9</c:v>
                </c:pt>
                <c:pt idx="27">
                  <c:v>93.2</c:v>
                </c:pt>
                <c:pt idx="28">
                  <c:v>93.8</c:v>
                </c:pt>
                <c:pt idx="29">
                  <c:v>95.5</c:v>
                </c:pt>
                <c:pt idx="30">
                  <c:v>94.6</c:v>
                </c:pt>
                <c:pt idx="31">
                  <c:v>94.2</c:v>
                </c:pt>
                <c:pt idx="32">
                  <c:v>94.4</c:v>
                </c:pt>
                <c:pt idx="33">
                  <c:v>93.2</c:v>
                </c:pt>
                <c:pt idx="34">
                  <c:v>94.2</c:v>
                </c:pt>
                <c:pt idx="35">
                  <c:v>94.3</c:v>
                </c:pt>
                <c:pt idx="36" formatCode="0.0">
                  <c:v>96</c:v>
                </c:pt>
                <c:pt idx="37" formatCode="0.0">
                  <c:v>95.3</c:v>
                </c:pt>
                <c:pt idx="38" formatCode="0.0">
                  <c:v>95.1</c:v>
                </c:pt>
                <c:pt idx="39" formatCode="0.0">
                  <c:v>93.8</c:v>
                </c:pt>
                <c:pt idx="40" formatCode="0.0">
                  <c:v>94.3</c:v>
                </c:pt>
                <c:pt idx="41" formatCode="0.0">
                  <c:v>93.5</c:v>
                </c:pt>
                <c:pt idx="42" formatCode="0.0">
                  <c:v>94</c:v>
                </c:pt>
                <c:pt idx="43" formatCode="0.0">
                  <c:v>95.3</c:v>
                </c:pt>
                <c:pt idx="44" formatCode="0.0">
                  <c:v>95.2</c:v>
                </c:pt>
                <c:pt idx="45" formatCode="0.0">
                  <c:v>95.2</c:v>
                </c:pt>
                <c:pt idx="46" formatCode="0.0">
                  <c:v>97.5</c:v>
                </c:pt>
                <c:pt idx="47" formatCode="0.0">
                  <c:v>97.1</c:v>
                </c:pt>
                <c:pt idx="48" formatCode="0.0">
                  <c:v>97</c:v>
                </c:pt>
                <c:pt idx="49" formatCode="0.0">
                  <c:v>95.9</c:v>
                </c:pt>
                <c:pt idx="50" formatCode="0.0">
                  <c:v>94.1</c:v>
                </c:pt>
                <c:pt idx="51" formatCode="0.0">
                  <c:v>95.1</c:v>
                </c:pt>
                <c:pt idx="52" formatCode="0.0">
                  <c:v>94.9</c:v>
                </c:pt>
                <c:pt idx="53" formatCode="0.0">
                  <c:v>95.2</c:v>
                </c:pt>
                <c:pt idx="54" formatCode="0.0">
                  <c:v>96.1</c:v>
                </c:pt>
                <c:pt idx="55" formatCode="0.0">
                  <c:v>96.8</c:v>
                </c:pt>
                <c:pt idx="56" formatCode="0.0">
                  <c:v>97</c:v>
                </c:pt>
                <c:pt idx="57" formatCode="0.0">
                  <c:v>97.4</c:v>
                </c:pt>
                <c:pt idx="58" formatCode="0.0">
                  <c:v>96.7</c:v>
                </c:pt>
                <c:pt idx="59" formatCode="0.0">
                  <c:v>97.5</c:v>
                </c:pt>
                <c:pt idx="60" formatCode="0.0">
                  <c:v>96.9</c:v>
                </c:pt>
                <c:pt idx="61" formatCode="0.0">
                  <c:v>97.5</c:v>
                </c:pt>
                <c:pt idx="62" formatCode="0.0">
                  <c:v>97</c:v>
                </c:pt>
              </c:numCache>
            </c:numRef>
          </c:val>
          <c:extLst xmlns:c16r2="http://schemas.microsoft.com/office/drawing/2015/06/chart">
            <c:ext xmlns:c16="http://schemas.microsoft.com/office/drawing/2014/chart" uri="{C3380CC4-5D6E-409C-BE32-E72D297353CC}">
              <c16:uniqueId val="{00000001-2864-4479-85CF-8E87F911FD9C}"/>
            </c:ext>
          </c:extLst>
        </c:ser>
        <c:ser>
          <c:idx val="2"/>
          <c:order val="2"/>
          <c:tx>
            <c:strRef>
              <c:f>'souhrnná výkonnost 2'!$E$5</c:f>
              <c:strCache>
                <c:ptCount val="1"/>
                <c:pt idx="0">
                  <c:v>Důvěra spotřebitelů</c:v>
                </c:pt>
              </c:strCache>
            </c:strRef>
          </c:tx>
          <c:spPr>
            <a:ln w="19050">
              <a:solidFill>
                <a:srgbClr val="BD1B21"/>
              </a:solidFill>
            </a:ln>
          </c:spPr>
          <c:marker>
            <c:symbol val="none"/>
          </c:marker>
          <c:cat>
            <c:multiLvlStrRef>
              <c:f>'souhrnná výkonnost 2'!$A$18:$B$80</c:f>
              <c:multiLvlStrCache>
                <c:ptCount val="63"/>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lvl>
                <c:lvl>
                  <c:pt idx="0">
                    <c:v>2013</c:v>
                  </c:pt>
                  <c:pt idx="12">
                    <c:v>2014</c:v>
                  </c:pt>
                  <c:pt idx="24">
                    <c:v>2015</c:v>
                  </c:pt>
                  <c:pt idx="36">
                    <c:v>2016</c:v>
                  </c:pt>
                  <c:pt idx="48">
                    <c:v>2017</c:v>
                  </c:pt>
                  <c:pt idx="60">
                    <c:v>2018</c:v>
                  </c:pt>
                </c:lvl>
              </c:multiLvlStrCache>
            </c:multiLvlStrRef>
          </c:cat>
          <c:val>
            <c:numRef>
              <c:f>'souhrnná výkonnost 2'!$E$18:$E$80</c:f>
              <c:numCache>
                <c:formatCode>###,###,##0.0</c:formatCode>
                <c:ptCount val="63"/>
                <c:pt idx="0">
                  <c:v>73.8</c:v>
                </c:pt>
                <c:pt idx="1">
                  <c:v>79.5</c:v>
                </c:pt>
                <c:pt idx="2" formatCode="###,###,##0">
                  <c:v>81</c:v>
                </c:pt>
                <c:pt idx="3">
                  <c:v>77.900000000000006</c:v>
                </c:pt>
                <c:pt idx="4" formatCode="###,###,##0">
                  <c:v>82</c:v>
                </c:pt>
                <c:pt idx="5">
                  <c:v>82.8</c:v>
                </c:pt>
                <c:pt idx="6">
                  <c:v>81.3</c:v>
                </c:pt>
                <c:pt idx="7">
                  <c:v>84.9</c:v>
                </c:pt>
                <c:pt idx="8">
                  <c:v>87.7</c:v>
                </c:pt>
                <c:pt idx="9">
                  <c:v>88.5</c:v>
                </c:pt>
                <c:pt idx="10">
                  <c:v>92.8</c:v>
                </c:pt>
                <c:pt idx="11">
                  <c:v>92.6</c:v>
                </c:pt>
                <c:pt idx="12">
                  <c:v>96.9</c:v>
                </c:pt>
                <c:pt idx="13">
                  <c:v>93.1</c:v>
                </c:pt>
                <c:pt idx="14">
                  <c:v>96.7</c:v>
                </c:pt>
                <c:pt idx="15">
                  <c:v>98.4</c:v>
                </c:pt>
                <c:pt idx="16">
                  <c:v>98.2</c:v>
                </c:pt>
                <c:pt idx="17">
                  <c:v>99.4</c:v>
                </c:pt>
                <c:pt idx="18">
                  <c:v>99.9</c:v>
                </c:pt>
                <c:pt idx="19">
                  <c:v>97.9</c:v>
                </c:pt>
                <c:pt idx="20">
                  <c:v>96.3</c:v>
                </c:pt>
                <c:pt idx="21">
                  <c:v>100.2</c:v>
                </c:pt>
                <c:pt idx="22">
                  <c:v>103.6</c:v>
                </c:pt>
                <c:pt idx="23">
                  <c:v>105.1</c:v>
                </c:pt>
                <c:pt idx="24">
                  <c:v>106.7</c:v>
                </c:pt>
                <c:pt idx="25">
                  <c:v>105.7</c:v>
                </c:pt>
                <c:pt idx="26">
                  <c:v>105.7</c:v>
                </c:pt>
                <c:pt idx="27">
                  <c:v>104.3</c:v>
                </c:pt>
                <c:pt idx="28">
                  <c:v>103.6</c:v>
                </c:pt>
                <c:pt idx="29">
                  <c:v>104.3</c:v>
                </c:pt>
                <c:pt idx="30">
                  <c:v>103.6</c:v>
                </c:pt>
                <c:pt idx="31">
                  <c:v>103.6</c:v>
                </c:pt>
                <c:pt idx="32">
                  <c:v>103.3</c:v>
                </c:pt>
                <c:pt idx="33">
                  <c:v>104.8</c:v>
                </c:pt>
                <c:pt idx="34">
                  <c:v>105.3</c:v>
                </c:pt>
                <c:pt idx="35">
                  <c:v>107.4</c:v>
                </c:pt>
                <c:pt idx="36" formatCode="0.0">
                  <c:v>110</c:v>
                </c:pt>
                <c:pt idx="37" formatCode="0.0">
                  <c:v>106.2</c:v>
                </c:pt>
                <c:pt idx="38" formatCode="0.0">
                  <c:v>104.8</c:v>
                </c:pt>
                <c:pt idx="39" formatCode="0.0">
                  <c:v>104.3</c:v>
                </c:pt>
                <c:pt idx="40" formatCode="0.0">
                  <c:v>104.3</c:v>
                </c:pt>
                <c:pt idx="41" formatCode="0.0">
                  <c:v>103.8</c:v>
                </c:pt>
                <c:pt idx="42" formatCode="0.0">
                  <c:v>102.3</c:v>
                </c:pt>
                <c:pt idx="43" formatCode="0.0">
                  <c:v>104.3</c:v>
                </c:pt>
                <c:pt idx="44" formatCode="0.0">
                  <c:v>106.4</c:v>
                </c:pt>
                <c:pt idx="45" formatCode="0.0">
                  <c:v>108.9</c:v>
                </c:pt>
                <c:pt idx="46" formatCode="0.0">
                  <c:v>107.9</c:v>
                </c:pt>
                <c:pt idx="47" formatCode="0.0">
                  <c:v>108.7</c:v>
                </c:pt>
                <c:pt idx="48" formatCode="0.0">
                  <c:v>110</c:v>
                </c:pt>
                <c:pt idx="49" formatCode="0.0">
                  <c:v>108.2</c:v>
                </c:pt>
                <c:pt idx="50" formatCode="0.0">
                  <c:v>108.7</c:v>
                </c:pt>
                <c:pt idx="51" formatCode="0.0">
                  <c:v>108.4</c:v>
                </c:pt>
                <c:pt idx="52" formatCode="0.0">
                  <c:v>108.4</c:v>
                </c:pt>
                <c:pt idx="53" formatCode="0.0">
                  <c:v>106.2</c:v>
                </c:pt>
                <c:pt idx="54" formatCode="0.0">
                  <c:v>105.7</c:v>
                </c:pt>
                <c:pt idx="55" formatCode="0.0">
                  <c:v>107.9</c:v>
                </c:pt>
                <c:pt idx="56" formatCode="0.0">
                  <c:v>109.2</c:v>
                </c:pt>
                <c:pt idx="57" formatCode="0.0">
                  <c:v>108.7</c:v>
                </c:pt>
                <c:pt idx="58" formatCode="0.0">
                  <c:v>110.3</c:v>
                </c:pt>
                <c:pt idx="59" formatCode="0.0">
                  <c:v>110</c:v>
                </c:pt>
                <c:pt idx="60" formatCode="0.0">
                  <c:v>112.3</c:v>
                </c:pt>
                <c:pt idx="61" formatCode="0.0">
                  <c:v>112</c:v>
                </c:pt>
                <c:pt idx="62" formatCode="0.0">
                  <c:v>112.8</c:v>
                </c:pt>
              </c:numCache>
            </c:numRef>
          </c:val>
          <c:extLst xmlns:c16r2="http://schemas.microsoft.com/office/drawing/2015/06/chart">
            <c:ext xmlns:c16="http://schemas.microsoft.com/office/drawing/2014/chart" uri="{C3380CC4-5D6E-409C-BE32-E72D297353CC}">
              <c16:uniqueId val="{00000002-2864-4479-85CF-8E87F911FD9C}"/>
            </c:ext>
          </c:extLst>
        </c:ser>
        <c:ser>
          <c:idx val="1"/>
          <c:order val="3"/>
          <c:tx>
            <c:strRef>
              <c:f>'souhrnná výkonnost 2'!$F$5</c:f>
              <c:strCache>
                <c:ptCount val="1"/>
                <c:pt idx="0">
                  <c:v>Souhrnný indikátor</c:v>
                </c:pt>
              </c:strCache>
            </c:strRef>
          </c:tx>
          <c:spPr>
            <a:ln w="19050">
              <a:solidFill>
                <a:schemeClr val="tx1"/>
              </a:solidFill>
            </a:ln>
          </c:spPr>
          <c:marker>
            <c:symbol val="none"/>
          </c:marker>
          <c:cat>
            <c:multiLvlStrRef>
              <c:f>'souhrnná výkonnost 2'!$A$18:$B$80</c:f>
              <c:multiLvlStrCache>
                <c:ptCount val="63"/>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lvl>
                <c:lvl>
                  <c:pt idx="0">
                    <c:v>2013</c:v>
                  </c:pt>
                  <c:pt idx="12">
                    <c:v>2014</c:v>
                  </c:pt>
                  <c:pt idx="24">
                    <c:v>2015</c:v>
                  </c:pt>
                  <c:pt idx="36">
                    <c:v>2016</c:v>
                  </c:pt>
                  <c:pt idx="48">
                    <c:v>2017</c:v>
                  </c:pt>
                  <c:pt idx="60">
                    <c:v>2018</c:v>
                  </c:pt>
                </c:lvl>
              </c:multiLvlStrCache>
            </c:multiLvlStrRef>
          </c:cat>
          <c:val>
            <c:numRef>
              <c:f>'souhrnná výkonnost 2'!$F$18:$F$80</c:f>
              <c:numCache>
                <c:formatCode>###,###,##0.0</c:formatCode>
                <c:ptCount val="63"/>
                <c:pt idx="0">
                  <c:v>82.8</c:v>
                </c:pt>
                <c:pt idx="1">
                  <c:v>84.2</c:v>
                </c:pt>
                <c:pt idx="2">
                  <c:v>84.4</c:v>
                </c:pt>
                <c:pt idx="3">
                  <c:v>81.900000000000006</c:v>
                </c:pt>
                <c:pt idx="4">
                  <c:v>83.3</c:v>
                </c:pt>
                <c:pt idx="5">
                  <c:v>83.8</c:v>
                </c:pt>
                <c:pt idx="6">
                  <c:v>83.6</c:v>
                </c:pt>
                <c:pt idx="7">
                  <c:v>84.8</c:v>
                </c:pt>
                <c:pt idx="8">
                  <c:v>87.5</c:v>
                </c:pt>
                <c:pt idx="9">
                  <c:v>88.9</c:v>
                </c:pt>
                <c:pt idx="10">
                  <c:v>90.4</c:v>
                </c:pt>
                <c:pt idx="11">
                  <c:v>91.2</c:v>
                </c:pt>
                <c:pt idx="12">
                  <c:v>91.3</c:v>
                </c:pt>
                <c:pt idx="13">
                  <c:v>91.2</c:v>
                </c:pt>
                <c:pt idx="14">
                  <c:v>92.4</c:v>
                </c:pt>
                <c:pt idx="15">
                  <c:v>92.6</c:v>
                </c:pt>
                <c:pt idx="16">
                  <c:v>92.6</c:v>
                </c:pt>
                <c:pt idx="17">
                  <c:v>93.6</c:v>
                </c:pt>
                <c:pt idx="18" formatCode="###,###,##0">
                  <c:v>93</c:v>
                </c:pt>
                <c:pt idx="19">
                  <c:v>93.4</c:v>
                </c:pt>
                <c:pt idx="20">
                  <c:v>93.7</c:v>
                </c:pt>
                <c:pt idx="21">
                  <c:v>94.1</c:v>
                </c:pt>
                <c:pt idx="22">
                  <c:v>95.2</c:v>
                </c:pt>
                <c:pt idx="23">
                  <c:v>96.5</c:v>
                </c:pt>
                <c:pt idx="24">
                  <c:v>96.4</c:v>
                </c:pt>
                <c:pt idx="25">
                  <c:v>95.5</c:v>
                </c:pt>
                <c:pt idx="26">
                  <c:v>95.1</c:v>
                </c:pt>
                <c:pt idx="27">
                  <c:v>95.1</c:v>
                </c:pt>
                <c:pt idx="28">
                  <c:v>95.5</c:v>
                </c:pt>
                <c:pt idx="29" formatCode="###,###,##0">
                  <c:v>97</c:v>
                </c:pt>
                <c:pt idx="30">
                  <c:v>96.1</c:v>
                </c:pt>
                <c:pt idx="31">
                  <c:v>95.7</c:v>
                </c:pt>
                <c:pt idx="32">
                  <c:v>95.9</c:v>
                </c:pt>
                <c:pt idx="33">
                  <c:v>95.1</c:v>
                </c:pt>
                <c:pt idx="34" formatCode="###,###,##0">
                  <c:v>96</c:v>
                </c:pt>
                <c:pt idx="35">
                  <c:v>96.5</c:v>
                </c:pt>
                <c:pt idx="36" formatCode="0.0">
                  <c:v>98.4</c:v>
                </c:pt>
                <c:pt idx="37" formatCode="0.0">
                  <c:v>97.1</c:v>
                </c:pt>
                <c:pt idx="38" formatCode="0.0">
                  <c:v>96.7</c:v>
                </c:pt>
                <c:pt idx="39" formatCode="0.0">
                  <c:v>95.6</c:v>
                </c:pt>
                <c:pt idx="40" formatCode="0.0">
                  <c:v>96</c:v>
                </c:pt>
                <c:pt idx="41" formatCode="0.0">
                  <c:v>95.3</c:v>
                </c:pt>
                <c:pt idx="42" formatCode="0.0">
                  <c:v>95.4</c:v>
                </c:pt>
                <c:pt idx="43" formatCode="0.0">
                  <c:v>96.8</c:v>
                </c:pt>
                <c:pt idx="44" formatCode="0.0">
                  <c:v>97.1</c:v>
                </c:pt>
                <c:pt idx="45" formatCode="0.0">
                  <c:v>97.5</c:v>
                </c:pt>
                <c:pt idx="46" formatCode="0.0">
                  <c:v>99.3</c:v>
                </c:pt>
                <c:pt idx="47" formatCode="0.0">
                  <c:v>99.1</c:v>
                </c:pt>
                <c:pt idx="48" formatCode="0.0">
                  <c:v>99.2</c:v>
                </c:pt>
                <c:pt idx="49" formatCode="0.0">
                  <c:v>98</c:v>
                </c:pt>
                <c:pt idx="50" formatCode="0.0">
                  <c:v>96.6</c:v>
                </c:pt>
                <c:pt idx="51" formatCode="0.0">
                  <c:v>97.4</c:v>
                </c:pt>
                <c:pt idx="52" formatCode="0.0">
                  <c:v>97.2</c:v>
                </c:pt>
                <c:pt idx="53" formatCode="0.0">
                  <c:v>97.1</c:v>
                </c:pt>
                <c:pt idx="54" formatCode="0.0">
                  <c:v>97.7</c:v>
                </c:pt>
                <c:pt idx="55" formatCode="0.0">
                  <c:v>98.7</c:v>
                </c:pt>
                <c:pt idx="56" formatCode="0.0">
                  <c:v>99.1</c:v>
                </c:pt>
                <c:pt idx="57" formatCode="0.0">
                  <c:v>99.3</c:v>
                </c:pt>
                <c:pt idx="58" formatCode="0.0">
                  <c:v>99</c:v>
                </c:pt>
                <c:pt idx="59" formatCode="0.0">
                  <c:v>99.6</c:v>
                </c:pt>
                <c:pt idx="60" formatCode="0.0">
                  <c:v>99.5</c:v>
                </c:pt>
                <c:pt idx="61" formatCode="0.0">
                  <c:v>99.9</c:v>
                </c:pt>
                <c:pt idx="62" formatCode="0.0">
                  <c:v>99.7</c:v>
                </c:pt>
              </c:numCache>
            </c:numRef>
          </c:val>
          <c:extLst xmlns:c16r2="http://schemas.microsoft.com/office/drawing/2015/06/chart">
            <c:ext xmlns:c16="http://schemas.microsoft.com/office/drawing/2014/chart" uri="{C3380CC4-5D6E-409C-BE32-E72D297353CC}">
              <c16:uniqueId val="{00000003-2864-4479-85CF-8E87F911FD9C}"/>
            </c:ext>
          </c:extLst>
        </c:ser>
        <c:marker val="1"/>
        <c:axId val="128175488"/>
        <c:axId val="128349312"/>
      </c:lineChart>
      <c:catAx>
        <c:axId val="128175488"/>
        <c:scaling>
          <c:orientation val="minMax"/>
        </c:scaling>
        <c:axPos val="b"/>
        <c:numFmt formatCode="General" sourceLinked="0"/>
        <c:tickLblPos val="low"/>
        <c:spPr>
          <a:ln>
            <a:solidFill>
              <a:schemeClr val="tx1"/>
            </a:solidFill>
          </a:ln>
        </c:spPr>
        <c:crossAx val="128349312"/>
        <c:crossesAt val="100"/>
        <c:auto val="1"/>
        <c:lblAlgn val="ctr"/>
        <c:lblOffset val="100"/>
      </c:catAx>
      <c:valAx>
        <c:axId val="128349312"/>
        <c:scaling>
          <c:orientation val="minMax"/>
          <c:min val="70"/>
        </c:scaling>
        <c:axPos val="l"/>
        <c:majorGridlines>
          <c:spPr>
            <a:ln w="6350">
              <a:solidFill>
                <a:schemeClr val="bg1">
                  <a:lumMod val="75000"/>
                </a:schemeClr>
              </a:solidFill>
            </a:ln>
          </c:spPr>
        </c:majorGridlines>
        <c:numFmt formatCode="#,##0" sourceLinked="0"/>
        <c:tickLblPos val="nextTo"/>
        <c:spPr>
          <a:ln>
            <a:solidFill>
              <a:schemeClr val="tx1"/>
            </a:solidFill>
          </a:ln>
        </c:spPr>
        <c:crossAx val="128175488"/>
        <c:crosses val="autoZero"/>
        <c:crossBetween val="between"/>
        <c:majorUnit val="5"/>
      </c:valAx>
      <c:valAx>
        <c:axId val="128571264"/>
        <c:scaling>
          <c:orientation val="minMax"/>
          <c:min val="-2"/>
        </c:scaling>
        <c:axPos val="r"/>
        <c:numFmt formatCode="0" sourceLinked="0"/>
        <c:tickLblPos val="nextTo"/>
        <c:spPr>
          <a:ln>
            <a:solidFill>
              <a:schemeClr val="tx1"/>
            </a:solidFill>
          </a:ln>
        </c:spPr>
        <c:crossAx val="128954368"/>
        <c:crosses val="max"/>
        <c:crossBetween val="between"/>
        <c:majorUnit val="1"/>
      </c:valAx>
      <c:catAx>
        <c:axId val="128954368"/>
        <c:scaling>
          <c:orientation val="minMax"/>
        </c:scaling>
        <c:delete val="1"/>
        <c:axPos val="b"/>
        <c:tickLblPos val="none"/>
        <c:crossAx val="128571264"/>
        <c:crossesAt val="0"/>
        <c:auto val="1"/>
        <c:lblAlgn val="ctr"/>
        <c:lblOffset val="100"/>
      </c:catAx>
      <c:spPr>
        <a:ln>
          <a:solidFill>
            <a:schemeClr val="tx1"/>
          </a:solidFill>
        </a:ln>
      </c:spPr>
    </c:plotArea>
    <c:legend>
      <c:legendPos val="b"/>
      <c:layout>
        <c:manualLayout>
          <c:xMode val="edge"/>
          <c:yMode val="edge"/>
          <c:x val="6.2295583422442583E-2"/>
          <c:y val="0.90228835978834832"/>
          <c:w val="0.88075331324325201"/>
          <c:h val="8.2645784081954179E-2"/>
        </c:manualLayout>
      </c:layout>
      <c:spPr>
        <a:ln w="6350">
          <a:solidFill>
            <a:schemeClr val="tx1"/>
          </a:solidFill>
        </a:ln>
      </c:spPr>
    </c:legend>
    <c:plotVisOnly val="1"/>
    <c:dispBlanksAs val="gap"/>
  </c:chart>
  <c:spPr>
    <a:ln>
      <a:noFill/>
    </a:ln>
  </c:spPr>
  <c:txPr>
    <a:bodyPr/>
    <a:lstStyle/>
    <a:p>
      <a:pPr>
        <a:defRPr sz="800" baseline="0">
          <a:latin typeface="Arial" pitchFamily="34" charset="0"/>
        </a:defRPr>
      </a:pPr>
      <a:endParaRPr lang="cs-CZ"/>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4.6948352704928246E-2"/>
          <c:y val="2.8458510079622041E-2"/>
          <c:w val="0.93956464282120356"/>
          <c:h val="0.6497469886299676"/>
        </c:manualLayout>
      </c:layout>
      <c:barChart>
        <c:barDir val="col"/>
        <c:grouping val="stacked"/>
        <c:ser>
          <c:idx val="5"/>
          <c:order val="1"/>
          <c:tx>
            <c:strRef>
              <c:f>'souhrnná výkonnost 3'!$D$5</c:f>
              <c:strCache>
                <c:ptCount val="1"/>
                <c:pt idx="0">
                  <c:v>Výdaje na konečnou spotřebu domácností (vč. nezisk. inst.)</c:v>
                </c:pt>
              </c:strCache>
            </c:strRef>
          </c:tx>
          <c:spPr>
            <a:solidFill>
              <a:srgbClr val="0071BC"/>
            </a:solidFill>
            <a:ln>
              <a:noFill/>
            </a:ln>
          </c:spPr>
          <c:val>
            <c:numRef>
              <c:f>'souhrnná výkonnost 3'!$D$10:$D$30</c:f>
              <c:numCache>
                <c:formatCode>#,##0.0</c:formatCode>
                <c:ptCount val="21"/>
                <c:pt idx="0">
                  <c:v>0.40597446298277318</c:v>
                </c:pt>
                <c:pt idx="1">
                  <c:v>0.39628462481418014</c:v>
                </c:pt>
                <c:pt idx="2">
                  <c:v>0.10072438430113233</c:v>
                </c:pt>
                <c:pt idx="3">
                  <c:v>-0.14406158457489432</c:v>
                </c:pt>
                <c:pt idx="4">
                  <c:v>-0.34191572959569688</c:v>
                </c:pt>
                <c:pt idx="5">
                  <c:v>9.7087013192332962E-3</c:v>
                </c:pt>
                <c:pt idx="6">
                  <c:v>0.64253427254961026</c:v>
                </c:pt>
                <c:pt idx="7">
                  <c:v>1.1251586350776599</c:v>
                </c:pt>
                <c:pt idx="8">
                  <c:v>0.95997122154132164</c:v>
                </c:pt>
                <c:pt idx="9">
                  <c:v>0.88408623556808263</c:v>
                </c:pt>
                <c:pt idx="10">
                  <c:v>0.95575812400738969</c:v>
                </c:pt>
                <c:pt idx="11">
                  <c:v>1.1865803170343918</c:v>
                </c:pt>
                <c:pt idx="12">
                  <c:v>1.1220156341618579</c:v>
                </c:pt>
                <c:pt idx="13">
                  <c:v>1.2237539528953938</c:v>
                </c:pt>
                <c:pt idx="14">
                  <c:v>1.3569499033616681</c:v>
                </c:pt>
                <c:pt idx="15">
                  <c:v>1.1074362042969432</c:v>
                </c:pt>
                <c:pt idx="16">
                  <c:v>1.2025337500171169</c:v>
                </c:pt>
                <c:pt idx="17">
                  <c:v>1.5198615730404297</c:v>
                </c:pt>
                <c:pt idx="18">
                  <c:v>1.4537431895750188</c:v>
                </c:pt>
                <c:pt idx="19">
                  <c:v>1.3474590682802263</c:v>
                </c:pt>
                <c:pt idx="20">
                  <c:v>1.4337729260640026</c:v>
                </c:pt>
              </c:numCache>
            </c:numRef>
          </c:val>
          <c:extLst xmlns:c16r2="http://schemas.microsoft.com/office/drawing/2015/06/chart">
            <c:ext xmlns:c16="http://schemas.microsoft.com/office/drawing/2014/chart" uri="{C3380CC4-5D6E-409C-BE32-E72D297353CC}">
              <c16:uniqueId val="{00000000-B1DB-4F7E-881E-3B7EAE5146C6}"/>
            </c:ext>
          </c:extLst>
        </c:ser>
        <c:ser>
          <c:idx val="4"/>
          <c:order val="2"/>
          <c:tx>
            <c:strRef>
              <c:f>'souhrnná výkonnost 3'!$E$5</c:f>
              <c:strCache>
                <c:ptCount val="1"/>
                <c:pt idx="0">
                  <c:v>Výdaje na konečnou spotřebu vládních institucí</c:v>
                </c:pt>
              </c:strCache>
            </c:strRef>
          </c:tx>
          <c:spPr>
            <a:solidFill>
              <a:srgbClr val="A6CDE8"/>
            </a:solidFill>
            <a:ln>
              <a:noFill/>
            </a:ln>
          </c:spPr>
          <c:val>
            <c:numRef>
              <c:f>'souhrnná výkonnost 3'!$E$10:$E$30</c:f>
              <c:numCache>
                <c:formatCode>#,##0.0</c:formatCode>
                <c:ptCount val="21"/>
                <c:pt idx="0">
                  <c:v>0.29182349651824407</c:v>
                </c:pt>
                <c:pt idx="1">
                  <c:v>0.39883827436685659</c:v>
                </c:pt>
                <c:pt idx="2">
                  <c:v>0.61835595894915063</c:v>
                </c:pt>
                <c:pt idx="3">
                  <c:v>0.49997414143888647</c:v>
                </c:pt>
                <c:pt idx="4">
                  <c:v>0.24721977925322491</c:v>
                </c:pt>
                <c:pt idx="5">
                  <c:v>0.35050574751400482</c:v>
                </c:pt>
                <c:pt idx="6">
                  <c:v>8.4527746237017268E-2</c:v>
                </c:pt>
                <c:pt idx="7">
                  <c:v>0.28017531603180978</c:v>
                </c:pt>
                <c:pt idx="8">
                  <c:v>0.38357064060773188</c:v>
                </c:pt>
                <c:pt idx="9">
                  <c:v>0.38665927191985799</c:v>
                </c:pt>
                <c:pt idx="10">
                  <c:v>0.60627283851832292</c:v>
                </c:pt>
                <c:pt idx="11">
                  <c:v>0.56397068952036067</c:v>
                </c:pt>
                <c:pt idx="12">
                  <c:v>0.33602244816001198</c:v>
                </c:pt>
                <c:pt idx="13">
                  <c:v>0.41149308080534752</c:v>
                </c:pt>
                <c:pt idx="14">
                  <c:v>0.34012884179959213</c:v>
                </c:pt>
                <c:pt idx="15">
                  <c:v>0.38625993829935446</c:v>
                </c:pt>
                <c:pt idx="16">
                  <c:v>0.36781951994511447</c:v>
                </c:pt>
                <c:pt idx="17">
                  <c:v>0.25715463163388091</c:v>
                </c:pt>
                <c:pt idx="18">
                  <c:v>0.15191857060630096</c:v>
                </c:pt>
                <c:pt idx="19">
                  <c:v>0.33292001531964377</c:v>
                </c:pt>
                <c:pt idx="20">
                  <c:v>0.67317929344939575</c:v>
                </c:pt>
              </c:numCache>
            </c:numRef>
          </c:val>
          <c:extLst xmlns:c16r2="http://schemas.microsoft.com/office/drawing/2015/06/chart">
            <c:ext xmlns:c16="http://schemas.microsoft.com/office/drawing/2014/chart" uri="{C3380CC4-5D6E-409C-BE32-E72D297353CC}">
              <c16:uniqueId val="{00000001-B1DB-4F7E-881E-3B7EAE5146C6}"/>
            </c:ext>
          </c:extLst>
        </c:ser>
        <c:ser>
          <c:idx val="3"/>
          <c:order val="3"/>
          <c:tx>
            <c:strRef>
              <c:f>'souhrnná výkonnost 3'!$J$5</c:f>
              <c:strCache>
                <c:ptCount val="1"/>
                <c:pt idx="0">
                  <c:v>Tvorba hrubého kapitálu</c:v>
                </c:pt>
              </c:strCache>
            </c:strRef>
          </c:tx>
          <c:spPr>
            <a:solidFill>
              <a:srgbClr val="BD1B21"/>
            </a:solidFill>
            <a:ln>
              <a:noFill/>
            </a:ln>
          </c:spPr>
          <c:val>
            <c:numRef>
              <c:f>'souhrnná výkonnost 3'!$J$10:$J$30</c:f>
              <c:numCache>
                <c:formatCode>#,##0.0</c:formatCode>
                <c:ptCount val="21"/>
                <c:pt idx="0">
                  <c:v>-1.3565544302682286</c:v>
                </c:pt>
                <c:pt idx="1">
                  <c:v>-2.8562021180192461</c:v>
                </c:pt>
                <c:pt idx="2">
                  <c:v>-8.4137958812873268E-2</c:v>
                </c:pt>
                <c:pt idx="3">
                  <c:v>0.37641310849768217</c:v>
                </c:pt>
                <c:pt idx="4">
                  <c:v>-6.4170550848270419E-2</c:v>
                </c:pt>
                <c:pt idx="5">
                  <c:v>1.7430618188600779</c:v>
                </c:pt>
                <c:pt idx="6">
                  <c:v>1.1896585270876041</c:v>
                </c:pt>
                <c:pt idx="7">
                  <c:v>0.47136437602728992</c:v>
                </c:pt>
                <c:pt idx="8">
                  <c:v>2.9955795503812261</c:v>
                </c:pt>
                <c:pt idx="9">
                  <c:v>3.9933821348839977</c:v>
                </c:pt>
                <c:pt idx="10">
                  <c:v>2.7509879948883791</c:v>
                </c:pt>
                <c:pt idx="11">
                  <c:v>1.0081351317911877</c:v>
                </c:pt>
                <c:pt idx="12">
                  <c:v>1.0272325419063311</c:v>
                </c:pt>
                <c:pt idx="13">
                  <c:v>-0.96970178006982655</c:v>
                </c:pt>
                <c:pt idx="14">
                  <c:v>-0.51361070113589125</c:v>
                </c:pt>
                <c:pt idx="15">
                  <c:v>-0.21929835975159706</c:v>
                </c:pt>
                <c:pt idx="16">
                  <c:v>-0.71064964555404375</c:v>
                </c:pt>
                <c:pt idx="17">
                  <c:v>0.67569756300960804</c:v>
                </c:pt>
                <c:pt idx="18">
                  <c:v>1.855941888973228</c:v>
                </c:pt>
                <c:pt idx="19">
                  <c:v>2.6777508125446454</c:v>
                </c:pt>
                <c:pt idx="20">
                  <c:v>2.7944596445408467</c:v>
                </c:pt>
              </c:numCache>
            </c:numRef>
          </c:val>
          <c:extLst xmlns:c16r2="http://schemas.microsoft.com/office/drawing/2015/06/chart">
            <c:ext xmlns:c16="http://schemas.microsoft.com/office/drawing/2014/chart" uri="{C3380CC4-5D6E-409C-BE32-E72D297353CC}">
              <c16:uniqueId val="{00000002-B1DB-4F7E-881E-3B7EAE5146C6}"/>
            </c:ext>
          </c:extLst>
        </c:ser>
        <c:ser>
          <c:idx val="1"/>
          <c:order val="4"/>
          <c:tx>
            <c:strRef>
              <c:f>'souhrnná výkonnost 3'!$H$5</c:f>
              <c:strCache>
                <c:ptCount val="1"/>
                <c:pt idx="0">
                  <c:v>Bilance zahraničního obchodu</c:v>
                </c:pt>
              </c:strCache>
            </c:strRef>
          </c:tx>
          <c:spPr>
            <a:solidFill>
              <a:srgbClr val="7DBB2D"/>
            </a:solidFill>
            <a:ln>
              <a:noFill/>
            </a:ln>
          </c:spPr>
          <c:val>
            <c:numRef>
              <c:f>'souhrnná výkonnost 3'!$H$10:$H$30</c:f>
              <c:numCache>
                <c:formatCode>#,##0.0</c:formatCode>
                <c:ptCount val="21"/>
                <c:pt idx="0">
                  <c:v>-1.1212550998305821</c:v>
                </c:pt>
                <c:pt idx="1">
                  <c:v>0.9252348796539569</c:v>
                </c:pt>
                <c:pt idx="2">
                  <c:v>-1.0354508778144438</c:v>
                </c:pt>
                <c:pt idx="3">
                  <c:v>0.55721121063308743</c:v>
                </c:pt>
                <c:pt idx="4">
                  <c:v>1.8103959293542562</c:v>
                </c:pt>
                <c:pt idx="5">
                  <c:v>0.25488320151706267</c:v>
                </c:pt>
                <c:pt idx="6">
                  <c:v>1.4703836206344318</c:v>
                </c:pt>
                <c:pt idx="7">
                  <c:v>1.4755173751571298</c:v>
                </c:pt>
                <c:pt idx="8">
                  <c:v>0.87272638799769453</c:v>
                </c:pt>
                <c:pt idx="9">
                  <c:v>0.5694904689740552</c:v>
                </c:pt>
                <c:pt idx="10">
                  <c:v>1.4129769441296798</c:v>
                </c:pt>
                <c:pt idx="11">
                  <c:v>2.1454473232097371</c:v>
                </c:pt>
                <c:pt idx="12">
                  <c:v>1.0557081561567809</c:v>
                </c:pt>
                <c:pt idx="13">
                  <c:v>2.1497156642817226</c:v>
                </c:pt>
                <c:pt idx="14">
                  <c:v>0.65091766010359686</c:v>
                </c:pt>
                <c:pt idx="15">
                  <c:v>0.49410742924883838</c:v>
                </c:pt>
                <c:pt idx="16">
                  <c:v>2.1207815447197071</c:v>
                </c:pt>
                <c:pt idx="17">
                  <c:v>2.1577005009877182</c:v>
                </c:pt>
                <c:pt idx="18">
                  <c:v>1.6906129693926195</c:v>
                </c:pt>
                <c:pt idx="19">
                  <c:v>1.1648945365453223</c:v>
                </c:pt>
                <c:pt idx="20">
                  <c:v>-0.59780185322869916</c:v>
                </c:pt>
              </c:numCache>
            </c:numRef>
          </c:val>
          <c:extLst xmlns:c16r2="http://schemas.microsoft.com/office/drawing/2015/06/chart">
            <c:ext xmlns:c16="http://schemas.microsoft.com/office/drawing/2014/chart" uri="{C3380CC4-5D6E-409C-BE32-E72D297353CC}">
              <c16:uniqueId val="{00000003-B1DB-4F7E-881E-3B7EAE5146C6}"/>
            </c:ext>
          </c:extLst>
        </c:ser>
        <c:gapWidth val="40"/>
        <c:overlap val="100"/>
        <c:axId val="127341696"/>
        <c:axId val="127343232"/>
      </c:barChart>
      <c:lineChart>
        <c:grouping val="standard"/>
        <c:ser>
          <c:idx val="0"/>
          <c:order val="0"/>
          <c:tx>
            <c:strRef>
              <c:f>'souhrnná výkonnost 3'!$C$5</c:f>
              <c:strCache>
                <c:ptCount val="1"/>
                <c:pt idx="0">
                  <c:v>HDP</c:v>
                </c:pt>
              </c:strCache>
            </c:strRef>
          </c:tx>
          <c:spPr>
            <a:ln>
              <a:solidFill>
                <a:prstClr val="black"/>
              </a:solidFill>
            </a:ln>
          </c:spPr>
          <c:marker>
            <c:symbol val="none"/>
          </c:marker>
          <c:cat>
            <c:multiLvlStrRef>
              <c:f>'souhrnná výkonnost 3'!$A$10:$B$30</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2013</c:v>
                  </c:pt>
                  <c:pt idx="4">
                    <c:v>2014</c:v>
                  </c:pt>
                  <c:pt idx="8">
                    <c:v>2015</c:v>
                  </c:pt>
                  <c:pt idx="12">
                    <c:v>2016</c:v>
                  </c:pt>
                  <c:pt idx="16">
                    <c:v>2017</c:v>
                  </c:pt>
                  <c:pt idx="20">
                    <c:v>2018</c:v>
                  </c:pt>
                </c:lvl>
              </c:multiLvlStrCache>
            </c:multiLvlStrRef>
          </c:cat>
          <c:val>
            <c:numRef>
              <c:f>'souhrnná výkonnost 3'!$C$10:$C$30</c:f>
              <c:numCache>
                <c:formatCode>#,##0.0</c:formatCode>
                <c:ptCount val="21"/>
                <c:pt idx="0">
                  <c:v>-1.7511683134985219</c:v>
                </c:pt>
                <c:pt idx="1">
                  <c:v>-1.1225511599608673</c:v>
                </c:pt>
                <c:pt idx="2">
                  <c:v>-0.3518733567189688</c:v>
                </c:pt>
                <c:pt idx="3">
                  <c:v>1.3064560933108733</c:v>
                </c:pt>
                <c:pt idx="4">
                  <c:v>1.6429599808675184</c:v>
                </c:pt>
                <c:pt idx="5">
                  <c:v>2.3799805658291784</c:v>
                </c:pt>
                <c:pt idx="6">
                  <c:v>3.4230245978215139</c:v>
                </c:pt>
                <c:pt idx="7">
                  <c:v>3.3995906259397533</c:v>
                </c:pt>
                <c:pt idx="8">
                  <c:v>5.1925064933037408</c:v>
                </c:pt>
                <c:pt idx="9">
                  <c:v>5.7975635091598674</c:v>
                </c:pt>
                <c:pt idx="10">
                  <c:v>5.6880631454161934</c:v>
                </c:pt>
                <c:pt idx="11">
                  <c:v>4.8805659438942506</c:v>
                </c:pt>
                <c:pt idx="12">
                  <c:v>3.5407072168947602</c:v>
                </c:pt>
                <c:pt idx="13">
                  <c:v>2.8476334361616584</c:v>
                </c:pt>
                <c:pt idx="14">
                  <c:v>1.84383048147855</c:v>
                </c:pt>
                <c:pt idx="15">
                  <c:v>1.7657540045284734</c:v>
                </c:pt>
                <c:pt idx="16">
                  <c:v>3.0212086796601767</c:v>
                </c:pt>
                <c:pt idx="17">
                  <c:v>4.6357209710506995</c:v>
                </c:pt>
                <c:pt idx="18">
                  <c:v>5.1854722523414045</c:v>
                </c:pt>
                <c:pt idx="19">
                  <c:v>5.5424958733431176</c:v>
                </c:pt>
                <c:pt idx="20">
                  <c:v>4.3580475997234274</c:v>
                </c:pt>
              </c:numCache>
            </c:numRef>
          </c:val>
          <c:extLst xmlns:c16r2="http://schemas.microsoft.com/office/drawing/2015/06/chart">
            <c:ext xmlns:c16="http://schemas.microsoft.com/office/drawing/2014/chart" uri="{C3380CC4-5D6E-409C-BE32-E72D297353CC}">
              <c16:uniqueId val="{00000004-B1DB-4F7E-881E-3B7EAE5146C6}"/>
            </c:ext>
          </c:extLst>
        </c:ser>
        <c:marker val="1"/>
        <c:axId val="127341696"/>
        <c:axId val="127343232"/>
      </c:lineChart>
      <c:catAx>
        <c:axId val="127341696"/>
        <c:scaling>
          <c:orientation val="minMax"/>
        </c:scaling>
        <c:axPos val="b"/>
        <c:tickLblPos val="low"/>
        <c:spPr>
          <a:ln>
            <a:solidFill>
              <a:schemeClr val="tx1"/>
            </a:solidFill>
          </a:ln>
        </c:spPr>
        <c:txPr>
          <a:bodyPr rot="0" vert="horz"/>
          <a:lstStyle/>
          <a:p>
            <a:pPr>
              <a:defRPr/>
            </a:pPr>
            <a:endParaRPr lang="cs-CZ"/>
          </a:p>
        </c:txPr>
        <c:crossAx val="127343232"/>
        <c:crosses val="autoZero"/>
        <c:auto val="1"/>
        <c:lblAlgn val="ctr"/>
        <c:lblOffset val="100"/>
      </c:catAx>
      <c:valAx>
        <c:axId val="127343232"/>
        <c:scaling>
          <c:orientation val="minMax"/>
          <c:max val="6"/>
          <c:min val="-4"/>
        </c:scaling>
        <c:axPos val="l"/>
        <c:majorGridlines>
          <c:spPr>
            <a:ln w="6350">
              <a:solidFill>
                <a:schemeClr val="bg1">
                  <a:lumMod val="75000"/>
                </a:schemeClr>
              </a:solidFill>
            </a:ln>
          </c:spPr>
        </c:majorGridlines>
        <c:numFmt formatCode="#,##0" sourceLinked="0"/>
        <c:tickLblPos val="nextTo"/>
        <c:spPr>
          <a:ln>
            <a:solidFill>
              <a:schemeClr val="tx1"/>
            </a:solidFill>
          </a:ln>
        </c:spPr>
        <c:crossAx val="127341696"/>
        <c:crosses val="autoZero"/>
        <c:crossBetween val="between"/>
        <c:majorUnit val="1"/>
      </c:valAx>
      <c:spPr>
        <a:ln>
          <a:solidFill>
            <a:schemeClr val="tx1"/>
          </a:solidFill>
        </a:ln>
      </c:spPr>
    </c:plotArea>
    <c:legend>
      <c:legendPos val="b"/>
      <c:layout>
        <c:manualLayout>
          <c:xMode val="edge"/>
          <c:yMode val="edge"/>
          <c:x val="4.4891184424094004E-2"/>
          <c:y val="0.79301446583361457"/>
          <c:w val="0.94049666651103803"/>
          <c:h val="0.19014325115388939"/>
        </c:manualLayout>
      </c:layout>
      <c:spPr>
        <a:ln w="6350">
          <a:solidFill>
            <a:schemeClr val="tx1"/>
          </a:solidFill>
        </a:ln>
      </c:spPr>
    </c:legend>
    <c:plotVisOnly val="1"/>
    <c:dispBlanksAs val="gap"/>
  </c:chart>
  <c:spPr>
    <a:ln>
      <a:noFill/>
    </a:ln>
  </c:spPr>
  <c:txPr>
    <a:bodyPr/>
    <a:lstStyle/>
    <a:p>
      <a:pPr>
        <a:defRPr sz="800" baseline="0">
          <a:latin typeface="Arial" pitchFamily="34" charset="0"/>
        </a:defRPr>
      </a:pPr>
      <a:endParaRPr lang="cs-CZ"/>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cs-CZ"/>
  <c:chart>
    <c:plotArea>
      <c:layout>
        <c:manualLayout>
          <c:layoutTarget val="inner"/>
          <c:xMode val="edge"/>
          <c:yMode val="edge"/>
          <c:x val="4.4404035346809034E-2"/>
          <c:y val="3.7154479717354444E-2"/>
          <c:w val="0.93674937195830565"/>
          <c:h val="0.63445260610154264"/>
        </c:manualLayout>
      </c:layout>
      <c:barChart>
        <c:barDir val="col"/>
        <c:grouping val="stacked"/>
        <c:ser>
          <c:idx val="4"/>
          <c:order val="0"/>
          <c:tx>
            <c:strRef>
              <c:f>'souhrnná výkonnost 4'!$C$5</c:f>
              <c:strCache>
                <c:ptCount val="1"/>
                <c:pt idx="0">
                  <c:v>Zemědělství, lesnictví a rybářství</c:v>
                </c:pt>
              </c:strCache>
            </c:strRef>
          </c:tx>
          <c:spPr>
            <a:solidFill>
              <a:srgbClr val="0071BC"/>
            </a:solidFill>
            <a:ln>
              <a:noFill/>
            </a:ln>
          </c:spPr>
          <c:val>
            <c:numRef>
              <c:f>'souhrnná výkonnost 4'!$C$10:$C$30</c:f>
              <c:numCache>
                <c:formatCode>#,##0.0</c:formatCode>
                <c:ptCount val="21"/>
                <c:pt idx="0">
                  <c:v>-4.4699648816173963E-2</c:v>
                </c:pt>
                <c:pt idx="1">
                  <c:v>-0.11466415714156022</c:v>
                </c:pt>
                <c:pt idx="2">
                  <c:v>-8.9941431175314654E-2</c:v>
                </c:pt>
                <c:pt idx="3">
                  <c:v>-6.1245633202245504E-3</c:v>
                </c:pt>
                <c:pt idx="4">
                  <c:v>9.4292717552419927E-2</c:v>
                </c:pt>
                <c:pt idx="5">
                  <c:v>0.23066713743345141</c:v>
                </c:pt>
                <c:pt idx="6">
                  <c:v>0.28225153901065836</c:v>
                </c:pt>
                <c:pt idx="7">
                  <c:v>0.25865050341724682</c:v>
                </c:pt>
                <c:pt idx="8">
                  <c:v>0.23212940732551363</c:v>
                </c:pt>
                <c:pt idx="9">
                  <c:v>0.1520317256375732</c:v>
                </c:pt>
                <c:pt idx="10">
                  <c:v>0.12105185814488691</c:v>
                </c:pt>
                <c:pt idx="11">
                  <c:v>0.10040192706674</c:v>
                </c:pt>
                <c:pt idx="12">
                  <c:v>0.13948598928958914</c:v>
                </c:pt>
                <c:pt idx="13">
                  <c:v>0.21123863898894896</c:v>
                </c:pt>
                <c:pt idx="14">
                  <c:v>0.25388757271339668</c:v>
                </c:pt>
                <c:pt idx="15">
                  <c:v>0.31895578114069612</c:v>
                </c:pt>
                <c:pt idx="16">
                  <c:v>0.22480499381572999</c:v>
                </c:pt>
                <c:pt idx="17">
                  <c:v>0.15032927996511797</c:v>
                </c:pt>
                <c:pt idx="18">
                  <c:v>7.3800428420055311E-2</c:v>
                </c:pt>
                <c:pt idx="19">
                  <c:v>1.9111338123833803E-2</c:v>
                </c:pt>
                <c:pt idx="20">
                  <c:v>5.738275883959254E-2</c:v>
                </c:pt>
              </c:numCache>
            </c:numRef>
          </c:val>
          <c:extLst xmlns:c16r2="http://schemas.microsoft.com/office/drawing/2015/06/chart">
            <c:ext xmlns:c16="http://schemas.microsoft.com/office/drawing/2014/chart" uri="{C3380CC4-5D6E-409C-BE32-E72D297353CC}">
              <c16:uniqueId val="{00000000-C618-4399-B545-1DD501F04BF6}"/>
            </c:ext>
          </c:extLst>
        </c:ser>
        <c:ser>
          <c:idx val="3"/>
          <c:order val="1"/>
          <c:tx>
            <c:strRef>
              <c:f>'souhrnná výkonnost 4'!$D$5</c:f>
              <c:strCache>
                <c:ptCount val="1"/>
                <c:pt idx="0">
                  <c:v>Zpracovatelský průmysl (CZ-NACE C)</c:v>
                </c:pt>
              </c:strCache>
            </c:strRef>
          </c:tx>
          <c:spPr>
            <a:solidFill>
              <a:srgbClr val="A6CDE8"/>
            </a:solidFill>
            <a:ln>
              <a:noFill/>
            </a:ln>
          </c:spPr>
          <c:val>
            <c:numRef>
              <c:f>'souhrnná výkonnost 4'!$D$10:$D$30</c:f>
              <c:numCache>
                <c:formatCode>#,##0.0</c:formatCode>
                <c:ptCount val="21"/>
                <c:pt idx="0">
                  <c:v>-0.80190174195229758</c:v>
                </c:pt>
                <c:pt idx="1">
                  <c:v>-0.63316913532183261</c:v>
                </c:pt>
                <c:pt idx="2">
                  <c:v>-0.65799971762021314</c:v>
                </c:pt>
                <c:pt idx="3">
                  <c:v>-0.58767125058761094</c:v>
                </c:pt>
                <c:pt idx="4">
                  <c:v>0.42644472608070588</c:v>
                </c:pt>
                <c:pt idx="5">
                  <c:v>1.178448005927454</c:v>
                </c:pt>
                <c:pt idx="6">
                  <c:v>1.9647971967562243</c:v>
                </c:pt>
                <c:pt idx="7">
                  <c:v>2.5537051626784919</c:v>
                </c:pt>
                <c:pt idx="8">
                  <c:v>2.1475915738728957</c:v>
                </c:pt>
                <c:pt idx="9">
                  <c:v>1.6168176401101699</c:v>
                </c:pt>
                <c:pt idx="10">
                  <c:v>1.4273430373181213</c:v>
                </c:pt>
                <c:pt idx="11">
                  <c:v>0.65919178057128802</c:v>
                </c:pt>
                <c:pt idx="12">
                  <c:v>1.173280211476434</c:v>
                </c:pt>
                <c:pt idx="13">
                  <c:v>1.8410958326095357</c:v>
                </c:pt>
                <c:pt idx="14">
                  <c:v>1.8947926754069069</c:v>
                </c:pt>
                <c:pt idx="15">
                  <c:v>2.2492756428608232</c:v>
                </c:pt>
                <c:pt idx="16">
                  <c:v>1.8731184553130455</c:v>
                </c:pt>
                <c:pt idx="17">
                  <c:v>2.1218663399409237</c:v>
                </c:pt>
                <c:pt idx="18">
                  <c:v>2.1679386523195134</c:v>
                </c:pt>
                <c:pt idx="19">
                  <c:v>2.0393058810686737</c:v>
                </c:pt>
                <c:pt idx="20">
                  <c:v>1.6224354632213414</c:v>
                </c:pt>
              </c:numCache>
            </c:numRef>
          </c:val>
          <c:extLst xmlns:c16r2="http://schemas.microsoft.com/office/drawing/2015/06/chart">
            <c:ext xmlns:c16="http://schemas.microsoft.com/office/drawing/2014/chart" uri="{C3380CC4-5D6E-409C-BE32-E72D297353CC}">
              <c16:uniqueId val="{00000001-C618-4399-B545-1DD501F04BF6}"/>
            </c:ext>
          </c:extLst>
        </c:ser>
        <c:ser>
          <c:idx val="2"/>
          <c:order val="2"/>
          <c:tx>
            <c:strRef>
              <c:f>'souhrnná výkonnost 4'!$E$5</c:f>
              <c:strCache>
                <c:ptCount val="1"/>
                <c:pt idx="0">
                  <c:v>Ostatní průmyslová odvětví (CZ-NACE B,D,E)</c:v>
                </c:pt>
              </c:strCache>
            </c:strRef>
          </c:tx>
          <c:spPr>
            <a:solidFill>
              <a:srgbClr val="BD1B21"/>
            </a:solidFill>
            <a:ln>
              <a:noFill/>
            </a:ln>
          </c:spPr>
          <c:val>
            <c:numRef>
              <c:f>'souhrnná výkonnost 4'!$E$10:$E$30</c:f>
              <c:numCache>
                <c:formatCode>0.0</c:formatCode>
                <c:ptCount val="21"/>
                <c:pt idx="0">
                  <c:v>-0.99676396653493249</c:v>
                </c:pt>
                <c:pt idx="1">
                  <c:v>-0.99862189727618944</c:v>
                </c:pt>
                <c:pt idx="2">
                  <c:v>-0.64102712488527125</c:v>
                </c:pt>
                <c:pt idx="3">
                  <c:v>-0.2376831237571034</c:v>
                </c:pt>
                <c:pt idx="4">
                  <c:v>0.34089568870210385</c:v>
                </c:pt>
                <c:pt idx="5">
                  <c:v>0.10915930557606092</c:v>
                </c:pt>
                <c:pt idx="6">
                  <c:v>-0.12310821189090349</c:v>
                </c:pt>
                <c:pt idx="7">
                  <c:v>-0.11583871117071265</c:v>
                </c:pt>
                <c:pt idx="8">
                  <c:v>-0.13631186616609778</c:v>
                </c:pt>
                <c:pt idx="9">
                  <c:v>2.6986016001622651E-2</c:v>
                </c:pt>
                <c:pt idx="10">
                  <c:v>-2.469676577923785E-2</c:v>
                </c:pt>
                <c:pt idx="11">
                  <c:v>-8.1237409427957444E-2</c:v>
                </c:pt>
                <c:pt idx="12">
                  <c:v>-0.25543575466846813</c:v>
                </c:pt>
                <c:pt idx="13">
                  <c:v>-0.25618357658836155</c:v>
                </c:pt>
                <c:pt idx="14">
                  <c:v>-0.25707513578312424</c:v>
                </c:pt>
                <c:pt idx="15">
                  <c:v>-0.26736597442422316</c:v>
                </c:pt>
                <c:pt idx="16">
                  <c:v>7.1114806790133281E-2</c:v>
                </c:pt>
                <c:pt idx="17">
                  <c:v>-8.9414399954721044E-2</c:v>
                </c:pt>
                <c:pt idx="18" formatCode="General">
                  <c:v>0.2445756873839984</c:v>
                </c:pt>
                <c:pt idx="19" formatCode="General">
                  <c:v>0.35085138814887806</c:v>
                </c:pt>
                <c:pt idx="20" formatCode="General">
                  <c:v>-0.14367877844321617</c:v>
                </c:pt>
              </c:numCache>
            </c:numRef>
          </c:val>
          <c:extLst xmlns:c16r2="http://schemas.microsoft.com/office/drawing/2015/06/chart">
            <c:ext xmlns:c16="http://schemas.microsoft.com/office/drawing/2014/chart" uri="{C3380CC4-5D6E-409C-BE32-E72D297353CC}">
              <c16:uniqueId val="{00000002-C618-4399-B545-1DD501F04BF6}"/>
            </c:ext>
          </c:extLst>
        </c:ser>
        <c:ser>
          <c:idx val="1"/>
          <c:order val="3"/>
          <c:tx>
            <c:strRef>
              <c:f>'souhrnná výkonnost 4'!$F$5</c:f>
              <c:strCache>
                <c:ptCount val="1"/>
                <c:pt idx="0">
                  <c:v>Stavebnictví</c:v>
                </c:pt>
              </c:strCache>
            </c:strRef>
          </c:tx>
          <c:spPr>
            <a:solidFill>
              <a:srgbClr val="E8AFB2"/>
            </a:solidFill>
            <a:ln>
              <a:noFill/>
            </a:ln>
          </c:spPr>
          <c:val>
            <c:numRef>
              <c:f>'souhrnná výkonnost 4'!$F$10:$F$30</c:f>
              <c:numCache>
                <c:formatCode>#,##0.0</c:formatCode>
                <c:ptCount val="21"/>
                <c:pt idx="0">
                  <c:v>-9.7833498488409248E-2</c:v>
                </c:pt>
                <c:pt idx="1">
                  <c:v>7.0101451917918847E-2</c:v>
                </c:pt>
                <c:pt idx="2">
                  <c:v>0.14066955556231284</c:v>
                </c:pt>
                <c:pt idx="3">
                  <c:v>0.16590826997768471</c:v>
                </c:pt>
                <c:pt idx="4">
                  <c:v>0.20401681407681421</c:v>
                </c:pt>
                <c:pt idx="5">
                  <c:v>7.7185854346891888E-2</c:v>
                </c:pt>
                <c:pt idx="6">
                  <c:v>3.6125085054265732E-2</c:v>
                </c:pt>
                <c:pt idx="7">
                  <c:v>0.1387235845501005</c:v>
                </c:pt>
                <c:pt idx="8">
                  <c:v>0.10033671365598852</c:v>
                </c:pt>
                <c:pt idx="9">
                  <c:v>0.26600436828219337</c:v>
                </c:pt>
                <c:pt idx="10">
                  <c:v>0.35558902490715061</c:v>
                </c:pt>
                <c:pt idx="11">
                  <c:v>0.16488753180314036</c:v>
                </c:pt>
                <c:pt idx="12">
                  <c:v>6.0176497533420512E-2</c:v>
                </c:pt>
                <c:pt idx="13">
                  <c:v>-0.13864156629986937</c:v>
                </c:pt>
                <c:pt idx="14">
                  <c:v>-0.25239605520873226</c:v>
                </c:pt>
                <c:pt idx="15">
                  <c:v>-0.22672782261956767</c:v>
                </c:pt>
                <c:pt idx="16">
                  <c:v>-7.2181536944487104E-2</c:v>
                </c:pt>
                <c:pt idx="17">
                  <c:v>0.14727279306236701</c:v>
                </c:pt>
                <c:pt idx="18">
                  <c:v>0.11325064259512754</c:v>
                </c:pt>
                <c:pt idx="19">
                  <c:v>0.11141711297772623</c:v>
                </c:pt>
                <c:pt idx="20" formatCode="General">
                  <c:v>0.40692274397236017</c:v>
                </c:pt>
              </c:numCache>
            </c:numRef>
          </c:val>
          <c:extLst xmlns:c16r2="http://schemas.microsoft.com/office/drawing/2015/06/chart">
            <c:ext xmlns:c16="http://schemas.microsoft.com/office/drawing/2014/chart" uri="{C3380CC4-5D6E-409C-BE32-E72D297353CC}">
              <c16:uniqueId val="{00000003-C618-4399-B545-1DD501F04BF6}"/>
            </c:ext>
          </c:extLst>
        </c:ser>
        <c:ser>
          <c:idx val="0"/>
          <c:order val="4"/>
          <c:tx>
            <c:strRef>
              <c:f>'souhrnná výkonnost 4'!$G$5</c:f>
              <c:strCache>
                <c:ptCount val="1"/>
                <c:pt idx="0">
                  <c:v>Služby (CZ-NACE G až U)</c:v>
                </c:pt>
              </c:strCache>
            </c:strRef>
          </c:tx>
          <c:spPr>
            <a:solidFill>
              <a:srgbClr val="7DBB2D"/>
            </a:solidFill>
            <a:ln>
              <a:noFill/>
            </a:ln>
          </c:spPr>
          <c:val>
            <c:numRef>
              <c:f>'souhrnná výkonnost 4'!$G$10:$G$30</c:f>
              <c:numCache>
                <c:formatCode>0.0</c:formatCode>
                <c:ptCount val="21"/>
                <c:pt idx="0">
                  <c:v>0.37644839519995243</c:v>
                </c:pt>
                <c:pt idx="1">
                  <c:v>0.81261671036245109</c:v>
                </c:pt>
                <c:pt idx="2">
                  <c:v>1.0166947027297846</c:v>
                </c:pt>
                <c:pt idx="3">
                  <c:v>1.3689952261875691</c:v>
                </c:pt>
                <c:pt idx="4">
                  <c:v>1.2582169093611641</c:v>
                </c:pt>
                <c:pt idx="5">
                  <c:v>1.3857455215255301</c:v>
                </c:pt>
                <c:pt idx="6">
                  <c:v>1.6254642826485832</c:v>
                </c:pt>
                <c:pt idx="7">
                  <c:v>1.6643666513514095</c:v>
                </c:pt>
                <c:pt idx="8">
                  <c:v>2.2626524466446134</c:v>
                </c:pt>
                <c:pt idx="9">
                  <c:v>2.9695520859332567</c:v>
                </c:pt>
                <c:pt idx="10">
                  <c:v>3.3864742367214982</c:v>
                </c:pt>
                <c:pt idx="11">
                  <c:v>3.5047481459883287</c:v>
                </c:pt>
                <c:pt idx="12">
                  <c:v>2.2394913496067899</c:v>
                </c:pt>
                <c:pt idx="13">
                  <c:v>1.1310341892102695</c:v>
                </c:pt>
                <c:pt idx="14">
                  <c:v>0.12905200392453417</c:v>
                </c:pt>
                <c:pt idx="15">
                  <c:v>-0.27535434109673096</c:v>
                </c:pt>
                <c:pt idx="16">
                  <c:v>0.79186885101381665</c:v>
                </c:pt>
                <c:pt idx="17">
                  <c:v>2.1568970854754004</c:v>
                </c:pt>
                <c:pt idx="18" formatCode="General">
                  <c:v>2.524885537875031</c:v>
                </c:pt>
                <c:pt idx="19" formatCode="General">
                  <c:v>2.9268181107059767</c:v>
                </c:pt>
                <c:pt idx="20" formatCode="General">
                  <c:v>2.5221385854600351</c:v>
                </c:pt>
              </c:numCache>
            </c:numRef>
          </c:val>
          <c:extLst xmlns:c16r2="http://schemas.microsoft.com/office/drawing/2015/06/chart">
            <c:ext xmlns:c16="http://schemas.microsoft.com/office/drawing/2014/chart" uri="{C3380CC4-5D6E-409C-BE32-E72D297353CC}">
              <c16:uniqueId val="{00000004-C618-4399-B545-1DD501F04BF6}"/>
            </c:ext>
          </c:extLst>
        </c:ser>
        <c:gapWidth val="70"/>
        <c:overlap val="100"/>
        <c:axId val="127575168"/>
        <c:axId val="127576704"/>
      </c:barChart>
      <c:lineChart>
        <c:grouping val="standard"/>
        <c:ser>
          <c:idx val="5"/>
          <c:order val="5"/>
          <c:tx>
            <c:strRef>
              <c:f>'souhrnná výkonnost 4'!$H$5</c:f>
              <c:strCache>
                <c:ptCount val="1"/>
                <c:pt idx="0">
                  <c:v>Hrubá přidaná hodnota celkem</c:v>
                </c:pt>
              </c:strCache>
            </c:strRef>
          </c:tx>
          <c:spPr>
            <a:ln w="19050">
              <a:solidFill>
                <a:prstClr val="black"/>
              </a:solidFill>
            </a:ln>
          </c:spPr>
          <c:marker>
            <c:symbol val="none"/>
          </c:marker>
          <c:cat>
            <c:multiLvlStrRef>
              <c:f>'souhrnná výkonnost 4'!$A$10:$B$30</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2013</c:v>
                  </c:pt>
                  <c:pt idx="4">
                    <c:v>2014</c:v>
                  </c:pt>
                  <c:pt idx="8">
                    <c:v>2015</c:v>
                  </c:pt>
                  <c:pt idx="12">
                    <c:v>2016</c:v>
                  </c:pt>
                  <c:pt idx="16">
                    <c:v>2017</c:v>
                  </c:pt>
                  <c:pt idx="20">
                    <c:v>2018</c:v>
                  </c:pt>
                </c:lvl>
              </c:multiLvlStrCache>
            </c:multiLvlStrRef>
          </c:cat>
          <c:val>
            <c:numRef>
              <c:f>'souhrnná výkonnost 4'!$H$10:$H$30</c:f>
              <c:numCache>
                <c:formatCode>#,##0.0</c:formatCode>
                <c:ptCount val="21"/>
                <c:pt idx="0">
                  <c:v>-1.5564064599066569</c:v>
                </c:pt>
                <c:pt idx="1">
                  <c:v>-0.85476160118254663</c:v>
                </c:pt>
                <c:pt idx="2">
                  <c:v>-0.2392157885191977</c:v>
                </c:pt>
                <c:pt idx="3">
                  <c:v>0.69357314385265501</c:v>
                </c:pt>
                <c:pt idx="4">
                  <c:v>2.3418012321475152</c:v>
                </c:pt>
                <c:pt idx="5">
                  <c:v>2.9853086286284984</c:v>
                </c:pt>
                <c:pt idx="6">
                  <c:v>3.7746698915647761</c:v>
                </c:pt>
                <c:pt idx="7">
                  <c:v>4.4886070887742253</c:v>
                </c:pt>
                <c:pt idx="8">
                  <c:v>4.6030731320356892</c:v>
                </c:pt>
                <c:pt idx="9">
                  <c:v>5.0290504572936339</c:v>
                </c:pt>
                <c:pt idx="10">
                  <c:v>5.2623135438621622</c:v>
                </c:pt>
                <c:pt idx="11">
                  <c:v>4.3568805309538545</c:v>
                </c:pt>
                <c:pt idx="12">
                  <c:v>3.3616708754478668</c:v>
                </c:pt>
                <c:pt idx="13">
                  <c:v>2.7921205009893524</c:v>
                </c:pt>
                <c:pt idx="14">
                  <c:v>1.7670326582893876</c:v>
                </c:pt>
                <c:pt idx="15">
                  <c:v>1.7919231256427608</c:v>
                </c:pt>
                <c:pt idx="16">
                  <c:v>2.9304329396493367</c:v>
                </c:pt>
                <c:pt idx="17">
                  <c:v>4.4974478196402465</c:v>
                </c:pt>
                <c:pt idx="18">
                  <c:v>5.1121212028346479</c:v>
                </c:pt>
                <c:pt idx="19">
                  <c:v>5.4082133534170564</c:v>
                </c:pt>
                <c:pt idx="20">
                  <c:v>4.4885693246302134</c:v>
                </c:pt>
              </c:numCache>
            </c:numRef>
          </c:val>
          <c:extLst xmlns:c16r2="http://schemas.microsoft.com/office/drawing/2015/06/chart">
            <c:ext xmlns:c16="http://schemas.microsoft.com/office/drawing/2014/chart" uri="{C3380CC4-5D6E-409C-BE32-E72D297353CC}">
              <c16:uniqueId val="{00000005-C618-4399-B545-1DD501F04BF6}"/>
            </c:ext>
          </c:extLst>
        </c:ser>
        <c:marker val="1"/>
        <c:axId val="127575168"/>
        <c:axId val="127576704"/>
      </c:lineChart>
      <c:catAx>
        <c:axId val="127575168"/>
        <c:scaling>
          <c:orientation val="minMax"/>
        </c:scaling>
        <c:axPos val="b"/>
        <c:tickLblPos val="low"/>
        <c:spPr>
          <a:ln>
            <a:solidFill>
              <a:schemeClr val="tx1"/>
            </a:solidFill>
          </a:ln>
        </c:spPr>
        <c:txPr>
          <a:bodyPr rot="0" vert="horz"/>
          <a:lstStyle/>
          <a:p>
            <a:pPr>
              <a:defRPr/>
            </a:pPr>
            <a:endParaRPr lang="cs-CZ"/>
          </a:p>
        </c:txPr>
        <c:crossAx val="127576704"/>
        <c:crosses val="autoZero"/>
        <c:auto val="1"/>
        <c:lblAlgn val="ctr"/>
        <c:lblOffset val="100"/>
      </c:catAx>
      <c:valAx>
        <c:axId val="127576704"/>
        <c:scaling>
          <c:orientation val="minMax"/>
          <c:max val="6"/>
          <c:min val="-3"/>
        </c:scaling>
        <c:axPos val="l"/>
        <c:majorGridlines>
          <c:spPr>
            <a:ln w="6350">
              <a:solidFill>
                <a:schemeClr val="bg1">
                  <a:lumMod val="75000"/>
                </a:schemeClr>
              </a:solidFill>
            </a:ln>
          </c:spPr>
        </c:majorGridlines>
        <c:numFmt formatCode="0" sourceLinked="0"/>
        <c:tickLblPos val="nextTo"/>
        <c:spPr>
          <a:ln>
            <a:solidFill>
              <a:schemeClr val="tx1"/>
            </a:solidFill>
          </a:ln>
        </c:spPr>
        <c:crossAx val="127575168"/>
        <c:crosses val="autoZero"/>
        <c:crossBetween val="between"/>
        <c:majorUnit val="1"/>
      </c:valAx>
      <c:spPr>
        <a:ln>
          <a:solidFill>
            <a:schemeClr val="tx1"/>
          </a:solidFill>
        </a:ln>
      </c:spPr>
    </c:plotArea>
    <c:legend>
      <c:legendPos val="b"/>
      <c:layout>
        <c:manualLayout>
          <c:xMode val="edge"/>
          <c:yMode val="edge"/>
          <c:x val="4.8782884397989404E-2"/>
          <c:y val="0.79016604750647301"/>
          <c:w val="0.92922619274506457"/>
          <c:h val="0.1946248452099486"/>
        </c:manualLayout>
      </c:layout>
      <c:spPr>
        <a:ln w="6350">
          <a:solidFill>
            <a:schemeClr val="tx1"/>
          </a:solidFill>
        </a:ln>
      </c:spPr>
    </c:legend>
    <c:plotVisOnly val="1"/>
    <c:dispBlanksAs val="gap"/>
  </c:chart>
  <c:spPr>
    <a:ln>
      <a:noFill/>
    </a:ln>
  </c:spPr>
  <c:txPr>
    <a:bodyPr/>
    <a:lstStyle/>
    <a:p>
      <a:pPr>
        <a:defRPr sz="800" baseline="0">
          <a:latin typeface="Arial" pitchFamily="34" charset="0"/>
        </a:defRPr>
      </a:pPr>
      <a:endParaRPr lang="cs-CZ"/>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B5A89-71AA-40C7-A692-69E3265F6F1E}">
  <ds:schemaRefs>
    <ds:schemaRef ds:uri="http://schemas.openxmlformats.org/officeDocument/2006/bibliography"/>
  </ds:schemaRefs>
</ds:datastoreItem>
</file>

<file path=customXml/itemProps2.xml><?xml version="1.0" encoding="utf-8"?>
<ds:datastoreItem xmlns:ds="http://schemas.openxmlformats.org/officeDocument/2006/customXml" ds:itemID="{C191A434-E9FD-4EB8-97BA-B2243C9A6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1</TotalTime>
  <Pages>4</Pages>
  <Words>1163</Words>
  <Characters>6868</Characters>
  <Application>Microsoft Office Word</Application>
  <DocSecurity>0</DocSecurity>
  <Lines>57</Lines>
  <Paragraphs>16</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8015</CharactersWithSpaces>
  <SharedDoc>false</SharedDoc>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Karolína Súkupová</dc:creator>
  <cp:lastModifiedBy>Mgr. Karolína Súkupová</cp:lastModifiedBy>
  <cp:revision>3</cp:revision>
  <cp:lastPrinted>2014-07-17T14:07:00Z</cp:lastPrinted>
  <dcterms:created xsi:type="dcterms:W3CDTF">2018-06-20T13:20:00Z</dcterms:created>
  <dcterms:modified xsi:type="dcterms:W3CDTF">2018-06-20T13:26:00Z</dcterms:modified>
</cp:coreProperties>
</file>