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40" w:rsidRPr="000A3A2C" w:rsidRDefault="001934A1" w:rsidP="00E67696">
      <w:pPr>
        <w:rPr>
          <w:lang w:eastAsia="ar-SA"/>
        </w:rPr>
        <w:sectPr w:rsidR="00A75E40" w:rsidRPr="000A3A2C" w:rsidSect="00911661">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32809473" wp14:editId="09CBBC66">
                <wp:simplePos x="0" y="0"/>
                <wp:positionH relativeFrom="page">
                  <wp:posOffset>571500</wp:posOffset>
                </wp:positionH>
                <wp:positionV relativeFrom="page">
                  <wp:posOffset>466725</wp:posOffset>
                </wp:positionV>
                <wp:extent cx="2249805" cy="554355"/>
                <wp:effectExtent l="0" t="0" r="0" b="0"/>
                <wp:wrapSquare wrapText="bothSides"/>
                <wp:docPr id="27"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28"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5pt;margin-top:36.7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">
                <o:lock v:ext="edit" aspectratio="t"/>
                <v:rect id="Rectangle 9" o:spid="_x0000_s1027" style="position:absolute;left:1215;top:901;width:67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sQsAA&#10;AADbAAAADwAAAGRycy9kb3ducmV2LnhtbERPz2vCMBS+D/wfwhN2m+k8zFKNIhsDQXewFXp9a97a&#10;YPNSmtjW/345CB4/vt+b3WRbMVDvjWMF74sEBHHltOFawaX4fktB+ICssXVMCu7kYbedvWww027k&#10;Mw15qEUMYZ+hgiaELpPSVw1Z9AvXEUfuz/UWQ4R9LXWPYwy3rVwmyYe0aDg2NNjRZ0PVNb9ZBUae&#10;Rpv/lF8uuXWFKVe/qQ9HpV7n034NItAUnuKH+6AVLOP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2sQsAAAADbAAAADwAAAAAAAAAAAAAAAACYAgAAZHJzL2Rvd25y&#10;ZXYueG1sUEsFBgAAAAAEAAQA9QAAAIUDAAAAAA==&#10;" fillcolor="#0071bc" stroked="f">
                  <o:lock v:ext="edit" aspectratio="t"/>
                </v:rect>
                <v:rect id="Rectangle 10" o:spid="_x0000_s1028" style="position:absolute;left:567;top:1131;width:132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TAsIA&#10;AADbAAAADwAAAGRycy9kb3ducmV2LnhtbESPQYvCMBSE74L/ITxhb5q6wirVKKIsCLt7sApen82z&#10;DTYvpYm2/nuzIHgcZuYbZrHqbCXu1HjjWMF4lIAgzp02XCg4Hr6HMxA+IGusHJOCB3lYLfu9Baba&#10;tbynexYKESHsU1RQhlCnUvq8JIt+5Gri6F1cYzFE2RRSN9hGuK3kZ5J8SYuG40KJNW1Kyq/ZzSow&#10;8re12d9p65JbfTCn6Xnmw49SH4NuPQcRqAvv8Ku90womY/j/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MCwgAAANsAAAAPAAAAAAAAAAAAAAAAAJgCAABkcnMvZG93&#10;bnJldi54bWxQSwUGAAAAAAQABAD1AAAAhwMAAAAA&#10;" fillcolor="#0071bc" stroked="f">
                  <o:lock v:ext="edit" aspectratio="t"/>
                </v:rect>
                <v:rect id="Rectangle 11" o:spid="_x0000_s1029" style="position:absolute;left:1288;top:1361;width:60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NdcQA&#10;AADbAAAADwAAAGRycy9kb3ducmV2LnhtbESPQWvCQBSE7wX/w/KE3pqNFtoQXUUshULbQxMh12f2&#10;mSxm34bsauK/dwuFHoeZ+YZZbyfbiSsN3jhWsEhSEMS104YbBYfy/SkD4QOyxs4xKbiRh+1m9rDG&#10;XLuRf+hahEZECPscFbQh9LmUvm7Jok9cTxy9kxsshiiHRuoBxwi3nVym6Yu0aDgutNjTvqX6XFys&#10;AiO/Rlt8V28uvfSlqV6PmQ+fSj3Op90KRKAp/If/2h9awfMS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DXXEAAAA2wAAAA8AAAAAAAAAAAAAAAAAmAIAAGRycy9k&#10;b3ducmV2LnhtbFBLBQYAAAAABAAEAPUAAACJAwAAAAA=&#10;" fillcolor="#0071bc" stroked="f">
                  <o:lock v:ext="edit" aspectratio="t"/>
                </v:rect>
                <v:shape id="Freeform 12" o:spid="_x0000_s1030"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xBsEA&#10;AADbAAAADwAAAGRycy9kb3ducmV2LnhtbESPQYvCMBSE78L+h/CEvdlUF1S6Rimysoonq94fzdum&#10;2LyUJmr33xtB8DjMzDfMYtXbRtyo87VjBeMkBUFcOl1zpeB03IzmIHxA1tg4JgX/5GG1/BgsMNPu&#10;zge6FaESEcI+QwUmhDaT0peGLPrEtcTR+3OdxRBlV0nd4T3CbSMnaTqVFmuOCwZbWhsqL8XVKvjJ&#10;yVB+atcF75rz7/myn9S7vVKfwz7/BhGoD+/wq73VCr5m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LsQb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1"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r8YA&#10;AADbAAAADwAAAGRycy9kb3ducmV2LnhtbESPT2vCQBTE7wW/w/KEXqRuWkE0uopYCuIfqKY99PbI&#10;PpNg9m3Y3Zr47V2h0OMwM79h5svO1OJKzleWFbwOExDEudUVFwq+so+XCQgfkDXWlknBjTwsF72n&#10;Oabatnyk6ykUIkLYp6igDKFJpfR5SQb90DbE0TtbZzBE6QqpHbYRbmr5liRjabDiuFBiQ+uS8svp&#10;1yhYZ/W3G+3b3dEN3jfbn0Mhs8OnUs/9bjUDEagL/+G/9kYrGE3h8SX+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Yr8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2"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OzsIA&#10;AADbAAAADwAAAGRycy9kb3ducmV2LnhtbERPy2rCQBTdC/2H4RbciE4qIiU6kbaS6q6YiuvbzM2D&#10;Zu7EmalJ/76zKLg8nPd2N5pO3Mj51rKCp0UCgri0uuVawfkznz+D8AFZY2eZFPySh132MNliqu3A&#10;J7oVoRYxhH2KCpoQ+lRKXzZk0C9sTxy5yjqDIUJXS+1wiOGmk8skWUuDLceGBnt6a6j8Ln6MguX6&#10;8nXIj/XrR/d+nTld7fPZsFdq+ji+bEAEGsNd/O8+agWruD5+iT9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fk7OwgAAANsAAAAPAAAAAAAAAAAAAAAAAJg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68074681" wp14:editId="7A28BE91">
                <wp:simplePos x="0" y="0"/>
                <wp:positionH relativeFrom="page">
                  <wp:posOffset>1705610</wp:posOffset>
                </wp:positionH>
                <wp:positionV relativeFrom="page">
                  <wp:posOffset>8173085</wp:posOffset>
                </wp:positionV>
                <wp:extent cx="5130165" cy="925195"/>
                <wp:effectExtent l="0" t="0" r="13335" b="8255"/>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Pr="006C5577" w:rsidRDefault="00F603BA" w:rsidP="004924DC">
                            <w:r>
                              <w:t>Z</w:t>
                            </w:r>
                            <w:r w:rsidRPr="006C5577">
                              <w:t xml:space="preserve">pracoval: Odbor </w:t>
                            </w:r>
                            <w:r>
                              <w:t>statistik rozvoje společnosti</w:t>
                            </w:r>
                          </w:p>
                          <w:p w:rsidR="00F603BA" w:rsidRPr="006C5577" w:rsidRDefault="00F603BA" w:rsidP="004924DC">
                            <w:r w:rsidRPr="006C5577">
                              <w:t xml:space="preserve">Ředitel odboru: </w:t>
                            </w:r>
                            <w:r>
                              <w:t>Ing. Martin Mana</w:t>
                            </w:r>
                          </w:p>
                          <w:p w:rsidR="00F603BA" w:rsidRPr="006C5577" w:rsidRDefault="00F603BA" w:rsidP="004924DC">
                            <w:r w:rsidRPr="0036716B">
                              <w:t>Kontaktní osoba: Ing. Alena Kotrbatá, e-mail: alena.kotrbata@czso.cz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" filled="f" stroked="f">
                <v:textbox inset="0,0,0,0">
                  <w:txbxContent>
                    <w:p w:rsidR="00F603BA" w:rsidRPr="006C5577" w:rsidRDefault="00F603BA" w:rsidP="004924DC">
                      <w:r>
                        <w:t>Z</w:t>
                      </w:r>
                      <w:r w:rsidRPr="006C5577">
                        <w:t xml:space="preserve">pracoval: Odbor </w:t>
                      </w:r>
                      <w:r>
                        <w:t>statistik rozvoje společnosti</w:t>
                      </w:r>
                    </w:p>
                    <w:p w:rsidR="00F603BA" w:rsidRPr="006C5577" w:rsidRDefault="00F603BA" w:rsidP="004924DC">
                      <w:r w:rsidRPr="006C5577">
                        <w:t xml:space="preserve">Ředitel odboru: </w:t>
                      </w:r>
                      <w:r>
                        <w:t>Ing. Martin Mana</w:t>
                      </w:r>
                    </w:p>
                    <w:p w:rsidR="00F603BA" w:rsidRPr="006C5577" w:rsidRDefault="00F603BA" w:rsidP="004924DC">
                      <w:r w:rsidRPr="0036716B">
                        <w:t>Kontaktní osoba: Ing. Alena Kotrbatá, e-mail: alena.kotrbata@czso.cz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0823BC9C" wp14:editId="5E0770EE">
                <wp:simplePos x="0" y="0"/>
                <wp:positionH relativeFrom="page">
                  <wp:posOffset>1710055</wp:posOffset>
                </wp:positionH>
                <wp:positionV relativeFrom="page">
                  <wp:posOffset>4680585</wp:posOffset>
                </wp:positionV>
                <wp:extent cx="5129530" cy="1686560"/>
                <wp:effectExtent l="0" t="0" r="13970" b="889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Pr="0036716B" w:rsidRDefault="00F603BA" w:rsidP="004924DC">
                            <w:pPr>
                              <w:pStyle w:val="TLIdentifikace-sted"/>
                            </w:pPr>
                            <w:r w:rsidRPr="0036716B">
                              <w:t>Lidé a společnost</w:t>
                            </w:r>
                          </w:p>
                          <w:p w:rsidR="00F603BA" w:rsidRPr="0036716B" w:rsidRDefault="00F603BA" w:rsidP="004924DC">
                            <w:pPr>
                              <w:pStyle w:val="TLIdentifikace-sted"/>
                            </w:pPr>
                            <w:r w:rsidRPr="0036716B">
                              <w:t>Praha, 2018</w:t>
                            </w:r>
                          </w:p>
                          <w:p w:rsidR="00F603BA" w:rsidRPr="00900193" w:rsidRDefault="00F603BA" w:rsidP="004924DC">
                            <w:pPr>
                              <w:pStyle w:val="TLIdentifikace-sted"/>
                            </w:pPr>
                            <w:r w:rsidRPr="00900193">
                              <w:t>Kód publikace: 230052-17</w:t>
                            </w:r>
                          </w:p>
                          <w:p w:rsidR="00F603BA" w:rsidRPr="00900193" w:rsidRDefault="00F603BA" w:rsidP="004924DC">
                            <w:pPr>
                              <w:pStyle w:val="TLIdentifikace-sted"/>
                            </w:pPr>
                            <w:r w:rsidRPr="00900193">
                              <w:t>Č. j.: 3019/2017 – 63</w:t>
                            </w:r>
                          </w:p>
                          <w:p w:rsidR="00F603BA" w:rsidRPr="004924DC" w:rsidRDefault="00F603BA" w:rsidP="004924DC">
                            <w:pPr>
                              <w:pStyle w:val="TLIdentifikace-sted"/>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rsidR="00F603BA" w:rsidRPr="0036716B" w:rsidRDefault="00F603BA" w:rsidP="004924DC">
                      <w:pPr>
                        <w:pStyle w:val="TLIdentifikace-sted"/>
                      </w:pPr>
                      <w:r w:rsidRPr="0036716B">
                        <w:t>Lidé a společnost</w:t>
                      </w:r>
                    </w:p>
                    <w:p w:rsidR="00F603BA" w:rsidRPr="0036716B" w:rsidRDefault="00F603BA" w:rsidP="004924DC">
                      <w:pPr>
                        <w:pStyle w:val="TLIdentifikace-sted"/>
                      </w:pPr>
                      <w:r w:rsidRPr="0036716B">
                        <w:t>Praha, 2018</w:t>
                      </w:r>
                    </w:p>
                    <w:p w:rsidR="00F603BA" w:rsidRPr="00900193" w:rsidRDefault="00F603BA" w:rsidP="004924DC">
                      <w:pPr>
                        <w:pStyle w:val="TLIdentifikace-sted"/>
                      </w:pPr>
                      <w:r w:rsidRPr="00900193">
                        <w:t>Kód publikace: 230052-17</w:t>
                      </w:r>
                    </w:p>
                    <w:p w:rsidR="00F603BA" w:rsidRPr="00900193" w:rsidRDefault="00F603BA" w:rsidP="004924DC">
                      <w:pPr>
                        <w:pStyle w:val="TLIdentifikace-sted"/>
                      </w:pPr>
                      <w:r w:rsidRPr="00900193">
                        <w:t>Č. j.: 3019/2017 – 63</w:t>
                      </w:r>
                    </w:p>
                    <w:p w:rsidR="00F603BA" w:rsidRPr="004924DC" w:rsidRDefault="00F603BA" w:rsidP="004924DC">
                      <w:pPr>
                        <w:pStyle w:val="TLIdentifikace-sted"/>
                      </w:pP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5E844682" wp14:editId="1391C039">
                <wp:simplePos x="0" y="0"/>
                <wp:positionH relativeFrom="page">
                  <wp:posOffset>1710055</wp:posOffset>
                </wp:positionH>
                <wp:positionV relativeFrom="page">
                  <wp:posOffset>1476375</wp:posOffset>
                </wp:positionV>
                <wp:extent cx="5129530" cy="1717675"/>
                <wp:effectExtent l="0" t="0" r="13970" b="15875"/>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Pr="0012192F" w:rsidRDefault="00F603BA" w:rsidP="00DB332F">
                            <w:pPr>
                              <w:pStyle w:val="Nzev"/>
                            </w:pPr>
                            <w:r>
                              <w:t xml:space="preserve">Vzdělávání zaměstnaných </w:t>
                            </w:r>
                            <w:proofErr w:type="gramStart"/>
                            <w:r>
                              <w:t>osob</w:t>
                            </w:r>
                            <w:proofErr w:type="gramEnd"/>
                            <w:r>
                              <w:t xml:space="preserve"> –</w:t>
                            </w:r>
                            <w:proofErr w:type="gramStart"/>
                            <w:r>
                              <w:t>2015</w:t>
                            </w:r>
                            <w:proofErr w:type="gramEnd"/>
                          </w:p>
                          <w:p w:rsidR="00F603BA" w:rsidRPr="0012192F" w:rsidRDefault="00F603BA" w:rsidP="0012192F">
                            <w:pPr>
                              <w:pStyle w:val="Podtitul"/>
                            </w:pPr>
                            <w:r>
                              <w:t>Analýza a výsledky šetření CVTS 5</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4.65pt;margin-top:116.25pt;width:403.9pt;height:135.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IUuQIAALc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" filled="f" stroked="f">
                <v:textbox style="mso-fit-shape-to-text:t" inset="0,0,0,0">
                  <w:txbxContent>
                    <w:p w:rsidR="00F603BA" w:rsidRPr="0012192F" w:rsidRDefault="00F603BA" w:rsidP="00DB332F">
                      <w:pPr>
                        <w:pStyle w:val="Nzev"/>
                      </w:pPr>
                      <w:r>
                        <w:t xml:space="preserve">Vzdělávání zaměstnaných </w:t>
                      </w:r>
                      <w:proofErr w:type="gramStart"/>
                      <w:r>
                        <w:t>osob</w:t>
                      </w:r>
                      <w:proofErr w:type="gramEnd"/>
                      <w:r>
                        <w:t xml:space="preserve"> –</w:t>
                      </w:r>
                      <w:proofErr w:type="gramStart"/>
                      <w:r>
                        <w:t>2015</w:t>
                      </w:r>
                      <w:proofErr w:type="gramEnd"/>
                    </w:p>
                    <w:p w:rsidR="00F603BA" w:rsidRPr="0012192F" w:rsidRDefault="00F603BA" w:rsidP="0012192F">
                      <w:pPr>
                        <w:pStyle w:val="Podtitul"/>
                      </w:pPr>
                      <w:r>
                        <w:t>Analýza a výsledky šetření CVTS 5</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5987F9C3" wp14:editId="50858A60">
                <wp:simplePos x="0" y="0"/>
                <wp:positionH relativeFrom="page">
                  <wp:posOffset>1710055</wp:posOffset>
                </wp:positionH>
                <wp:positionV relativeFrom="page">
                  <wp:posOffset>9649460</wp:posOffset>
                </wp:positionV>
                <wp:extent cx="5130165" cy="179705"/>
                <wp:effectExtent l="0" t="0" r="13335" b="10795"/>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Pr="004924DC" w:rsidRDefault="00F603BA" w:rsidP="004924DC">
                            <w:r w:rsidRPr="004924DC">
                              <w:t xml:space="preserve">© Český statistický úřad, </w:t>
                            </w:r>
                            <w:r>
                              <w:t>Praha</w:t>
                            </w:r>
                            <w:r w:rsidRPr="004924DC">
                              <w:t xml:space="preserve">, </w:t>
                            </w:r>
                            <w:r>
                              <w:t>2017</w:t>
                            </w:r>
                          </w:p>
                          <w:p w:rsidR="00F603BA" w:rsidRPr="005251DD" w:rsidRDefault="00F603BA" w:rsidP="00665BA4"/>
                          <w:p w:rsidR="00F603BA" w:rsidRPr="005251DD" w:rsidRDefault="00F603BA" w:rsidP="00FC684B"/>
                          <w:p w:rsidR="00F603BA" w:rsidRDefault="00F603BA"/>
                          <w:p w:rsidR="00F603BA" w:rsidRPr="00097407" w:rsidRDefault="00F603BA"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F603BA" w:rsidRPr="005251DD" w:rsidRDefault="00F603BA" w:rsidP="00665BA4"/>
                          <w:p w:rsidR="00F603BA" w:rsidRPr="005251DD" w:rsidRDefault="00F603BA"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q7uw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" filled="f" stroked="f">
                <v:textbox inset="0,0,0,0">
                  <w:txbxContent>
                    <w:p w:rsidR="00F603BA" w:rsidRPr="004924DC" w:rsidRDefault="00F603BA" w:rsidP="004924DC">
                      <w:r w:rsidRPr="004924DC">
                        <w:t xml:space="preserve">© Český statistický úřad, </w:t>
                      </w:r>
                      <w:r>
                        <w:t>Praha</w:t>
                      </w:r>
                      <w:r w:rsidRPr="004924DC">
                        <w:t xml:space="preserve">, </w:t>
                      </w:r>
                      <w:r>
                        <w:t>2017</w:t>
                      </w:r>
                    </w:p>
                    <w:p w:rsidR="00F603BA" w:rsidRPr="005251DD" w:rsidRDefault="00F603BA" w:rsidP="00665BA4"/>
                    <w:p w:rsidR="00F603BA" w:rsidRPr="005251DD" w:rsidRDefault="00F603BA" w:rsidP="00FC684B"/>
                    <w:p w:rsidR="00F603BA" w:rsidRDefault="00F603BA"/>
                    <w:p w:rsidR="00F603BA" w:rsidRPr="00097407" w:rsidRDefault="00F603BA"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rsidR="00F603BA" w:rsidRPr="005251DD" w:rsidRDefault="00F603BA" w:rsidP="00665BA4"/>
                    <w:p w:rsidR="00F603BA" w:rsidRPr="005251DD" w:rsidRDefault="00F603BA" w:rsidP="00FC684B"/>
                  </w:txbxContent>
                </v:textbox>
                <w10:wrap anchorx="page" anchory="page"/>
                <w10:anchorlock/>
              </v:shape>
            </w:pict>
          </mc:Fallback>
        </mc:AlternateContent>
      </w:r>
      <w:r>
        <w:rPr>
          <w:noProof/>
        </w:rPr>
        <mc:AlternateContent>
          <mc:Choice Requires="wps">
            <w:drawing>
              <wp:anchor distT="4294967292" distB="4294967292" distL="114300" distR="114300" simplePos="0" relativeHeight="251653632" behindDoc="0" locked="1" layoutInCell="0" allowOverlap="1" wp14:anchorId="2E1A6B3A" wp14:editId="46906E8E">
                <wp:simplePos x="0" y="0"/>
                <wp:positionH relativeFrom="page">
                  <wp:posOffset>1710055</wp:posOffset>
                </wp:positionH>
                <wp:positionV relativeFrom="page">
                  <wp:posOffset>9361169</wp:posOffset>
                </wp:positionV>
                <wp:extent cx="5130165" cy="0"/>
                <wp:effectExtent l="0" t="0" r="13335" b="19050"/>
                <wp:wrapNone/>
                <wp:docPr id="33"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Přímá spojnice 33" o:spid="_x0000_s1026" style="position:absolute;z-index:2516536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margin;mso-height-relative:margin"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mc:Fallback>
        </mc:AlternateContent>
      </w:r>
      <w:r w:rsidR="00F63FB7">
        <w:br w:type="page"/>
      </w:r>
      <w:r w:rsidR="00016992">
        <w:lastRenderedPageBreak/>
        <w:br w:type="page"/>
      </w:r>
      <w:r>
        <w:rPr>
          <w:noProof/>
        </w:rPr>
        <mc:AlternateContent>
          <mc:Choice Requires="wps">
            <w:drawing>
              <wp:anchor distT="0" distB="0" distL="114300" distR="114300" simplePos="0" relativeHeight="251659776" behindDoc="0" locked="1" layoutInCell="1" allowOverlap="1" wp14:anchorId="2DEE194D" wp14:editId="224D5F0A">
                <wp:simplePos x="0" y="0"/>
                <wp:positionH relativeFrom="page">
                  <wp:posOffset>723900</wp:posOffset>
                </wp:positionH>
                <wp:positionV relativeFrom="page">
                  <wp:posOffset>1440180</wp:posOffset>
                </wp:positionV>
                <wp:extent cx="6119495" cy="7690485"/>
                <wp:effectExtent l="0" t="0" r="14605"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9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Pr="006F5416" w:rsidRDefault="00F603BA" w:rsidP="000B30FA">
                            <w:pPr>
                              <w:pStyle w:val="TLKontaktyerven"/>
                            </w:pPr>
                            <w:r w:rsidRPr="006F5416">
                              <w:t>KONTAKTY V ÚSTŘEDÍ</w:t>
                            </w:r>
                          </w:p>
                          <w:p w:rsidR="00F603BA" w:rsidRPr="007D40DF" w:rsidRDefault="00F603BA" w:rsidP="000B30FA">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F603BA" w:rsidRPr="00D235B7" w:rsidRDefault="00F603BA" w:rsidP="000B30FA">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rsidR="00F603BA" w:rsidRPr="00D235B7" w:rsidRDefault="00F603BA" w:rsidP="000B30FA">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F603BA" w:rsidRPr="00D235B7" w:rsidRDefault="00F603BA" w:rsidP="000B30FA">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F603BA" w:rsidRPr="00D235B7" w:rsidRDefault="00F603BA" w:rsidP="000B30FA">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F603BA" w:rsidRPr="004A61C5" w:rsidRDefault="00F603BA" w:rsidP="000B30FA">
                            <w:pPr>
                              <w:pStyle w:val="TLKontakty"/>
                              <w:spacing w:after="80" w:line="240" w:lineRule="auto"/>
                              <w:contextualSpacing w:val="0"/>
                              <w:rPr>
                                <w:color w:val="auto"/>
                              </w:rPr>
                            </w:pPr>
                          </w:p>
                          <w:p w:rsidR="00F603BA" w:rsidRPr="00D66223" w:rsidRDefault="00F603BA" w:rsidP="000B30FA">
                            <w:pPr>
                              <w:pStyle w:val="TLKontaktyerven"/>
                            </w:pPr>
                            <w:r w:rsidRPr="00D66223">
                              <w:t>INFORMAČNÍ SLUŽBY V REGIONECH</w:t>
                            </w:r>
                          </w:p>
                          <w:p w:rsidR="00F603BA" w:rsidRPr="00992CF3" w:rsidRDefault="00F603BA" w:rsidP="000B30FA">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F603BA" w:rsidRPr="00992CF3" w:rsidRDefault="00F603BA" w:rsidP="000B30FA">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F603BA" w:rsidRPr="004A61C5" w:rsidRDefault="00F603BA" w:rsidP="000B30FA">
                            <w:pPr>
                              <w:pStyle w:val="TLKontakty"/>
                              <w:spacing w:after="80" w:line="240" w:lineRule="auto"/>
                              <w:rPr>
                                <w:color w:val="auto"/>
                              </w:rPr>
                            </w:pPr>
                          </w:p>
                          <w:p w:rsidR="00F603BA" w:rsidRPr="00992CF3" w:rsidRDefault="00F603BA" w:rsidP="000B30FA">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F603BA" w:rsidRPr="00992CF3" w:rsidRDefault="00F603BA" w:rsidP="000B30FA">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F603BA" w:rsidRPr="004A61C5" w:rsidRDefault="00F603BA" w:rsidP="000B30FA">
                            <w:pPr>
                              <w:pStyle w:val="TLKontakty"/>
                              <w:spacing w:after="80" w:line="240" w:lineRule="auto"/>
                              <w:rPr>
                                <w:color w:val="auto"/>
                              </w:rPr>
                            </w:pPr>
                          </w:p>
                          <w:p w:rsidR="00F603BA" w:rsidRPr="00992CF3" w:rsidRDefault="00F603BA" w:rsidP="000B30FA">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F603BA" w:rsidRPr="00992CF3" w:rsidRDefault="00F603BA" w:rsidP="000B30FA">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F603BA" w:rsidRPr="004A61C5" w:rsidRDefault="00F603BA" w:rsidP="000B30FA">
                            <w:pPr>
                              <w:pStyle w:val="TLKontakty"/>
                              <w:spacing w:after="80" w:line="240" w:lineRule="auto"/>
                              <w:rPr>
                                <w:color w:val="auto"/>
                              </w:rPr>
                            </w:pPr>
                          </w:p>
                          <w:p w:rsidR="00F603BA" w:rsidRPr="00BC731E" w:rsidRDefault="00F603BA" w:rsidP="000B30FA">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F603BA" w:rsidRPr="004A61C5" w:rsidRDefault="00F603BA" w:rsidP="000B30FA">
                            <w:pPr>
                              <w:pStyle w:val="TLKontakty"/>
                              <w:spacing w:after="80" w:line="240" w:lineRule="auto"/>
                              <w:rPr>
                                <w:b w:val="0"/>
                                <w:color w:val="auto"/>
                              </w:rPr>
                            </w:pPr>
                          </w:p>
                          <w:p w:rsidR="00F603BA" w:rsidRPr="004A61C5" w:rsidRDefault="00F603BA" w:rsidP="000B30FA">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F603BA" w:rsidRPr="004A61C5" w:rsidRDefault="00F603BA" w:rsidP="000B30FA">
                            <w:pPr>
                              <w:pStyle w:val="TLKontakty"/>
                              <w:spacing w:after="80" w:line="240" w:lineRule="auto"/>
                              <w:rPr>
                                <w:b w:val="0"/>
                                <w:color w:val="auto"/>
                              </w:rPr>
                            </w:pPr>
                          </w:p>
                          <w:p w:rsidR="00F603BA" w:rsidRPr="004A61C5" w:rsidRDefault="00F603BA" w:rsidP="000B30FA">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F603BA" w:rsidRDefault="00F603BA" w:rsidP="000B30FA">
                            <w:pPr>
                              <w:pStyle w:val="TLKontakty"/>
                              <w:spacing w:after="80" w:line="240" w:lineRule="auto"/>
                            </w:pPr>
                          </w:p>
                          <w:p w:rsidR="00F603BA" w:rsidRPr="00BC731E" w:rsidRDefault="00F603BA" w:rsidP="000B30FA">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rsidR="00F603BA" w:rsidRPr="004A61C5" w:rsidRDefault="00F603BA" w:rsidP="000B30FA">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F603BA" w:rsidRPr="004A61C5" w:rsidRDefault="00F603BA" w:rsidP="000B30FA">
                            <w:pPr>
                              <w:pStyle w:val="TLKontakty"/>
                              <w:spacing w:after="80" w:line="240" w:lineRule="auto"/>
                              <w:rPr>
                                <w:b w:val="0"/>
                                <w:color w:val="auto"/>
                              </w:rPr>
                            </w:pPr>
                          </w:p>
                          <w:p w:rsidR="00F603BA" w:rsidRPr="005E7C78" w:rsidRDefault="00F603BA" w:rsidP="000B30FA">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 xml:space="preserve">585 731 </w:t>
                            </w:r>
                            <w:r w:rsidRPr="00BC731E">
                              <w:rPr>
                                <w:b w:val="0"/>
                                <w:color w:val="auto"/>
                              </w:rPr>
                              <w:t>516, 585 731 511</w:t>
                            </w:r>
                          </w:p>
                          <w:p w:rsidR="00F603BA" w:rsidRPr="005E7C78" w:rsidRDefault="00F603BA" w:rsidP="000B30FA">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F603BA" w:rsidRPr="005E7C78" w:rsidRDefault="00F603BA" w:rsidP="000B30FA">
                            <w:pPr>
                              <w:pStyle w:val="TLKontakty"/>
                              <w:spacing w:after="80" w:line="240" w:lineRule="auto"/>
                              <w:rPr>
                                <w:b w:val="0"/>
                                <w:color w:val="auto"/>
                              </w:rPr>
                            </w:pPr>
                          </w:p>
                          <w:p w:rsidR="00F603BA" w:rsidRPr="005E7C78" w:rsidRDefault="00F603BA" w:rsidP="000B30FA">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rsidR="00F603BA" w:rsidRDefault="00F603BA" w:rsidP="000B30FA">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F603BA" w:rsidRPr="005E7C78" w:rsidRDefault="00F603BA" w:rsidP="000B30FA">
                            <w:pPr>
                              <w:pStyle w:val="TLKontakty"/>
                              <w:spacing w:after="80" w:line="240" w:lineRule="auto"/>
                              <w:rPr>
                                <w:b w:val="0"/>
                                <w:color w:val="auto"/>
                              </w:rPr>
                            </w:pPr>
                          </w:p>
                          <w:p w:rsidR="00F603BA" w:rsidRPr="005E7C78" w:rsidRDefault="00F603BA" w:rsidP="000B30FA">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rsidR="00F603BA" w:rsidRPr="0010437D" w:rsidRDefault="00F603BA"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7pt;margin-top:113.4pt;width:481.85pt;height:605.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UuQIAALc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" filled="f" stroked="f">
                <v:textbox style="mso-fit-shape-to-text:t" inset="0,0,0,0">
                  <w:txbxContent>
                    <w:p w:rsidR="00F603BA" w:rsidRPr="006F5416" w:rsidRDefault="00F603BA" w:rsidP="000B30FA">
                      <w:pPr>
                        <w:pStyle w:val="TLKontaktyerven"/>
                      </w:pPr>
                      <w:r w:rsidRPr="006F5416">
                        <w:t>KONTAKTY V ÚSTŘEDÍ</w:t>
                      </w:r>
                    </w:p>
                    <w:p w:rsidR="00F603BA" w:rsidRPr="007D40DF" w:rsidRDefault="00F603BA" w:rsidP="000B30FA">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F603BA" w:rsidRPr="00D235B7" w:rsidRDefault="00F603BA" w:rsidP="000B30FA">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274 052 304, 274 052 451 | e-mail: infoservis@czso.cz</w:t>
                      </w:r>
                    </w:p>
                    <w:p w:rsidR="00F603BA" w:rsidRPr="00D235B7" w:rsidRDefault="00F603BA" w:rsidP="000B30FA">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274 052 361 | e-mail: prodejna@czso.cz</w:t>
                      </w:r>
                    </w:p>
                    <w:p w:rsidR="00F603BA" w:rsidRPr="00D235B7" w:rsidRDefault="00F603BA" w:rsidP="000B30FA">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274 052 347, 274 052 757 | e-mail: esds@czso.cz</w:t>
                      </w:r>
                    </w:p>
                    <w:p w:rsidR="00F603BA" w:rsidRPr="00D235B7" w:rsidRDefault="00F603BA" w:rsidP="000B30FA">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274 052 361 | e-mail: knihovna@czso.cz</w:t>
                      </w:r>
                    </w:p>
                    <w:p w:rsidR="00F603BA" w:rsidRPr="004A61C5" w:rsidRDefault="00F603BA" w:rsidP="000B30FA">
                      <w:pPr>
                        <w:pStyle w:val="TLKontakty"/>
                        <w:spacing w:after="80" w:line="240" w:lineRule="auto"/>
                        <w:contextualSpacing w:val="0"/>
                        <w:rPr>
                          <w:color w:val="auto"/>
                        </w:rPr>
                      </w:pPr>
                    </w:p>
                    <w:p w:rsidR="00F603BA" w:rsidRPr="00D66223" w:rsidRDefault="00F603BA" w:rsidP="000B30FA">
                      <w:pPr>
                        <w:pStyle w:val="TLKontaktyerven"/>
                      </w:pPr>
                      <w:r w:rsidRPr="00D66223">
                        <w:t>INFORMAČNÍ SLUŽBY V REGIONECH</w:t>
                      </w:r>
                    </w:p>
                    <w:p w:rsidR="00F603BA" w:rsidRPr="00992CF3" w:rsidRDefault="00F603BA" w:rsidP="000B30FA">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274 054 223</w:t>
                      </w:r>
                    </w:p>
                    <w:p w:rsidR="00F603BA" w:rsidRPr="00992CF3" w:rsidRDefault="00F603BA" w:rsidP="000B30FA">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F603BA" w:rsidRPr="004A61C5" w:rsidRDefault="00F603BA" w:rsidP="000B30FA">
                      <w:pPr>
                        <w:pStyle w:val="TLKontakty"/>
                        <w:spacing w:after="80" w:line="240" w:lineRule="auto"/>
                        <w:rPr>
                          <w:color w:val="auto"/>
                        </w:rPr>
                      </w:pPr>
                    </w:p>
                    <w:p w:rsidR="00F603BA" w:rsidRPr="00992CF3" w:rsidRDefault="00F603BA" w:rsidP="000B30FA">
                      <w:pPr>
                        <w:pStyle w:val="TLKontakty"/>
                        <w:spacing w:after="80" w:line="240" w:lineRule="auto"/>
                        <w:rPr>
                          <w:b w:val="0"/>
                          <w:color w:val="auto"/>
                        </w:rPr>
                      </w:pPr>
                      <w:r w:rsidRPr="00D66223">
                        <w:t>Středočeský kraj</w:t>
                      </w:r>
                      <w:r w:rsidRPr="00992CF3">
                        <w:rPr>
                          <w:b w:val="0"/>
                          <w:color w:val="auto"/>
                        </w:rPr>
                        <w:t xml:space="preserve"> | Na padesátém 81, 100 82 Praha 10, tel.</w:t>
                      </w:r>
                      <w:r>
                        <w:rPr>
                          <w:b w:val="0"/>
                          <w:color w:val="auto"/>
                        </w:rPr>
                        <w:t xml:space="preserve">: </w:t>
                      </w:r>
                      <w:r w:rsidRPr="00992CF3">
                        <w:rPr>
                          <w:b w:val="0"/>
                          <w:color w:val="auto"/>
                        </w:rPr>
                        <w:t>274 054 175</w:t>
                      </w:r>
                    </w:p>
                    <w:p w:rsidR="00F603BA" w:rsidRPr="00992CF3" w:rsidRDefault="00F603BA" w:rsidP="000B30FA">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F603BA" w:rsidRPr="004A61C5" w:rsidRDefault="00F603BA" w:rsidP="000B30FA">
                      <w:pPr>
                        <w:pStyle w:val="TLKontakty"/>
                        <w:spacing w:after="80" w:line="240" w:lineRule="auto"/>
                        <w:rPr>
                          <w:color w:val="auto"/>
                        </w:rPr>
                      </w:pPr>
                    </w:p>
                    <w:p w:rsidR="00F603BA" w:rsidRPr="00992CF3" w:rsidRDefault="00F603BA" w:rsidP="000B30FA">
                      <w:pPr>
                        <w:pStyle w:val="TLKontakty"/>
                        <w:spacing w:after="80" w:line="240" w:lineRule="auto"/>
                        <w:rPr>
                          <w:b w:val="0"/>
                          <w:color w:val="auto"/>
                        </w:rPr>
                      </w:pPr>
                      <w:r w:rsidRPr="00D66223">
                        <w:t>České Budějovice</w:t>
                      </w:r>
                      <w:r w:rsidRPr="00992CF3">
                        <w:rPr>
                          <w:b w:val="0"/>
                          <w:color w:val="auto"/>
                        </w:rPr>
                        <w:t xml:space="preserve"> | Žižkova 1, 370 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386 718 440</w:t>
                      </w:r>
                    </w:p>
                    <w:p w:rsidR="00F603BA" w:rsidRPr="00992CF3" w:rsidRDefault="00F603BA" w:rsidP="000B30FA">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F603BA" w:rsidRPr="004A61C5" w:rsidRDefault="00F603BA" w:rsidP="000B30FA">
                      <w:pPr>
                        <w:pStyle w:val="TLKontakty"/>
                        <w:spacing w:after="80" w:line="240" w:lineRule="auto"/>
                        <w:rPr>
                          <w:color w:val="auto"/>
                        </w:rPr>
                      </w:pPr>
                    </w:p>
                    <w:p w:rsidR="00F603BA" w:rsidRPr="00BC731E" w:rsidRDefault="00F603BA" w:rsidP="000B30FA">
                      <w:pPr>
                        <w:pStyle w:val="TLKontakty"/>
                        <w:spacing w:after="80" w:line="240" w:lineRule="auto"/>
                        <w:rPr>
                          <w:b w:val="0"/>
                          <w:color w:val="auto"/>
                        </w:rPr>
                      </w:pPr>
                      <w:r w:rsidRPr="00D66223">
                        <w:t>Plzeň</w:t>
                      </w:r>
                      <w:r w:rsidRPr="004A61C5">
                        <w:rPr>
                          <w:b w:val="0"/>
                          <w:color w:val="auto"/>
                        </w:rPr>
                        <w:t xml:space="preserve"> | Slovanská alej 36, 326 64 Plzeň</w:t>
                      </w:r>
                      <w:r>
                        <w:rPr>
                          <w:b w:val="0"/>
                          <w:color w:val="auto"/>
                        </w:rPr>
                        <w:t xml:space="preserve">, </w:t>
                      </w:r>
                      <w:r w:rsidRPr="004A61C5">
                        <w:rPr>
                          <w:b w:val="0"/>
                          <w:color w:val="auto"/>
                        </w:rPr>
                        <w:t>tel.</w:t>
                      </w:r>
                      <w:r>
                        <w:rPr>
                          <w:b w:val="0"/>
                          <w:color w:val="auto"/>
                        </w:rPr>
                        <w:t xml:space="preserve">: </w:t>
                      </w:r>
                      <w:r w:rsidRPr="004A61C5">
                        <w:rPr>
                          <w:b w:val="0"/>
                          <w:color w:val="auto"/>
                        </w:rPr>
                        <w:t>377 612 108</w:t>
                      </w:r>
                      <w:r w:rsidRPr="00BC731E">
                        <w:rPr>
                          <w:b w:val="0"/>
                          <w:color w:val="auto"/>
                        </w:rPr>
                        <w:t>, 377 612 145</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 360/94, 360 06 Karlovy Vary</w:t>
                      </w:r>
                      <w:r w:rsidRPr="004A61C5">
                        <w:rPr>
                          <w:b w:val="0"/>
                          <w:color w:val="auto"/>
                        </w:rPr>
                        <w:t>, tel.</w:t>
                      </w:r>
                      <w:r>
                        <w:rPr>
                          <w:b w:val="0"/>
                          <w:color w:val="auto"/>
                        </w:rPr>
                        <w:t xml:space="preserve">: </w:t>
                      </w:r>
                      <w:r w:rsidRPr="004A61C5">
                        <w:rPr>
                          <w:b w:val="0"/>
                          <w:color w:val="auto"/>
                        </w:rPr>
                        <w:t>353 114 529, 353 114 525</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Ústí nad Labem</w:t>
                      </w:r>
                      <w:r w:rsidRPr="004A61C5">
                        <w:rPr>
                          <w:b w:val="0"/>
                          <w:color w:val="auto"/>
                        </w:rPr>
                        <w:t xml:space="preserve"> | Špálova 2684, 400 11 Ústí nad Labem</w:t>
                      </w:r>
                      <w:r>
                        <w:rPr>
                          <w:b w:val="0"/>
                          <w:color w:val="auto"/>
                        </w:rPr>
                        <w:t xml:space="preserve">, </w:t>
                      </w:r>
                      <w:r w:rsidRPr="004A61C5">
                        <w:rPr>
                          <w:b w:val="0"/>
                          <w:color w:val="auto"/>
                        </w:rPr>
                        <w:t>tel.</w:t>
                      </w:r>
                      <w:r>
                        <w:rPr>
                          <w:b w:val="0"/>
                          <w:color w:val="auto"/>
                        </w:rPr>
                        <w:t xml:space="preserve">: </w:t>
                      </w:r>
                      <w:r w:rsidRPr="004A61C5">
                        <w:rPr>
                          <w:b w:val="0"/>
                          <w:color w:val="auto"/>
                        </w:rPr>
                        <w:t>472 706 176,</w:t>
                      </w:r>
                      <w:r>
                        <w:rPr>
                          <w:b w:val="0"/>
                          <w:color w:val="auto"/>
                        </w:rPr>
                        <w:t xml:space="preserve"> </w:t>
                      </w:r>
                      <w:r w:rsidRPr="004A61C5">
                        <w:rPr>
                          <w:b w:val="0"/>
                          <w:color w:val="auto"/>
                        </w:rPr>
                        <w:t>472 706 121</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Liberec</w:t>
                      </w:r>
                      <w:r w:rsidRPr="004A61C5">
                        <w:rPr>
                          <w:b w:val="0"/>
                          <w:color w:val="auto"/>
                        </w:rPr>
                        <w:t xml:space="preserve"> | Nám. Dr. Edvarda Beneše 585/26, 460 01 Liberec 1, tel.</w:t>
                      </w:r>
                      <w:r>
                        <w:rPr>
                          <w:b w:val="0"/>
                          <w:color w:val="auto"/>
                        </w:rPr>
                        <w:t xml:space="preserve">: </w:t>
                      </w:r>
                      <w:r w:rsidRPr="004A61C5">
                        <w:rPr>
                          <w:b w:val="0"/>
                          <w:color w:val="auto"/>
                        </w:rPr>
                        <w:t>485 238 811</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F603BA" w:rsidRPr="004A61C5" w:rsidRDefault="00F603BA" w:rsidP="000B30FA">
                      <w:pPr>
                        <w:pStyle w:val="TLKontakty"/>
                        <w:spacing w:after="80" w:line="240" w:lineRule="auto"/>
                        <w:rPr>
                          <w:b w:val="0"/>
                          <w:color w:val="auto"/>
                        </w:rPr>
                      </w:pPr>
                    </w:p>
                    <w:p w:rsidR="00F603BA" w:rsidRPr="004A61C5" w:rsidRDefault="00F603BA" w:rsidP="000B30FA">
                      <w:pPr>
                        <w:pStyle w:val="TLKontakty"/>
                        <w:spacing w:after="80" w:line="240" w:lineRule="auto"/>
                        <w:rPr>
                          <w:b w:val="0"/>
                          <w:color w:val="auto"/>
                        </w:rPr>
                      </w:pPr>
                      <w:r w:rsidRPr="00D66223">
                        <w:t>Hradec Králové</w:t>
                      </w:r>
                      <w:r w:rsidRPr="004A61C5">
                        <w:rPr>
                          <w:b w:val="0"/>
                          <w:color w:val="auto"/>
                        </w:rPr>
                        <w:t xml:space="preserve"> | Myslivečkova 914, 500 03 Hradec Králové 3, </w:t>
                      </w:r>
                      <w:r>
                        <w:rPr>
                          <w:b w:val="0"/>
                          <w:color w:val="auto"/>
                        </w:rPr>
                        <w:t>tel.</w:t>
                      </w:r>
                      <w:r w:rsidRPr="007D40DF">
                        <w:rPr>
                          <w:b w:val="0"/>
                          <w:color w:val="auto"/>
                        </w:rPr>
                        <w:t>:</w:t>
                      </w:r>
                      <w:r>
                        <w:rPr>
                          <w:b w:val="0"/>
                          <w:color w:val="auto"/>
                        </w:rPr>
                        <w:t xml:space="preserve"> </w:t>
                      </w:r>
                      <w:r w:rsidRPr="004A61C5">
                        <w:rPr>
                          <w:b w:val="0"/>
                          <w:color w:val="auto"/>
                        </w:rPr>
                        <w:t>495 762 322,</w:t>
                      </w:r>
                      <w:r>
                        <w:rPr>
                          <w:b w:val="0"/>
                          <w:color w:val="auto"/>
                        </w:rPr>
                        <w:t xml:space="preserve"> </w:t>
                      </w:r>
                      <w:r w:rsidRPr="004A61C5">
                        <w:rPr>
                          <w:b w:val="0"/>
                          <w:color w:val="auto"/>
                        </w:rPr>
                        <w:t>495 762 317</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F603BA" w:rsidRPr="004A61C5" w:rsidRDefault="00F603BA" w:rsidP="000B30FA">
                      <w:pPr>
                        <w:pStyle w:val="TLKontakty"/>
                        <w:spacing w:after="80" w:line="240" w:lineRule="auto"/>
                        <w:rPr>
                          <w:color w:val="auto"/>
                        </w:rPr>
                      </w:pPr>
                    </w:p>
                    <w:p w:rsidR="00F603BA" w:rsidRPr="004A61C5" w:rsidRDefault="00F603BA" w:rsidP="000B30FA">
                      <w:pPr>
                        <w:pStyle w:val="TLKontakty"/>
                        <w:spacing w:after="80" w:line="240" w:lineRule="auto"/>
                        <w:rPr>
                          <w:b w:val="0"/>
                          <w:color w:val="auto"/>
                        </w:rPr>
                      </w:pPr>
                      <w:r w:rsidRPr="00D66223">
                        <w:t>Pardubice</w:t>
                      </w:r>
                      <w:r w:rsidRPr="004A61C5">
                        <w:rPr>
                          <w:b w:val="0"/>
                          <w:color w:val="auto"/>
                        </w:rPr>
                        <w:t xml:space="preserve"> | V Ráji 872, 531 53 Pardubice</w:t>
                      </w:r>
                      <w:r>
                        <w:rPr>
                          <w:b w:val="0"/>
                          <w:color w:val="auto"/>
                        </w:rPr>
                        <w:t xml:space="preserve">, </w:t>
                      </w:r>
                      <w:r w:rsidRPr="004A61C5">
                        <w:rPr>
                          <w:b w:val="0"/>
                          <w:color w:val="auto"/>
                        </w:rPr>
                        <w:t>tel.</w:t>
                      </w:r>
                      <w:r>
                        <w:rPr>
                          <w:b w:val="0"/>
                          <w:color w:val="auto"/>
                        </w:rPr>
                        <w:t>:</w:t>
                      </w:r>
                      <w:r w:rsidRPr="004A61C5">
                        <w:rPr>
                          <w:b w:val="0"/>
                          <w:color w:val="auto"/>
                        </w:rPr>
                        <w:t xml:space="preserve"> 466 743 480, 466 743 418</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F603BA" w:rsidRPr="004A61C5" w:rsidRDefault="00F603BA" w:rsidP="000B30FA">
                      <w:pPr>
                        <w:pStyle w:val="TLKontakty"/>
                        <w:spacing w:after="80" w:line="240" w:lineRule="auto"/>
                        <w:rPr>
                          <w:b w:val="0"/>
                          <w:color w:val="auto"/>
                        </w:rPr>
                      </w:pPr>
                    </w:p>
                    <w:p w:rsidR="00F603BA" w:rsidRPr="004A61C5" w:rsidRDefault="00F603BA" w:rsidP="000B30FA">
                      <w:pPr>
                        <w:pStyle w:val="TLKontakty"/>
                        <w:spacing w:after="80" w:line="240" w:lineRule="auto"/>
                        <w:rPr>
                          <w:b w:val="0"/>
                          <w:color w:val="auto"/>
                        </w:rPr>
                      </w:pPr>
                      <w:r w:rsidRPr="00D66223">
                        <w:t>Jihlava</w:t>
                      </w:r>
                      <w:r w:rsidRPr="004A61C5">
                        <w:rPr>
                          <w:b w:val="0"/>
                          <w:color w:val="auto"/>
                        </w:rPr>
                        <w:t xml:space="preserve"> | Ke Skalce 30,</w:t>
                      </w:r>
                      <w:r>
                        <w:rPr>
                          <w:b w:val="0"/>
                          <w:color w:val="auto"/>
                        </w:rPr>
                        <w:t xml:space="preserve"> 586 01 Jihlava, tel.: </w:t>
                      </w:r>
                      <w:r w:rsidRPr="004A61C5">
                        <w:rPr>
                          <w:b w:val="0"/>
                          <w:color w:val="auto"/>
                        </w:rPr>
                        <w:t xml:space="preserve">567 109 </w:t>
                      </w:r>
                      <w:r w:rsidRPr="00BC731E">
                        <w:rPr>
                          <w:b w:val="0"/>
                          <w:color w:val="auto"/>
                        </w:rPr>
                        <w:t>062, 567 109 073</w:t>
                      </w:r>
                    </w:p>
                    <w:p w:rsidR="00F603BA" w:rsidRPr="004A61C5" w:rsidRDefault="00F603BA" w:rsidP="000B30FA">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F603BA" w:rsidRDefault="00F603BA" w:rsidP="000B30FA">
                      <w:pPr>
                        <w:pStyle w:val="TLKontakty"/>
                        <w:spacing w:after="80" w:line="240" w:lineRule="auto"/>
                      </w:pPr>
                    </w:p>
                    <w:p w:rsidR="00F603BA" w:rsidRPr="00BC731E" w:rsidRDefault="00F603BA" w:rsidP="000B30FA">
                      <w:pPr>
                        <w:pStyle w:val="TLKontakty"/>
                        <w:spacing w:after="80" w:line="240" w:lineRule="auto"/>
                        <w:rPr>
                          <w:b w:val="0"/>
                          <w:color w:val="auto"/>
                        </w:rPr>
                      </w:pPr>
                      <w:r w:rsidRPr="00D66223">
                        <w:t>Brno</w:t>
                      </w:r>
                      <w:r w:rsidRPr="004A61C5">
                        <w:rPr>
                          <w:b w:val="0"/>
                          <w:color w:val="auto"/>
                        </w:rPr>
                        <w:t xml:space="preserve"> | Jezuitská 2, 601 59 Brno, </w:t>
                      </w:r>
                      <w:r>
                        <w:rPr>
                          <w:b w:val="0"/>
                          <w:color w:val="auto"/>
                        </w:rPr>
                        <w:t xml:space="preserve">tel: </w:t>
                      </w:r>
                      <w:r w:rsidRPr="004A61C5">
                        <w:rPr>
                          <w:b w:val="0"/>
                          <w:color w:val="auto"/>
                        </w:rPr>
                        <w:t xml:space="preserve">542 528 </w:t>
                      </w:r>
                      <w:r w:rsidRPr="00BC731E">
                        <w:rPr>
                          <w:b w:val="0"/>
                          <w:color w:val="auto"/>
                        </w:rPr>
                        <w:t>115, 542 528 200</w:t>
                      </w:r>
                    </w:p>
                    <w:p w:rsidR="00F603BA" w:rsidRPr="004A61C5" w:rsidRDefault="00F603BA" w:rsidP="000B30FA">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F603BA" w:rsidRPr="004A61C5" w:rsidRDefault="00F603BA" w:rsidP="000B30FA">
                      <w:pPr>
                        <w:pStyle w:val="TLKontakty"/>
                        <w:spacing w:after="80" w:line="240" w:lineRule="auto"/>
                        <w:rPr>
                          <w:b w:val="0"/>
                          <w:color w:val="auto"/>
                        </w:rPr>
                      </w:pPr>
                    </w:p>
                    <w:p w:rsidR="00F603BA" w:rsidRPr="005E7C78" w:rsidRDefault="00F603BA" w:rsidP="000B30FA">
                      <w:pPr>
                        <w:pStyle w:val="TLKontakty"/>
                        <w:spacing w:after="80" w:line="240" w:lineRule="auto"/>
                        <w:rPr>
                          <w:b w:val="0"/>
                          <w:color w:val="auto"/>
                        </w:rPr>
                      </w:pPr>
                      <w:r w:rsidRPr="00D66223">
                        <w:t>Olomouc</w:t>
                      </w:r>
                      <w:r w:rsidRPr="005E7C78">
                        <w:rPr>
                          <w:b w:val="0"/>
                          <w:color w:val="auto"/>
                        </w:rPr>
                        <w:t xml:space="preserve"> | Jeremenkova 1142/42, 772 11 Olomouc, </w:t>
                      </w:r>
                      <w:r>
                        <w:rPr>
                          <w:b w:val="0"/>
                          <w:color w:val="auto"/>
                        </w:rPr>
                        <w:t xml:space="preserve">tel.: </w:t>
                      </w:r>
                      <w:r w:rsidRPr="005E7C78">
                        <w:rPr>
                          <w:b w:val="0"/>
                          <w:color w:val="auto"/>
                        </w:rPr>
                        <w:t xml:space="preserve">585 731 </w:t>
                      </w:r>
                      <w:r w:rsidRPr="00BC731E">
                        <w:rPr>
                          <w:b w:val="0"/>
                          <w:color w:val="auto"/>
                        </w:rPr>
                        <w:t>516, 585 731 511</w:t>
                      </w:r>
                    </w:p>
                    <w:p w:rsidR="00F603BA" w:rsidRPr="005E7C78" w:rsidRDefault="00F603BA" w:rsidP="000B30FA">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F603BA" w:rsidRPr="005E7C78" w:rsidRDefault="00F603BA" w:rsidP="000B30FA">
                      <w:pPr>
                        <w:pStyle w:val="TLKontakty"/>
                        <w:spacing w:after="80" w:line="240" w:lineRule="auto"/>
                        <w:rPr>
                          <w:b w:val="0"/>
                          <w:color w:val="auto"/>
                        </w:rPr>
                      </w:pPr>
                    </w:p>
                    <w:p w:rsidR="00F603BA" w:rsidRPr="005E7C78" w:rsidRDefault="00F603BA" w:rsidP="000B30FA">
                      <w:pPr>
                        <w:pStyle w:val="TLKontakty"/>
                        <w:spacing w:after="80" w:line="240" w:lineRule="auto"/>
                        <w:rPr>
                          <w:b w:val="0"/>
                          <w:color w:val="auto"/>
                        </w:rPr>
                      </w:pPr>
                      <w:r w:rsidRPr="00D66223">
                        <w:t>Zlín</w:t>
                      </w:r>
                      <w:r w:rsidRPr="005E7C78">
                        <w:rPr>
                          <w:b w:val="0"/>
                          <w:color w:val="auto"/>
                        </w:rPr>
                        <w:t xml:space="preserve"> | tř. Tomáše Bati 1565, 761 76 Zlín, </w:t>
                      </w:r>
                      <w:r w:rsidRPr="00BC731E">
                        <w:rPr>
                          <w:b w:val="0"/>
                          <w:color w:val="auto"/>
                        </w:rPr>
                        <w:t>tel.: 577 004 932, 5</w:t>
                      </w:r>
                      <w:r w:rsidRPr="005E7C78">
                        <w:rPr>
                          <w:b w:val="0"/>
                          <w:color w:val="auto"/>
                        </w:rPr>
                        <w:t>77 004 935</w:t>
                      </w:r>
                    </w:p>
                    <w:p w:rsidR="00F603BA" w:rsidRDefault="00F603BA" w:rsidP="000B30FA">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F603BA" w:rsidRPr="005E7C78" w:rsidRDefault="00F603BA" w:rsidP="000B30FA">
                      <w:pPr>
                        <w:pStyle w:val="TLKontakty"/>
                        <w:spacing w:after="80" w:line="240" w:lineRule="auto"/>
                        <w:rPr>
                          <w:b w:val="0"/>
                          <w:color w:val="auto"/>
                        </w:rPr>
                      </w:pPr>
                    </w:p>
                    <w:p w:rsidR="00F603BA" w:rsidRPr="005E7C78" w:rsidRDefault="00F603BA" w:rsidP="000B30FA">
                      <w:pPr>
                        <w:pStyle w:val="TLKontakty"/>
                        <w:spacing w:after="80" w:line="240" w:lineRule="auto"/>
                        <w:rPr>
                          <w:b w:val="0"/>
                          <w:color w:val="auto"/>
                        </w:rPr>
                      </w:pPr>
                      <w:r w:rsidRPr="00D66223">
                        <w:t>Ostrava</w:t>
                      </w:r>
                      <w:r w:rsidRPr="005E7C78">
                        <w:rPr>
                          <w:b w:val="0"/>
                          <w:color w:val="auto"/>
                        </w:rPr>
                        <w:t xml:space="preserve"> | Repinova 17, 702 03 Ostrava,</w:t>
                      </w:r>
                      <w:r>
                        <w:rPr>
                          <w:b w:val="0"/>
                          <w:color w:val="auto"/>
                        </w:rPr>
                        <w:t xml:space="preserve"> tel: </w:t>
                      </w:r>
                      <w:r w:rsidRPr="005E7C78">
                        <w:rPr>
                          <w:b w:val="0"/>
                          <w:color w:val="auto"/>
                        </w:rPr>
                        <w:t>595 131 230, 595 131 232</w:t>
                      </w:r>
                    </w:p>
                    <w:p w:rsidR="00F603BA" w:rsidRPr="0010437D" w:rsidRDefault="00F603BA"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0D43C1BA" wp14:editId="7B6BADCB">
                <wp:simplePos x="0" y="0"/>
                <wp:positionH relativeFrom="page">
                  <wp:posOffset>720090</wp:posOffset>
                </wp:positionH>
                <wp:positionV relativeFrom="page">
                  <wp:posOffset>9486900</wp:posOffset>
                </wp:positionV>
                <wp:extent cx="6120130" cy="360045"/>
                <wp:effectExtent l="0" t="0" r="13970" b="1905"/>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Default="00F603BA">
                            <w:r w:rsidRPr="00321924">
                              <w:br/>
                              <w:t xml:space="preserve">© Český statistický úřad, </w:t>
                            </w:r>
                            <w:r>
                              <w:t>Praha</w:t>
                            </w:r>
                            <w:r w:rsidRPr="00321924">
                              <w:t xml:space="preserve">, </w:t>
                            </w:r>
                            <w:r>
                              <w:t>2017</w:t>
                            </w:r>
                          </w:p>
                          <w:p w:rsidR="00F603BA" w:rsidRPr="00841D9F" w:rsidRDefault="00F603BA" w:rsidP="000A3A2C">
                            <w:r w:rsidRPr="00841D9F">
                              <w:rPr>
                                <w:szCs w:val="26"/>
                              </w:rPr>
                              <w:t xml:space="preserve">ISBN XX-XXXX-XXX-X  </w:t>
                            </w:r>
                            <w:r w:rsidRPr="00841D9F">
                              <w:t>(pouze u nepravidelných a ročních publikací)</w:t>
                            </w:r>
                          </w:p>
                          <w:p w:rsidR="00F603BA" w:rsidRPr="00AF2852" w:rsidRDefault="00F603BA"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7q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" filled="f" stroked="f">
                <v:textbox inset="0,0,0,0">
                  <w:txbxContent>
                    <w:p w:rsidR="00F603BA" w:rsidRDefault="00F603BA">
                      <w:r w:rsidRPr="00321924">
                        <w:br/>
                        <w:t xml:space="preserve">© Český statistický úřad, </w:t>
                      </w:r>
                      <w:r>
                        <w:t>Praha</w:t>
                      </w:r>
                      <w:r w:rsidRPr="00321924">
                        <w:t xml:space="preserve">, </w:t>
                      </w:r>
                      <w:r>
                        <w:t>2017</w:t>
                      </w:r>
                    </w:p>
                    <w:p w:rsidR="00F603BA" w:rsidRPr="00841D9F" w:rsidRDefault="00F603BA" w:rsidP="000A3A2C">
                      <w:r w:rsidRPr="00841D9F">
                        <w:rPr>
                          <w:szCs w:val="26"/>
                        </w:rPr>
                        <w:t xml:space="preserve">ISBN XX-XXXX-XXX-X  </w:t>
                      </w:r>
                      <w:r w:rsidRPr="00841D9F">
                        <w:t>(pouze u nepravidelných a ročních publikací)</w:t>
                      </w:r>
                    </w:p>
                    <w:p w:rsidR="00F603BA" w:rsidRPr="00AF2852" w:rsidRDefault="00F603BA"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6CF751E9" wp14:editId="670E3993">
                <wp:simplePos x="0" y="0"/>
                <wp:positionH relativeFrom="page">
                  <wp:posOffset>723265</wp:posOffset>
                </wp:positionH>
                <wp:positionV relativeFrom="page">
                  <wp:posOffset>723265</wp:posOffset>
                </wp:positionV>
                <wp:extent cx="6119495" cy="572770"/>
                <wp:effectExtent l="0" t="0" r="14605" b="1778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3BA" w:rsidRPr="009A1902" w:rsidRDefault="00F603BA"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6.95pt;margin-top:56.95pt;width:481.85pt;height:45.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" filled="f" stroked="f">
                <v:textbox style="mso-fit-shape-to-text:t" inset="0,0,0,0">
                  <w:txbxContent>
                    <w:p w:rsidR="00F603BA" w:rsidRPr="009A1902" w:rsidRDefault="00F603BA" w:rsidP="000A3A2C">
                      <w:pPr>
                        <w:rPr>
                          <w:b/>
                          <w:bCs/>
                          <w:i/>
                          <w:sz w:val="24"/>
                        </w:rPr>
                      </w:pPr>
                      <w:r w:rsidRPr="00B95F50">
                        <w:rPr>
                          <w:b/>
                          <w:color w:val="0071BC"/>
                          <w:sz w:val="24"/>
                        </w:rPr>
                        <w:t xml:space="preserve">Zajímají Vás nejnovější údaje o inflaci, HDP, obyvatelstvu, průměrných mzdách </w:t>
                      </w:r>
                      <w:r>
                        <w:rPr>
                          <w:b/>
                          <w:color w:val="0071BC"/>
                          <w:sz w:val="24"/>
                        </w:rPr>
                        <w:br/>
                      </w:r>
                      <w:r w:rsidRPr="00B95F50">
                        <w:rPr>
                          <w:b/>
                          <w:color w:val="0071BC"/>
                          <w:sz w:val="24"/>
                        </w:rPr>
                        <w:t xml:space="preserve">a mnohé další? Najdete je na stránkách ČSÚ na internetu: </w:t>
                      </w:r>
                      <w:r>
                        <w:rPr>
                          <w:b/>
                          <w:bCs/>
                          <w:sz w:val="24"/>
                        </w:rPr>
                        <w:t>www.czso.cz</w:t>
                      </w:r>
                    </w:p>
                  </w:txbxContent>
                </v:textbox>
                <w10:wrap anchorx="page" anchory="page"/>
                <w10:anchorlock/>
              </v:shape>
            </w:pict>
          </mc:Fallback>
        </mc:AlternateContent>
      </w:r>
    </w:p>
    <w:p w:rsidR="00EE4B1B" w:rsidRPr="006F5416" w:rsidRDefault="00EE4B1B" w:rsidP="006F5416">
      <w:pPr>
        <w:pStyle w:val="Obsah"/>
      </w:pPr>
      <w:r w:rsidRPr="006F5416">
        <w:lastRenderedPageBreak/>
        <w:t>Obsah</w:t>
      </w:r>
    </w:p>
    <w:p w:rsidR="00276534" w:rsidRDefault="007C3A3E">
      <w:pPr>
        <w:pStyle w:val="Obsah2"/>
        <w:rPr>
          <w:rFonts w:asciiTheme="minorHAnsi" w:eastAsiaTheme="minorEastAsia" w:hAnsiTheme="minorHAnsi" w:cstheme="minorBidi"/>
          <w:noProof/>
          <w:sz w:val="22"/>
          <w:szCs w:val="22"/>
        </w:rPr>
      </w:pPr>
      <w:r>
        <w:rPr>
          <w:b/>
        </w:rPr>
        <w:fldChar w:fldCharType="begin"/>
      </w:r>
      <w:r w:rsidR="00E008AC">
        <w:rPr>
          <w:b/>
        </w:rPr>
        <w:instrText xml:space="preserve"> TOC \o "1-4" \h \z \u </w:instrText>
      </w:r>
      <w:r>
        <w:rPr>
          <w:b/>
        </w:rPr>
        <w:fldChar w:fldCharType="separate"/>
      </w:r>
      <w:hyperlink w:anchor="_Toc501614088" w:history="1">
        <w:r w:rsidR="00276534" w:rsidRPr="00063877">
          <w:rPr>
            <w:rStyle w:val="Hypertextovodkaz"/>
            <w:noProof/>
          </w:rPr>
          <w:t>Úvod</w:t>
        </w:r>
        <w:r w:rsidR="00276534">
          <w:rPr>
            <w:noProof/>
            <w:webHidden/>
          </w:rPr>
          <w:tab/>
        </w:r>
        <w:r w:rsidR="00276534">
          <w:rPr>
            <w:noProof/>
            <w:webHidden/>
          </w:rPr>
          <w:fldChar w:fldCharType="begin"/>
        </w:r>
        <w:r w:rsidR="00276534">
          <w:rPr>
            <w:noProof/>
            <w:webHidden/>
          </w:rPr>
          <w:instrText xml:space="preserve"> PAGEREF _Toc501614088 \h </w:instrText>
        </w:r>
        <w:r w:rsidR="00276534">
          <w:rPr>
            <w:noProof/>
            <w:webHidden/>
          </w:rPr>
        </w:r>
        <w:r w:rsidR="00276534">
          <w:rPr>
            <w:noProof/>
            <w:webHidden/>
          </w:rPr>
          <w:fldChar w:fldCharType="separate"/>
        </w:r>
        <w:r w:rsidR="00476EDB">
          <w:rPr>
            <w:noProof/>
            <w:webHidden/>
          </w:rPr>
          <w:t>4</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089" w:history="1">
        <w:r w:rsidR="00276534" w:rsidRPr="00063877">
          <w:rPr>
            <w:rStyle w:val="Hypertextovodkaz"/>
            <w:noProof/>
          </w:rPr>
          <w:t>Metodologie</w:t>
        </w:r>
        <w:r w:rsidR="00276534">
          <w:rPr>
            <w:noProof/>
            <w:webHidden/>
          </w:rPr>
          <w:tab/>
        </w:r>
        <w:r w:rsidR="00276534">
          <w:rPr>
            <w:noProof/>
            <w:webHidden/>
          </w:rPr>
          <w:fldChar w:fldCharType="begin"/>
        </w:r>
        <w:r w:rsidR="00276534">
          <w:rPr>
            <w:noProof/>
            <w:webHidden/>
          </w:rPr>
          <w:instrText xml:space="preserve"> PAGEREF _Toc501614089 \h </w:instrText>
        </w:r>
        <w:r w:rsidR="00276534">
          <w:rPr>
            <w:noProof/>
            <w:webHidden/>
          </w:rPr>
        </w:r>
        <w:r w:rsidR="00276534">
          <w:rPr>
            <w:noProof/>
            <w:webHidden/>
          </w:rPr>
          <w:fldChar w:fldCharType="separate"/>
        </w:r>
        <w:r w:rsidR="00476EDB">
          <w:rPr>
            <w:noProof/>
            <w:webHidden/>
          </w:rPr>
          <w:t>6</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090" w:history="1">
        <w:r w:rsidR="00276534" w:rsidRPr="00063877">
          <w:rPr>
            <w:rStyle w:val="Hypertextovodkaz"/>
            <w:noProof/>
          </w:rPr>
          <w:t>Kapitola 1: Důraz kladený na vzdělávání ve firmách v ČR</w:t>
        </w:r>
        <w:r w:rsidR="00276534">
          <w:rPr>
            <w:noProof/>
            <w:webHidden/>
          </w:rPr>
          <w:tab/>
        </w:r>
        <w:r w:rsidR="00276534">
          <w:rPr>
            <w:noProof/>
            <w:webHidden/>
          </w:rPr>
          <w:fldChar w:fldCharType="begin"/>
        </w:r>
        <w:r w:rsidR="00276534">
          <w:rPr>
            <w:noProof/>
            <w:webHidden/>
          </w:rPr>
          <w:instrText xml:space="preserve"> PAGEREF _Toc501614090 \h </w:instrText>
        </w:r>
        <w:r w:rsidR="00276534">
          <w:rPr>
            <w:noProof/>
            <w:webHidden/>
          </w:rPr>
        </w:r>
        <w:r w:rsidR="00276534">
          <w:rPr>
            <w:noProof/>
            <w:webHidden/>
          </w:rPr>
          <w:fldChar w:fldCharType="separate"/>
        </w:r>
        <w:r w:rsidR="00476EDB">
          <w:rPr>
            <w:noProof/>
            <w:webHidden/>
          </w:rPr>
          <w:t>8</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091" w:history="1">
        <w:r w:rsidR="00276534" w:rsidRPr="00063877">
          <w:rPr>
            <w:rStyle w:val="Hypertextovodkaz"/>
            <w:noProof/>
          </w:rPr>
          <w:t>Hlavní zjištění</w:t>
        </w:r>
        <w:r w:rsidR="00276534">
          <w:rPr>
            <w:noProof/>
            <w:webHidden/>
          </w:rPr>
          <w:tab/>
        </w:r>
        <w:r w:rsidR="00276534">
          <w:rPr>
            <w:noProof/>
            <w:webHidden/>
          </w:rPr>
          <w:fldChar w:fldCharType="begin"/>
        </w:r>
        <w:r w:rsidR="00276534">
          <w:rPr>
            <w:noProof/>
            <w:webHidden/>
          </w:rPr>
          <w:instrText xml:space="preserve"> PAGEREF _Toc501614091 \h </w:instrText>
        </w:r>
        <w:r w:rsidR="00276534">
          <w:rPr>
            <w:noProof/>
            <w:webHidden/>
          </w:rPr>
        </w:r>
        <w:r w:rsidR="00276534">
          <w:rPr>
            <w:noProof/>
            <w:webHidden/>
          </w:rPr>
          <w:fldChar w:fldCharType="separate"/>
        </w:r>
        <w:r w:rsidR="00476EDB">
          <w:rPr>
            <w:noProof/>
            <w:webHidden/>
          </w:rPr>
          <w:t>8</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092" w:history="1">
        <w:r w:rsidR="00276534" w:rsidRPr="00063877">
          <w:rPr>
            <w:rStyle w:val="Hypertextovodkaz"/>
            <w:noProof/>
          </w:rPr>
          <w:t>Formy vzdělávání, které firmy poskytují svým zaměstnancům</w:t>
        </w:r>
        <w:r w:rsidR="00276534">
          <w:rPr>
            <w:noProof/>
            <w:webHidden/>
          </w:rPr>
          <w:tab/>
        </w:r>
        <w:r w:rsidR="00276534">
          <w:rPr>
            <w:noProof/>
            <w:webHidden/>
          </w:rPr>
          <w:fldChar w:fldCharType="begin"/>
        </w:r>
        <w:r w:rsidR="00276534">
          <w:rPr>
            <w:noProof/>
            <w:webHidden/>
          </w:rPr>
          <w:instrText xml:space="preserve"> PAGEREF _Toc501614092 \h </w:instrText>
        </w:r>
        <w:r w:rsidR="00276534">
          <w:rPr>
            <w:noProof/>
            <w:webHidden/>
          </w:rPr>
        </w:r>
        <w:r w:rsidR="00276534">
          <w:rPr>
            <w:noProof/>
            <w:webHidden/>
          </w:rPr>
          <w:fldChar w:fldCharType="separate"/>
        </w:r>
        <w:r w:rsidR="00476EDB">
          <w:rPr>
            <w:noProof/>
            <w:webHidden/>
          </w:rPr>
          <w:t>9</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093" w:history="1">
        <w:r w:rsidR="00276534" w:rsidRPr="00063877">
          <w:rPr>
            <w:rStyle w:val="Hypertextovodkaz"/>
            <w:noProof/>
          </w:rPr>
          <w:t>Povinné a nepovinné kurzy a školení</w:t>
        </w:r>
        <w:r w:rsidR="00276534">
          <w:rPr>
            <w:noProof/>
            <w:webHidden/>
          </w:rPr>
          <w:tab/>
        </w:r>
        <w:r w:rsidR="00276534">
          <w:rPr>
            <w:noProof/>
            <w:webHidden/>
          </w:rPr>
          <w:fldChar w:fldCharType="begin"/>
        </w:r>
        <w:r w:rsidR="00276534">
          <w:rPr>
            <w:noProof/>
            <w:webHidden/>
          </w:rPr>
          <w:instrText xml:space="preserve"> PAGEREF _Toc501614093 \h </w:instrText>
        </w:r>
        <w:r w:rsidR="00276534">
          <w:rPr>
            <w:noProof/>
            <w:webHidden/>
          </w:rPr>
        </w:r>
        <w:r w:rsidR="00276534">
          <w:rPr>
            <w:noProof/>
            <w:webHidden/>
          </w:rPr>
          <w:fldChar w:fldCharType="separate"/>
        </w:r>
        <w:r w:rsidR="00476EDB">
          <w:rPr>
            <w:noProof/>
            <w:webHidden/>
          </w:rPr>
          <w:t>9</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094" w:history="1">
        <w:r w:rsidR="00276534" w:rsidRPr="00063877">
          <w:rPr>
            <w:rStyle w:val="Hypertextovodkaz"/>
            <w:noProof/>
          </w:rPr>
          <w:t>Jiné formy vzdělávání</w:t>
        </w:r>
        <w:r w:rsidR="00276534">
          <w:rPr>
            <w:noProof/>
            <w:webHidden/>
          </w:rPr>
          <w:tab/>
        </w:r>
        <w:r w:rsidR="00276534">
          <w:rPr>
            <w:noProof/>
            <w:webHidden/>
          </w:rPr>
          <w:fldChar w:fldCharType="begin"/>
        </w:r>
        <w:r w:rsidR="00276534">
          <w:rPr>
            <w:noProof/>
            <w:webHidden/>
          </w:rPr>
          <w:instrText xml:space="preserve"> PAGEREF _Toc501614094 \h </w:instrText>
        </w:r>
        <w:r w:rsidR="00276534">
          <w:rPr>
            <w:noProof/>
            <w:webHidden/>
          </w:rPr>
        </w:r>
        <w:r w:rsidR="00276534">
          <w:rPr>
            <w:noProof/>
            <w:webHidden/>
          </w:rPr>
          <w:fldChar w:fldCharType="separate"/>
        </w:r>
        <w:r w:rsidR="00476EDB">
          <w:rPr>
            <w:noProof/>
            <w:webHidden/>
          </w:rPr>
          <w:t>10</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095" w:history="1">
        <w:r w:rsidR="00276534" w:rsidRPr="00063877">
          <w:rPr>
            <w:rStyle w:val="Hypertextovodkaz"/>
            <w:noProof/>
          </w:rPr>
          <w:t>Analýza budoucích vzdělávacích potřeb</w:t>
        </w:r>
        <w:r w:rsidR="00276534">
          <w:rPr>
            <w:noProof/>
            <w:webHidden/>
          </w:rPr>
          <w:tab/>
        </w:r>
        <w:r w:rsidR="00276534">
          <w:rPr>
            <w:noProof/>
            <w:webHidden/>
          </w:rPr>
          <w:fldChar w:fldCharType="begin"/>
        </w:r>
        <w:r w:rsidR="00276534">
          <w:rPr>
            <w:noProof/>
            <w:webHidden/>
          </w:rPr>
          <w:instrText xml:space="preserve"> PAGEREF _Toc501614095 \h </w:instrText>
        </w:r>
        <w:r w:rsidR="00276534">
          <w:rPr>
            <w:noProof/>
            <w:webHidden/>
          </w:rPr>
        </w:r>
        <w:r w:rsidR="00276534">
          <w:rPr>
            <w:noProof/>
            <w:webHidden/>
          </w:rPr>
          <w:fldChar w:fldCharType="separate"/>
        </w:r>
        <w:r w:rsidR="00476EDB">
          <w:rPr>
            <w:noProof/>
            <w:webHidden/>
          </w:rPr>
          <w:t>11</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096" w:history="1">
        <w:r w:rsidR="00276534" w:rsidRPr="00063877">
          <w:rPr>
            <w:rStyle w:val="Hypertextovodkaz"/>
            <w:noProof/>
          </w:rPr>
          <w:t>Organizace vzdělávání ve firmách</w:t>
        </w:r>
        <w:r w:rsidR="00276534">
          <w:rPr>
            <w:noProof/>
            <w:webHidden/>
          </w:rPr>
          <w:tab/>
        </w:r>
        <w:r w:rsidR="00276534">
          <w:rPr>
            <w:noProof/>
            <w:webHidden/>
          </w:rPr>
          <w:fldChar w:fldCharType="begin"/>
        </w:r>
        <w:r w:rsidR="00276534">
          <w:rPr>
            <w:noProof/>
            <w:webHidden/>
          </w:rPr>
          <w:instrText xml:space="preserve"> PAGEREF _Toc501614096 \h </w:instrText>
        </w:r>
        <w:r w:rsidR="00276534">
          <w:rPr>
            <w:noProof/>
            <w:webHidden/>
          </w:rPr>
        </w:r>
        <w:r w:rsidR="00276534">
          <w:rPr>
            <w:noProof/>
            <w:webHidden/>
          </w:rPr>
          <w:fldChar w:fldCharType="separate"/>
        </w:r>
        <w:r w:rsidR="00476EDB">
          <w:rPr>
            <w:noProof/>
            <w:webHidden/>
          </w:rPr>
          <w:t>12</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097" w:history="1">
        <w:r w:rsidR="00276534" w:rsidRPr="00063877">
          <w:rPr>
            <w:rStyle w:val="Hypertextovodkaz"/>
            <w:noProof/>
          </w:rPr>
          <w:t>Reakce firem na zjištění absence nebo deficitu znalostí a dovedností zaměstnanců</w:t>
        </w:r>
        <w:r w:rsidR="00276534">
          <w:rPr>
            <w:noProof/>
            <w:webHidden/>
          </w:rPr>
          <w:tab/>
        </w:r>
        <w:r w:rsidR="00276534">
          <w:rPr>
            <w:noProof/>
            <w:webHidden/>
          </w:rPr>
          <w:fldChar w:fldCharType="begin"/>
        </w:r>
        <w:r w:rsidR="00276534">
          <w:rPr>
            <w:noProof/>
            <w:webHidden/>
          </w:rPr>
          <w:instrText xml:space="preserve"> PAGEREF _Toc501614097 \h </w:instrText>
        </w:r>
        <w:r w:rsidR="00276534">
          <w:rPr>
            <w:noProof/>
            <w:webHidden/>
          </w:rPr>
        </w:r>
        <w:r w:rsidR="00276534">
          <w:rPr>
            <w:noProof/>
            <w:webHidden/>
          </w:rPr>
          <w:fldChar w:fldCharType="separate"/>
        </w:r>
        <w:r w:rsidR="00476EDB">
          <w:rPr>
            <w:noProof/>
            <w:webHidden/>
          </w:rPr>
          <w:t>16</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098" w:history="1">
        <w:r w:rsidR="00276534" w:rsidRPr="00063877">
          <w:rPr>
            <w:rStyle w:val="Hypertextovodkaz"/>
            <w:noProof/>
          </w:rPr>
          <w:t>Zapojení zaměstnanců do rozhodování o vzdělávání</w:t>
        </w:r>
        <w:r w:rsidR="00276534">
          <w:rPr>
            <w:noProof/>
            <w:webHidden/>
          </w:rPr>
          <w:tab/>
        </w:r>
        <w:r w:rsidR="00276534">
          <w:rPr>
            <w:noProof/>
            <w:webHidden/>
          </w:rPr>
          <w:fldChar w:fldCharType="begin"/>
        </w:r>
        <w:r w:rsidR="00276534">
          <w:rPr>
            <w:noProof/>
            <w:webHidden/>
          </w:rPr>
          <w:instrText xml:space="preserve"> PAGEREF _Toc501614098 \h </w:instrText>
        </w:r>
        <w:r w:rsidR="00276534">
          <w:rPr>
            <w:noProof/>
            <w:webHidden/>
          </w:rPr>
        </w:r>
        <w:r w:rsidR="00276534">
          <w:rPr>
            <w:noProof/>
            <w:webHidden/>
          </w:rPr>
          <w:fldChar w:fldCharType="separate"/>
        </w:r>
        <w:r w:rsidR="00476EDB">
          <w:rPr>
            <w:noProof/>
            <w:webHidden/>
          </w:rPr>
          <w:t>16</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099" w:history="1">
        <w:r w:rsidR="00276534" w:rsidRPr="00063877">
          <w:rPr>
            <w:rStyle w:val="Hypertextovodkaz"/>
            <w:noProof/>
          </w:rPr>
          <w:t>Finanční plánování ve firemním vzdělávání</w:t>
        </w:r>
        <w:r w:rsidR="00276534">
          <w:rPr>
            <w:noProof/>
            <w:webHidden/>
          </w:rPr>
          <w:tab/>
        </w:r>
        <w:r w:rsidR="00276534">
          <w:rPr>
            <w:noProof/>
            <w:webHidden/>
          </w:rPr>
          <w:fldChar w:fldCharType="begin"/>
        </w:r>
        <w:r w:rsidR="00276534">
          <w:rPr>
            <w:noProof/>
            <w:webHidden/>
          </w:rPr>
          <w:instrText xml:space="preserve"> PAGEREF _Toc501614099 \h </w:instrText>
        </w:r>
        <w:r w:rsidR="00276534">
          <w:rPr>
            <w:noProof/>
            <w:webHidden/>
          </w:rPr>
        </w:r>
        <w:r w:rsidR="00276534">
          <w:rPr>
            <w:noProof/>
            <w:webHidden/>
          </w:rPr>
          <w:fldChar w:fldCharType="separate"/>
        </w:r>
        <w:r w:rsidR="00476EDB">
          <w:rPr>
            <w:noProof/>
            <w:webHidden/>
          </w:rPr>
          <w:t>18</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00" w:history="1">
        <w:r w:rsidR="00276534" w:rsidRPr="00063877">
          <w:rPr>
            <w:rStyle w:val="Hypertextovodkaz"/>
            <w:noProof/>
          </w:rPr>
          <w:t>Zpětné vyhodnocování vzdělávání</w:t>
        </w:r>
        <w:r w:rsidR="00276534">
          <w:rPr>
            <w:noProof/>
            <w:webHidden/>
          </w:rPr>
          <w:tab/>
        </w:r>
        <w:r w:rsidR="00276534">
          <w:rPr>
            <w:noProof/>
            <w:webHidden/>
          </w:rPr>
          <w:fldChar w:fldCharType="begin"/>
        </w:r>
        <w:r w:rsidR="00276534">
          <w:rPr>
            <w:noProof/>
            <w:webHidden/>
          </w:rPr>
          <w:instrText xml:space="preserve"> PAGEREF _Toc501614100 \h </w:instrText>
        </w:r>
        <w:r w:rsidR="00276534">
          <w:rPr>
            <w:noProof/>
            <w:webHidden/>
          </w:rPr>
        </w:r>
        <w:r w:rsidR="00276534">
          <w:rPr>
            <w:noProof/>
            <w:webHidden/>
          </w:rPr>
          <w:fldChar w:fldCharType="separate"/>
        </w:r>
        <w:r w:rsidR="00476EDB">
          <w:rPr>
            <w:noProof/>
            <w:webHidden/>
          </w:rPr>
          <w:t>19</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01" w:history="1">
        <w:r w:rsidR="00276534" w:rsidRPr="00063877">
          <w:rPr>
            <w:rStyle w:val="Hypertextovodkaz"/>
            <w:noProof/>
          </w:rPr>
          <w:t>Kapitola 2: Účast zaměstnanců na dalším odborném vzdělávání</w:t>
        </w:r>
        <w:r w:rsidR="00276534">
          <w:rPr>
            <w:noProof/>
            <w:webHidden/>
          </w:rPr>
          <w:tab/>
        </w:r>
        <w:r w:rsidR="00276534">
          <w:rPr>
            <w:noProof/>
            <w:webHidden/>
          </w:rPr>
          <w:fldChar w:fldCharType="begin"/>
        </w:r>
        <w:r w:rsidR="00276534">
          <w:rPr>
            <w:noProof/>
            <w:webHidden/>
          </w:rPr>
          <w:instrText xml:space="preserve"> PAGEREF _Toc501614101 \h </w:instrText>
        </w:r>
        <w:r w:rsidR="00276534">
          <w:rPr>
            <w:noProof/>
            <w:webHidden/>
          </w:rPr>
        </w:r>
        <w:r w:rsidR="00276534">
          <w:rPr>
            <w:noProof/>
            <w:webHidden/>
          </w:rPr>
          <w:fldChar w:fldCharType="separate"/>
        </w:r>
        <w:r w:rsidR="00476EDB">
          <w:rPr>
            <w:noProof/>
            <w:webHidden/>
          </w:rPr>
          <w:t>21</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02" w:history="1">
        <w:r w:rsidR="00276534" w:rsidRPr="00063877">
          <w:rPr>
            <w:rStyle w:val="Hypertextovodkaz"/>
            <w:noProof/>
          </w:rPr>
          <w:t>Hlavní zjištění</w:t>
        </w:r>
        <w:r w:rsidR="00276534">
          <w:rPr>
            <w:noProof/>
            <w:webHidden/>
          </w:rPr>
          <w:tab/>
        </w:r>
        <w:r w:rsidR="00276534">
          <w:rPr>
            <w:noProof/>
            <w:webHidden/>
          </w:rPr>
          <w:fldChar w:fldCharType="begin"/>
        </w:r>
        <w:r w:rsidR="00276534">
          <w:rPr>
            <w:noProof/>
            <w:webHidden/>
          </w:rPr>
          <w:instrText xml:space="preserve"> PAGEREF _Toc501614102 \h </w:instrText>
        </w:r>
        <w:r w:rsidR="00276534">
          <w:rPr>
            <w:noProof/>
            <w:webHidden/>
          </w:rPr>
        </w:r>
        <w:r w:rsidR="00276534">
          <w:rPr>
            <w:noProof/>
            <w:webHidden/>
          </w:rPr>
          <w:fldChar w:fldCharType="separate"/>
        </w:r>
        <w:r w:rsidR="00476EDB">
          <w:rPr>
            <w:noProof/>
            <w:webHidden/>
          </w:rPr>
          <w:t>21</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03" w:history="1">
        <w:r w:rsidR="00276534" w:rsidRPr="00063877">
          <w:rPr>
            <w:rStyle w:val="Hypertextovodkaz"/>
            <w:noProof/>
          </w:rPr>
          <w:t>Kurzy a školení</w:t>
        </w:r>
        <w:r w:rsidR="00276534">
          <w:rPr>
            <w:noProof/>
            <w:webHidden/>
          </w:rPr>
          <w:tab/>
        </w:r>
        <w:r w:rsidR="00276534">
          <w:rPr>
            <w:noProof/>
            <w:webHidden/>
          </w:rPr>
          <w:fldChar w:fldCharType="begin"/>
        </w:r>
        <w:r w:rsidR="00276534">
          <w:rPr>
            <w:noProof/>
            <w:webHidden/>
          </w:rPr>
          <w:instrText xml:space="preserve"> PAGEREF _Toc501614103 \h </w:instrText>
        </w:r>
        <w:r w:rsidR="00276534">
          <w:rPr>
            <w:noProof/>
            <w:webHidden/>
          </w:rPr>
        </w:r>
        <w:r w:rsidR="00276534">
          <w:rPr>
            <w:noProof/>
            <w:webHidden/>
          </w:rPr>
          <w:fldChar w:fldCharType="separate"/>
        </w:r>
        <w:r w:rsidR="00476EDB">
          <w:rPr>
            <w:noProof/>
            <w:webHidden/>
          </w:rPr>
          <w:t>22</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04" w:history="1">
        <w:r w:rsidR="00276534" w:rsidRPr="00063877">
          <w:rPr>
            <w:rStyle w:val="Hypertextovodkaz"/>
            <w:noProof/>
          </w:rPr>
          <w:t>Interní vs. externí zajištění kurzů a školení</w:t>
        </w:r>
        <w:r w:rsidR="00276534">
          <w:rPr>
            <w:noProof/>
            <w:webHidden/>
          </w:rPr>
          <w:tab/>
        </w:r>
        <w:r w:rsidR="00276534">
          <w:rPr>
            <w:noProof/>
            <w:webHidden/>
          </w:rPr>
          <w:fldChar w:fldCharType="begin"/>
        </w:r>
        <w:r w:rsidR="00276534">
          <w:rPr>
            <w:noProof/>
            <w:webHidden/>
          </w:rPr>
          <w:instrText xml:space="preserve"> PAGEREF _Toc501614104 \h </w:instrText>
        </w:r>
        <w:r w:rsidR="00276534">
          <w:rPr>
            <w:noProof/>
            <w:webHidden/>
          </w:rPr>
        </w:r>
        <w:r w:rsidR="00276534">
          <w:rPr>
            <w:noProof/>
            <w:webHidden/>
          </w:rPr>
          <w:fldChar w:fldCharType="separate"/>
        </w:r>
        <w:r w:rsidR="00476EDB">
          <w:rPr>
            <w:noProof/>
            <w:webHidden/>
          </w:rPr>
          <w:t>22</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05" w:history="1">
        <w:r w:rsidR="00276534" w:rsidRPr="00063877">
          <w:rPr>
            <w:rStyle w:val="Hypertextovodkaz"/>
            <w:noProof/>
          </w:rPr>
          <w:t>Povinné kurzy a školení</w:t>
        </w:r>
        <w:r w:rsidR="00276534">
          <w:rPr>
            <w:noProof/>
            <w:webHidden/>
          </w:rPr>
          <w:tab/>
        </w:r>
        <w:r w:rsidR="00276534">
          <w:rPr>
            <w:noProof/>
            <w:webHidden/>
          </w:rPr>
          <w:fldChar w:fldCharType="begin"/>
        </w:r>
        <w:r w:rsidR="00276534">
          <w:rPr>
            <w:noProof/>
            <w:webHidden/>
          </w:rPr>
          <w:instrText xml:space="preserve"> PAGEREF _Toc501614105 \h </w:instrText>
        </w:r>
        <w:r w:rsidR="00276534">
          <w:rPr>
            <w:noProof/>
            <w:webHidden/>
          </w:rPr>
        </w:r>
        <w:r w:rsidR="00276534">
          <w:rPr>
            <w:noProof/>
            <w:webHidden/>
          </w:rPr>
          <w:fldChar w:fldCharType="separate"/>
        </w:r>
        <w:r w:rsidR="00476EDB">
          <w:rPr>
            <w:noProof/>
            <w:webHidden/>
          </w:rPr>
          <w:t>23</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06" w:history="1">
        <w:r w:rsidR="00276534" w:rsidRPr="00063877">
          <w:rPr>
            <w:rStyle w:val="Hypertextovodkaz"/>
            <w:noProof/>
          </w:rPr>
          <w:t>Nepovinné kurzy a školení</w:t>
        </w:r>
        <w:r w:rsidR="00276534">
          <w:rPr>
            <w:noProof/>
            <w:webHidden/>
          </w:rPr>
          <w:tab/>
        </w:r>
        <w:r w:rsidR="00276534">
          <w:rPr>
            <w:noProof/>
            <w:webHidden/>
          </w:rPr>
          <w:fldChar w:fldCharType="begin"/>
        </w:r>
        <w:r w:rsidR="00276534">
          <w:rPr>
            <w:noProof/>
            <w:webHidden/>
          </w:rPr>
          <w:instrText xml:space="preserve"> PAGEREF _Toc501614106 \h </w:instrText>
        </w:r>
        <w:r w:rsidR="00276534">
          <w:rPr>
            <w:noProof/>
            <w:webHidden/>
          </w:rPr>
        </w:r>
        <w:r w:rsidR="00276534">
          <w:rPr>
            <w:noProof/>
            <w:webHidden/>
          </w:rPr>
          <w:fldChar w:fldCharType="separate"/>
        </w:r>
        <w:r w:rsidR="00476EDB">
          <w:rPr>
            <w:noProof/>
            <w:webHidden/>
          </w:rPr>
          <w:t>25</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07" w:history="1">
        <w:r w:rsidR="00276534" w:rsidRPr="00063877">
          <w:rPr>
            <w:rStyle w:val="Hypertextovodkaz"/>
            <w:noProof/>
          </w:rPr>
          <w:t>Jiné formy vzdělávání</w:t>
        </w:r>
        <w:r w:rsidR="00276534">
          <w:rPr>
            <w:noProof/>
            <w:webHidden/>
          </w:rPr>
          <w:tab/>
        </w:r>
        <w:r w:rsidR="00276534">
          <w:rPr>
            <w:noProof/>
            <w:webHidden/>
          </w:rPr>
          <w:fldChar w:fldCharType="begin"/>
        </w:r>
        <w:r w:rsidR="00276534">
          <w:rPr>
            <w:noProof/>
            <w:webHidden/>
          </w:rPr>
          <w:instrText xml:space="preserve"> PAGEREF _Toc501614107 \h </w:instrText>
        </w:r>
        <w:r w:rsidR="00276534">
          <w:rPr>
            <w:noProof/>
            <w:webHidden/>
          </w:rPr>
        </w:r>
        <w:r w:rsidR="00276534">
          <w:rPr>
            <w:noProof/>
            <w:webHidden/>
          </w:rPr>
          <w:fldChar w:fldCharType="separate"/>
        </w:r>
        <w:r w:rsidR="00476EDB">
          <w:rPr>
            <w:noProof/>
            <w:webHidden/>
          </w:rPr>
          <w:t>29</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08" w:history="1">
        <w:r w:rsidR="00276534" w:rsidRPr="00063877">
          <w:rPr>
            <w:rStyle w:val="Hypertextovodkaz"/>
            <w:noProof/>
          </w:rPr>
          <w:t>Doba strávená zaměstnanci dalším odborným vzděláváním</w:t>
        </w:r>
        <w:r w:rsidR="00276534">
          <w:rPr>
            <w:noProof/>
            <w:webHidden/>
          </w:rPr>
          <w:tab/>
        </w:r>
        <w:r w:rsidR="00276534">
          <w:rPr>
            <w:noProof/>
            <w:webHidden/>
          </w:rPr>
          <w:fldChar w:fldCharType="begin"/>
        </w:r>
        <w:r w:rsidR="00276534">
          <w:rPr>
            <w:noProof/>
            <w:webHidden/>
          </w:rPr>
          <w:instrText xml:space="preserve"> PAGEREF _Toc501614108 \h </w:instrText>
        </w:r>
        <w:r w:rsidR="00276534">
          <w:rPr>
            <w:noProof/>
            <w:webHidden/>
          </w:rPr>
        </w:r>
        <w:r w:rsidR="00276534">
          <w:rPr>
            <w:noProof/>
            <w:webHidden/>
          </w:rPr>
          <w:fldChar w:fldCharType="separate"/>
        </w:r>
        <w:r w:rsidR="00476EDB">
          <w:rPr>
            <w:noProof/>
            <w:webHidden/>
          </w:rPr>
          <w:t>30</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09" w:history="1">
        <w:r w:rsidR="00276534" w:rsidRPr="00063877">
          <w:rPr>
            <w:rStyle w:val="Hypertextovodkaz"/>
            <w:noProof/>
          </w:rPr>
          <w:t>Hodnocení nejdůležitějších dovedností zaměstnanců</w:t>
        </w:r>
        <w:r w:rsidR="00276534">
          <w:rPr>
            <w:noProof/>
            <w:webHidden/>
          </w:rPr>
          <w:tab/>
        </w:r>
        <w:r w:rsidR="00276534">
          <w:rPr>
            <w:noProof/>
            <w:webHidden/>
          </w:rPr>
          <w:fldChar w:fldCharType="begin"/>
        </w:r>
        <w:r w:rsidR="00276534">
          <w:rPr>
            <w:noProof/>
            <w:webHidden/>
          </w:rPr>
          <w:instrText xml:space="preserve"> PAGEREF _Toc501614109 \h </w:instrText>
        </w:r>
        <w:r w:rsidR="00276534">
          <w:rPr>
            <w:noProof/>
            <w:webHidden/>
          </w:rPr>
        </w:r>
        <w:r w:rsidR="00276534">
          <w:rPr>
            <w:noProof/>
            <w:webHidden/>
          </w:rPr>
          <w:fldChar w:fldCharType="separate"/>
        </w:r>
        <w:r w:rsidR="00476EDB">
          <w:rPr>
            <w:noProof/>
            <w:webHidden/>
          </w:rPr>
          <w:t>32</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10" w:history="1">
        <w:r w:rsidR="00276534" w:rsidRPr="00063877">
          <w:rPr>
            <w:rStyle w:val="Hypertextovodkaz"/>
            <w:noProof/>
          </w:rPr>
          <w:t>Kapitola 3: Výše firemních investic do vzdělávání zaměstnanců</w:t>
        </w:r>
        <w:r w:rsidR="00276534">
          <w:rPr>
            <w:noProof/>
            <w:webHidden/>
          </w:rPr>
          <w:tab/>
        </w:r>
        <w:r w:rsidR="00276534">
          <w:rPr>
            <w:noProof/>
            <w:webHidden/>
          </w:rPr>
          <w:fldChar w:fldCharType="begin"/>
        </w:r>
        <w:r w:rsidR="00276534">
          <w:rPr>
            <w:noProof/>
            <w:webHidden/>
          </w:rPr>
          <w:instrText xml:space="preserve"> PAGEREF _Toc501614110 \h </w:instrText>
        </w:r>
        <w:r w:rsidR="00276534">
          <w:rPr>
            <w:noProof/>
            <w:webHidden/>
          </w:rPr>
        </w:r>
        <w:r w:rsidR="00276534">
          <w:rPr>
            <w:noProof/>
            <w:webHidden/>
          </w:rPr>
          <w:fldChar w:fldCharType="separate"/>
        </w:r>
        <w:r w:rsidR="00476EDB">
          <w:rPr>
            <w:noProof/>
            <w:webHidden/>
          </w:rPr>
          <w:t>34</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11" w:history="1">
        <w:r w:rsidR="00276534" w:rsidRPr="00063877">
          <w:rPr>
            <w:rStyle w:val="Hypertextovodkaz"/>
            <w:noProof/>
          </w:rPr>
          <w:t>Hlavní zjištění</w:t>
        </w:r>
        <w:r w:rsidR="00276534">
          <w:rPr>
            <w:noProof/>
            <w:webHidden/>
          </w:rPr>
          <w:tab/>
        </w:r>
        <w:r w:rsidR="00276534">
          <w:rPr>
            <w:noProof/>
            <w:webHidden/>
          </w:rPr>
          <w:fldChar w:fldCharType="begin"/>
        </w:r>
        <w:r w:rsidR="00276534">
          <w:rPr>
            <w:noProof/>
            <w:webHidden/>
          </w:rPr>
          <w:instrText xml:space="preserve"> PAGEREF _Toc501614111 \h </w:instrText>
        </w:r>
        <w:r w:rsidR="00276534">
          <w:rPr>
            <w:noProof/>
            <w:webHidden/>
          </w:rPr>
        </w:r>
        <w:r w:rsidR="00276534">
          <w:rPr>
            <w:noProof/>
            <w:webHidden/>
          </w:rPr>
          <w:fldChar w:fldCharType="separate"/>
        </w:r>
        <w:r w:rsidR="00476EDB">
          <w:rPr>
            <w:noProof/>
            <w:webHidden/>
          </w:rPr>
          <w:t>34</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12" w:history="1">
        <w:r w:rsidR="00276534" w:rsidRPr="00063877">
          <w:rPr>
            <w:rStyle w:val="Hypertextovodkaz"/>
            <w:noProof/>
          </w:rPr>
          <w:t>Výdaje na vzdělávání</w:t>
        </w:r>
        <w:r w:rsidR="00276534">
          <w:rPr>
            <w:noProof/>
            <w:webHidden/>
          </w:rPr>
          <w:tab/>
        </w:r>
        <w:r w:rsidR="00276534">
          <w:rPr>
            <w:noProof/>
            <w:webHidden/>
          </w:rPr>
          <w:fldChar w:fldCharType="begin"/>
        </w:r>
        <w:r w:rsidR="00276534">
          <w:rPr>
            <w:noProof/>
            <w:webHidden/>
          </w:rPr>
          <w:instrText xml:space="preserve"> PAGEREF _Toc501614112 \h </w:instrText>
        </w:r>
        <w:r w:rsidR="00276534">
          <w:rPr>
            <w:noProof/>
            <w:webHidden/>
          </w:rPr>
        </w:r>
        <w:r w:rsidR="00276534">
          <w:rPr>
            <w:noProof/>
            <w:webHidden/>
          </w:rPr>
          <w:fldChar w:fldCharType="separate"/>
        </w:r>
        <w:r w:rsidR="00476EDB">
          <w:rPr>
            <w:noProof/>
            <w:webHidden/>
          </w:rPr>
          <w:t>34</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13" w:history="1">
        <w:r w:rsidR="00276534" w:rsidRPr="00063877">
          <w:rPr>
            <w:rStyle w:val="Hypertextovodkaz"/>
            <w:noProof/>
          </w:rPr>
          <w:t>Náklady na vzdělávání vztažené k celkovým nákladům práce</w:t>
        </w:r>
        <w:r w:rsidR="00276534">
          <w:rPr>
            <w:noProof/>
            <w:webHidden/>
          </w:rPr>
          <w:tab/>
        </w:r>
        <w:r w:rsidR="00276534">
          <w:rPr>
            <w:noProof/>
            <w:webHidden/>
          </w:rPr>
          <w:fldChar w:fldCharType="begin"/>
        </w:r>
        <w:r w:rsidR="00276534">
          <w:rPr>
            <w:noProof/>
            <w:webHidden/>
          </w:rPr>
          <w:instrText xml:space="preserve"> PAGEREF _Toc501614113 \h </w:instrText>
        </w:r>
        <w:r w:rsidR="00276534">
          <w:rPr>
            <w:noProof/>
            <w:webHidden/>
          </w:rPr>
        </w:r>
        <w:r w:rsidR="00276534">
          <w:rPr>
            <w:noProof/>
            <w:webHidden/>
          </w:rPr>
          <w:fldChar w:fldCharType="separate"/>
        </w:r>
        <w:r w:rsidR="00476EDB">
          <w:rPr>
            <w:noProof/>
            <w:webHidden/>
          </w:rPr>
          <w:t>35</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14" w:history="1">
        <w:r w:rsidR="00276534" w:rsidRPr="00063877">
          <w:rPr>
            <w:rStyle w:val="Hypertextovodkaz"/>
            <w:noProof/>
          </w:rPr>
          <w:t>Výdaje na kurzy/školení</w:t>
        </w:r>
        <w:r w:rsidR="00276534">
          <w:rPr>
            <w:noProof/>
            <w:webHidden/>
          </w:rPr>
          <w:tab/>
        </w:r>
        <w:r w:rsidR="00276534">
          <w:rPr>
            <w:noProof/>
            <w:webHidden/>
          </w:rPr>
          <w:fldChar w:fldCharType="begin"/>
        </w:r>
        <w:r w:rsidR="00276534">
          <w:rPr>
            <w:noProof/>
            <w:webHidden/>
          </w:rPr>
          <w:instrText xml:space="preserve"> PAGEREF _Toc501614114 \h </w:instrText>
        </w:r>
        <w:r w:rsidR="00276534">
          <w:rPr>
            <w:noProof/>
            <w:webHidden/>
          </w:rPr>
        </w:r>
        <w:r w:rsidR="00276534">
          <w:rPr>
            <w:noProof/>
            <w:webHidden/>
          </w:rPr>
          <w:fldChar w:fldCharType="separate"/>
        </w:r>
        <w:r w:rsidR="00476EDB">
          <w:rPr>
            <w:noProof/>
            <w:webHidden/>
          </w:rPr>
          <w:t>36</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15" w:history="1">
        <w:r w:rsidR="00276534" w:rsidRPr="00063877">
          <w:rPr>
            <w:rStyle w:val="Hypertextovodkaz"/>
            <w:noProof/>
          </w:rPr>
          <w:t>Příspěvky na vzdělávání</w:t>
        </w:r>
        <w:r w:rsidR="00276534">
          <w:rPr>
            <w:noProof/>
            <w:webHidden/>
          </w:rPr>
          <w:tab/>
        </w:r>
        <w:r w:rsidR="00276534">
          <w:rPr>
            <w:noProof/>
            <w:webHidden/>
          </w:rPr>
          <w:fldChar w:fldCharType="begin"/>
        </w:r>
        <w:r w:rsidR="00276534">
          <w:rPr>
            <w:noProof/>
            <w:webHidden/>
          </w:rPr>
          <w:instrText xml:space="preserve"> PAGEREF _Toc501614115 \h </w:instrText>
        </w:r>
        <w:r w:rsidR="00276534">
          <w:rPr>
            <w:noProof/>
            <w:webHidden/>
          </w:rPr>
        </w:r>
        <w:r w:rsidR="00276534">
          <w:rPr>
            <w:noProof/>
            <w:webHidden/>
          </w:rPr>
          <w:fldChar w:fldCharType="separate"/>
        </w:r>
        <w:r w:rsidR="00476EDB">
          <w:rPr>
            <w:noProof/>
            <w:webHidden/>
          </w:rPr>
          <w:t>37</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16" w:history="1">
        <w:r w:rsidR="00276534" w:rsidRPr="00063877">
          <w:rPr>
            <w:rStyle w:val="Hypertextovodkaz"/>
            <w:noProof/>
          </w:rPr>
          <w:t>Kapitola 4: Omezení a překážky ve vzdělávání zaměstnanců</w:t>
        </w:r>
        <w:r w:rsidR="00276534">
          <w:rPr>
            <w:noProof/>
            <w:webHidden/>
          </w:rPr>
          <w:tab/>
        </w:r>
        <w:r w:rsidR="00276534">
          <w:rPr>
            <w:noProof/>
            <w:webHidden/>
          </w:rPr>
          <w:fldChar w:fldCharType="begin"/>
        </w:r>
        <w:r w:rsidR="00276534">
          <w:rPr>
            <w:noProof/>
            <w:webHidden/>
          </w:rPr>
          <w:instrText xml:space="preserve"> PAGEREF _Toc501614116 \h </w:instrText>
        </w:r>
        <w:r w:rsidR="00276534">
          <w:rPr>
            <w:noProof/>
            <w:webHidden/>
          </w:rPr>
        </w:r>
        <w:r w:rsidR="00276534">
          <w:rPr>
            <w:noProof/>
            <w:webHidden/>
          </w:rPr>
          <w:fldChar w:fldCharType="separate"/>
        </w:r>
        <w:r w:rsidR="00476EDB">
          <w:rPr>
            <w:noProof/>
            <w:webHidden/>
          </w:rPr>
          <w:t>39</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17" w:history="1">
        <w:r w:rsidR="00276534" w:rsidRPr="00063877">
          <w:rPr>
            <w:rStyle w:val="Hypertextovodkaz"/>
            <w:noProof/>
          </w:rPr>
          <w:t>Hlavní zjištění</w:t>
        </w:r>
        <w:r w:rsidR="00276534">
          <w:rPr>
            <w:noProof/>
            <w:webHidden/>
          </w:rPr>
          <w:tab/>
        </w:r>
        <w:r w:rsidR="00276534">
          <w:rPr>
            <w:noProof/>
            <w:webHidden/>
          </w:rPr>
          <w:fldChar w:fldCharType="begin"/>
        </w:r>
        <w:r w:rsidR="00276534">
          <w:rPr>
            <w:noProof/>
            <w:webHidden/>
          </w:rPr>
          <w:instrText xml:space="preserve"> PAGEREF _Toc501614117 \h </w:instrText>
        </w:r>
        <w:r w:rsidR="00276534">
          <w:rPr>
            <w:noProof/>
            <w:webHidden/>
          </w:rPr>
        </w:r>
        <w:r w:rsidR="00276534">
          <w:rPr>
            <w:noProof/>
            <w:webHidden/>
          </w:rPr>
          <w:fldChar w:fldCharType="separate"/>
        </w:r>
        <w:r w:rsidR="00476EDB">
          <w:rPr>
            <w:noProof/>
            <w:webHidden/>
          </w:rPr>
          <w:t>39</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18" w:history="1">
        <w:r w:rsidR="00276534" w:rsidRPr="00063877">
          <w:rPr>
            <w:rStyle w:val="Hypertextovodkaz"/>
            <w:noProof/>
          </w:rPr>
          <w:t>Důvody pro neposkytování (více) vzdělávání zaměstnancům</w:t>
        </w:r>
        <w:r w:rsidR="00276534">
          <w:rPr>
            <w:noProof/>
            <w:webHidden/>
          </w:rPr>
          <w:tab/>
        </w:r>
        <w:r w:rsidR="00276534">
          <w:rPr>
            <w:noProof/>
            <w:webHidden/>
          </w:rPr>
          <w:fldChar w:fldCharType="begin"/>
        </w:r>
        <w:r w:rsidR="00276534">
          <w:rPr>
            <w:noProof/>
            <w:webHidden/>
          </w:rPr>
          <w:instrText xml:space="preserve"> PAGEREF _Toc501614118 \h </w:instrText>
        </w:r>
        <w:r w:rsidR="00276534">
          <w:rPr>
            <w:noProof/>
            <w:webHidden/>
          </w:rPr>
        </w:r>
        <w:r w:rsidR="00276534">
          <w:rPr>
            <w:noProof/>
            <w:webHidden/>
          </w:rPr>
          <w:fldChar w:fldCharType="separate"/>
        </w:r>
        <w:r w:rsidR="00476EDB">
          <w:rPr>
            <w:noProof/>
            <w:webHidden/>
          </w:rPr>
          <w:t>39</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19" w:history="1">
        <w:r w:rsidR="00276534" w:rsidRPr="00063877">
          <w:rPr>
            <w:rStyle w:val="Hypertextovodkaz"/>
            <w:noProof/>
          </w:rPr>
          <w:t>Omezení ve vzdělávání zaměstnanců firem poskytujících vzdělávání</w:t>
        </w:r>
        <w:r w:rsidR="00276534">
          <w:rPr>
            <w:noProof/>
            <w:webHidden/>
          </w:rPr>
          <w:tab/>
        </w:r>
        <w:r w:rsidR="00276534">
          <w:rPr>
            <w:noProof/>
            <w:webHidden/>
          </w:rPr>
          <w:fldChar w:fldCharType="begin"/>
        </w:r>
        <w:r w:rsidR="00276534">
          <w:rPr>
            <w:noProof/>
            <w:webHidden/>
          </w:rPr>
          <w:instrText xml:space="preserve"> PAGEREF _Toc501614119 \h </w:instrText>
        </w:r>
        <w:r w:rsidR="00276534">
          <w:rPr>
            <w:noProof/>
            <w:webHidden/>
          </w:rPr>
        </w:r>
        <w:r w:rsidR="00276534">
          <w:rPr>
            <w:noProof/>
            <w:webHidden/>
          </w:rPr>
          <w:fldChar w:fldCharType="separate"/>
        </w:r>
        <w:r w:rsidR="00476EDB">
          <w:rPr>
            <w:noProof/>
            <w:webHidden/>
          </w:rPr>
          <w:t>41</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20" w:history="1">
        <w:r w:rsidR="00276534" w:rsidRPr="00063877">
          <w:rPr>
            <w:rStyle w:val="Hypertextovodkaz"/>
            <w:noProof/>
          </w:rPr>
          <w:t>Překážky ve vzdělávání zaměstnanců firem neposkytujících vzdělávání</w:t>
        </w:r>
        <w:r w:rsidR="00276534">
          <w:rPr>
            <w:noProof/>
            <w:webHidden/>
          </w:rPr>
          <w:tab/>
        </w:r>
        <w:r w:rsidR="00276534">
          <w:rPr>
            <w:noProof/>
            <w:webHidden/>
          </w:rPr>
          <w:fldChar w:fldCharType="begin"/>
        </w:r>
        <w:r w:rsidR="00276534">
          <w:rPr>
            <w:noProof/>
            <w:webHidden/>
          </w:rPr>
          <w:instrText xml:space="preserve"> PAGEREF _Toc501614120 \h </w:instrText>
        </w:r>
        <w:r w:rsidR="00276534">
          <w:rPr>
            <w:noProof/>
            <w:webHidden/>
          </w:rPr>
        </w:r>
        <w:r w:rsidR="00276534">
          <w:rPr>
            <w:noProof/>
            <w:webHidden/>
          </w:rPr>
          <w:fldChar w:fldCharType="separate"/>
        </w:r>
        <w:r w:rsidR="00476EDB">
          <w:rPr>
            <w:noProof/>
            <w:webHidden/>
          </w:rPr>
          <w:t>42</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21" w:history="1">
        <w:r w:rsidR="00276534" w:rsidRPr="00063877">
          <w:rPr>
            <w:rStyle w:val="Hypertextovodkaz"/>
            <w:noProof/>
          </w:rPr>
          <w:t>Kapitola 5: Spolupráce firem a škol</w:t>
        </w:r>
        <w:r w:rsidR="00276534">
          <w:rPr>
            <w:noProof/>
            <w:webHidden/>
          </w:rPr>
          <w:tab/>
        </w:r>
        <w:r w:rsidR="00276534">
          <w:rPr>
            <w:noProof/>
            <w:webHidden/>
          </w:rPr>
          <w:fldChar w:fldCharType="begin"/>
        </w:r>
        <w:r w:rsidR="00276534">
          <w:rPr>
            <w:noProof/>
            <w:webHidden/>
          </w:rPr>
          <w:instrText xml:space="preserve"> PAGEREF _Toc501614121 \h </w:instrText>
        </w:r>
        <w:r w:rsidR="00276534">
          <w:rPr>
            <w:noProof/>
            <w:webHidden/>
          </w:rPr>
        </w:r>
        <w:r w:rsidR="00276534">
          <w:rPr>
            <w:noProof/>
            <w:webHidden/>
          </w:rPr>
          <w:fldChar w:fldCharType="separate"/>
        </w:r>
        <w:r w:rsidR="00476EDB">
          <w:rPr>
            <w:noProof/>
            <w:webHidden/>
          </w:rPr>
          <w:t>44</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22" w:history="1">
        <w:r w:rsidR="00276534" w:rsidRPr="00063877">
          <w:rPr>
            <w:rStyle w:val="Hypertextovodkaz"/>
            <w:noProof/>
          </w:rPr>
          <w:t>Hlavní zjištění</w:t>
        </w:r>
        <w:r w:rsidR="00276534">
          <w:rPr>
            <w:noProof/>
            <w:webHidden/>
          </w:rPr>
          <w:tab/>
        </w:r>
        <w:r w:rsidR="00276534">
          <w:rPr>
            <w:noProof/>
            <w:webHidden/>
          </w:rPr>
          <w:fldChar w:fldCharType="begin"/>
        </w:r>
        <w:r w:rsidR="00276534">
          <w:rPr>
            <w:noProof/>
            <w:webHidden/>
          </w:rPr>
          <w:instrText xml:space="preserve"> PAGEREF _Toc501614122 \h </w:instrText>
        </w:r>
        <w:r w:rsidR="00276534">
          <w:rPr>
            <w:noProof/>
            <w:webHidden/>
          </w:rPr>
        </w:r>
        <w:r w:rsidR="00276534">
          <w:rPr>
            <w:noProof/>
            <w:webHidden/>
          </w:rPr>
          <w:fldChar w:fldCharType="separate"/>
        </w:r>
        <w:r w:rsidR="00476EDB">
          <w:rPr>
            <w:noProof/>
            <w:webHidden/>
          </w:rPr>
          <w:t>44</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23" w:history="1">
        <w:r w:rsidR="00276534" w:rsidRPr="00063877">
          <w:rPr>
            <w:rStyle w:val="Hypertextovodkaz"/>
            <w:noProof/>
          </w:rPr>
          <w:t>Obecná spolupráce firem a škol</w:t>
        </w:r>
        <w:r w:rsidR="00276534">
          <w:rPr>
            <w:noProof/>
            <w:webHidden/>
          </w:rPr>
          <w:tab/>
        </w:r>
        <w:r w:rsidR="00276534">
          <w:rPr>
            <w:noProof/>
            <w:webHidden/>
          </w:rPr>
          <w:fldChar w:fldCharType="begin"/>
        </w:r>
        <w:r w:rsidR="00276534">
          <w:rPr>
            <w:noProof/>
            <w:webHidden/>
          </w:rPr>
          <w:instrText xml:space="preserve"> PAGEREF _Toc501614123 \h </w:instrText>
        </w:r>
        <w:r w:rsidR="00276534">
          <w:rPr>
            <w:noProof/>
            <w:webHidden/>
          </w:rPr>
        </w:r>
        <w:r w:rsidR="00276534">
          <w:rPr>
            <w:noProof/>
            <w:webHidden/>
          </w:rPr>
          <w:fldChar w:fldCharType="separate"/>
        </w:r>
        <w:r w:rsidR="00476EDB">
          <w:rPr>
            <w:noProof/>
            <w:webHidden/>
          </w:rPr>
          <w:t>44</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24" w:history="1">
        <w:r w:rsidR="00276534" w:rsidRPr="00063877">
          <w:rPr>
            <w:rStyle w:val="Hypertextovodkaz"/>
            <w:noProof/>
          </w:rPr>
          <w:t>Způsoby spolupráce firem a škol</w:t>
        </w:r>
        <w:r w:rsidR="00276534">
          <w:rPr>
            <w:noProof/>
            <w:webHidden/>
          </w:rPr>
          <w:tab/>
        </w:r>
        <w:r w:rsidR="00276534">
          <w:rPr>
            <w:noProof/>
            <w:webHidden/>
          </w:rPr>
          <w:fldChar w:fldCharType="begin"/>
        </w:r>
        <w:r w:rsidR="00276534">
          <w:rPr>
            <w:noProof/>
            <w:webHidden/>
          </w:rPr>
          <w:instrText xml:space="preserve"> PAGEREF _Toc501614124 \h </w:instrText>
        </w:r>
        <w:r w:rsidR="00276534">
          <w:rPr>
            <w:noProof/>
            <w:webHidden/>
          </w:rPr>
        </w:r>
        <w:r w:rsidR="00276534">
          <w:rPr>
            <w:noProof/>
            <w:webHidden/>
          </w:rPr>
          <w:fldChar w:fldCharType="separate"/>
        </w:r>
        <w:r w:rsidR="00476EDB">
          <w:rPr>
            <w:noProof/>
            <w:webHidden/>
          </w:rPr>
          <w:t>46</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25" w:history="1">
        <w:r w:rsidR="00276534" w:rsidRPr="00063877">
          <w:rPr>
            <w:rStyle w:val="Hypertextovodkaz"/>
            <w:noProof/>
          </w:rPr>
          <w:t>Poskytování praxe žákům/studentům počátečního vzdělávání</w:t>
        </w:r>
        <w:r w:rsidR="00276534">
          <w:rPr>
            <w:noProof/>
            <w:webHidden/>
          </w:rPr>
          <w:tab/>
        </w:r>
        <w:r w:rsidR="00276534">
          <w:rPr>
            <w:noProof/>
            <w:webHidden/>
          </w:rPr>
          <w:fldChar w:fldCharType="begin"/>
        </w:r>
        <w:r w:rsidR="00276534">
          <w:rPr>
            <w:noProof/>
            <w:webHidden/>
          </w:rPr>
          <w:instrText xml:space="preserve"> PAGEREF _Toc501614125 \h </w:instrText>
        </w:r>
        <w:r w:rsidR="00276534">
          <w:rPr>
            <w:noProof/>
            <w:webHidden/>
          </w:rPr>
        </w:r>
        <w:r w:rsidR="00276534">
          <w:rPr>
            <w:noProof/>
            <w:webHidden/>
          </w:rPr>
          <w:fldChar w:fldCharType="separate"/>
        </w:r>
        <w:r w:rsidR="00476EDB">
          <w:rPr>
            <w:noProof/>
            <w:webHidden/>
          </w:rPr>
          <w:t>47</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26" w:history="1">
        <w:r w:rsidR="00276534" w:rsidRPr="00063877">
          <w:rPr>
            <w:rStyle w:val="Hypertextovodkaz"/>
            <w:noProof/>
          </w:rPr>
          <w:t>Kapitola 6: Nabírání nových zaměstnanců</w:t>
        </w:r>
        <w:r w:rsidR="00276534">
          <w:rPr>
            <w:noProof/>
            <w:webHidden/>
          </w:rPr>
          <w:tab/>
        </w:r>
        <w:r w:rsidR="00276534">
          <w:rPr>
            <w:noProof/>
            <w:webHidden/>
          </w:rPr>
          <w:fldChar w:fldCharType="begin"/>
        </w:r>
        <w:r w:rsidR="00276534">
          <w:rPr>
            <w:noProof/>
            <w:webHidden/>
          </w:rPr>
          <w:instrText xml:space="preserve"> PAGEREF _Toc501614126 \h </w:instrText>
        </w:r>
        <w:r w:rsidR="00276534">
          <w:rPr>
            <w:noProof/>
            <w:webHidden/>
          </w:rPr>
        </w:r>
        <w:r w:rsidR="00276534">
          <w:rPr>
            <w:noProof/>
            <w:webHidden/>
          </w:rPr>
          <w:fldChar w:fldCharType="separate"/>
        </w:r>
        <w:r w:rsidR="00476EDB">
          <w:rPr>
            <w:noProof/>
            <w:webHidden/>
          </w:rPr>
          <w:t>49</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27" w:history="1">
        <w:r w:rsidR="00276534" w:rsidRPr="00063877">
          <w:rPr>
            <w:rStyle w:val="Hypertextovodkaz"/>
            <w:noProof/>
          </w:rPr>
          <w:t>Hlavní zjištění</w:t>
        </w:r>
        <w:r w:rsidR="00276534">
          <w:rPr>
            <w:noProof/>
            <w:webHidden/>
          </w:rPr>
          <w:tab/>
        </w:r>
        <w:r w:rsidR="00276534">
          <w:rPr>
            <w:noProof/>
            <w:webHidden/>
          </w:rPr>
          <w:fldChar w:fldCharType="begin"/>
        </w:r>
        <w:r w:rsidR="00276534">
          <w:rPr>
            <w:noProof/>
            <w:webHidden/>
          </w:rPr>
          <w:instrText xml:space="preserve"> PAGEREF _Toc501614127 \h </w:instrText>
        </w:r>
        <w:r w:rsidR="00276534">
          <w:rPr>
            <w:noProof/>
            <w:webHidden/>
          </w:rPr>
        </w:r>
        <w:r w:rsidR="00276534">
          <w:rPr>
            <w:noProof/>
            <w:webHidden/>
          </w:rPr>
          <w:fldChar w:fldCharType="separate"/>
        </w:r>
        <w:r w:rsidR="00476EDB">
          <w:rPr>
            <w:noProof/>
            <w:webHidden/>
          </w:rPr>
          <w:t>49</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28" w:history="1">
        <w:r w:rsidR="00276534" w:rsidRPr="00063877">
          <w:rPr>
            <w:rStyle w:val="Hypertextovodkaz"/>
            <w:noProof/>
          </w:rPr>
          <w:t>Problémy s obsazením volného pracovního místa</w:t>
        </w:r>
        <w:r w:rsidR="00276534">
          <w:rPr>
            <w:noProof/>
            <w:webHidden/>
          </w:rPr>
          <w:tab/>
        </w:r>
        <w:r w:rsidR="00276534">
          <w:rPr>
            <w:noProof/>
            <w:webHidden/>
          </w:rPr>
          <w:fldChar w:fldCharType="begin"/>
        </w:r>
        <w:r w:rsidR="00276534">
          <w:rPr>
            <w:noProof/>
            <w:webHidden/>
          </w:rPr>
          <w:instrText xml:space="preserve"> PAGEREF _Toc501614128 \h </w:instrText>
        </w:r>
        <w:r w:rsidR="00276534">
          <w:rPr>
            <w:noProof/>
            <w:webHidden/>
          </w:rPr>
        </w:r>
        <w:r w:rsidR="00276534">
          <w:rPr>
            <w:noProof/>
            <w:webHidden/>
          </w:rPr>
          <w:fldChar w:fldCharType="separate"/>
        </w:r>
        <w:r w:rsidR="00476EDB">
          <w:rPr>
            <w:noProof/>
            <w:webHidden/>
          </w:rPr>
          <w:t>49</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29" w:history="1">
        <w:r w:rsidR="00276534" w:rsidRPr="00063877">
          <w:rPr>
            <w:rStyle w:val="Hypertextovodkaz"/>
            <w:noProof/>
          </w:rPr>
          <w:t>Charakteristika nových zaměstnanců</w:t>
        </w:r>
        <w:r w:rsidR="00276534">
          <w:rPr>
            <w:noProof/>
            <w:webHidden/>
          </w:rPr>
          <w:tab/>
        </w:r>
        <w:r w:rsidR="00276534">
          <w:rPr>
            <w:noProof/>
            <w:webHidden/>
          </w:rPr>
          <w:fldChar w:fldCharType="begin"/>
        </w:r>
        <w:r w:rsidR="00276534">
          <w:rPr>
            <w:noProof/>
            <w:webHidden/>
          </w:rPr>
          <w:instrText xml:space="preserve"> PAGEREF _Toc501614129 \h </w:instrText>
        </w:r>
        <w:r w:rsidR="00276534">
          <w:rPr>
            <w:noProof/>
            <w:webHidden/>
          </w:rPr>
        </w:r>
        <w:r w:rsidR="00276534">
          <w:rPr>
            <w:noProof/>
            <w:webHidden/>
          </w:rPr>
          <w:fldChar w:fldCharType="separate"/>
        </w:r>
        <w:r w:rsidR="00476EDB">
          <w:rPr>
            <w:noProof/>
            <w:webHidden/>
          </w:rPr>
          <w:t>51</w:t>
        </w:r>
        <w:r w:rsidR="00276534">
          <w:rPr>
            <w:noProof/>
            <w:webHidden/>
          </w:rPr>
          <w:fldChar w:fldCharType="end"/>
        </w:r>
      </w:hyperlink>
    </w:p>
    <w:p w:rsidR="00276534" w:rsidRDefault="00E13170">
      <w:pPr>
        <w:pStyle w:val="Obsah4"/>
        <w:rPr>
          <w:rFonts w:asciiTheme="minorHAnsi" w:eastAsiaTheme="minorEastAsia" w:hAnsiTheme="minorHAnsi" w:cstheme="minorBidi"/>
          <w:noProof/>
          <w:sz w:val="22"/>
          <w:szCs w:val="22"/>
        </w:rPr>
      </w:pPr>
      <w:hyperlink w:anchor="_Toc501614130" w:history="1">
        <w:r w:rsidR="00276534" w:rsidRPr="00063877">
          <w:rPr>
            <w:rStyle w:val="Hypertextovodkaz"/>
            <w:noProof/>
          </w:rPr>
          <w:t>Přijímání čerstvých absolventů</w:t>
        </w:r>
        <w:r w:rsidR="00276534">
          <w:rPr>
            <w:noProof/>
            <w:webHidden/>
          </w:rPr>
          <w:tab/>
        </w:r>
        <w:r w:rsidR="00276534">
          <w:rPr>
            <w:noProof/>
            <w:webHidden/>
          </w:rPr>
          <w:fldChar w:fldCharType="begin"/>
        </w:r>
        <w:r w:rsidR="00276534">
          <w:rPr>
            <w:noProof/>
            <w:webHidden/>
          </w:rPr>
          <w:instrText xml:space="preserve"> PAGEREF _Toc501614130 \h </w:instrText>
        </w:r>
        <w:r w:rsidR="00276534">
          <w:rPr>
            <w:noProof/>
            <w:webHidden/>
          </w:rPr>
        </w:r>
        <w:r w:rsidR="00276534">
          <w:rPr>
            <w:noProof/>
            <w:webHidden/>
          </w:rPr>
          <w:fldChar w:fldCharType="separate"/>
        </w:r>
        <w:r w:rsidR="00476EDB">
          <w:rPr>
            <w:noProof/>
            <w:webHidden/>
          </w:rPr>
          <w:t>52</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31" w:history="1">
        <w:r w:rsidR="00276534" w:rsidRPr="00063877">
          <w:rPr>
            <w:rStyle w:val="Hypertextovodkaz"/>
            <w:noProof/>
          </w:rPr>
          <w:t>Shrnutí hlavních zjištění</w:t>
        </w:r>
        <w:r w:rsidR="00276534">
          <w:rPr>
            <w:noProof/>
            <w:webHidden/>
          </w:rPr>
          <w:tab/>
        </w:r>
        <w:r w:rsidR="00276534">
          <w:rPr>
            <w:noProof/>
            <w:webHidden/>
          </w:rPr>
          <w:fldChar w:fldCharType="begin"/>
        </w:r>
        <w:r w:rsidR="00276534">
          <w:rPr>
            <w:noProof/>
            <w:webHidden/>
          </w:rPr>
          <w:instrText xml:space="preserve"> PAGEREF _Toc501614131 \h </w:instrText>
        </w:r>
        <w:r w:rsidR="00276534">
          <w:rPr>
            <w:noProof/>
            <w:webHidden/>
          </w:rPr>
        </w:r>
        <w:r w:rsidR="00276534">
          <w:rPr>
            <w:noProof/>
            <w:webHidden/>
          </w:rPr>
          <w:fldChar w:fldCharType="separate"/>
        </w:r>
        <w:r w:rsidR="00476EDB">
          <w:rPr>
            <w:noProof/>
            <w:webHidden/>
          </w:rPr>
          <w:t>54</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32" w:history="1">
        <w:r w:rsidR="00276534" w:rsidRPr="00063877">
          <w:rPr>
            <w:rStyle w:val="Hypertextovodkaz"/>
            <w:noProof/>
          </w:rPr>
          <w:t>Seznam grafů a tabulek</w:t>
        </w:r>
        <w:r w:rsidR="00276534">
          <w:rPr>
            <w:noProof/>
            <w:webHidden/>
          </w:rPr>
          <w:tab/>
        </w:r>
        <w:r w:rsidR="00276534">
          <w:rPr>
            <w:noProof/>
            <w:webHidden/>
          </w:rPr>
          <w:fldChar w:fldCharType="begin"/>
        </w:r>
        <w:r w:rsidR="00276534">
          <w:rPr>
            <w:noProof/>
            <w:webHidden/>
          </w:rPr>
          <w:instrText xml:space="preserve"> PAGEREF _Toc501614132 \h </w:instrText>
        </w:r>
        <w:r w:rsidR="00276534">
          <w:rPr>
            <w:noProof/>
            <w:webHidden/>
          </w:rPr>
        </w:r>
        <w:r w:rsidR="00276534">
          <w:rPr>
            <w:noProof/>
            <w:webHidden/>
          </w:rPr>
          <w:fldChar w:fldCharType="separate"/>
        </w:r>
        <w:r w:rsidR="00476EDB">
          <w:rPr>
            <w:noProof/>
            <w:webHidden/>
          </w:rPr>
          <w:t>55</w:t>
        </w:r>
        <w:r w:rsidR="00276534">
          <w:rPr>
            <w:noProof/>
            <w:webHidden/>
          </w:rPr>
          <w:fldChar w:fldCharType="end"/>
        </w:r>
      </w:hyperlink>
    </w:p>
    <w:p w:rsidR="00276534" w:rsidRDefault="00E13170">
      <w:pPr>
        <w:pStyle w:val="Obsah2"/>
        <w:rPr>
          <w:rFonts w:asciiTheme="minorHAnsi" w:eastAsiaTheme="minorEastAsia" w:hAnsiTheme="minorHAnsi" w:cstheme="minorBidi"/>
          <w:noProof/>
          <w:sz w:val="22"/>
          <w:szCs w:val="22"/>
        </w:rPr>
      </w:pPr>
      <w:hyperlink w:anchor="_Toc501614133" w:history="1">
        <w:r w:rsidR="00276534" w:rsidRPr="00063877">
          <w:rPr>
            <w:rStyle w:val="Hypertextovodkaz"/>
            <w:noProof/>
          </w:rPr>
          <w:t>Přílohy</w:t>
        </w:r>
        <w:r w:rsidR="00276534">
          <w:rPr>
            <w:noProof/>
            <w:webHidden/>
          </w:rPr>
          <w:tab/>
        </w:r>
        <w:r w:rsidR="00276534">
          <w:rPr>
            <w:noProof/>
            <w:webHidden/>
          </w:rPr>
          <w:fldChar w:fldCharType="begin"/>
        </w:r>
        <w:r w:rsidR="00276534">
          <w:rPr>
            <w:noProof/>
            <w:webHidden/>
          </w:rPr>
          <w:instrText xml:space="preserve"> PAGEREF _Toc501614133 \h </w:instrText>
        </w:r>
        <w:r w:rsidR="00276534">
          <w:rPr>
            <w:noProof/>
            <w:webHidden/>
          </w:rPr>
        </w:r>
        <w:r w:rsidR="00276534">
          <w:rPr>
            <w:noProof/>
            <w:webHidden/>
          </w:rPr>
          <w:fldChar w:fldCharType="separate"/>
        </w:r>
        <w:r w:rsidR="00476EDB">
          <w:rPr>
            <w:noProof/>
            <w:webHidden/>
          </w:rPr>
          <w:t>57</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34" w:history="1">
        <w:r w:rsidR="00276534" w:rsidRPr="00063877">
          <w:rPr>
            <w:rStyle w:val="Hypertextovodkaz"/>
            <w:noProof/>
          </w:rPr>
          <w:t>Příloha č. 1: Definice použitých výrazů</w:t>
        </w:r>
        <w:r w:rsidR="00276534">
          <w:rPr>
            <w:noProof/>
            <w:webHidden/>
          </w:rPr>
          <w:tab/>
        </w:r>
        <w:r w:rsidR="00276534">
          <w:rPr>
            <w:noProof/>
            <w:webHidden/>
          </w:rPr>
          <w:fldChar w:fldCharType="begin"/>
        </w:r>
        <w:r w:rsidR="00276534">
          <w:rPr>
            <w:noProof/>
            <w:webHidden/>
          </w:rPr>
          <w:instrText xml:space="preserve"> PAGEREF _Toc501614134 \h </w:instrText>
        </w:r>
        <w:r w:rsidR="00276534">
          <w:rPr>
            <w:noProof/>
            <w:webHidden/>
          </w:rPr>
        </w:r>
        <w:r w:rsidR="00276534">
          <w:rPr>
            <w:noProof/>
            <w:webHidden/>
          </w:rPr>
          <w:fldChar w:fldCharType="separate"/>
        </w:r>
        <w:r w:rsidR="00476EDB">
          <w:rPr>
            <w:noProof/>
            <w:webHidden/>
          </w:rPr>
          <w:t>57</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35" w:history="1">
        <w:r w:rsidR="00276534" w:rsidRPr="00063877">
          <w:rPr>
            <w:rStyle w:val="Hypertextovodkaz"/>
            <w:noProof/>
          </w:rPr>
          <w:t>Příloha č. 2: Seznam zahrnutých NACE</w:t>
        </w:r>
        <w:r w:rsidR="00276534">
          <w:rPr>
            <w:noProof/>
            <w:webHidden/>
          </w:rPr>
          <w:tab/>
        </w:r>
        <w:r w:rsidR="00276534">
          <w:rPr>
            <w:noProof/>
            <w:webHidden/>
          </w:rPr>
          <w:fldChar w:fldCharType="begin"/>
        </w:r>
        <w:r w:rsidR="00276534">
          <w:rPr>
            <w:noProof/>
            <w:webHidden/>
          </w:rPr>
          <w:instrText xml:space="preserve"> PAGEREF _Toc501614135 \h </w:instrText>
        </w:r>
        <w:r w:rsidR="00276534">
          <w:rPr>
            <w:noProof/>
            <w:webHidden/>
          </w:rPr>
        </w:r>
        <w:r w:rsidR="00276534">
          <w:rPr>
            <w:noProof/>
            <w:webHidden/>
          </w:rPr>
          <w:fldChar w:fldCharType="separate"/>
        </w:r>
        <w:r w:rsidR="00476EDB">
          <w:rPr>
            <w:noProof/>
            <w:webHidden/>
          </w:rPr>
          <w:t>60</w:t>
        </w:r>
        <w:r w:rsidR="00276534">
          <w:rPr>
            <w:noProof/>
            <w:webHidden/>
          </w:rPr>
          <w:fldChar w:fldCharType="end"/>
        </w:r>
      </w:hyperlink>
    </w:p>
    <w:p w:rsidR="00276534" w:rsidRDefault="00E13170">
      <w:pPr>
        <w:pStyle w:val="Obsah3"/>
        <w:rPr>
          <w:rFonts w:asciiTheme="minorHAnsi" w:eastAsiaTheme="minorEastAsia" w:hAnsiTheme="minorHAnsi" w:cstheme="minorBidi"/>
          <w:noProof/>
          <w:sz w:val="22"/>
          <w:szCs w:val="22"/>
        </w:rPr>
      </w:pPr>
      <w:hyperlink w:anchor="_Toc501614136" w:history="1">
        <w:r w:rsidR="00276534" w:rsidRPr="00063877">
          <w:rPr>
            <w:rStyle w:val="Hypertextovodkaz"/>
            <w:noProof/>
          </w:rPr>
          <w:t>Příloha č. 3: Tabulková příloha</w:t>
        </w:r>
        <w:r w:rsidR="00276534">
          <w:rPr>
            <w:noProof/>
            <w:webHidden/>
          </w:rPr>
          <w:tab/>
        </w:r>
        <w:r w:rsidR="00276534">
          <w:rPr>
            <w:noProof/>
            <w:webHidden/>
          </w:rPr>
          <w:fldChar w:fldCharType="begin"/>
        </w:r>
        <w:r w:rsidR="00276534">
          <w:rPr>
            <w:noProof/>
            <w:webHidden/>
          </w:rPr>
          <w:instrText xml:space="preserve"> PAGEREF _Toc501614136 \h </w:instrText>
        </w:r>
        <w:r w:rsidR="00276534">
          <w:rPr>
            <w:noProof/>
            <w:webHidden/>
          </w:rPr>
        </w:r>
        <w:r w:rsidR="00276534">
          <w:rPr>
            <w:noProof/>
            <w:webHidden/>
          </w:rPr>
          <w:fldChar w:fldCharType="separate"/>
        </w:r>
        <w:r w:rsidR="00476EDB">
          <w:rPr>
            <w:noProof/>
            <w:webHidden/>
          </w:rPr>
          <w:t>61</w:t>
        </w:r>
        <w:r w:rsidR="00276534">
          <w:rPr>
            <w:noProof/>
            <w:webHidden/>
          </w:rPr>
          <w:fldChar w:fldCharType="end"/>
        </w:r>
      </w:hyperlink>
    </w:p>
    <w:p w:rsidR="008E2C57" w:rsidRPr="006F5416" w:rsidRDefault="00E13170" w:rsidP="00276534">
      <w:pPr>
        <w:pStyle w:val="Obsah3"/>
      </w:pPr>
      <w:hyperlink w:anchor="_Toc501614137" w:history="1">
        <w:r w:rsidR="00276534" w:rsidRPr="00063877">
          <w:rPr>
            <w:rStyle w:val="Hypertextovodkaz"/>
            <w:noProof/>
          </w:rPr>
          <w:t>Příloha č. 4: Typologie firem</w:t>
        </w:r>
        <w:r w:rsidR="00276534">
          <w:rPr>
            <w:noProof/>
            <w:webHidden/>
          </w:rPr>
          <w:tab/>
        </w:r>
        <w:r w:rsidR="00276534">
          <w:rPr>
            <w:noProof/>
            <w:webHidden/>
          </w:rPr>
          <w:fldChar w:fldCharType="begin"/>
        </w:r>
        <w:r w:rsidR="00276534">
          <w:rPr>
            <w:noProof/>
            <w:webHidden/>
          </w:rPr>
          <w:instrText xml:space="preserve"> PAGEREF _Toc501614137 \h </w:instrText>
        </w:r>
        <w:r w:rsidR="00276534">
          <w:rPr>
            <w:noProof/>
            <w:webHidden/>
          </w:rPr>
        </w:r>
        <w:r w:rsidR="00276534">
          <w:rPr>
            <w:noProof/>
            <w:webHidden/>
          </w:rPr>
          <w:fldChar w:fldCharType="separate"/>
        </w:r>
        <w:r w:rsidR="00476EDB">
          <w:rPr>
            <w:noProof/>
            <w:webHidden/>
          </w:rPr>
          <w:t>81</w:t>
        </w:r>
        <w:r w:rsidR="00276534">
          <w:rPr>
            <w:noProof/>
            <w:webHidden/>
          </w:rPr>
          <w:fldChar w:fldCharType="end"/>
        </w:r>
      </w:hyperlink>
      <w:r w:rsidR="007C3A3E">
        <w:rPr>
          <w:b/>
        </w:rPr>
        <w:fldChar w:fldCharType="end"/>
      </w:r>
    </w:p>
    <w:p w:rsidR="00DB332F" w:rsidRDefault="00F9137F" w:rsidP="00F23B1D">
      <w:pPr>
        <w:pStyle w:val="Nadpis2"/>
      </w:pPr>
      <w:bookmarkStart w:id="0" w:name="_Toc501614088"/>
      <w:r>
        <w:lastRenderedPageBreak/>
        <w:t>Úvod</w:t>
      </w:r>
      <w:bookmarkEnd w:id="0"/>
    </w:p>
    <w:p w:rsidR="0010176F" w:rsidRDefault="0010176F" w:rsidP="0010176F">
      <w:pPr>
        <w:spacing w:after="0" w:line="276" w:lineRule="auto"/>
        <w:contextualSpacing/>
        <w:jc w:val="both"/>
      </w:pPr>
    </w:p>
    <w:p w:rsidR="0010176F" w:rsidRDefault="00325830" w:rsidP="00CA0FFC">
      <w:pPr>
        <w:spacing w:after="0"/>
        <w:contextualSpacing/>
        <w:jc w:val="both"/>
      </w:pPr>
      <w:r>
        <w:t>Vzdělávání zaměstnaných osob neboli d</w:t>
      </w:r>
      <w:r w:rsidR="00444609">
        <w:t xml:space="preserve">alší vzdělávání je </w:t>
      </w:r>
      <w:r w:rsidR="00AC148B">
        <w:t xml:space="preserve">přibližně v posledních dvou dekádách </w:t>
      </w:r>
      <w:r w:rsidR="00444609">
        <w:t>poměrně rychle se rozvíjející oblastí. Mnoho lidí zareagovalo na zvyšující se požadavky trhu práce tím, že si v průběhu svého dospělého života dále doplňují a prohlubují stávající vzdělání. V mnohých případech se tak neděje pouze v s</w:t>
      </w:r>
      <w:r w:rsidR="00AC148B">
        <w:t>oukromém čase vzdělávajících se. N</w:t>
      </w:r>
      <w:r w:rsidR="00444609">
        <w:t>a rychlé tempo doby a výhody, plynoucí ze vzdělávání zaměstnanců, již řadu let reagují i firmy, které vzdělávání svým zaměstnancům v různé míře poskytují. Vzdělávání ve firmách je součástí dalšího odborného vzdělávání, odehrává se tedy v dospělosti člověka, s primárním účelem získat znalosti a dovednosti uplatnitelné na trhu práce. Vzdělávání ve firmách je nicméně vždy primárním rozhodnutím firmy, ne vzdělávajícího</w:t>
      </w:r>
      <w:r w:rsidR="00AC148B">
        <w:t xml:space="preserve"> se</w:t>
      </w:r>
      <w:r w:rsidR="00444609">
        <w:t xml:space="preserve"> jedince, má svůj specifický vzdělávací charakter, vymezený čas a většinou i prostor, vede ho lektor nebo probíhá prostřednictvím vzdělávacího zařízení (na</w:t>
      </w:r>
      <w:r w:rsidR="00B6283F">
        <w:t xml:space="preserve">př. počítače). </w:t>
      </w:r>
      <w:r w:rsidR="00444609">
        <w:t xml:space="preserve">Do takto pojatého vzdělávání ve firmách se tedy nepočítá </w:t>
      </w:r>
      <w:r w:rsidR="00E008AC">
        <w:t xml:space="preserve">běžné </w:t>
      </w:r>
      <w:r w:rsidR="00444609">
        <w:t xml:space="preserve">učení se na pracovišti, např. při </w:t>
      </w:r>
      <w:r w:rsidR="00B6283F">
        <w:t xml:space="preserve">prvotním </w:t>
      </w:r>
      <w:r w:rsidR="00444609">
        <w:t>seznamování se s náplní práce při nástupu do zaměstnání či při přijímání nových úkolů.</w:t>
      </w:r>
    </w:p>
    <w:p w:rsidR="00444609" w:rsidRDefault="00B6283F" w:rsidP="00CA0FFC">
      <w:pPr>
        <w:spacing w:after="0"/>
        <w:contextualSpacing/>
        <w:jc w:val="both"/>
      </w:pPr>
      <w:r>
        <w:t xml:space="preserve"> </w:t>
      </w:r>
    </w:p>
    <w:p w:rsidR="0010176F" w:rsidRDefault="00444609" w:rsidP="00CA0FFC">
      <w:pPr>
        <w:contextualSpacing/>
        <w:jc w:val="both"/>
      </w:pPr>
      <w:r>
        <w:t>Publikace Vzdělávání zaměstnaných osob</w:t>
      </w:r>
      <w:r w:rsidR="00567D41">
        <w:t xml:space="preserve"> přináší hlavní závěry národních výstupů mezinárodně srovnatelného šetření </w:t>
      </w:r>
      <w:proofErr w:type="spellStart"/>
      <w:r w:rsidR="00567D41">
        <w:t>Continuing</w:t>
      </w:r>
      <w:proofErr w:type="spellEnd"/>
      <w:r w:rsidR="00567D41">
        <w:t xml:space="preserve"> </w:t>
      </w:r>
      <w:proofErr w:type="spellStart"/>
      <w:r w:rsidR="00567D41">
        <w:t>Vocational</w:t>
      </w:r>
      <w:proofErr w:type="spellEnd"/>
      <w:r w:rsidR="00567D41">
        <w:t xml:space="preserve"> </w:t>
      </w:r>
      <w:proofErr w:type="spellStart"/>
      <w:r w:rsidR="00567D41">
        <w:t>Traini</w:t>
      </w:r>
      <w:r w:rsidR="008941D8">
        <w:t>n</w:t>
      </w:r>
      <w:r w:rsidR="00567D41">
        <w:t>g</w:t>
      </w:r>
      <w:proofErr w:type="spellEnd"/>
      <w:r w:rsidR="00567D41">
        <w:t xml:space="preserve"> </w:t>
      </w:r>
      <w:proofErr w:type="spellStart"/>
      <w:r w:rsidR="00567D41">
        <w:t>Survey</w:t>
      </w:r>
      <w:proofErr w:type="spellEnd"/>
      <w:r w:rsidR="00567D41">
        <w:t xml:space="preserve"> 2015 (CVTS 5), které </w:t>
      </w:r>
      <w:r>
        <w:t xml:space="preserve">zkoumá fenomén </w:t>
      </w:r>
      <w:r w:rsidR="00567D41">
        <w:t xml:space="preserve">firemního vzdělávání </w:t>
      </w:r>
      <w:r>
        <w:t xml:space="preserve">z nejrůznějších úhlů pohledu, popisuje jednotlivé části, které </w:t>
      </w:r>
      <w:r w:rsidR="00567D41">
        <w:t>ho</w:t>
      </w:r>
      <w:r>
        <w:t xml:space="preserve"> tvoří a snaží se o jejich kompletaci a částečnou interpretaci souvislostí. </w:t>
      </w:r>
      <w:bookmarkStart w:id="1" w:name="_Toc444112496"/>
    </w:p>
    <w:p w:rsidR="00F9137F" w:rsidRDefault="00F9137F" w:rsidP="00CA0FFC">
      <w:pPr>
        <w:contextualSpacing/>
        <w:jc w:val="both"/>
      </w:pPr>
    </w:p>
    <w:p w:rsidR="00483454" w:rsidRDefault="004F4A9A" w:rsidP="00CA0FFC">
      <w:pPr>
        <w:contextualSpacing/>
        <w:jc w:val="both"/>
      </w:pPr>
      <w:r>
        <w:t>Cílem šetření CVTS 5 bylo zmapovat oblast firemního vzdělávání a získat data vypovídající o zajišťování vzdělávání zaměstnaných osob v ekonomických subjektech s 10 a více zaměstnanci působících v ČR, o</w:t>
      </w:r>
      <w:r w:rsidR="00567D41">
        <w:t> </w:t>
      </w:r>
      <w:r>
        <w:t>charakteristice takového vzdělávání, o hodnocení jeho kvality, o jeho financování, o překážkách, které firmy omezují nebo jim zcela brání v zajišťování vzdělávání zaměstnaným osobám, o přístupu, plánování a</w:t>
      </w:r>
      <w:r w:rsidR="00567D41">
        <w:t> </w:t>
      </w:r>
      <w:r>
        <w:t>organizaci takového vzdělávání, o spolupráci firem se školami, o poskytování praxe žákům/studentům počátečního vzdělávání ve firmách a o nabírání nových zaměstnanců ve firmách.</w:t>
      </w:r>
      <w:r w:rsidR="00B6283F">
        <w:t xml:space="preserve"> Analýza zahrnuje pouze údaje za Českou republiku. Mezinárodní srovnání bude k dispozici až po provedení národních šetření v jednotlivých </w:t>
      </w:r>
      <w:r w:rsidR="00E9798D">
        <w:t>členských státech Evropské unie</w:t>
      </w:r>
      <w:r w:rsidR="00904A8C">
        <w:rPr>
          <w:rStyle w:val="Znakapoznpodarou"/>
        </w:rPr>
        <w:footnoteReference w:id="1"/>
      </w:r>
      <w:r w:rsidR="00E9798D">
        <w:t>.</w:t>
      </w:r>
    </w:p>
    <w:p w:rsidR="0010176F" w:rsidRDefault="0010176F" w:rsidP="00CA0FFC">
      <w:pPr>
        <w:contextualSpacing/>
        <w:jc w:val="both"/>
      </w:pPr>
    </w:p>
    <w:p w:rsidR="004F4A9A" w:rsidRDefault="004F4A9A" w:rsidP="00CA0FFC">
      <w:pPr>
        <w:contextualSpacing/>
        <w:jc w:val="both"/>
      </w:pPr>
      <w:r>
        <w:t>Výstupy ze šetření jsou určeny a mohou sloužit nejrůznějším cílovým skupinám</w:t>
      </w:r>
      <w:r w:rsidR="00AC148B">
        <w:t>.</w:t>
      </w:r>
      <w:r>
        <w:t xml:space="preserve"> </w:t>
      </w:r>
      <w:r w:rsidR="00AC148B">
        <w:t>M</w:t>
      </w:r>
      <w:r>
        <w:t>ožnosti užití se liší podle zájmů dané cílové skupiny. Pro politiku na centrální nebo krajské úrovni výsledky šetření nabízí jednak možnost udělat si celostní obrázek o tom, jak vzdělávání ve firmách na území ČR vypadá a podívat se na</w:t>
      </w:r>
      <w:r w:rsidR="00F72CB2">
        <w:t> </w:t>
      </w:r>
      <w:r>
        <w:t>něj podrobněji. Nabízí totiž možnost např. zhodnocení, jaké prostředky na vzdělávání zaměstnanců firmy dostávají, zda firmy dostatečně využily nabídky grantů, projektů EU a dalších možností financování, zda je vzdělávání podporováno v oblastech, ve kterých je to žádoucí či jak firmy podpořit, aby se jejich zaměstnanci mohli dále vzdělávat.</w:t>
      </w:r>
    </w:p>
    <w:p w:rsidR="0010176F" w:rsidRDefault="0010176F" w:rsidP="00CA0FFC">
      <w:pPr>
        <w:contextualSpacing/>
        <w:jc w:val="both"/>
      </w:pPr>
    </w:p>
    <w:p w:rsidR="004F4A9A" w:rsidRDefault="004F4A9A" w:rsidP="00CA0FFC">
      <w:pPr>
        <w:contextualSpacing/>
        <w:jc w:val="both"/>
      </w:pPr>
      <w:r>
        <w:t xml:space="preserve">Pro vedení firem nabízí šetření možnosti srovnání vlastního přístupu ke vzdělávání zaměstnanců s dalšími firmami v ČR </w:t>
      </w:r>
      <w:r w:rsidR="00AC148B">
        <w:t xml:space="preserve">obecně </w:t>
      </w:r>
      <w:r>
        <w:t>nebo ve stejné oblasti podnikání</w:t>
      </w:r>
      <w:r w:rsidR="00AC148B">
        <w:t>,</w:t>
      </w:r>
      <w:r>
        <w:t xml:space="preserve"> a to z různých hledisek. Jde např. o průměrné investice do vzdělávání na jednoho zaměstnance, míru spoluúčasti zaměstnanců na rozhodovacím procesu o</w:t>
      </w:r>
      <w:r w:rsidR="00567D41">
        <w:t> </w:t>
      </w:r>
      <w:r>
        <w:t>vzdělávání, ne/vyhodnocování potřeb a efektivity vzdělávání, využívání různých poskytovatelů vzdělávání, obsahové zaměření a jeho formy, míru spolupráce s různými typy škol, ne/přijímání žáků či studentů na praxi a důvody pro obé, dále pak důvody omezení či překážek ve firemním vzdělávání.</w:t>
      </w:r>
    </w:p>
    <w:p w:rsidR="0010176F" w:rsidRDefault="0010176F" w:rsidP="00CA0FFC">
      <w:pPr>
        <w:contextualSpacing/>
        <w:jc w:val="both"/>
      </w:pPr>
    </w:p>
    <w:p w:rsidR="00471807" w:rsidRDefault="00D92A63" w:rsidP="00CA0FFC">
      <w:pPr>
        <w:contextualSpacing/>
        <w:jc w:val="both"/>
      </w:pPr>
      <w:r>
        <w:t xml:space="preserve">Odborům a stávajícím i potenciálním zaměstnancům šetření </w:t>
      </w:r>
      <w:r w:rsidR="004F4A9A">
        <w:t>poskytuje možnost zhodnotit praxi a limitaci vzdělávání zaměstnanců ve firmě vzhledem k průměru ČR či v rámci dané NACE oblasti (odvětví) a</w:t>
      </w:r>
      <w:r w:rsidR="0068062C">
        <w:t> </w:t>
      </w:r>
      <w:r w:rsidR="004F4A9A">
        <w:t xml:space="preserve">případně aktivně usilovat o vyšší podporu vzdělávání. Dále pak šetření této cílové skupině nabízí možnost </w:t>
      </w:r>
      <w:r w:rsidR="004F4A9A">
        <w:lastRenderedPageBreak/>
        <w:t xml:space="preserve">zjistit, na jaké dovednosti </w:t>
      </w:r>
      <w:r w:rsidR="00567D41">
        <w:t>j</w:t>
      </w:r>
      <w:r w:rsidR="004F4A9A">
        <w:t xml:space="preserve">e v </w:t>
      </w:r>
      <w:r w:rsidR="00567D41">
        <w:t xml:space="preserve">konkrétních </w:t>
      </w:r>
      <w:r w:rsidR="004F4A9A">
        <w:t>obor</w:t>
      </w:r>
      <w:r w:rsidR="00567D41">
        <w:t>ech</w:t>
      </w:r>
      <w:r w:rsidR="004F4A9A">
        <w:t xml:space="preserve"> klade</w:t>
      </w:r>
      <w:r w:rsidR="00567D41">
        <w:t>n</w:t>
      </w:r>
      <w:r w:rsidR="004F4A9A">
        <w:t xml:space="preserve"> při vzdělávání zaměstnanců důraz, resp. jaké dovednosti považují firmy v nejbližších letech za důležité.</w:t>
      </w:r>
    </w:p>
    <w:p w:rsidR="0010176F" w:rsidRDefault="004F4A9A" w:rsidP="00CA0FFC">
      <w:pPr>
        <w:contextualSpacing/>
        <w:jc w:val="both"/>
      </w:pPr>
      <w:r>
        <w:t xml:space="preserve"> </w:t>
      </w:r>
    </w:p>
    <w:p w:rsidR="004F4A9A" w:rsidRDefault="004F4A9A" w:rsidP="00CA0FFC">
      <w:pPr>
        <w:contextualSpacing/>
        <w:jc w:val="both"/>
      </w:pPr>
      <w:r>
        <w:t>Pro instituce poskytující vzdělávání nabízí šetření možnost lepší orientace v tom, co firmy v daném sekto</w:t>
      </w:r>
      <w:r w:rsidR="001E4CF4">
        <w:t>ru potřebují a kde cítí rezervy.</w:t>
      </w:r>
      <w:r>
        <w:t xml:space="preserve"> </w:t>
      </w:r>
      <w:r w:rsidR="001E4CF4">
        <w:t>I</w:t>
      </w:r>
      <w:r>
        <w:t>nstituce nabízející formální vzdělávání mohou posoudit, do jaké míry a jakým způsobem využívají firmy spolupráci se školami a jak tuto spolupráci případně zefektivnit. Dále lze šetření využít jako zpětnou vazbu jejich činnost</w:t>
      </w:r>
      <w:r w:rsidR="00567D41">
        <w:t>i</w:t>
      </w:r>
      <w:r>
        <w:t xml:space="preserve"> a přeměnit informaci o omezení a překážkách, které firmy uvádějí, </w:t>
      </w:r>
      <w:r w:rsidR="00A12F0F">
        <w:t>v</w:t>
      </w:r>
      <w:r w:rsidR="0068062C">
        <w:t> </w:t>
      </w:r>
      <w:r>
        <w:t>nabídku řešení.</w:t>
      </w:r>
      <w:r w:rsidR="0010176F">
        <w:t xml:space="preserve"> </w:t>
      </w:r>
    </w:p>
    <w:p w:rsidR="0010176F" w:rsidRDefault="0010176F" w:rsidP="00CA0FFC">
      <w:pPr>
        <w:contextualSpacing/>
        <w:jc w:val="both"/>
      </w:pPr>
    </w:p>
    <w:p w:rsidR="004F4A9A" w:rsidRDefault="004F4A9A" w:rsidP="00CA0FFC">
      <w:pPr>
        <w:jc w:val="both"/>
      </w:pPr>
      <w:r>
        <w:t>Data z</w:t>
      </w:r>
      <w:r w:rsidR="00AC148B">
        <w:t>e</w:t>
      </w:r>
      <w:r>
        <w:t xml:space="preserve"> šetření CVTS 5</w:t>
      </w:r>
      <w:r w:rsidR="00567D41">
        <w:t xml:space="preserve"> tvoří, stejně jako v předchozích letech, součást výstupů mezinárodních institucí, především </w:t>
      </w:r>
      <w:proofErr w:type="spellStart"/>
      <w:r w:rsidR="00567D41">
        <w:t>Eurostatu</w:t>
      </w:r>
      <w:proofErr w:type="spellEnd"/>
      <w:r w:rsidR="00567D41">
        <w:t>, a umožňují tak mezinárodní srovnání v dané problematice.</w:t>
      </w:r>
    </w:p>
    <w:p w:rsidR="00567D41" w:rsidRDefault="00444609" w:rsidP="00CA0FFC">
      <w:pPr>
        <w:contextualSpacing/>
        <w:jc w:val="both"/>
      </w:pPr>
      <w:r>
        <w:t>Publikace je rozdělena do několika částí. Po metodologii a úvodu následuje analýza dat CVTS 5, kterou tvoří několik kapitol</w:t>
      </w:r>
      <w:r w:rsidR="00567D41">
        <w:t>:</w:t>
      </w:r>
      <w:r>
        <w:t xml:space="preserve"> </w:t>
      </w:r>
    </w:p>
    <w:p w:rsidR="00567D41" w:rsidRDefault="00444609" w:rsidP="00CA0FFC">
      <w:pPr>
        <w:pStyle w:val="Odstavecseseznamem"/>
        <w:numPr>
          <w:ilvl w:val="0"/>
          <w:numId w:val="28"/>
        </w:numPr>
        <w:jc w:val="both"/>
      </w:pPr>
      <w:r>
        <w:t xml:space="preserve">Kapitola 1 pojednává o důrazu, který je ve firmách kladen na vzdělávání, o praktické organizaci firemního vzdělávání, o jeho hodnocení a reakcích firem na toto hodnocení. </w:t>
      </w:r>
    </w:p>
    <w:p w:rsidR="00ED16E1" w:rsidRDefault="00444609" w:rsidP="00CA0FFC">
      <w:pPr>
        <w:pStyle w:val="Odstavecseseznamem"/>
        <w:numPr>
          <w:ilvl w:val="0"/>
          <w:numId w:val="28"/>
        </w:numPr>
        <w:jc w:val="both"/>
      </w:pPr>
      <w:r>
        <w:t>Druhá kapitola se věnuje účasti zaměstnanců v různých formách vzdělávání, jeho tématech a</w:t>
      </w:r>
      <w:r w:rsidR="00567D41">
        <w:t> </w:t>
      </w:r>
      <w:r>
        <w:t>souladu s</w:t>
      </w:r>
      <w:r w:rsidR="0068062C">
        <w:t> </w:t>
      </w:r>
      <w:r>
        <w:t>potřebami firmy.</w:t>
      </w:r>
    </w:p>
    <w:p w:rsidR="00ED16E1" w:rsidRDefault="00444609" w:rsidP="00CA0FFC">
      <w:pPr>
        <w:pStyle w:val="Odstavecseseznamem"/>
        <w:numPr>
          <w:ilvl w:val="0"/>
          <w:numId w:val="28"/>
        </w:numPr>
        <w:jc w:val="both"/>
      </w:pPr>
      <w:r>
        <w:t>Třetí kapitola je věnovaná financím ve firemním vzdělávání v různých podobách.</w:t>
      </w:r>
    </w:p>
    <w:p w:rsidR="00ED16E1" w:rsidRDefault="00444609" w:rsidP="00CA0FFC">
      <w:pPr>
        <w:pStyle w:val="Odstavecseseznamem"/>
        <w:numPr>
          <w:ilvl w:val="0"/>
          <w:numId w:val="28"/>
        </w:numPr>
        <w:jc w:val="both"/>
      </w:pPr>
      <w:r>
        <w:t xml:space="preserve">Kapitola 4 analyzuje omezení a překážky, které firmy ve vzdělávání zaměstnanců limitují, případně </w:t>
      </w:r>
      <w:r w:rsidR="00F9137F">
        <w:tab/>
      </w:r>
      <w:r w:rsidR="00ED16E1">
        <w:t>mu úplně zabraňují.</w:t>
      </w:r>
    </w:p>
    <w:p w:rsidR="00ED16E1" w:rsidRDefault="00444609" w:rsidP="00CA0FFC">
      <w:pPr>
        <w:pStyle w:val="Odstavecseseznamem"/>
        <w:numPr>
          <w:ilvl w:val="0"/>
          <w:numId w:val="28"/>
        </w:numPr>
        <w:jc w:val="both"/>
      </w:pPr>
      <w:r>
        <w:t>Pátá kapitola se věnuje spolupráci firem a škol, její frekvenci i důvodům ne/spolupráce.</w:t>
      </w:r>
    </w:p>
    <w:p w:rsidR="00567D41" w:rsidRDefault="00444609" w:rsidP="00CA0FFC">
      <w:pPr>
        <w:pStyle w:val="Odstavecseseznamem"/>
        <w:numPr>
          <w:ilvl w:val="0"/>
          <w:numId w:val="28"/>
        </w:numPr>
        <w:jc w:val="both"/>
      </w:pPr>
      <w:r>
        <w:t xml:space="preserve">Šestá kapitola </w:t>
      </w:r>
      <w:r w:rsidR="00471807">
        <w:t>přináší</w:t>
      </w:r>
      <w:r>
        <w:t xml:space="preserve"> analýzu problémů s obsazováním volných pracovních míst a nabírání čerstvých absolventů do firem. </w:t>
      </w:r>
    </w:p>
    <w:p w:rsidR="00444609" w:rsidRDefault="00444609" w:rsidP="00CA0FFC">
      <w:pPr>
        <w:contextualSpacing/>
        <w:jc w:val="both"/>
      </w:pPr>
      <w:r>
        <w:t xml:space="preserve">Závěr publikace pak </w:t>
      </w:r>
      <w:r w:rsidR="00471807">
        <w:t>nabízí</w:t>
      </w:r>
      <w:r>
        <w:t xml:space="preserve"> shrnutí nejzajímavějších zjištění.</w:t>
      </w:r>
      <w:r w:rsidR="0010176F">
        <w:t xml:space="preserve"> </w:t>
      </w:r>
      <w:r>
        <w:t>Z příloh tvoří patrně nejdůležitější část tabulková příloha</w:t>
      </w:r>
      <w:r w:rsidRPr="004C2EB3">
        <w:t>, která</w:t>
      </w:r>
      <w:r>
        <w:t xml:space="preserve"> nabízí podrobná data k tématům z analýzy a to v</w:t>
      </w:r>
      <w:r w:rsidR="0068062C">
        <w:t> </w:t>
      </w:r>
      <w:r>
        <w:t>třídění podle velikosti, vlastnictví a</w:t>
      </w:r>
      <w:r w:rsidR="00F72CB2">
        <w:t> </w:t>
      </w:r>
      <w:r>
        <w:t>odvětví firmy.</w:t>
      </w:r>
    </w:p>
    <w:p w:rsidR="00E2381A" w:rsidRDefault="00E2381A" w:rsidP="00CA0FFC">
      <w:pPr>
        <w:contextualSpacing/>
        <w:jc w:val="both"/>
      </w:pPr>
    </w:p>
    <w:p w:rsidR="00E2381A" w:rsidRDefault="00E2381A" w:rsidP="00444609">
      <w:pPr>
        <w:contextualSpacing/>
        <w:jc w:val="both"/>
      </w:pPr>
    </w:p>
    <w:p w:rsidR="00444609" w:rsidRDefault="00444609" w:rsidP="00444609">
      <w:pPr>
        <w:spacing w:after="0" w:line="240" w:lineRule="auto"/>
      </w:pPr>
      <w:r>
        <w:br w:type="page"/>
      </w:r>
    </w:p>
    <w:p w:rsidR="004F4A9A" w:rsidRDefault="004F4A9A" w:rsidP="004F4A9A">
      <w:pPr>
        <w:pStyle w:val="Nadpis2"/>
      </w:pPr>
      <w:bookmarkStart w:id="2" w:name="_Toc485639749"/>
      <w:bookmarkStart w:id="3" w:name="_Toc490472711"/>
      <w:bookmarkStart w:id="4" w:name="_Ref496612422"/>
      <w:bookmarkStart w:id="5" w:name="_Ref501018855"/>
      <w:bookmarkStart w:id="6" w:name="_Toc501614089"/>
      <w:r>
        <w:lastRenderedPageBreak/>
        <w:t>Metodologie</w:t>
      </w:r>
      <w:bookmarkEnd w:id="2"/>
      <w:bookmarkEnd w:id="3"/>
      <w:bookmarkEnd w:id="4"/>
      <w:bookmarkEnd w:id="5"/>
      <w:bookmarkEnd w:id="6"/>
    </w:p>
    <w:p w:rsidR="0010176F" w:rsidRDefault="0010176F" w:rsidP="0010176F">
      <w:pPr>
        <w:contextualSpacing/>
        <w:jc w:val="both"/>
      </w:pPr>
    </w:p>
    <w:p w:rsidR="0010176F" w:rsidRDefault="004F4A9A" w:rsidP="0010176F">
      <w:pPr>
        <w:contextualSpacing/>
        <w:jc w:val="both"/>
      </w:pPr>
      <w:r>
        <w:t>Mezinárodní (evropské) šetření CVTS 5 (</w:t>
      </w:r>
      <w:proofErr w:type="spellStart"/>
      <w:r>
        <w:t>Continuing</w:t>
      </w:r>
      <w:proofErr w:type="spellEnd"/>
      <w:r>
        <w:t xml:space="preserve"> </w:t>
      </w:r>
      <w:proofErr w:type="spellStart"/>
      <w:r>
        <w:t>Vocational</w:t>
      </w:r>
      <w:proofErr w:type="spellEnd"/>
      <w:r>
        <w:t xml:space="preserve"> </w:t>
      </w:r>
      <w:proofErr w:type="spellStart"/>
      <w:r>
        <w:t>Training</w:t>
      </w:r>
      <w:proofErr w:type="spellEnd"/>
      <w:r>
        <w:t xml:space="preserve"> </w:t>
      </w:r>
      <w:proofErr w:type="spellStart"/>
      <w:r>
        <w:t>Survey</w:t>
      </w:r>
      <w:proofErr w:type="spellEnd"/>
      <w:r>
        <w:t xml:space="preserve">), česky též Vzdělávání zaměstnanců (VZ 2015), </w:t>
      </w:r>
      <w:r w:rsidR="00F9137F">
        <w:t>bylo</w:t>
      </w:r>
      <w:r>
        <w:t xml:space="preserve"> ve většině zemí EU realizov</w:t>
      </w:r>
      <w:r w:rsidR="00F9137F">
        <w:t>áno</w:t>
      </w:r>
      <w:r>
        <w:t xml:space="preserve"> již po páté, předchozí čtyři vlny se vztahovaly k referenčním rokům 1993</w:t>
      </w:r>
      <w:r w:rsidR="007D43B5">
        <w:t xml:space="preserve"> (CVTS 1)</w:t>
      </w:r>
      <w:r>
        <w:t>, 1999</w:t>
      </w:r>
      <w:r w:rsidR="007D43B5">
        <w:t xml:space="preserve"> (CVTS 2)</w:t>
      </w:r>
      <w:r>
        <w:t>, 2005</w:t>
      </w:r>
      <w:r w:rsidR="007D43B5">
        <w:t xml:space="preserve"> (CVTS 3)</w:t>
      </w:r>
      <w:r>
        <w:t xml:space="preserve"> a 2010</w:t>
      </w:r>
      <w:r w:rsidR="007D43B5">
        <w:t xml:space="preserve"> (CVTS 4)</w:t>
      </w:r>
      <w:r>
        <w:t>. První vlny šetření s</w:t>
      </w:r>
      <w:r w:rsidR="0068062C">
        <w:t> </w:t>
      </w:r>
      <w:r>
        <w:t>referenčním rokem 1993 se však ČR neúčastnila. Šetření má pětiletou periodicitu, další vlna se tedy očekává v roce 2021 (s referenčním rokem 2020). Takto nastavená pravidelnost sběru dat zajišťuje kontinuitu šetření, možnost návaznosti na minulé vlny a zejména možnost sledov</w:t>
      </w:r>
      <w:r w:rsidR="00F9137F">
        <w:t>ání</w:t>
      </w:r>
      <w:r>
        <w:t xml:space="preserve"> vývoj</w:t>
      </w:r>
      <w:r w:rsidR="00F9137F">
        <w:t>e</w:t>
      </w:r>
      <w:r>
        <w:t xml:space="preserve"> dané problematiky.</w:t>
      </w:r>
    </w:p>
    <w:p w:rsidR="004F4A9A" w:rsidRDefault="004F4A9A" w:rsidP="0010176F">
      <w:pPr>
        <w:contextualSpacing/>
        <w:jc w:val="both"/>
      </w:pPr>
      <w:r>
        <w:t xml:space="preserve"> </w:t>
      </w:r>
    </w:p>
    <w:p w:rsidR="004F4A9A" w:rsidRDefault="00F9137F" w:rsidP="004F4A9A">
      <w:pPr>
        <w:contextualSpacing/>
        <w:jc w:val="both"/>
      </w:pPr>
      <w:r>
        <w:t xml:space="preserve">Realizace šetření </w:t>
      </w:r>
      <w:r w:rsidR="004F4A9A">
        <w:t xml:space="preserve">vyplývá z nařízení Komise (ES) č. 198/2006 ze dne 29. 10. 2014, kterým se provádí nařízení Evropského parlamentu a Rady (ES) č. 1552/2005 o statistikách odborného vzdělávání v podnicích, v platném znění. Celé šetření, jeho metodologii i jednotlivé národní sběry koordinuje </w:t>
      </w:r>
      <w:proofErr w:type="spellStart"/>
      <w:r w:rsidR="004F4A9A">
        <w:t>Eurostat</w:t>
      </w:r>
      <w:proofErr w:type="spellEnd"/>
      <w:r w:rsidR="004F4A9A">
        <w:t xml:space="preserve">, </w:t>
      </w:r>
      <w:r>
        <w:t xml:space="preserve">který </w:t>
      </w:r>
      <w:r w:rsidR="004F4A9A">
        <w:t>také po</w:t>
      </w:r>
      <w:r w:rsidR="00F72CB2">
        <w:t> </w:t>
      </w:r>
      <w:r w:rsidR="004F4A9A">
        <w:t xml:space="preserve">skončení šetření nabízí </w:t>
      </w:r>
      <w:r>
        <w:t xml:space="preserve">jeho výstupy v </w:t>
      </w:r>
      <w:r w:rsidR="004F4A9A">
        <w:t>mezinárodní</w:t>
      </w:r>
      <w:r>
        <w:t>m</w:t>
      </w:r>
      <w:r w:rsidR="004F4A9A">
        <w:t xml:space="preserve"> srovnání všech zemí EU. Na přípravě i během průběhu národního šetření se podílela Meziresortní pracovní skupina pro statistiky dalšího vzdělávání složená z expertů z vybraných ministerstev a dalších institucí zabývajících se danou problematikou.</w:t>
      </w:r>
    </w:p>
    <w:p w:rsidR="0010176F" w:rsidRDefault="0010176F" w:rsidP="004F4A9A">
      <w:pPr>
        <w:contextualSpacing/>
        <w:jc w:val="both"/>
      </w:pPr>
    </w:p>
    <w:p w:rsidR="00DD091D" w:rsidRDefault="004F4A9A" w:rsidP="004F4A9A">
      <w:pPr>
        <w:contextualSpacing/>
        <w:jc w:val="both"/>
      </w:pPr>
      <w:r>
        <w:t>Základní soubor tvoří ekonomické subjekty působící na území ČR s v</w:t>
      </w:r>
      <w:r w:rsidR="00E917FA">
        <w:t>íce než 10 zaměstnanými osobami. Ekonomickým subjektem je právnická osoba a fyzická osoba v podnikatelské pozici a každá organizační jednotka státu s vlastním účetnictvím. Pro zjednodušení se v analýze užívá pojmu „firmy“. Mezi firmy v tomto smyslu jsou počítáni všichni takto definovaní respondenti a kromě firem jako takových tedy zahrnují i další instituce, např. veřejné nebo neziskové organizace. Ve výběrovém souboru byly zahrnuty ekonomické subjekty</w:t>
      </w:r>
      <w:r w:rsidR="007D43B5">
        <w:t> </w:t>
      </w:r>
      <w:r>
        <w:t>působící ve všech odvětvíc</w:t>
      </w:r>
      <w:r w:rsidR="00904D80">
        <w:t>h národního hospodářství kromě Z</w:t>
      </w:r>
      <w:r>
        <w:t xml:space="preserve">emědělství, lesnictví a rybářství, </w:t>
      </w:r>
      <w:r w:rsidR="00904D80">
        <w:t>Veřejné správy a obrany, V</w:t>
      </w:r>
      <w:r>
        <w:t xml:space="preserve">zdělávání, </w:t>
      </w:r>
      <w:r w:rsidR="00904D80">
        <w:t>Z</w:t>
      </w:r>
      <w:r>
        <w:t xml:space="preserve">dravotní a sociální péče, </w:t>
      </w:r>
      <w:r w:rsidR="00904D80">
        <w:t>Činnosti domácností, Č</w:t>
      </w:r>
      <w:r>
        <w:t>innosti exteritoriá</w:t>
      </w:r>
      <w:r w:rsidR="00A12F0F">
        <w:t xml:space="preserve">lních organizací a orgánů (šetření tedy nezahrnuje sekce </w:t>
      </w:r>
      <w:r>
        <w:t xml:space="preserve">A, O, P, Q, T, U klasifikace ekonomických činností </w:t>
      </w:r>
      <w:proofErr w:type="gramStart"/>
      <w:r>
        <w:t>CZ</w:t>
      </w:r>
      <w:proofErr w:type="gramEnd"/>
      <w:r w:rsidR="000847CB">
        <w:t>–</w:t>
      </w:r>
      <w:proofErr w:type="gramStart"/>
      <w:r w:rsidR="007D43B5">
        <w:t>NACE</w:t>
      </w:r>
      <w:proofErr w:type="gramEnd"/>
      <w:r w:rsidR="007D43B5">
        <w:t>).</w:t>
      </w:r>
    </w:p>
    <w:p w:rsidR="007D43B5" w:rsidRDefault="007D43B5" w:rsidP="004F4A9A">
      <w:pPr>
        <w:contextualSpacing/>
        <w:jc w:val="both"/>
      </w:pPr>
    </w:p>
    <w:p w:rsidR="004F4A9A" w:rsidRDefault="004F4A9A" w:rsidP="004F4A9A">
      <w:pPr>
        <w:contextualSpacing/>
        <w:jc w:val="both"/>
      </w:pPr>
      <w:r>
        <w:t xml:space="preserve">Seznam zahrnutých odvětví dle klasifikace NACE je k </w:t>
      </w:r>
      <w:r w:rsidRPr="00B815BD">
        <w:t>dispozici v</w:t>
      </w:r>
      <w:r w:rsidR="007A5179">
        <w:t> příloze č. 2.</w:t>
      </w:r>
      <w:r>
        <w:t xml:space="preserve"> </w:t>
      </w:r>
      <w:r w:rsidR="00AC1514">
        <w:t>Výsledný v</w:t>
      </w:r>
      <w:r>
        <w:t xml:space="preserve">ýběrový soubor </w:t>
      </w:r>
      <w:r w:rsidR="0010176F">
        <w:t>zahrnoval</w:t>
      </w:r>
      <w:r w:rsidR="00AC1514">
        <w:t xml:space="preserve"> 9</w:t>
      </w:r>
      <w:r w:rsidR="00E917FA">
        <w:t xml:space="preserve"> </w:t>
      </w:r>
      <w:r w:rsidR="00AC1514">
        <w:t xml:space="preserve">224 </w:t>
      </w:r>
      <w:r>
        <w:t>ekonomických subjektů podnikatelského sektoru</w:t>
      </w:r>
      <w:r w:rsidR="0010176F">
        <w:t>.</w:t>
      </w:r>
      <w:r>
        <w:t xml:space="preserve"> </w:t>
      </w:r>
      <w:r w:rsidR="0010176F">
        <w:t>B</w:t>
      </w:r>
      <w:r>
        <w:t xml:space="preserve">yl </w:t>
      </w:r>
      <w:r w:rsidR="0010176F">
        <w:t xml:space="preserve">vybrán </w:t>
      </w:r>
      <w:r>
        <w:t>stratifikovaným výběrem na</w:t>
      </w:r>
      <w:r w:rsidR="00833502">
        <w:t> </w:t>
      </w:r>
      <w:r>
        <w:t xml:space="preserve">základě </w:t>
      </w:r>
      <w:r w:rsidR="0010176F">
        <w:t xml:space="preserve">Registru ekonomických subjektů (RES), který sloužil jako </w:t>
      </w:r>
      <w:r>
        <w:t>opor</w:t>
      </w:r>
      <w:r w:rsidR="0010176F">
        <w:t>a výběru. N</w:t>
      </w:r>
      <w:r w:rsidR="00AC1514">
        <w:t>ávratnost byla 87</w:t>
      </w:r>
      <w:r>
        <w:t xml:space="preserve"> %</w:t>
      </w:r>
      <w:r w:rsidR="00AC1514">
        <w:t>.</w:t>
      </w:r>
      <w:r w:rsidR="0010176F">
        <w:t xml:space="preserve"> </w:t>
      </w:r>
      <w:r>
        <w:t xml:space="preserve">Sběr dat probíhal převážně online a prostřednictvím interaktivních PDF formulářů, pouze malé procento dotazníků bylo distribuováno v papírové podobě. </w:t>
      </w:r>
    </w:p>
    <w:p w:rsidR="0010176F" w:rsidRDefault="0010176F" w:rsidP="004F4A9A">
      <w:pPr>
        <w:contextualSpacing/>
        <w:jc w:val="both"/>
      </w:pPr>
    </w:p>
    <w:p w:rsidR="00E917FA" w:rsidRDefault="00F9137F" w:rsidP="0068062C">
      <w:pPr>
        <w:spacing w:after="0"/>
        <w:contextualSpacing/>
        <w:jc w:val="both"/>
      </w:pPr>
      <w:r>
        <w:t xml:space="preserve">Při analýze dat </w:t>
      </w:r>
      <w:r w:rsidR="004F4A9A">
        <w:t>bylo obecně využito členění podle velikosti firmy (</w:t>
      </w:r>
      <w:r w:rsidR="002C19F8">
        <w:t>10–19 zaměstnanců,</w:t>
      </w:r>
      <w:r w:rsidR="0068062C">
        <w:t xml:space="preserve"> </w:t>
      </w:r>
      <w:r w:rsidR="002C19F8">
        <w:t>20–</w:t>
      </w:r>
      <w:r w:rsidR="00833502">
        <w:t>4</w:t>
      </w:r>
      <w:r w:rsidR="004F4A9A">
        <w:t>9</w:t>
      </w:r>
      <w:r w:rsidR="00833502">
        <w:t> </w:t>
      </w:r>
      <w:r w:rsidR="004F4A9A">
        <w:t>zaměstnanců, 50</w:t>
      </w:r>
      <w:r w:rsidR="002C19F8">
        <w:t>–</w:t>
      </w:r>
      <w:r w:rsidR="004F4A9A">
        <w:t xml:space="preserve">249 zaměstnanců a 250 a více zaměstnanců), vlastnictví firmy (v rozdělení </w:t>
      </w:r>
      <w:r>
        <w:t>dle země původu vrcholového vlastníka</w:t>
      </w:r>
      <w:r w:rsidR="004F4A9A">
        <w:t xml:space="preserve">) a převažující ekonomické činnosti (odvětví) firmy dle klasifikace </w:t>
      </w:r>
      <w:proofErr w:type="gramStart"/>
      <w:r w:rsidR="004F4A9A">
        <w:t>CZ</w:t>
      </w:r>
      <w:proofErr w:type="gramEnd"/>
      <w:r w:rsidR="002C19F8">
        <w:t>–</w:t>
      </w:r>
      <w:proofErr w:type="gramStart"/>
      <w:r w:rsidR="004F4A9A">
        <w:t>NACE</w:t>
      </w:r>
      <w:proofErr w:type="gramEnd"/>
      <w:r w:rsidR="00E917FA">
        <w:t>:</w:t>
      </w:r>
    </w:p>
    <w:p w:rsidR="00E917FA" w:rsidRDefault="00E917FA" w:rsidP="00E917FA">
      <w:pPr>
        <w:spacing w:after="0"/>
        <w:contextualSpacing/>
        <w:jc w:val="both"/>
      </w:pPr>
    </w:p>
    <w:p w:rsidR="00E917FA" w:rsidRDefault="004F4A9A" w:rsidP="00E917FA">
      <w:pPr>
        <w:pStyle w:val="Odstavecseseznamem"/>
        <w:numPr>
          <w:ilvl w:val="0"/>
          <w:numId w:val="30"/>
        </w:numPr>
        <w:spacing w:after="0"/>
        <w:jc w:val="both"/>
      </w:pPr>
      <w:r>
        <w:t>Průmysl – sekce B</w:t>
      </w:r>
      <w:r w:rsidR="0093187F">
        <w:t xml:space="preserve"> a </w:t>
      </w:r>
      <w:r w:rsidR="00E917FA">
        <w:t>C</w:t>
      </w:r>
    </w:p>
    <w:p w:rsidR="00E917FA" w:rsidRDefault="001068EE" w:rsidP="00E917FA">
      <w:pPr>
        <w:pStyle w:val="Odstavecseseznamem"/>
        <w:numPr>
          <w:ilvl w:val="0"/>
          <w:numId w:val="29"/>
        </w:numPr>
        <w:jc w:val="both"/>
      </w:pPr>
      <w:r>
        <w:t>Vý</w:t>
      </w:r>
      <w:r w:rsidR="00E917FA">
        <w:t>roba energie, plynu, vody, tepla</w:t>
      </w:r>
      <w:r>
        <w:t xml:space="preserve"> </w:t>
      </w:r>
      <w:r w:rsidR="0093187F">
        <w:t xml:space="preserve">– sekce </w:t>
      </w:r>
      <w:r>
        <w:t>D</w:t>
      </w:r>
      <w:r w:rsidR="0093187F">
        <w:t xml:space="preserve"> a </w:t>
      </w:r>
      <w:r>
        <w:t xml:space="preserve">E </w:t>
      </w:r>
    </w:p>
    <w:p w:rsidR="00E917FA" w:rsidRDefault="001068EE" w:rsidP="00833502">
      <w:pPr>
        <w:pStyle w:val="Odstavecseseznamem"/>
        <w:ind w:left="0"/>
        <w:jc w:val="both"/>
      </w:pPr>
      <w:r>
        <w:t xml:space="preserve">(v některých dílčích výstupech </w:t>
      </w:r>
      <w:r w:rsidR="00E917FA">
        <w:t>sloučeno</w:t>
      </w:r>
      <w:r w:rsidR="0093187F">
        <w:t xml:space="preserve"> do kategorie </w:t>
      </w:r>
      <w:proofErr w:type="gramStart"/>
      <w:r w:rsidR="0093187F">
        <w:t>Průmysl</w:t>
      </w:r>
      <w:r w:rsidR="00E917FA">
        <w:t xml:space="preserve"> (B–E))</w:t>
      </w:r>
      <w:proofErr w:type="gramEnd"/>
    </w:p>
    <w:p w:rsidR="00E917FA" w:rsidRDefault="004F4A9A" w:rsidP="00E917FA">
      <w:pPr>
        <w:pStyle w:val="Odstavecseseznamem"/>
        <w:numPr>
          <w:ilvl w:val="0"/>
          <w:numId w:val="29"/>
        </w:numPr>
        <w:jc w:val="both"/>
      </w:pPr>
      <w:r>
        <w:t>Stavebnictví – sekce F</w:t>
      </w:r>
    </w:p>
    <w:p w:rsidR="00E917FA" w:rsidRDefault="00E917FA" w:rsidP="00E917FA">
      <w:pPr>
        <w:pStyle w:val="Odstavecseseznamem"/>
        <w:numPr>
          <w:ilvl w:val="0"/>
          <w:numId w:val="29"/>
        </w:numPr>
        <w:jc w:val="both"/>
      </w:pPr>
      <w:r>
        <w:t>Obchod – sekce G</w:t>
      </w:r>
    </w:p>
    <w:p w:rsidR="00E917FA" w:rsidRDefault="00E917FA" w:rsidP="00E917FA">
      <w:pPr>
        <w:pStyle w:val="Odstavecseseznamem"/>
        <w:numPr>
          <w:ilvl w:val="0"/>
          <w:numId w:val="29"/>
        </w:numPr>
        <w:jc w:val="both"/>
      </w:pPr>
      <w:r>
        <w:t>Doprava a skladování – sekce H</w:t>
      </w:r>
    </w:p>
    <w:p w:rsidR="00E917FA" w:rsidRDefault="004F4A9A" w:rsidP="00E917FA">
      <w:pPr>
        <w:pStyle w:val="Odstavecseseznamem"/>
        <w:numPr>
          <w:ilvl w:val="0"/>
          <w:numId w:val="29"/>
        </w:numPr>
        <w:jc w:val="both"/>
      </w:pPr>
      <w:r>
        <w:t>Ubytování, stra</w:t>
      </w:r>
      <w:r w:rsidR="00E917FA">
        <w:t>vování a pohostinství – sekce I</w:t>
      </w:r>
    </w:p>
    <w:p w:rsidR="00E917FA" w:rsidRDefault="004F4A9A" w:rsidP="00E917FA">
      <w:pPr>
        <w:pStyle w:val="Odstavecseseznamem"/>
        <w:numPr>
          <w:ilvl w:val="0"/>
          <w:numId w:val="29"/>
        </w:numPr>
        <w:jc w:val="both"/>
      </w:pPr>
      <w:r>
        <w:t>Informační a</w:t>
      </w:r>
      <w:r w:rsidR="00E917FA">
        <w:t xml:space="preserve"> komunikační činnosti – sekce J</w:t>
      </w:r>
    </w:p>
    <w:p w:rsidR="00E917FA" w:rsidRDefault="004F4A9A" w:rsidP="00E917FA">
      <w:pPr>
        <w:pStyle w:val="Odstavecseseznamem"/>
        <w:numPr>
          <w:ilvl w:val="0"/>
          <w:numId w:val="29"/>
        </w:numPr>
        <w:jc w:val="both"/>
      </w:pPr>
      <w:r>
        <w:t>Peněžni</w:t>
      </w:r>
      <w:r w:rsidR="00E917FA">
        <w:t>ctví a pojišťovnictví – sekce K</w:t>
      </w:r>
    </w:p>
    <w:p w:rsidR="00E917FA" w:rsidRDefault="004F4A9A" w:rsidP="00E917FA">
      <w:pPr>
        <w:pStyle w:val="Odstavecseseznamem"/>
        <w:numPr>
          <w:ilvl w:val="0"/>
          <w:numId w:val="29"/>
        </w:numPr>
        <w:jc w:val="both"/>
      </w:pPr>
      <w:r>
        <w:t xml:space="preserve">Činnosti v oblasti nemovitostí </w:t>
      </w:r>
      <w:r w:rsidR="00E917FA">
        <w:t>a administrativy – sekce L a N</w:t>
      </w:r>
    </w:p>
    <w:p w:rsidR="00E917FA" w:rsidRDefault="004F4A9A" w:rsidP="00E917FA">
      <w:pPr>
        <w:pStyle w:val="Odstavecseseznamem"/>
        <w:numPr>
          <w:ilvl w:val="0"/>
          <w:numId w:val="29"/>
        </w:numPr>
        <w:jc w:val="both"/>
      </w:pPr>
      <w:r>
        <w:t>Profesní, vědecké</w:t>
      </w:r>
      <w:r w:rsidR="00E917FA">
        <w:t xml:space="preserve"> a technické činnosti – sekce M</w:t>
      </w:r>
    </w:p>
    <w:p w:rsidR="00E917FA" w:rsidRDefault="004F4A9A" w:rsidP="00E917FA">
      <w:pPr>
        <w:pStyle w:val="Odstavecseseznamem"/>
        <w:numPr>
          <w:ilvl w:val="0"/>
          <w:numId w:val="29"/>
        </w:numPr>
        <w:jc w:val="both"/>
      </w:pPr>
      <w:r>
        <w:t xml:space="preserve">Kulturní, zábavní a rekreační činnost </w:t>
      </w:r>
      <w:r w:rsidR="00904D80">
        <w:t xml:space="preserve">a Ostatní činnosti </w:t>
      </w:r>
      <w:r>
        <w:t>– sekce R a S</w:t>
      </w:r>
      <w:r w:rsidR="0093187F">
        <w:t xml:space="preserve"> </w:t>
      </w:r>
    </w:p>
    <w:p w:rsidR="00E917FA" w:rsidRDefault="0093187F" w:rsidP="00E917FA">
      <w:pPr>
        <w:pStyle w:val="Odstavecseseznamem"/>
        <w:ind w:left="0"/>
        <w:jc w:val="both"/>
      </w:pPr>
      <w:r>
        <w:t>(sekce L až S byly pro účely zpracování dat seskupeny do jedné kategorie Ostatní)</w:t>
      </w:r>
      <w:r w:rsidR="00E917FA">
        <w:t xml:space="preserve">) </w:t>
      </w:r>
    </w:p>
    <w:p w:rsidR="00E917FA" w:rsidRDefault="00E917FA" w:rsidP="00E917FA">
      <w:pPr>
        <w:pStyle w:val="Odstavecseseznamem"/>
        <w:ind w:left="0"/>
        <w:jc w:val="both"/>
      </w:pPr>
    </w:p>
    <w:p w:rsidR="00B757DB" w:rsidRDefault="00EA1A3E" w:rsidP="00E917FA">
      <w:pPr>
        <w:pStyle w:val="Odstavecseseznamem"/>
        <w:ind w:left="0"/>
        <w:jc w:val="both"/>
      </w:pPr>
      <w:r>
        <w:t>Vedle toho jsou místy zařazena i jiná doplňující členění vyplývající z charakteru otázky.</w:t>
      </w:r>
    </w:p>
    <w:p w:rsidR="00180F75" w:rsidRPr="00D92A63" w:rsidRDefault="00B757DB" w:rsidP="00D92A63">
      <w:pPr>
        <w:contextualSpacing/>
        <w:jc w:val="both"/>
        <w:rPr>
          <w:highlight w:val="yellow"/>
        </w:rPr>
      </w:pPr>
      <w:r>
        <w:t>Jak již bylo uvedeno, šetření CVTS 2 se uskutečnilo v roce 2000 (za sledovaný rok 1999), CVTS 3 v roce 2006 (za referenční rok 2005), CVTS 4 v roce 2011 (</w:t>
      </w:r>
      <w:r w:rsidR="00F9137F">
        <w:t xml:space="preserve">referenční </w:t>
      </w:r>
      <w:r>
        <w:t>rok 2010) a nejnovější CVTS 5 pak v roce 2016 (</w:t>
      </w:r>
      <w:r w:rsidR="00F9137F">
        <w:t xml:space="preserve">referenční </w:t>
      </w:r>
      <w:r>
        <w:t xml:space="preserve">rok 2015). </w:t>
      </w:r>
      <w:r w:rsidR="004F4A9A">
        <w:t xml:space="preserve">Některé zkoumané proměnné nabízejí možnost srovnání mezi jednotlivými vlnami CVTS. Pokud je srovnání k dispozici, nachází se vždy u dané podkapitoly </w:t>
      </w:r>
      <w:r w:rsidR="004F4A9A" w:rsidRPr="003205AD">
        <w:t>i s případným vysvětlením možných odchylek např. z důvodu odlišné metodologie v předchozích vlnách.</w:t>
      </w:r>
      <w:r w:rsidR="00F9137F" w:rsidRPr="003205AD">
        <w:t xml:space="preserve"> </w:t>
      </w:r>
      <w:r w:rsidR="00180F75" w:rsidRPr="003205AD">
        <w:t>Dotazník v české verzi dostál oproti minulé vlně poměrně velkých úprav, a to jak co se struktury a podrobnosti zjišťování týče, tak i</w:t>
      </w:r>
      <w:r w:rsidR="0068062C">
        <w:t> </w:t>
      </w:r>
      <w:r w:rsidR="00180F75" w:rsidRPr="003205AD">
        <w:t xml:space="preserve">z hlediska vysvětlivek pojmů a příkladů. </w:t>
      </w:r>
      <w:r w:rsidR="006109A9" w:rsidRPr="003205AD">
        <w:t>Právě kvůli odlišné formulaci některých otázek a metodologickým změnám však nejsou data o poskytování vzdělávání a kurzů firmami, účasti zaměstnanců ve vzdělávání a</w:t>
      </w:r>
      <w:r w:rsidR="0068062C">
        <w:t> </w:t>
      </w:r>
      <w:r w:rsidR="006109A9" w:rsidRPr="003205AD">
        <w:t xml:space="preserve">výdajích na vzdělávání plně srovnatelná s výstupy z předchozích vln. </w:t>
      </w:r>
      <w:r w:rsidR="00F9137F" w:rsidRPr="003205AD">
        <w:t xml:space="preserve">V šetření CVTS 5 byl oproti předchozím vlnám kladen velký důraz na zahrnutí </w:t>
      </w:r>
      <w:r w:rsidR="007C3A3E" w:rsidRPr="003205AD">
        <w:rPr>
          <w:u w:val="single"/>
        </w:rPr>
        <w:t>jakéhokoli</w:t>
      </w:r>
      <w:r w:rsidR="00F9137F" w:rsidRPr="003205AD">
        <w:t xml:space="preserve"> vzdělávání poskytovaného zaměstnancům, včetně kurzů a školení</w:t>
      </w:r>
      <w:r w:rsidR="0018545B" w:rsidRPr="003205AD">
        <w:t xml:space="preserve"> povinných ze zákona</w:t>
      </w:r>
      <w:r w:rsidR="00F9137F" w:rsidRPr="003205AD">
        <w:t xml:space="preserve">. Přestože </w:t>
      </w:r>
      <w:r w:rsidR="00E70B29" w:rsidRPr="003205AD">
        <w:t>povinné vzdělávání bylo</w:t>
      </w:r>
      <w:r w:rsidR="00F9137F" w:rsidRPr="003205AD">
        <w:t xml:space="preserve"> samozřejmě zahrnut</w:t>
      </w:r>
      <w:r w:rsidR="00E70B29" w:rsidRPr="003205AD">
        <w:t>o</w:t>
      </w:r>
      <w:r w:rsidR="00F9137F" w:rsidRPr="003205AD">
        <w:t xml:space="preserve"> do</w:t>
      </w:r>
      <w:r w:rsidR="00833502">
        <w:t> </w:t>
      </w:r>
      <w:r w:rsidR="00F9137F" w:rsidRPr="003205AD">
        <w:t>šetření i v předchozích letech, v CVTS 5 došlo k</w:t>
      </w:r>
      <w:r w:rsidR="00E70B29" w:rsidRPr="003205AD">
        <w:t>e zpřesnění metodických pokynů poskytovaných respondentům i úpravě dotazníku v souladu se snahou získat co nejúplnější informace. Zároveň byl oproti předchozím vlnám šetření na národní úrovni kladen velký důraz na možnost odlišení vzdělávacích aktivit poskytovaných zaměstnancům povinně (na základě platné legislativy) a těch, plynoucích především ze</w:t>
      </w:r>
      <w:r w:rsidR="00833502">
        <w:t> </w:t>
      </w:r>
      <w:r w:rsidR="00E70B29" w:rsidRPr="003205AD">
        <w:t>vzdělávací strategie dané firmy.</w:t>
      </w:r>
      <w:r w:rsidR="0052389A" w:rsidRPr="003205AD">
        <w:t xml:space="preserve"> </w:t>
      </w:r>
      <w:r w:rsidR="00E70B29" w:rsidRPr="003205AD">
        <w:t>O</w:t>
      </w:r>
      <w:r w:rsidR="007C1883" w:rsidRPr="003205AD">
        <w:t>tázky kladené zvlášť n</w:t>
      </w:r>
      <w:r w:rsidR="00AD56A9" w:rsidRPr="003205AD">
        <w:t xml:space="preserve">a nepovinné kurzy </w:t>
      </w:r>
      <w:r w:rsidR="0051759A" w:rsidRPr="003205AD">
        <w:t>uka</w:t>
      </w:r>
      <w:r w:rsidR="00AD56A9" w:rsidRPr="003205AD">
        <w:t>z</w:t>
      </w:r>
      <w:r w:rsidR="0051759A" w:rsidRPr="003205AD">
        <w:t>ují</w:t>
      </w:r>
      <w:r w:rsidR="00AD56A9" w:rsidRPr="003205AD">
        <w:t xml:space="preserve"> zájem firem o</w:t>
      </w:r>
      <w:r w:rsidR="00833502">
        <w:t> </w:t>
      </w:r>
      <w:r w:rsidR="00AD56A9" w:rsidRPr="003205AD">
        <w:t xml:space="preserve">vzdělávání </w:t>
      </w:r>
      <w:r w:rsidR="00B41A00" w:rsidRPr="003205AD">
        <w:t xml:space="preserve">zaměstnanců </w:t>
      </w:r>
      <w:r w:rsidR="00AD56A9" w:rsidRPr="003205AD">
        <w:t xml:space="preserve">v konkrétních oblastech potřebných pro výkon </w:t>
      </w:r>
      <w:r w:rsidR="00B41A00" w:rsidRPr="003205AD">
        <w:t xml:space="preserve">svých činností, nikoliv pouze </w:t>
      </w:r>
      <w:r w:rsidR="0051759A" w:rsidRPr="003205AD">
        <w:t>tak, jak</w:t>
      </w:r>
      <w:r w:rsidR="00AD56A9" w:rsidRPr="003205AD">
        <w:t xml:space="preserve"> ukládá zákon.</w:t>
      </w:r>
      <w:r w:rsidR="00B41A00" w:rsidRPr="003205AD">
        <w:t xml:space="preserve"> </w:t>
      </w:r>
      <w:r w:rsidR="00E3470D" w:rsidRPr="003205AD">
        <w:t>Konstrukce dotazníku</w:t>
      </w:r>
      <w:r w:rsidR="00201715" w:rsidRPr="003205AD">
        <w:t xml:space="preserve"> </w:t>
      </w:r>
      <w:r w:rsidR="00E3470D" w:rsidRPr="003205AD">
        <w:t xml:space="preserve">k CVTS 5 </w:t>
      </w:r>
      <w:r w:rsidR="00201715" w:rsidRPr="003205AD">
        <w:t xml:space="preserve">tak </w:t>
      </w:r>
      <w:r w:rsidR="0051759A" w:rsidRPr="003205AD">
        <w:t xml:space="preserve">sice </w:t>
      </w:r>
      <w:r w:rsidR="00860AE7" w:rsidRPr="003205AD">
        <w:t xml:space="preserve">neumožňuje </w:t>
      </w:r>
      <w:r w:rsidR="00926272">
        <w:t xml:space="preserve">plně </w:t>
      </w:r>
      <w:r w:rsidR="00860AE7" w:rsidRPr="003205AD">
        <w:t>relevantní srovnání některých ukazatelů</w:t>
      </w:r>
      <w:r w:rsidR="00E70B29" w:rsidRPr="003205AD">
        <w:t xml:space="preserve"> v dlouhodobé časové řadě</w:t>
      </w:r>
      <w:r w:rsidR="00860AE7" w:rsidRPr="003205AD">
        <w:t xml:space="preserve">, na druhou stranu přispěla k </w:t>
      </w:r>
      <w:r w:rsidR="00E3470D" w:rsidRPr="003205AD">
        <w:t xml:space="preserve">jednoznačnějšímu vymezení </w:t>
      </w:r>
      <w:r w:rsidR="00201715" w:rsidRPr="003205AD">
        <w:t xml:space="preserve">a rozdělení </w:t>
      </w:r>
      <w:r w:rsidR="00E3470D" w:rsidRPr="003205AD">
        <w:t>kurzů a</w:t>
      </w:r>
      <w:r w:rsidR="0068062C">
        <w:t> </w:t>
      </w:r>
      <w:r w:rsidR="00E3470D" w:rsidRPr="003205AD">
        <w:t>školení</w:t>
      </w:r>
      <w:r w:rsidR="00E70B29" w:rsidRPr="003205AD">
        <w:t xml:space="preserve"> a tím výstupům</w:t>
      </w:r>
      <w:r w:rsidR="00860AE7" w:rsidRPr="003205AD">
        <w:t>, které lépe odráží</w:t>
      </w:r>
      <w:r w:rsidR="00E70B29" w:rsidRPr="003205AD">
        <w:t xml:space="preserve"> zkoumanou</w:t>
      </w:r>
      <w:r w:rsidR="00860AE7" w:rsidRPr="003205AD">
        <w:t xml:space="preserve"> realitu.</w:t>
      </w:r>
      <w:r w:rsidR="00180F75">
        <w:br w:type="page"/>
      </w:r>
    </w:p>
    <w:p w:rsidR="00304FD2" w:rsidRDefault="00304FD2" w:rsidP="005634B8">
      <w:pPr>
        <w:pStyle w:val="Nadpis2"/>
      </w:pPr>
      <w:bookmarkStart w:id="7" w:name="_Toc485639752"/>
      <w:bookmarkStart w:id="8" w:name="_Toc490472714"/>
      <w:bookmarkStart w:id="9" w:name="_Ref496607501"/>
      <w:bookmarkStart w:id="10" w:name="_Ref501005378"/>
      <w:bookmarkStart w:id="11" w:name="_Toc501614090"/>
      <w:r w:rsidRPr="005634B8">
        <w:lastRenderedPageBreak/>
        <w:t>Kapitola 1: Důraz kladený na vzdělávání ve firmách v</w:t>
      </w:r>
      <w:r w:rsidR="005634B8">
        <w:t> </w:t>
      </w:r>
      <w:r w:rsidRPr="005634B8">
        <w:t>ČR</w:t>
      </w:r>
      <w:bookmarkEnd w:id="7"/>
      <w:bookmarkEnd w:id="8"/>
      <w:bookmarkEnd w:id="9"/>
      <w:bookmarkEnd w:id="10"/>
      <w:bookmarkEnd w:id="11"/>
    </w:p>
    <w:p w:rsidR="005634B8" w:rsidRDefault="005634B8" w:rsidP="0093187F">
      <w:pPr>
        <w:spacing w:after="0"/>
        <w:contextualSpacing/>
        <w:jc w:val="both"/>
      </w:pPr>
      <w:bookmarkStart w:id="12" w:name="_Toc485639753"/>
    </w:p>
    <w:p w:rsidR="00304FD2" w:rsidRDefault="00304FD2" w:rsidP="0093187F">
      <w:pPr>
        <w:spacing w:after="0"/>
        <w:contextualSpacing/>
        <w:jc w:val="both"/>
      </w:pPr>
      <w:r>
        <w:t>V široké oblasti firemního vzdělávání se mezi sebou jednotlivé firmy mohou lišit nejen množstvím a formami zajišťovaného vzdělávání, ale i v celkovém přístupu ke vzdělávání a v různé míře důrazu, který je mu přikládán. Ten se v první řadě odvíjí od konkrétních potřeb firmy, financí a priorit a navazuje na interní procesy, které vzdělávání zaměstnanců zajišťují. Tato kapitola tedy nabízí základní vhled do fungování těchto interních procesů v českých firmách a ukazuje podíl firem, které vzdělávání svých zaměstnanců realizují.</w:t>
      </w:r>
    </w:p>
    <w:p w:rsidR="00304FD2" w:rsidRDefault="00304FD2" w:rsidP="0091022B">
      <w:pPr>
        <w:spacing w:after="0"/>
        <w:contextualSpacing/>
        <w:jc w:val="both"/>
      </w:pPr>
    </w:p>
    <w:p w:rsidR="00304FD2" w:rsidRDefault="00304FD2" w:rsidP="00304FD2">
      <w:pPr>
        <w:pStyle w:val="Nadpis3"/>
        <w:jc w:val="both"/>
      </w:pPr>
      <w:bookmarkStart w:id="13" w:name="_Toc490472715"/>
      <w:bookmarkStart w:id="14" w:name="_Toc501614091"/>
      <w:r>
        <w:t>Hlavní zjištění</w:t>
      </w:r>
      <w:bookmarkEnd w:id="12"/>
      <w:bookmarkEnd w:id="13"/>
      <w:bookmarkEnd w:id="14"/>
    </w:p>
    <w:p w:rsidR="00CC11E6" w:rsidRDefault="00CC11E6" w:rsidP="0068062C">
      <w:pPr>
        <w:numPr>
          <w:ilvl w:val="0"/>
          <w:numId w:val="14"/>
        </w:numPr>
        <w:spacing w:after="0"/>
        <w:ind w:hanging="210"/>
        <w:jc w:val="both"/>
      </w:pPr>
      <w:r>
        <w:t xml:space="preserve">91 % firem </w:t>
      </w:r>
      <w:r w:rsidR="007549BB">
        <w:t xml:space="preserve">s deseti a více zaměstnanci </w:t>
      </w:r>
      <w:r>
        <w:t>poskytlo zaměstnancům vzdělávání.</w:t>
      </w:r>
    </w:p>
    <w:p w:rsidR="00304FD2" w:rsidRDefault="00304FD2" w:rsidP="0068062C">
      <w:pPr>
        <w:numPr>
          <w:ilvl w:val="0"/>
          <w:numId w:val="14"/>
        </w:numPr>
        <w:spacing w:after="0"/>
        <w:ind w:hanging="210"/>
        <w:jc w:val="both"/>
      </w:pPr>
      <w:r>
        <w:t>Velká většina (89 %) firem zajistila v roce 2015 pro své zaměstnance alespoň jeden kurz nebo školení</w:t>
      </w:r>
      <w:r w:rsidR="00C162CA">
        <w:rPr>
          <w:rStyle w:val="Znakapoznpodarou"/>
          <w:rFonts w:eastAsia="MS Gothic"/>
        </w:rPr>
        <w:footnoteReference w:id="2"/>
      </w:r>
      <w:r>
        <w:t>. Kurzy povinné ze zákona se konaly v 87 % firem, nepovinné kurzy</w:t>
      </w:r>
      <w:r w:rsidR="001646AF">
        <w:t xml:space="preserve"> </w:t>
      </w:r>
      <w:r>
        <w:t>pak přibližně v polovině (53 %).</w:t>
      </w:r>
    </w:p>
    <w:p w:rsidR="00304FD2" w:rsidRDefault="00304FD2" w:rsidP="0068062C">
      <w:pPr>
        <w:numPr>
          <w:ilvl w:val="0"/>
          <w:numId w:val="14"/>
        </w:numPr>
        <w:spacing w:after="0"/>
        <w:ind w:hanging="210"/>
        <w:jc w:val="both"/>
      </w:pPr>
      <w:r>
        <w:t>Jiné formy vzdělávání</w:t>
      </w:r>
      <w:r w:rsidR="0060063E">
        <w:rPr>
          <w:rStyle w:val="Znakapoznpodarou"/>
        </w:rPr>
        <w:footnoteReference w:id="3"/>
      </w:r>
      <w:r>
        <w:t xml:space="preserve"> (než jsou kurzy a školení) svým zaměstnancům v roce 2015 poskytlo téměř 40 % firem.</w:t>
      </w:r>
    </w:p>
    <w:p w:rsidR="00304FD2" w:rsidRDefault="00304FD2" w:rsidP="0068062C">
      <w:pPr>
        <w:numPr>
          <w:ilvl w:val="0"/>
          <w:numId w:val="14"/>
        </w:numPr>
        <w:spacing w:after="0"/>
        <w:ind w:hanging="210"/>
        <w:jc w:val="both"/>
      </w:pPr>
      <w:r>
        <w:t xml:space="preserve">Nejdůležitějším faktorem </w:t>
      </w:r>
      <w:r w:rsidR="00CC11E6">
        <w:t>ovlivňující</w:t>
      </w:r>
      <w:r w:rsidR="0086548A">
        <w:t>m</w:t>
      </w:r>
      <w:r w:rsidR="00CC11E6">
        <w:t xml:space="preserve"> poskytování vzdělávání</w:t>
      </w:r>
      <w:r>
        <w:t xml:space="preserve"> zaměstnanců</w:t>
      </w:r>
      <w:r w:rsidR="00CC11E6">
        <w:t>m</w:t>
      </w:r>
      <w:r>
        <w:t xml:space="preserve"> je velikost</w:t>
      </w:r>
      <w:r w:rsidR="00CC11E6">
        <w:t xml:space="preserve"> firmy</w:t>
      </w:r>
      <w:r>
        <w:t>. S velikostí firmy roste též pravděpodobnost poskytování nejen povinných, ale především nepovinných vzdělávacích aktivit.</w:t>
      </w:r>
    </w:p>
    <w:p w:rsidR="00304FD2" w:rsidRDefault="00304FD2" w:rsidP="0068062C">
      <w:pPr>
        <w:numPr>
          <w:ilvl w:val="0"/>
          <w:numId w:val="14"/>
        </w:numPr>
        <w:spacing w:after="0"/>
        <w:ind w:hanging="210"/>
        <w:jc w:val="both"/>
      </w:pPr>
      <w:r>
        <w:t>Z hlediska převažující ekonomické činnosti (odvětví) sledovaných firem je největší pravděpodobnost poskytování i jiných, než povinných kurzů a školení u firem z odvětvové sekce Peněžnictví a</w:t>
      </w:r>
      <w:r w:rsidR="0068062C">
        <w:t> </w:t>
      </w:r>
      <w:r>
        <w:t>pojišťovnictví (K) a Informační a komunikační činnosti (J)</w:t>
      </w:r>
      <w:r w:rsidR="006C5B3C">
        <w:t>.</w:t>
      </w:r>
    </w:p>
    <w:p w:rsidR="00304FD2" w:rsidRDefault="00304FD2" w:rsidP="0068062C">
      <w:pPr>
        <w:numPr>
          <w:ilvl w:val="0"/>
          <w:numId w:val="14"/>
        </w:numPr>
        <w:spacing w:after="0"/>
        <w:ind w:hanging="210"/>
        <w:jc w:val="both"/>
      </w:pPr>
      <w:r>
        <w:t>Sedm z deseti firem v roce 2015 hodnotil</w:t>
      </w:r>
      <w:r w:rsidR="006C5B3C">
        <w:t xml:space="preserve">o </w:t>
      </w:r>
      <w:r>
        <w:t>vzdělávací potřeby svých zaměstnanců, pětina toto hodnocení prov</w:t>
      </w:r>
      <w:r w:rsidR="00097088">
        <w:t>áděla</w:t>
      </w:r>
      <w:r>
        <w:t xml:space="preserve"> pravidelně. Uskutečněné vzděláván</w:t>
      </w:r>
      <w:r w:rsidR="00D92A63">
        <w:t xml:space="preserve">í zpětně zhodnotilo 42 % firem. Koncepci </w:t>
      </w:r>
      <w:r>
        <w:t xml:space="preserve">vzdělávání </w:t>
      </w:r>
      <w:r w:rsidR="00D92A63">
        <w:t xml:space="preserve">předem </w:t>
      </w:r>
      <w:r>
        <w:t>plánuje přibližně polovina (53 %) firem.</w:t>
      </w:r>
    </w:p>
    <w:p w:rsidR="00304FD2" w:rsidRDefault="00304FD2" w:rsidP="0068062C">
      <w:pPr>
        <w:numPr>
          <w:ilvl w:val="0"/>
          <w:numId w:val="14"/>
        </w:numPr>
        <w:spacing w:after="0"/>
        <w:ind w:hanging="210"/>
        <w:jc w:val="both"/>
      </w:pPr>
      <w:r>
        <w:t>Téměř dvě třetiny (63 %) firem nemají specializovaný útvar či osobu pověřenou organizací vzdělávání, nicméně velké firmy s více než 250 zaměstnanci obvykle (85 % z nich) alespoň jednou možností disponují.</w:t>
      </w:r>
    </w:p>
    <w:p w:rsidR="00304FD2" w:rsidRDefault="00304FD2" w:rsidP="0068062C">
      <w:pPr>
        <w:numPr>
          <w:ilvl w:val="0"/>
          <w:numId w:val="14"/>
        </w:numPr>
        <w:spacing w:after="0"/>
        <w:ind w:hanging="210"/>
        <w:jc w:val="both"/>
      </w:pPr>
      <w:r>
        <w:t>Reakcí na zjištěný deficit či absenci znalostí a dovedností zaměstnanců je u poloviny (53 %) firem zajištění potřebného vzdělávání.</w:t>
      </w:r>
    </w:p>
    <w:p w:rsidR="001646AF" w:rsidRDefault="00304FD2" w:rsidP="0068062C">
      <w:pPr>
        <w:numPr>
          <w:ilvl w:val="0"/>
          <w:numId w:val="14"/>
        </w:numPr>
        <w:spacing w:after="0"/>
        <w:ind w:hanging="210"/>
        <w:jc w:val="both"/>
      </w:pPr>
      <w:r>
        <w:t>O vzdělávání ve firmách, pokud tam vzdělávání probíhá, nejčastěji rozhoduje management firmy. Do</w:t>
      </w:r>
      <w:r w:rsidR="00833502">
        <w:t> </w:t>
      </w:r>
      <w:r>
        <w:t>rozhodování o vzdělávání jsou zástupci zaměstnanců zapojeni pouze v 6 % firem.</w:t>
      </w:r>
    </w:p>
    <w:p w:rsidR="00C162CA" w:rsidRDefault="00304FD2" w:rsidP="0068062C">
      <w:pPr>
        <w:numPr>
          <w:ilvl w:val="0"/>
          <w:numId w:val="14"/>
        </w:numPr>
        <w:spacing w:after="0"/>
        <w:ind w:hanging="210"/>
        <w:jc w:val="both"/>
      </w:pPr>
      <w:r>
        <w:t xml:space="preserve">Většina firem </w:t>
      </w:r>
      <w:r w:rsidR="00C364F0">
        <w:t xml:space="preserve">(84 %) </w:t>
      </w:r>
      <w:r>
        <w:t>v roce 2015 vynaložila finanční náklady, které souvisely se zajišťováním vzdělávání zaměstnanců. Čtyři desetiny firem uvedly, že s položkou na vzdělávání počítají již při</w:t>
      </w:r>
      <w:r w:rsidR="00833502">
        <w:t> </w:t>
      </w:r>
      <w:r>
        <w:t>sestavování ročního rozpočtu.</w:t>
      </w:r>
      <w:r w:rsidR="00C162CA">
        <w:br w:type="page"/>
      </w:r>
    </w:p>
    <w:p w:rsidR="0093187F" w:rsidRDefault="006C5B3C" w:rsidP="00AB07A3">
      <w:pPr>
        <w:pStyle w:val="Nadpis3"/>
      </w:pPr>
      <w:bookmarkStart w:id="15" w:name="_Toc490472716"/>
      <w:bookmarkStart w:id="16" w:name="_Ref496607379"/>
      <w:bookmarkStart w:id="17" w:name="_Toc501614092"/>
      <w:r>
        <w:lastRenderedPageBreak/>
        <w:t>Formy vzdělávání</w:t>
      </w:r>
      <w:r w:rsidR="0093187F">
        <w:t>, které firmy poskytují svým</w:t>
      </w:r>
      <w:r>
        <w:t xml:space="preserve"> zaměstnanců</w:t>
      </w:r>
      <w:bookmarkEnd w:id="15"/>
      <w:r w:rsidR="0093187F">
        <w:t>m</w:t>
      </w:r>
      <w:bookmarkEnd w:id="16"/>
      <w:bookmarkEnd w:id="17"/>
    </w:p>
    <w:p w:rsidR="00AB07A3" w:rsidRDefault="00AB07A3" w:rsidP="0093187F">
      <w:pPr>
        <w:spacing w:after="0"/>
        <w:jc w:val="both"/>
      </w:pPr>
    </w:p>
    <w:p w:rsidR="006C5B3C" w:rsidRDefault="006C5B3C" w:rsidP="0093187F">
      <w:pPr>
        <w:spacing w:after="0"/>
        <w:jc w:val="both"/>
      </w:pPr>
      <w:r>
        <w:t>Vzdělávání ve firmách může nabývat nejrůznějších forem, jejichž příklady jsou k dispozici v této a následující kapitole. Pro potřeby šetření CVTS, ale i obecně, lze vzdělávání ve firmách rozdělit na kurzy/školení a jiné formy vzdělávání než jsou kurzy či školení.</w:t>
      </w:r>
      <w:r w:rsidR="007B08AF">
        <w:t xml:space="preserve"> Podíl firem, které zajistily nějaký druh vzdělávání, činil 91 %.</w:t>
      </w:r>
      <w:r w:rsidR="001A5A5B">
        <w:t xml:space="preserve"> </w:t>
      </w:r>
      <w:r w:rsidR="00112EC1">
        <w:t>Charakteristikou firem</w:t>
      </w:r>
      <w:r w:rsidR="001A5A5B">
        <w:t>, které vzdělání neposkytovaly</w:t>
      </w:r>
      <w:r w:rsidR="00CE146C">
        <w:t>, nebo ho poskytovaly jen v omezené míře</w:t>
      </w:r>
      <w:r w:rsidR="001A5A5B">
        <w:t>, včetně důvodů, které je k </w:t>
      </w:r>
      <w:r w:rsidR="00CE146C">
        <w:t xml:space="preserve"> tomu </w:t>
      </w:r>
      <w:r w:rsidR="001A5A5B">
        <w:t xml:space="preserve">vedly, </w:t>
      </w:r>
      <w:r w:rsidR="00112EC1">
        <w:t>se podrobně zabývá</w:t>
      </w:r>
      <w:r w:rsidR="001A5A5B">
        <w:t> </w:t>
      </w:r>
      <w:r w:rsidR="008D16C0" w:rsidRPr="008D16C0">
        <w:rPr>
          <w:color w:val="0070C0"/>
          <w:u w:val="single"/>
        </w:rPr>
        <w:fldChar w:fldCharType="begin"/>
      </w:r>
      <w:r w:rsidR="008D16C0" w:rsidRPr="008D16C0">
        <w:rPr>
          <w:color w:val="0070C0"/>
          <w:u w:val="single"/>
        </w:rPr>
        <w:instrText xml:space="preserve"> REF _Ref501099948 \h </w:instrText>
      </w:r>
      <w:r w:rsidR="008D16C0">
        <w:rPr>
          <w:color w:val="0070C0"/>
          <w:u w:val="single"/>
        </w:rPr>
        <w:instrText xml:space="preserve"> \* MERGEFORMAT </w:instrText>
      </w:r>
      <w:r w:rsidR="008D16C0" w:rsidRPr="008D16C0">
        <w:rPr>
          <w:color w:val="0070C0"/>
          <w:u w:val="single"/>
        </w:rPr>
      </w:r>
      <w:r w:rsidR="008D16C0" w:rsidRPr="008D16C0">
        <w:rPr>
          <w:color w:val="0070C0"/>
          <w:u w:val="single"/>
        </w:rPr>
        <w:fldChar w:fldCharType="separate"/>
      </w:r>
      <w:r w:rsidR="00476EDB" w:rsidRPr="00476EDB">
        <w:rPr>
          <w:color w:val="0070C0"/>
          <w:u w:val="single"/>
        </w:rPr>
        <w:t>Kapitola 4: Omezení a překážky ve vzdělávání zaměstnanců</w:t>
      </w:r>
      <w:r w:rsidR="008D16C0" w:rsidRPr="008D16C0">
        <w:rPr>
          <w:color w:val="0070C0"/>
          <w:u w:val="single"/>
        </w:rPr>
        <w:fldChar w:fldCharType="end"/>
      </w:r>
      <w:r w:rsidR="005E69E8">
        <w:t>.</w:t>
      </w:r>
    </w:p>
    <w:p w:rsidR="0093187F" w:rsidRDefault="0093187F" w:rsidP="0093187F">
      <w:pPr>
        <w:spacing w:after="0"/>
        <w:jc w:val="both"/>
      </w:pPr>
    </w:p>
    <w:p w:rsidR="006C5B3C" w:rsidRDefault="006C5B3C" w:rsidP="006C5B3C">
      <w:pPr>
        <w:spacing w:after="0"/>
        <w:jc w:val="both"/>
      </w:pPr>
      <w:r>
        <w:t xml:space="preserve">Alespoň jeden kurz či školení (včetně povinných ze zákona) zajišťovala pro své zaměstnance v roce 2015 valná většina (89 %) firem. </w:t>
      </w:r>
      <w:r w:rsidR="00F81A89">
        <w:t>Téměř všechny v</w:t>
      </w:r>
      <w:r>
        <w:t>elké firmy (s 250 a více zaměstnanci) zajišťovaly kurzy/školení pro své zaměstnance. Rozdíly je možné sledovat i v rámci faktoru</w:t>
      </w:r>
      <w:r w:rsidR="002C19F8">
        <w:t xml:space="preserve"> </w:t>
      </w:r>
      <w:r w:rsidR="00112EC1">
        <w:t xml:space="preserve">vrcholového vlastníka </w:t>
      </w:r>
      <w:r>
        <w:t xml:space="preserve">firmy </w:t>
      </w:r>
      <w:r w:rsidR="002C19F8">
        <w:t>–</w:t>
      </w:r>
      <w:r>
        <w:t xml:space="preserve"> firmy se zahraničním majitelem vzdělávaly své zaměstnance v 96 % případů, na rozdíl od českých firem, kterých tak činilo 88 %. </w:t>
      </w:r>
      <w:r w:rsidR="00CE146C">
        <w:t>Má na to vliv i odlišná struktura firem se zahraničním vlastníkem, mezi kterými převládají střední a velké firmy, které obecně poskytují více vzdělávacích aktivit</w:t>
      </w:r>
      <w:r w:rsidR="001C4E2A">
        <w:t xml:space="preserve"> v porovnání s menšími</w:t>
      </w:r>
      <w:r w:rsidR="00CE146C">
        <w:t xml:space="preserve">. </w:t>
      </w:r>
      <w:r>
        <w:t>Nejvíce firem, více než polovina, k zajištění vzdělávání pro své zaměstnance využilo nabídky s</w:t>
      </w:r>
      <w:r w:rsidR="001A5A5B">
        <w:t>oukromých vzdělávacích agentur.</w:t>
      </w:r>
    </w:p>
    <w:p w:rsidR="00364436" w:rsidRDefault="00364436" w:rsidP="006C5B3C">
      <w:pPr>
        <w:spacing w:after="0"/>
        <w:jc w:val="both"/>
      </w:pPr>
    </w:p>
    <w:p w:rsidR="00776667" w:rsidRDefault="00364436" w:rsidP="00364436">
      <w:pPr>
        <w:pStyle w:val="Titulek"/>
      </w:pPr>
      <w:bookmarkStart w:id="18" w:name="_Ref496259199"/>
      <w:bookmarkStart w:id="19" w:name="_Toc501615584"/>
      <w:r w:rsidRPr="00291B11">
        <w:t xml:space="preserve">Graf č. </w:t>
      </w:r>
      <w:r w:rsidR="00E13170">
        <w:fldChar w:fldCharType="begin"/>
      </w:r>
      <w:r w:rsidR="00E13170">
        <w:instrText xml:space="preserve"> SEQ Graf_č. \* ARABIC </w:instrText>
      </w:r>
      <w:r w:rsidR="00E13170">
        <w:fldChar w:fldCharType="separate"/>
      </w:r>
      <w:r w:rsidR="00476EDB">
        <w:rPr>
          <w:noProof/>
        </w:rPr>
        <w:t>1</w:t>
      </w:r>
      <w:r w:rsidR="00E13170">
        <w:rPr>
          <w:noProof/>
        </w:rPr>
        <w:fldChar w:fldCharType="end"/>
      </w:r>
      <w:bookmarkEnd w:id="18"/>
      <w:r w:rsidRPr="00291B11">
        <w:t xml:space="preserve">: Podíl firem, které poskytovaly </w:t>
      </w:r>
      <w:r>
        <w:t>kurzy/školení a jiné formy</w:t>
      </w:r>
      <w:r w:rsidRPr="00291B11">
        <w:t xml:space="preserve"> vzdělávání podle odvětví firmy (</w:t>
      </w:r>
      <w:proofErr w:type="gramStart"/>
      <w:r>
        <w:t>CZ</w:t>
      </w:r>
      <w:proofErr w:type="gramEnd"/>
      <w:r>
        <w:t>–</w:t>
      </w:r>
      <w:proofErr w:type="gramStart"/>
      <w:r w:rsidRPr="00291B11">
        <w:t>NACE</w:t>
      </w:r>
      <w:proofErr w:type="gramEnd"/>
      <w:r w:rsidRPr="00291B11">
        <w:t>), 2015</w:t>
      </w:r>
      <w:bookmarkStart w:id="20" w:name="_Toc490472717"/>
      <w:bookmarkEnd w:id="19"/>
    </w:p>
    <w:p w:rsidR="006C5B3C" w:rsidRDefault="00C35689" w:rsidP="00364436">
      <w:pPr>
        <w:pStyle w:val="Titulek"/>
      </w:pPr>
      <w:r>
        <w:rPr>
          <w:noProof/>
        </w:rPr>
        <w:drawing>
          <wp:inline distT="0" distB="0" distL="0" distR="0" wp14:anchorId="64E69AAB" wp14:editId="1F203D00">
            <wp:extent cx="5972810" cy="3998595"/>
            <wp:effectExtent l="0" t="0" r="8890" b="190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4436" w:rsidRDefault="00364436" w:rsidP="00364436">
      <w:pPr>
        <w:spacing w:after="0"/>
        <w:contextualSpacing/>
        <w:jc w:val="both"/>
        <w:rPr>
          <w:sz w:val="18"/>
        </w:rPr>
      </w:pPr>
      <w:r>
        <w:rPr>
          <w:sz w:val="18"/>
        </w:rPr>
        <w:t>Zd</w:t>
      </w:r>
      <w:r w:rsidRPr="00F31CE5">
        <w:rPr>
          <w:sz w:val="18"/>
        </w:rPr>
        <w:t>roj: šetření CVTS, ČSÚ 2017</w:t>
      </w:r>
    </w:p>
    <w:p w:rsidR="00364436" w:rsidRPr="00364436" w:rsidRDefault="00364436" w:rsidP="00364436">
      <w:pPr>
        <w:spacing w:after="0"/>
        <w:contextualSpacing/>
        <w:jc w:val="both"/>
      </w:pPr>
    </w:p>
    <w:p w:rsidR="006C5B3C" w:rsidRDefault="006C5B3C" w:rsidP="0047295C">
      <w:pPr>
        <w:pStyle w:val="Nadpis4"/>
        <w:spacing w:after="120"/>
      </w:pPr>
      <w:bookmarkStart w:id="21" w:name="_Toc501614093"/>
      <w:r w:rsidRPr="0047295C">
        <w:t>Povinné a nepovinné kurzy a školení</w:t>
      </w:r>
      <w:bookmarkEnd w:id="20"/>
      <w:bookmarkEnd w:id="21"/>
    </w:p>
    <w:p w:rsidR="00364436" w:rsidRDefault="006C5B3C" w:rsidP="00364436">
      <w:pPr>
        <w:spacing w:after="0"/>
        <w:contextualSpacing/>
        <w:jc w:val="both"/>
        <w:rPr>
          <w:sz w:val="18"/>
        </w:rPr>
      </w:pPr>
      <w:r>
        <w:t xml:space="preserve">Kurzy a školení se v rámci šetření CTVS rozlišují na povinné a nepovinné </w:t>
      </w:r>
      <w:r w:rsidRPr="007D41C4">
        <w:t>(definice</w:t>
      </w:r>
      <w:r>
        <w:t xml:space="preserve"> a podrobnější informace </w:t>
      </w:r>
      <w:r w:rsidRPr="004C2EB3">
        <w:t>v</w:t>
      </w:r>
      <w:r w:rsidR="007A5179">
        <w:t>iz</w:t>
      </w:r>
      <w:r w:rsidRPr="004C2EB3">
        <w:t> </w:t>
      </w:r>
      <w:r w:rsidR="00A86F27" w:rsidRPr="00A86F27">
        <w:rPr>
          <w:color w:val="0070C0"/>
          <w:u w:val="single"/>
        </w:rPr>
        <w:fldChar w:fldCharType="begin"/>
      </w:r>
      <w:r w:rsidR="00A86F27" w:rsidRPr="00A86F27">
        <w:rPr>
          <w:color w:val="0070C0"/>
          <w:u w:val="single"/>
        </w:rPr>
        <w:instrText xml:space="preserve"> REF _Ref501100042 \h </w:instrText>
      </w:r>
      <w:r w:rsidR="00A86F27">
        <w:rPr>
          <w:color w:val="0070C0"/>
          <w:u w:val="single"/>
        </w:rPr>
        <w:instrText xml:space="preserve"> \* MERGEFORMAT </w:instrText>
      </w:r>
      <w:r w:rsidR="00A86F27" w:rsidRPr="00A86F27">
        <w:rPr>
          <w:color w:val="0070C0"/>
          <w:u w:val="single"/>
        </w:rPr>
      </w:r>
      <w:r w:rsidR="00A86F27" w:rsidRPr="00A86F27">
        <w:rPr>
          <w:color w:val="0070C0"/>
          <w:u w:val="single"/>
        </w:rPr>
        <w:fldChar w:fldCharType="separate"/>
      </w:r>
      <w:r w:rsidR="00476EDB" w:rsidRPr="00476EDB">
        <w:rPr>
          <w:color w:val="0070C0"/>
          <w:u w:val="single"/>
        </w:rPr>
        <w:t xml:space="preserve">Příloha č. </w:t>
      </w:r>
      <w:r w:rsidR="00476EDB" w:rsidRPr="00476EDB">
        <w:rPr>
          <w:noProof/>
          <w:color w:val="0070C0"/>
          <w:u w:val="single"/>
        </w:rPr>
        <w:t>1</w:t>
      </w:r>
      <w:r w:rsidR="00476EDB" w:rsidRPr="00476EDB">
        <w:rPr>
          <w:color w:val="0070C0"/>
          <w:u w:val="single"/>
        </w:rPr>
        <w:t>: Definice použitých výrazů</w:t>
      </w:r>
      <w:r w:rsidR="00A86F27" w:rsidRPr="00A86F27">
        <w:rPr>
          <w:color w:val="0070C0"/>
          <w:u w:val="single"/>
        </w:rPr>
        <w:fldChar w:fldCharType="end"/>
      </w:r>
      <w:r w:rsidRPr="004C2EB3">
        <w:t>).</w:t>
      </w:r>
      <w:r>
        <w:t xml:space="preserve"> Ze zákona povinné kurzy a školení </w:t>
      </w:r>
      <w:r w:rsidR="00693F4F">
        <w:t>poskytla</w:t>
      </w:r>
      <w:r>
        <w:t xml:space="preserve"> svým zaměstnancům v roce 2015 </w:t>
      </w:r>
      <w:r w:rsidR="00693F4F">
        <w:t>většina firem (87 %). (Školení k bezpečné práci s přístroji či plošná školení BOZP jsou povinná v určité</w:t>
      </w:r>
      <w:r w:rsidR="00693F4F" w:rsidRPr="00233C31">
        <w:t xml:space="preserve"> </w:t>
      </w:r>
      <w:r w:rsidR="00693F4F">
        <w:t xml:space="preserve">frekvenci, která není každoroční, což vysvětluje nižší než stoprocentní podíl </w:t>
      </w:r>
      <w:r w:rsidR="00693F4F">
        <w:lastRenderedPageBreak/>
        <w:t>firem zajišťujících svým zaměstnancům v daném roce toto vzdělávání.) N</w:t>
      </w:r>
      <w:r>
        <w:t xml:space="preserve">epovinné kurzy </w:t>
      </w:r>
      <w:r w:rsidR="00693F4F">
        <w:t xml:space="preserve">poskytla </w:t>
      </w:r>
      <w:r>
        <w:t>polovina</w:t>
      </w:r>
      <w:r w:rsidR="00693F4F">
        <w:t xml:space="preserve"> firem</w:t>
      </w:r>
      <w:r>
        <w:t xml:space="preserve"> (53</w:t>
      </w:r>
      <w:r>
        <w:rPr>
          <w:lang w:val="en-US"/>
        </w:rPr>
        <w:t xml:space="preserve"> %)</w:t>
      </w:r>
      <w:r>
        <w:t>. U obou druhů své zaměstnance do</w:t>
      </w:r>
      <w:r w:rsidR="00F72CB2">
        <w:t> </w:t>
      </w:r>
      <w:r>
        <w:t xml:space="preserve">vzdělávání zapojovaly nejvíce firmy s 250 a více zaměstnanci (u povinných kurzů 99 %, u nepovinných </w:t>
      </w:r>
      <w:r w:rsidR="00771F07">
        <w:t>8</w:t>
      </w:r>
      <w:r>
        <w:t>9 %) a nejméně firmy malé s 10 až 19 zaměstnanci</w:t>
      </w:r>
      <w:r w:rsidR="00CE146C">
        <w:t xml:space="preserve"> (</w:t>
      </w:r>
      <w:r w:rsidR="001C4E2A">
        <w:t>u povinných</w:t>
      </w:r>
      <w:r w:rsidR="00CE146C">
        <w:t xml:space="preserve"> kurz</w:t>
      </w:r>
      <w:r w:rsidR="001C4E2A">
        <w:t>ů</w:t>
      </w:r>
      <w:r w:rsidR="00250799">
        <w:t xml:space="preserve"> 83 %,</w:t>
      </w:r>
      <w:r w:rsidR="001C4E2A">
        <w:t xml:space="preserve"> u </w:t>
      </w:r>
      <w:r w:rsidR="00CE146C">
        <w:t>nepovinn</w:t>
      </w:r>
      <w:r w:rsidR="001C4E2A">
        <w:t>ých</w:t>
      </w:r>
      <w:r w:rsidR="00CE146C">
        <w:t xml:space="preserve"> 43 %)</w:t>
      </w:r>
      <w:r>
        <w:t>. Ze</w:t>
      </w:r>
      <w:r w:rsidR="00F72CB2">
        <w:t> </w:t>
      </w:r>
      <w:r>
        <w:t xml:space="preserve">sledovaných odvětví nejvíce povinných kurzů </w:t>
      </w:r>
      <w:r w:rsidR="00771F07">
        <w:t xml:space="preserve">poskytovaly </w:t>
      </w:r>
      <w:r>
        <w:t>firm</w:t>
      </w:r>
      <w:r w:rsidR="00771F07">
        <w:t>y</w:t>
      </w:r>
      <w:r w:rsidR="00112EC1">
        <w:t xml:space="preserve"> působící</w:t>
      </w:r>
      <w:r>
        <w:t xml:space="preserve"> v oblasti </w:t>
      </w:r>
      <w:r w:rsidR="00B13BB9">
        <w:t>V</w:t>
      </w:r>
      <w:r w:rsidR="001907D7">
        <w:t>ýroba</w:t>
      </w:r>
      <w:r>
        <w:t xml:space="preserve"> a ro</w:t>
      </w:r>
      <w:r w:rsidR="001907D7">
        <w:t>zvod</w:t>
      </w:r>
      <w:r w:rsidR="00870338">
        <w:t xml:space="preserve"> energie, </w:t>
      </w:r>
      <w:r w:rsidR="001907D7">
        <w:t>plynu</w:t>
      </w:r>
      <w:r w:rsidR="00870338">
        <w:t>, vody, tepla</w:t>
      </w:r>
      <w:r w:rsidR="001907D7">
        <w:t xml:space="preserve"> (sekce </w:t>
      </w:r>
      <w:proofErr w:type="gramStart"/>
      <w:r w:rsidR="001907D7">
        <w:t>D</w:t>
      </w:r>
      <w:r>
        <w:t>E</w:t>
      </w:r>
      <w:proofErr w:type="gramEnd"/>
      <w:r w:rsidR="00354505">
        <w:t>;</w:t>
      </w:r>
      <w:r>
        <w:t xml:space="preserve"> 95%). Nejvíce nepovinných kurzů </w:t>
      </w:r>
      <w:r w:rsidR="00771F07">
        <w:t>zajišťovaly</w:t>
      </w:r>
      <w:r>
        <w:t xml:space="preserve"> </w:t>
      </w:r>
      <w:r w:rsidR="00771F07">
        <w:t>firmy</w:t>
      </w:r>
      <w:r w:rsidR="00250799">
        <w:t xml:space="preserve"> pohybující se v p</w:t>
      </w:r>
      <w:r>
        <w:t>eněžn</w:t>
      </w:r>
      <w:r w:rsidR="00354505">
        <w:t>ictví a pojišťovnictví (sekce K;</w:t>
      </w:r>
      <w:r>
        <w:t xml:space="preserve"> 80 %) – je nutno ovšem zdůraznit, že v obou případech jde o</w:t>
      </w:r>
      <w:r w:rsidR="00F72CB2">
        <w:t> </w:t>
      </w:r>
      <w:r>
        <w:t>odvětvové sekce s vyšším zastoupením větších firem než v ostatních odvětvových sekcích.</w:t>
      </w:r>
    </w:p>
    <w:p w:rsidR="00DE37AF" w:rsidRDefault="00DE37AF">
      <w:pPr>
        <w:spacing w:after="0" w:line="240" w:lineRule="auto"/>
        <w:rPr>
          <w:sz w:val="18"/>
        </w:rPr>
      </w:pPr>
    </w:p>
    <w:p w:rsidR="002F2E5D" w:rsidRDefault="002F2E5D" w:rsidP="0047295C">
      <w:pPr>
        <w:pStyle w:val="Nadpis4"/>
        <w:spacing w:after="120"/>
      </w:pPr>
      <w:bookmarkStart w:id="22" w:name="_Toc490472718"/>
      <w:bookmarkStart w:id="23" w:name="_Toc501614094"/>
      <w:r w:rsidRPr="0047295C">
        <w:t>Jiné formy vzdělávání</w:t>
      </w:r>
      <w:bookmarkEnd w:id="22"/>
      <w:bookmarkEnd w:id="23"/>
    </w:p>
    <w:p w:rsidR="008C3EDC" w:rsidRDefault="002F2E5D" w:rsidP="002F2E5D">
      <w:pPr>
        <w:spacing w:after="0"/>
        <w:contextualSpacing/>
        <w:jc w:val="both"/>
      </w:pPr>
      <w:r>
        <w:t>Kromě kurzů či školení firmy zajišťují i nejrůznější jiné formy vzdělávání, mezi které patří např. plánované zaškolování zaměstnanců na pracovišti, účast na konferencích, veletrzích a workshopech či plánované samostudium. Tyto jiné formy vzdělávání</w:t>
      </w:r>
      <w:r w:rsidR="00F45A2B">
        <w:t xml:space="preserve"> svým zaměstnancům poskytovalo téměř 40 % f</w:t>
      </w:r>
      <w:r>
        <w:t>irem s deseti a více zaměstnanci v</w:t>
      </w:r>
      <w:r w:rsidR="0097044A">
        <w:t>e</w:t>
      </w:r>
      <w:r>
        <w:t xml:space="preserve"> sledovaných odvětvích. Jiné formy vzdělávání nejvíce využívaly firmy pohybující se v odvětví </w:t>
      </w:r>
      <w:r w:rsidR="00B13BB9">
        <w:t>I</w:t>
      </w:r>
      <w:r w:rsidR="000A1178">
        <w:t>nformační a komunikační</w:t>
      </w:r>
      <w:r>
        <w:t xml:space="preserve"> činnost</w:t>
      </w:r>
      <w:r w:rsidR="000A1178">
        <w:t>i</w:t>
      </w:r>
      <w:r w:rsidR="00250799">
        <w:t xml:space="preserve"> (sekce J)</w:t>
      </w:r>
      <w:r w:rsidR="0097044A">
        <w:t>. T</w:t>
      </w:r>
      <w:r>
        <w:t>uto možnost svým zaměstnancům v roce 2015 nabídly v průměru téměř dvě třetiny firem (62 %) z tohoto odvětví</w:t>
      </w:r>
      <w:r w:rsidR="00CE146C">
        <w:t>,</w:t>
      </w:r>
      <w:r>
        <w:t xml:space="preserve"> a to dokonce i v kategorii velmi malých firem s 10</w:t>
      </w:r>
      <w:r w:rsidR="00CE146C">
        <w:t xml:space="preserve"> až 19 zaměstnanci. V rámci nich se do výše uvedených jiných forem vzdělávání zapojila </w:t>
      </w:r>
      <w:r w:rsidR="0097044A">
        <w:t>přesně polovina</w:t>
      </w:r>
      <w:r>
        <w:t xml:space="preserve"> </w:t>
      </w:r>
      <w:r w:rsidR="0097044A">
        <w:t xml:space="preserve">zaměstnanců, </w:t>
      </w:r>
      <w:r>
        <w:t>tj. např. o 20 procentních bodů více než v</w:t>
      </w:r>
      <w:r w:rsidR="00CE146C">
        <w:t xml:space="preserve"> případě</w:t>
      </w:r>
      <w:r>
        <w:t xml:space="preserve"> stejné velikostní katego</w:t>
      </w:r>
      <w:r w:rsidR="0097044A">
        <w:t>ri</w:t>
      </w:r>
      <w:r w:rsidR="00CE146C">
        <w:t>e</w:t>
      </w:r>
      <w:r w:rsidR="0097044A">
        <w:t xml:space="preserve"> firem působících v</w:t>
      </w:r>
      <w:r w:rsidR="00250799">
        <w:t> </w:t>
      </w:r>
      <w:r w:rsidR="0097044A">
        <w:t>průmyslu</w:t>
      </w:r>
      <w:r w:rsidR="00250799">
        <w:t xml:space="preserve"> (</w:t>
      </w:r>
      <w:proofErr w:type="gramStart"/>
      <w:r w:rsidR="00250799">
        <w:t>sekce B–E)</w:t>
      </w:r>
      <w:r w:rsidR="0097044A">
        <w:t>.</w:t>
      </w:r>
      <w:proofErr w:type="gramEnd"/>
    </w:p>
    <w:p w:rsidR="002F2E5D" w:rsidRDefault="002F2E5D" w:rsidP="002F2E5D">
      <w:pPr>
        <w:spacing w:after="0"/>
        <w:contextualSpacing/>
        <w:jc w:val="both"/>
      </w:pPr>
      <w:r>
        <w:t xml:space="preserve"> </w:t>
      </w:r>
    </w:p>
    <w:p w:rsidR="0047295C" w:rsidRDefault="002F2E5D" w:rsidP="002F2E5D">
      <w:pPr>
        <w:spacing w:after="0"/>
        <w:contextualSpacing/>
        <w:jc w:val="both"/>
      </w:pPr>
      <w:r>
        <w:t xml:space="preserve">Účast zaměstnanců v dané formě </w:t>
      </w:r>
      <w:r w:rsidRPr="009B6DD0">
        <w:t xml:space="preserve">vzdělávání </w:t>
      </w:r>
      <w:r>
        <w:t xml:space="preserve">dále souvisí s počtem zaměstnanců firmy, kdy platí, že s rostoucí velikostí firmy </w:t>
      </w:r>
      <w:r w:rsidR="0097044A">
        <w:t xml:space="preserve">se </w:t>
      </w:r>
      <w:r>
        <w:t xml:space="preserve">zvyšuje i účast jejích zaměstnanců v těchto jiných vzdělávacích formách. Mezi firmami s více než 250 zaměstnanci účast na jiné formě vzdělávání svým zaměstnancům umožnily v roce 2015 téměř tři čtvrtiny (74 %). Vyšší účast velkých firem může být </w:t>
      </w:r>
      <w:r w:rsidR="003E3881">
        <w:t xml:space="preserve">mj. </w:t>
      </w:r>
      <w:r>
        <w:t>ovlivněna jinou firemní kulturou než u</w:t>
      </w:r>
      <w:r w:rsidR="00833502">
        <w:t> </w:t>
      </w:r>
      <w:r>
        <w:t xml:space="preserve">firem menších, ale samozřejmě vychází i ze základního logického předpokladu, že větší firma má vyšší počet potenciálních účastníků vzdělávání. Podrobnější informace o jednotlivých formách vzdělávání a jejich charakteristikách </w:t>
      </w:r>
      <w:r w:rsidR="007A5179">
        <w:t>viz</w:t>
      </w:r>
      <w:r>
        <w:t> </w:t>
      </w:r>
      <w:r w:rsidR="00A86F27" w:rsidRPr="00A86F27">
        <w:rPr>
          <w:color w:val="0070C0"/>
          <w:u w:val="single"/>
        </w:rPr>
        <w:fldChar w:fldCharType="begin"/>
      </w:r>
      <w:r w:rsidR="00A86F27" w:rsidRPr="00A86F27">
        <w:rPr>
          <w:color w:val="0070C0"/>
          <w:u w:val="single"/>
        </w:rPr>
        <w:instrText xml:space="preserve"> REF _Ref496167833 \h </w:instrText>
      </w:r>
      <w:r w:rsidR="00A86F27">
        <w:rPr>
          <w:color w:val="0070C0"/>
          <w:u w:val="single"/>
        </w:rPr>
        <w:instrText xml:space="preserve"> \* MERGEFORMAT </w:instrText>
      </w:r>
      <w:r w:rsidR="00A86F27" w:rsidRPr="00A86F27">
        <w:rPr>
          <w:color w:val="0070C0"/>
          <w:u w:val="single"/>
        </w:rPr>
      </w:r>
      <w:r w:rsidR="00A86F27" w:rsidRPr="00A86F27">
        <w:rPr>
          <w:color w:val="0070C0"/>
          <w:u w:val="single"/>
        </w:rPr>
        <w:fldChar w:fldCharType="separate"/>
      </w:r>
      <w:r w:rsidR="00476EDB" w:rsidRPr="00476EDB">
        <w:rPr>
          <w:color w:val="0070C0"/>
          <w:u w:val="single"/>
        </w:rPr>
        <w:t>Kapitola 2: Účast zaměstnanců na dalším odborném vzdělávání</w:t>
      </w:r>
      <w:r w:rsidR="00A86F27" w:rsidRPr="00A86F27">
        <w:rPr>
          <w:color w:val="0070C0"/>
          <w:u w:val="single"/>
        </w:rPr>
        <w:fldChar w:fldCharType="end"/>
      </w:r>
      <w:r w:rsidR="007E4BCF">
        <w:t>.</w:t>
      </w:r>
    </w:p>
    <w:p w:rsidR="007E4BCF" w:rsidRDefault="007E4BCF" w:rsidP="002F2E5D">
      <w:pPr>
        <w:spacing w:after="0"/>
        <w:contextualSpacing/>
        <w:jc w:val="both"/>
      </w:pPr>
    </w:p>
    <w:p w:rsidR="00D73AB5" w:rsidRDefault="0097044A" w:rsidP="008C3EDC">
      <w:pPr>
        <w:pStyle w:val="Titulek"/>
      </w:pPr>
      <w:bookmarkStart w:id="24" w:name="_Ref484603462"/>
      <w:bookmarkStart w:id="25" w:name="_Toc484437857"/>
      <w:bookmarkStart w:id="26" w:name="_Toc501615585"/>
      <w:r w:rsidRPr="00291B11">
        <w:t xml:space="preserve">Graf č. </w:t>
      </w:r>
      <w:r w:rsidR="007C3A3E">
        <w:fldChar w:fldCharType="begin"/>
      </w:r>
      <w:r w:rsidR="00C84608">
        <w:instrText xml:space="preserve"> SEQ Graf_č. \* ARABIC </w:instrText>
      </w:r>
      <w:r w:rsidR="007C3A3E">
        <w:fldChar w:fldCharType="separate"/>
      </w:r>
      <w:r w:rsidR="00476EDB">
        <w:rPr>
          <w:noProof/>
        </w:rPr>
        <w:t>2</w:t>
      </w:r>
      <w:r w:rsidR="007C3A3E">
        <w:rPr>
          <w:noProof/>
        </w:rPr>
        <w:fldChar w:fldCharType="end"/>
      </w:r>
      <w:bookmarkEnd w:id="24"/>
      <w:r w:rsidRPr="00291B11">
        <w:t xml:space="preserve">: Podíl firem, které poskytovaly </w:t>
      </w:r>
      <w:r w:rsidR="003E2DBD">
        <w:t>kurzy/školení a jiné formy vzdělávání</w:t>
      </w:r>
      <w:r w:rsidRPr="00291B11">
        <w:t xml:space="preserve"> podle velikosti firmy, 2015</w:t>
      </w:r>
      <w:bookmarkEnd w:id="25"/>
      <w:bookmarkEnd w:id="26"/>
    </w:p>
    <w:p w:rsidR="0097044A" w:rsidRDefault="00C35689" w:rsidP="008C3EDC">
      <w:pPr>
        <w:pStyle w:val="Titulek"/>
      </w:pPr>
      <w:r>
        <w:rPr>
          <w:noProof/>
        </w:rPr>
        <w:drawing>
          <wp:inline distT="0" distB="0" distL="0" distR="0" wp14:anchorId="4D274BA7" wp14:editId="04654E81">
            <wp:extent cx="5972175" cy="3162300"/>
            <wp:effectExtent l="0" t="0" r="0" b="0"/>
            <wp:docPr id="75" name="Graf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4446" w:rsidRPr="00A24446" w:rsidRDefault="0097044A" w:rsidP="00D90069">
      <w:pPr>
        <w:spacing w:after="0"/>
        <w:contextualSpacing/>
        <w:jc w:val="both"/>
      </w:pPr>
      <w:r>
        <w:rPr>
          <w:sz w:val="18"/>
        </w:rPr>
        <w:t>Z</w:t>
      </w:r>
      <w:r w:rsidRPr="00F31CE5">
        <w:rPr>
          <w:sz w:val="18"/>
        </w:rPr>
        <w:t>droj: šetření CVTS, ČSÚ 2017</w:t>
      </w:r>
    </w:p>
    <w:p w:rsidR="000673F4" w:rsidRPr="00871705" w:rsidRDefault="000673F4" w:rsidP="0047295C">
      <w:pPr>
        <w:pStyle w:val="Nadpis3"/>
      </w:pPr>
      <w:bookmarkStart w:id="27" w:name="_Toc490472720"/>
      <w:r>
        <w:br w:type="column"/>
      </w:r>
      <w:bookmarkStart w:id="28" w:name="_Toc501614095"/>
      <w:r w:rsidRPr="001835FE">
        <w:lastRenderedPageBreak/>
        <w:t xml:space="preserve">Analýza </w:t>
      </w:r>
      <w:r w:rsidR="004E1A07">
        <w:t xml:space="preserve">budoucích </w:t>
      </w:r>
      <w:r w:rsidRPr="001835FE">
        <w:t>vzdělávacích potřeb</w:t>
      </w:r>
      <w:bookmarkEnd w:id="27"/>
      <w:bookmarkEnd w:id="28"/>
    </w:p>
    <w:p w:rsidR="0047295C" w:rsidRDefault="0047295C" w:rsidP="0047295C">
      <w:pPr>
        <w:spacing w:after="0"/>
        <w:contextualSpacing/>
        <w:jc w:val="both"/>
      </w:pPr>
    </w:p>
    <w:p w:rsidR="000673F4" w:rsidRDefault="000673F4" w:rsidP="0047295C">
      <w:pPr>
        <w:spacing w:after="0"/>
        <w:contextualSpacing/>
        <w:jc w:val="both"/>
      </w:pPr>
      <w:r>
        <w:t xml:space="preserve">Analýzu budoucích potřebných dovedností svých zaměstnanců provádí většina firem (71 %), pětina firem hodnotí vzdělávací potřeby svých zaměstnanců pravidelně. Z firem, které v roce 2015 zajistily kurz nebo školení, provedly analýzu vzdělávacích potřeb tři čtvrtiny, </w:t>
      </w:r>
      <w:r w:rsidR="009B6DD0">
        <w:t>z toho třetina</w:t>
      </w:r>
      <w:r>
        <w:t xml:space="preserve"> analyzuj</w:t>
      </w:r>
      <w:r w:rsidR="00A16169">
        <w:t>e vzdělávací potřeby pravidelně (</w:t>
      </w:r>
      <w:r w:rsidR="00EF3498">
        <w:t>graf č. 3</w:t>
      </w:r>
      <w:r w:rsidR="00A16169">
        <w:t>).</w:t>
      </w:r>
      <w:r>
        <w:t xml:space="preserve"> Mezi pravidelné hodnotitele z ranku firem zajišťujících kurzy a školení patří zejména firmy s největším počtem zaměstnanců, naopak menší firmy (do 50 zaměstnanců) hodnotí vzdělávací potřeby spíše nepravidelně, pokud tak vůbec činí. Rozdíl je dán tím, že velké firmy častěji než menší realizují nepovinné kurzy/školení, na které je v analýze vzdělávacích potřeb patrně kladen primární důraz. Zároveň velké firmy vzhledem k počtu svých zaměstnanců a předpokládanému širšímu profesnímu záběru obvykle provádějí podrobnější kontrolní a plánovací procesy. Naproti tomu u menších firem, zejména firem spíše rodinného </w:t>
      </w:r>
      <w:r w:rsidR="003E3881">
        <w:t>typu</w:t>
      </w:r>
      <w:r>
        <w:t xml:space="preserve"> a těch s počtem do 20 zaměstnanců, může „analýza vzdělávacích potřeb“ probíhat i méně oficiální cestou. Z pravidelných hodnotitelů z firem, které v roce 2015 zajistily nějaký kurz nebo škole</w:t>
      </w:r>
      <w:r w:rsidR="000A1178">
        <w:t>ní, je nejvíce firem z oblasti P</w:t>
      </w:r>
      <w:r>
        <w:t>eněžnictví a pojišťovnictví</w:t>
      </w:r>
      <w:r w:rsidR="000A1178">
        <w:t xml:space="preserve"> (sekce K)</w:t>
      </w:r>
      <w:r>
        <w:t>. U nepravidelných hodno</w:t>
      </w:r>
      <w:r w:rsidR="000A1178">
        <w:t>titelů jsou to firmy z oblasti S</w:t>
      </w:r>
      <w:r>
        <w:t>tavebnictví</w:t>
      </w:r>
      <w:r w:rsidR="000A1178">
        <w:t xml:space="preserve"> (F)</w:t>
      </w:r>
      <w:r w:rsidR="008C3EDC">
        <w:t>.</w:t>
      </w:r>
      <w:r>
        <w:t xml:space="preserve"> Zde platí návaznost na předchozí kategorizaci – firmy z oblasti </w:t>
      </w:r>
      <w:r w:rsidR="00B13BB9">
        <w:t>P</w:t>
      </w:r>
      <w:r>
        <w:t>eněžnictví a</w:t>
      </w:r>
      <w:r w:rsidR="00F72CB2">
        <w:t> </w:t>
      </w:r>
      <w:r>
        <w:t>pojišťovnictví</w:t>
      </w:r>
      <w:r w:rsidR="00B13BB9">
        <w:t xml:space="preserve"> (K)</w:t>
      </w:r>
      <w:r>
        <w:t xml:space="preserve"> jsou nejčastěji firmy velké (s 250 a více zaměstnanci)</w:t>
      </w:r>
      <w:r w:rsidR="00045C87">
        <w:t>, s vysokou účastí zaměstnanců v nepovinných kurzech a školeních i jiných formách vzdělávání,</w:t>
      </w:r>
      <w:r>
        <w:t xml:space="preserve"> naopak </w:t>
      </w:r>
      <w:r w:rsidR="00045C87">
        <w:t xml:space="preserve">mezi </w:t>
      </w:r>
      <w:r>
        <w:t>firm</w:t>
      </w:r>
      <w:r w:rsidR="00045C87">
        <w:t>ami</w:t>
      </w:r>
      <w:r>
        <w:t xml:space="preserve"> ze</w:t>
      </w:r>
      <w:r w:rsidR="00A440CF">
        <w:t> </w:t>
      </w:r>
      <w:r>
        <w:t xml:space="preserve">stavebnictví </w:t>
      </w:r>
      <w:r w:rsidR="00B13BB9">
        <w:t xml:space="preserve">(F) </w:t>
      </w:r>
      <w:r w:rsidR="00045C87">
        <w:t>převažují menší firmy</w:t>
      </w:r>
      <w:r w:rsidR="008C3EDC">
        <w:t xml:space="preserve"> (do 20 zaměstnanců)</w:t>
      </w:r>
      <w:r w:rsidR="00045C87">
        <w:t xml:space="preserve"> s mírně podprůměrnou účastí zaměstnanců ve vzdělávání</w:t>
      </w:r>
      <w:r w:rsidR="008C3EDC">
        <w:t>.</w:t>
      </w:r>
    </w:p>
    <w:p w:rsidR="008C3EDC" w:rsidRDefault="008C3EDC" w:rsidP="0047295C">
      <w:pPr>
        <w:spacing w:after="0"/>
        <w:contextualSpacing/>
        <w:jc w:val="both"/>
      </w:pPr>
    </w:p>
    <w:p w:rsidR="000673F4" w:rsidRDefault="000673F4" w:rsidP="000673F4">
      <w:pPr>
        <w:spacing w:after="0"/>
        <w:contextualSpacing/>
        <w:jc w:val="both"/>
      </w:pPr>
      <w:r>
        <w:t xml:space="preserve">Více než polovina firem, které provádí pravidelnou analýzu </w:t>
      </w:r>
      <w:r w:rsidR="003160DE">
        <w:t xml:space="preserve">budoucích </w:t>
      </w:r>
      <w:r>
        <w:t>vzdělávacích potřeb, zároveň zajišťuje i některou z jiných forem vzdělávání než jsou kurzy a školení. Z nehodnotících firem bylo 77 % těch, které přesto kurz uskutečnily – ve velké míře se jednalo o firmy, které zajišťovaly kurzy ze zákona povinné, na</w:t>
      </w:r>
      <w:r w:rsidR="00A440CF">
        <w:t> </w:t>
      </w:r>
      <w:r>
        <w:t xml:space="preserve">které analýzu vzdělávacích potřeb spíše nepotřebují. </w:t>
      </w:r>
      <w:r w:rsidR="00A16169">
        <w:t>M</w:t>
      </w:r>
      <w:r>
        <w:t xml:space="preserve">ezi nehodnotícími firmami </w:t>
      </w:r>
      <w:r w:rsidR="00A16169">
        <w:t xml:space="preserve">jsou </w:t>
      </w:r>
      <w:r>
        <w:t xml:space="preserve">takové, které přes absenci analýzy </w:t>
      </w:r>
      <w:r w:rsidR="003160DE">
        <w:t xml:space="preserve">budoucích </w:t>
      </w:r>
      <w:r>
        <w:t>vzdělávacích potřeb uskutečnily nepovinný kurz/školení (27 %) či některou z jiných vzdělávacích forem (16 %)</w:t>
      </w:r>
      <w:r w:rsidRPr="00CC650A">
        <w:t>. U těchto</w:t>
      </w:r>
      <w:r>
        <w:t xml:space="preserve"> firem může jít o </w:t>
      </w:r>
      <w:r w:rsidR="003E3881">
        <w:t>již zavedené</w:t>
      </w:r>
      <w:r>
        <w:t xml:space="preserve"> zajišťování stejného vzdělávání, které zaměstnanci k práci potřebují, což management firmy ví a nemusí tak vzdělávací potřeby zjišťovat. Případně se může jednat o nové formy vzdělávání, které firma zkouší či dostane nabídkou od poskytovatele vzdělávání. </w:t>
      </w:r>
    </w:p>
    <w:p w:rsidR="004170C5" w:rsidRDefault="004170C5" w:rsidP="000673F4">
      <w:pPr>
        <w:spacing w:after="0"/>
        <w:contextualSpacing/>
        <w:jc w:val="both"/>
      </w:pPr>
    </w:p>
    <w:p w:rsidR="006677B8" w:rsidRDefault="004170C5" w:rsidP="00D73AB5">
      <w:pPr>
        <w:pStyle w:val="Titulek"/>
      </w:pPr>
      <w:bookmarkStart w:id="29" w:name="_Ref484437116"/>
      <w:bookmarkStart w:id="30" w:name="_Toc501615586"/>
      <w:bookmarkStart w:id="31" w:name="_Toc484437858"/>
      <w:r w:rsidRPr="00A16169">
        <w:t xml:space="preserve">Graf č. </w:t>
      </w:r>
      <w:r w:rsidR="007C3A3E">
        <w:fldChar w:fldCharType="begin"/>
      </w:r>
      <w:r w:rsidR="00C84608">
        <w:instrText xml:space="preserve"> SEQ Graf_č. \* ARABIC </w:instrText>
      </w:r>
      <w:r w:rsidR="007C3A3E">
        <w:fldChar w:fldCharType="separate"/>
      </w:r>
      <w:r w:rsidR="00476EDB">
        <w:rPr>
          <w:noProof/>
        </w:rPr>
        <w:t>3</w:t>
      </w:r>
      <w:r w:rsidR="007C3A3E">
        <w:rPr>
          <w:noProof/>
        </w:rPr>
        <w:fldChar w:fldCharType="end"/>
      </w:r>
      <w:bookmarkEnd w:id="29"/>
      <w:r w:rsidRPr="00A16169">
        <w:t xml:space="preserve">: </w:t>
      </w:r>
      <w:r w:rsidR="00A711A1" w:rsidRPr="00A16169">
        <w:t>Podíl firem poskytují</w:t>
      </w:r>
      <w:r w:rsidR="00A16169" w:rsidRPr="00A16169">
        <w:t>cích</w:t>
      </w:r>
      <w:r w:rsidR="00A711A1" w:rsidRPr="00A16169">
        <w:t xml:space="preserve"> kurzy/školení, které provádí analýzu </w:t>
      </w:r>
      <w:r w:rsidR="003160DE">
        <w:t xml:space="preserve">budoucích </w:t>
      </w:r>
      <w:r w:rsidR="00A711A1" w:rsidRPr="00A16169">
        <w:t>vzdělávacích potřeb zaměstnanců podle velikosti firmy, 2015</w:t>
      </w:r>
      <w:bookmarkEnd w:id="30"/>
      <w:r w:rsidR="00A16169">
        <w:t xml:space="preserve"> </w:t>
      </w:r>
      <w:bookmarkEnd w:id="31"/>
    </w:p>
    <w:p w:rsidR="000673F4" w:rsidRPr="00F31CE5" w:rsidRDefault="00C35689" w:rsidP="006677B8">
      <w:pPr>
        <w:rPr>
          <w:sz w:val="18"/>
        </w:rPr>
      </w:pPr>
      <w:r>
        <w:rPr>
          <w:noProof/>
        </w:rPr>
        <w:drawing>
          <wp:inline distT="0" distB="0" distL="0" distR="0" wp14:anchorId="53399FDC" wp14:editId="4C9B0152">
            <wp:extent cx="6067425" cy="2800350"/>
            <wp:effectExtent l="0" t="0" r="0" b="0"/>
            <wp:docPr id="76" name="Graf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07A3" w:rsidRDefault="00AB07A3" w:rsidP="004170C5">
      <w:pPr>
        <w:spacing w:after="0"/>
        <w:contextualSpacing/>
        <w:jc w:val="both"/>
        <w:rPr>
          <w:sz w:val="18"/>
        </w:rPr>
      </w:pPr>
    </w:p>
    <w:p w:rsidR="004170C5" w:rsidRDefault="004170C5" w:rsidP="004170C5">
      <w:pPr>
        <w:spacing w:after="0"/>
        <w:contextualSpacing/>
        <w:jc w:val="both"/>
        <w:rPr>
          <w:sz w:val="18"/>
        </w:rPr>
      </w:pPr>
      <w:r>
        <w:rPr>
          <w:sz w:val="18"/>
        </w:rPr>
        <w:t>Z</w:t>
      </w:r>
      <w:r w:rsidRPr="00F31CE5">
        <w:rPr>
          <w:sz w:val="18"/>
        </w:rPr>
        <w:t>droj: šetření CVTS, ČSÚ 2017</w:t>
      </w:r>
    </w:p>
    <w:p w:rsidR="002310CA" w:rsidRDefault="002310CA" w:rsidP="003160DE">
      <w:pPr>
        <w:pStyle w:val="Nadpis3"/>
      </w:pPr>
      <w:bookmarkStart w:id="32" w:name="_Toc490472721"/>
      <w:bookmarkStart w:id="33" w:name="_Toc501614096"/>
      <w:r w:rsidRPr="001835FE">
        <w:lastRenderedPageBreak/>
        <w:t>Organizace vzdělávání ve firmách</w:t>
      </w:r>
      <w:bookmarkEnd w:id="32"/>
      <w:bookmarkEnd w:id="33"/>
    </w:p>
    <w:p w:rsidR="00AB07A3" w:rsidRDefault="00AB07A3" w:rsidP="00AB07A3">
      <w:pPr>
        <w:spacing w:after="0"/>
        <w:contextualSpacing/>
        <w:jc w:val="both"/>
      </w:pPr>
    </w:p>
    <w:p w:rsidR="002310CA" w:rsidRDefault="002310CA" w:rsidP="00364436">
      <w:pPr>
        <w:spacing w:after="0"/>
        <w:contextualSpacing/>
        <w:jc w:val="both"/>
      </w:pPr>
      <w:r>
        <w:t>S hodnocením vzdělávacích potřeb do velké míry souvisí i způsob organizace vzdělávání v dané firmě, konkrétně pak fakt, zda má firma interně jmenovanou osobu či útvar, který za vzdělávání odpovídá. Ve</w:t>
      </w:r>
      <w:r w:rsidR="00A440CF">
        <w:t> </w:t>
      </w:r>
      <w:r>
        <w:t xml:space="preserve">většině firem (63 %) však taková osoba nebo útvar není, což souvisí s tím, že početně jsou </w:t>
      </w:r>
      <w:r w:rsidR="008B2A95">
        <w:t>nejvíce zastoupenou kategorií</w:t>
      </w:r>
      <w:r>
        <w:t xml:space="preserve"> firmy malé, které tyto specializované útvary nemívají. Naopak velké firmy disponují odpovědným pracovníkem či útvarem ve valné míře (85 %), ačkoli ve více než třetině firem má daný pracovník zároveň jinou hlavní kompetenci. Existenci a formu </w:t>
      </w:r>
      <w:r w:rsidR="0051312B">
        <w:t xml:space="preserve">fungování </w:t>
      </w:r>
      <w:r>
        <w:t xml:space="preserve">odpovědné osoby nebo útvaru mezi firmami </w:t>
      </w:r>
      <w:r w:rsidR="007D612B">
        <w:t xml:space="preserve">podle velikosti firmy </w:t>
      </w:r>
      <w:r w:rsidR="0051312B">
        <w:t>ukazuje</w:t>
      </w:r>
      <w:r>
        <w:t xml:space="preserve"> </w:t>
      </w:r>
      <w:r w:rsidR="00EF3498">
        <w:t>graf č. 4.</w:t>
      </w:r>
      <w:r>
        <w:t xml:space="preserve"> Zároveň platí, že ty firmy, které hodnotí vzdělávací potřeby pravidelně, mají s vyšší pravděpodobností i útvar či zaměstnance pověřeného organizací vzdělávání.</w:t>
      </w:r>
    </w:p>
    <w:p w:rsidR="00364436" w:rsidRDefault="00364436" w:rsidP="00364436">
      <w:pPr>
        <w:spacing w:after="0"/>
        <w:contextualSpacing/>
        <w:jc w:val="both"/>
      </w:pPr>
    </w:p>
    <w:p w:rsidR="00D73AB5" w:rsidRDefault="007D612B" w:rsidP="00AB07A3">
      <w:pPr>
        <w:pStyle w:val="Titulek"/>
      </w:pPr>
      <w:bookmarkStart w:id="34" w:name="_Ref484437195"/>
      <w:bookmarkStart w:id="35" w:name="_Toc484437859"/>
      <w:bookmarkStart w:id="36" w:name="_Toc501615587"/>
      <w:r w:rsidRPr="00362151">
        <w:t xml:space="preserve">Graf č. </w:t>
      </w:r>
      <w:r w:rsidR="007C3A3E">
        <w:fldChar w:fldCharType="begin"/>
      </w:r>
      <w:r w:rsidR="00C84608">
        <w:instrText xml:space="preserve"> SEQ Graf_č. \* ARABIC </w:instrText>
      </w:r>
      <w:r w:rsidR="007C3A3E">
        <w:fldChar w:fldCharType="separate"/>
      </w:r>
      <w:r w:rsidR="00476EDB">
        <w:rPr>
          <w:noProof/>
        </w:rPr>
        <w:t>4</w:t>
      </w:r>
      <w:r w:rsidR="007C3A3E">
        <w:rPr>
          <w:noProof/>
        </w:rPr>
        <w:fldChar w:fldCharType="end"/>
      </w:r>
      <w:bookmarkEnd w:id="34"/>
      <w:r w:rsidRPr="00362151">
        <w:t xml:space="preserve">: </w:t>
      </w:r>
      <w:r w:rsidRPr="007D612B">
        <w:t>Podíl f</w:t>
      </w:r>
      <w:r w:rsidR="005D6845" w:rsidRPr="00362151">
        <w:t xml:space="preserve">irem se zaměstnancem či útvarem </w:t>
      </w:r>
      <w:r w:rsidR="001C206D">
        <w:t xml:space="preserve">odpovědným </w:t>
      </w:r>
      <w:r w:rsidRPr="007D612B">
        <w:t>za vzdělávání zaměstnanců podle velikosti firmy</w:t>
      </w:r>
      <w:r w:rsidRPr="00362151">
        <w:t>, 2015</w:t>
      </w:r>
      <w:bookmarkEnd w:id="35"/>
      <w:bookmarkEnd w:id="36"/>
    </w:p>
    <w:p w:rsidR="003A1D51" w:rsidRDefault="00F603BA" w:rsidP="00AB07A3">
      <w:pPr>
        <w:pStyle w:val="Titulek"/>
      </w:pPr>
      <w:r>
        <w:rPr>
          <w:noProof/>
        </w:rPr>
        <w:drawing>
          <wp:inline distT="0" distB="0" distL="0" distR="0" wp14:anchorId="60C54032" wp14:editId="0A3CA5DE">
            <wp:extent cx="6120130" cy="333396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1D51" w:rsidRDefault="007D612B" w:rsidP="00362151">
      <w:pPr>
        <w:rPr>
          <w:rFonts w:eastAsia="MS Gothic"/>
          <w:b/>
          <w:bCs/>
          <w:color w:val="BC091B"/>
          <w:sz w:val="24"/>
        </w:rPr>
      </w:pPr>
      <w:r>
        <w:rPr>
          <w:sz w:val="18"/>
        </w:rPr>
        <w:t>Z</w:t>
      </w:r>
      <w:r w:rsidRPr="00F31CE5">
        <w:rPr>
          <w:sz w:val="18"/>
        </w:rPr>
        <w:t>droj: šetření CVTS, ČSÚ 2017</w:t>
      </w:r>
    </w:p>
    <w:p w:rsidR="003A1D51" w:rsidRDefault="003A1D51" w:rsidP="005C7A1C">
      <w:pPr>
        <w:spacing w:after="0"/>
        <w:jc w:val="both"/>
      </w:pPr>
      <w:r>
        <w:t xml:space="preserve">Existence </w:t>
      </w:r>
      <w:r w:rsidR="005D6845">
        <w:t xml:space="preserve">útvaru či zaměstnance </w:t>
      </w:r>
      <w:r>
        <w:t>odpovědného</w:t>
      </w:r>
      <w:r w:rsidR="005D6845" w:rsidRPr="005D6845">
        <w:t xml:space="preserve"> </w:t>
      </w:r>
      <w:r>
        <w:t>za organizaci vzdělávání zaměstnanců se liší i podle odvětví</w:t>
      </w:r>
      <w:r w:rsidRPr="005C7A1C">
        <w:t>. Nejvyšší zastoupení útvaru či osoby s danou činností je patrné v peněžnictví a pojišťovnictví</w:t>
      </w:r>
      <w:r w:rsidR="005D6845" w:rsidRPr="005C7A1C">
        <w:t xml:space="preserve"> (</w:t>
      </w:r>
      <w:r w:rsidR="000449C6">
        <w:t xml:space="preserve">sekce K; </w:t>
      </w:r>
      <w:r w:rsidR="005D6845" w:rsidRPr="005C7A1C">
        <w:t xml:space="preserve">59 %). Ve třetině případů se jedná o zaměstnance s jinou hlavní činností, ve 14 % firem v tomto odvětví je pro tuto agendu zřízen speciální útvar a </w:t>
      </w:r>
      <w:r w:rsidR="005C7A1C">
        <w:t>téměř 12 % firem má zaměstnance, jehož</w:t>
      </w:r>
      <w:r w:rsidR="005D6845" w:rsidRPr="005C7A1C">
        <w:t xml:space="preserve"> hlavní náplní práce </w:t>
      </w:r>
      <w:r w:rsidR="005C7A1C">
        <w:t xml:space="preserve">je </w:t>
      </w:r>
      <w:r w:rsidR="005D6845" w:rsidRPr="005C7A1C">
        <w:t xml:space="preserve">organizace vzdělávání. </w:t>
      </w:r>
      <w:r w:rsidR="00EB0F55" w:rsidRPr="005C7A1C">
        <w:t>Nejnižší podíl firem s takto</w:t>
      </w:r>
      <w:r w:rsidR="00EB0F55">
        <w:t xml:space="preserve"> odpovědnou osobou či útvarem vykazuje odvětví </w:t>
      </w:r>
      <w:r w:rsidR="000449C6">
        <w:t>Ubytování, stravování a</w:t>
      </w:r>
      <w:r w:rsidR="00EB0F55">
        <w:t xml:space="preserve"> pohostinství</w:t>
      </w:r>
      <w:r w:rsidR="000449C6">
        <w:t xml:space="preserve"> (I)</w:t>
      </w:r>
      <w:r w:rsidR="00EB0F55">
        <w:t>. Jen čtvrtina těchto firem měla v roce 2015 k dispozici daný útvar či osobu. Podobně</w:t>
      </w:r>
      <w:r w:rsidR="000449C6">
        <w:t xml:space="preserve"> v odvětvích D</w:t>
      </w:r>
      <w:r w:rsidR="00EB0F55">
        <w:t xml:space="preserve">oprava a skladování </w:t>
      </w:r>
      <w:r w:rsidR="000449C6">
        <w:t>(H) a O</w:t>
      </w:r>
      <w:r w:rsidR="00EB0F55">
        <w:t xml:space="preserve">bchod </w:t>
      </w:r>
      <w:r w:rsidR="000449C6">
        <w:t xml:space="preserve">(G) </w:t>
      </w:r>
      <w:r w:rsidR="00EB0F55">
        <w:t xml:space="preserve">měla </w:t>
      </w:r>
      <w:r w:rsidR="005C7A1C">
        <w:t>méně než</w:t>
      </w:r>
      <w:r w:rsidR="00EB0F55">
        <w:t xml:space="preserve"> třetina firem danou osobu či útvar (viz </w:t>
      </w:r>
      <w:r w:rsidR="00EF3498">
        <w:t>graf č. 5)</w:t>
      </w:r>
      <w:r w:rsidR="00EB0F55">
        <w:t>.</w:t>
      </w:r>
    </w:p>
    <w:p w:rsidR="00EB0F55" w:rsidRDefault="00EB0F55">
      <w:pPr>
        <w:spacing w:after="0" w:line="240" w:lineRule="auto"/>
      </w:pPr>
      <w:r>
        <w:br w:type="page"/>
      </w:r>
    </w:p>
    <w:p w:rsidR="00291B11" w:rsidRDefault="00291B11" w:rsidP="00291B11">
      <w:pPr>
        <w:pStyle w:val="Titulek"/>
      </w:pPr>
      <w:bookmarkStart w:id="37" w:name="_Ref496172046"/>
      <w:bookmarkStart w:id="38" w:name="_Toc501615588"/>
      <w:r>
        <w:lastRenderedPageBreak/>
        <w:t xml:space="preserve">Graf č. </w:t>
      </w:r>
      <w:r w:rsidR="007C3A3E">
        <w:fldChar w:fldCharType="begin"/>
      </w:r>
      <w:r w:rsidR="00C84608">
        <w:instrText xml:space="preserve"> SEQ Graf_č. \* ARABIC </w:instrText>
      </w:r>
      <w:r w:rsidR="007C3A3E">
        <w:fldChar w:fldCharType="separate"/>
      </w:r>
      <w:r w:rsidR="00476EDB">
        <w:rPr>
          <w:noProof/>
        </w:rPr>
        <w:t>5</w:t>
      </w:r>
      <w:r w:rsidR="007C3A3E">
        <w:rPr>
          <w:noProof/>
        </w:rPr>
        <w:fldChar w:fldCharType="end"/>
      </w:r>
      <w:bookmarkEnd w:id="37"/>
      <w:r>
        <w:t xml:space="preserve">: </w:t>
      </w:r>
      <w:r w:rsidRPr="007D612B">
        <w:t xml:space="preserve">Podíl firem se zaměstnancem či útvarem odpovědným za vzdělávání zaměstnanců podle </w:t>
      </w:r>
      <w:r w:rsidRPr="003A1D51">
        <w:t>odvětví firmy (</w:t>
      </w:r>
      <w:proofErr w:type="gramStart"/>
      <w:r w:rsidRPr="003A1D51">
        <w:t>CZ</w:t>
      </w:r>
      <w:proofErr w:type="gramEnd"/>
      <w:r w:rsidR="00D73AB5">
        <w:t>–</w:t>
      </w:r>
      <w:proofErr w:type="gramStart"/>
      <w:r w:rsidRPr="003A1D51">
        <w:t>NACE</w:t>
      </w:r>
      <w:proofErr w:type="gramEnd"/>
      <w:r w:rsidRPr="003A1D51">
        <w:t>), 2015</w:t>
      </w:r>
      <w:bookmarkEnd w:id="38"/>
    </w:p>
    <w:p w:rsidR="003A1D51" w:rsidRPr="007D612B" w:rsidRDefault="00C35689" w:rsidP="003A1D51">
      <w:pPr>
        <w:spacing w:after="0" w:line="240" w:lineRule="auto"/>
        <w:rPr>
          <w:rFonts w:ascii="Calibri" w:hAnsi="Calibri"/>
          <w:color w:val="000000"/>
          <w:sz w:val="22"/>
          <w:szCs w:val="22"/>
        </w:rPr>
      </w:pPr>
      <w:r>
        <w:rPr>
          <w:noProof/>
        </w:rPr>
        <w:drawing>
          <wp:inline distT="0" distB="0" distL="0" distR="0" wp14:anchorId="74231781" wp14:editId="7FF7B052">
            <wp:extent cx="6105525" cy="3495675"/>
            <wp:effectExtent l="0" t="0" r="0" b="0"/>
            <wp:docPr id="84" name="Graf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1D51" w:rsidRPr="00362151" w:rsidRDefault="003A1D51" w:rsidP="00362151">
      <w:r>
        <w:rPr>
          <w:sz w:val="18"/>
        </w:rPr>
        <w:t>Z</w:t>
      </w:r>
      <w:r w:rsidRPr="00F31CE5">
        <w:rPr>
          <w:sz w:val="18"/>
        </w:rPr>
        <w:t>droj: šetření CVTS, ČSÚ 2017</w:t>
      </w:r>
    </w:p>
    <w:p w:rsidR="00302391" w:rsidRDefault="00F44C52" w:rsidP="007549BB">
      <w:pPr>
        <w:spacing w:after="0"/>
        <w:contextualSpacing/>
        <w:jc w:val="both"/>
      </w:pPr>
      <w:r w:rsidRPr="00387EE2">
        <w:t xml:space="preserve">Zajišťování vzdělávání </w:t>
      </w:r>
      <w:r>
        <w:t xml:space="preserve">nemusí </w:t>
      </w:r>
      <w:r w:rsidRPr="00387EE2">
        <w:t>nutně souviset s tím, zda daná firma má odpovědn</w:t>
      </w:r>
      <w:r w:rsidR="0055444F">
        <w:t>ou osobu či útvar, který je za něj</w:t>
      </w:r>
      <w:r w:rsidRPr="00387EE2">
        <w:t xml:space="preserve"> </w:t>
      </w:r>
      <w:r w:rsidR="0020402B">
        <w:t>z</w:t>
      </w:r>
      <w:r w:rsidRPr="00387EE2">
        <w:t>odpovědný</w:t>
      </w:r>
      <w:r>
        <w:t xml:space="preserve"> </w:t>
      </w:r>
      <w:r w:rsidR="005C7A1C">
        <w:t>–</w:t>
      </w:r>
      <w:r w:rsidRPr="00387EE2">
        <w:t xml:space="preserve"> speciální útvar či osob</w:t>
      </w:r>
      <w:r>
        <w:t xml:space="preserve">u pověřenou organizací vzdělávání </w:t>
      </w:r>
      <w:r w:rsidRPr="00387EE2">
        <w:t xml:space="preserve">nemají téměř dvě třetiny firem, které nějakou formu vzdělávání </w:t>
      </w:r>
      <w:r>
        <w:t>poskytují</w:t>
      </w:r>
      <w:r w:rsidRPr="00387EE2">
        <w:t>.</w:t>
      </w:r>
      <w:r>
        <w:t xml:space="preserve"> Z</w:t>
      </w:r>
      <w:r w:rsidR="00EF3498">
        <w:t> grafu č. 6</w:t>
      </w:r>
      <w:r>
        <w:t xml:space="preserve"> je zřejmé, že mezi firmami, které poskytují různé formy vzdělávání, se existence útvaru či odpovědné osoby výrazně neliší. </w:t>
      </w:r>
    </w:p>
    <w:p w:rsidR="00302391" w:rsidRDefault="00302391" w:rsidP="007549BB">
      <w:pPr>
        <w:spacing w:after="0"/>
        <w:contextualSpacing/>
        <w:jc w:val="both"/>
      </w:pPr>
    </w:p>
    <w:p w:rsidR="00302391" w:rsidRDefault="00302391" w:rsidP="00302391">
      <w:pPr>
        <w:pStyle w:val="Titulek"/>
        <w:keepNext/>
      </w:pPr>
      <w:bookmarkStart w:id="39" w:name="_Ref498348656"/>
      <w:bookmarkStart w:id="40" w:name="_Toc501615589"/>
      <w:r>
        <w:t xml:space="preserve">Graf č. </w:t>
      </w:r>
      <w:r w:rsidR="00E13170">
        <w:fldChar w:fldCharType="begin"/>
      </w:r>
      <w:r w:rsidR="00E13170">
        <w:instrText xml:space="preserve"> SEQ Graf_č. \* ARABIC </w:instrText>
      </w:r>
      <w:r w:rsidR="00E13170">
        <w:fldChar w:fldCharType="separate"/>
      </w:r>
      <w:r w:rsidR="00476EDB">
        <w:rPr>
          <w:noProof/>
        </w:rPr>
        <w:t>6</w:t>
      </w:r>
      <w:r w:rsidR="00E13170">
        <w:rPr>
          <w:noProof/>
        </w:rPr>
        <w:fldChar w:fldCharType="end"/>
      </w:r>
      <w:bookmarkEnd w:id="39"/>
      <w:r>
        <w:t xml:space="preserve">: Podíl firem </w:t>
      </w:r>
      <w:r w:rsidRPr="007D612B">
        <w:t xml:space="preserve">se zaměstnancem či útvarem odpovědným za vzdělávání zaměstnanců </w:t>
      </w:r>
      <w:r>
        <w:t>podle poskytnutých forem vzdělávání, 2015</w:t>
      </w:r>
      <w:bookmarkEnd w:id="40"/>
    </w:p>
    <w:p w:rsidR="00302391" w:rsidRDefault="00F603BA" w:rsidP="007549BB">
      <w:pPr>
        <w:spacing w:after="0"/>
        <w:contextualSpacing/>
        <w:jc w:val="both"/>
      </w:pPr>
      <w:r>
        <w:rPr>
          <w:noProof/>
        </w:rPr>
        <w:drawing>
          <wp:inline distT="0" distB="0" distL="0" distR="0" wp14:anchorId="5396E91D" wp14:editId="5F79E862">
            <wp:extent cx="6105525" cy="2952750"/>
            <wp:effectExtent l="0" t="0" r="0" b="0"/>
            <wp:docPr id="85" name="Graf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41" w:name="_GoBack"/>
      <w:bookmarkEnd w:id="41"/>
    </w:p>
    <w:p w:rsidR="00302391" w:rsidRDefault="00302391" w:rsidP="00302391">
      <w:pPr>
        <w:spacing w:line="240" w:lineRule="auto"/>
        <w:rPr>
          <w:sz w:val="18"/>
        </w:rPr>
      </w:pPr>
      <w:r>
        <w:rPr>
          <w:sz w:val="18"/>
        </w:rPr>
        <w:t>Z</w:t>
      </w:r>
      <w:r w:rsidRPr="00F31CE5">
        <w:rPr>
          <w:sz w:val="18"/>
        </w:rPr>
        <w:t>droj: šetření CVTS, ČSÚ 2017</w:t>
      </w:r>
    </w:p>
    <w:p w:rsidR="00CF724F" w:rsidRDefault="00F44C52" w:rsidP="00AB2EEA">
      <w:pPr>
        <w:spacing w:after="0"/>
        <w:contextualSpacing/>
        <w:jc w:val="both"/>
      </w:pPr>
      <w:r>
        <w:lastRenderedPageBreak/>
        <w:t>Firmy, které zajišťují povinné kurzy nebo školení v 60 %</w:t>
      </w:r>
      <w:r w:rsidR="002F1DB4">
        <w:t xml:space="preserve"> případů</w:t>
      </w:r>
      <w:r>
        <w:t xml:space="preserve"> touto činností nemají nikoho pověřeného, u</w:t>
      </w:r>
      <w:r w:rsidR="00833502">
        <w:t> </w:t>
      </w:r>
      <w:r>
        <w:t>nepovinných školení a jiných forem vzdělávání se tento podíl snižuje na méně než polovinu firem. Zároveň se u nich zvyšuje podíl zaměstnanců organizujících vzdělávání, byť s jinou hla</w:t>
      </w:r>
      <w:r w:rsidR="00CF724F">
        <w:t>vní činností a velmi mírně (o</w:t>
      </w:r>
      <w:r w:rsidR="00833502">
        <w:t> </w:t>
      </w:r>
      <w:r w:rsidR="00CF724F">
        <w:t>1–</w:t>
      </w:r>
      <w:r>
        <w:t>2 %) i osob či útvarů zaměř</w:t>
      </w:r>
      <w:r w:rsidR="005C7A1C">
        <w:t>ujících se</w:t>
      </w:r>
      <w:r>
        <w:t xml:space="preserve"> přímo na vzdělávání. Tento posun je logický, osoba nebo útvar, který se o vzdělávání stará, nezajišťuje pouze samotnou organizaci kurzu (či jiného vzdělávání), ale měl by se starat i o zajišťování potřeb zaměstnanců, hodnocení vzdělávání a </w:t>
      </w:r>
      <w:r w:rsidR="00277A94">
        <w:t>související agendy</w:t>
      </w:r>
      <w:r>
        <w:t>.</w:t>
      </w:r>
    </w:p>
    <w:p w:rsidR="00AB2EEA" w:rsidRDefault="00AB2EEA" w:rsidP="00AB2EEA">
      <w:pPr>
        <w:spacing w:after="0"/>
        <w:contextualSpacing/>
        <w:jc w:val="both"/>
        <w:rPr>
          <w:sz w:val="18"/>
        </w:rPr>
      </w:pPr>
    </w:p>
    <w:p w:rsidR="00364436" w:rsidRDefault="003E3881" w:rsidP="003E3881">
      <w:pPr>
        <w:contextualSpacing/>
        <w:jc w:val="both"/>
      </w:pPr>
      <w:r>
        <w:t>Jak již bylo zmíněno v </w:t>
      </w:r>
      <w:r w:rsidR="007B41B2">
        <w:t>metodologii</w:t>
      </w:r>
      <w:r>
        <w:t xml:space="preserve">, oproti minulé vlně šetření, tedy CVTS 4, došlo k poměrně velkým úpravám v dotazníku. Zásadní změna mající vliv na velké množství výstupů nastala ve zkoumání základního ukazatele poskytování kurzů/školení. </w:t>
      </w:r>
      <w:r w:rsidRPr="003205AD">
        <w:t>V šetření CVTS 5 byl oproti předchozím vlnám kladen velký důraz na</w:t>
      </w:r>
      <w:r w:rsidR="00A440CF">
        <w:t> </w:t>
      </w:r>
      <w:r w:rsidRPr="003205AD">
        <w:t xml:space="preserve">zahrnutí </w:t>
      </w:r>
      <w:r w:rsidRPr="003205AD">
        <w:rPr>
          <w:u w:val="single"/>
        </w:rPr>
        <w:t>jakéhokoli</w:t>
      </w:r>
      <w:r w:rsidRPr="003205AD">
        <w:t xml:space="preserve"> vzdělávání poskytovaného zaměstnancům, včetně kurzů a školení povinných ze</w:t>
      </w:r>
      <w:r w:rsidR="00F72CB2">
        <w:t> </w:t>
      </w:r>
      <w:r w:rsidRPr="003205AD">
        <w:t>zákona. Přestože povinné vzdělávání bylo samozřejmě zahrnuto do šetření i v předchozích letech, v CVTS 5 došlo ke zpřesnění metodických pokynů poskytovaných respondentům i úpravě dotazníku v souladu se snahou získat co nejúplnější informace. Zároveň byl oproti předchozím vlnám šetření na národní úrovni kladen velký důraz na možnost odlišení vzdělávacích aktivit poskytovaných zaměstnancům povinně (na</w:t>
      </w:r>
      <w:r w:rsidR="00A440CF">
        <w:t> </w:t>
      </w:r>
      <w:r w:rsidRPr="003205AD">
        <w:t>základě platné legislativy) a těch, plynoucích především ze vzdělávací strategie dané firmy. Otázky kladené zvlášť na nepovinné kurzy ukazují zájem firem o vzdělávání zaměstnanců v konkrétních oblastech potřebných pro výkon svých činností, nikoliv pouze tak, jak ukládá zákon.</w:t>
      </w:r>
      <w:r w:rsidR="00302391">
        <w:t xml:space="preserve"> Je potřeba si uvědomit, že </w:t>
      </w:r>
      <w:r w:rsidR="00EF3498">
        <w:t>graf č. 7</w:t>
      </w:r>
      <w:r w:rsidR="00302391">
        <w:t xml:space="preserve"> tak nezobrazuje pouze samotný vývoj poskytování kurzů/školení firmami mezi roky 1999–2015, ale promítá se v něm i zmíněná změna metodologie. Má tudíž spíše informativní charakter a je zde uváděn pro úplnost a</w:t>
      </w:r>
      <w:r w:rsidR="00833502">
        <w:t> </w:t>
      </w:r>
      <w:r w:rsidR="00302391">
        <w:t>souvislost s dále analyzovanými ukazateli, nikoliv pro plně relevantní srovnání v čase.</w:t>
      </w:r>
    </w:p>
    <w:p w:rsidR="00364436" w:rsidRDefault="00364436" w:rsidP="00364436">
      <w:pPr>
        <w:pStyle w:val="Titulek"/>
        <w:keepNext/>
      </w:pPr>
      <w:bookmarkStart w:id="42" w:name="_Ref500941810"/>
      <w:bookmarkStart w:id="43" w:name="_Toc501615590"/>
      <w:r>
        <w:t xml:space="preserve">Graf č. </w:t>
      </w:r>
      <w:r w:rsidR="00E13170">
        <w:fldChar w:fldCharType="begin"/>
      </w:r>
      <w:r w:rsidR="00E13170">
        <w:instrText xml:space="preserve"> SEQ Graf_č. \* ARABIC </w:instrText>
      </w:r>
      <w:r w:rsidR="00E13170">
        <w:fldChar w:fldCharType="separate"/>
      </w:r>
      <w:r w:rsidR="00476EDB">
        <w:rPr>
          <w:noProof/>
        </w:rPr>
        <w:t>7</w:t>
      </w:r>
      <w:r w:rsidR="00E13170">
        <w:rPr>
          <w:noProof/>
        </w:rPr>
        <w:fldChar w:fldCharType="end"/>
      </w:r>
      <w:bookmarkEnd w:id="42"/>
      <w:r>
        <w:t>: Podíl firem poskytujících kurzy/školení podle velikosti firmy, 1999–2015</w:t>
      </w:r>
      <w:bookmarkEnd w:id="43"/>
    </w:p>
    <w:p w:rsidR="00364436" w:rsidRDefault="003E3881" w:rsidP="003E3881">
      <w:pPr>
        <w:contextualSpacing/>
        <w:jc w:val="both"/>
      </w:pPr>
      <w:r>
        <w:t xml:space="preserve"> </w:t>
      </w:r>
      <w:r w:rsidR="00FE328F">
        <w:rPr>
          <w:noProof/>
        </w:rPr>
        <w:drawing>
          <wp:inline distT="0" distB="0" distL="0" distR="0" wp14:anchorId="01F19BB9" wp14:editId="01371A53">
            <wp:extent cx="6038850" cy="2943225"/>
            <wp:effectExtent l="0" t="0" r="0" b="0"/>
            <wp:docPr id="86" name="Graf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64436" w:rsidRDefault="00364436" w:rsidP="003E3881">
      <w:pPr>
        <w:contextualSpacing/>
        <w:jc w:val="both"/>
      </w:pPr>
    </w:p>
    <w:p w:rsidR="00302391" w:rsidRDefault="00364436" w:rsidP="00302391">
      <w:pPr>
        <w:spacing w:after="0"/>
        <w:rPr>
          <w:sz w:val="18"/>
        </w:rPr>
      </w:pPr>
      <w:r>
        <w:rPr>
          <w:sz w:val="18"/>
        </w:rPr>
        <w:t>Z</w:t>
      </w:r>
      <w:r w:rsidRPr="00F31CE5">
        <w:rPr>
          <w:sz w:val="18"/>
        </w:rPr>
        <w:t>droj: šetření CVTS, ČSÚ 2017</w:t>
      </w:r>
    </w:p>
    <w:p w:rsidR="00364436" w:rsidRDefault="00364436" w:rsidP="00AB2EEA">
      <w:pPr>
        <w:spacing w:after="0"/>
        <w:ind w:firstLine="708"/>
      </w:pPr>
      <w:r w:rsidRPr="007B64CD">
        <w:rPr>
          <w:noProof/>
          <w:sz w:val="18"/>
        </w:rPr>
        <mc:AlternateContent>
          <mc:Choice Requires="wps">
            <w:drawing>
              <wp:anchor distT="0" distB="0" distL="114300" distR="114300" simplePos="0" relativeHeight="251663872" behindDoc="0" locked="0" layoutInCell="1" allowOverlap="1" wp14:anchorId="03E4EFE6" wp14:editId="00D40800">
                <wp:simplePos x="0" y="0"/>
                <wp:positionH relativeFrom="column">
                  <wp:posOffset>62230</wp:posOffset>
                </wp:positionH>
                <wp:positionV relativeFrom="paragraph">
                  <wp:posOffset>108585</wp:posOffset>
                </wp:positionV>
                <wp:extent cx="200025" cy="0"/>
                <wp:effectExtent l="0" t="19050" r="9525" b="38100"/>
                <wp:wrapNone/>
                <wp:docPr id="41" name="Přímá spojnice 1"/>
                <wp:cNvGraphicFramePr/>
                <a:graphic xmlns:a="http://schemas.openxmlformats.org/drawingml/2006/main">
                  <a:graphicData uri="http://schemas.microsoft.com/office/word/2010/wordprocessingShape">
                    <wps:wsp>
                      <wps:cNvCnPr/>
                      <wps:spPr>
                        <a:xfrm flipH="1">
                          <a:off x="0" y="0"/>
                          <a:ext cx="200025" cy="0"/>
                        </a:xfrm>
                        <a:prstGeom prst="line">
                          <a:avLst/>
                        </a:prstGeom>
                        <a:ln w="47625" cmpd="sng">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8.55pt" to="20.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" strokecolor="#c00000" strokeweight="3.75pt">
                <v:stroke dashstyle="dash"/>
              </v:line>
            </w:pict>
          </mc:Fallback>
        </mc:AlternateContent>
      </w:r>
      <w:r w:rsidRPr="007B64CD">
        <w:rPr>
          <w:sz w:val="18"/>
        </w:rPr>
        <w:t>změna metodologie</w:t>
      </w:r>
    </w:p>
    <w:p w:rsidR="00B5037B" w:rsidRDefault="00B5037B" w:rsidP="002F1DB4">
      <w:pPr>
        <w:spacing w:after="0"/>
        <w:contextualSpacing/>
        <w:jc w:val="both"/>
      </w:pPr>
    </w:p>
    <w:p w:rsidR="00302391" w:rsidRDefault="00AF7C99" w:rsidP="002F1DB4">
      <w:pPr>
        <w:spacing w:after="0"/>
        <w:contextualSpacing/>
        <w:jc w:val="both"/>
      </w:pPr>
      <w:r>
        <w:t>P</w:t>
      </w:r>
      <w:r w:rsidRPr="007D40F8">
        <w:t>odíl firem s osobou či útvarem zodpovědný</w:t>
      </w:r>
      <w:r>
        <w:t>m za vzdělávání se m</w:t>
      </w:r>
      <w:r w:rsidR="007B64CD">
        <w:t>ezi roky 2005</w:t>
      </w:r>
      <w:r w:rsidR="007B64CD" w:rsidRPr="007D40F8">
        <w:rPr>
          <w:rStyle w:val="Znakapoznpodarou"/>
          <w:rFonts w:eastAsia="MS Gothic"/>
        </w:rPr>
        <w:footnoteReference w:id="4"/>
      </w:r>
      <w:r w:rsidR="007B64CD">
        <w:t xml:space="preserve"> a 2015</w:t>
      </w:r>
      <w:r w:rsidR="002F1DB4" w:rsidRPr="007D40F8">
        <w:t xml:space="preserve"> </w:t>
      </w:r>
      <w:r w:rsidR="00B5037B">
        <w:t>příliš neměnil. V</w:t>
      </w:r>
      <w:r w:rsidR="00833502">
        <w:t> </w:t>
      </w:r>
      <w:r w:rsidR="007B64CD">
        <w:t>rámci</w:t>
      </w:r>
      <w:r w:rsidR="002F1DB4" w:rsidRPr="007D40F8">
        <w:t> poslední</w:t>
      </w:r>
      <w:r w:rsidR="007B64CD">
        <w:t>ho</w:t>
      </w:r>
      <w:r w:rsidR="002F1DB4" w:rsidRPr="007D40F8">
        <w:t xml:space="preserve"> šetření </w:t>
      </w:r>
      <w:r w:rsidR="007B64CD">
        <w:t xml:space="preserve">vzrostl </w:t>
      </w:r>
      <w:r w:rsidR="004F2E3C" w:rsidRPr="007D40F8">
        <w:t>na 37 %</w:t>
      </w:r>
      <w:r w:rsidR="002F1DB4" w:rsidRPr="007D40F8">
        <w:t>.</w:t>
      </w:r>
    </w:p>
    <w:p w:rsidR="00302391" w:rsidRDefault="00302391">
      <w:pPr>
        <w:spacing w:after="0" w:line="240" w:lineRule="auto"/>
      </w:pPr>
      <w:r>
        <w:br w:type="page"/>
      </w:r>
    </w:p>
    <w:p w:rsidR="00690683" w:rsidRDefault="00291B11" w:rsidP="004F2E3C">
      <w:pPr>
        <w:pStyle w:val="Titulek"/>
      </w:pPr>
      <w:bookmarkStart w:id="44" w:name="_Toc501615591"/>
      <w:r w:rsidRPr="007D40F8">
        <w:lastRenderedPageBreak/>
        <w:t xml:space="preserve">Graf č. </w:t>
      </w:r>
      <w:r w:rsidR="007C3A3E" w:rsidRPr="007D40F8">
        <w:fldChar w:fldCharType="begin"/>
      </w:r>
      <w:r w:rsidR="00C1214F" w:rsidRPr="007D40F8">
        <w:instrText xml:space="preserve"> SEQ Graf_č. \* ARABIC </w:instrText>
      </w:r>
      <w:r w:rsidR="007C3A3E" w:rsidRPr="007D40F8">
        <w:fldChar w:fldCharType="separate"/>
      </w:r>
      <w:r w:rsidR="00476EDB">
        <w:rPr>
          <w:noProof/>
        </w:rPr>
        <w:t>8</w:t>
      </w:r>
      <w:r w:rsidR="007C3A3E" w:rsidRPr="007D40F8">
        <w:rPr>
          <w:noProof/>
        </w:rPr>
        <w:fldChar w:fldCharType="end"/>
      </w:r>
      <w:r w:rsidRPr="007D40F8">
        <w:t>: Podíl firem, v nichž existovala osoba nebo útvar odpovědný za organizaci vzdělávání</w:t>
      </w:r>
      <w:r w:rsidR="00E875F2">
        <w:t xml:space="preserve"> podle velikosti firmy</w:t>
      </w:r>
      <w:r w:rsidR="004F2E3C" w:rsidRPr="007D40F8">
        <w:t>, 2005–2015</w:t>
      </w:r>
      <w:bookmarkEnd w:id="44"/>
    </w:p>
    <w:p w:rsidR="004F2E3C" w:rsidRPr="004F2E3C" w:rsidRDefault="00FE328F" w:rsidP="004F2E3C">
      <w:pPr>
        <w:pStyle w:val="Titulek"/>
        <w:rPr>
          <w:highlight w:val="yellow"/>
        </w:rPr>
      </w:pPr>
      <w:r>
        <w:rPr>
          <w:noProof/>
        </w:rPr>
        <w:drawing>
          <wp:inline distT="0" distB="0" distL="0" distR="0" wp14:anchorId="744BFA78" wp14:editId="796F794E">
            <wp:extent cx="6057900" cy="2581275"/>
            <wp:effectExtent l="0" t="0" r="0" b="0"/>
            <wp:docPr id="87" name="Graf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64436" w:rsidRDefault="00E160F1" w:rsidP="002F1DB4">
      <w:pPr>
        <w:spacing w:after="0"/>
        <w:contextualSpacing/>
        <w:jc w:val="both"/>
        <w:rPr>
          <w:sz w:val="18"/>
        </w:rPr>
      </w:pPr>
      <w:r w:rsidRPr="004F2E3C">
        <w:rPr>
          <w:sz w:val="18"/>
        </w:rPr>
        <w:t>Z</w:t>
      </w:r>
      <w:r w:rsidR="002F1DB4" w:rsidRPr="004F2E3C">
        <w:rPr>
          <w:sz w:val="18"/>
        </w:rPr>
        <w:t>droj: šetření CVTS, ČSÚ 2017</w:t>
      </w:r>
    </w:p>
    <w:p w:rsidR="00364436" w:rsidRPr="00C1214F" w:rsidRDefault="00364436" w:rsidP="002F1DB4">
      <w:pPr>
        <w:spacing w:after="0"/>
        <w:contextualSpacing/>
        <w:jc w:val="both"/>
        <w:rPr>
          <w:highlight w:val="yellow"/>
        </w:rPr>
      </w:pPr>
    </w:p>
    <w:p w:rsidR="00291B11" w:rsidRPr="007D40F8" w:rsidRDefault="00291B11" w:rsidP="00291B11">
      <w:pPr>
        <w:pStyle w:val="Titulek"/>
        <w:keepNext/>
      </w:pPr>
      <w:bookmarkStart w:id="45" w:name="_Toc501615592"/>
      <w:r w:rsidRPr="007D40F8">
        <w:t xml:space="preserve">Graf č. </w:t>
      </w:r>
      <w:r w:rsidR="007C3A3E" w:rsidRPr="007D40F8">
        <w:fldChar w:fldCharType="begin"/>
      </w:r>
      <w:r w:rsidR="00C1214F" w:rsidRPr="007D40F8">
        <w:instrText xml:space="preserve"> SEQ Graf_č. \* ARABIC </w:instrText>
      </w:r>
      <w:r w:rsidR="007C3A3E" w:rsidRPr="007D40F8">
        <w:fldChar w:fldCharType="separate"/>
      </w:r>
      <w:r w:rsidR="00476EDB">
        <w:rPr>
          <w:noProof/>
        </w:rPr>
        <w:t>9</w:t>
      </w:r>
      <w:r w:rsidR="007C3A3E" w:rsidRPr="007D40F8">
        <w:rPr>
          <w:noProof/>
        </w:rPr>
        <w:fldChar w:fldCharType="end"/>
      </w:r>
      <w:r w:rsidRPr="007D40F8">
        <w:t xml:space="preserve">: </w:t>
      </w:r>
      <w:r w:rsidR="004E1550" w:rsidRPr="007D40F8">
        <w:t>Podíl firem, které při plánování vzdělávání vytvořily písemný vzdělávací plán</w:t>
      </w:r>
      <w:r w:rsidR="00E875F2">
        <w:t xml:space="preserve"> podle velikosti firmy</w:t>
      </w:r>
      <w:r w:rsidR="00A5735A" w:rsidRPr="007D40F8">
        <w:t>, 1999</w:t>
      </w:r>
      <w:r w:rsidR="00551C2D" w:rsidRPr="007D40F8">
        <w:t>–2015</w:t>
      </w:r>
      <w:bookmarkEnd w:id="45"/>
    </w:p>
    <w:p w:rsidR="00551C2D" w:rsidRDefault="00FE328F" w:rsidP="00551C2D">
      <w:pPr>
        <w:rPr>
          <w:rFonts w:cs="Arial"/>
          <w:highlight w:val="yellow"/>
        </w:rPr>
      </w:pPr>
      <w:r>
        <w:rPr>
          <w:noProof/>
        </w:rPr>
        <w:drawing>
          <wp:inline distT="0" distB="0" distL="0" distR="0" wp14:anchorId="63A3C056" wp14:editId="2B52808B">
            <wp:extent cx="6000750" cy="2914650"/>
            <wp:effectExtent l="0" t="0" r="0" b="0"/>
            <wp:docPr id="88" name="Graf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F2AA7" w:rsidRDefault="00E160F1" w:rsidP="00AF2AA7">
      <w:pPr>
        <w:spacing w:after="0"/>
        <w:contextualSpacing/>
        <w:jc w:val="both"/>
        <w:rPr>
          <w:sz w:val="18"/>
        </w:rPr>
      </w:pPr>
      <w:r w:rsidRPr="007D40F8">
        <w:rPr>
          <w:sz w:val="18"/>
        </w:rPr>
        <w:t>Zdroj: šetření CVTS, ČSÚ 2017</w:t>
      </w:r>
      <w:bookmarkStart w:id="46" w:name="_Toc490472723"/>
    </w:p>
    <w:p w:rsidR="00302391" w:rsidRPr="007D40F8" w:rsidRDefault="00302391" w:rsidP="00AF2AA7">
      <w:pPr>
        <w:spacing w:after="0"/>
        <w:contextualSpacing/>
        <w:jc w:val="both"/>
        <w:rPr>
          <w:sz w:val="18"/>
        </w:rPr>
      </w:pPr>
    </w:p>
    <w:p w:rsidR="0034556C" w:rsidRPr="007D40F8" w:rsidRDefault="00D92A63" w:rsidP="00CA0FFC">
      <w:pPr>
        <w:jc w:val="both"/>
        <w:rPr>
          <w:rFonts w:cs="Arial"/>
        </w:rPr>
      </w:pPr>
      <w:r>
        <w:rPr>
          <w:rFonts w:cs="Arial"/>
        </w:rPr>
        <w:t xml:space="preserve">Firmy se liší také v přístupu k plánování koncepce vzdělávání. Předem vzdělávání </w:t>
      </w:r>
      <w:r w:rsidR="00EB6698">
        <w:rPr>
          <w:rFonts w:cs="Arial"/>
        </w:rPr>
        <w:t xml:space="preserve">v roce 2015 </w:t>
      </w:r>
      <w:r>
        <w:rPr>
          <w:rFonts w:cs="Arial"/>
        </w:rPr>
        <w:t>plán</w:t>
      </w:r>
      <w:r w:rsidR="00EB6698">
        <w:rPr>
          <w:rFonts w:cs="Arial"/>
        </w:rPr>
        <w:t>ovala</w:t>
      </w:r>
      <w:r>
        <w:rPr>
          <w:rFonts w:cs="Arial"/>
        </w:rPr>
        <w:t xml:space="preserve"> více než polovina firem (53 %;</w:t>
      </w:r>
      <w:r w:rsidR="00AC12CC">
        <w:rPr>
          <w:rFonts w:cs="Arial"/>
        </w:rPr>
        <w:t xml:space="preserve"> </w:t>
      </w:r>
      <w:r w:rsidR="00AC12CC" w:rsidRPr="00847D1C">
        <w:rPr>
          <w:rFonts w:cs="Arial"/>
          <w:color w:val="0070C0"/>
          <w:u w:val="single"/>
        </w:rPr>
        <w:fldChar w:fldCharType="begin"/>
      </w:r>
      <w:r w:rsidR="00AC12CC" w:rsidRPr="00847D1C">
        <w:rPr>
          <w:rFonts w:cs="Arial"/>
          <w:color w:val="0070C0"/>
          <w:u w:val="single"/>
        </w:rPr>
        <w:instrText xml:space="preserve"> REF _Ref500420021 \h </w:instrText>
      </w:r>
      <w:r w:rsidR="00847D1C">
        <w:rPr>
          <w:rFonts w:cs="Arial"/>
          <w:color w:val="0070C0"/>
          <w:u w:val="single"/>
        </w:rPr>
        <w:instrText xml:space="preserve"> \* MERGEFORMAT </w:instrText>
      </w:r>
      <w:r w:rsidR="00AC12CC" w:rsidRPr="00847D1C">
        <w:rPr>
          <w:rFonts w:cs="Arial"/>
          <w:color w:val="0070C0"/>
          <w:u w:val="single"/>
        </w:rPr>
      </w:r>
      <w:r w:rsidR="00AC12CC" w:rsidRPr="00847D1C">
        <w:rPr>
          <w:rFonts w:cs="Arial"/>
          <w:color w:val="0070C0"/>
          <w:u w:val="single"/>
        </w:rPr>
        <w:fldChar w:fldCharType="separate"/>
      </w:r>
      <w:r w:rsidR="00476EDB" w:rsidRPr="00476EDB">
        <w:rPr>
          <w:color w:val="0070C0"/>
          <w:u w:val="single"/>
        </w:rPr>
        <w:t xml:space="preserve">Graf č. </w:t>
      </w:r>
      <w:r w:rsidR="00476EDB" w:rsidRPr="00476EDB">
        <w:rPr>
          <w:noProof/>
          <w:color w:val="0070C0"/>
          <w:u w:val="single"/>
        </w:rPr>
        <w:t>13</w:t>
      </w:r>
      <w:r w:rsidR="00AC12CC" w:rsidRPr="00847D1C">
        <w:rPr>
          <w:rFonts w:cs="Arial"/>
          <w:color w:val="0070C0"/>
          <w:u w:val="single"/>
        </w:rPr>
        <w:fldChar w:fldCharType="end"/>
      </w:r>
      <w:r>
        <w:rPr>
          <w:rFonts w:cs="Arial"/>
        </w:rPr>
        <w:t xml:space="preserve">). </w:t>
      </w:r>
      <w:r w:rsidR="004E1550" w:rsidRPr="007D40F8">
        <w:rPr>
          <w:rFonts w:cs="Arial"/>
        </w:rPr>
        <w:t>P</w:t>
      </w:r>
      <w:r w:rsidR="001E6CC7" w:rsidRPr="007D40F8">
        <w:rPr>
          <w:rFonts w:cs="Arial"/>
        </w:rPr>
        <w:t xml:space="preserve">odíl firem, kde plánování </w:t>
      </w:r>
      <w:r w:rsidR="004E1550" w:rsidRPr="007D40F8">
        <w:rPr>
          <w:rFonts w:cs="Arial"/>
        </w:rPr>
        <w:t xml:space="preserve">vzdělávání </w:t>
      </w:r>
      <w:r w:rsidR="0034556C" w:rsidRPr="007D40F8">
        <w:rPr>
          <w:rFonts w:cs="Arial"/>
        </w:rPr>
        <w:t>vyústilo</w:t>
      </w:r>
      <w:r w:rsidR="001E6CC7" w:rsidRPr="007D40F8">
        <w:rPr>
          <w:rFonts w:cs="Arial"/>
        </w:rPr>
        <w:t xml:space="preserve"> ve vytvoření písemného vzdělávacího plánu</w:t>
      </w:r>
      <w:r w:rsidR="0034556C" w:rsidRPr="007D40F8">
        <w:rPr>
          <w:rFonts w:cs="Arial"/>
        </w:rPr>
        <w:t>,</w:t>
      </w:r>
      <w:r w:rsidR="001E6CC7" w:rsidRPr="007D40F8">
        <w:rPr>
          <w:rFonts w:cs="Arial"/>
        </w:rPr>
        <w:t xml:space="preserve"> </w:t>
      </w:r>
      <w:r w:rsidR="004E1550" w:rsidRPr="007D40F8">
        <w:rPr>
          <w:rFonts w:cs="Arial"/>
        </w:rPr>
        <w:t xml:space="preserve">byl nejvyšší při CVTS 2 – za referenční rok </w:t>
      </w:r>
      <w:r w:rsidR="00A5735A" w:rsidRPr="007D40F8">
        <w:rPr>
          <w:rFonts w:cs="Arial"/>
        </w:rPr>
        <w:t>1999</w:t>
      </w:r>
      <w:r w:rsidR="00FE328F">
        <w:rPr>
          <w:rFonts w:cs="Arial"/>
        </w:rPr>
        <w:t xml:space="preserve"> (24</w:t>
      </w:r>
      <w:r w:rsidR="004E1550" w:rsidRPr="007D40F8">
        <w:rPr>
          <w:rFonts w:cs="Arial"/>
        </w:rPr>
        <w:t xml:space="preserve"> %). </w:t>
      </w:r>
      <w:r w:rsidR="0034556C" w:rsidRPr="007D40F8">
        <w:rPr>
          <w:rFonts w:cs="Arial"/>
        </w:rPr>
        <w:t xml:space="preserve">Od té doby se drží okolo 20 %. Velký nárůst tohoto podílu za sledované období je patrný u firem s nejvíce zaměstnanci, zatímco v roce </w:t>
      </w:r>
      <w:r w:rsidR="00AE5CE1" w:rsidRPr="007D40F8">
        <w:rPr>
          <w:rFonts w:cs="Arial"/>
        </w:rPr>
        <w:t>1999</w:t>
      </w:r>
      <w:r w:rsidR="0034556C" w:rsidRPr="007D40F8">
        <w:rPr>
          <w:rFonts w:cs="Arial"/>
        </w:rPr>
        <w:t xml:space="preserve"> vytvořilo písemný vzdělávací plán polovina z těchto firem, v roce 2015 jich bylo již 75 %. Jak již bylo řečeno výše, poskytování vzdělávacích aktivit roste s velikostí firmy (</w:t>
      </w:r>
      <w:r w:rsidR="00471807" w:rsidRPr="00CD601F">
        <w:rPr>
          <w:color w:val="0070C0"/>
          <w:u w:val="single"/>
        </w:rPr>
        <w:fldChar w:fldCharType="begin"/>
      </w:r>
      <w:r w:rsidR="00471807" w:rsidRPr="00CD601F">
        <w:rPr>
          <w:color w:val="0070C0"/>
          <w:u w:val="single"/>
        </w:rPr>
        <w:instrText xml:space="preserve"> REF _Ref484603462 \h  \* MERGEFORMAT </w:instrText>
      </w:r>
      <w:r w:rsidR="00471807" w:rsidRPr="00CD601F">
        <w:rPr>
          <w:color w:val="0070C0"/>
          <w:u w:val="single"/>
        </w:rPr>
      </w:r>
      <w:r w:rsidR="00471807" w:rsidRPr="00CD601F">
        <w:rPr>
          <w:color w:val="0070C0"/>
          <w:u w:val="single"/>
        </w:rPr>
        <w:fldChar w:fldCharType="separate"/>
      </w:r>
      <w:r w:rsidR="00476EDB" w:rsidRPr="00476EDB">
        <w:rPr>
          <w:color w:val="0070C0"/>
          <w:u w:val="single"/>
        </w:rPr>
        <w:t>Graf č. 2</w:t>
      </w:r>
      <w:r w:rsidR="00471807" w:rsidRPr="00CD601F">
        <w:rPr>
          <w:color w:val="0070C0"/>
          <w:u w:val="single"/>
        </w:rPr>
        <w:fldChar w:fldCharType="end"/>
      </w:r>
      <w:r w:rsidR="0034556C" w:rsidRPr="007D40F8">
        <w:rPr>
          <w:rFonts w:cs="Arial"/>
        </w:rPr>
        <w:t xml:space="preserve">) a plán v písemné podobě umožní </w:t>
      </w:r>
      <w:r w:rsidR="004B1865" w:rsidRPr="007D40F8">
        <w:rPr>
          <w:rFonts w:cs="Arial"/>
        </w:rPr>
        <w:t xml:space="preserve">firmám </w:t>
      </w:r>
      <w:r w:rsidR="00AE5CE1" w:rsidRPr="007D40F8">
        <w:rPr>
          <w:rFonts w:cs="Arial"/>
        </w:rPr>
        <w:t>s</w:t>
      </w:r>
      <w:r w:rsidR="004B1865" w:rsidRPr="007D40F8">
        <w:rPr>
          <w:rFonts w:cs="Arial"/>
        </w:rPr>
        <w:t> velkým počtem zaměstnanců</w:t>
      </w:r>
      <w:r w:rsidR="0034556C" w:rsidRPr="007D40F8">
        <w:rPr>
          <w:rFonts w:cs="Arial"/>
        </w:rPr>
        <w:t xml:space="preserve"> lepší organizaci, efektivitu a</w:t>
      </w:r>
      <w:r w:rsidR="00833502">
        <w:rPr>
          <w:rFonts w:cs="Arial"/>
        </w:rPr>
        <w:t> </w:t>
      </w:r>
      <w:r w:rsidR="0034556C" w:rsidRPr="007D40F8">
        <w:rPr>
          <w:rFonts w:cs="Arial"/>
        </w:rPr>
        <w:t xml:space="preserve">systematičnost </w:t>
      </w:r>
      <w:r w:rsidR="004B1865" w:rsidRPr="007D40F8">
        <w:rPr>
          <w:rFonts w:cs="Arial"/>
        </w:rPr>
        <w:t xml:space="preserve">v poskytování </w:t>
      </w:r>
      <w:r w:rsidR="0034556C" w:rsidRPr="007D40F8">
        <w:rPr>
          <w:rFonts w:cs="Arial"/>
        </w:rPr>
        <w:t>vzdělávání.</w:t>
      </w:r>
    </w:p>
    <w:p w:rsidR="006B03DF" w:rsidRPr="00E01245" w:rsidRDefault="00AF2AA7" w:rsidP="00CA0FFC">
      <w:pPr>
        <w:pStyle w:val="Nadpis4"/>
        <w:spacing w:after="120"/>
      </w:pPr>
      <w:bookmarkStart w:id="47" w:name="_Toc501614097"/>
      <w:r>
        <w:lastRenderedPageBreak/>
        <w:t>R</w:t>
      </w:r>
      <w:r w:rsidR="006B03DF" w:rsidRPr="00775D6B">
        <w:t>eakce</w:t>
      </w:r>
      <w:r w:rsidR="006B03DF">
        <w:t xml:space="preserve"> firem</w:t>
      </w:r>
      <w:r w:rsidR="006B03DF" w:rsidRPr="00775D6B">
        <w:t xml:space="preserve"> na zjištění absence nebo deficitu znalostí a dovedností zaměstnanců</w:t>
      </w:r>
      <w:bookmarkEnd w:id="46"/>
      <w:bookmarkEnd w:id="47"/>
    </w:p>
    <w:p w:rsidR="003E2DBD" w:rsidRDefault="00B45AAB" w:rsidP="00364436">
      <w:pPr>
        <w:spacing w:after="0"/>
        <w:contextualSpacing/>
        <w:jc w:val="both"/>
      </w:pPr>
      <w:r>
        <w:t>Více než</w:t>
      </w:r>
      <w:r w:rsidR="003F107B">
        <w:t xml:space="preserve"> p</w:t>
      </w:r>
      <w:r w:rsidR="006B03DF">
        <w:t xml:space="preserve">olovina šetřených firem </w:t>
      </w:r>
      <w:r w:rsidR="003F107B">
        <w:t>(</w:t>
      </w:r>
      <w:r>
        <w:t>53</w:t>
      </w:r>
      <w:r w:rsidR="003F107B">
        <w:t xml:space="preserve"> %) </w:t>
      </w:r>
      <w:r w:rsidR="006B03DF">
        <w:t>deklaruje, že na zjištění nedostatečnosti stávajících znalostí a</w:t>
      </w:r>
      <w:r w:rsidR="00A440CF">
        <w:t> </w:t>
      </w:r>
      <w:r w:rsidR="006B03DF">
        <w:t xml:space="preserve">dovedností zaměstnanců reaguje zajištěním potřebného vzdělávání. Většina z nich jsou samozřejmě firmy, které v roce 2015 nějaký vzdělávací kurz či školení uskutečnily, ale objevují se i firmy (16 %), které s obecným tvrzením </w:t>
      </w:r>
      <w:r w:rsidR="00EB6698">
        <w:t xml:space="preserve">o poskytování vzdělávání v případě nedostatečné kompetence zaměstnanců </w:t>
      </w:r>
      <w:r w:rsidR="006B03DF">
        <w:t xml:space="preserve">souhlasí, ačkoli žádný kurz ve zkoumaném roce neuskutečnily. </w:t>
      </w:r>
      <w:r w:rsidR="007D40F8">
        <w:t xml:space="preserve">Třetina firem (32 %) neposkytujících nepovinné kurzy vyjádřila, že by deficit ve znalostech a dovednostech zaměstnanců řešila zajištěním potřebného vzdělávání. </w:t>
      </w:r>
      <w:r w:rsidR="006B03DF">
        <w:t>Z hlediska velikosti firem nejvyšší míru souhlasu s tímto výrokem uváděly velké firmy (s 250 a více zaměstnanci, 86 %) a z hlediska odvětví</w:t>
      </w:r>
      <w:r w:rsidR="00B13BB9">
        <w:t xml:space="preserve"> podnikání pak firmy v oblasti P</w:t>
      </w:r>
      <w:r w:rsidR="006B03DF">
        <w:t xml:space="preserve">eněžnictví a </w:t>
      </w:r>
      <w:r w:rsidR="00354505">
        <w:t>pojišťovnictví (sekce K;</w:t>
      </w:r>
      <w:r w:rsidR="0051312B">
        <w:t xml:space="preserve"> 78</w:t>
      </w:r>
      <w:r w:rsidR="006B03DF">
        <w:t xml:space="preserve"> %). Další možné reakce na zjištění skutečnosti, že stávající zaměstnanci nemají potřebné znalosti a</w:t>
      </w:r>
      <w:r w:rsidR="00A440CF">
        <w:t> </w:t>
      </w:r>
      <w:r w:rsidR="006B03DF">
        <w:t xml:space="preserve">dovednosti ukazuje </w:t>
      </w:r>
      <w:r w:rsidR="00EF3498">
        <w:t>tabulka č. 1.,</w:t>
      </w:r>
      <w:r w:rsidR="00EB6698">
        <w:t xml:space="preserve"> která dále uvádí četnosti jednotlivých reakcí.</w:t>
      </w:r>
    </w:p>
    <w:p w:rsidR="00364436" w:rsidRDefault="00364436" w:rsidP="00364436">
      <w:pPr>
        <w:spacing w:after="0"/>
        <w:contextualSpacing/>
        <w:jc w:val="both"/>
      </w:pPr>
    </w:p>
    <w:p w:rsidR="00291B11" w:rsidRDefault="00291B11" w:rsidP="00291B11">
      <w:pPr>
        <w:pStyle w:val="Titulek"/>
      </w:pPr>
      <w:bookmarkStart w:id="48" w:name="_Ref496172418"/>
      <w:bookmarkStart w:id="49" w:name="_Toc496079842"/>
      <w:r>
        <w:t xml:space="preserve">Tabulka č. </w:t>
      </w:r>
      <w:r w:rsidR="007C3A3E">
        <w:fldChar w:fldCharType="begin"/>
      </w:r>
      <w:r w:rsidR="00C84608">
        <w:instrText xml:space="preserve"> SEQ Tabulka \* ARABIC </w:instrText>
      </w:r>
      <w:r w:rsidR="007C3A3E">
        <w:fldChar w:fldCharType="separate"/>
      </w:r>
      <w:r w:rsidR="00476EDB">
        <w:rPr>
          <w:noProof/>
        </w:rPr>
        <w:t>1</w:t>
      </w:r>
      <w:r w:rsidR="007C3A3E">
        <w:rPr>
          <w:noProof/>
        </w:rPr>
        <w:fldChar w:fldCharType="end"/>
      </w:r>
      <w:bookmarkEnd w:id="48"/>
      <w:r>
        <w:t xml:space="preserve">: </w:t>
      </w:r>
      <w:r w:rsidRPr="00E160F1">
        <w:t>Podíl firem obvykle reagujících d</w:t>
      </w:r>
      <w:r w:rsidR="00DB25B0">
        <w:t xml:space="preserve">aným způsobem na nedostatečnost </w:t>
      </w:r>
      <w:r w:rsidRPr="00E160F1">
        <w:t>stávajících znalostí či dovedností zaměstnanců podle velikosti firmy, 2015</w:t>
      </w:r>
      <w:bookmarkEnd w:id="49"/>
    </w:p>
    <w:p w:rsidR="0082731F" w:rsidRPr="008C4159" w:rsidRDefault="0082731F" w:rsidP="0082731F">
      <w:pPr>
        <w:spacing w:after="0"/>
        <w:ind w:right="140"/>
        <w:jc w:val="right"/>
        <w:rPr>
          <w:b/>
        </w:rPr>
      </w:pPr>
      <w:r w:rsidRPr="008C4159">
        <w:rPr>
          <w:b/>
        </w:rPr>
        <w:t>%</w:t>
      </w:r>
    </w:p>
    <w:tbl>
      <w:tblPr>
        <w:tblW w:w="9540" w:type="dxa"/>
        <w:tblInd w:w="55" w:type="dxa"/>
        <w:tblCellMar>
          <w:left w:w="70" w:type="dxa"/>
          <w:right w:w="70" w:type="dxa"/>
        </w:tblCellMar>
        <w:tblLook w:val="04A0" w:firstRow="1" w:lastRow="0" w:firstColumn="1" w:lastColumn="0" w:noHBand="0" w:noVBand="1"/>
      </w:tblPr>
      <w:tblGrid>
        <w:gridCol w:w="3398"/>
        <w:gridCol w:w="940"/>
        <w:gridCol w:w="1281"/>
        <w:gridCol w:w="1320"/>
        <w:gridCol w:w="1281"/>
        <w:gridCol w:w="1320"/>
      </w:tblGrid>
      <w:tr w:rsidR="00E160F1" w:rsidRPr="00E160F1" w:rsidTr="00E160F1">
        <w:trPr>
          <w:trHeight w:val="255"/>
        </w:trPr>
        <w:tc>
          <w:tcPr>
            <w:tcW w:w="3439" w:type="dxa"/>
            <w:vMerge w:val="restart"/>
            <w:tcBorders>
              <w:top w:val="single" w:sz="4" w:space="0" w:color="auto"/>
              <w:left w:val="nil"/>
              <w:bottom w:val="single" w:sz="4" w:space="0" w:color="auto"/>
              <w:right w:val="single" w:sz="4" w:space="0" w:color="auto"/>
            </w:tcBorders>
            <w:shd w:val="clear" w:color="000000" w:fill="F2DCDB"/>
            <w:vAlign w:val="center"/>
            <w:hideMark/>
          </w:tcPr>
          <w:p w:rsidR="00E160F1" w:rsidRPr="00E160F1" w:rsidRDefault="00E160F1" w:rsidP="00E160F1">
            <w:pPr>
              <w:spacing w:after="0" w:line="240" w:lineRule="auto"/>
              <w:jc w:val="center"/>
              <w:rPr>
                <w:rFonts w:cs="Arial"/>
                <w:b/>
                <w:sz w:val="18"/>
                <w:szCs w:val="18"/>
              </w:rPr>
            </w:pPr>
            <w:r w:rsidRPr="00E160F1">
              <w:rPr>
                <w:rFonts w:cs="Arial"/>
                <w:b/>
                <w:sz w:val="18"/>
                <w:szCs w:val="18"/>
              </w:rPr>
              <w:t xml:space="preserve">Způsob reakce </w:t>
            </w:r>
          </w:p>
        </w:tc>
        <w:tc>
          <w:tcPr>
            <w:tcW w:w="940" w:type="dxa"/>
            <w:vMerge w:val="restart"/>
            <w:tcBorders>
              <w:top w:val="single" w:sz="4" w:space="0" w:color="auto"/>
              <w:left w:val="single" w:sz="4" w:space="0" w:color="auto"/>
              <w:bottom w:val="single" w:sz="4" w:space="0" w:color="auto"/>
              <w:right w:val="single" w:sz="4" w:space="0" w:color="auto"/>
            </w:tcBorders>
            <w:shd w:val="clear" w:color="000000" w:fill="F2DCDB"/>
            <w:vAlign w:val="center"/>
            <w:hideMark/>
          </w:tcPr>
          <w:p w:rsidR="00E160F1" w:rsidRPr="00E160F1" w:rsidRDefault="0082731F" w:rsidP="00E160F1">
            <w:pPr>
              <w:spacing w:after="0" w:line="240" w:lineRule="auto"/>
              <w:jc w:val="center"/>
              <w:rPr>
                <w:rFonts w:cs="Arial"/>
                <w:b/>
                <w:bCs/>
                <w:sz w:val="18"/>
                <w:szCs w:val="18"/>
              </w:rPr>
            </w:pPr>
            <w:r>
              <w:rPr>
                <w:rFonts w:cs="Arial"/>
                <w:b/>
                <w:bCs/>
                <w:sz w:val="18"/>
                <w:szCs w:val="18"/>
              </w:rPr>
              <w:t>celkem</w:t>
            </w:r>
          </w:p>
        </w:tc>
        <w:tc>
          <w:tcPr>
            <w:tcW w:w="5161" w:type="dxa"/>
            <w:gridSpan w:val="4"/>
            <w:tcBorders>
              <w:top w:val="single" w:sz="4" w:space="0" w:color="auto"/>
              <w:left w:val="nil"/>
              <w:bottom w:val="single" w:sz="4" w:space="0" w:color="auto"/>
              <w:right w:val="nil"/>
            </w:tcBorders>
            <w:shd w:val="clear" w:color="000000" w:fill="F2DCDB"/>
            <w:vAlign w:val="bottom"/>
            <w:hideMark/>
          </w:tcPr>
          <w:p w:rsidR="00E160F1" w:rsidRPr="00E160F1" w:rsidRDefault="0082731F" w:rsidP="00E160F1">
            <w:pPr>
              <w:spacing w:after="0" w:line="240" w:lineRule="auto"/>
              <w:jc w:val="center"/>
              <w:rPr>
                <w:rFonts w:cs="Arial"/>
                <w:b/>
                <w:bCs/>
                <w:sz w:val="18"/>
                <w:szCs w:val="18"/>
              </w:rPr>
            </w:pPr>
            <w:r>
              <w:rPr>
                <w:rFonts w:cs="Arial"/>
                <w:b/>
                <w:bCs/>
                <w:sz w:val="18"/>
                <w:szCs w:val="18"/>
              </w:rPr>
              <w:t xml:space="preserve">dle </w:t>
            </w:r>
            <w:r w:rsidR="00E160F1" w:rsidRPr="00E160F1">
              <w:rPr>
                <w:rFonts w:cs="Arial"/>
                <w:b/>
                <w:bCs/>
                <w:sz w:val="18"/>
                <w:szCs w:val="18"/>
              </w:rPr>
              <w:t>velikost</w:t>
            </w:r>
            <w:r>
              <w:rPr>
                <w:rFonts w:cs="Arial"/>
                <w:b/>
                <w:bCs/>
                <w:sz w:val="18"/>
                <w:szCs w:val="18"/>
              </w:rPr>
              <w:t>i</w:t>
            </w:r>
            <w:r w:rsidR="00E160F1" w:rsidRPr="00E160F1">
              <w:rPr>
                <w:rFonts w:cs="Arial"/>
                <w:b/>
                <w:bCs/>
                <w:sz w:val="18"/>
                <w:szCs w:val="18"/>
              </w:rPr>
              <w:t xml:space="preserve"> firmy</w:t>
            </w:r>
          </w:p>
        </w:tc>
      </w:tr>
      <w:tr w:rsidR="00E160F1" w:rsidRPr="00E160F1" w:rsidTr="00E160F1">
        <w:trPr>
          <w:trHeight w:val="480"/>
        </w:trPr>
        <w:tc>
          <w:tcPr>
            <w:tcW w:w="3439" w:type="dxa"/>
            <w:vMerge/>
            <w:tcBorders>
              <w:top w:val="single" w:sz="4" w:space="0" w:color="auto"/>
              <w:left w:val="nil"/>
              <w:bottom w:val="single" w:sz="4" w:space="0" w:color="auto"/>
              <w:right w:val="single" w:sz="4" w:space="0" w:color="auto"/>
            </w:tcBorders>
            <w:vAlign w:val="center"/>
            <w:hideMark/>
          </w:tcPr>
          <w:p w:rsidR="00E160F1" w:rsidRPr="00E160F1" w:rsidRDefault="00E160F1" w:rsidP="00E160F1">
            <w:pPr>
              <w:spacing w:after="0" w:line="240" w:lineRule="auto"/>
              <w:rPr>
                <w:rFonts w:cs="Arial"/>
                <w:sz w:val="18"/>
                <w:szCs w:val="18"/>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160F1" w:rsidRPr="00E160F1" w:rsidRDefault="00E160F1" w:rsidP="00E160F1">
            <w:pPr>
              <w:spacing w:after="0" w:line="240" w:lineRule="auto"/>
              <w:rPr>
                <w:rFonts w:cs="Arial"/>
                <w:b/>
                <w:bCs/>
                <w:sz w:val="18"/>
                <w:szCs w:val="18"/>
              </w:rPr>
            </w:pPr>
          </w:p>
        </w:tc>
        <w:tc>
          <w:tcPr>
            <w:tcW w:w="1240" w:type="dxa"/>
            <w:tcBorders>
              <w:top w:val="nil"/>
              <w:left w:val="nil"/>
              <w:bottom w:val="single" w:sz="4" w:space="0" w:color="auto"/>
              <w:right w:val="single" w:sz="4" w:space="0" w:color="auto"/>
            </w:tcBorders>
            <w:shd w:val="clear" w:color="000000" w:fill="F2DCDB"/>
            <w:vAlign w:val="bottom"/>
            <w:hideMark/>
          </w:tcPr>
          <w:p w:rsidR="00E160F1" w:rsidRPr="00E160F1" w:rsidRDefault="00E160F1" w:rsidP="00D73AB5">
            <w:pPr>
              <w:spacing w:after="0" w:line="240" w:lineRule="auto"/>
              <w:jc w:val="center"/>
              <w:rPr>
                <w:rFonts w:cs="Arial"/>
                <w:b/>
                <w:bCs/>
                <w:sz w:val="18"/>
                <w:szCs w:val="18"/>
              </w:rPr>
            </w:pPr>
            <w:r w:rsidRPr="00E160F1">
              <w:rPr>
                <w:rFonts w:cs="Arial"/>
                <w:b/>
                <w:bCs/>
                <w:sz w:val="18"/>
                <w:szCs w:val="18"/>
              </w:rPr>
              <w:t>10</w:t>
            </w:r>
            <w:r w:rsidR="00D73AB5">
              <w:rPr>
                <w:rFonts w:cs="Arial"/>
                <w:b/>
                <w:bCs/>
                <w:sz w:val="18"/>
                <w:szCs w:val="18"/>
              </w:rPr>
              <w:t>–</w:t>
            </w:r>
            <w:r w:rsidRPr="00E160F1">
              <w:rPr>
                <w:rFonts w:cs="Arial"/>
                <w:b/>
                <w:bCs/>
                <w:sz w:val="18"/>
                <w:szCs w:val="18"/>
              </w:rPr>
              <w:t>19 zaměst</w:t>
            </w:r>
            <w:r w:rsidR="00D63619">
              <w:rPr>
                <w:rFonts w:cs="Arial"/>
                <w:b/>
                <w:bCs/>
                <w:sz w:val="18"/>
                <w:szCs w:val="18"/>
              </w:rPr>
              <w:t>n</w:t>
            </w:r>
            <w:r w:rsidRPr="00E160F1">
              <w:rPr>
                <w:rFonts w:cs="Arial"/>
                <w:b/>
                <w:bCs/>
                <w:sz w:val="18"/>
                <w:szCs w:val="18"/>
              </w:rPr>
              <w:t>anců</w:t>
            </w:r>
          </w:p>
        </w:tc>
        <w:tc>
          <w:tcPr>
            <w:tcW w:w="1320" w:type="dxa"/>
            <w:tcBorders>
              <w:top w:val="nil"/>
              <w:left w:val="nil"/>
              <w:bottom w:val="single" w:sz="4" w:space="0" w:color="auto"/>
              <w:right w:val="single" w:sz="4" w:space="0" w:color="auto"/>
            </w:tcBorders>
            <w:shd w:val="clear" w:color="000000" w:fill="F2DCDB"/>
            <w:vAlign w:val="bottom"/>
            <w:hideMark/>
          </w:tcPr>
          <w:p w:rsidR="00E160F1" w:rsidRPr="00E160F1" w:rsidRDefault="00D73AB5" w:rsidP="00E160F1">
            <w:pPr>
              <w:spacing w:after="0" w:line="240" w:lineRule="auto"/>
              <w:jc w:val="center"/>
              <w:rPr>
                <w:rFonts w:cs="Arial"/>
                <w:b/>
                <w:bCs/>
                <w:sz w:val="18"/>
                <w:szCs w:val="18"/>
              </w:rPr>
            </w:pPr>
            <w:r>
              <w:rPr>
                <w:rFonts w:cs="Arial"/>
                <w:b/>
                <w:bCs/>
                <w:sz w:val="18"/>
                <w:szCs w:val="18"/>
              </w:rPr>
              <w:t>20–</w:t>
            </w:r>
            <w:r w:rsidR="00E160F1" w:rsidRPr="00E160F1">
              <w:rPr>
                <w:rFonts w:cs="Arial"/>
                <w:b/>
                <w:bCs/>
                <w:sz w:val="18"/>
                <w:szCs w:val="18"/>
              </w:rPr>
              <w:t>49 zaměstnanců</w:t>
            </w:r>
          </w:p>
        </w:tc>
        <w:tc>
          <w:tcPr>
            <w:tcW w:w="1281" w:type="dxa"/>
            <w:tcBorders>
              <w:top w:val="nil"/>
              <w:left w:val="nil"/>
              <w:bottom w:val="single" w:sz="4" w:space="0" w:color="auto"/>
              <w:right w:val="single" w:sz="4" w:space="0" w:color="auto"/>
            </w:tcBorders>
            <w:shd w:val="clear" w:color="000000" w:fill="F2DCDB"/>
            <w:vAlign w:val="bottom"/>
            <w:hideMark/>
          </w:tcPr>
          <w:p w:rsidR="00E160F1" w:rsidRPr="00E160F1" w:rsidRDefault="00E160F1" w:rsidP="00D73AB5">
            <w:pPr>
              <w:spacing w:after="0" w:line="240" w:lineRule="auto"/>
              <w:jc w:val="center"/>
              <w:rPr>
                <w:rFonts w:cs="Arial"/>
                <w:b/>
                <w:bCs/>
                <w:sz w:val="18"/>
                <w:szCs w:val="18"/>
              </w:rPr>
            </w:pPr>
            <w:r w:rsidRPr="00E160F1">
              <w:rPr>
                <w:rFonts w:cs="Arial"/>
                <w:b/>
                <w:bCs/>
                <w:sz w:val="18"/>
                <w:szCs w:val="18"/>
              </w:rPr>
              <w:t>50</w:t>
            </w:r>
            <w:r w:rsidR="00D73AB5">
              <w:rPr>
                <w:rFonts w:cs="Arial"/>
                <w:b/>
                <w:bCs/>
                <w:sz w:val="18"/>
                <w:szCs w:val="18"/>
              </w:rPr>
              <w:t>–</w:t>
            </w:r>
            <w:r w:rsidRPr="00E160F1">
              <w:rPr>
                <w:rFonts w:cs="Arial"/>
                <w:b/>
                <w:bCs/>
                <w:sz w:val="18"/>
                <w:szCs w:val="18"/>
              </w:rPr>
              <w:t>249 zaměstnanců</w:t>
            </w:r>
          </w:p>
        </w:tc>
        <w:tc>
          <w:tcPr>
            <w:tcW w:w="1320" w:type="dxa"/>
            <w:tcBorders>
              <w:top w:val="nil"/>
              <w:left w:val="nil"/>
              <w:bottom w:val="single" w:sz="4" w:space="0" w:color="auto"/>
              <w:right w:val="nil"/>
            </w:tcBorders>
            <w:shd w:val="clear" w:color="000000" w:fill="F2DCDB"/>
            <w:vAlign w:val="bottom"/>
            <w:hideMark/>
          </w:tcPr>
          <w:p w:rsidR="00E160F1" w:rsidRPr="00E160F1" w:rsidRDefault="00E160F1" w:rsidP="00E160F1">
            <w:pPr>
              <w:spacing w:after="0" w:line="240" w:lineRule="auto"/>
              <w:jc w:val="center"/>
              <w:rPr>
                <w:rFonts w:cs="Arial"/>
                <w:b/>
                <w:bCs/>
                <w:sz w:val="18"/>
                <w:szCs w:val="18"/>
              </w:rPr>
            </w:pPr>
            <w:r w:rsidRPr="00E160F1">
              <w:rPr>
                <w:rFonts w:cs="Arial"/>
                <w:b/>
                <w:bCs/>
                <w:sz w:val="18"/>
                <w:szCs w:val="18"/>
              </w:rPr>
              <w:t>250 a více zaměstnanců</w:t>
            </w:r>
          </w:p>
        </w:tc>
      </w:tr>
      <w:tr w:rsidR="00E160F1" w:rsidRPr="00E160F1" w:rsidTr="0082731F">
        <w:trPr>
          <w:trHeight w:val="525"/>
        </w:trPr>
        <w:tc>
          <w:tcPr>
            <w:tcW w:w="3439" w:type="dxa"/>
            <w:tcBorders>
              <w:top w:val="nil"/>
              <w:left w:val="nil"/>
              <w:bottom w:val="nil"/>
              <w:right w:val="single" w:sz="4" w:space="0" w:color="auto"/>
            </w:tcBorders>
            <w:shd w:val="clear" w:color="auto" w:fill="auto"/>
            <w:vAlign w:val="center"/>
            <w:hideMark/>
          </w:tcPr>
          <w:p w:rsidR="00E160F1" w:rsidRPr="00E160F1" w:rsidRDefault="00E160F1" w:rsidP="00E160F1">
            <w:pPr>
              <w:spacing w:after="0" w:line="240" w:lineRule="auto"/>
              <w:rPr>
                <w:rFonts w:cs="Arial"/>
                <w:color w:val="000000"/>
                <w:sz w:val="18"/>
                <w:szCs w:val="18"/>
              </w:rPr>
            </w:pPr>
            <w:r w:rsidRPr="00E160F1">
              <w:rPr>
                <w:rFonts w:cs="Arial"/>
                <w:color w:val="000000"/>
                <w:sz w:val="18"/>
                <w:szCs w:val="18"/>
              </w:rPr>
              <w:t>zajištění potřebného vzdělávání stávajícím zaměstnancům</w:t>
            </w:r>
          </w:p>
        </w:tc>
        <w:tc>
          <w:tcPr>
            <w:tcW w:w="9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53</w:t>
            </w:r>
          </w:p>
        </w:tc>
        <w:tc>
          <w:tcPr>
            <w:tcW w:w="12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47</w:t>
            </w:r>
          </w:p>
        </w:tc>
        <w:tc>
          <w:tcPr>
            <w:tcW w:w="132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49</w:t>
            </w:r>
          </w:p>
        </w:tc>
        <w:tc>
          <w:tcPr>
            <w:tcW w:w="1281"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68</w:t>
            </w:r>
          </w:p>
        </w:tc>
        <w:tc>
          <w:tcPr>
            <w:tcW w:w="1320" w:type="dxa"/>
            <w:tcBorders>
              <w:top w:val="nil"/>
              <w:left w:val="nil"/>
              <w:bottom w:val="nil"/>
              <w:right w:val="nil"/>
            </w:tcBorders>
            <w:shd w:val="clear" w:color="auto" w:fill="auto"/>
            <w:noWrap/>
            <w:vAlign w:val="center"/>
            <w:hideMark/>
          </w:tcPr>
          <w:p w:rsidR="00E160F1" w:rsidRPr="00E160F1" w:rsidRDefault="003F107B" w:rsidP="00A36A90">
            <w:pPr>
              <w:spacing w:after="0" w:line="240" w:lineRule="auto"/>
              <w:jc w:val="center"/>
              <w:rPr>
                <w:rFonts w:cs="Arial"/>
                <w:color w:val="000000"/>
                <w:sz w:val="18"/>
                <w:szCs w:val="18"/>
              </w:rPr>
            </w:pPr>
            <w:r>
              <w:rPr>
                <w:rFonts w:cs="Arial"/>
                <w:color w:val="000000"/>
                <w:sz w:val="18"/>
                <w:szCs w:val="18"/>
              </w:rPr>
              <w:t>86</w:t>
            </w:r>
          </w:p>
        </w:tc>
      </w:tr>
      <w:tr w:rsidR="00E160F1" w:rsidRPr="00E160F1" w:rsidTr="0082731F">
        <w:trPr>
          <w:trHeight w:val="570"/>
        </w:trPr>
        <w:tc>
          <w:tcPr>
            <w:tcW w:w="3439" w:type="dxa"/>
            <w:tcBorders>
              <w:top w:val="nil"/>
              <w:left w:val="nil"/>
              <w:bottom w:val="nil"/>
              <w:right w:val="single" w:sz="4" w:space="0" w:color="auto"/>
            </w:tcBorders>
            <w:shd w:val="clear" w:color="auto" w:fill="auto"/>
            <w:vAlign w:val="center"/>
            <w:hideMark/>
          </w:tcPr>
          <w:p w:rsidR="00E160F1" w:rsidRPr="00E160F1" w:rsidRDefault="00E160F1" w:rsidP="00E160F1">
            <w:pPr>
              <w:spacing w:after="0" w:line="240" w:lineRule="auto"/>
              <w:rPr>
                <w:rFonts w:cs="Arial"/>
                <w:color w:val="000000"/>
                <w:sz w:val="18"/>
                <w:szCs w:val="18"/>
              </w:rPr>
            </w:pPr>
            <w:r w:rsidRPr="00E160F1">
              <w:rPr>
                <w:rFonts w:cs="Arial"/>
                <w:color w:val="000000"/>
                <w:sz w:val="18"/>
                <w:szCs w:val="18"/>
              </w:rPr>
              <w:t>přijetí nových pracovníků s odpovídající kvalifikací</w:t>
            </w:r>
          </w:p>
        </w:tc>
        <w:tc>
          <w:tcPr>
            <w:tcW w:w="9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23</w:t>
            </w:r>
          </w:p>
        </w:tc>
        <w:tc>
          <w:tcPr>
            <w:tcW w:w="12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19</w:t>
            </w:r>
          </w:p>
        </w:tc>
        <w:tc>
          <w:tcPr>
            <w:tcW w:w="132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22</w:t>
            </w:r>
          </w:p>
        </w:tc>
        <w:tc>
          <w:tcPr>
            <w:tcW w:w="1281"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30</w:t>
            </w:r>
          </w:p>
        </w:tc>
        <w:tc>
          <w:tcPr>
            <w:tcW w:w="1320" w:type="dxa"/>
            <w:tcBorders>
              <w:top w:val="nil"/>
              <w:left w:val="nil"/>
              <w:bottom w:val="nil"/>
              <w:right w:val="nil"/>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4</w:t>
            </w:r>
            <w:r w:rsidR="00A36A90">
              <w:rPr>
                <w:rFonts w:cs="Arial"/>
                <w:color w:val="000000"/>
                <w:sz w:val="18"/>
                <w:szCs w:val="18"/>
              </w:rPr>
              <w:t>2</w:t>
            </w:r>
          </w:p>
        </w:tc>
      </w:tr>
      <w:tr w:rsidR="00E160F1" w:rsidRPr="00E160F1" w:rsidTr="0082731F">
        <w:trPr>
          <w:trHeight w:val="570"/>
        </w:trPr>
        <w:tc>
          <w:tcPr>
            <w:tcW w:w="3439" w:type="dxa"/>
            <w:tcBorders>
              <w:top w:val="nil"/>
              <w:left w:val="nil"/>
              <w:bottom w:val="nil"/>
              <w:right w:val="single" w:sz="4" w:space="0" w:color="auto"/>
            </w:tcBorders>
            <w:shd w:val="clear" w:color="auto" w:fill="auto"/>
            <w:vAlign w:val="center"/>
            <w:hideMark/>
          </w:tcPr>
          <w:p w:rsidR="00E160F1" w:rsidRPr="00E160F1" w:rsidRDefault="00E160F1" w:rsidP="00E160F1">
            <w:pPr>
              <w:spacing w:after="0" w:line="240" w:lineRule="auto"/>
              <w:rPr>
                <w:rFonts w:cs="Arial"/>
                <w:color w:val="000000"/>
                <w:sz w:val="18"/>
                <w:szCs w:val="18"/>
              </w:rPr>
            </w:pPr>
            <w:r w:rsidRPr="00E160F1">
              <w:rPr>
                <w:rFonts w:cs="Arial"/>
                <w:color w:val="000000"/>
                <w:sz w:val="18"/>
                <w:szCs w:val="18"/>
              </w:rPr>
              <w:t>přijetí nových pracovníků a následné zajištění vzdělávání</w:t>
            </w:r>
          </w:p>
        </w:tc>
        <w:tc>
          <w:tcPr>
            <w:tcW w:w="9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4</w:t>
            </w:r>
          </w:p>
        </w:tc>
        <w:tc>
          <w:tcPr>
            <w:tcW w:w="12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3</w:t>
            </w:r>
          </w:p>
        </w:tc>
        <w:tc>
          <w:tcPr>
            <w:tcW w:w="132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3</w:t>
            </w:r>
          </w:p>
        </w:tc>
        <w:tc>
          <w:tcPr>
            <w:tcW w:w="1281"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4</w:t>
            </w:r>
          </w:p>
        </w:tc>
        <w:tc>
          <w:tcPr>
            <w:tcW w:w="1320" w:type="dxa"/>
            <w:tcBorders>
              <w:top w:val="nil"/>
              <w:left w:val="nil"/>
              <w:bottom w:val="nil"/>
              <w:right w:val="nil"/>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9</w:t>
            </w:r>
          </w:p>
        </w:tc>
      </w:tr>
      <w:tr w:rsidR="00E160F1" w:rsidRPr="00E160F1" w:rsidTr="0082731F">
        <w:trPr>
          <w:trHeight w:val="675"/>
        </w:trPr>
        <w:tc>
          <w:tcPr>
            <w:tcW w:w="3439" w:type="dxa"/>
            <w:tcBorders>
              <w:top w:val="nil"/>
              <w:left w:val="nil"/>
              <w:bottom w:val="nil"/>
              <w:right w:val="single" w:sz="4" w:space="0" w:color="auto"/>
            </w:tcBorders>
            <w:shd w:val="clear" w:color="auto" w:fill="auto"/>
            <w:vAlign w:val="center"/>
            <w:hideMark/>
          </w:tcPr>
          <w:p w:rsidR="00E160F1" w:rsidRPr="00E160F1" w:rsidRDefault="00E160F1" w:rsidP="00E160F1">
            <w:pPr>
              <w:spacing w:after="0" w:line="240" w:lineRule="auto"/>
              <w:rPr>
                <w:rFonts w:cs="Arial"/>
                <w:color w:val="000000"/>
                <w:sz w:val="18"/>
                <w:szCs w:val="18"/>
              </w:rPr>
            </w:pPr>
            <w:r w:rsidRPr="00E160F1">
              <w:rPr>
                <w:rFonts w:cs="Arial"/>
                <w:color w:val="000000"/>
                <w:sz w:val="18"/>
                <w:szCs w:val="18"/>
              </w:rPr>
              <w:t>vnitřní reorganizace za účelem lepšího využití stávajících dovedností zaměstnanců</w:t>
            </w:r>
          </w:p>
        </w:tc>
        <w:tc>
          <w:tcPr>
            <w:tcW w:w="9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24</w:t>
            </w:r>
          </w:p>
        </w:tc>
        <w:tc>
          <w:tcPr>
            <w:tcW w:w="1240"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21</w:t>
            </w:r>
          </w:p>
        </w:tc>
        <w:tc>
          <w:tcPr>
            <w:tcW w:w="132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23</w:t>
            </w:r>
          </w:p>
        </w:tc>
        <w:tc>
          <w:tcPr>
            <w:tcW w:w="1281" w:type="dxa"/>
            <w:tcBorders>
              <w:top w:val="nil"/>
              <w:left w:val="nil"/>
              <w:bottom w:val="nil"/>
              <w:right w:val="single" w:sz="4" w:space="0" w:color="auto"/>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30</w:t>
            </w:r>
          </w:p>
        </w:tc>
        <w:tc>
          <w:tcPr>
            <w:tcW w:w="1320" w:type="dxa"/>
            <w:tcBorders>
              <w:top w:val="nil"/>
              <w:left w:val="nil"/>
              <w:bottom w:val="nil"/>
              <w:right w:val="nil"/>
            </w:tcBorders>
            <w:shd w:val="clear" w:color="auto" w:fill="auto"/>
            <w:noWrap/>
            <w:vAlign w:val="center"/>
            <w:hideMark/>
          </w:tcPr>
          <w:p w:rsidR="00E160F1" w:rsidRPr="00E160F1" w:rsidRDefault="00A36A90" w:rsidP="0082731F">
            <w:pPr>
              <w:spacing w:after="0" w:line="240" w:lineRule="auto"/>
              <w:jc w:val="center"/>
              <w:rPr>
                <w:rFonts w:cs="Arial"/>
                <w:color w:val="000000"/>
                <w:sz w:val="18"/>
                <w:szCs w:val="18"/>
              </w:rPr>
            </w:pPr>
            <w:r>
              <w:rPr>
                <w:rFonts w:cs="Arial"/>
                <w:color w:val="000000"/>
                <w:sz w:val="18"/>
                <w:szCs w:val="18"/>
              </w:rPr>
              <w:t>32</w:t>
            </w:r>
          </w:p>
        </w:tc>
      </w:tr>
      <w:tr w:rsidR="00E160F1" w:rsidRPr="00E160F1" w:rsidTr="0082731F">
        <w:trPr>
          <w:trHeight w:val="570"/>
        </w:trPr>
        <w:tc>
          <w:tcPr>
            <w:tcW w:w="3439" w:type="dxa"/>
            <w:tcBorders>
              <w:top w:val="nil"/>
              <w:left w:val="nil"/>
              <w:bottom w:val="nil"/>
              <w:right w:val="single" w:sz="4" w:space="0" w:color="auto"/>
            </w:tcBorders>
            <w:shd w:val="clear" w:color="auto" w:fill="auto"/>
            <w:vAlign w:val="center"/>
            <w:hideMark/>
          </w:tcPr>
          <w:p w:rsidR="00E160F1" w:rsidRPr="00E160F1" w:rsidRDefault="00E160F1" w:rsidP="00E160F1">
            <w:pPr>
              <w:spacing w:after="0" w:line="240" w:lineRule="auto"/>
              <w:rPr>
                <w:rFonts w:cs="Arial"/>
                <w:color w:val="000000"/>
                <w:sz w:val="18"/>
                <w:szCs w:val="18"/>
              </w:rPr>
            </w:pPr>
            <w:r w:rsidRPr="00E160F1">
              <w:rPr>
                <w:rFonts w:cs="Arial"/>
                <w:color w:val="000000"/>
                <w:sz w:val="18"/>
                <w:szCs w:val="18"/>
              </w:rPr>
              <w:t>ani jedno z výše uvedeného (jiný způsob či k situaci nedochází</w:t>
            </w:r>
            <w:r w:rsidR="00277A94">
              <w:rPr>
                <w:rFonts w:cs="Arial"/>
                <w:color w:val="000000"/>
                <w:sz w:val="18"/>
                <w:szCs w:val="18"/>
              </w:rPr>
              <w:t>)</w:t>
            </w:r>
          </w:p>
        </w:tc>
        <w:tc>
          <w:tcPr>
            <w:tcW w:w="94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27</w:t>
            </w:r>
          </w:p>
        </w:tc>
        <w:tc>
          <w:tcPr>
            <w:tcW w:w="124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33</w:t>
            </w:r>
          </w:p>
        </w:tc>
        <w:tc>
          <w:tcPr>
            <w:tcW w:w="1320"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28</w:t>
            </w:r>
          </w:p>
        </w:tc>
        <w:tc>
          <w:tcPr>
            <w:tcW w:w="1281" w:type="dxa"/>
            <w:tcBorders>
              <w:top w:val="nil"/>
              <w:left w:val="nil"/>
              <w:bottom w:val="nil"/>
              <w:right w:val="single" w:sz="4" w:space="0" w:color="auto"/>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16</w:t>
            </w:r>
          </w:p>
        </w:tc>
        <w:tc>
          <w:tcPr>
            <w:tcW w:w="1320" w:type="dxa"/>
            <w:tcBorders>
              <w:top w:val="nil"/>
              <w:left w:val="nil"/>
              <w:bottom w:val="nil"/>
              <w:right w:val="nil"/>
            </w:tcBorders>
            <w:shd w:val="clear" w:color="auto" w:fill="auto"/>
            <w:noWrap/>
            <w:vAlign w:val="center"/>
            <w:hideMark/>
          </w:tcPr>
          <w:p w:rsidR="00E160F1" w:rsidRPr="00E160F1" w:rsidRDefault="00E160F1" w:rsidP="00A36A90">
            <w:pPr>
              <w:spacing w:after="0" w:line="240" w:lineRule="auto"/>
              <w:jc w:val="center"/>
              <w:rPr>
                <w:rFonts w:cs="Arial"/>
                <w:color w:val="000000"/>
                <w:sz w:val="18"/>
                <w:szCs w:val="18"/>
              </w:rPr>
            </w:pPr>
            <w:r w:rsidRPr="00E160F1">
              <w:rPr>
                <w:rFonts w:cs="Arial"/>
                <w:color w:val="000000"/>
                <w:sz w:val="18"/>
                <w:szCs w:val="18"/>
              </w:rPr>
              <w:t>5</w:t>
            </w:r>
          </w:p>
        </w:tc>
      </w:tr>
    </w:tbl>
    <w:p w:rsidR="006B03DF" w:rsidRDefault="006B03DF" w:rsidP="00EE3B97"/>
    <w:p w:rsidR="00E160F1" w:rsidRDefault="00E160F1" w:rsidP="00E160F1">
      <w:pPr>
        <w:spacing w:after="0"/>
        <w:contextualSpacing/>
        <w:jc w:val="both"/>
        <w:rPr>
          <w:sz w:val="18"/>
        </w:rPr>
      </w:pPr>
      <w:r>
        <w:rPr>
          <w:sz w:val="18"/>
        </w:rPr>
        <w:t>Z</w:t>
      </w:r>
      <w:r w:rsidRPr="00F31CE5">
        <w:rPr>
          <w:sz w:val="18"/>
        </w:rPr>
        <w:t>droj: šetření CVTS, ČSÚ 2017</w:t>
      </w:r>
    </w:p>
    <w:p w:rsidR="00233C31" w:rsidRDefault="00555EE6" w:rsidP="00233C31">
      <w:pPr>
        <w:spacing w:after="0"/>
        <w:jc w:val="both"/>
        <w:rPr>
          <w:sz w:val="18"/>
        </w:rPr>
      </w:pPr>
      <w:r>
        <w:rPr>
          <w:sz w:val="18"/>
        </w:rPr>
        <w:t>Pozn.:</w:t>
      </w:r>
      <w:r w:rsidR="00233C31" w:rsidRPr="00F31CE5">
        <w:rPr>
          <w:sz w:val="18"/>
        </w:rPr>
        <w:t xml:space="preserve"> firmy mohly uvést více možností</w:t>
      </w:r>
    </w:p>
    <w:p w:rsidR="00233C31" w:rsidRPr="00F31CE5" w:rsidRDefault="00233C31" w:rsidP="00233C31">
      <w:pPr>
        <w:spacing w:after="0"/>
        <w:jc w:val="both"/>
        <w:rPr>
          <w:sz w:val="18"/>
        </w:rPr>
      </w:pPr>
    </w:p>
    <w:p w:rsidR="00A95D95" w:rsidRDefault="00A95D95" w:rsidP="00A95D95">
      <w:pPr>
        <w:spacing w:after="0"/>
        <w:contextualSpacing/>
        <w:jc w:val="both"/>
      </w:pPr>
      <w:r>
        <w:t xml:space="preserve">Zajištění vzdělávání </w:t>
      </w:r>
      <w:r w:rsidR="0074219B">
        <w:t>může být</w:t>
      </w:r>
      <w:r>
        <w:t xml:space="preserve"> v případě zjištění nedostatků pro firmy </w:t>
      </w:r>
      <w:r w:rsidR="0074219B">
        <w:t>relativně snadnou</w:t>
      </w:r>
      <w:r>
        <w:t xml:space="preserve"> a zároveň velmi efektivní volbou, proto není s podivem, že je volbou nejvíce preferovanou. Nicméně čtvrtina firem deklaruje, že na deficit znalostí a dovedností svých zaměstnanců reaguje jiným než uvedeným způsobem</w:t>
      </w:r>
      <w:r w:rsidR="00AB117D">
        <w:t xml:space="preserve"> v rámci možných odpovědí</w:t>
      </w:r>
      <w:r>
        <w:t>, což kromě úplně odlišné formy reakce zahrnuje i to, že</w:t>
      </w:r>
      <w:r w:rsidR="00277A94">
        <w:t xml:space="preserve"> k situaci nedochází či</w:t>
      </w:r>
      <w:r>
        <w:t xml:space="preserve"> firma na</w:t>
      </w:r>
      <w:r w:rsidR="00F72CB2">
        <w:t> </w:t>
      </w:r>
      <w:r>
        <w:t>daný deficit nereaguje. Nejvíce (33 %) takových firem je mezi malými podniky (s 10 až 19 zaměstnanci), kde si často právě z důvodu malého počtu zaměstnanců a stále stejného objemu práce nemohou dovolit</w:t>
      </w:r>
      <w:r w:rsidRPr="00A3751D">
        <w:t xml:space="preserve"> </w:t>
      </w:r>
      <w:r>
        <w:t>reagovat některým z výše uvedených způsobů</w:t>
      </w:r>
      <w:r w:rsidR="00277A94">
        <w:t>, případně to charakter práce nevyžaduje</w:t>
      </w:r>
      <w:r>
        <w:t>.</w:t>
      </w:r>
    </w:p>
    <w:p w:rsidR="00BC7244" w:rsidRDefault="00BC7244" w:rsidP="00A95D95">
      <w:pPr>
        <w:spacing w:after="0"/>
        <w:contextualSpacing/>
        <w:jc w:val="both"/>
      </w:pPr>
    </w:p>
    <w:p w:rsidR="00BC7244" w:rsidRPr="00E81E8A" w:rsidRDefault="00BC7244" w:rsidP="00AF2AA7">
      <w:pPr>
        <w:pStyle w:val="Nadpis4"/>
        <w:spacing w:after="120"/>
      </w:pPr>
      <w:bookmarkStart w:id="50" w:name="_Toc490472724"/>
      <w:bookmarkStart w:id="51" w:name="_Toc501614098"/>
      <w:r w:rsidRPr="00E81E8A">
        <w:t>Zapojení zaměstnanců do rozhodování o vzdělávání</w:t>
      </w:r>
      <w:bookmarkEnd w:id="50"/>
      <w:bookmarkEnd w:id="51"/>
    </w:p>
    <w:p w:rsidR="0001469F" w:rsidRDefault="00BC7244" w:rsidP="00AF2AA7">
      <w:pPr>
        <w:spacing w:after="0"/>
        <w:contextualSpacing/>
        <w:jc w:val="both"/>
      </w:pPr>
      <w:r>
        <w:t xml:space="preserve">Podobu, formu a frekvenci vzdělávání ve firmě ovlivňuje mj. i fakt, zda jsou </w:t>
      </w:r>
      <w:r w:rsidR="0074219B">
        <w:t xml:space="preserve">do rozhodování o vzdělávání zapojeni </w:t>
      </w:r>
      <w:r>
        <w:t>zástupci zaměstnanců (např. odbory). Do rozhodovacích procesů o dalším vzdělávání však své zaměstnance zapojuje</w:t>
      </w:r>
      <w:r w:rsidR="000A3833">
        <w:t xml:space="preserve"> pouze 6 % firem. V 3</w:t>
      </w:r>
      <w:r w:rsidR="00713836">
        <w:t>2</w:t>
      </w:r>
      <w:r w:rsidR="000A3833">
        <w:t xml:space="preserve"> % </w:t>
      </w:r>
      <w:r w:rsidR="0001469F">
        <w:t>případů</w:t>
      </w:r>
      <w:r w:rsidR="000A3833">
        <w:t xml:space="preserve"> firma zástupce zaměstnanců do daného procesu nezapojuje a</w:t>
      </w:r>
      <w:r>
        <w:t xml:space="preserve"> </w:t>
      </w:r>
      <w:r w:rsidR="00713836">
        <w:t>62</w:t>
      </w:r>
      <w:r w:rsidR="000A3833">
        <w:t xml:space="preserve"> % firem nemá zástupce zaměstnanců určené. </w:t>
      </w:r>
      <w:r w:rsidR="003D3E3A">
        <w:t xml:space="preserve">Ve valné většině firem </w:t>
      </w:r>
      <w:r w:rsidR="003F3C7B">
        <w:t xml:space="preserve">se </w:t>
      </w:r>
      <w:r w:rsidR="003D3E3A">
        <w:t>tak zaměstnanci</w:t>
      </w:r>
      <w:r w:rsidR="003F3C7B">
        <w:t xml:space="preserve"> prostřednictvím svých zástupců nemohou spolupodílet na </w:t>
      </w:r>
      <w:r w:rsidR="003D3E3A">
        <w:t xml:space="preserve">rozhodování o vzdělávání. </w:t>
      </w:r>
      <w:r w:rsidR="001F1EF4">
        <w:t>Samotná existence zástupců zaměstnanců i podíl jejich zapojení při rozhodování o vzdělávacích procesech roste s velikostí firmy</w:t>
      </w:r>
      <w:r w:rsidR="00CD601F">
        <w:t xml:space="preserve"> (</w:t>
      </w:r>
      <w:r w:rsidR="001F1EF4">
        <w:t xml:space="preserve">viz </w:t>
      </w:r>
      <w:r w:rsidR="00EF3498">
        <w:t>graf č. 10</w:t>
      </w:r>
      <w:r w:rsidR="00CD601F">
        <w:t>)</w:t>
      </w:r>
      <w:r w:rsidR="00EF3498">
        <w:t>.</w:t>
      </w:r>
    </w:p>
    <w:p w:rsidR="00291B11" w:rsidRDefault="00291B11" w:rsidP="00291B11">
      <w:pPr>
        <w:spacing w:after="0"/>
        <w:ind w:firstLine="708"/>
        <w:contextualSpacing/>
        <w:jc w:val="both"/>
      </w:pPr>
    </w:p>
    <w:p w:rsidR="00291B11" w:rsidRDefault="00291B11" w:rsidP="00CD3DFD">
      <w:pPr>
        <w:pStyle w:val="Titulek"/>
      </w:pPr>
      <w:bookmarkStart w:id="52" w:name="_Ref496172556"/>
      <w:bookmarkStart w:id="53" w:name="_Toc501615593"/>
      <w:r>
        <w:lastRenderedPageBreak/>
        <w:t xml:space="preserve">Graf č. </w:t>
      </w:r>
      <w:r w:rsidR="007C3A3E">
        <w:fldChar w:fldCharType="begin"/>
      </w:r>
      <w:r w:rsidR="00C84608">
        <w:instrText xml:space="preserve"> SEQ Graf_č. \* ARABIC </w:instrText>
      </w:r>
      <w:r w:rsidR="007C3A3E">
        <w:fldChar w:fldCharType="separate"/>
      </w:r>
      <w:r w:rsidR="00476EDB">
        <w:rPr>
          <w:noProof/>
        </w:rPr>
        <w:t>10</w:t>
      </w:r>
      <w:r w:rsidR="007C3A3E">
        <w:rPr>
          <w:noProof/>
        </w:rPr>
        <w:fldChar w:fldCharType="end"/>
      </w:r>
      <w:bookmarkEnd w:id="52"/>
      <w:r>
        <w:t xml:space="preserve">: </w:t>
      </w:r>
      <w:r w:rsidR="002F1697">
        <w:t xml:space="preserve">Podíl firem se zástupci </w:t>
      </w:r>
      <w:r w:rsidRPr="00291B11">
        <w:t xml:space="preserve">zaměstnanců podniku (např. odbory) </w:t>
      </w:r>
      <w:r w:rsidR="002F1697">
        <w:t xml:space="preserve">zapojenými </w:t>
      </w:r>
      <w:r w:rsidRPr="00291B11">
        <w:t>do rozhodování o</w:t>
      </w:r>
      <w:r w:rsidR="00A440CF">
        <w:t> </w:t>
      </w:r>
      <w:r w:rsidRPr="00291B11">
        <w:t>záležitostech souvisejících se vzděláváním podle velikosti firmy, 2015</w:t>
      </w:r>
      <w:bookmarkEnd w:id="53"/>
    </w:p>
    <w:p w:rsidR="003F3C7B" w:rsidRDefault="00713836" w:rsidP="003F3C7B">
      <w:pPr>
        <w:spacing w:after="0"/>
        <w:contextualSpacing/>
        <w:jc w:val="both"/>
      </w:pPr>
      <w:r>
        <w:rPr>
          <w:noProof/>
        </w:rPr>
        <w:drawing>
          <wp:inline distT="0" distB="0" distL="0" distR="0" wp14:anchorId="1EC0EF88" wp14:editId="49FC2E07">
            <wp:extent cx="6105525" cy="2743200"/>
            <wp:effectExtent l="0" t="0" r="0" b="0"/>
            <wp:docPr id="89" name="Graf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469F" w:rsidRDefault="0001469F" w:rsidP="0001469F">
      <w:pPr>
        <w:spacing w:after="0"/>
        <w:contextualSpacing/>
        <w:jc w:val="both"/>
        <w:rPr>
          <w:sz w:val="18"/>
        </w:rPr>
      </w:pPr>
      <w:r>
        <w:rPr>
          <w:sz w:val="18"/>
        </w:rPr>
        <w:t>Z</w:t>
      </w:r>
      <w:r w:rsidRPr="00F31CE5">
        <w:rPr>
          <w:sz w:val="18"/>
        </w:rPr>
        <w:t>droj: šetření CVTS, ČSÚ 2017</w:t>
      </w:r>
    </w:p>
    <w:p w:rsidR="003F3C7B" w:rsidRDefault="003F3C7B" w:rsidP="0001469F">
      <w:pPr>
        <w:spacing w:after="0"/>
        <w:contextualSpacing/>
        <w:jc w:val="both"/>
      </w:pPr>
    </w:p>
    <w:p w:rsidR="0084162C" w:rsidRDefault="0084162C" w:rsidP="0001469F">
      <w:pPr>
        <w:spacing w:after="0"/>
        <w:contextualSpacing/>
        <w:jc w:val="both"/>
      </w:pPr>
      <w:r>
        <w:t xml:space="preserve">Zástupci zaměstnanců se nejvíce (ve 3 % ze všech firem, </w:t>
      </w:r>
      <w:r w:rsidR="002E6624">
        <w:t xml:space="preserve">v přibližně </w:t>
      </w:r>
      <w:r>
        <w:t>8 % z firem majících zástupce zaměstnanců) zapojují do rozhodování o stanovení cílů vzdělávání, volby formy či druhu vzdělávání a volby obs</w:t>
      </w:r>
      <w:r w:rsidR="00CF5881">
        <w:t>ahu vzdělávání. Nejmenší</w:t>
      </w:r>
      <w:r>
        <w:t xml:space="preserve"> míru zapojení zástupců zaměstnanců lze vidět v oblasti sestavování rozpočtu. Při srovnání účasti zástupců zaměstnanců v rozhodování v rámci vzdělávacího procesu podle velikosti firmy je patrné, že ve firmách s více než 250 zaměstnanci se zástupci zaměstnanců ve větší míře podílí </w:t>
      </w:r>
      <w:r w:rsidR="0099745E">
        <w:t>i</w:t>
      </w:r>
      <w:r w:rsidR="00A440CF">
        <w:t> </w:t>
      </w:r>
      <w:r>
        <w:t>na</w:t>
      </w:r>
      <w:r w:rsidR="00A440CF">
        <w:t> </w:t>
      </w:r>
      <w:r w:rsidR="00281C00">
        <w:t xml:space="preserve">volbě obsahu a stanovení cílů vzdělávání </w:t>
      </w:r>
      <w:r w:rsidR="0099745E">
        <w:t xml:space="preserve">než je tomu v menších firmách (viz </w:t>
      </w:r>
      <w:r w:rsidR="00EF3498">
        <w:t>graf č. 11)</w:t>
      </w:r>
      <w:r w:rsidR="0099745E">
        <w:t>.</w:t>
      </w:r>
    </w:p>
    <w:p w:rsidR="00B378BD" w:rsidRDefault="00B378BD" w:rsidP="0001469F">
      <w:pPr>
        <w:spacing w:after="0"/>
        <w:contextualSpacing/>
        <w:jc w:val="both"/>
      </w:pPr>
    </w:p>
    <w:p w:rsidR="00291B11" w:rsidRDefault="00291B11" w:rsidP="00291B11">
      <w:pPr>
        <w:pStyle w:val="Titulek"/>
        <w:keepNext/>
        <w:jc w:val="both"/>
      </w:pPr>
      <w:bookmarkStart w:id="54" w:name="_Ref496172758"/>
      <w:bookmarkStart w:id="55" w:name="_Toc501615594"/>
      <w:r>
        <w:t xml:space="preserve">Graf č. </w:t>
      </w:r>
      <w:r w:rsidR="007C3A3E">
        <w:fldChar w:fldCharType="begin"/>
      </w:r>
      <w:r w:rsidR="00C84608">
        <w:instrText xml:space="preserve"> SEQ Graf_č. \* ARABIC </w:instrText>
      </w:r>
      <w:r w:rsidR="007C3A3E">
        <w:fldChar w:fldCharType="separate"/>
      </w:r>
      <w:r w:rsidR="00476EDB">
        <w:rPr>
          <w:noProof/>
        </w:rPr>
        <w:t>11</w:t>
      </w:r>
      <w:r w:rsidR="007C3A3E">
        <w:rPr>
          <w:noProof/>
        </w:rPr>
        <w:fldChar w:fldCharType="end"/>
      </w:r>
      <w:bookmarkEnd w:id="54"/>
      <w:r>
        <w:t xml:space="preserve">: </w:t>
      </w:r>
      <w:r w:rsidRPr="00B378BD">
        <w:t>Podíl firem</w:t>
      </w:r>
      <w:r w:rsidR="002F1697">
        <w:t xml:space="preserve"> se zástupci </w:t>
      </w:r>
      <w:r w:rsidR="002F1697" w:rsidRPr="00291B11">
        <w:t xml:space="preserve">zaměstnanců podniku (např. odbory) </w:t>
      </w:r>
      <w:r w:rsidR="002F1697">
        <w:t>zapojenými</w:t>
      </w:r>
      <w:r w:rsidRPr="00B378BD">
        <w:t xml:space="preserve"> do </w:t>
      </w:r>
      <w:r w:rsidRPr="00291B11">
        <w:t>rozhodování o</w:t>
      </w:r>
      <w:r w:rsidR="00A440CF">
        <w:t> </w:t>
      </w:r>
      <w:r w:rsidRPr="00B378BD">
        <w:t>daných část</w:t>
      </w:r>
      <w:r w:rsidRPr="00291B11">
        <w:t>ech</w:t>
      </w:r>
      <w:r w:rsidRPr="00B378BD">
        <w:t xml:space="preserve"> vzdělávacího procesu</w:t>
      </w:r>
      <w:r w:rsidR="00CD3DFD">
        <w:t xml:space="preserve"> podle velikosti firmy</w:t>
      </w:r>
      <w:r w:rsidRPr="00291B11">
        <w:t>, 2015</w:t>
      </w:r>
      <w:bookmarkEnd w:id="55"/>
    </w:p>
    <w:p w:rsidR="003F3C7B" w:rsidRDefault="00713836" w:rsidP="001F1EF4">
      <w:pPr>
        <w:spacing w:after="0"/>
        <w:contextualSpacing/>
        <w:jc w:val="both"/>
      </w:pPr>
      <w:r>
        <w:rPr>
          <w:noProof/>
        </w:rPr>
        <w:drawing>
          <wp:inline distT="0" distB="0" distL="0" distR="0" wp14:anchorId="29B6486B" wp14:editId="471A3514">
            <wp:extent cx="6038850" cy="3171825"/>
            <wp:effectExtent l="0" t="0" r="0" b="0"/>
            <wp:docPr id="90" name="Graf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4BB6" w:rsidRDefault="00044BB6" w:rsidP="00B378BD">
      <w:pPr>
        <w:spacing w:after="0"/>
        <w:contextualSpacing/>
        <w:jc w:val="both"/>
        <w:rPr>
          <w:sz w:val="18"/>
        </w:rPr>
      </w:pPr>
    </w:p>
    <w:p w:rsidR="00B378BD" w:rsidRDefault="00B378BD" w:rsidP="00B378BD">
      <w:pPr>
        <w:spacing w:after="0"/>
        <w:contextualSpacing/>
        <w:jc w:val="both"/>
        <w:rPr>
          <w:sz w:val="18"/>
        </w:rPr>
      </w:pPr>
      <w:r>
        <w:rPr>
          <w:sz w:val="18"/>
        </w:rPr>
        <w:t>Z</w:t>
      </w:r>
      <w:r w:rsidRPr="00F31CE5">
        <w:rPr>
          <w:sz w:val="18"/>
        </w:rPr>
        <w:t>droj: šetření CVTS, ČSÚ 2017</w:t>
      </w:r>
    </w:p>
    <w:p w:rsidR="00291B11" w:rsidRPr="00E81E8A" w:rsidRDefault="003E2DBD" w:rsidP="001D6E9C">
      <w:pPr>
        <w:pStyle w:val="Nadpis4"/>
        <w:spacing w:after="120"/>
      </w:pPr>
      <w:bookmarkStart w:id="56" w:name="_Toc490472725"/>
      <w:bookmarkStart w:id="57" w:name="_Toc501614099"/>
      <w:r>
        <w:lastRenderedPageBreak/>
        <w:t>Finanční plánování</w:t>
      </w:r>
      <w:r w:rsidR="00291B11" w:rsidRPr="00A53DFE">
        <w:t xml:space="preserve"> ve firemním vzdělávání</w:t>
      </w:r>
      <w:bookmarkEnd w:id="56"/>
      <w:bookmarkEnd w:id="57"/>
    </w:p>
    <w:p w:rsidR="00156CC6" w:rsidRDefault="00291B11" w:rsidP="001D6E9C">
      <w:pPr>
        <w:spacing w:after="0"/>
        <w:contextualSpacing/>
        <w:jc w:val="both"/>
      </w:pPr>
      <w:r>
        <w:t>Vzdělávání ve firmách v první řadě souvisí s financemi, ideální je počítat s výdaji na tuto oblast předem. Čtyři desetiny firem uvedly, že s položkou na vzdělávání počítají již při sestavování ročního rozpočtu. Jsou to samozřejmě ve valné většině ty firmy, které pak kurzy nebo školení usku</w:t>
      </w:r>
      <w:r w:rsidR="00120E67">
        <w:t xml:space="preserve">tečňují. Nicméně až 82 % firem </w:t>
      </w:r>
      <w:r>
        <w:t>uvedl</w:t>
      </w:r>
      <w:r w:rsidR="00120E67">
        <w:t>o</w:t>
      </w:r>
      <w:r>
        <w:t>, že s položkou na vzdělávání při s</w:t>
      </w:r>
      <w:r w:rsidR="00120E67">
        <w:t xml:space="preserve">estavování rozpočtu nepočítají, přesto </w:t>
      </w:r>
      <w:r>
        <w:t xml:space="preserve">vzdělávání pro své zaměstnance v roce 2015 zajistilo. </w:t>
      </w:r>
      <w:r w:rsidR="00C91C87">
        <w:t xml:space="preserve">Zhruba </w:t>
      </w:r>
      <w:r w:rsidR="00661BE4">
        <w:t>9</w:t>
      </w:r>
      <w:r w:rsidR="00C91C87">
        <w:t>6</w:t>
      </w:r>
      <w:r w:rsidR="00661BE4">
        <w:t xml:space="preserve"> % firem, které na oblast vzdělávání při sestavování rozpočtu myslí, uskutečnilo kurzy povinné ze zákona. Přes 75 % firem</w:t>
      </w:r>
      <w:r w:rsidR="00937621">
        <w:t>,</w:t>
      </w:r>
      <w:r w:rsidR="00661BE4">
        <w:t xml:space="preserve"> s rozpočtem zahrnujícím i výdaje na</w:t>
      </w:r>
      <w:r w:rsidR="00A440CF">
        <w:t> </w:t>
      </w:r>
      <w:r w:rsidR="00E54374">
        <w:t>vzdělávání</w:t>
      </w:r>
      <w:r w:rsidR="00937621">
        <w:t>,</w:t>
      </w:r>
      <w:r w:rsidR="00661BE4">
        <w:t xml:space="preserve"> poskytlo nepovinné kurzy. </w:t>
      </w:r>
      <w:r>
        <w:t>S výdaji na vzdělávání nejvíce počítají velké firmy (89 %), nejméně malé (33 %), z různých odvětví pak nejvíce firm</w:t>
      </w:r>
      <w:r w:rsidR="00B13BB9">
        <w:t>y, které se pohybují v oblasti P</w:t>
      </w:r>
      <w:r>
        <w:t>eněžnictví a pojišťovnictví</w:t>
      </w:r>
      <w:r w:rsidR="00C91C87">
        <w:t xml:space="preserve"> (</w:t>
      </w:r>
      <w:r w:rsidR="00B13BB9">
        <w:t xml:space="preserve">sekce K; </w:t>
      </w:r>
      <w:r w:rsidR="00C91C87">
        <w:t>71</w:t>
      </w:r>
      <w:r w:rsidR="001D6E9C">
        <w:t> </w:t>
      </w:r>
      <w:r w:rsidR="00C91C87">
        <w:t>%)</w:t>
      </w:r>
      <w:r>
        <w:t>. Vazba je ovlivněna faktem, že tyto typy firem také uskutečňují nejvíce vzdělávacích kurzů, mnohdy patrně již po delší čas, tudíž pak s výdaji na vzdělávání i počítají předem. Dále je možné, že forma rozpočtu velkých firem je podrobnější než firem malých, které častěji mohou případné plánované výdaje na</w:t>
      </w:r>
      <w:r w:rsidR="00A440CF">
        <w:t> </w:t>
      </w:r>
      <w:r>
        <w:t xml:space="preserve">vzdělávání zařadit do ostatních výdajů. </w:t>
      </w:r>
      <w:r w:rsidRPr="00B671F2">
        <w:t>Plánování finančních výdajů na vzdělávání souvisí i s plánováním vzdělávání jako takového.</w:t>
      </w:r>
      <w:r>
        <w:t xml:space="preserve"> Valná většina firem (85 %) plánuje předem obojí.</w:t>
      </w:r>
    </w:p>
    <w:p w:rsidR="004B1865" w:rsidRDefault="004B1865" w:rsidP="001D6E9C">
      <w:pPr>
        <w:spacing w:after="0"/>
        <w:contextualSpacing/>
        <w:jc w:val="both"/>
      </w:pPr>
    </w:p>
    <w:p w:rsidR="00291B11" w:rsidRPr="00D06F2A" w:rsidRDefault="00291B11" w:rsidP="00291B11">
      <w:pPr>
        <w:spacing w:after="0"/>
        <w:contextualSpacing/>
        <w:jc w:val="both"/>
      </w:pPr>
      <w:r w:rsidRPr="00D06F2A">
        <w:t>V průběhu let postupně roste podíl firem, které s financemi na vzdělávání počítají předem</w:t>
      </w:r>
      <w:r w:rsidR="00354505" w:rsidRPr="00D06F2A">
        <w:t xml:space="preserve"> (z 16 % v roce 1999 na 42 % v roce 2015)</w:t>
      </w:r>
      <w:r w:rsidRPr="00D06F2A">
        <w:t>. Může to souviset s plánováním a nárůstem vzdělávání obecně, kdy si firmy po</w:t>
      </w:r>
      <w:r w:rsidR="00A440CF">
        <w:t> </w:t>
      </w:r>
      <w:r w:rsidRPr="00D06F2A">
        <w:t>zkušenosti s nákladností vzdělávání z předchozích let a zároveň s přesnější vyhlídkou plánovaného vzdělávání do roku dalšího, mohou náklady lépe rozvrhnout.</w:t>
      </w:r>
      <w:r w:rsidR="00A5735A" w:rsidRPr="00D06F2A">
        <w:t xml:space="preserve"> </w:t>
      </w:r>
      <w:r w:rsidR="00A5735A" w:rsidRPr="00D06F2A">
        <w:rPr>
          <w:rFonts w:cs="Arial"/>
        </w:rPr>
        <w:t xml:space="preserve">Je patrné, že firmy spatřují důležitost v účasti svých zaměstnanců </w:t>
      </w:r>
      <w:r w:rsidR="002E6624" w:rsidRPr="00D06F2A">
        <w:rPr>
          <w:rFonts w:cs="Arial"/>
        </w:rPr>
        <w:t xml:space="preserve">ve </w:t>
      </w:r>
      <w:r w:rsidR="00A5735A" w:rsidRPr="00D06F2A">
        <w:rPr>
          <w:rFonts w:cs="Arial"/>
        </w:rPr>
        <w:t>vzdělávání</w:t>
      </w:r>
      <w:r w:rsidR="002E6624" w:rsidRPr="00D06F2A">
        <w:rPr>
          <w:rFonts w:cs="Arial"/>
        </w:rPr>
        <w:t xml:space="preserve"> a</w:t>
      </w:r>
      <w:r w:rsidR="00A5735A" w:rsidRPr="00D06F2A">
        <w:rPr>
          <w:rFonts w:cs="Arial"/>
        </w:rPr>
        <w:t xml:space="preserve"> nejedná se o okrajovou záležitost</w:t>
      </w:r>
      <w:r w:rsidR="002E6624" w:rsidRPr="00D06F2A">
        <w:rPr>
          <w:rFonts w:cs="Arial"/>
        </w:rPr>
        <w:t>.</w:t>
      </w:r>
    </w:p>
    <w:p w:rsidR="00291B11" w:rsidRPr="00D06F2A" w:rsidRDefault="00291B11" w:rsidP="00A95D95">
      <w:pPr>
        <w:spacing w:after="0"/>
        <w:contextualSpacing/>
        <w:jc w:val="both"/>
      </w:pPr>
    </w:p>
    <w:p w:rsidR="00977A39" w:rsidRPr="00977A39" w:rsidRDefault="00666A57" w:rsidP="00977A39">
      <w:pPr>
        <w:pStyle w:val="Titulek"/>
        <w:keepNext/>
        <w:spacing w:after="0"/>
        <w:contextualSpacing/>
        <w:jc w:val="both"/>
      </w:pPr>
      <w:bookmarkStart w:id="58" w:name="_Toc501615595"/>
      <w:r w:rsidRPr="00D06F2A">
        <w:t xml:space="preserve">Graf č. </w:t>
      </w:r>
      <w:r w:rsidR="007C3A3E" w:rsidRPr="00D06F2A">
        <w:fldChar w:fldCharType="begin"/>
      </w:r>
      <w:r w:rsidR="00C1214F" w:rsidRPr="00D06F2A">
        <w:instrText xml:space="preserve"> SEQ Graf_č. \* ARABIC </w:instrText>
      </w:r>
      <w:r w:rsidR="007C3A3E" w:rsidRPr="00D06F2A">
        <w:fldChar w:fldCharType="separate"/>
      </w:r>
      <w:r w:rsidR="00476EDB">
        <w:rPr>
          <w:noProof/>
        </w:rPr>
        <w:t>12</w:t>
      </w:r>
      <w:r w:rsidR="007C3A3E" w:rsidRPr="00D06F2A">
        <w:rPr>
          <w:noProof/>
        </w:rPr>
        <w:fldChar w:fldCharType="end"/>
      </w:r>
      <w:r w:rsidRPr="00D06F2A">
        <w:t>: Podíl firem s</w:t>
      </w:r>
      <w:r w:rsidR="00B82BCE" w:rsidRPr="00D06F2A">
        <w:t xml:space="preserve"> předem </w:t>
      </w:r>
      <w:r w:rsidRPr="00D06F2A">
        <w:t xml:space="preserve">vyčleněnými finančními prostředky na vzdělávání </w:t>
      </w:r>
      <w:r w:rsidR="00937621">
        <w:t xml:space="preserve">podle velikosti firmy, </w:t>
      </w:r>
      <w:r w:rsidRPr="00D06F2A">
        <w:t>1999</w:t>
      </w:r>
      <w:r w:rsidR="00D73AB5" w:rsidRPr="00D06F2A">
        <w:t>–</w:t>
      </w:r>
      <w:r w:rsidRPr="00D06F2A">
        <w:t>2015</w:t>
      </w:r>
      <w:bookmarkEnd w:id="58"/>
    </w:p>
    <w:p w:rsidR="004B1865" w:rsidRPr="00D06F2A" w:rsidRDefault="000D7509" w:rsidP="004B1865">
      <w:r>
        <w:rPr>
          <w:noProof/>
        </w:rPr>
        <w:drawing>
          <wp:inline distT="0" distB="0" distL="0" distR="0" wp14:anchorId="53B84A21" wp14:editId="186ECD45">
            <wp:extent cx="6115050" cy="2743200"/>
            <wp:effectExtent l="0" t="0" r="0" b="0"/>
            <wp:docPr id="91" name="Graf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1130" w:rsidRPr="00F31CE5" w:rsidRDefault="00541130" w:rsidP="00541130">
      <w:pPr>
        <w:spacing w:after="0"/>
        <w:contextualSpacing/>
        <w:jc w:val="both"/>
        <w:rPr>
          <w:sz w:val="18"/>
        </w:rPr>
      </w:pPr>
      <w:r w:rsidRPr="00D06F2A">
        <w:rPr>
          <w:sz w:val="18"/>
        </w:rPr>
        <w:t>Zdroj: šetření CVTS, ČSÚ 2017</w:t>
      </w:r>
    </w:p>
    <w:p w:rsidR="00541130" w:rsidRDefault="00541130" w:rsidP="00A95D95">
      <w:pPr>
        <w:spacing w:after="0"/>
        <w:contextualSpacing/>
        <w:jc w:val="both"/>
      </w:pPr>
    </w:p>
    <w:p w:rsidR="00541130" w:rsidRDefault="00541130" w:rsidP="00541130">
      <w:pPr>
        <w:spacing w:after="0"/>
        <w:contextualSpacing/>
        <w:jc w:val="both"/>
      </w:pPr>
      <w:r>
        <w:t xml:space="preserve">Sestavování rozpočtu je pro většinu firem nezbytností, </w:t>
      </w:r>
      <w:r w:rsidR="0074219B">
        <w:t>ačkoliv</w:t>
      </w:r>
      <w:r>
        <w:t xml:space="preserve"> někdy realita předčí plánování. Většina z firem (84 %) uvedla, že v roce 2015 vynaložila finanční prostředky, které souvisely se zajišťování</w:t>
      </w:r>
      <w:r w:rsidR="000449C6">
        <w:t>m</w:t>
      </w:r>
      <w:r>
        <w:t xml:space="preserve"> vzdělávání zaměstnanců. Téměř všechny firmy, které s tím v rozpočtu počítaly, fi</w:t>
      </w:r>
      <w:r w:rsidR="00F003C9">
        <w:t>nance na vzdělávání vynaložily. Vedle toho hradilo náklady za vzdělávání 25 % firem, které s touto nákladovou položkou v rozpočtu nepočítaly.</w:t>
      </w:r>
      <w:r w:rsidR="001D6E9C">
        <w:t xml:space="preserve"> </w:t>
      </w:r>
      <w:r>
        <w:t>Vynakládání finančních prostředků logicky souvisí se zajišťováním vzdělávání. Většina firem (94 %), které ve</w:t>
      </w:r>
      <w:r w:rsidR="00A440CF">
        <w:t> </w:t>
      </w:r>
      <w:r>
        <w:t>zkoumaném roce zajišťovaly kurzy nebo školení, zároveň za vzdělávání zaplatily. Zbylých 6 % firem buď kurzy či školení získal</w:t>
      </w:r>
      <w:r w:rsidR="00426595">
        <w:t>o</w:t>
      </w:r>
      <w:r>
        <w:t xml:space="preserve"> zadarmo</w:t>
      </w:r>
      <w:r w:rsidR="00426595">
        <w:t xml:space="preserve"> (například od dodavatelů), mělo</w:t>
      </w:r>
      <w:r>
        <w:t xml:space="preserve"> financování kurzů v tomto r</w:t>
      </w:r>
      <w:r w:rsidR="00F41177">
        <w:t xml:space="preserve">oce zajištěné z předcházejících </w:t>
      </w:r>
      <w:r>
        <w:t>let nebo vzděláva</w:t>
      </w:r>
      <w:r w:rsidR="001D6E9C">
        <w:t>l</w:t>
      </w:r>
      <w:r w:rsidR="00426595">
        <w:t>o</w:t>
      </w:r>
      <w:r w:rsidR="001D6E9C">
        <w:t xml:space="preserve"> své zaměstnance jinou formou.</w:t>
      </w:r>
    </w:p>
    <w:p w:rsidR="001D6E9C" w:rsidRDefault="001D6E9C" w:rsidP="00541130">
      <w:pPr>
        <w:spacing w:after="0"/>
        <w:contextualSpacing/>
        <w:jc w:val="both"/>
      </w:pPr>
    </w:p>
    <w:p w:rsidR="00EB6363" w:rsidRDefault="00666A57" w:rsidP="00666A57">
      <w:pPr>
        <w:pStyle w:val="Titulek"/>
      </w:pPr>
      <w:bookmarkStart w:id="59" w:name="_Ref500420021"/>
      <w:bookmarkStart w:id="60" w:name="_Toc501615596"/>
      <w:r>
        <w:lastRenderedPageBreak/>
        <w:t xml:space="preserve">Graf č. </w:t>
      </w:r>
      <w:r w:rsidR="007C3A3E">
        <w:fldChar w:fldCharType="begin"/>
      </w:r>
      <w:r w:rsidR="00C84608">
        <w:instrText xml:space="preserve"> SEQ Graf_č. \* ARABIC </w:instrText>
      </w:r>
      <w:r w:rsidR="007C3A3E">
        <w:fldChar w:fldCharType="separate"/>
      </w:r>
      <w:r w:rsidR="00476EDB">
        <w:rPr>
          <w:noProof/>
        </w:rPr>
        <w:t>13</w:t>
      </w:r>
      <w:r w:rsidR="007C3A3E">
        <w:rPr>
          <w:noProof/>
        </w:rPr>
        <w:fldChar w:fldCharType="end"/>
      </w:r>
      <w:bookmarkEnd w:id="59"/>
      <w:r>
        <w:t xml:space="preserve">: </w:t>
      </w:r>
      <w:r w:rsidRPr="00EB6363">
        <w:t>Podíl firem plánujících vzdělávání vč. jeho financování</w:t>
      </w:r>
      <w:r w:rsidR="00E55C96">
        <w:t xml:space="preserve"> a podíl firem, které vynaložily finance na vzdělávání</w:t>
      </w:r>
      <w:r w:rsidRPr="00EB6363">
        <w:t xml:space="preserve"> dle velikosti firmy</w:t>
      </w:r>
      <w:r>
        <w:t>, 2015</w:t>
      </w:r>
      <w:bookmarkEnd w:id="60"/>
    </w:p>
    <w:p w:rsidR="001D6E9C" w:rsidRPr="001D6E9C" w:rsidRDefault="000D7509" w:rsidP="00EB6363">
      <w:pPr>
        <w:spacing w:after="0"/>
        <w:contextualSpacing/>
        <w:jc w:val="both"/>
      </w:pPr>
      <w:r>
        <w:rPr>
          <w:noProof/>
        </w:rPr>
        <w:drawing>
          <wp:inline distT="0" distB="0" distL="0" distR="0" wp14:anchorId="2F85857B" wp14:editId="350CBFB1">
            <wp:extent cx="5862637" cy="3176588"/>
            <wp:effectExtent l="0" t="0" r="5080" b="5080"/>
            <wp:docPr id="92" name="Graf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22DF" w:rsidRDefault="006B22DF" w:rsidP="00EB6363">
      <w:pPr>
        <w:spacing w:after="0"/>
        <w:contextualSpacing/>
        <w:jc w:val="both"/>
        <w:rPr>
          <w:sz w:val="18"/>
        </w:rPr>
      </w:pPr>
    </w:p>
    <w:p w:rsidR="00EB6363" w:rsidRDefault="00EB6363" w:rsidP="00EB6363">
      <w:pPr>
        <w:spacing w:after="0"/>
        <w:contextualSpacing/>
        <w:jc w:val="both"/>
        <w:rPr>
          <w:sz w:val="18"/>
        </w:rPr>
      </w:pPr>
      <w:r>
        <w:rPr>
          <w:sz w:val="18"/>
        </w:rPr>
        <w:t>Z</w:t>
      </w:r>
      <w:r w:rsidRPr="00F31CE5">
        <w:rPr>
          <w:sz w:val="18"/>
        </w:rPr>
        <w:t>droj: šetření CVTS, ČSÚ 2017</w:t>
      </w:r>
    </w:p>
    <w:p w:rsidR="006B22DF" w:rsidRDefault="006B22DF" w:rsidP="00EB6363">
      <w:pPr>
        <w:spacing w:after="0"/>
        <w:contextualSpacing/>
        <w:jc w:val="both"/>
        <w:rPr>
          <w:sz w:val="18"/>
        </w:rPr>
      </w:pPr>
    </w:p>
    <w:p w:rsidR="006B22DF" w:rsidRDefault="006B22DF" w:rsidP="006B22DF">
      <w:pPr>
        <w:spacing w:after="0"/>
        <w:contextualSpacing/>
        <w:jc w:val="both"/>
      </w:pPr>
      <w:r>
        <w:t xml:space="preserve">Z velikostního hlediska finance za vzdělávání nejčastěji vydávaly firmy s 250 a více zaměstnanci a ty firmy, které se pohybují v oblasti </w:t>
      </w:r>
      <w:r w:rsidR="00B13BB9">
        <w:t>V</w:t>
      </w:r>
      <w:r w:rsidR="000449C6">
        <w:t>ýroba</w:t>
      </w:r>
      <w:r>
        <w:t xml:space="preserve"> a r</w:t>
      </w:r>
      <w:r w:rsidR="000449C6">
        <w:t>ozvod</w:t>
      </w:r>
      <w:r w:rsidR="00870338">
        <w:t xml:space="preserve"> energie, </w:t>
      </w:r>
      <w:r w:rsidR="00B13BB9">
        <w:t>plynu</w:t>
      </w:r>
      <w:r w:rsidR="00870338">
        <w:t>, vody, tepla</w:t>
      </w:r>
      <w:r w:rsidR="00B13BB9">
        <w:t xml:space="preserve"> (sekce </w:t>
      </w:r>
      <w:proofErr w:type="gramStart"/>
      <w:r w:rsidR="00B13BB9">
        <w:t>D</w:t>
      </w:r>
      <w:r>
        <w:t>E</w:t>
      </w:r>
      <w:proofErr w:type="gramEnd"/>
      <w:r>
        <w:t>; 94 %). Vysvětlení vyplývá z nejvyšší četnosti kurzů, které v těchto kategoriích byly ve zkoumaném roce pořádány.</w:t>
      </w:r>
    </w:p>
    <w:p w:rsidR="00541130" w:rsidRDefault="00541130" w:rsidP="00541130">
      <w:pPr>
        <w:spacing w:after="0"/>
        <w:contextualSpacing/>
        <w:jc w:val="both"/>
      </w:pPr>
    </w:p>
    <w:p w:rsidR="00152969" w:rsidRPr="00E81E8A" w:rsidRDefault="00152969" w:rsidP="006B22DF">
      <w:pPr>
        <w:pStyle w:val="Nadpis4"/>
        <w:spacing w:after="120"/>
      </w:pPr>
      <w:bookmarkStart w:id="61" w:name="_Toc490472726"/>
      <w:bookmarkStart w:id="62" w:name="_Toc501614100"/>
      <w:r>
        <w:t xml:space="preserve">Zpětné vyhodnocování </w:t>
      </w:r>
      <w:r w:rsidRPr="00E81E8A">
        <w:t>vzdělávání</w:t>
      </w:r>
      <w:bookmarkEnd w:id="61"/>
      <w:bookmarkEnd w:id="62"/>
    </w:p>
    <w:p w:rsidR="00152969" w:rsidRDefault="00152969" w:rsidP="006B22DF">
      <w:pPr>
        <w:spacing w:after="0"/>
        <w:contextualSpacing/>
        <w:jc w:val="both"/>
      </w:pPr>
      <w:r>
        <w:t xml:space="preserve">Po plánování a uskutečňování vzdělávání dochází u 42 % firem i k jeho </w:t>
      </w:r>
      <w:r w:rsidR="00354505">
        <w:t xml:space="preserve">následnému </w:t>
      </w:r>
      <w:r>
        <w:t>vyhodnocování. Čtvrtina firem (28 %) provádí evaluaci jen u některých forem vzdělávání, 14 % firem hodnotí všechny aktivity. Vyhodnocování uskutečněného vzdělávání pochopitelně souvisí s jeho prováděním ve firmě a částečně i</w:t>
      </w:r>
      <w:r w:rsidR="00A440CF">
        <w:t> </w:t>
      </w:r>
      <w:r>
        <w:t xml:space="preserve">s tím, zda je předem naplánováno. Nicméně </w:t>
      </w:r>
      <w:r w:rsidR="00E232A2">
        <w:t>přibližně</w:t>
      </w:r>
      <w:r>
        <w:t xml:space="preserve"> pětina firem, které vzdělávání předem neplánovaly, následně vzdělávací aktivity vyhodnocuje, naopak třetina firem, které vzdělávání plánují, evaluaci neprovádí. Nejčastěji je vzdělávání vyhodnocováno opět ve velkých firmách a v těc</w:t>
      </w:r>
      <w:r w:rsidR="00B13BB9">
        <w:t>h, které se pohybují v oblasti P</w:t>
      </w:r>
      <w:r>
        <w:t xml:space="preserve">eněžnictví a pojišťovnictví (sekce K), což souvisí s velkým množstvím prováděných vzdělávacích aktivit právě v těchto firmách. Častěji dále evaluaci provádějí firmy se zahraničním vrcholovým vlastníkem, mezi kterými jsou ovšem nadprůměrně zastoupeny právě firmy velké a firmy podnikající v oblasti </w:t>
      </w:r>
      <w:r w:rsidR="00B13BB9">
        <w:t>P</w:t>
      </w:r>
      <w:r>
        <w:t>eněžnictví a</w:t>
      </w:r>
      <w:r w:rsidR="00A440CF">
        <w:t> </w:t>
      </w:r>
      <w:r>
        <w:t xml:space="preserve">pojišťovnictví. </w:t>
      </w:r>
    </w:p>
    <w:p w:rsidR="00152969" w:rsidRDefault="00152969" w:rsidP="00152969">
      <w:pPr>
        <w:spacing w:after="0"/>
        <w:ind w:firstLine="708"/>
        <w:contextualSpacing/>
        <w:jc w:val="both"/>
      </w:pPr>
    </w:p>
    <w:p w:rsidR="00426B93" w:rsidRDefault="00426B93" w:rsidP="00426B93">
      <w:pPr>
        <w:spacing w:after="0"/>
        <w:contextualSpacing/>
        <w:jc w:val="both"/>
      </w:pPr>
      <w:r>
        <w:t>Evaluaci realizovaného vzdělávání může firma provádět různými metodami. Nejčastější metodou, kterou používá pětina firem, je zjišťování spokojenosti účastníkům s realizovaným vzděláváním. Tato metoda může být oblíbená i díky své jednoduchosti (např. formou hodnotící ankety mezi účastníky vzdělávání), zároveň však poskytuje cennou zpětnou vazbu na průběh vzdělávání, lektora, obsah kurzu atp. Pro vyhodnocení dopadu vzdělávání a jeho vlivu na zlepšení znalostí a dovedností zaměstnanců jsou však patrně vhodnější jiné metody, rovněž uvedené v</w:t>
      </w:r>
      <w:r w:rsidR="00EF3498">
        <w:t> grafu č. 14.</w:t>
      </w:r>
    </w:p>
    <w:p w:rsidR="00426B93" w:rsidRDefault="00426B93" w:rsidP="00152969">
      <w:pPr>
        <w:spacing w:after="0"/>
        <w:contextualSpacing/>
        <w:jc w:val="both"/>
      </w:pPr>
    </w:p>
    <w:p w:rsidR="00666A57" w:rsidRDefault="00666A57" w:rsidP="00666A57">
      <w:pPr>
        <w:pStyle w:val="Titulek"/>
        <w:keepNext/>
        <w:jc w:val="both"/>
      </w:pPr>
      <w:bookmarkStart w:id="63" w:name="_Ref496173616"/>
      <w:bookmarkStart w:id="64" w:name="_Toc501615597"/>
      <w:r>
        <w:lastRenderedPageBreak/>
        <w:t xml:space="preserve">Graf č. </w:t>
      </w:r>
      <w:r w:rsidR="007C3A3E">
        <w:fldChar w:fldCharType="begin"/>
      </w:r>
      <w:r w:rsidR="00C84608">
        <w:instrText xml:space="preserve"> SEQ Graf_č. \* ARABIC </w:instrText>
      </w:r>
      <w:r w:rsidR="007C3A3E">
        <w:fldChar w:fldCharType="separate"/>
      </w:r>
      <w:r w:rsidR="00476EDB">
        <w:rPr>
          <w:noProof/>
        </w:rPr>
        <w:t>14</w:t>
      </w:r>
      <w:r w:rsidR="007C3A3E">
        <w:rPr>
          <w:noProof/>
        </w:rPr>
        <w:fldChar w:fldCharType="end"/>
      </w:r>
      <w:bookmarkEnd w:id="63"/>
      <w:r>
        <w:t xml:space="preserve">: </w:t>
      </w:r>
      <w:r w:rsidR="00093EEF">
        <w:t xml:space="preserve">Podíl firem využívajících </w:t>
      </w:r>
      <w:r w:rsidRPr="00EB3714">
        <w:t>dané metody hodnocení vzdělávání</w:t>
      </w:r>
      <w:r>
        <w:t>, 2015</w:t>
      </w:r>
      <w:bookmarkEnd w:id="64"/>
    </w:p>
    <w:p w:rsidR="00152969" w:rsidRDefault="000D7509" w:rsidP="00541130">
      <w:pPr>
        <w:spacing w:after="0"/>
        <w:contextualSpacing/>
        <w:jc w:val="both"/>
      </w:pPr>
      <w:r>
        <w:rPr>
          <w:noProof/>
        </w:rPr>
        <w:drawing>
          <wp:inline distT="0" distB="0" distL="0" distR="0" wp14:anchorId="61EAE31B" wp14:editId="12C65DDE">
            <wp:extent cx="5972175" cy="2571750"/>
            <wp:effectExtent l="0" t="0" r="0" b="0"/>
            <wp:docPr id="93" name="Graf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6B93" w:rsidRPr="00F31CE5" w:rsidRDefault="00426B93" w:rsidP="00426B93">
      <w:pPr>
        <w:spacing w:after="0"/>
        <w:contextualSpacing/>
        <w:jc w:val="both"/>
        <w:rPr>
          <w:sz w:val="18"/>
        </w:rPr>
      </w:pPr>
      <w:r>
        <w:rPr>
          <w:sz w:val="18"/>
        </w:rPr>
        <w:t>Z</w:t>
      </w:r>
      <w:r w:rsidRPr="00F31CE5">
        <w:rPr>
          <w:sz w:val="18"/>
        </w:rPr>
        <w:t>droj: šetření CVTS, ČSÚ 2017</w:t>
      </w:r>
    </w:p>
    <w:p w:rsidR="00426B93" w:rsidRPr="00F31CE5" w:rsidRDefault="00555EE6" w:rsidP="00426B93">
      <w:pPr>
        <w:spacing w:after="0"/>
        <w:jc w:val="both"/>
        <w:rPr>
          <w:sz w:val="18"/>
        </w:rPr>
      </w:pPr>
      <w:r>
        <w:rPr>
          <w:sz w:val="18"/>
        </w:rPr>
        <w:t>Pozn.:</w:t>
      </w:r>
      <w:r w:rsidR="00426B93" w:rsidRPr="00F31CE5">
        <w:rPr>
          <w:sz w:val="18"/>
        </w:rPr>
        <w:t xml:space="preserve"> firmy mohly uvést více možností</w:t>
      </w:r>
    </w:p>
    <w:p w:rsidR="00B67966" w:rsidRDefault="00B67966" w:rsidP="00666A57">
      <w:pPr>
        <w:contextualSpacing/>
        <w:jc w:val="both"/>
      </w:pPr>
    </w:p>
    <w:p w:rsidR="00AB4DCD" w:rsidRDefault="00666A57" w:rsidP="00B67966">
      <w:pPr>
        <w:contextualSpacing/>
        <w:jc w:val="both"/>
      </w:pPr>
      <w:r>
        <w:t>Firmy, které evaluaci provádějí, nejčastěji (23 %) využívají jen jednu metodu hodnocení</w:t>
      </w:r>
      <w:r w:rsidR="0074219B">
        <w:t>,</w:t>
      </w:r>
      <w:r>
        <w:t xml:space="preserve"> a to buď zjišťování spokojenosti, nebo posuzování výkonu zaměstnanců vzhledem k cílům vzdělávání. Jiné</w:t>
      </w:r>
      <w:r w:rsidRPr="004156F5">
        <w:t xml:space="preserve"> firmy komb</w:t>
      </w:r>
      <w:r>
        <w:t>inují více vyhodnocovacích metod, čímž</w:t>
      </w:r>
      <w:r w:rsidRPr="004156F5">
        <w:t xml:space="preserve"> zjistí o </w:t>
      </w:r>
      <w:r>
        <w:t>realizovaném</w:t>
      </w:r>
      <w:r w:rsidRPr="004156F5">
        <w:t xml:space="preserve"> vzdělávání (a </w:t>
      </w:r>
      <w:r>
        <w:t>investici do něj) více informací. Dvě vyhodnocovací metody používá 13 % firem, tři a více 6 %. Vyhodnocování vzdělávání jeho účastníky, ať už jakoukoli formou, dává vedení firmy cennou zpětnou vazbu, která se může v příštích objednávkách projevit lepší specifikací obsahu či formy, změnou dodavatele kurzu nebo výběrem úplně jiného tematického zaměření. To firmě přináší finanční úspory, resp. kvalitnější využití zdrojů a posiluje uvádění teoretických znalostí do praxe.</w:t>
      </w:r>
      <w:r w:rsidR="00AB4DCD">
        <w:br w:type="page"/>
      </w:r>
    </w:p>
    <w:p w:rsidR="00AB4DCD" w:rsidRDefault="00AB4DCD" w:rsidP="00AB4DCD">
      <w:pPr>
        <w:pStyle w:val="Nadpis2"/>
      </w:pPr>
      <w:bookmarkStart w:id="65" w:name="_Kapitola_2:_Účast"/>
      <w:bookmarkStart w:id="66" w:name="_Ref496167833"/>
      <w:bookmarkStart w:id="67" w:name="_Toc501614101"/>
      <w:bookmarkStart w:id="68" w:name="_Toc485639755"/>
      <w:bookmarkStart w:id="69" w:name="_Toc490472727"/>
      <w:bookmarkEnd w:id="65"/>
      <w:r>
        <w:lastRenderedPageBreak/>
        <w:t xml:space="preserve">Kapitola 2: </w:t>
      </w:r>
      <w:r w:rsidRPr="004E0A65">
        <w:t xml:space="preserve">Účast zaměstnanců </w:t>
      </w:r>
      <w:r>
        <w:t xml:space="preserve">na dalším odborném </w:t>
      </w:r>
      <w:r w:rsidRPr="004E0A65">
        <w:t>vzdělávání</w:t>
      </w:r>
      <w:bookmarkEnd w:id="66"/>
      <w:bookmarkEnd w:id="67"/>
      <w:r>
        <w:t xml:space="preserve"> </w:t>
      </w:r>
      <w:bookmarkEnd w:id="68"/>
      <w:bookmarkEnd w:id="69"/>
    </w:p>
    <w:p w:rsidR="00AB4DCD" w:rsidRDefault="00AB4DCD" w:rsidP="00AB4DCD">
      <w:pPr>
        <w:spacing w:after="0"/>
        <w:ind w:firstLine="708"/>
        <w:contextualSpacing/>
        <w:jc w:val="both"/>
      </w:pPr>
    </w:p>
    <w:p w:rsidR="00AB4DCD" w:rsidRDefault="00AB4DCD" w:rsidP="00D61365">
      <w:pPr>
        <w:spacing w:after="0"/>
        <w:contextualSpacing/>
        <w:jc w:val="both"/>
      </w:pPr>
      <w:r>
        <w:t xml:space="preserve">Vzdělávání probíhá celou řadou různých forem, u některých z nich si vzdělávající se ani nemusí být procesu vzdělávání vědom. To se vztahuje zejména k běžné pracovní činnosti </w:t>
      </w:r>
      <w:r w:rsidR="00D61365">
        <w:t>–</w:t>
      </w:r>
      <w:r>
        <w:t xml:space="preserve"> v práci se člověk v ideálním případě učí tím, že pracuje, zvládá nové úkoly, nové výzvy, přemýšlí nad inovativním řešením nebo diskutuje o</w:t>
      </w:r>
      <w:r w:rsidR="00A440CF">
        <w:t> </w:t>
      </w:r>
      <w:r>
        <w:t>nových možnostech s kolegy. Kromě takového neinstitucionalizovaného učení však firmy podporují i</w:t>
      </w:r>
      <w:r w:rsidR="00A440CF">
        <w:t> </w:t>
      </w:r>
      <w:r>
        <w:t xml:space="preserve">institucionalizované </w:t>
      </w:r>
      <w:r w:rsidR="00813C9F">
        <w:t xml:space="preserve">a organizované </w:t>
      </w:r>
      <w:r>
        <w:t>formy</w:t>
      </w:r>
      <w:r w:rsidR="00813C9F">
        <w:t xml:space="preserve"> vzdělávání</w:t>
      </w:r>
      <w:r>
        <w:t>, které jsou sledovány v rámci šetření CVTS.</w:t>
      </w:r>
    </w:p>
    <w:p w:rsidR="00D61365" w:rsidRDefault="00D61365" w:rsidP="00D61365">
      <w:pPr>
        <w:spacing w:after="0"/>
        <w:contextualSpacing/>
        <w:jc w:val="both"/>
      </w:pPr>
    </w:p>
    <w:p w:rsidR="00AB4DCD" w:rsidRDefault="00AB4DCD" w:rsidP="00AB4DCD">
      <w:pPr>
        <w:spacing w:after="0"/>
        <w:contextualSpacing/>
        <w:jc w:val="both"/>
      </w:pPr>
      <w:r>
        <w:t>Kromě vymezení účasti zaměstnanců v jednotlivých formách vzdělávání se kapitola zaměřuje také na</w:t>
      </w:r>
      <w:r w:rsidR="00A440CF">
        <w:t> </w:t>
      </w:r>
      <w:r>
        <w:t>možnou diskrepanci mezi vzdělávacími potřebami a reálnou účastí ve vzdělávání, např. nenaplněním pociťovaných vzdělávacích potřeb zaměstnanců. Rozhodnutí o firemním vzdělávání závisí na mnoha faktorech, jejichž vzájemné sladění může být v některých případech složité. Jedná se např. o obecný zájem firmy, objem disponibilních financí, které</w:t>
      </w:r>
      <w:r w:rsidR="001A41AF">
        <w:t xml:space="preserve"> mohou být vynaloženy, nezbytný čas</w:t>
      </w:r>
      <w:r>
        <w:t>, nabíd</w:t>
      </w:r>
      <w:r w:rsidR="001A41AF">
        <w:t>ku</w:t>
      </w:r>
      <w:r>
        <w:t xml:space="preserve">, která může být firmě předložena a v neposlední řadě </w:t>
      </w:r>
      <w:r w:rsidR="00CD7869">
        <w:t xml:space="preserve">i </w:t>
      </w:r>
      <w:r w:rsidR="001A41AF">
        <w:t>o</w:t>
      </w:r>
      <w:r>
        <w:t xml:space="preserve"> předpoklad</w:t>
      </w:r>
      <w:r w:rsidR="001A41AF">
        <w:t>y (např. vědomostní) a zájem</w:t>
      </w:r>
      <w:r>
        <w:t xml:space="preserve"> zaměstnanců účastnit se některého z druhů firemního vzdělávání.</w:t>
      </w:r>
    </w:p>
    <w:p w:rsidR="00AB4DCD" w:rsidRDefault="00AB4DCD" w:rsidP="00AB4DCD">
      <w:pPr>
        <w:spacing w:after="0"/>
        <w:contextualSpacing/>
        <w:jc w:val="both"/>
      </w:pPr>
    </w:p>
    <w:p w:rsidR="00AB4DCD" w:rsidRDefault="00AB4DCD" w:rsidP="00AB4DCD">
      <w:pPr>
        <w:spacing w:after="0"/>
        <w:contextualSpacing/>
        <w:jc w:val="both"/>
      </w:pPr>
      <w:r>
        <w:t xml:space="preserve">Jak vyplývá </w:t>
      </w:r>
      <w:r w:rsidR="00764811">
        <w:t>z</w:t>
      </w:r>
      <w:r w:rsidR="00EF3498">
        <w:t> první kapitoly</w:t>
      </w:r>
      <w:r>
        <w:t>, valná většina firem poskytovala svým zaměstnancům nějakou formu vzdělávání. Nejčastěji se jednalo o kurzy a školení povinné ze zákona, celá řada firem však nezůstávala pozadu ani s</w:t>
      </w:r>
      <w:r w:rsidR="00A440CF">
        <w:t> </w:t>
      </w:r>
      <w:r>
        <w:t>dalšími formami vzdělávání, které jim zákon zajišťovat neukládal.</w:t>
      </w:r>
    </w:p>
    <w:p w:rsidR="00AB4DCD" w:rsidRDefault="00AB4DCD" w:rsidP="00AB4DCD">
      <w:pPr>
        <w:pStyle w:val="Nadpis3"/>
      </w:pPr>
    </w:p>
    <w:p w:rsidR="00AB4DCD" w:rsidRDefault="00EC53DF" w:rsidP="00AB4DCD">
      <w:pPr>
        <w:pStyle w:val="Nadpis3"/>
      </w:pPr>
      <w:bookmarkStart w:id="70" w:name="_Toc490472728"/>
      <w:bookmarkStart w:id="71" w:name="_Toc501614102"/>
      <w:r>
        <w:t>H</w:t>
      </w:r>
      <w:r w:rsidR="00AB4DCD">
        <w:t>lavní zjištění</w:t>
      </w:r>
      <w:bookmarkEnd w:id="70"/>
      <w:bookmarkEnd w:id="71"/>
    </w:p>
    <w:p w:rsidR="00AB4DCD" w:rsidRPr="00EB211F" w:rsidRDefault="00AB4DCD" w:rsidP="00C162CA">
      <w:pPr>
        <w:pStyle w:val="Odstavecseseznamem"/>
        <w:numPr>
          <w:ilvl w:val="0"/>
          <w:numId w:val="15"/>
        </w:numPr>
        <w:spacing w:after="200"/>
        <w:ind w:left="714" w:hanging="357"/>
        <w:jc w:val="both"/>
        <w:rPr>
          <w:rFonts w:cs="Arial"/>
        </w:rPr>
      </w:pPr>
      <w:r w:rsidRPr="00EB211F">
        <w:rPr>
          <w:rFonts w:cs="Arial"/>
        </w:rPr>
        <w:t xml:space="preserve">U kurzů/školení využívá více firem nabídky externích poskytovatelů vzdělávání </w:t>
      </w:r>
      <w:r w:rsidR="001A41AF">
        <w:rPr>
          <w:rFonts w:cs="Arial"/>
        </w:rPr>
        <w:t xml:space="preserve">(79 %) </w:t>
      </w:r>
      <w:r w:rsidRPr="00EB211F">
        <w:rPr>
          <w:rFonts w:cs="Arial"/>
        </w:rPr>
        <w:t>než interní zabezpečení</w:t>
      </w:r>
      <w:r w:rsidR="001A41AF">
        <w:rPr>
          <w:rFonts w:cs="Arial"/>
        </w:rPr>
        <w:t xml:space="preserve"> (51 %)</w:t>
      </w:r>
      <w:r w:rsidR="00C162CA">
        <w:rPr>
          <w:rStyle w:val="Znakapoznpodarou"/>
          <w:rFonts w:eastAsia="MS Gothic"/>
        </w:rPr>
        <w:footnoteReference w:id="5"/>
      </w:r>
      <w:r w:rsidRPr="00EB211F">
        <w:rPr>
          <w:rFonts w:cs="Arial"/>
        </w:rPr>
        <w:t xml:space="preserve">. </w:t>
      </w:r>
      <w:r w:rsidR="00810A9E">
        <w:rPr>
          <w:rFonts w:cs="Arial"/>
        </w:rPr>
        <w:t>Zajištění povinných kurzů externí formou zvolilo 64 % všech firem, interní 45</w:t>
      </w:r>
      <w:r w:rsidR="00A440CF">
        <w:rPr>
          <w:rFonts w:cs="Arial"/>
        </w:rPr>
        <w:t> </w:t>
      </w:r>
      <w:r w:rsidR="00810A9E">
        <w:rPr>
          <w:rFonts w:cs="Arial"/>
        </w:rPr>
        <w:t xml:space="preserve">%. </w:t>
      </w:r>
      <w:r w:rsidRPr="00EB211F">
        <w:rPr>
          <w:rFonts w:cs="Arial"/>
        </w:rPr>
        <w:t xml:space="preserve">U kurzů nepovinných externí nabídky využilo 48 % </w:t>
      </w:r>
      <w:r w:rsidR="004013CA">
        <w:rPr>
          <w:rFonts w:cs="Arial"/>
        </w:rPr>
        <w:t xml:space="preserve">všech </w:t>
      </w:r>
      <w:r w:rsidRPr="00EB211F">
        <w:rPr>
          <w:rFonts w:cs="Arial"/>
        </w:rPr>
        <w:t xml:space="preserve">firem, interně </w:t>
      </w:r>
      <w:r w:rsidR="00813C9F">
        <w:rPr>
          <w:rFonts w:cs="Arial"/>
        </w:rPr>
        <w:t xml:space="preserve">nepovinný </w:t>
      </w:r>
      <w:r w:rsidRPr="00EB211F">
        <w:rPr>
          <w:rFonts w:cs="Arial"/>
        </w:rPr>
        <w:t xml:space="preserve">kurz zajistilo 19 % firem. Nejčastějším (53 %) </w:t>
      </w:r>
      <w:r w:rsidR="00813C9F">
        <w:rPr>
          <w:rFonts w:cs="Arial"/>
        </w:rPr>
        <w:t xml:space="preserve">externím </w:t>
      </w:r>
      <w:r w:rsidRPr="00EB211F">
        <w:rPr>
          <w:rFonts w:cs="Arial"/>
        </w:rPr>
        <w:t xml:space="preserve">poskytovatelem </w:t>
      </w:r>
      <w:r w:rsidR="00813C9F">
        <w:rPr>
          <w:rFonts w:cs="Arial"/>
        </w:rPr>
        <w:t>vzdělávacích</w:t>
      </w:r>
      <w:r w:rsidR="00813C9F" w:rsidRPr="00EB211F">
        <w:rPr>
          <w:rFonts w:cs="Arial"/>
        </w:rPr>
        <w:t xml:space="preserve"> </w:t>
      </w:r>
      <w:r w:rsidRPr="00EB211F">
        <w:rPr>
          <w:rFonts w:cs="Arial"/>
        </w:rPr>
        <w:t>kurzů je soukromá vzdělávací společnost.</w:t>
      </w:r>
    </w:p>
    <w:p w:rsidR="00AB4DCD" w:rsidRPr="00EB211F" w:rsidRDefault="00AB4DCD" w:rsidP="00C162CA">
      <w:pPr>
        <w:pStyle w:val="Odstavecseseznamem"/>
        <w:numPr>
          <w:ilvl w:val="0"/>
          <w:numId w:val="15"/>
        </w:numPr>
        <w:spacing w:after="200"/>
        <w:ind w:left="714" w:hanging="357"/>
        <w:jc w:val="both"/>
        <w:rPr>
          <w:rFonts w:cs="Arial"/>
        </w:rPr>
      </w:pPr>
      <w:r w:rsidRPr="00EB211F">
        <w:rPr>
          <w:rFonts w:cs="Arial"/>
        </w:rPr>
        <w:t xml:space="preserve"> V roce 2015 se nějakého povinného kurzu či školení zúčastnilo </w:t>
      </w:r>
      <w:r w:rsidR="00AC376D">
        <w:rPr>
          <w:rFonts w:cs="Arial"/>
        </w:rPr>
        <w:t>v průměru</w:t>
      </w:r>
      <w:r>
        <w:rPr>
          <w:rFonts w:cs="Arial"/>
        </w:rPr>
        <w:t xml:space="preserve"> 7</w:t>
      </w:r>
      <w:r w:rsidR="00BE7B7D">
        <w:rPr>
          <w:rFonts w:cs="Arial"/>
        </w:rPr>
        <w:t>5</w:t>
      </w:r>
      <w:r>
        <w:rPr>
          <w:rFonts w:cs="Arial"/>
        </w:rPr>
        <w:t xml:space="preserve"> % zaměstnanců všech firem, </w:t>
      </w:r>
      <w:r w:rsidRPr="00EB211F">
        <w:rPr>
          <w:rFonts w:cs="Arial"/>
        </w:rPr>
        <w:t xml:space="preserve">nepovinného </w:t>
      </w:r>
      <w:r>
        <w:rPr>
          <w:rFonts w:cs="Arial"/>
        </w:rPr>
        <w:t xml:space="preserve">kurzu poté </w:t>
      </w:r>
      <w:r w:rsidR="00AC376D">
        <w:rPr>
          <w:rFonts w:cs="Arial"/>
        </w:rPr>
        <w:t>3</w:t>
      </w:r>
      <w:r w:rsidR="00BE7B7D">
        <w:rPr>
          <w:rFonts w:cs="Arial"/>
        </w:rPr>
        <w:t>0</w:t>
      </w:r>
      <w:r w:rsidRPr="00EB211F">
        <w:rPr>
          <w:rFonts w:cs="Arial"/>
        </w:rPr>
        <w:t xml:space="preserve"> %</w:t>
      </w:r>
      <w:r>
        <w:rPr>
          <w:rFonts w:cs="Arial"/>
        </w:rPr>
        <w:t xml:space="preserve"> zaměstnanců</w:t>
      </w:r>
      <w:r w:rsidRPr="00EB211F">
        <w:rPr>
          <w:rFonts w:cs="Arial"/>
        </w:rPr>
        <w:t>.</w:t>
      </w:r>
    </w:p>
    <w:p w:rsidR="00AB4DCD" w:rsidRPr="00EB211F" w:rsidRDefault="00813C9F" w:rsidP="00C162CA">
      <w:pPr>
        <w:pStyle w:val="Odstavecseseznamem"/>
        <w:numPr>
          <w:ilvl w:val="0"/>
          <w:numId w:val="15"/>
        </w:numPr>
        <w:spacing w:after="200"/>
        <w:ind w:left="714" w:hanging="357"/>
        <w:jc w:val="both"/>
        <w:rPr>
          <w:rFonts w:cs="Arial"/>
        </w:rPr>
      </w:pPr>
      <w:r>
        <w:rPr>
          <w:rFonts w:cs="Arial"/>
        </w:rPr>
        <w:t>V rámci</w:t>
      </w:r>
      <w:r w:rsidR="00AB4DCD" w:rsidRPr="00EB211F">
        <w:rPr>
          <w:rFonts w:cs="Arial"/>
        </w:rPr>
        <w:t> nepovinných kurzů se v roce 2015 nejčastěji školily specifické dovednosti potřebné pro výkon povolání (3</w:t>
      </w:r>
      <w:r w:rsidR="00AC376D">
        <w:rPr>
          <w:rFonts w:cs="Arial"/>
        </w:rPr>
        <w:t>1</w:t>
      </w:r>
      <w:r w:rsidR="00AB4DCD" w:rsidRPr="00EB211F">
        <w:rPr>
          <w:rFonts w:cs="Arial"/>
        </w:rPr>
        <w:t xml:space="preserve"> % firem) a </w:t>
      </w:r>
      <w:r w:rsidR="004C0DB7">
        <w:rPr>
          <w:rFonts w:cs="Arial"/>
        </w:rPr>
        <w:t>cizí jazyk</w:t>
      </w:r>
      <w:r w:rsidR="001A41AF">
        <w:rPr>
          <w:rFonts w:cs="Arial"/>
        </w:rPr>
        <w:t>y</w:t>
      </w:r>
      <w:r w:rsidR="00AB4DCD" w:rsidRPr="00EB211F">
        <w:rPr>
          <w:rFonts w:cs="Arial"/>
        </w:rPr>
        <w:t xml:space="preserve"> (15 %). </w:t>
      </w:r>
    </w:p>
    <w:p w:rsidR="00AB4DCD" w:rsidRPr="00EB211F" w:rsidRDefault="00AB4DCD" w:rsidP="00C162CA">
      <w:pPr>
        <w:pStyle w:val="Odstavecseseznamem"/>
        <w:numPr>
          <w:ilvl w:val="0"/>
          <w:numId w:val="15"/>
        </w:numPr>
        <w:spacing w:after="200"/>
        <w:ind w:left="714" w:hanging="357"/>
        <w:jc w:val="both"/>
        <w:rPr>
          <w:rFonts w:cs="Arial"/>
        </w:rPr>
      </w:pPr>
      <w:r w:rsidRPr="00EB211F">
        <w:rPr>
          <w:rFonts w:cs="Arial"/>
        </w:rPr>
        <w:t xml:space="preserve">Z jiných forem vzdělávání nejčastěji firmy </w:t>
      </w:r>
      <w:r w:rsidR="00D65CC8">
        <w:rPr>
          <w:rFonts w:cs="Arial"/>
        </w:rPr>
        <w:t>poskytovaly</w:t>
      </w:r>
      <w:r w:rsidR="00D65CC8" w:rsidRPr="00EB211F">
        <w:rPr>
          <w:rFonts w:cs="Arial"/>
        </w:rPr>
        <w:t xml:space="preserve"> </w:t>
      </w:r>
      <w:r w:rsidRPr="00EB211F">
        <w:rPr>
          <w:rFonts w:cs="Arial"/>
        </w:rPr>
        <w:t>instruktáž</w:t>
      </w:r>
      <w:r w:rsidR="00D65CC8">
        <w:rPr>
          <w:rFonts w:cs="Arial"/>
        </w:rPr>
        <w:t xml:space="preserve"> nebo zaškolování</w:t>
      </w:r>
      <w:r w:rsidRPr="00EB211F">
        <w:rPr>
          <w:rFonts w:cs="Arial"/>
        </w:rPr>
        <w:t xml:space="preserve"> na pracovišti</w:t>
      </w:r>
      <w:r w:rsidR="00D65CC8">
        <w:rPr>
          <w:rFonts w:cs="Arial"/>
        </w:rPr>
        <w:t xml:space="preserve"> </w:t>
      </w:r>
      <w:r w:rsidR="00D65CC8" w:rsidRPr="00EB211F">
        <w:rPr>
          <w:rFonts w:cs="Arial"/>
        </w:rPr>
        <w:t>(27</w:t>
      </w:r>
      <w:r w:rsidR="00A440CF">
        <w:rPr>
          <w:rFonts w:cs="Arial"/>
        </w:rPr>
        <w:t> </w:t>
      </w:r>
      <w:r w:rsidR="00D65CC8" w:rsidRPr="00EB211F">
        <w:rPr>
          <w:rFonts w:cs="Arial"/>
        </w:rPr>
        <w:t>%</w:t>
      </w:r>
      <w:r w:rsidR="00D65CC8">
        <w:rPr>
          <w:rFonts w:cs="Arial"/>
        </w:rPr>
        <w:t xml:space="preserve"> všech firem</w:t>
      </w:r>
      <w:r w:rsidR="00D65CC8" w:rsidRPr="00EB211F">
        <w:rPr>
          <w:rFonts w:cs="Arial"/>
        </w:rPr>
        <w:t>)</w:t>
      </w:r>
      <w:r w:rsidRPr="00EB211F">
        <w:rPr>
          <w:rFonts w:cs="Arial"/>
        </w:rPr>
        <w:t xml:space="preserve">, nejméně </w:t>
      </w:r>
      <w:r w:rsidR="00D65CC8">
        <w:rPr>
          <w:rFonts w:cs="Arial"/>
        </w:rPr>
        <w:t xml:space="preserve">častou formou vzdělávání, kterou využila pouze asi 4 </w:t>
      </w:r>
      <w:r w:rsidR="00D65CC8">
        <w:rPr>
          <w:rFonts w:cs="Arial"/>
          <w:lang w:val="en-US"/>
        </w:rPr>
        <w:t xml:space="preserve">% </w:t>
      </w:r>
      <w:r w:rsidRPr="00EB211F">
        <w:rPr>
          <w:rFonts w:cs="Arial"/>
        </w:rPr>
        <w:t>firem</w:t>
      </w:r>
      <w:r w:rsidR="007C7DD2">
        <w:rPr>
          <w:rFonts w:cs="Arial"/>
        </w:rPr>
        <w:t>,</w:t>
      </w:r>
      <w:r w:rsidRPr="00EB211F">
        <w:rPr>
          <w:rFonts w:cs="Arial"/>
        </w:rPr>
        <w:t xml:space="preserve"> </w:t>
      </w:r>
      <w:r w:rsidR="00D65CC8">
        <w:rPr>
          <w:rFonts w:cs="Arial"/>
        </w:rPr>
        <w:t>byly</w:t>
      </w:r>
      <w:r w:rsidRPr="00EB211F">
        <w:rPr>
          <w:rFonts w:cs="Arial"/>
        </w:rPr>
        <w:t xml:space="preserve"> kroužky kvality. Instruktáže či zaškolování se rovněž účastnilo nejvíce zaměstnanců</w:t>
      </w:r>
      <w:r w:rsidR="000332C4">
        <w:rPr>
          <w:rFonts w:cs="Arial"/>
        </w:rPr>
        <w:t xml:space="preserve"> </w:t>
      </w:r>
      <w:r w:rsidR="000332C4" w:rsidRPr="00EB211F">
        <w:rPr>
          <w:rFonts w:cs="Arial"/>
        </w:rPr>
        <w:t>(42 %)</w:t>
      </w:r>
      <w:r w:rsidRPr="00EB211F">
        <w:rPr>
          <w:rFonts w:cs="Arial"/>
        </w:rPr>
        <w:t>, nejméně (20 %) bylo vysláno na workshop, seminář nebo konferenci (z firem, které danou formu</w:t>
      </w:r>
      <w:r w:rsidR="00D65CC8">
        <w:rPr>
          <w:rFonts w:cs="Arial"/>
        </w:rPr>
        <w:t xml:space="preserve"> vzdělávání</w:t>
      </w:r>
      <w:r w:rsidRPr="00EB211F">
        <w:rPr>
          <w:rFonts w:cs="Arial"/>
        </w:rPr>
        <w:t xml:space="preserve"> </w:t>
      </w:r>
      <w:r w:rsidR="00D65CC8">
        <w:rPr>
          <w:rFonts w:cs="Arial"/>
        </w:rPr>
        <w:t>poskytovaly</w:t>
      </w:r>
      <w:r w:rsidRPr="00EB211F">
        <w:rPr>
          <w:rFonts w:cs="Arial"/>
        </w:rPr>
        <w:t>).</w:t>
      </w:r>
    </w:p>
    <w:p w:rsidR="00AB4DCD" w:rsidRPr="00915C23" w:rsidRDefault="00AB4DCD" w:rsidP="00C162CA">
      <w:pPr>
        <w:pStyle w:val="Odstavecseseznamem"/>
        <w:numPr>
          <w:ilvl w:val="0"/>
          <w:numId w:val="15"/>
        </w:numPr>
        <w:spacing w:after="200"/>
        <w:ind w:left="714" w:hanging="357"/>
        <w:jc w:val="both"/>
        <w:rPr>
          <w:rFonts w:cs="Arial"/>
        </w:rPr>
      </w:pPr>
      <w:r w:rsidRPr="00915C23">
        <w:rPr>
          <w:rFonts w:cs="Arial"/>
        </w:rPr>
        <w:t>Celkově strávili zaměstnanci vzděláváním průměrně 0,6 % s</w:t>
      </w:r>
      <w:r w:rsidR="00915C23" w:rsidRPr="00915C23">
        <w:rPr>
          <w:rFonts w:cs="Arial"/>
        </w:rPr>
        <w:t>vých placených pracovních hodin, tedy v</w:t>
      </w:r>
      <w:r w:rsidR="00D65CC8">
        <w:rPr>
          <w:rFonts w:cs="Arial"/>
        </w:rPr>
        <w:t> </w:t>
      </w:r>
      <w:r w:rsidR="00915C23" w:rsidRPr="00915C23">
        <w:rPr>
          <w:rFonts w:cs="Arial"/>
        </w:rPr>
        <w:t>průměru</w:t>
      </w:r>
      <w:r w:rsidR="00D65CC8">
        <w:rPr>
          <w:rFonts w:cs="Arial"/>
        </w:rPr>
        <w:t xml:space="preserve"> přibližně</w:t>
      </w:r>
      <w:r w:rsidR="00915C23" w:rsidRPr="00915C23">
        <w:rPr>
          <w:rFonts w:cs="Arial"/>
        </w:rPr>
        <w:t xml:space="preserve"> 11 hodin ročně na jednoho zaměstnance</w:t>
      </w:r>
      <w:r w:rsidR="000332C4">
        <w:rPr>
          <w:rFonts w:cs="Arial"/>
        </w:rPr>
        <w:t xml:space="preserve"> (bez ohledu na jeho účast ve</w:t>
      </w:r>
      <w:r w:rsidR="00A440CF">
        <w:rPr>
          <w:rFonts w:cs="Arial"/>
        </w:rPr>
        <w:t> </w:t>
      </w:r>
      <w:r w:rsidR="000332C4">
        <w:rPr>
          <w:rFonts w:cs="Arial"/>
        </w:rPr>
        <w:t>vzdělávání).</w:t>
      </w:r>
      <w:r w:rsidR="00995566">
        <w:rPr>
          <w:rFonts w:cs="Arial"/>
        </w:rPr>
        <w:t xml:space="preserve"> Počet hodin strávených na kurzu/školení na jednoho účastníka činil necelých 14</w:t>
      </w:r>
      <w:r w:rsidR="00A440CF">
        <w:rPr>
          <w:rFonts w:cs="Arial"/>
        </w:rPr>
        <w:t> </w:t>
      </w:r>
      <w:r w:rsidR="00995566">
        <w:rPr>
          <w:rFonts w:cs="Arial"/>
        </w:rPr>
        <w:t xml:space="preserve">hodin ročně. </w:t>
      </w:r>
    </w:p>
    <w:p w:rsidR="005E69E8" w:rsidRDefault="00D65CC8" w:rsidP="00C162CA">
      <w:pPr>
        <w:pStyle w:val="Odstavecseseznamem"/>
        <w:numPr>
          <w:ilvl w:val="0"/>
          <w:numId w:val="15"/>
        </w:numPr>
        <w:spacing w:after="200"/>
        <w:ind w:left="714" w:hanging="357"/>
        <w:jc w:val="both"/>
        <w:rPr>
          <w:rFonts w:cs="Arial"/>
        </w:rPr>
      </w:pPr>
      <w:r>
        <w:rPr>
          <w:rFonts w:cs="Arial"/>
        </w:rPr>
        <w:t>Za nejdůležitější</w:t>
      </w:r>
      <w:r w:rsidR="007D3922">
        <w:rPr>
          <w:rFonts w:cs="Arial"/>
        </w:rPr>
        <w:t xml:space="preserve"> </w:t>
      </w:r>
      <w:r w:rsidR="00AB4DCD" w:rsidRPr="00EB211F">
        <w:rPr>
          <w:rFonts w:cs="Arial"/>
        </w:rPr>
        <w:t xml:space="preserve">dovednost </w:t>
      </w:r>
      <w:r>
        <w:rPr>
          <w:rFonts w:cs="Arial"/>
        </w:rPr>
        <w:t xml:space="preserve">svých </w:t>
      </w:r>
      <w:r w:rsidR="00AB4DCD" w:rsidRPr="00EB211F">
        <w:rPr>
          <w:rFonts w:cs="Arial"/>
        </w:rPr>
        <w:t xml:space="preserve">zaměstnanců </w:t>
      </w:r>
      <w:r w:rsidR="00AB4DCD">
        <w:rPr>
          <w:rFonts w:cs="Arial"/>
        </w:rPr>
        <w:t xml:space="preserve">z hlediska celkového rozvoje firmy v nejbližších letech </w:t>
      </w:r>
      <w:r>
        <w:rPr>
          <w:rFonts w:cs="Arial"/>
        </w:rPr>
        <w:t xml:space="preserve">považovalo nejvíce firem </w:t>
      </w:r>
      <w:r w:rsidR="00AB4DCD" w:rsidRPr="00EB211F">
        <w:rPr>
          <w:rFonts w:cs="Arial"/>
        </w:rPr>
        <w:t>schopnost týmové práce a sc</w:t>
      </w:r>
      <w:r w:rsidR="00AC376D">
        <w:rPr>
          <w:rFonts w:cs="Arial"/>
        </w:rPr>
        <w:t>hopnost jednání se zákazníky</w:t>
      </w:r>
      <w:r>
        <w:rPr>
          <w:rFonts w:cs="Arial"/>
        </w:rPr>
        <w:t xml:space="preserve">, které uvedlo shodně </w:t>
      </w:r>
      <w:r w:rsidR="00AC376D">
        <w:rPr>
          <w:rFonts w:cs="Arial"/>
        </w:rPr>
        <w:t>34</w:t>
      </w:r>
      <w:r w:rsidR="00AB4DCD" w:rsidRPr="00EB211F">
        <w:rPr>
          <w:rFonts w:cs="Arial"/>
        </w:rPr>
        <w:t xml:space="preserve"> %</w:t>
      </w:r>
      <w:r>
        <w:rPr>
          <w:rFonts w:cs="Arial"/>
        </w:rPr>
        <w:t xml:space="preserve"> všech firem</w:t>
      </w:r>
      <w:r w:rsidR="00AB4DCD" w:rsidRPr="00EB211F">
        <w:rPr>
          <w:rFonts w:cs="Arial"/>
        </w:rPr>
        <w:t>.</w:t>
      </w:r>
    </w:p>
    <w:p w:rsidR="005E69E8" w:rsidRDefault="005E69E8">
      <w:pPr>
        <w:spacing w:after="0" w:line="240" w:lineRule="auto"/>
        <w:rPr>
          <w:rFonts w:cs="Arial"/>
        </w:rPr>
      </w:pPr>
      <w:r>
        <w:rPr>
          <w:rFonts w:cs="Arial"/>
        </w:rPr>
        <w:br w:type="page"/>
      </w:r>
    </w:p>
    <w:p w:rsidR="0058420D" w:rsidRDefault="0058420D" w:rsidP="0058420D">
      <w:pPr>
        <w:pStyle w:val="Nadpis3"/>
      </w:pPr>
      <w:bookmarkStart w:id="72" w:name="_Toc490472730"/>
      <w:bookmarkStart w:id="73" w:name="_Toc501614103"/>
      <w:r>
        <w:lastRenderedPageBreak/>
        <w:t>Kurzy a školení</w:t>
      </w:r>
      <w:bookmarkEnd w:id="72"/>
      <w:bookmarkEnd w:id="73"/>
    </w:p>
    <w:p w:rsidR="00E2381A" w:rsidRDefault="00E2381A" w:rsidP="00E2381A">
      <w:pPr>
        <w:spacing w:after="0"/>
        <w:contextualSpacing/>
        <w:jc w:val="both"/>
      </w:pPr>
    </w:p>
    <w:p w:rsidR="00FB2845" w:rsidRDefault="00173420" w:rsidP="007D705F">
      <w:pPr>
        <w:spacing w:after="0"/>
        <w:contextualSpacing/>
        <w:jc w:val="both"/>
      </w:pPr>
      <w:r>
        <w:t>Jak již bylo řečeno v </w:t>
      </w:r>
      <w:r w:rsidR="009A25E7">
        <w:t>první</w:t>
      </w:r>
      <w:r>
        <w:t xml:space="preserve"> kapitole</w:t>
      </w:r>
      <w:r w:rsidR="00D20DE6">
        <w:t>,</w:t>
      </w:r>
      <w:r>
        <w:t xml:space="preserve"> a</w:t>
      </w:r>
      <w:r w:rsidR="0058420D">
        <w:t>lespoň jeden kurz či školení realizovalo v roce 2015 téměř 90 % všech firem a průměrně</w:t>
      </w:r>
      <w:r w:rsidR="0079402D">
        <w:t xml:space="preserve"> se některého z nich účastnilo </w:t>
      </w:r>
      <w:r w:rsidR="001D2A11">
        <w:t xml:space="preserve">84 % zaměstnanců, resp. </w:t>
      </w:r>
      <w:r w:rsidR="0079402D">
        <w:t>87</w:t>
      </w:r>
      <w:r w:rsidR="00A7547C">
        <w:t> </w:t>
      </w:r>
      <w:r w:rsidR="0058420D">
        <w:t>%</w:t>
      </w:r>
      <w:r w:rsidR="00A7547C">
        <w:t xml:space="preserve"> </w:t>
      </w:r>
      <w:r w:rsidR="0058420D">
        <w:t>zaměstnanců</w:t>
      </w:r>
      <w:r w:rsidR="00F2050B">
        <w:t xml:space="preserve"> firem, které </w:t>
      </w:r>
      <w:r w:rsidR="00020F71">
        <w:t>kurzy či školení</w:t>
      </w:r>
      <w:r w:rsidR="00F2050B">
        <w:t xml:space="preserve"> zajišťovaly</w:t>
      </w:r>
      <w:r w:rsidR="00EC53DF">
        <w:t>.</w:t>
      </w:r>
      <w:r w:rsidR="00293819">
        <w:t xml:space="preserve"> </w:t>
      </w:r>
    </w:p>
    <w:p w:rsidR="00FB2845" w:rsidRDefault="00FB2845" w:rsidP="007D705F">
      <w:pPr>
        <w:spacing w:after="0"/>
        <w:contextualSpacing/>
        <w:jc w:val="both"/>
      </w:pPr>
    </w:p>
    <w:p w:rsidR="00917291" w:rsidRDefault="007D705F" w:rsidP="007D705F">
      <w:pPr>
        <w:spacing w:after="0"/>
        <w:contextualSpacing/>
        <w:jc w:val="both"/>
      </w:pPr>
      <w:r>
        <w:t xml:space="preserve">Dlouhodobě se </w:t>
      </w:r>
      <w:r w:rsidR="0079402D">
        <w:t>kurzů či školení poskytovaných firmami</w:t>
      </w:r>
      <w:r>
        <w:t xml:space="preserve"> účastní výrazně více mužů než žen. Zatímco v roce 2015 se ve firmách s 10 a více zaměstnanci ve vybraných odvětvích kurzů či školení zúčastnilo </w:t>
      </w:r>
      <w:r w:rsidR="004F4790">
        <w:t>1,35</w:t>
      </w:r>
      <w:r w:rsidR="00DA0AFE">
        <w:t> </w:t>
      </w:r>
      <w:r w:rsidR="004F4790">
        <w:t>mil</w:t>
      </w:r>
      <w:r w:rsidR="00DA0AFE">
        <w:t> </w:t>
      </w:r>
      <w:r w:rsidR="003A19EC">
        <w:t>m</w:t>
      </w:r>
      <w:r>
        <w:t xml:space="preserve">užů, tak žen bylo </w:t>
      </w:r>
      <w:r w:rsidR="0085641C">
        <w:t>820</w:t>
      </w:r>
      <w:r>
        <w:t xml:space="preserve"> tis., tj. o </w:t>
      </w:r>
      <w:r w:rsidR="004F4790">
        <w:t>3</w:t>
      </w:r>
      <w:r w:rsidR="0085641C">
        <w:t>9</w:t>
      </w:r>
      <w:r>
        <w:t xml:space="preserve"> % méně než mužů. </w:t>
      </w:r>
      <w:r w:rsidR="00030BA1">
        <w:t>Rozdíly jsou dány především odvětvovou skladbou sledovaných firem a jejich odlišnou strukturou zastoupení obou pohlaví, nicméně přetrvávají i</w:t>
      </w:r>
      <w:r w:rsidR="00DA0AFE">
        <w:t> </w:t>
      </w:r>
      <w:r w:rsidR="00030BA1">
        <w:t xml:space="preserve">v případě převedení absolutních hodnot na relativní. </w:t>
      </w:r>
      <w:r>
        <w:t xml:space="preserve">Na 100 zaměstnaných žen </w:t>
      </w:r>
      <w:r w:rsidR="003A19EC">
        <w:t xml:space="preserve">v šetřených odvětvích </w:t>
      </w:r>
      <w:r>
        <w:t xml:space="preserve">připadlo </w:t>
      </w:r>
      <w:r w:rsidR="000C192D">
        <w:t xml:space="preserve">v průměru </w:t>
      </w:r>
      <w:r w:rsidR="00594EBD">
        <w:t>7</w:t>
      </w:r>
      <w:r w:rsidR="0085641C">
        <w:t>9</w:t>
      </w:r>
      <w:r w:rsidR="00607834">
        <w:t xml:space="preserve"> </w:t>
      </w:r>
      <w:r>
        <w:t xml:space="preserve">těch, které se zúčastnily školení či </w:t>
      </w:r>
      <w:r w:rsidR="00607834">
        <w:t>kurzu</w:t>
      </w:r>
      <w:r>
        <w:t xml:space="preserve">, u mužů to ve stejném roce bylo </w:t>
      </w:r>
      <w:r w:rsidR="00594EBD">
        <w:t>8</w:t>
      </w:r>
      <w:r w:rsidR="0085641C">
        <w:t>7</w:t>
      </w:r>
      <w:r w:rsidR="003A19EC">
        <w:t xml:space="preserve">. </w:t>
      </w:r>
      <w:r w:rsidR="00917291">
        <w:t>Ženy tvořily 37</w:t>
      </w:r>
      <w:r w:rsidR="009B4AFE">
        <w:t> </w:t>
      </w:r>
      <w:r w:rsidR="00917291">
        <w:t>%</w:t>
      </w:r>
      <w:r w:rsidR="009B4AFE">
        <w:t> </w:t>
      </w:r>
      <w:r w:rsidR="00917291">
        <w:t>školených zaměstnanců.</w:t>
      </w:r>
    </w:p>
    <w:p w:rsidR="00917291" w:rsidRDefault="00917291" w:rsidP="007D705F">
      <w:pPr>
        <w:spacing w:after="0"/>
        <w:contextualSpacing/>
        <w:jc w:val="both"/>
      </w:pPr>
    </w:p>
    <w:p w:rsidR="007D705F" w:rsidRDefault="003A19EC" w:rsidP="007D705F">
      <w:pPr>
        <w:spacing w:after="0"/>
        <w:contextualSpacing/>
        <w:jc w:val="both"/>
      </w:pPr>
      <w:r>
        <w:t xml:space="preserve">Mezi zaměstnanci </w:t>
      </w:r>
      <w:r w:rsidR="00FB2845">
        <w:t xml:space="preserve">mladšími </w:t>
      </w:r>
      <w:r>
        <w:t xml:space="preserve">55 let v šetřených odvětvích se kurzů či školení zúčastnilo </w:t>
      </w:r>
      <w:r w:rsidR="00FB2845">
        <w:t xml:space="preserve">85 % a mezi staršími </w:t>
      </w:r>
      <w:r w:rsidR="000C192D">
        <w:t>7</w:t>
      </w:r>
      <w:r w:rsidR="0085641C">
        <w:t>8</w:t>
      </w:r>
      <w:r>
        <w:t xml:space="preserve"> %</w:t>
      </w:r>
      <w:r w:rsidR="009B13E0">
        <w:t xml:space="preserve"> zaměstnanců</w:t>
      </w:r>
      <w:r>
        <w:t xml:space="preserve">. </w:t>
      </w:r>
      <w:r w:rsidR="00917291">
        <w:t>Z</w:t>
      </w:r>
      <w:r w:rsidR="00F2050B">
        <w:t>aměstnanci starší</w:t>
      </w:r>
      <w:r w:rsidR="001E3A70">
        <w:t xml:space="preserve"> 55 let činil</w:t>
      </w:r>
      <w:r w:rsidR="00F2050B">
        <w:t>i</w:t>
      </w:r>
      <w:r w:rsidR="001E3A70">
        <w:t xml:space="preserve"> 15 %</w:t>
      </w:r>
      <w:r w:rsidR="00F2050B">
        <w:t xml:space="preserve"> účastníků vzdělávací</w:t>
      </w:r>
      <w:r w:rsidR="00F851D5">
        <w:t>ch kurzů</w:t>
      </w:r>
      <w:r w:rsidR="00917291">
        <w:t xml:space="preserve">, přičemž tento nízký podíl je ovlivněn věkovou strukturou zaměstnanců </w:t>
      </w:r>
      <w:r w:rsidR="001E3A70">
        <w:t xml:space="preserve"> </w:t>
      </w:r>
    </w:p>
    <w:p w:rsidR="00293819" w:rsidRDefault="00293819" w:rsidP="007D705F">
      <w:pPr>
        <w:spacing w:after="0"/>
        <w:contextualSpacing/>
        <w:jc w:val="both"/>
      </w:pPr>
    </w:p>
    <w:p w:rsidR="00293819" w:rsidRDefault="00293819" w:rsidP="007D705F">
      <w:pPr>
        <w:spacing w:after="0"/>
        <w:contextualSpacing/>
        <w:jc w:val="both"/>
      </w:pPr>
      <w:r>
        <w:t xml:space="preserve">Kurzy a školení lze v šetření CVTS podrobněji analyzovat prostřednictvím jejich </w:t>
      </w:r>
      <w:r w:rsidR="00FD306F">
        <w:t>dalšího členění</w:t>
      </w:r>
      <w:r>
        <w:t xml:space="preserve">. První </w:t>
      </w:r>
      <w:r w:rsidR="00FD306F">
        <w:t>členění je možné učinit na základě</w:t>
      </w:r>
      <w:r>
        <w:t xml:space="preserve"> </w:t>
      </w:r>
      <w:r w:rsidR="00FD306F">
        <w:t xml:space="preserve">toho, kým bylo vzdělávání poskytnuto, resp. rozdělením </w:t>
      </w:r>
      <w:r>
        <w:t>kurz</w:t>
      </w:r>
      <w:r w:rsidR="00870338">
        <w:t>ů</w:t>
      </w:r>
      <w:r>
        <w:t xml:space="preserve"> a školení na interní a externí dle toho, jakým způsobem byly zajištěny. Druhou možností je členění kurzů a školení na</w:t>
      </w:r>
      <w:r w:rsidR="00213EE9">
        <w:t> </w:t>
      </w:r>
      <w:r>
        <w:t>povinné a nepovinné podle toho, zda hlavním motivem ke vzdělávání ve firmách je povinnost daná zákonem či</w:t>
      </w:r>
      <w:r w:rsidR="00FD306F">
        <w:t xml:space="preserve"> je jejich realizace dobrovolná. B</w:t>
      </w:r>
      <w:r>
        <w:t>ližší definice</w:t>
      </w:r>
      <w:r w:rsidR="00FD306F">
        <w:t xml:space="preserve"> a charakteristiky příslušných podkategorií i jejich </w:t>
      </w:r>
      <w:r w:rsidR="00D7703B">
        <w:t>vzájemných kombinací</w:t>
      </w:r>
      <w:r>
        <w:t xml:space="preserve"> </w:t>
      </w:r>
      <w:r w:rsidR="00FD306F">
        <w:t>nabízí následující části textu.</w:t>
      </w:r>
    </w:p>
    <w:p w:rsidR="00607834" w:rsidRDefault="00607834" w:rsidP="006018EF">
      <w:pPr>
        <w:pStyle w:val="Nadpis4"/>
      </w:pPr>
    </w:p>
    <w:p w:rsidR="006018EF" w:rsidRDefault="006018EF" w:rsidP="00607834">
      <w:pPr>
        <w:pStyle w:val="Nadpis4"/>
        <w:spacing w:after="120"/>
      </w:pPr>
      <w:bookmarkStart w:id="74" w:name="_Ref496535184"/>
      <w:bookmarkStart w:id="75" w:name="_Toc501614104"/>
      <w:r>
        <w:t>Interní vs. externí zajištění kurzů a školení</w:t>
      </w:r>
      <w:bookmarkEnd w:id="74"/>
      <w:bookmarkEnd w:id="75"/>
    </w:p>
    <w:p w:rsidR="00C162CA" w:rsidRDefault="00FD306F" w:rsidP="006018EF">
      <w:pPr>
        <w:spacing w:after="0"/>
        <w:contextualSpacing/>
        <w:jc w:val="both"/>
      </w:pPr>
      <w:r>
        <w:t xml:space="preserve">Členění kurzů/školení </w:t>
      </w:r>
      <w:r w:rsidR="00DA0D5C">
        <w:t xml:space="preserve">na interní a externí </w:t>
      </w:r>
      <w:r>
        <w:t>vychází</w:t>
      </w:r>
      <w:r w:rsidR="00917291">
        <w:t>, jak už bylo zmíněno výše, ze</w:t>
      </w:r>
      <w:r>
        <w:t xml:space="preserve"> způsobu zajištění vzdělávání</w:t>
      </w:r>
      <w:r w:rsidR="006018EF">
        <w:t>. Interní kurzy</w:t>
      </w:r>
      <w:r w:rsidR="008D0172">
        <w:t>, které</w:t>
      </w:r>
      <w:r w:rsidR="006018EF">
        <w:t xml:space="preserve"> poskytuje a školí firma sama, </w:t>
      </w:r>
      <w:r w:rsidR="008D0172">
        <w:t>proběhly v polovině firem (51 %). Externě zajisti</w:t>
      </w:r>
      <w:r w:rsidR="00E9798D">
        <w:t xml:space="preserve">ly kurzy čtyři pětiny firem (79 </w:t>
      </w:r>
      <w:r w:rsidR="008D0172">
        <w:t>%</w:t>
      </w:r>
      <w:r w:rsidR="00E9798D">
        <w:t>)</w:t>
      </w:r>
      <w:r w:rsidR="004C6AA7">
        <w:rPr>
          <w:rStyle w:val="Znakapoznpodarou"/>
        </w:rPr>
        <w:footnoteReference w:id="6"/>
      </w:r>
      <w:r w:rsidR="008D0172">
        <w:t>, přičemž</w:t>
      </w:r>
      <w:r w:rsidR="006018EF">
        <w:t xml:space="preserve"> nejčastějším dodavatelem vzdělávání </w:t>
      </w:r>
      <w:r w:rsidR="008D0172">
        <w:t xml:space="preserve">byla </w:t>
      </w:r>
      <w:r w:rsidR="006018EF">
        <w:t>komerční společnost, která se na poskytování vzdělávání zaměřuje (nejčastěji vzdělávací agentury).</w:t>
      </w:r>
      <w:r w:rsidR="004C6AA7">
        <w:t xml:space="preserve"> </w:t>
      </w:r>
      <w:r w:rsidR="00293819">
        <w:t>Nabídku vzdělávacích agentur využila celkem polovina všech firem, resp. dvě třetiny firem poskytujících svým zaměstnancům externě zajištěné kurzy.</w:t>
      </w:r>
      <w:r w:rsidR="00810A9E">
        <w:t xml:space="preserve"> </w:t>
      </w:r>
      <w:r w:rsidR="006018EF">
        <w:t>Vzdělávací agentury nejčastěji využívaly firmy s více než 250</w:t>
      </w:r>
      <w:r w:rsidR="00213EE9">
        <w:t> </w:t>
      </w:r>
      <w:r w:rsidR="006018EF">
        <w:t>zaměstnanci (87 %</w:t>
      </w:r>
      <w:r w:rsidR="00C812D3">
        <w:t xml:space="preserve"> všech firem</w:t>
      </w:r>
      <w:r w:rsidR="006018EF">
        <w:t>; s velikostí firmy podíl roste), je to nicméně dané i tím, že větší firmy jednak zajišťují více vzdělávacích kurzů, a to i více těch nepovinných, kde je využívání externích dodavatelů častější, a jednak se častěji nacházejí ve větších městech, kde je i nabídka vzdělávacích agentur pestřejší.</w:t>
      </w:r>
      <w:r w:rsidR="004C6AA7">
        <w:t xml:space="preserve"> Kurzy či školení poskytují i dodavatelé různých strojů nebo zařízení, které firma používá nebo je prodává. Pro účely šetření CVTS byly zařazeny do kategorie soukromé komerční společnosti nezaměřené na</w:t>
      </w:r>
      <w:r w:rsidR="00213EE9">
        <w:t> </w:t>
      </w:r>
      <w:r w:rsidR="004C6AA7">
        <w:t>vzdělávání. Možnosti školení od těchto poskytovatelů využilo 15 % firem, resp. pětina firem poskytujících externí kurzy/školení. Čtvrtina firem uvedla, že pro ně externí kurzy zajistili jiní poskytovatelé vzdělávání neuvedeni v nabízených odpovědích.</w:t>
      </w:r>
    </w:p>
    <w:p w:rsidR="00C162CA" w:rsidRDefault="00C162CA">
      <w:pPr>
        <w:spacing w:after="0" w:line="240" w:lineRule="auto"/>
      </w:pPr>
      <w:r>
        <w:br w:type="page"/>
      </w:r>
    </w:p>
    <w:p w:rsidR="00233C31" w:rsidRPr="00233C31" w:rsidRDefault="006018EF" w:rsidP="00233C31">
      <w:pPr>
        <w:pStyle w:val="Titulek"/>
      </w:pPr>
      <w:bookmarkStart w:id="76" w:name="_Toc501615598"/>
      <w:r>
        <w:lastRenderedPageBreak/>
        <w:t xml:space="preserve">Graf č. </w:t>
      </w:r>
      <w:r w:rsidR="007C3A3E">
        <w:fldChar w:fldCharType="begin"/>
      </w:r>
      <w:r w:rsidR="00C84608">
        <w:instrText xml:space="preserve"> SEQ Graf_č. \* ARABIC </w:instrText>
      </w:r>
      <w:r w:rsidR="007C3A3E">
        <w:fldChar w:fldCharType="separate"/>
      </w:r>
      <w:r w:rsidR="00476EDB">
        <w:rPr>
          <w:noProof/>
        </w:rPr>
        <w:t>15</w:t>
      </w:r>
      <w:r w:rsidR="007C3A3E">
        <w:rPr>
          <w:noProof/>
        </w:rPr>
        <w:fldChar w:fldCharType="end"/>
      </w:r>
      <w:r>
        <w:t xml:space="preserve">: </w:t>
      </w:r>
      <w:r w:rsidR="00233C31" w:rsidRPr="00233C31">
        <w:t xml:space="preserve">Podíl </w:t>
      </w:r>
      <w:r w:rsidR="00E53EA5">
        <w:t xml:space="preserve">firem </w:t>
      </w:r>
      <w:r w:rsidR="00233C31" w:rsidRPr="00233C31">
        <w:t xml:space="preserve">podle využití různých </w:t>
      </w:r>
      <w:r w:rsidR="00E53EA5">
        <w:t xml:space="preserve">poskytovatelů </w:t>
      </w:r>
      <w:r w:rsidR="00233C31" w:rsidRPr="00233C31">
        <w:t>externích kurzů</w:t>
      </w:r>
      <w:r w:rsidR="00233C31">
        <w:t>, 2015</w:t>
      </w:r>
      <w:bookmarkEnd w:id="76"/>
    </w:p>
    <w:p w:rsidR="006018EF" w:rsidRDefault="00F603BA" w:rsidP="00EE3B97">
      <w:r>
        <w:rPr>
          <w:noProof/>
        </w:rPr>
        <w:drawing>
          <wp:inline distT="0" distB="0" distL="0" distR="0" wp14:anchorId="30381342" wp14:editId="3EB65830">
            <wp:extent cx="5715000" cy="3471864"/>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3C31" w:rsidRDefault="00233C31" w:rsidP="00233C31">
      <w:pPr>
        <w:spacing w:after="0"/>
        <w:contextualSpacing/>
        <w:rPr>
          <w:sz w:val="18"/>
        </w:rPr>
      </w:pPr>
      <w:r>
        <w:rPr>
          <w:sz w:val="18"/>
        </w:rPr>
        <w:t>Z</w:t>
      </w:r>
      <w:r w:rsidRPr="00EB211F">
        <w:rPr>
          <w:sz w:val="18"/>
        </w:rPr>
        <w:t>droj: šetření CVTS, ČSÚ 2017</w:t>
      </w:r>
    </w:p>
    <w:p w:rsidR="00233C31" w:rsidRDefault="00555EE6" w:rsidP="00233C31">
      <w:pPr>
        <w:spacing w:after="0"/>
        <w:jc w:val="both"/>
        <w:rPr>
          <w:sz w:val="18"/>
        </w:rPr>
      </w:pPr>
      <w:r>
        <w:rPr>
          <w:sz w:val="18"/>
        </w:rPr>
        <w:t>Pozn.:</w:t>
      </w:r>
      <w:r w:rsidR="00233C31" w:rsidRPr="00F31CE5">
        <w:rPr>
          <w:sz w:val="18"/>
        </w:rPr>
        <w:t xml:space="preserve"> firmy mohly uvést </w:t>
      </w:r>
      <w:r w:rsidR="00233C31">
        <w:rPr>
          <w:sz w:val="18"/>
        </w:rPr>
        <w:t>1 až 3 hlavní poskytovatele</w:t>
      </w:r>
    </w:p>
    <w:p w:rsidR="00A60EAA" w:rsidRDefault="00A60EAA" w:rsidP="00233C31">
      <w:pPr>
        <w:spacing w:after="0"/>
        <w:jc w:val="both"/>
        <w:rPr>
          <w:sz w:val="18"/>
        </w:rPr>
      </w:pPr>
    </w:p>
    <w:p w:rsidR="00233C31" w:rsidRPr="00EB211F" w:rsidRDefault="00233C31" w:rsidP="00A60EAA">
      <w:pPr>
        <w:pStyle w:val="Nadpis4"/>
        <w:spacing w:after="120"/>
      </w:pPr>
      <w:bookmarkStart w:id="77" w:name="_Toc490472732"/>
      <w:bookmarkStart w:id="78" w:name="_Toc501614105"/>
      <w:r w:rsidRPr="00EB211F">
        <w:t>Povinné kurzy a školení</w:t>
      </w:r>
      <w:bookmarkEnd w:id="77"/>
      <w:r w:rsidR="001646AF" w:rsidRPr="00EB211F">
        <w:rPr>
          <w:rStyle w:val="Znakapoznpodarou"/>
        </w:rPr>
        <w:footnoteReference w:id="7"/>
      </w:r>
      <w:bookmarkEnd w:id="78"/>
    </w:p>
    <w:p w:rsidR="00A60EAA" w:rsidRDefault="00233C31" w:rsidP="00233C31">
      <w:pPr>
        <w:tabs>
          <w:tab w:val="left" w:pos="0"/>
        </w:tabs>
        <w:spacing w:after="0"/>
        <w:contextualSpacing/>
        <w:jc w:val="both"/>
      </w:pPr>
      <w:r>
        <w:t xml:space="preserve">Ze zákona povinné kurzy a školení </w:t>
      </w:r>
      <w:r w:rsidR="00917291">
        <w:t>poskytla</w:t>
      </w:r>
      <w:r>
        <w:t xml:space="preserve"> svým zaměstnancům v roce 2015 většina firem (87 %). </w:t>
      </w:r>
      <w:r w:rsidR="00917291">
        <w:t xml:space="preserve">Jak již bylo uvedeno výše, </w:t>
      </w:r>
      <w:r w:rsidR="00917291" w:rsidRPr="00490AE6">
        <w:t>š</w:t>
      </w:r>
      <w:r w:rsidRPr="00490AE6">
        <w:t>kolení k bezpečné práci s přístroji či plošná školení BOZP jsou povinn</w:t>
      </w:r>
      <w:r w:rsidR="00020F71" w:rsidRPr="00490AE6">
        <w:t>á</w:t>
      </w:r>
      <w:r w:rsidR="00917291" w:rsidRPr="00490AE6">
        <w:t xml:space="preserve"> v určité frekvenci a nemusí se konat každoročně.</w:t>
      </w:r>
      <w:r w:rsidRPr="00490AE6">
        <w:t xml:space="preserve"> </w:t>
      </w:r>
      <w:r w:rsidR="00490AE6" w:rsidRPr="00490AE6">
        <w:t>To</w:t>
      </w:r>
      <w:r w:rsidRPr="00490AE6">
        <w:t xml:space="preserve"> vysvětluje nižší než stoprocentní podíl firem zajišťujících svým zaměstnancům v daném roce toto vzdělávání.</w:t>
      </w:r>
      <w:r>
        <w:t xml:space="preserve"> Firmy s menším počtem zaměstnanců či firmy podnikající v odvětví, pro který je menší počet zaměstnanců typický, zajišťují </w:t>
      </w:r>
      <w:r w:rsidR="00DD25AA">
        <w:t xml:space="preserve">méně </w:t>
      </w:r>
      <w:r>
        <w:t xml:space="preserve">povinných školení, protože zároveň např. přijímají menší počet zaměstnanců, </w:t>
      </w:r>
      <w:r w:rsidR="000A798E">
        <w:t>kterým</w:t>
      </w:r>
      <w:r>
        <w:t xml:space="preserve"> je nutné povinný kurz </w:t>
      </w:r>
      <w:r w:rsidR="000A798E">
        <w:t>poskytnout</w:t>
      </w:r>
      <w:r>
        <w:t>. Zatímco firmy s více než 250 zaměstnanci zajišťovaly v roce 2015 povinné školení pro své zaměstnance téměř všechny (99 %), malé firmy s</w:t>
      </w:r>
      <w:r w:rsidR="00D73AB5">
        <w:t> </w:t>
      </w:r>
      <w:r>
        <w:t>10</w:t>
      </w:r>
      <w:r w:rsidR="00D73AB5">
        <w:t>–</w:t>
      </w:r>
      <w:r>
        <w:t xml:space="preserve">19 zaměstnanci tak </w:t>
      </w:r>
      <w:r w:rsidR="00AE01E8">
        <w:t>činily</w:t>
      </w:r>
      <w:r>
        <w:t xml:space="preserve"> v 83 %</w:t>
      </w:r>
      <w:r w:rsidR="00AE01E8">
        <w:t xml:space="preserve"> případů</w:t>
      </w:r>
      <w:r w:rsidR="006C6BE8">
        <w:t xml:space="preserve"> (</w:t>
      </w:r>
      <w:r w:rsidR="00DB1D90" w:rsidRPr="00DB1D90">
        <w:rPr>
          <w:color w:val="0070C0"/>
          <w:u w:val="single"/>
        </w:rPr>
        <w:fldChar w:fldCharType="begin"/>
      </w:r>
      <w:r w:rsidR="00DB1D90" w:rsidRPr="00DB1D90">
        <w:rPr>
          <w:color w:val="0070C0"/>
          <w:u w:val="single"/>
        </w:rPr>
        <w:instrText xml:space="preserve"> REF _Ref484603462 \h </w:instrText>
      </w:r>
      <w:r w:rsidR="00DB1D90">
        <w:rPr>
          <w:color w:val="0070C0"/>
          <w:u w:val="single"/>
        </w:rPr>
        <w:instrText xml:space="preserve"> \* MERGEFORMAT </w:instrText>
      </w:r>
      <w:r w:rsidR="00DB1D90" w:rsidRPr="00DB1D90">
        <w:rPr>
          <w:color w:val="0070C0"/>
          <w:u w:val="single"/>
        </w:rPr>
      </w:r>
      <w:r w:rsidR="00DB1D90" w:rsidRPr="00DB1D90">
        <w:rPr>
          <w:color w:val="0070C0"/>
          <w:u w:val="single"/>
        </w:rPr>
        <w:fldChar w:fldCharType="separate"/>
      </w:r>
      <w:r w:rsidR="00476EDB" w:rsidRPr="00476EDB">
        <w:rPr>
          <w:color w:val="0070C0"/>
          <w:u w:val="single"/>
        </w:rPr>
        <w:t xml:space="preserve">Graf č. </w:t>
      </w:r>
      <w:r w:rsidR="00476EDB" w:rsidRPr="00476EDB">
        <w:rPr>
          <w:noProof/>
          <w:color w:val="0070C0"/>
          <w:u w:val="single"/>
        </w:rPr>
        <w:t>2</w:t>
      </w:r>
      <w:r w:rsidR="00DB1D90" w:rsidRPr="00DB1D90">
        <w:rPr>
          <w:color w:val="0070C0"/>
          <w:u w:val="single"/>
        </w:rPr>
        <w:fldChar w:fldCharType="end"/>
      </w:r>
      <w:r w:rsidR="006C6BE8">
        <w:t>)</w:t>
      </w:r>
      <w:r>
        <w:t>. Rovněž mezi odvětvími</w:t>
      </w:r>
      <w:r w:rsidR="006C6BE8">
        <w:t xml:space="preserve"> (</w:t>
      </w:r>
      <w:r w:rsidR="007C3A3E" w:rsidRPr="00CD601F">
        <w:rPr>
          <w:color w:val="0070C0"/>
          <w:u w:val="single"/>
        </w:rPr>
        <w:fldChar w:fldCharType="begin"/>
      </w:r>
      <w:r w:rsidR="00A60EAA" w:rsidRPr="00CD601F">
        <w:rPr>
          <w:color w:val="0070C0"/>
          <w:u w:val="single"/>
        </w:rPr>
        <w:instrText xml:space="preserve"> REF _Ref496259199 \h </w:instrText>
      </w:r>
      <w:r w:rsidR="00CD601F">
        <w:rPr>
          <w:color w:val="0070C0"/>
          <w:u w:val="single"/>
        </w:rPr>
        <w:instrText xml:space="preserve"> \* MERGEFORMAT </w:instrText>
      </w:r>
      <w:r w:rsidR="007C3A3E" w:rsidRPr="00CD601F">
        <w:rPr>
          <w:color w:val="0070C0"/>
          <w:u w:val="single"/>
        </w:rPr>
      </w:r>
      <w:r w:rsidR="007C3A3E" w:rsidRPr="00CD601F">
        <w:rPr>
          <w:color w:val="0070C0"/>
          <w:u w:val="single"/>
        </w:rPr>
        <w:fldChar w:fldCharType="separate"/>
      </w:r>
      <w:r w:rsidR="00476EDB" w:rsidRPr="00476EDB">
        <w:rPr>
          <w:color w:val="0070C0"/>
          <w:u w:val="single"/>
        </w:rPr>
        <w:t xml:space="preserve">Graf č. </w:t>
      </w:r>
      <w:r w:rsidR="00476EDB" w:rsidRPr="00476EDB">
        <w:rPr>
          <w:noProof/>
          <w:color w:val="0070C0"/>
          <w:u w:val="single"/>
        </w:rPr>
        <w:t>1</w:t>
      </w:r>
      <w:r w:rsidR="007C3A3E" w:rsidRPr="00CD601F">
        <w:rPr>
          <w:color w:val="0070C0"/>
          <w:u w:val="single"/>
        </w:rPr>
        <w:fldChar w:fldCharType="end"/>
      </w:r>
      <w:r w:rsidR="006C6BE8">
        <w:t>)</w:t>
      </w:r>
      <w:r>
        <w:t xml:space="preserve"> jsou k nalezení vcelku výrazné rozdíly </w:t>
      </w:r>
      <w:r w:rsidR="00D73AB5">
        <w:t>–</w:t>
      </w:r>
      <w:r>
        <w:t xml:space="preserve"> nejvíce (9</w:t>
      </w:r>
      <w:r w:rsidR="006C6BE8">
        <w:t>5</w:t>
      </w:r>
      <w:r>
        <w:t xml:space="preserve"> %) firem zajišťovalo povin</w:t>
      </w:r>
      <w:r w:rsidR="004D424A">
        <w:t>ný kurz nebo školení v odvětví V</w:t>
      </w:r>
      <w:r>
        <w:t>ýr</w:t>
      </w:r>
      <w:r w:rsidR="004D424A">
        <w:t>ob</w:t>
      </w:r>
      <w:r w:rsidR="00870338">
        <w:t>a a rozvod</w:t>
      </w:r>
      <w:r w:rsidR="004D424A">
        <w:t xml:space="preserve"> energie</w:t>
      </w:r>
      <w:r w:rsidR="00870338">
        <w:t>, plynu, vody, tepla</w:t>
      </w:r>
      <w:r w:rsidR="004D424A">
        <w:t xml:space="preserve"> (sekce D</w:t>
      </w:r>
      <w:r>
        <w:t>E), naopak nejméně (78 %) povinných kurzů</w:t>
      </w:r>
      <w:r w:rsidR="004D424A">
        <w:t xml:space="preserve"> proběhlo ve firmách v odvětví U</w:t>
      </w:r>
      <w:r>
        <w:t>bytování, stravování a pohostinství (sekce I)</w:t>
      </w:r>
      <w:r w:rsidR="006C6BE8">
        <w:t xml:space="preserve">. </w:t>
      </w:r>
      <w:r>
        <w:t>Oba jmenované ro</w:t>
      </w:r>
      <w:r w:rsidR="004D424A">
        <w:t>zdíly spolu souvisí, v sekci D</w:t>
      </w:r>
      <w:r>
        <w:t xml:space="preserve">E </w:t>
      </w:r>
      <w:proofErr w:type="gramStart"/>
      <w:r>
        <w:t>je</w:t>
      </w:r>
      <w:proofErr w:type="gramEnd"/>
      <w:r>
        <w:t xml:space="preserve"> nejvíce velkých firem, u sekce I naopak dominuje vyšší podíl malých firem, které často</w:t>
      </w:r>
      <w:r w:rsidR="00AE01E8">
        <w:t xml:space="preserve"> mohou mít až rodinné založení. </w:t>
      </w:r>
      <w:r>
        <w:t>Zároveň se v této sekci spíše méně pracuje se specializovanými přístroji, o jejichž bezpečnosti a bezpečnosti práce s nimi by bylo nutné zaměstnance pravidelně školit. Průměrně se nějakého povinného kurzu nebo školení v roce 2015 účastnilo 7</w:t>
      </w:r>
      <w:r w:rsidR="00BE7B7D">
        <w:t>5</w:t>
      </w:r>
      <w:r>
        <w:t xml:space="preserve"> % zaměstnanců firem.</w:t>
      </w:r>
      <w:r w:rsidR="00545BBF">
        <w:t xml:space="preserve"> </w:t>
      </w:r>
      <w:r w:rsidR="00020F71">
        <w:t xml:space="preserve">Za pozornost stojí </w:t>
      </w:r>
      <w:r w:rsidR="00545BBF">
        <w:t>rozdíl v účasti podle pohlaví. Zatímco zaměstnaných mužů se zúčastnilo 79 %, zaměstnaných žen 70 %.</w:t>
      </w:r>
    </w:p>
    <w:p w:rsidR="00AB2EEA" w:rsidRDefault="00AB2EEA" w:rsidP="00233C31">
      <w:pPr>
        <w:tabs>
          <w:tab w:val="left" w:pos="0"/>
        </w:tabs>
        <w:spacing w:after="0"/>
        <w:contextualSpacing/>
        <w:jc w:val="both"/>
      </w:pPr>
    </w:p>
    <w:p w:rsidR="00650925" w:rsidRDefault="00233C31" w:rsidP="00233C31">
      <w:pPr>
        <w:spacing w:after="0"/>
        <w:contextualSpacing/>
        <w:jc w:val="both"/>
      </w:pPr>
      <w:r>
        <w:lastRenderedPageBreak/>
        <w:t xml:space="preserve">U povinných kurzů 64 </w:t>
      </w:r>
      <w:r>
        <w:rPr>
          <w:lang w:val="en-US"/>
        </w:rPr>
        <w:t>%</w:t>
      </w:r>
      <w:r>
        <w:t xml:space="preserve"> firem využilo nabídky externího dodavatele vzdělávání, necelá polovina firem</w:t>
      </w:r>
      <w:r>
        <w:rPr>
          <w:rStyle w:val="Znakapoznpodarou"/>
          <w:rFonts w:eastAsia="MS Gothic"/>
        </w:rPr>
        <w:footnoteReference w:id="8"/>
      </w:r>
      <w:r>
        <w:t xml:space="preserve"> si ze</w:t>
      </w:r>
      <w:r w:rsidR="00213EE9">
        <w:t> </w:t>
      </w:r>
      <w:r>
        <w:t xml:space="preserve">zákona povinné kurzy školila sama. </w:t>
      </w:r>
      <w:r w:rsidR="00650925">
        <w:t>Podíl externího pořádání povinných školení se podle velikosti firmy příliš neliší, zatímco p</w:t>
      </w:r>
      <w:r w:rsidR="0089767A">
        <w:t>odíl interního zajištění povinných kurzů roste s velikostí firmy.</w:t>
      </w:r>
    </w:p>
    <w:p w:rsidR="00AE01E8" w:rsidRDefault="00EB0C94" w:rsidP="00233C31">
      <w:pPr>
        <w:spacing w:after="0"/>
        <w:contextualSpacing/>
        <w:jc w:val="both"/>
      </w:pPr>
      <w:r>
        <w:t xml:space="preserve"> </w:t>
      </w:r>
    </w:p>
    <w:p w:rsidR="0089767A" w:rsidRDefault="0089767A" w:rsidP="0089767A">
      <w:pPr>
        <w:pStyle w:val="Titulek"/>
        <w:keepNext/>
        <w:jc w:val="both"/>
      </w:pPr>
      <w:bookmarkStart w:id="79" w:name="_Toc501615599"/>
      <w:r>
        <w:t xml:space="preserve">Graf č. </w:t>
      </w:r>
      <w:r w:rsidR="007C3A3E">
        <w:fldChar w:fldCharType="begin"/>
      </w:r>
      <w:r w:rsidR="00C84608">
        <w:instrText xml:space="preserve"> SEQ Graf_č. \* ARABIC </w:instrText>
      </w:r>
      <w:r w:rsidR="007C3A3E">
        <w:fldChar w:fldCharType="separate"/>
      </w:r>
      <w:r w:rsidR="00476EDB">
        <w:rPr>
          <w:noProof/>
        </w:rPr>
        <w:t>16</w:t>
      </w:r>
      <w:r w:rsidR="007C3A3E">
        <w:rPr>
          <w:noProof/>
        </w:rPr>
        <w:fldChar w:fldCharType="end"/>
      </w:r>
      <w:r>
        <w:t xml:space="preserve">: Podíl firem zajišťujících povinné </w:t>
      </w:r>
      <w:r w:rsidR="00F17EC5">
        <w:t>kurzy/</w:t>
      </w:r>
      <w:r>
        <w:t xml:space="preserve">školení </w:t>
      </w:r>
      <w:r w:rsidR="00A60EAA">
        <w:t>ex</w:t>
      </w:r>
      <w:r>
        <w:t>terně podle velikosti firmy, 2015</w:t>
      </w:r>
      <w:bookmarkEnd w:id="79"/>
    </w:p>
    <w:p w:rsidR="00AE01E8" w:rsidRDefault="0074665D" w:rsidP="00650925">
      <w:r>
        <w:rPr>
          <w:noProof/>
        </w:rPr>
        <w:drawing>
          <wp:inline distT="0" distB="0" distL="0" distR="0" wp14:anchorId="7BF6F8C5" wp14:editId="7BCB7B57">
            <wp:extent cx="6115050" cy="27432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9767A" w:rsidRDefault="0089767A" w:rsidP="0089767A">
      <w:pPr>
        <w:spacing w:after="0"/>
        <w:contextualSpacing/>
        <w:rPr>
          <w:sz w:val="18"/>
        </w:rPr>
      </w:pPr>
      <w:r>
        <w:rPr>
          <w:sz w:val="18"/>
        </w:rPr>
        <w:t>Z</w:t>
      </w:r>
      <w:r w:rsidRPr="00EB211F">
        <w:rPr>
          <w:sz w:val="18"/>
        </w:rPr>
        <w:t>droj: šetření CVTS, ČSÚ 2017</w:t>
      </w:r>
    </w:p>
    <w:p w:rsidR="00233C31" w:rsidRDefault="00233C31" w:rsidP="00233C31">
      <w:pPr>
        <w:spacing w:after="0"/>
        <w:jc w:val="both"/>
        <w:rPr>
          <w:sz w:val="18"/>
        </w:rPr>
      </w:pPr>
    </w:p>
    <w:p w:rsidR="00EB0C94" w:rsidRDefault="00EB0C94" w:rsidP="00EB0C94">
      <w:pPr>
        <w:pStyle w:val="Titulek"/>
        <w:keepNext/>
        <w:jc w:val="both"/>
      </w:pPr>
      <w:bookmarkStart w:id="80" w:name="_Toc501615600"/>
      <w:r>
        <w:t xml:space="preserve">Graf č. </w:t>
      </w:r>
      <w:r w:rsidR="007C3A3E">
        <w:fldChar w:fldCharType="begin"/>
      </w:r>
      <w:r w:rsidR="00C84608">
        <w:instrText xml:space="preserve"> SEQ Graf_č. \* ARABIC </w:instrText>
      </w:r>
      <w:r w:rsidR="007C3A3E">
        <w:fldChar w:fldCharType="separate"/>
      </w:r>
      <w:r w:rsidR="00476EDB">
        <w:rPr>
          <w:noProof/>
        </w:rPr>
        <w:t>17</w:t>
      </w:r>
      <w:r w:rsidR="007C3A3E">
        <w:rPr>
          <w:noProof/>
        </w:rPr>
        <w:fldChar w:fldCharType="end"/>
      </w:r>
      <w:r>
        <w:t>: Podíl firem zajišťujících povinné kurzy</w:t>
      </w:r>
      <w:r w:rsidR="00F17EC5">
        <w:t>/školení</w:t>
      </w:r>
      <w:r>
        <w:t xml:space="preserve"> </w:t>
      </w:r>
      <w:r w:rsidR="00650925">
        <w:t>int</w:t>
      </w:r>
      <w:r>
        <w:t>erně podle velikosti firmy, 2015</w:t>
      </w:r>
      <w:bookmarkEnd w:id="80"/>
    </w:p>
    <w:p w:rsidR="00EB0C94" w:rsidRPr="00650925" w:rsidRDefault="007956A3" w:rsidP="00650925">
      <w:r>
        <w:rPr>
          <w:noProof/>
        </w:rPr>
        <w:drawing>
          <wp:inline distT="0" distB="0" distL="0" distR="0" wp14:anchorId="228B1188" wp14:editId="5BDC4AC2">
            <wp:extent cx="6115050" cy="2933700"/>
            <wp:effectExtent l="0" t="0" r="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B0C94" w:rsidRDefault="00EB0C94" w:rsidP="00EB0C94">
      <w:pPr>
        <w:spacing w:after="0"/>
        <w:contextualSpacing/>
        <w:rPr>
          <w:sz w:val="18"/>
        </w:rPr>
      </w:pPr>
      <w:r>
        <w:rPr>
          <w:sz w:val="18"/>
        </w:rPr>
        <w:t>Z</w:t>
      </w:r>
      <w:r w:rsidRPr="00EB211F">
        <w:rPr>
          <w:sz w:val="18"/>
        </w:rPr>
        <w:t>droj: šetření CVTS, ČSÚ 2017</w:t>
      </w:r>
    </w:p>
    <w:p w:rsidR="00EB0C94" w:rsidRDefault="00EB0C94" w:rsidP="00233C31">
      <w:pPr>
        <w:spacing w:after="0"/>
        <w:jc w:val="both"/>
        <w:rPr>
          <w:sz w:val="18"/>
        </w:rPr>
      </w:pPr>
    </w:p>
    <w:p w:rsidR="0089767A" w:rsidRPr="00EB211F" w:rsidRDefault="0089767A" w:rsidP="004E2FED">
      <w:pPr>
        <w:pStyle w:val="Nadpis4"/>
        <w:spacing w:after="120"/>
      </w:pPr>
      <w:bookmarkStart w:id="81" w:name="_Toc490472733"/>
      <w:bookmarkStart w:id="82" w:name="_Toc501614106"/>
      <w:r w:rsidRPr="00EB211F">
        <w:lastRenderedPageBreak/>
        <w:t>Nepovinné kurzy a školení</w:t>
      </w:r>
      <w:bookmarkEnd w:id="81"/>
      <w:r w:rsidR="001646AF" w:rsidRPr="00EB211F">
        <w:rPr>
          <w:rStyle w:val="Znakapoznpodarou"/>
        </w:rPr>
        <w:footnoteReference w:id="9"/>
      </w:r>
      <w:bookmarkEnd w:id="82"/>
    </w:p>
    <w:p w:rsidR="0089767A" w:rsidRDefault="0089767A" w:rsidP="004E2FED">
      <w:pPr>
        <w:spacing w:after="0"/>
        <w:jc w:val="both"/>
      </w:pPr>
      <w:r>
        <w:t>Polovina firem (53 %) kromě kurzů a školení povinných ze zákona pro své zaměstnance realizuje i kurzy a</w:t>
      </w:r>
      <w:r w:rsidR="00213EE9">
        <w:t> </w:t>
      </w:r>
      <w:r>
        <w:t xml:space="preserve">školení, která povinná nejsou. </w:t>
      </w:r>
      <w:r w:rsidR="008D7148" w:rsidRPr="00EF3181">
        <w:t>Průměrně se jich</w:t>
      </w:r>
      <w:r w:rsidR="000C25C2" w:rsidRPr="00EF3181">
        <w:t xml:space="preserve"> ve sledovaném roce zúčastnilo 3</w:t>
      </w:r>
      <w:r w:rsidR="00BE7B7D">
        <w:t>0</w:t>
      </w:r>
      <w:r w:rsidR="008D7148" w:rsidRPr="00EF3181">
        <w:t xml:space="preserve"> % zaměstnanců všech firem. </w:t>
      </w:r>
      <w:r w:rsidR="00BB7D52" w:rsidRPr="00EF3181">
        <w:t>Podíl účasti v nepovinných kurzech podle pohlaví</w:t>
      </w:r>
      <w:r w:rsidR="000C25C2" w:rsidRPr="00EF3181">
        <w:t xml:space="preserve"> je </w:t>
      </w:r>
      <w:r w:rsidR="00D7703B">
        <w:t>u mužů a žen téměř totožný (</w:t>
      </w:r>
      <w:r w:rsidR="000C25C2" w:rsidRPr="00EF3181">
        <w:t>3</w:t>
      </w:r>
      <w:r w:rsidR="00545BBF">
        <w:t>1</w:t>
      </w:r>
      <w:r w:rsidR="009B13E0" w:rsidRPr="00EF3181">
        <w:t xml:space="preserve"> %</w:t>
      </w:r>
      <w:r w:rsidR="00645819" w:rsidRPr="00EF3181">
        <w:t xml:space="preserve"> zaměstn</w:t>
      </w:r>
      <w:r w:rsidR="00B05FCB" w:rsidRPr="00EF3181">
        <w:t>aných mužů</w:t>
      </w:r>
      <w:r w:rsidR="00D7703B">
        <w:t>,</w:t>
      </w:r>
      <w:r w:rsidR="00BB7D52" w:rsidRPr="00EF3181">
        <w:t xml:space="preserve"> </w:t>
      </w:r>
      <w:r w:rsidR="00EF3181" w:rsidRPr="00EF3181">
        <w:t xml:space="preserve">30 % </w:t>
      </w:r>
      <w:r w:rsidR="00BB7D52" w:rsidRPr="00EF3181">
        <w:t>žen</w:t>
      </w:r>
      <w:r w:rsidR="00D7703B">
        <w:t>)</w:t>
      </w:r>
      <w:r w:rsidR="00C872DC">
        <w:t xml:space="preserve">. </w:t>
      </w:r>
      <w:r w:rsidR="00BB7D52" w:rsidRPr="00EF3181">
        <w:t>Z</w:t>
      </w:r>
      <w:r w:rsidR="00645819" w:rsidRPr="00EF3181">
        <w:t xml:space="preserve">e zaměstnanců starších 55 let </w:t>
      </w:r>
      <w:r w:rsidR="00EF3181" w:rsidRPr="00EF3181">
        <w:t xml:space="preserve">se </w:t>
      </w:r>
      <w:r w:rsidR="00D7703B">
        <w:t>nějakého nepovinně poskytovaného kurzu ve</w:t>
      </w:r>
      <w:r w:rsidR="00213EE9">
        <w:t> </w:t>
      </w:r>
      <w:r w:rsidR="00D7703B">
        <w:t>sled</w:t>
      </w:r>
      <w:r w:rsidR="006122D1">
        <w:t>ovaných firmách účastn</w:t>
      </w:r>
      <w:r w:rsidR="00D7703B">
        <w:t>ilo</w:t>
      </w:r>
      <w:r w:rsidR="006122D1">
        <w:t xml:space="preserve"> </w:t>
      </w:r>
      <w:r w:rsidR="00EF3181" w:rsidRPr="00EF3181">
        <w:t>22</w:t>
      </w:r>
      <w:r w:rsidR="001F2D66" w:rsidRPr="00EF3181">
        <w:t xml:space="preserve"> %</w:t>
      </w:r>
      <w:r w:rsidR="00C872DC">
        <w:t>, naopak podíl zaměstnanců mladších 55 let, kteří se zúčastnili nepovinného kurzu, činil 32 %.</w:t>
      </w:r>
      <w:r w:rsidR="00A554CF">
        <w:t xml:space="preserve"> </w:t>
      </w:r>
      <w:r w:rsidR="00D7703B">
        <w:t>Nepovinně zajišťované kurzy se od těch povinně poskytovaných</w:t>
      </w:r>
      <w:r>
        <w:t xml:space="preserve"> obvykle odlišují </w:t>
      </w:r>
      <w:r w:rsidR="00D7703B">
        <w:t xml:space="preserve">také </w:t>
      </w:r>
      <w:r>
        <w:t xml:space="preserve">jiným tematickým zaměřením. Jedná se o celou škálu </w:t>
      </w:r>
      <w:r w:rsidR="00D7703B">
        <w:t>vzdělávacích aktivit</w:t>
      </w:r>
      <w:r>
        <w:t>, od tematicky úzce vyprofilovaných pro danou firmu, přes</w:t>
      </w:r>
      <w:r w:rsidR="00D7703B">
        <w:t xml:space="preserve"> obecnější</w:t>
      </w:r>
      <w:r>
        <w:t xml:space="preserve"> kurzy počítačových dovedností</w:t>
      </w:r>
      <w:r w:rsidRPr="004D27D1">
        <w:t>,</w:t>
      </w:r>
      <w:r>
        <w:t xml:space="preserve"> jazykové kurzy, či kurzy</w:t>
      </w:r>
      <w:r w:rsidRPr="004D27D1">
        <w:t xml:space="preserve"> trénování </w:t>
      </w:r>
      <w:r>
        <w:t>měkkých dovedností</w:t>
      </w:r>
      <w:r w:rsidRPr="004D27D1">
        <w:t xml:space="preserve"> (</w:t>
      </w:r>
      <w:r w:rsidR="00D7703B">
        <w:t xml:space="preserve">soft </w:t>
      </w:r>
      <w:proofErr w:type="spellStart"/>
      <w:r w:rsidR="00D7703B">
        <w:t>skills</w:t>
      </w:r>
      <w:proofErr w:type="spellEnd"/>
      <w:r w:rsidR="00D7703B">
        <w:t xml:space="preserve">, </w:t>
      </w:r>
      <w:r w:rsidRPr="004D27D1">
        <w:t>např. komunikační dovednosti</w:t>
      </w:r>
      <w:r w:rsidR="00A51FD5">
        <w:t xml:space="preserve"> či vedení lidí</w:t>
      </w:r>
      <w:r w:rsidRPr="004D27D1">
        <w:t>). Dalo by se říci, že u nepovinných kurzů/školení</w:t>
      </w:r>
      <w:r>
        <w:t xml:space="preserve"> se výrazněji projevuje</w:t>
      </w:r>
      <w:r w:rsidRPr="004D27D1">
        <w:t xml:space="preserve"> </w:t>
      </w:r>
      <w:r>
        <w:t>přístup firem ke vzdělávání svých zaměstnanců. Ukazuje, z</w:t>
      </w:r>
      <w:r w:rsidRPr="004D27D1">
        <w:t xml:space="preserve">da </w:t>
      </w:r>
      <w:r>
        <w:t>firmy mají potřebu doplňování a aktualizace znalostí a dovedností svých zaměstnanců, či převažuje názor o dostatečnosti formálního vzdělávání a učení se „mimoděk“</w:t>
      </w:r>
      <w:r w:rsidRPr="004D27D1">
        <w:t xml:space="preserve"> praxí. </w:t>
      </w:r>
      <w:r>
        <w:t>Kromě firemní kultury, na které je patrně míra ochoty vzdělávat své zaměstnance také závislá, pravděpodobně většinou rozhodují ekonomické důvody. Vzdělávání může být chápáno jako investice do zvyšování znalostí a dovedností zaměstnanců a tím zlepšování kvality</w:t>
      </w:r>
      <w:r w:rsidR="00D7703B">
        <w:t xml:space="preserve"> jejich</w:t>
      </w:r>
      <w:r>
        <w:t xml:space="preserve"> práce (či výkonnosti) nebo jako jeden z možných benefitů, kterými firmy zaměstnance motivují.</w:t>
      </w:r>
    </w:p>
    <w:p w:rsidR="00EF3181" w:rsidRDefault="00EF3181" w:rsidP="004E2FED">
      <w:pPr>
        <w:spacing w:after="0"/>
        <w:jc w:val="both"/>
      </w:pPr>
    </w:p>
    <w:p w:rsidR="00613A2E" w:rsidRDefault="0089767A" w:rsidP="0089767A">
      <w:pPr>
        <w:spacing w:after="0"/>
        <w:jc w:val="both"/>
      </w:pPr>
      <w:r>
        <w:t>Kromě nesnadno kvantifikovatelných aspektů, jako je firemní kultura, je možné podívat se na rozlišení pořádání nepovinných kurzů a školení i optikou „tvrdých“ faktorů. Jak už bylo řečeno v první kapitole, podíl firem, které zajišťují nepovinné kurzy, stoupá s rostoucí velkostí firmy (</w:t>
      </w:r>
      <w:r w:rsidR="007C3A3E" w:rsidRPr="00973C4B">
        <w:rPr>
          <w:color w:val="0070C0"/>
          <w:u w:val="single"/>
        </w:rPr>
        <w:fldChar w:fldCharType="begin"/>
      </w:r>
      <w:r w:rsidR="00EF3181" w:rsidRPr="00973C4B">
        <w:rPr>
          <w:color w:val="0070C0"/>
          <w:u w:val="single"/>
        </w:rPr>
        <w:instrText xml:space="preserve"> REF _Ref484603462 \h </w:instrText>
      </w:r>
      <w:r w:rsidR="00973C4B">
        <w:rPr>
          <w:color w:val="0070C0"/>
          <w:u w:val="single"/>
        </w:rPr>
        <w:instrText xml:space="preserve"> \* MERGEFORMAT </w:instrText>
      </w:r>
      <w:r w:rsidR="007C3A3E" w:rsidRPr="00973C4B">
        <w:rPr>
          <w:color w:val="0070C0"/>
          <w:u w:val="single"/>
        </w:rPr>
      </w:r>
      <w:r w:rsidR="007C3A3E" w:rsidRPr="00973C4B">
        <w:rPr>
          <w:color w:val="0070C0"/>
          <w:u w:val="single"/>
        </w:rPr>
        <w:fldChar w:fldCharType="separate"/>
      </w:r>
      <w:r w:rsidR="00476EDB" w:rsidRPr="00476EDB">
        <w:rPr>
          <w:color w:val="0070C0"/>
          <w:u w:val="single"/>
        </w:rPr>
        <w:t xml:space="preserve">Graf č. </w:t>
      </w:r>
      <w:r w:rsidR="00476EDB" w:rsidRPr="00476EDB">
        <w:rPr>
          <w:noProof/>
          <w:color w:val="0070C0"/>
          <w:u w:val="single"/>
        </w:rPr>
        <w:t>2</w:t>
      </w:r>
      <w:r w:rsidR="007C3A3E" w:rsidRPr="00973C4B">
        <w:rPr>
          <w:color w:val="0070C0"/>
          <w:u w:val="single"/>
        </w:rPr>
        <w:fldChar w:fldCharType="end"/>
      </w:r>
      <w:r>
        <w:t>). Nejvíce (80</w:t>
      </w:r>
      <w:r w:rsidR="00DA0AFE">
        <w:t> </w:t>
      </w:r>
      <w:r>
        <w:t>%)</w:t>
      </w:r>
      <w:r w:rsidR="00DA0AFE">
        <w:t> </w:t>
      </w:r>
      <w:r>
        <w:t xml:space="preserve">nepovinných kurzů se koná ve firmách v odvětví </w:t>
      </w:r>
      <w:r w:rsidR="004D424A">
        <w:t>P</w:t>
      </w:r>
      <w:r>
        <w:t>en</w:t>
      </w:r>
      <w:r w:rsidR="00EF3181">
        <w:t>ěžnictví a pojišťovnictví (</w:t>
      </w:r>
      <w:r>
        <w:t xml:space="preserve">sekce K) </w:t>
      </w:r>
      <w:r w:rsidR="003B04BF" w:rsidRPr="00EF3181">
        <w:t>a v těch</w:t>
      </w:r>
      <w:r w:rsidR="00EF3181">
        <w:t xml:space="preserve"> se zahraničním vlastníkem </w:t>
      </w:r>
      <w:r w:rsidR="003B04BF" w:rsidRPr="00EF3181">
        <w:t>(75 %).</w:t>
      </w:r>
      <w:r w:rsidR="00893447">
        <w:t xml:space="preserve"> Tomu odpovídá i podíl zaměstnanců účastnících se nepovinných kurzů a</w:t>
      </w:r>
      <w:r w:rsidR="00213EE9">
        <w:t> </w:t>
      </w:r>
      <w:r w:rsidR="00893447">
        <w:t>školení (</w:t>
      </w:r>
      <w:r w:rsidR="00EF3498">
        <w:t>viz graf č. 18</w:t>
      </w:r>
      <w:r w:rsidR="00893447">
        <w:t>).</w:t>
      </w:r>
    </w:p>
    <w:p w:rsidR="00613A2E" w:rsidRDefault="00613A2E" w:rsidP="0089767A">
      <w:pPr>
        <w:spacing w:after="0"/>
        <w:jc w:val="both"/>
      </w:pPr>
    </w:p>
    <w:p w:rsidR="00366A5F" w:rsidRDefault="00613A2E" w:rsidP="00613A2E">
      <w:pPr>
        <w:pStyle w:val="Titulek"/>
        <w:keepNext/>
        <w:spacing w:after="0"/>
        <w:jc w:val="both"/>
      </w:pPr>
      <w:bookmarkStart w:id="83" w:name="_Ref496265066"/>
      <w:bookmarkStart w:id="84" w:name="_Toc501615601"/>
      <w:r>
        <w:t xml:space="preserve">Graf č. </w:t>
      </w:r>
      <w:r w:rsidR="00E13170">
        <w:fldChar w:fldCharType="begin"/>
      </w:r>
      <w:r w:rsidR="00E13170">
        <w:instrText xml:space="preserve"> SEQ Graf_č. \* ARABIC </w:instrText>
      </w:r>
      <w:r w:rsidR="00E13170">
        <w:fldChar w:fldCharType="separate"/>
      </w:r>
      <w:r w:rsidR="00476EDB">
        <w:rPr>
          <w:noProof/>
        </w:rPr>
        <w:t>18</w:t>
      </w:r>
      <w:r w:rsidR="00E13170">
        <w:rPr>
          <w:noProof/>
        </w:rPr>
        <w:fldChar w:fldCharType="end"/>
      </w:r>
      <w:bookmarkEnd w:id="83"/>
      <w:r>
        <w:t xml:space="preserve">: Podíl zaměstnanců účastnících se nepovinných kurzů/školení </w:t>
      </w:r>
      <w:r w:rsidR="00BE4E34">
        <w:t>podle odvětví firmy</w:t>
      </w:r>
      <w:r w:rsidR="00366A5F">
        <w:t> </w:t>
      </w:r>
    </w:p>
    <w:p w:rsidR="00230FD3" w:rsidRPr="00230FD3" w:rsidRDefault="00BE4E34" w:rsidP="00230FD3">
      <w:pPr>
        <w:pStyle w:val="Titulek"/>
        <w:keepNext/>
        <w:spacing w:after="0"/>
        <w:jc w:val="both"/>
      </w:pPr>
      <w:r>
        <w:t>(</w:t>
      </w:r>
      <w:proofErr w:type="gramStart"/>
      <w:r>
        <w:t>CZ</w:t>
      </w:r>
      <w:proofErr w:type="gramEnd"/>
      <w:r>
        <w:t>–</w:t>
      </w:r>
      <w:proofErr w:type="gramStart"/>
      <w:r>
        <w:t>NACE</w:t>
      </w:r>
      <w:proofErr w:type="gramEnd"/>
      <w:r>
        <w:t>), 2015</w:t>
      </w:r>
      <w:bookmarkEnd w:id="84"/>
    </w:p>
    <w:p w:rsidR="00613A2E" w:rsidRDefault="00230FD3" w:rsidP="0089767A">
      <w:pPr>
        <w:spacing w:after="0"/>
        <w:jc w:val="both"/>
      </w:pPr>
      <w:r>
        <w:rPr>
          <w:noProof/>
        </w:rPr>
        <w:drawing>
          <wp:inline distT="0" distB="0" distL="0" distR="0" wp14:anchorId="0680A82B" wp14:editId="39D0AFC3">
            <wp:extent cx="6105525" cy="2819400"/>
            <wp:effectExtent l="0" t="0" r="0" b="0"/>
            <wp:docPr id="43" name="Graf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893447">
        <w:t xml:space="preserve"> </w:t>
      </w:r>
    </w:p>
    <w:p w:rsidR="00F266E0" w:rsidRDefault="00F266E0" w:rsidP="00613A2E">
      <w:pPr>
        <w:spacing w:after="0"/>
        <w:contextualSpacing/>
        <w:rPr>
          <w:sz w:val="18"/>
        </w:rPr>
      </w:pPr>
    </w:p>
    <w:p w:rsidR="00613A2E" w:rsidRDefault="00613A2E" w:rsidP="00613A2E">
      <w:pPr>
        <w:spacing w:after="0"/>
        <w:contextualSpacing/>
        <w:rPr>
          <w:sz w:val="18"/>
        </w:rPr>
      </w:pPr>
      <w:r>
        <w:rPr>
          <w:sz w:val="18"/>
        </w:rPr>
        <w:t>Z</w:t>
      </w:r>
      <w:r w:rsidRPr="00EB211F">
        <w:rPr>
          <w:sz w:val="18"/>
        </w:rPr>
        <w:t>droj: šetření CVTS, ČSÚ 2017</w:t>
      </w:r>
    </w:p>
    <w:p w:rsidR="00230FD3" w:rsidRDefault="00230FD3" w:rsidP="00613A2E">
      <w:pPr>
        <w:spacing w:after="0"/>
        <w:contextualSpacing/>
        <w:rPr>
          <w:sz w:val="18"/>
        </w:rPr>
      </w:pPr>
    </w:p>
    <w:p w:rsidR="0089767A" w:rsidRDefault="00893447" w:rsidP="00233C31">
      <w:pPr>
        <w:spacing w:after="0"/>
        <w:jc w:val="both"/>
        <w:rPr>
          <w:sz w:val="18"/>
        </w:rPr>
      </w:pPr>
      <w:r>
        <w:lastRenderedPageBreak/>
        <w:t xml:space="preserve">Téměř </w:t>
      </w:r>
      <w:r w:rsidR="003F2623">
        <w:t>tři čtvrtiny</w:t>
      </w:r>
      <w:r w:rsidR="004B66B6">
        <w:t xml:space="preserve"> zaměstnanců v odvětví P</w:t>
      </w:r>
      <w:r>
        <w:t xml:space="preserve">eněžnictví a pojišťovnictví se školí touto formou. Mezi zaměstnanci firem poskytujících nepovinné kurzy v této odvětvové sekci činí podíl účastníků nepovinných kurzů </w:t>
      </w:r>
      <w:r w:rsidR="003F2623">
        <w:t>76</w:t>
      </w:r>
      <w:r>
        <w:t xml:space="preserve"> %. Nejnižší účast je naopak patrná v sekci </w:t>
      </w:r>
      <w:r w:rsidR="004D424A">
        <w:t xml:space="preserve">Ubytování, stravování a </w:t>
      </w:r>
      <w:r>
        <w:t>pohostinství (sekce I</w:t>
      </w:r>
      <w:r w:rsidR="003F2623">
        <w:t>; 30</w:t>
      </w:r>
      <w:r w:rsidR="00DA0AFE">
        <w:t> </w:t>
      </w:r>
      <w:r w:rsidR="003F2623">
        <w:t>%</w:t>
      </w:r>
      <w:r w:rsidR="00DA0AFE">
        <w:t> </w:t>
      </w:r>
      <w:r w:rsidR="003F2623">
        <w:t>ze</w:t>
      </w:r>
      <w:r w:rsidR="00213EE9">
        <w:t> </w:t>
      </w:r>
      <w:r w:rsidR="003F2623">
        <w:t>zaměstnanců firem poskytujících dané kurzy</w:t>
      </w:r>
      <w:r>
        <w:t xml:space="preserve">) a </w:t>
      </w:r>
      <w:r w:rsidR="00D7703B">
        <w:t>v </w:t>
      </w:r>
      <w:r w:rsidR="004D424A">
        <w:t>p</w:t>
      </w:r>
      <w:r>
        <w:t>růmysl</w:t>
      </w:r>
      <w:r w:rsidR="00D7703B">
        <w:t>u</w:t>
      </w:r>
      <w:r>
        <w:t xml:space="preserve"> (sekce </w:t>
      </w:r>
      <w:r w:rsidR="00B71824">
        <w:t>BC; 34</w:t>
      </w:r>
      <w:r w:rsidR="003F2623">
        <w:t xml:space="preserve"> % ze zaměstnanců firem poskytujících dané kurzy</w:t>
      </w:r>
      <w:r w:rsidR="00B544E2">
        <w:t>).</w:t>
      </w:r>
    </w:p>
    <w:p w:rsidR="006C128B" w:rsidRDefault="006C128B" w:rsidP="00233C31">
      <w:pPr>
        <w:spacing w:after="0"/>
        <w:jc w:val="both"/>
        <w:rPr>
          <w:sz w:val="18"/>
        </w:rPr>
      </w:pPr>
    </w:p>
    <w:p w:rsidR="00111F62" w:rsidRPr="001D36C2" w:rsidRDefault="00CD2412" w:rsidP="001D36C2">
      <w:pPr>
        <w:spacing w:after="0"/>
        <w:contextualSpacing/>
        <w:jc w:val="both"/>
        <w:rPr>
          <w:sz w:val="18"/>
        </w:rPr>
      </w:pPr>
      <w:r>
        <w:t xml:space="preserve">Stejně jako povinné kurzy </w:t>
      </w:r>
      <w:r w:rsidR="00207B2D">
        <w:t xml:space="preserve">zajišťují firmy </w:t>
      </w:r>
      <w:r>
        <w:t>i</w:t>
      </w:r>
      <w:r w:rsidR="00207B2D">
        <w:t xml:space="preserve"> ty</w:t>
      </w:r>
      <w:r>
        <w:t xml:space="preserve"> nepovinné častěji externě. P</w:t>
      </w:r>
      <w:r w:rsidR="00282489">
        <w:t xml:space="preserve">oměr interního a externího zajištění </w:t>
      </w:r>
      <w:r>
        <w:t xml:space="preserve">nepovinných </w:t>
      </w:r>
      <w:r w:rsidR="00282489">
        <w:t>kurz</w:t>
      </w:r>
      <w:r>
        <w:t>ů</w:t>
      </w:r>
      <w:r w:rsidR="00282489">
        <w:t xml:space="preserve"> </w:t>
      </w:r>
      <w:r>
        <w:t xml:space="preserve">je však </w:t>
      </w:r>
      <w:r w:rsidR="00282489">
        <w:t xml:space="preserve">odlišný než </w:t>
      </w:r>
      <w:r>
        <w:t xml:space="preserve">je tomu </w:t>
      </w:r>
      <w:r w:rsidR="00282489">
        <w:t xml:space="preserve">u kurzů povinných ze zákona. </w:t>
      </w:r>
      <w:r>
        <w:t>V</w:t>
      </w:r>
      <w:r w:rsidR="00282489">
        <w:t xml:space="preserve"> roce 2015 </w:t>
      </w:r>
      <w:r w:rsidR="00207B2D">
        <w:t xml:space="preserve">poskytla svým zaměstnancům </w:t>
      </w:r>
      <w:r w:rsidR="00282489">
        <w:t xml:space="preserve">kurzy </w:t>
      </w:r>
      <w:r w:rsidR="00207B2D">
        <w:t xml:space="preserve">zajištěné externě </w:t>
      </w:r>
      <w:r w:rsidR="00282489">
        <w:t xml:space="preserve">téměř polovina </w:t>
      </w:r>
      <w:r w:rsidR="005227A7">
        <w:t xml:space="preserve">ze všech </w:t>
      </w:r>
      <w:r w:rsidR="00282489">
        <w:t>firem</w:t>
      </w:r>
      <w:r w:rsidR="005227A7">
        <w:t xml:space="preserve">, </w:t>
      </w:r>
      <w:r w:rsidR="00282489">
        <w:t xml:space="preserve">zatímco </w:t>
      </w:r>
      <w:r w:rsidR="00207B2D">
        <w:t xml:space="preserve">interně jich </w:t>
      </w:r>
      <w:r w:rsidR="00490AE6">
        <w:t xml:space="preserve">je </w:t>
      </w:r>
      <w:r w:rsidR="00282489">
        <w:t xml:space="preserve">zajistila pouze pětina </w:t>
      </w:r>
      <w:r w:rsidR="008E51CD">
        <w:t xml:space="preserve">(viz </w:t>
      </w:r>
      <w:r w:rsidR="00EF3498">
        <w:t>graf č. 19, graf č. 20).</w:t>
      </w:r>
      <w:r w:rsidR="00282489">
        <w:t xml:space="preserve"> </w:t>
      </w:r>
    </w:p>
    <w:p w:rsidR="00613A2E" w:rsidRDefault="00613A2E" w:rsidP="00282489">
      <w:pPr>
        <w:spacing w:after="0"/>
        <w:jc w:val="both"/>
      </w:pPr>
    </w:p>
    <w:p w:rsidR="00111F62" w:rsidRDefault="00111F62" w:rsidP="00111F62">
      <w:pPr>
        <w:pStyle w:val="Titulek"/>
        <w:keepNext/>
        <w:jc w:val="both"/>
      </w:pPr>
      <w:bookmarkStart w:id="85" w:name="_Ref496265779"/>
      <w:bookmarkStart w:id="86" w:name="_Toc501615602"/>
      <w:r>
        <w:t xml:space="preserve">Graf č. </w:t>
      </w:r>
      <w:r w:rsidR="007C3A3E">
        <w:fldChar w:fldCharType="begin"/>
      </w:r>
      <w:r w:rsidR="00C84608">
        <w:instrText xml:space="preserve"> SEQ Graf_č. \* ARABIC </w:instrText>
      </w:r>
      <w:r w:rsidR="007C3A3E">
        <w:fldChar w:fldCharType="separate"/>
      </w:r>
      <w:r w:rsidR="00476EDB">
        <w:rPr>
          <w:noProof/>
        </w:rPr>
        <w:t>19</w:t>
      </w:r>
      <w:r w:rsidR="007C3A3E">
        <w:rPr>
          <w:noProof/>
        </w:rPr>
        <w:fldChar w:fldCharType="end"/>
      </w:r>
      <w:bookmarkEnd w:id="85"/>
      <w:r w:rsidR="008E51CD">
        <w:t xml:space="preserve">: Podíl firem </w:t>
      </w:r>
      <w:r>
        <w:t>zajišťujících nepovinné kurzy/školení</w:t>
      </w:r>
      <w:r w:rsidR="00207B2D">
        <w:t xml:space="preserve"> </w:t>
      </w:r>
      <w:r w:rsidR="00870338">
        <w:t xml:space="preserve">externě </w:t>
      </w:r>
      <w:r w:rsidR="00207B2D">
        <w:t>podle velikosti firmy</w:t>
      </w:r>
      <w:r>
        <w:t>, 2015</w:t>
      </w:r>
      <w:bookmarkEnd w:id="86"/>
    </w:p>
    <w:p w:rsidR="00111F62" w:rsidRDefault="00230FD3" w:rsidP="00282489">
      <w:pPr>
        <w:spacing w:after="0"/>
        <w:jc w:val="both"/>
      </w:pPr>
      <w:r>
        <w:rPr>
          <w:noProof/>
        </w:rPr>
        <w:drawing>
          <wp:inline distT="0" distB="0" distL="0" distR="0" wp14:anchorId="495029AC" wp14:editId="6B335A73">
            <wp:extent cx="5972175" cy="2867025"/>
            <wp:effectExtent l="0" t="0" r="0" b="0"/>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E51CD" w:rsidRDefault="008E51CD" w:rsidP="00282489">
      <w:pPr>
        <w:spacing w:after="0"/>
        <w:jc w:val="both"/>
      </w:pPr>
    </w:p>
    <w:p w:rsidR="00613A2E" w:rsidRDefault="00555EE6" w:rsidP="00613A2E">
      <w:pPr>
        <w:spacing w:after="0"/>
        <w:contextualSpacing/>
        <w:rPr>
          <w:sz w:val="18"/>
        </w:rPr>
      </w:pPr>
      <w:r>
        <w:rPr>
          <w:sz w:val="18"/>
        </w:rPr>
        <w:t>Z</w:t>
      </w:r>
      <w:r w:rsidRPr="00EB211F">
        <w:rPr>
          <w:sz w:val="18"/>
        </w:rPr>
        <w:t>droj: šetření CVTS, ČSÚ 2017</w:t>
      </w:r>
      <w:bookmarkStart w:id="87" w:name="_Ref496265800"/>
    </w:p>
    <w:p w:rsidR="00613A2E" w:rsidRDefault="00613A2E" w:rsidP="00613A2E">
      <w:pPr>
        <w:spacing w:after="0"/>
        <w:contextualSpacing/>
        <w:rPr>
          <w:sz w:val="18"/>
        </w:rPr>
      </w:pPr>
    </w:p>
    <w:p w:rsidR="005227A7" w:rsidRDefault="005227A7" w:rsidP="00613A2E">
      <w:pPr>
        <w:pStyle w:val="Titulek"/>
        <w:keepNext/>
        <w:jc w:val="both"/>
      </w:pPr>
      <w:bookmarkStart w:id="88" w:name="_Toc501615603"/>
      <w:r>
        <w:t xml:space="preserve">Graf č. </w:t>
      </w:r>
      <w:r w:rsidR="007C3A3E">
        <w:fldChar w:fldCharType="begin"/>
      </w:r>
      <w:r w:rsidR="00C84608">
        <w:instrText xml:space="preserve"> SEQ Graf_č. \* ARABIC </w:instrText>
      </w:r>
      <w:r w:rsidR="007C3A3E">
        <w:fldChar w:fldCharType="separate"/>
      </w:r>
      <w:r w:rsidR="00476EDB">
        <w:rPr>
          <w:noProof/>
        </w:rPr>
        <w:t>20</w:t>
      </w:r>
      <w:r w:rsidR="007C3A3E">
        <w:fldChar w:fldCharType="end"/>
      </w:r>
      <w:bookmarkEnd w:id="87"/>
      <w:r>
        <w:t xml:space="preserve">: </w:t>
      </w:r>
      <w:r w:rsidR="00111F62">
        <w:t>Podíl firem zajišťujících nepovinné kurzy/školení</w:t>
      </w:r>
      <w:r w:rsidR="00207B2D">
        <w:t xml:space="preserve"> </w:t>
      </w:r>
      <w:r w:rsidR="00870338">
        <w:t xml:space="preserve">interně </w:t>
      </w:r>
      <w:r w:rsidR="00207B2D">
        <w:t>podle velikosti firmy</w:t>
      </w:r>
      <w:r w:rsidR="00111F62">
        <w:t>, 2015</w:t>
      </w:r>
      <w:bookmarkEnd w:id="88"/>
    </w:p>
    <w:p w:rsidR="008E51CD" w:rsidRPr="008E51CD" w:rsidRDefault="007C2FCB" w:rsidP="008E51CD">
      <w:r>
        <w:rPr>
          <w:noProof/>
        </w:rPr>
        <w:drawing>
          <wp:inline distT="0" distB="0" distL="0" distR="0" wp14:anchorId="64098998" wp14:editId="7EA1C198">
            <wp:extent cx="5972175" cy="2752725"/>
            <wp:effectExtent l="0" t="0" r="0" b="0"/>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11F62" w:rsidRDefault="00111F62" w:rsidP="00111F62">
      <w:pPr>
        <w:spacing w:after="0"/>
        <w:contextualSpacing/>
        <w:rPr>
          <w:sz w:val="18"/>
        </w:rPr>
      </w:pPr>
      <w:r>
        <w:rPr>
          <w:sz w:val="18"/>
        </w:rPr>
        <w:t>Z</w:t>
      </w:r>
      <w:r w:rsidRPr="00EB211F">
        <w:rPr>
          <w:sz w:val="18"/>
        </w:rPr>
        <w:t>droj: šetření CVTS, ČSÚ 2017</w:t>
      </w:r>
    </w:p>
    <w:p w:rsidR="00613A2E" w:rsidRDefault="00613A2E" w:rsidP="00613A2E">
      <w:pPr>
        <w:spacing w:after="0"/>
        <w:jc w:val="both"/>
      </w:pPr>
      <w:r>
        <w:lastRenderedPageBreak/>
        <w:t xml:space="preserve">Větší obliba nepovinných kurzů pořádaných externě je u firem pochopitelná, organizace, výběr obsahu či zajišťování lektora je zabezpečeno profesionální autoritou. Zároveň na rozdíl od povinných kurzů, kde je vzdělávací obsah daný zákonem a meziročně se většinou nemění, může být u nepovinných kurzů interní zajištění obsahu náročnější z důvodu různosti témat, možné nedostatečnosti kompetencí kmenových zaměstnanců apod. Motivací pro interní zajištění kurzu či školení může být naopak nižší nákladnost akce či praktická znalost školeného problému ze strany lektora – zaměstnance firmy. </w:t>
      </w:r>
    </w:p>
    <w:p w:rsidR="00613A2E" w:rsidRDefault="00613A2E" w:rsidP="00613A2E">
      <w:pPr>
        <w:spacing w:after="0"/>
        <w:jc w:val="both"/>
      </w:pPr>
    </w:p>
    <w:p w:rsidR="0066549C" w:rsidRDefault="00111F62" w:rsidP="00111F62">
      <w:pPr>
        <w:spacing w:after="0"/>
        <w:jc w:val="both"/>
      </w:pPr>
      <w:r>
        <w:t>Co se týče obsahových témat nepovinných kurzů, vedle rozvoje jiných specifických dovedností, které souvisí s výkonem konkrétního povolání ve firmě</w:t>
      </w:r>
      <w:r w:rsidR="002C270F">
        <w:t>,</w:t>
      </w:r>
      <w:r>
        <w:t xml:space="preserve"> a které zajišťovala téměř třetina firem, nejvíce firem (15 %) umožňovalo svým zaměstnancům absolvovat jazykové vzdělávání a kurzy zaměřené na specifické technické dovednosti, které rovněž úzce souvisely s výkonem konkrétního povolání (14 %). </w:t>
      </w:r>
      <w:r w:rsidR="003F3F6E">
        <w:t xml:space="preserve">V rámci nepovinných kurzů se zaměstnanci vzdělávají i v oblasti </w:t>
      </w:r>
      <w:r w:rsidR="00B34C59">
        <w:t>počítačových dovedností</w:t>
      </w:r>
      <w:r w:rsidR="003F3F6E">
        <w:t xml:space="preserve">. </w:t>
      </w:r>
      <w:r w:rsidR="00B34C59">
        <w:t>Školení pokročilejších</w:t>
      </w:r>
      <w:r w:rsidR="003F3F6E">
        <w:t xml:space="preserve"> </w:t>
      </w:r>
      <w:r w:rsidR="00B34C59">
        <w:t xml:space="preserve">činností </w:t>
      </w:r>
      <w:r w:rsidR="003F3F6E">
        <w:t>(programování a vytváření webových stránek), ale i běžného užívání</w:t>
      </w:r>
      <w:r w:rsidR="00B34C59">
        <w:t xml:space="preserve"> informačních technologií</w:t>
      </w:r>
      <w:r w:rsidR="003F3F6E">
        <w:t xml:space="preserve"> (textový editor</w:t>
      </w:r>
      <w:r w:rsidR="00B34C59">
        <w:t xml:space="preserve">, tabulkový procesor, internet) </w:t>
      </w:r>
      <w:r w:rsidR="003F3F6E">
        <w:t xml:space="preserve">poskytlo </w:t>
      </w:r>
      <w:r w:rsidR="00B34C59">
        <w:t xml:space="preserve">přibližně </w:t>
      </w:r>
      <w:r w:rsidR="003F3F6E">
        <w:t>5 % všech firem</w:t>
      </w:r>
      <w:r w:rsidR="00B34C59">
        <w:t xml:space="preserve">. </w:t>
      </w:r>
      <w:r>
        <w:t>Další témata obsahu kurzů a jejich podíly jsou uvedeny v</w:t>
      </w:r>
      <w:r w:rsidR="00B05FCB">
        <w:t> následujícím grafu.</w:t>
      </w:r>
    </w:p>
    <w:p w:rsidR="00475504" w:rsidRDefault="00475504" w:rsidP="00111F62">
      <w:pPr>
        <w:spacing w:after="0"/>
        <w:jc w:val="both"/>
      </w:pPr>
    </w:p>
    <w:p w:rsidR="0066549C" w:rsidRDefault="0066549C" w:rsidP="0066549C">
      <w:pPr>
        <w:pStyle w:val="Titulek"/>
        <w:keepNext/>
        <w:jc w:val="both"/>
      </w:pPr>
      <w:bookmarkStart w:id="89" w:name="_Ref496266123"/>
      <w:bookmarkStart w:id="90" w:name="_Toc501615604"/>
      <w:r>
        <w:t xml:space="preserve">Graf č. </w:t>
      </w:r>
      <w:r w:rsidR="007C3A3E">
        <w:fldChar w:fldCharType="begin"/>
      </w:r>
      <w:r w:rsidR="00C84608">
        <w:instrText xml:space="preserve"> SEQ Graf_č. \* ARABIC </w:instrText>
      </w:r>
      <w:r w:rsidR="007C3A3E">
        <w:fldChar w:fldCharType="separate"/>
      </w:r>
      <w:r w:rsidR="00476EDB">
        <w:rPr>
          <w:noProof/>
        </w:rPr>
        <w:t>21</w:t>
      </w:r>
      <w:r w:rsidR="007C3A3E">
        <w:rPr>
          <w:noProof/>
        </w:rPr>
        <w:fldChar w:fldCharType="end"/>
      </w:r>
      <w:bookmarkEnd w:id="89"/>
      <w:r>
        <w:t xml:space="preserve">: Podíl firem poskytujících </w:t>
      </w:r>
      <w:r w:rsidR="00475504">
        <w:t>nepovinné kurzy/školení podle nejča</w:t>
      </w:r>
      <w:r w:rsidR="002C270F">
        <w:t>stějších obsahových témat, 2015</w:t>
      </w:r>
      <w:bookmarkEnd w:id="90"/>
    </w:p>
    <w:p w:rsidR="0066549C" w:rsidRPr="003F3F6E" w:rsidRDefault="007C2FCB" w:rsidP="00111F62">
      <w:pPr>
        <w:spacing w:after="0"/>
        <w:jc w:val="both"/>
        <w:rPr>
          <w:rFonts w:cs="Arial"/>
          <w:sz w:val="16"/>
        </w:rPr>
      </w:pPr>
      <w:r>
        <w:rPr>
          <w:noProof/>
        </w:rPr>
        <w:drawing>
          <wp:inline distT="0" distB="0" distL="0" distR="0" wp14:anchorId="77E00904" wp14:editId="309DA1AD">
            <wp:extent cx="6057900" cy="2971800"/>
            <wp:effectExtent l="0" t="0" r="0" b="0"/>
            <wp:docPr id="64" name="Graf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A34CA" w:rsidRDefault="00EA34CA" w:rsidP="00111F62">
      <w:pPr>
        <w:spacing w:after="0"/>
        <w:jc w:val="both"/>
      </w:pPr>
    </w:p>
    <w:p w:rsidR="007D03B0" w:rsidRDefault="007D03B0" w:rsidP="007D03B0">
      <w:pPr>
        <w:spacing w:after="0"/>
        <w:contextualSpacing/>
        <w:rPr>
          <w:sz w:val="18"/>
        </w:rPr>
      </w:pPr>
      <w:r>
        <w:rPr>
          <w:sz w:val="18"/>
        </w:rPr>
        <w:t>Z</w:t>
      </w:r>
      <w:r w:rsidRPr="00EB211F">
        <w:rPr>
          <w:sz w:val="18"/>
        </w:rPr>
        <w:t>droj: šetření CVTS, ČSÚ 2017</w:t>
      </w:r>
    </w:p>
    <w:p w:rsidR="00B05FCB" w:rsidRPr="00B05FCB" w:rsidRDefault="00555EE6" w:rsidP="00B05FCB">
      <w:pPr>
        <w:spacing w:after="0"/>
        <w:rPr>
          <w:sz w:val="18"/>
        </w:rPr>
      </w:pPr>
      <w:r>
        <w:rPr>
          <w:sz w:val="18"/>
        </w:rPr>
        <w:t>Pozn.:</w:t>
      </w:r>
      <w:r w:rsidR="00B05FCB">
        <w:rPr>
          <w:sz w:val="18"/>
        </w:rPr>
        <w:t xml:space="preserve"> firmy mohly uvést 1</w:t>
      </w:r>
      <w:r>
        <w:rPr>
          <w:sz w:val="18"/>
        </w:rPr>
        <w:t xml:space="preserve"> až</w:t>
      </w:r>
      <w:r w:rsidR="00B05FCB">
        <w:rPr>
          <w:sz w:val="18"/>
        </w:rPr>
        <w:t xml:space="preserve"> 3 odpovědi</w:t>
      </w:r>
    </w:p>
    <w:p w:rsidR="005412F1" w:rsidRDefault="005412F1" w:rsidP="007D03B0">
      <w:pPr>
        <w:spacing w:after="0"/>
        <w:contextualSpacing/>
        <w:rPr>
          <w:sz w:val="18"/>
        </w:rPr>
      </w:pPr>
    </w:p>
    <w:p w:rsidR="005412F1" w:rsidRDefault="00EF3498" w:rsidP="005412F1">
      <w:pPr>
        <w:spacing w:after="0"/>
        <w:jc w:val="both"/>
        <w:rPr>
          <w:sz w:val="18"/>
        </w:rPr>
      </w:pPr>
      <w:r>
        <w:t xml:space="preserve">Graf č. 21 </w:t>
      </w:r>
      <w:r w:rsidR="005412F1">
        <w:t xml:space="preserve">ukazuje podíly firem </w:t>
      </w:r>
      <w:r w:rsidR="00D47031">
        <w:t>poskytujících nepovinné kurzy daného obsahového zaměření</w:t>
      </w:r>
      <w:r w:rsidR="005412F1">
        <w:t xml:space="preserve">. Firmy mohly v dotazníku uvést jednu až tři </w:t>
      </w:r>
      <w:r w:rsidR="00D47031">
        <w:t xml:space="preserve">hlavní </w:t>
      </w:r>
      <w:r w:rsidR="005412F1">
        <w:t>tematické oblasti</w:t>
      </w:r>
      <w:r w:rsidR="00D47031">
        <w:t xml:space="preserve"> (vzhledem k počtu hodin strávených daným vzděláváním v rámci placené pracovní doby)</w:t>
      </w:r>
      <w:r w:rsidR="005412F1">
        <w:t xml:space="preserve">, ve kterých se zaměstnanci vzdělávali prostřednictvím uskutečněných kurzů či školení. Pokud se zaměříme na tematickou šíři </w:t>
      </w:r>
      <w:r w:rsidR="00D47031">
        <w:t>poskytovaných kurzů</w:t>
      </w:r>
      <w:r w:rsidR="005412F1">
        <w:t>, zjistíme, že 17 % firem volilo kurzy a školení ze tří různých tematických okruhů. Nejvíce (2</w:t>
      </w:r>
      <w:r w:rsidR="003A7C80">
        <w:t>2</w:t>
      </w:r>
      <w:r w:rsidR="005412F1">
        <w:t xml:space="preserve"> % firem) pořádalo kurz (či více</w:t>
      </w:r>
      <w:r w:rsidR="00D47031">
        <w:t xml:space="preserve"> kurzů</w:t>
      </w:r>
      <w:r w:rsidR="005412F1">
        <w:t>) zaměřený pouze na jednu tematickou oblast</w:t>
      </w:r>
      <w:r w:rsidR="003A7C80">
        <w:t xml:space="preserve"> a 14 % firem se zaměřilo na dvě oblasti. </w:t>
      </w:r>
      <w:r w:rsidR="005412F1">
        <w:t>Nejširší temati</w:t>
      </w:r>
      <w:r w:rsidR="004D424A">
        <w:t>cký záběr měly firmy z odvětví P</w:t>
      </w:r>
      <w:r w:rsidR="005412F1">
        <w:t>eněžnictví a pojišťovnictví</w:t>
      </w:r>
      <w:r w:rsidR="004D424A">
        <w:t xml:space="preserve"> (sekce K)</w:t>
      </w:r>
      <w:r w:rsidR="00490AE6">
        <w:t xml:space="preserve"> a velké firmy</w:t>
      </w:r>
      <w:r w:rsidR="005412F1">
        <w:rPr>
          <w:rStyle w:val="Znakapoznpodarou"/>
          <w:rFonts w:eastAsia="MS Gothic"/>
        </w:rPr>
        <w:footnoteReference w:id="10"/>
      </w:r>
      <w:r w:rsidR="003A7C80">
        <w:t>.</w:t>
      </w:r>
      <w:r w:rsidR="005412F1">
        <w:t xml:space="preserve"> Z tohoto i z průměrné účasti zaměstnanců firem v jednotlivých kurzech dle daných témat vyplývá, že pokud </w:t>
      </w:r>
      <w:r w:rsidR="005412F1">
        <w:lastRenderedPageBreak/>
        <w:t xml:space="preserve">vůbec firmy nějaký nepovinný kurz nebo školení organizují, zaměřují se spíše </w:t>
      </w:r>
      <w:r w:rsidR="002C270F" w:rsidRPr="002C270F">
        <w:t xml:space="preserve">na </w:t>
      </w:r>
      <w:r w:rsidR="00D47031">
        <w:t>menší počet tematických oblastí (přestože i jednotlivé výše uvedené kategorie jako např. „specifické dovednosti v daném povolání“ či „specifické technické a inženýrské dovednosti“ v sobě mohou obsahovat řadu různých okruhů)</w:t>
      </w:r>
      <w:r w:rsidR="005412F1">
        <w:t xml:space="preserve">. </w:t>
      </w:r>
    </w:p>
    <w:p w:rsidR="007D03B0" w:rsidRDefault="007D03B0" w:rsidP="00111F62">
      <w:pPr>
        <w:spacing w:after="0"/>
        <w:jc w:val="both"/>
      </w:pPr>
    </w:p>
    <w:p w:rsidR="005412F1" w:rsidRDefault="00E1469A" w:rsidP="00111F62">
      <w:pPr>
        <w:spacing w:after="0"/>
        <w:jc w:val="both"/>
      </w:pPr>
      <w:r>
        <w:t>Volba obsahových témat se sa</w:t>
      </w:r>
      <w:r w:rsidR="00B05FCB">
        <w:t>m</w:t>
      </w:r>
      <w:r w:rsidR="001C206D">
        <w:t>ozřejmě liší i napříč odvětvími</w:t>
      </w:r>
      <w:r w:rsidR="002C270F">
        <w:t>.</w:t>
      </w:r>
      <w:r w:rsidR="001C206D">
        <w:t xml:space="preserve"> </w:t>
      </w:r>
      <w:r>
        <w:t xml:space="preserve">Kurzům z oblasti </w:t>
      </w:r>
      <w:r w:rsidR="005412F1">
        <w:t>specifický</w:t>
      </w:r>
      <w:r>
        <w:t>ch dovedností</w:t>
      </w:r>
      <w:r w:rsidR="005412F1">
        <w:t xml:space="preserve"> </w:t>
      </w:r>
      <w:r w:rsidR="00BA6804">
        <w:t xml:space="preserve">souvisejících s výkonem daného povolání </w:t>
      </w:r>
      <w:r w:rsidR="005412F1">
        <w:t>se nejvíce (shodně 44 %) věnovali zaměstnanci firem v oblast</w:t>
      </w:r>
      <w:r w:rsidR="004D40ED">
        <w:t>ech</w:t>
      </w:r>
      <w:r w:rsidR="005412F1">
        <w:t xml:space="preserve"> </w:t>
      </w:r>
      <w:r w:rsidR="004D424A">
        <w:t>P</w:t>
      </w:r>
      <w:r w:rsidR="005412F1">
        <w:t>eněžnictv</w:t>
      </w:r>
      <w:r w:rsidR="004D424A">
        <w:t>í a pojišťovnictví (sekce K) a V</w:t>
      </w:r>
      <w:r w:rsidR="004D40ED">
        <w:t>ýroba</w:t>
      </w:r>
      <w:r w:rsidR="005412F1">
        <w:t xml:space="preserve"> a ro</w:t>
      </w:r>
      <w:r w:rsidR="004D40ED">
        <w:t xml:space="preserve">zvod energie, </w:t>
      </w:r>
      <w:r w:rsidR="004D424A">
        <w:t>plynu</w:t>
      </w:r>
      <w:r w:rsidR="004D40ED">
        <w:t>, vody, tepla</w:t>
      </w:r>
      <w:r w:rsidR="004D424A">
        <w:t xml:space="preserve"> (sekce </w:t>
      </w:r>
      <w:proofErr w:type="gramStart"/>
      <w:r w:rsidR="004D424A">
        <w:t>D</w:t>
      </w:r>
      <w:r w:rsidR="005412F1">
        <w:t>E</w:t>
      </w:r>
      <w:proofErr w:type="gramEnd"/>
      <w:r w:rsidR="005412F1">
        <w:t>). U první jmenované oblasti prvenství nepřekvapí, tyto firmy jsou na poli dalšího vzdělávání jedny z aktivnějších, možná mj. i z toho důvodu, že pro výkon povolání potřebují zaměstnanci rozvíjet právě specifické dovednosti uplatnitelné pouze v tomto oboru. U firem ve výrobě a rozvodech platí podobný předpoklad, práce v těchto odvětvích může být natolik specifická, že je nutné ve větší míře zaměstnance pro kvalitní výkon profese dovzdělávat, navíc je v tomto odvětví hodně velkých firem, které ča</w:t>
      </w:r>
      <w:r w:rsidR="004D40ED">
        <w:t>stěji vykazují tendence nabízet i</w:t>
      </w:r>
      <w:r w:rsidR="00213EE9">
        <w:t> </w:t>
      </w:r>
      <w:r w:rsidR="005412F1">
        <w:t>nepovinné kurzy či školení.</w:t>
      </w:r>
      <w:r w:rsidR="00511099">
        <w:t xml:space="preserve"> </w:t>
      </w:r>
      <w:r w:rsidR="0062791F">
        <w:t xml:space="preserve">Kurzy zaměřené na cizí jazyky v největší míře poskytují firmy v odvětví </w:t>
      </w:r>
      <w:r w:rsidR="004D424A">
        <w:t>I</w:t>
      </w:r>
      <w:r w:rsidR="0062791F">
        <w:t>nformační a komunikační činnosti (J; 32 %), naopak</w:t>
      </w:r>
      <w:r w:rsidR="005412F1">
        <w:t xml:space="preserve"> </w:t>
      </w:r>
      <w:r w:rsidR="0062791F">
        <w:t xml:space="preserve">nejméně se na tuto oblast zaměřují firmy v </w:t>
      </w:r>
      <w:r w:rsidR="004D424A">
        <w:t>odvětví U</w:t>
      </w:r>
      <w:r w:rsidR="005412F1">
        <w:t>bytován</w:t>
      </w:r>
      <w:r w:rsidR="00CD2412">
        <w:t>í, stravování a pohostinství (</w:t>
      </w:r>
      <w:r w:rsidR="0062791F">
        <w:t xml:space="preserve">I; </w:t>
      </w:r>
      <w:r w:rsidR="00CD2412">
        <w:t xml:space="preserve">5 </w:t>
      </w:r>
      <w:r w:rsidR="005412F1">
        <w:t>%</w:t>
      </w:r>
      <w:r w:rsidR="00D565F4">
        <w:t>)</w:t>
      </w:r>
      <w:r w:rsidR="005412F1">
        <w:t xml:space="preserve">. Jak již bylo zmíněno, toto odvětví nepatří mezi sekce národního hospodářství s nejvyšší participací ve vzdělávacích procesech zaměstnanců. Dá se také předpokládat, že zaměstnanci tohoto odvětví jsou </w:t>
      </w:r>
      <w:r w:rsidR="0062791F">
        <w:t xml:space="preserve">na určité úrovni </w:t>
      </w:r>
      <w:r w:rsidR="005412F1">
        <w:t>jazykově vybaveni k vykonávání svých profesí, na což patrně klade velký důraz zaměstnavatel při nabírání nových pracovníků.</w:t>
      </w:r>
    </w:p>
    <w:p w:rsidR="005412F1" w:rsidRDefault="005412F1" w:rsidP="00111F62">
      <w:pPr>
        <w:spacing w:after="0"/>
        <w:jc w:val="both"/>
      </w:pPr>
    </w:p>
    <w:p w:rsidR="007D03B0" w:rsidRDefault="007D03B0" w:rsidP="007D03B0">
      <w:pPr>
        <w:pStyle w:val="Titulek"/>
        <w:keepNext/>
        <w:jc w:val="both"/>
      </w:pPr>
      <w:bookmarkStart w:id="91" w:name="_Toc501615605"/>
      <w:r>
        <w:t xml:space="preserve">Graf č. </w:t>
      </w:r>
      <w:r w:rsidR="007C3A3E">
        <w:fldChar w:fldCharType="begin"/>
      </w:r>
      <w:r w:rsidR="00C84608">
        <w:instrText xml:space="preserve"> SEQ Graf_č. \* ARABIC </w:instrText>
      </w:r>
      <w:r w:rsidR="007C3A3E">
        <w:fldChar w:fldCharType="separate"/>
      </w:r>
      <w:r w:rsidR="00476EDB">
        <w:rPr>
          <w:noProof/>
        </w:rPr>
        <w:t>22</w:t>
      </w:r>
      <w:r w:rsidR="007C3A3E">
        <w:rPr>
          <w:noProof/>
        </w:rPr>
        <w:fldChar w:fldCharType="end"/>
      </w:r>
      <w:r>
        <w:t xml:space="preserve">: Podíl firem poskytujících nepovinné kurzy/školení podle nejčastějších obsahových témat </w:t>
      </w:r>
      <w:r w:rsidR="006E05FE">
        <w:t xml:space="preserve">podle </w:t>
      </w:r>
      <w:r>
        <w:t>odvětví</w:t>
      </w:r>
      <w:r w:rsidR="006E05FE">
        <w:t xml:space="preserve"> firmy </w:t>
      </w:r>
      <w:r w:rsidR="001C206D">
        <w:t>(</w:t>
      </w:r>
      <w:proofErr w:type="gramStart"/>
      <w:r w:rsidR="001C206D">
        <w:t>CZ</w:t>
      </w:r>
      <w:proofErr w:type="gramEnd"/>
      <w:r w:rsidR="001C206D">
        <w:t>–</w:t>
      </w:r>
      <w:proofErr w:type="gramStart"/>
      <w:r w:rsidR="001C206D">
        <w:t>NACE</w:t>
      </w:r>
      <w:proofErr w:type="gramEnd"/>
      <w:r w:rsidR="001C206D">
        <w:t>)</w:t>
      </w:r>
      <w:r>
        <w:t>, 2015</w:t>
      </w:r>
      <w:bookmarkEnd w:id="91"/>
    </w:p>
    <w:p w:rsidR="007D03B0" w:rsidRDefault="007C2FCB" w:rsidP="00111F62">
      <w:pPr>
        <w:spacing w:after="0"/>
        <w:jc w:val="both"/>
      </w:pPr>
      <w:r>
        <w:rPr>
          <w:noProof/>
        </w:rPr>
        <w:drawing>
          <wp:inline distT="0" distB="0" distL="0" distR="0" wp14:anchorId="10A04055" wp14:editId="5A549ED6">
            <wp:extent cx="6019800" cy="3857625"/>
            <wp:effectExtent l="0" t="0" r="0" b="0"/>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D03B0" w:rsidRDefault="007D03B0" w:rsidP="007D03B0">
      <w:pPr>
        <w:spacing w:after="0"/>
        <w:contextualSpacing/>
        <w:rPr>
          <w:sz w:val="18"/>
        </w:rPr>
      </w:pPr>
      <w:r>
        <w:rPr>
          <w:sz w:val="18"/>
        </w:rPr>
        <w:t>Z</w:t>
      </w:r>
      <w:r w:rsidRPr="00EB211F">
        <w:rPr>
          <w:sz w:val="18"/>
        </w:rPr>
        <w:t>droj: šetření CVTS, ČSÚ 2017</w:t>
      </w:r>
    </w:p>
    <w:p w:rsidR="005B50BC" w:rsidRDefault="00555EE6" w:rsidP="005B50BC">
      <w:pPr>
        <w:spacing w:after="0"/>
        <w:rPr>
          <w:sz w:val="18"/>
        </w:rPr>
      </w:pPr>
      <w:r>
        <w:rPr>
          <w:sz w:val="18"/>
        </w:rPr>
        <w:t>Pozn.:</w:t>
      </w:r>
      <w:r w:rsidR="005B50BC">
        <w:rPr>
          <w:sz w:val="18"/>
        </w:rPr>
        <w:t xml:space="preserve"> </w:t>
      </w:r>
      <w:r>
        <w:rPr>
          <w:sz w:val="18"/>
        </w:rPr>
        <w:t xml:space="preserve">firmy mohly uvést 1 až </w:t>
      </w:r>
      <w:r w:rsidR="005B50BC">
        <w:rPr>
          <w:sz w:val="18"/>
        </w:rPr>
        <w:t>3 odpovědi</w:t>
      </w:r>
    </w:p>
    <w:p w:rsidR="00795F2F" w:rsidRPr="00B05FCB" w:rsidRDefault="00795F2F" w:rsidP="005B50BC">
      <w:pPr>
        <w:spacing w:after="0"/>
        <w:rPr>
          <w:sz w:val="18"/>
        </w:rPr>
      </w:pPr>
    </w:p>
    <w:p w:rsidR="00EA34CA" w:rsidRDefault="00E1469A" w:rsidP="00EA34CA">
      <w:pPr>
        <w:pStyle w:val="Nadpis4"/>
        <w:spacing w:after="120"/>
      </w:pPr>
      <w:bookmarkStart w:id="92" w:name="_Toc490472734"/>
      <w:bookmarkStart w:id="93" w:name="_Toc501614107"/>
      <w:r>
        <w:lastRenderedPageBreak/>
        <w:t>Jiné formy vzdělávání</w:t>
      </w:r>
      <w:bookmarkEnd w:id="92"/>
      <w:bookmarkEnd w:id="93"/>
    </w:p>
    <w:p w:rsidR="00E1469A" w:rsidRDefault="00E1469A" w:rsidP="00EA34CA">
      <w:pPr>
        <w:spacing w:after="0"/>
        <w:jc w:val="both"/>
      </w:pPr>
      <w:r>
        <w:t xml:space="preserve">Vedle kurzů nebo školení poskytovalo necelých 40 </w:t>
      </w:r>
      <w:r>
        <w:rPr>
          <w:lang w:val="en-US"/>
        </w:rPr>
        <w:t xml:space="preserve">% </w:t>
      </w:r>
      <w:proofErr w:type="spellStart"/>
      <w:r>
        <w:rPr>
          <w:lang w:val="en-US"/>
        </w:rPr>
        <w:t>firem</w:t>
      </w:r>
      <w:proofErr w:type="spellEnd"/>
      <w:r>
        <w:rPr>
          <w:lang w:val="en-US"/>
        </w:rPr>
        <w:t xml:space="preserve"> v </w:t>
      </w:r>
      <w:r>
        <w:t>ČR svým zaměstnancům také další formy vzdělávání</w:t>
      </w:r>
      <w:r>
        <w:rPr>
          <w:rStyle w:val="Znakapoznpodarou"/>
          <w:rFonts w:eastAsia="MS Gothic"/>
        </w:rPr>
        <w:footnoteReference w:id="11"/>
      </w:r>
      <w:r>
        <w:t xml:space="preserve">. Nejvíce firem (jedna čtvrtina) </w:t>
      </w:r>
      <w:r w:rsidR="0049401D">
        <w:t xml:space="preserve">organizovala </w:t>
      </w:r>
      <w:r>
        <w:t>řízené zaškolování či instruktáž</w:t>
      </w:r>
      <w:r w:rsidR="0049401D">
        <w:t>e</w:t>
      </w:r>
      <w:r>
        <w:t xml:space="preserve"> na pracovišti</w:t>
      </w:r>
      <w:r w:rsidR="00613A2E">
        <w:t>,</w:t>
      </w:r>
      <w:r>
        <w:t xml:space="preserve"> pětina firem umožnila v roce 2015 svým zaměstnancům účastnit se workshopů, seminářů, konferencí nebo veletrhů. Desetina firem ve sledovaném roce podpořila samostudium či samostatný e-</w:t>
      </w:r>
      <w:proofErr w:type="spellStart"/>
      <w:r>
        <w:t>learning</w:t>
      </w:r>
      <w:proofErr w:type="spellEnd"/>
      <w:r>
        <w:t xml:space="preserve"> svých zaměstnanců, jak </w:t>
      </w:r>
      <w:r w:rsidR="002C270F">
        <w:t>lze</w:t>
      </w:r>
      <w:r>
        <w:t xml:space="preserve"> vidět i z</w:t>
      </w:r>
      <w:r w:rsidR="00EF3498">
        <w:t> grafu č. 23.</w:t>
      </w:r>
    </w:p>
    <w:p w:rsidR="00111F62" w:rsidRDefault="00111F62" w:rsidP="00233C31">
      <w:pPr>
        <w:spacing w:after="0"/>
        <w:jc w:val="both"/>
        <w:rPr>
          <w:sz w:val="18"/>
        </w:rPr>
      </w:pPr>
    </w:p>
    <w:p w:rsidR="00535608" w:rsidRDefault="00535608" w:rsidP="00535608">
      <w:pPr>
        <w:pStyle w:val="Titulek"/>
        <w:keepNext/>
        <w:jc w:val="both"/>
      </w:pPr>
      <w:bookmarkStart w:id="94" w:name="_Ref496266684"/>
      <w:bookmarkStart w:id="95" w:name="_Toc501615606"/>
      <w:r>
        <w:t xml:space="preserve">Graf č. </w:t>
      </w:r>
      <w:r w:rsidR="007C3A3E">
        <w:fldChar w:fldCharType="begin"/>
      </w:r>
      <w:r w:rsidR="00C84608">
        <w:instrText xml:space="preserve"> SEQ Graf_č. \* ARABIC </w:instrText>
      </w:r>
      <w:r w:rsidR="007C3A3E">
        <w:fldChar w:fldCharType="separate"/>
      </w:r>
      <w:r w:rsidR="00476EDB">
        <w:rPr>
          <w:noProof/>
        </w:rPr>
        <w:t>23</w:t>
      </w:r>
      <w:r w:rsidR="007C3A3E">
        <w:rPr>
          <w:noProof/>
        </w:rPr>
        <w:fldChar w:fldCharType="end"/>
      </w:r>
      <w:bookmarkEnd w:id="94"/>
      <w:r>
        <w:t xml:space="preserve">: </w:t>
      </w:r>
      <w:r w:rsidRPr="00535608">
        <w:t xml:space="preserve">Podíl firem, poskytujících svým zaměstnancům jiné formy vzdělávání </w:t>
      </w:r>
      <w:r w:rsidR="0049401D">
        <w:t>po</w:t>
      </w:r>
      <w:r w:rsidRPr="00535608">
        <w:t>dle velikosti firmy, 2015</w:t>
      </w:r>
      <w:bookmarkEnd w:id="95"/>
    </w:p>
    <w:p w:rsidR="00111F62" w:rsidRDefault="007C2FCB" w:rsidP="00233C31">
      <w:pPr>
        <w:spacing w:after="0"/>
        <w:jc w:val="both"/>
        <w:rPr>
          <w:sz w:val="18"/>
        </w:rPr>
      </w:pPr>
      <w:r>
        <w:rPr>
          <w:noProof/>
        </w:rPr>
        <w:drawing>
          <wp:inline distT="0" distB="0" distL="0" distR="0" wp14:anchorId="0F399862" wp14:editId="000E4EE9">
            <wp:extent cx="6115050" cy="3609975"/>
            <wp:effectExtent l="0" t="0" r="0" b="0"/>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85BFD" w:rsidRPr="00F31CE5" w:rsidRDefault="00185BFD" w:rsidP="00233C31">
      <w:pPr>
        <w:spacing w:after="0"/>
        <w:jc w:val="both"/>
        <w:rPr>
          <w:sz w:val="18"/>
        </w:rPr>
      </w:pPr>
    </w:p>
    <w:p w:rsidR="00590D37" w:rsidRDefault="00590D37" w:rsidP="00590D37">
      <w:pPr>
        <w:spacing w:after="0"/>
        <w:contextualSpacing/>
        <w:rPr>
          <w:sz w:val="18"/>
        </w:rPr>
      </w:pPr>
      <w:r>
        <w:rPr>
          <w:sz w:val="18"/>
        </w:rPr>
        <w:t>Z</w:t>
      </w:r>
      <w:r w:rsidRPr="00EB211F">
        <w:rPr>
          <w:sz w:val="18"/>
        </w:rPr>
        <w:t>droj: šetření CVTS, ČSÚ 2017</w:t>
      </w:r>
    </w:p>
    <w:p w:rsidR="00590D37" w:rsidRDefault="00590D37" w:rsidP="00EE4B1B">
      <w:pPr>
        <w:pStyle w:val="Nadpis3"/>
      </w:pPr>
    </w:p>
    <w:p w:rsidR="00590D37" w:rsidRDefault="00590D37" w:rsidP="00590D37">
      <w:pPr>
        <w:spacing w:after="0"/>
        <w:jc w:val="both"/>
      </w:pPr>
      <w:r>
        <w:t xml:space="preserve">Z uvedených druhů jiných forem vzdělávání a podílů firem, které je využívají, </w:t>
      </w:r>
      <w:r w:rsidR="0049401D">
        <w:t>je patrné</w:t>
      </w:r>
      <w:r>
        <w:t>, že firmy obecně inklinují spíše k tradičnějším formám vzdělávání a s novějšími možnostmi nejsou ještě příliš spjaté. Relativně nové metody vzdělávání, jako jsou např. rotace zaměstnanců na pracovních místech, nebo pravidelné pořádání pracovních skupin (či kroužků kvality), využívá jen malý počet firem. Jinak je tomu u velkých firem, většinou se zahraničním</w:t>
      </w:r>
      <w:r w:rsidR="0049401D">
        <w:t xml:space="preserve"> vrcholovým</w:t>
      </w:r>
      <w:r>
        <w:t xml:space="preserve"> vlastníkem, kde je </w:t>
      </w:r>
      <w:r w:rsidR="00A56C94">
        <w:t xml:space="preserve">využívání i těchto </w:t>
      </w:r>
      <w:r>
        <w:t>for</w:t>
      </w:r>
      <w:r w:rsidR="00A56C94">
        <w:t>em</w:t>
      </w:r>
      <w:r w:rsidR="0049401D">
        <w:t xml:space="preserve"> vzdělávání </w:t>
      </w:r>
      <w:r w:rsidR="00A56C94">
        <w:t>častějš</w:t>
      </w:r>
      <w:r w:rsidR="0049401D">
        <w:t>í</w:t>
      </w:r>
      <w:r>
        <w:t xml:space="preserve">. </w:t>
      </w:r>
      <w:r w:rsidR="00171223">
        <w:t xml:space="preserve">Lze však říci, že pokud firmy tyto dosud spíše minoritní (jiné) formy vzdělávání využívají, je podíl zaměstnanců, kteří se jich v daných firmách účastní, relativně vysoký </w:t>
      </w:r>
      <w:r w:rsidR="0039762C">
        <w:t>(</w:t>
      </w:r>
      <w:r w:rsidR="007B08AF">
        <w:t>viz</w:t>
      </w:r>
      <w:r w:rsidR="0039762C">
        <w:t xml:space="preserve"> </w:t>
      </w:r>
      <w:r w:rsidR="00EF3498">
        <w:t>tabulka č. 2</w:t>
      </w:r>
      <w:r w:rsidR="00171223" w:rsidRPr="00B544E2">
        <w:t>).</w:t>
      </w:r>
      <w:r w:rsidR="0039762C">
        <w:t xml:space="preserve"> </w:t>
      </w:r>
      <w:r>
        <w:t>Obecně jsou jiné formy vzdělávání nejvíce dostupné pro zaměstnance velkých firem (74 %)</w:t>
      </w:r>
      <w:r w:rsidR="0039762C">
        <w:t>, které svým zaměstnancům poskytují alespoň jednu jinou formu vzdělávání</w:t>
      </w:r>
      <w:r>
        <w:t xml:space="preserve"> a </w:t>
      </w:r>
      <w:r w:rsidR="007F45E0">
        <w:t xml:space="preserve">pro zaměstnance </w:t>
      </w:r>
      <w:r>
        <w:t xml:space="preserve">firem v odvětví </w:t>
      </w:r>
      <w:r w:rsidR="004D424A">
        <w:t>I</w:t>
      </w:r>
      <w:r>
        <w:t>nformační a komunikační činnosti (</w:t>
      </w:r>
      <w:r w:rsidR="004D424A">
        <w:t xml:space="preserve">sekce J; </w:t>
      </w:r>
      <w:r>
        <w:t>62</w:t>
      </w:r>
      <w:r w:rsidR="008429A9">
        <w:t> </w:t>
      </w:r>
      <w:r>
        <w:t>%).</w:t>
      </w:r>
    </w:p>
    <w:p w:rsidR="007F45E0" w:rsidRDefault="007F45E0" w:rsidP="00590D37">
      <w:pPr>
        <w:spacing w:after="0"/>
        <w:jc w:val="both"/>
      </w:pPr>
    </w:p>
    <w:p w:rsidR="00E31308" w:rsidRDefault="00590D37" w:rsidP="00BA6804">
      <w:pPr>
        <w:spacing w:after="0"/>
        <w:jc w:val="both"/>
      </w:pPr>
      <w:r>
        <w:t xml:space="preserve">Čtvrtina firem zajišťovala svým zaměstnancům jak jiné formy vzdělávání, tak nepovinné kurzy či školení. Byly to zřejmě firmy, které do velké míry využívají možnosti, které jim další vzdělávání zaměstnanců přináší, uvědomují si </w:t>
      </w:r>
      <w:r w:rsidR="000529B3">
        <w:t xml:space="preserve">jeho </w:t>
      </w:r>
      <w:r>
        <w:t xml:space="preserve">výhody, </w:t>
      </w:r>
      <w:r w:rsidR="00A56C94">
        <w:t xml:space="preserve">jsou schopny do něj investovat, </w:t>
      </w:r>
      <w:r>
        <w:t>a proto vzdělávání zaměstnanců podporují různými cestami. Opět se jedná nejčastěji o firmy s větším počtem zaměstnanců</w:t>
      </w:r>
      <w:r w:rsidR="007C2728">
        <w:t xml:space="preserve">, </w:t>
      </w:r>
      <w:r w:rsidR="008D5CCF">
        <w:t>70 % firem</w:t>
      </w:r>
      <w:r w:rsidR="007C2728">
        <w:t xml:space="preserve"> s více než </w:t>
      </w:r>
      <w:r w:rsidR="007C2728">
        <w:lastRenderedPageBreak/>
        <w:t>250</w:t>
      </w:r>
      <w:r w:rsidR="00050B7B">
        <w:t> </w:t>
      </w:r>
      <w:r w:rsidR="008D5CCF">
        <w:t>zaměstnanci zajišťovalo</w:t>
      </w:r>
      <w:r w:rsidR="007C2728">
        <w:t xml:space="preserve"> jak nepovinné kurzy, tak jiné formy vzdělávání</w:t>
      </w:r>
      <w:r w:rsidR="00810A9E">
        <w:t xml:space="preserve">. </w:t>
      </w:r>
      <w:r w:rsidR="007C2728">
        <w:t>S</w:t>
      </w:r>
      <w:r>
        <w:t xml:space="preserve"> velikostí firmy </w:t>
      </w:r>
      <w:r w:rsidR="007C2728">
        <w:t xml:space="preserve">tedy </w:t>
      </w:r>
      <w:r>
        <w:t>zároveň roste i</w:t>
      </w:r>
      <w:r w:rsidR="00FD4F5A">
        <w:t> </w:t>
      </w:r>
      <w:r>
        <w:t xml:space="preserve">rozmanitost vzdělávacích aktivit, které firma nabízí. </w:t>
      </w:r>
      <w:r w:rsidR="007F3B2B">
        <w:t xml:space="preserve">V největší míře poskytují nepovinné kurzy nebo jiné formy vzdělávání firmy </w:t>
      </w:r>
      <w:r>
        <w:t xml:space="preserve">v odvětví </w:t>
      </w:r>
      <w:r w:rsidR="004D424A">
        <w:t>I</w:t>
      </w:r>
      <w:r>
        <w:t>nformační</w:t>
      </w:r>
      <w:r w:rsidR="00335667">
        <w:t xml:space="preserve"> a komunikační činnosti</w:t>
      </w:r>
      <w:r w:rsidR="007F3B2B">
        <w:t xml:space="preserve"> (</w:t>
      </w:r>
      <w:r w:rsidR="004D424A">
        <w:t xml:space="preserve">sekce J; </w:t>
      </w:r>
      <w:r w:rsidR="007F3B2B">
        <w:t>86 %)</w:t>
      </w:r>
      <w:r w:rsidR="00335667">
        <w:t xml:space="preserve">. </w:t>
      </w:r>
      <w:r w:rsidR="007F3B2B">
        <w:t>Průměr za</w:t>
      </w:r>
      <w:r w:rsidR="00213EE9">
        <w:t> </w:t>
      </w:r>
      <w:r w:rsidR="007F3B2B">
        <w:t>všechna odvětví činil 64 %.</w:t>
      </w:r>
    </w:p>
    <w:p w:rsidR="00BA6804" w:rsidRDefault="00BA6804" w:rsidP="00BA6804">
      <w:pPr>
        <w:spacing w:after="0"/>
        <w:jc w:val="both"/>
      </w:pPr>
    </w:p>
    <w:p w:rsidR="004833CC" w:rsidRDefault="00447CFF" w:rsidP="00447CFF">
      <w:pPr>
        <w:pStyle w:val="Titulek"/>
      </w:pPr>
      <w:bookmarkStart w:id="96" w:name="_Ref496267634"/>
      <w:bookmarkStart w:id="97" w:name="_Toc496079843"/>
      <w:bookmarkStart w:id="98" w:name="_Ref496267628"/>
      <w:r>
        <w:t xml:space="preserve">Tabulka </w:t>
      </w:r>
      <w:r w:rsidR="007B08AF">
        <w:t xml:space="preserve">č. </w:t>
      </w:r>
      <w:r w:rsidR="007C3A3E">
        <w:fldChar w:fldCharType="begin"/>
      </w:r>
      <w:r w:rsidR="00C84608">
        <w:instrText xml:space="preserve"> SEQ Tabulka \* ARABIC </w:instrText>
      </w:r>
      <w:r w:rsidR="007C3A3E">
        <w:fldChar w:fldCharType="separate"/>
      </w:r>
      <w:r w:rsidR="00476EDB">
        <w:rPr>
          <w:noProof/>
        </w:rPr>
        <w:t>2</w:t>
      </w:r>
      <w:r w:rsidR="007C3A3E">
        <w:rPr>
          <w:noProof/>
        </w:rPr>
        <w:fldChar w:fldCharType="end"/>
      </w:r>
      <w:bookmarkEnd w:id="96"/>
      <w:r>
        <w:t xml:space="preserve">: </w:t>
      </w:r>
      <w:r w:rsidR="007F45E0">
        <w:t>P</w:t>
      </w:r>
      <w:r w:rsidR="001D4A0A">
        <w:t xml:space="preserve">odíl </w:t>
      </w:r>
      <w:r w:rsidR="004833CC">
        <w:t xml:space="preserve">vzdělávajících se </w:t>
      </w:r>
      <w:r w:rsidR="001D4A0A">
        <w:t xml:space="preserve">zaměstnanců </w:t>
      </w:r>
      <w:r w:rsidR="000529B3">
        <w:t xml:space="preserve">dle typu </w:t>
      </w:r>
      <w:r w:rsidR="004833CC">
        <w:t xml:space="preserve">absolvovaného </w:t>
      </w:r>
      <w:r w:rsidR="000529B3">
        <w:t>vzdělávání</w:t>
      </w:r>
      <w:r>
        <w:t>, 2015</w:t>
      </w:r>
      <w:bookmarkEnd w:id="97"/>
      <w:bookmarkEnd w:id="98"/>
    </w:p>
    <w:p w:rsidR="00447CFF" w:rsidRPr="00447CFF" w:rsidRDefault="004833CC" w:rsidP="007F3B2B">
      <w:pPr>
        <w:pStyle w:val="Titulek"/>
        <w:spacing w:after="0" w:line="240" w:lineRule="auto"/>
        <w:jc w:val="right"/>
      </w:pPr>
      <w:r>
        <w:rPr>
          <w:lang w:val="en-US"/>
        </w:rPr>
        <w:t>%</w:t>
      </w:r>
      <w:r w:rsidR="007C3A3E">
        <w:fldChar w:fldCharType="begin"/>
      </w:r>
      <w:r w:rsidR="00447CFF">
        <w:instrText xml:space="preserve"> LINK Excel.Sheet.8 "\\\\ABFS2\\DATA\\DATA\\ZPRAC\\TECHNOL\\oddeleni_6301\\2_Vzdělávání\\2_CVTS_Kašparová\\Publikace\\CVTS_publikace\\tabulky do textuAK.xls" "T2!R1C1:R10C4" \a \f 4 \h </w:instrText>
      </w:r>
      <w:r w:rsidR="007E6FD4">
        <w:instrText xml:space="preserve"> \* MERGEFORMAT </w:instrText>
      </w:r>
      <w:r w:rsidR="007C3A3E">
        <w:fldChar w:fldCharType="separate"/>
      </w:r>
    </w:p>
    <w:tbl>
      <w:tblPr>
        <w:tblW w:w="9639" w:type="dxa"/>
        <w:tblInd w:w="70" w:type="dxa"/>
        <w:tblCellMar>
          <w:left w:w="70" w:type="dxa"/>
          <w:right w:w="70" w:type="dxa"/>
        </w:tblCellMar>
        <w:tblLook w:val="04A0" w:firstRow="1" w:lastRow="0" w:firstColumn="1" w:lastColumn="0" w:noHBand="0" w:noVBand="1"/>
      </w:tblPr>
      <w:tblGrid>
        <w:gridCol w:w="4938"/>
        <w:gridCol w:w="1583"/>
        <w:gridCol w:w="1559"/>
        <w:gridCol w:w="1559"/>
      </w:tblGrid>
      <w:tr w:rsidR="004833CC" w:rsidRPr="00447CFF" w:rsidTr="007F3B2B">
        <w:trPr>
          <w:trHeight w:val="617"/>
        </w:trPr>
        <w:tc>
          <w:tcPr>
            <w:tcW w:w="4938" w:type="dxa"/>
            <w:vMerge w:val="restart"/>
            <w:tcBorders>
              <w:top w:val="single" w:sz="4" w:space="0" w:color="auto"/>
              <w:left w:val="nil"/>
              <w:right w:val="single" w:sz="4" w:space="0" w:color="auto"/>
            </w:tcBorders>
            <w:shd w:val="clear" w:color="000000" w:fill="F2DCDB"/>
            <w:vAlign w:val="center"/>
            <w:hideMark/>
          </w:tcPr>
          <w:p w:rsidR="004833CC" w:rsidDel="004833CC" w:rsidRDefault="004833CC" w:rsidP="007F3B2B">
            <w:pPr>
              <w:jc w:val="center"/>
              <w:rPr>
                <w:rFonts w:cs="Arial"/>
                <w:b/>
                <w:bCs/>
                <w:sz w:val="18"/>
                <w:szCs w:val="18"/>
              </w:rPr>
            </w:pPr>
            <w:r>
              <w:rPr>
                <w:rFonts w:cs="Arial"/>
                <w:b/>
                <w:bCs/>
                <w:sz w:val="18"/>
                <w:szCs w:val="18"/>
              </w:rPr>
              <w:t>Typ vzdělávání</w:t>
            </w:r>
          </w:p>
        </w:tc>
        <w:tc>
          <w:tcPr>
            <w:tcW w:w="4701" w:type="dxa"/>
            <w:gridSpan w:val="3"/>
            <w:tcBorders>
              <w:top w:val="single" w:sz="4" w:space="0" w:color="auto"/>
              <w:left w:val="nil"/>
              <w:bottom w:val="single" w:sz="4" w:space="0" w:color="auto"/>
            </w:tcBorders>
            <w:shd w:val="clear" w:color="000000" w:fill="F2DCDB"/>
            <w:vAlign w:val="center"/>
            <w:hideMark/>
          </w:tcPr>
          <w:p w:rsidR="004833CC" w:rsidRPr="00447CFF" w:rsidRDefault="004833CC" w:rsidP="00447CFF">
            <w:pPr>
              <w:spacing w:after="0" w:line="240" w:lineRule="auto"/>
              <w:jc w:val="center"/>
              <w:rPr>
                <w:rFonts w:cs="Arial"/>
                <w:b/>
                <w:bCs/>
                <w:sz w:val="18"/>
                <w:szCs w:val="18"/>
              </w:rPr>
            </w:pPr>
            <w:r>
              <w:rPr>
                <w:rFonts w:cs="Arial"/>
                <w:b/>
                <w:bCs/>
                <w:sz w:val="18"/>
                <w:szCs w:val="18"/>
              </w:rPr>
              <w:t>Podíl zaměstnanců účastnících se daného typu vzdělávání</w:t>
            </w:r>
          </w:p>
        </w:tc>
      </w:tr>
      <w:tr w:rsidR="004833CC" w:rsidRPr="00447CFF" w:rsidTr="00B70148">
        <w:trPr>
          <w:trHeight w:val="1260"/>
        </w:trPr>
        <w:tc>
          <w:tcPr>
            <w:tcW w:w="4938" w:type="dxa"/>
            <w:vMerge/>
            <w:tcBorders>
              <w:left w:val="nil"/>
              <w:bottom w:val="single" w:sz="4" w:space="0" w:color="auto"/>
              <w:right w:val="single" w:sz="4" w:space="0" w:color="auto"/>
            </w:tcBorders>
            <w:shd w:val="clear" w:color="000000" w:fill="F2DCDB"/>
            <w:vAlign w:val="center"/>
            <w:hideMark/>
          </w:tcPr>
          <w:p w:rsidR="004833CC" w:rsidRPr="00447CFF" w:rsidRDefault="004833CC" w:rsidP="00447CFF">
            <w:pPr>
              <w:spacing w:after="0" w:line="240" w:lineRule="auto"/>
              <w:jc w:val="center"/>
              <w:rPr>
                <w:rFonts w:cs="Arial"/>
                <w:b/>
                <w:bCs/>
                <w:sz w:val="18"/>
                <w:szCs w:val="18"/>
              </w:rPr>
            </w:pPr>
          </w:p>
        </w:tc>
        <w:tc>
          <w:tcPr>
            <w:tcW w:w="1583" w:type="dxa"/>
            <w:tcBorders>
              <w:top w:val="single" w:sz="4" w:space="0" w:color="auto"/>
              <w:left w:val="nil"/>
              <w:bottom w:val="single" w:sz="4" w:space="0" w:color="auto"/>
              <w:right w:val="single" w:sz="4" w:space="0" w:color="auto"/>
            </w:tcBorders>
            <w:shd w:val="clear" w:color="000000" w:fill="F2DCDB"/>
            <w:vAlign w:val="center"/>
            <w:hideMark/>
          </w:tcPr>
          <w:p w:rsidR="004833CC" w:rsidRPr="00447CFF" w:rsidRDefault="004833CC" w:rsidP="00447CFF">
            <w:pPr>
              <w:spacing w:after="0" w:line="240" w:lineRule="auto"/>
              <w:jc w:val="center"/>
              <w:rPr>
                <w:rFonts w:cs="Arial"/>
                <w:b/>
                <w:bCs/>
                <w:sz w:val="18"/>
                <w:szCs w:val="18"/>
              </w:rPr>
            </w:pPr>
            <w:r w:rsidRPr="00447CFF">
              <w:rPr>
                <w:rFonts w:cs="Arial"/>
                <w:b/>
                <w:bCs/>
                <w:sz w:val="18"/>
                <w:szCs w:val="18"/>
              </w:rPr>
              <w:t>ze všech firem</w:t>
            </w:r>
          </w:p>
        </w:tc>
        <w:tc>
          <w:tcPr>
            <w:tcW w:w="1559" w:type="dxa"/>
            <w:tcBorders>
              <w:top w:val="single" w:sz="4" w:space="0" w:color="auto"/>
              <w:left w:val="nil"/>
              <w:bottom w:val="single" w:sz="4" w:space="0" w:color="auto"/>
              <w:right w:val="single" w:sz="4" w:space="0" w:color="auto"/>
            </w:tcBorders>
            <w:shd w:val="clear" w:color="000000" w:fill="F2DCDB"/>
            <w:vAlign w:val="center"/>
            <w:hideMark/>
          </w:tcPr>
          <w:p w:rsidR="004833CC" w:rsidRPr="00447CFF" w:rsidRDefault="004833CC" w:rsidP="00447CFF">
            <w:pPr>
              <w:spacing w:after="0" w:line="240" w:lineRule="auto"/>
              <w:jc w:val="center"/>
              <w:rPr>
                <w:rFonts w:cs="Arial"/>
                <w:b/>
                <w:bCs/>
                <w:sz w:val="18"/>
                <w:szCs w:val="18"/>
              </w:rPr>
            </w:pPr>
            <w:r w:rsidRPr="00447CFF">
              <w:rPr>
                <w:rFonts w:cs="Arial"/>
                <w:b/>
                <w:bCs/>
                <w:sz w:val="18"/>
                <w:szCs w:val="18"/>
              </w:rPr>
              <w:t>z firem poskytujících jakékoli vzdělávání</w:t>
            </w:r>
          </w:p>
        </w:tc>
        <w:tc>
          <w:tcPr>
            <w:tcW w:w="1559" w:type="dxa"/>
            <w:tcBorders>
              <w:top w:val="single" w:sz="4" w:space="0" w:color="auto"/>
              <w:left w:val="nil"/>
              <w:bottom w:val="single" w:sz="4" w:space="0" w:color="auto"/>
              <w:right w:val="nil"/>
            </w:tcBorders>
            <w:shd w:val="clear" w:color="000000" w:fill="F2DCDB"/>
            <w:vAlign w:val="center"/>
            <w:hideMark/>
          </w:tcPr>
          <w:p w:rsidR="004833CC" w:rsidRPr="00447CFF" w:rsidRDefault="004833CC" w:rsidP="00447CFF">
            <w:pPr>
              <w:spacing w:after="0" w:line="240" w:lineRule="auto"/>
              <w:jc w:val="center"/>
              <w:rPr>
                <w:rFonts w:cs="Arial"/>
                <w:b/>
                <w:bCs/>
                <w:sz w:val="18"/>
                <w:szCs w:val="18"/>
              </w:rPr>
            </w:pPr>
            <w:r w:rsidRPr="00447CFF">
              <w:rPr>
                <w:rFonts w:cs="Arial"/>
                <w:b/>
                <w:bCs/>
                <w:sz w:val="18"/>
                <w:szCs w:val="18"/>
              </w:rPr>
              <w:t>z firem poskytujících danou formu vzdělávání</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rPr>
                <w:rFonts w:cs="Arial"/>
                <w:color w:val="000000"/>
                <w:sz w:val="18"/>
                <w:szCs w:val="18"/>
              </w:rPr>
            </w:pPr>
            <w:r w:rsidRPr="00447CFF">
              <w:rPr>
                <w:rFonts w:cs="Arial"/>
                <w:color w:val="000000"/>
                <w:sz w:val="18"/>
                <w:szCs w:val="18"/>
              </w:rPr>
              <w:t>kurzy/školení celkem</w:t>
            </w:r>
          </w:p>
        </w:tc>
        <w:tc>
          <w:tcPr>
            <w:tcW w:w="1583" w:type="dxa"/>
            <w:tcBorders>
              <w:top w:val="nil"/>
              <w:left w:val="nil"/>
              <w:bottom w:val="nil"/>
              <w:right w:val="single" w:sz="4" w:space="0" w:color="auto"/>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8</w:t>
            </w:r>
            <w:r w:rsidR="00A36A90">
              <w:rPr>
                <w:rFonts w:cs="Arial"/>
                <w:color w:val="000000"/>
                <w:sz w:val="18"/>
                <w:szCs w:val="18"/>
              </w:rPr>
              <w:t>4</w:t>
            </w:r>
          </w:p>
        </w:tc>
        <w:tc>
          <w:tcPr>
            <w:tcW w:w="1559" w:type="dxa"/>
            <w:tcBorders>
              <w:top w:val="nil"/>
              <w:left w:val="nil"/>
              <w:bottom w:val="nil"/>
              <w:right w:val="single" w:sz="4" w:space="0" w:color="auto"/>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8</w:t>
            </w:r>
            <w:r w:rsidR="00A36A90">
              <w:rPr>
                <w:rFonts w:cs="Arial"/>
                <w:color w:val="000000"/>
                <w:sz w:val="18"/>
                <w:szCs w:val="18"/>
              </w:rPr>
              <w:t>7</w:t>
            </w:r>
          </w:p>
        </w:tc>
        <w:tc>
          <w:tcPr>
            <w:tcW w:w="1559" w:type="dxa"/>
            <w:tcBorders>
              <w:top w:val="nil"/>
              <w:left w:val="nil"/>
              <w:bottom w:val="nil"/>
              <w:right w:val="nil"/>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87</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rPr>
                <w:rFonts w:cs="Arial"/>
                <w:color w:val="000000"/>
                <w:sz w:val="18"/>
                <w:szCs w:val="18"/>
              </w:rPr>
            </w:pPr>
            <w:r w:rsidRPr="00447CFF">
              <w:rPr>
                <w:rFonts w:cs="Arial"/>
                <w:color w:val="000000"/>
                <w:sz w:val="18"/>
                <w:szCs w:val="18"/>
              </w:rPr>
              <w:t>povinné kurzy/školení</w:t>
            </w:r>
          </w:p>
        </w:tc>
        <w:tc>
          <w:tcPr>
            <w:tcW w:w="1583" w:type="dxa"/>
            <w:tcBorders>
              <w:top w:val="nil"/>
              <w:left w:val="nil"/>
              <w:bottom w:val="nil"/>
              <w:right w:val="single" w:sz="4" w:space="0" w:color="auto"/>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75</w:t>
            </w:r>
          </w:p>
        </w:tc>
        <w:tc>
          <w:tcPr>
            <w:tcW w:w="1559" w:type="dxa"/>
            <w:tcBorders>
              <w:top w:val="nil"/>
              <w:left w:val="nil"/>
              <w:bottom w:val="nil"/>
              <w:right w:val="single" w:sz="4" w:space="0" w:color="auto"/>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78</w:t>
            </w:r>
          </w:p>
        </w:tc>
        <w:tc>
          <w:tcPr>
            <w:tcW w:w="1559" w:type="dxa"/>
            <w:tcBorders>
              <w:top w:val="nil"/>
              <w:left w:val="nil"/>
              <w:bottom w:val="nil"/>
              <w:right w:val="nil"/>
            </w:tcBorders>
            <w:shd w:val="clear" w:color="auto" w:fill="auto"/>
            <w:noWrap/>
            <w:vAlign w:val="center"/>
            <w:hideMark/>
          </w:tcPr>
          <w:p w:rsidR="00EA5A16" w:rsidRDefault="00A36A90" w:rsidP="0082731F">
            <w:pPr>
              <w:spacing w:after="0" w:line="240" w:lineRule="auto"/>
              <w:jc w:val="center"/>
              <w:rPr>
                <w:rFonts w:cs="Arial"/>
                <w:color w:val="000000"/>
                <w:sz w:val="18"/>
                <w:szCs w:val="18"/>
              </w:rPr>
            </w:pPr>
            <w:r>
              <w:rPr>
                <w:rFonts w:cs="Arial"/>
                <w:color w:val="000000"/>
                <w:sz w:val="18"/>
                <w:szCs w:val="18"/>
              </w:rPr>
              <w:t>80</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rPr>
                <w:rFonts w:cs="Arial"/>
                <w:color w:val="000000"/>
                <w:sz w:val="18"/>
                <w:szCs w:val="18"/>
              </w:rPr>
            </w:pPr>
            <w:r w:rsidRPr="00447CFF">
              <w:rPr>
                <w:rFonts w:cs="Arial"/>
                <w:color w:val="000000"/>
                <w:sz w:val="18"/>
                <w:szCs w:val="18"/>
              </w:rPr>
              <w:t>nepovinné kurzy/školení</w:t>
            </w:r>
          </w:p>
        </w:tc>
        <w:tc>
          <w:tcPr>
            <w:tcW w:w="1583" w:type="dxa"/>
            <w:tcBorders>
              <w:top w:val="nil"/>
              <w:left w:val="nil"/>
              <w:bottom w:val="nil"/>
              <w:right w:val="single" w:sz="4" w:space="0" w:color="auto"/>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30</w:t>
            </w:r>
          </w:p>
        </w:tc>
        <w:tc>
          <w:tcPr>
            <w:tcW w:w="1559" w:type="dxa"/>
            <w:tcBorders>
              <w:top w:val="nil"/>
              <w:left w:val="nil"/>
              <w:bottom w:val="nil"/>
              <w:right w:val="single" w:sz="4" w:space="0" w:color="auto"/>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3</w:t>
            </w:r>
            <w:r w:rsidR="00A36A90">
              <w:rPr>
                <w:rFonts w:cs="Arial"/>
                <w:color w:val="000000"/>
                <w:sz w:val="18"/>
                <w:szCs w:val="18"/>
              </w:rPr>
              <w:t>2</w:t>
            </w:r>
          </w:p>
        </w:tc>
        <w:tc>
          <w:tcPr>
            <w:tcW w:w="1559" w:type="dxa"/>
            <w:tcBorders>
              <w:top w:val="nil"/>
              <w:left w:val="nil"/>
              <w:bottom w:val="nil"/>
              <w:right w:val="nil"/>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39</w:t>
            </w:r>
          </w:p>
        </w:tc>
      </w:tr>
      <w:tr w:rsidR="00447CFF"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447CFF" w:rsidRPr="00447CFF" w:rsidRDefault="00447CFF" w:rsidP="004833CC">
            <w:pPr>
              <w:spacing w:after="0" w:line="240" w:lineRule="auto"/>
              <w:rPr>
                <w:rFonts w:cs="Arial"/>
                <w:color w:val="000000"/>
                <w:sz w:val="18"/>
                <w:szCs w:val="18"/>
              </w:rPr>
            </w:pPr>
            <w:r w:rsidRPr="00447CFF">
              <w:rPr>
                <w:rFonts w:cs="Arial"/>
                <w:color w:val="000000"/>
                <w:sz w:val="18"/>
                <w:szCs w:val="18"/>
              </w:rPr>
              <w:t>jiné formy vzdělávání:</w:t>
            </w:r>
          </w:p>
        </w:tc>
        <w:tc>
          <w:tcPr>
            <w:tcW w:w="1583" w:type="dxa"/>
            <w:tcBorders>
              <w:top w:val="nil"/>
              <w:left w:val="nil"/>
              <w:bottom w:val="nil"/>
              <w:right w:val="single" w:sz="4" w:space="0" w:color="auto"/>
            </w:tcBorders>
            <w:shd w:val="clear" w:color="auto" w:fill="auto"/>
            <w:noWrap/>
            <w:hideMark/>
          </w:tcPr>
          <w:p w:rsidR="00447CFF" w:rsidRPr="00447CFF" w:rsidRDefault="00447CFF" w:rsidP="0082731F">
            <w:pPr>
              <w:spacing w:after="0" w:line="240" w:lineRule="auto"/>
              <w:jc w:val="center"/>
              <w:rPr>
                <w:rFonts w:cs="Arial"/>
                <w:color w:val="000000"/>
                <w:sz w:val="18"/>
                <w:szCs w:val="18"/>
              </w:rPr>
            </w:pPr>
          </w:p>
        </w:tc>
        <w:tc>
          <w:tcPr>
            <w:tcW w:w="1559" w:type="dxa"/>
            <w:tcBorders>
              <w:top w:val="nil"/>
              <w:left w:val="nil"/>
              <w:bottom w:val="nil"/>
              <w:right w:val="single" w:sz="4" w:space="0" w:color="auto"/>
            </w:tcBorders>
            <w:shd w:val="clear" w:color="auto" w:fill="auto"/>
            <w:noWrap/>
            <w:hideMark/>
          </w:tcPr>
          <w:p w:rsidR="00447CFF" w:rsidRPr="00447CFF" w:rsidRDefault="00447CFF" w:rsidP="0082731F">
            <w:pPr>
              <w:spacing w:after="0" w:line="240" w:lineRule="auto"/>
              <w:jc w:val="center"/>
              <w:rPr>
                <w:rFonts w:cs="Arial"/>
                <w:color w:val="000000"/>
                <w:sz w:val="18"/>
                <w:szCs w:val="18"/>
              </w:rPr>
            </w:pPr>
          </w:p>
        </w:tc>
        <w:tc>
          <w:tcPr>
            <w:tcW w:w="1559" w:type="dxa"/>
            <w:tcBorders>
              <w:top w:val="nil"/>
              <w:left w:val="nil"/>
              <w:bottom w:val="nil"/>
              <w:right w:val="nil"/>
            </w:tcBorders>
            <w:shd w:val="clear" w:color="auto" w:fill="auto"/>
            <w:noWrap/>
            <w:hideMark/>
          </w:tcPr>
          <w:p w:rsidR="00447CFF" w:rsidRPr="00447CFF" w:rsidRDefault="00447CFF" w:rsidP="0082731F">
            <w:pPr>
              <w:spacing w:after="0" w:line="240" w:lineRule="auto"/>
              <w:jc w:val="center"/>
              <w:rPr>
                <w:rFonts w:cs="Arial"/>
                <w:color w:val="000000"/>
                <w:sz w:val="18"/>
                <w:szCs w:val="18"/>
              </w:rPr>
            </w:pP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ind w:firstLineChars="200" w:firstLine="360"/>
              <w:rPr>
                <w:rFonts w:cs="Arial"/>
                <w:color w:val="000000"/>
                <w:sz w:val="18"/>
                <w:szCs w:val="18"/>
              </w:rPr>
            </w:pPr>
            <w:r w:rsidRPr="00447CFF">
              <w:rPr>
                <w:rFonts w:cs="Arial"/>
                <w:color w:val="000000"/>
                <w:sz w:val="18"/>
                <w:szCs w:val="18"/>
              </w:rPr>
              <w:t>zaškolování, instruktáž na pracovišti</w:t>
            </w:r>
          </w:p>
        </w:tc>
        <w:tc>
          <w:tcPr>
            <w:tcW w:w="1583" w:type="dxa"/>
            <w:tcBorders>
              <w:top w:val="nil"/>
              <w:left w:val="nil"/>
              <w:bottom w:val="nil"/>
              <w:right w:val="single" w:sz="4" w:space="0" w:color="auto"/>
            </w:tcBorders>
            <w:shd w:val="clear" w:color="auto" w:fill="auto"/>
            <w:noWrap/>
            <w:vAlign w:val="center"/>
            <w:hideMark/>
          </w:tcPr>
          <w:p w:rsidR="00EA5A16" w:rsidRPr="00447CFF" w:rsidRDefault="007E6FD4" w:rsidP="00A36A90">
            <w:pPr>
              <w:spacing w:after="0" w:line="240" w:lineRule="auto"/>
              <w:jc w:val="center"/>
              <w:rPr>
                <w:rFonts w:cs="Arial"/>
                <w:color w:val="000000"/>
                <w:sz w:val="18"/>
                <w:szCs w:val="18"/>
              </w:rPr>
            </w:pPr>
            <w:r>
              <w:rPr>
                <w:rFonts w:cs="Arial"/>
                <w:color w:val="000000"/>
                <w:sz w:val="18"/>
                <w:szCs w:val="18"/>
              </w:rPr>
              <w:t>1</w:t>
            </w:r>
            <w:r w:rsidR="00A36A90">
              <w:rPr>
                <w:rFonts w:cs="Arial"/>
                <w:color w:val="000000"/>
                <w:sz w:val="18"/>
                <w:szCs w:val="18"/>
              </w:rPr>
              <w:t>9</w:t>
            </w:r>
          </w:p>
        </w:tc>
        <w:tc>
          <w:tcPr>
            <w:tcW w:w="1559" w:type="dxa"/>
            <w:tcBorders>
              <w:top w:val="nil"/>
              <w:left w:val="nil"/>
              <w:bottom w:val="nil"/>
              <w:right w:val="single" w:sz="4" w:space="0" w:color="auto"/>
            </w:tcBorders>
            <w:shd w:val="clear" w:color="auto" w:fill="auto"/>
            <w:noWrap/>
            <w:vAlign w:val="center"/>
            <w:hideMark/>
          </w:tcPr>
          <w:p w:rsidR="00EA5A16" w:rsidRPr="00447CFF" w:rsidRDefault="00A36A90" w:rsidP="0082731F">
            <w:pPr>
              <w:spacing w:after="0" w:line="240" w:lineRule="auto"/>
              <w:jc w:val="center"/>
              <w:rPr>
                <w:rFonts w:cs="Arial"/>
                <w:color w:val="000000"/>
                <w:sz w:val="18"/>
                <w:szCs w:val="18"/>
              </w:rPr>
            </w:pPr>
            <w:r>
              <w:rPr>
                <w:rFonts w:cs="Arial"/>
                <w:color w:val="000000"/>
                <w:sz w:val="18"/>
                <w:szCs w:val="18"/>
              </w:rPr>
              <w:t>20</w:t>
            </w:r>
          </w:p>
        </w:tc>
        <w:tc>
          <w:tcPr>
            <w:tcW w:w="1559" w:type="dxa"/>
            <w:tcBorders>
              <w:top w:val="nil"/>
              <w:left w:val="nil"/>
              <w:bottom w:val="nil"/>
              <w:right w:val="nil"/>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4</w:t>
            </w:r>
            <w:r w:rsidR="00A36A90">
              <w:rPr>
                <w:rFonts w:cs="Arial"/>
                <w:color w:val="000000"/>
                <w:sz w:val="18"/>
                <w:szCs w:val="18"/>
              </w:rPr>
              <w:t>2</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ind w:firstLineChars="200" w:firstLine="360"/>
              <w:rPr>
                <w:rFonts w:cs="Arial"/>
                <w:color w:val="000000"/>
                <w:sz w:val="18"/>
                <w:szCs w:val="18"/>
              </w:rPr>
            </w:pPr>
            <w:r w:rsidRPr="00447CFF">
              <w:rPr>
                <w:rFonts w:cs="Arial"/>
                <w:color w:val="000000"/>
                <w:sz w:val="18"/>
                <w:szCs w:val="18"/>
              </w:rPr>
              <w:t>rotace zaměstnanců na pracovních místech</w:t>
            </w:r>
          </w:p>
        </w:tc>
        <w:tc>
          <w:tcPr>
            <w:tcW w:w="1583" w:type="dxa"/>
            <w:tcBorders>
              <w:top w:val="nil"/>
              <w:left w:val="nil"/>
              <w:bottom w:val="nil"/>
              <w:right w:val="single" w:sz="4" w:space="0" w:color="auto"/>
            </w:tcBorders>
            <w:shd w:val="clear" w:color="auto" w:fill="auto"/>
            <w:noWrap/>
            <w:vAlign w:val="center"/>
            <w:hideMark/>
          </w:tcPr>
          <w:p w:rsidR="00EA5A16" w:rsidRPr="00447CFF" w:rsidRDefault="00A36A90" w:rsidP="0082731F">
            <w:pPr>
              <w:spacing w:after="0" w:line="240" w:lineRule="auto"/>
              <w:jc w:val="center"/>
              <w:rPr>
                <w:rFonts w:cs="Arial"/>
                <w:color w:val="000000"/>
                <w:sz w:val="18"/>
                <w:szCs w:val="18"/>
              </w:rPr>
            </w:pPr>
            <w:r>
              <w:rPr>
                <w:rFonts w:cs="Arial"/>
                <w:color w:val="000000"/>
                <w:sz w:val="18"/>
                <w:szCs w:val="18"/>
              </w:rPr>
              <w:t>3</w:t>
            </w:r>
          </w:p>
        </w:tc>
        <w:tc>
          <w:tcPr>
            <w:tcW w:w="1559" w:type="dxa"/>
            <w:tcBorders>
              <w:top w:val="nil"/>
              <w:left w:val="nil"/>
              <w:bottom w:val="nil"/>
              <w:right w:val="single" w:sz="4" w:space="0" w:color="auto"/>
            </w:tcBorders>
            <w:shd w:val="clear" w:color="auto" w:fill="auto"/>
            <w:noWrap/>
            <w:vAlign w:val="center"/>
            <w:hideMark/>
          </w:tcPr>
          <w:p w:rsidR="00EA5A16" w:rsidRPr="00447CFF" w:rsidRDefault="00A36A90" w:rsidP="00A36A90">
            <w:pPr>
              <w:spacing w:after="0" w:line="240" w:lineRule="auto"/>
              <w:jc w:val="center"/>
              <w:rPr>
                <w:rFonts w:cs="Arial"/>
                <w:color w:val="000000"/>
                <w:sz w:val="18"/>
                <w:szCs w:val="18"/>
              </w:rPr>
            </w:pPr>
            <w:r>
              <w:rPr>
                <w:rFonts w:cs="Arial"/>
                <w:color w:val="000000"/>
                <w:sz w:val="18"/>
                <w:szCs w:val="18"/>
              </w:rPr>
              <w:t>3</w:t>
            </w:r>
          </w:p>
        </w:tc>
        <w:tc>
          <w:tcPr>
            <w:tcW w:w="1559" w:type="dxa"/>
            <w:tcBorders>
              <w:top w:val="nil"/>
              <w:left w:val="nil"/>
              <w:bottom w:val="nil"/>
              <w:right w:val="nil"/>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23</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ind w:firstLineChars="200" w:firstLine="360"/>
              <w:rPr>
                <w:rFonts w:cs="Arial"/>
                <w:color w:val="000000"/>
                <w:sz w:val="18"/>
                <w:szCs w:val="18"/>
              </w:rPr>
            </w:pPr>
            <w:r w:rsidRPr="00447CFF">
              <w:rPr>
                <w:rFonts w:cs="Arial"/>
                <w:color w:val="000000"/>
                <w:sz w:val="18"/>
                <w:szCs w:val="18"/>
              </w:rPr>
              <w:t>workshopy, semináře, konference, veletrhy</w:t>
            </w:r>
          </w:p>
        </w:tc>
        <w:tc>
          <w:tcPr>
            <w:tcW w:w="1583" w:type="dxa"/>
            <w:tcBorders>
              <w:top w:val="nil"/>
              <w:left w:val="nil"/>
              <w:bottom w:val="nil"/>
              <w:right w:val="single" w:sz="4" w:space="0" w:color="auto"/>
            </w:tcBorders>
            <w:shd w:val="clear" w:color="auto" w:fill="auto"/>
            <w:noWrap/>
            <w:vAlign w:val="center"/>
            <w:hideMark/>
          </w:tcPr>
          <w:p w:rsidR="00EA5A16" w:rsidRPr="00447CFF" w:rsidRDefault="00A36A90" w:rsidP="0082731F">
            <w:pPr>
              <w:spacing w:after="0" w:line="240" w:lineRule="auto"/>
              <w:jc w:val="center"/>
              <w:rPr>
                <w:rFonts w:cs="Arial"/>
                <w:color w:val="000000"/>
                <w:sz w:val="18"/>
                <w:szCs w:val="18"/>
              </w:rPr>
            </w:pPr>
            <w:r>
              <w:rPr>
                <w:rFonts w:cs="Arial"/>
                <w:color w:val="000000"/>
                <w:sz w:val="18"/>
                <w:szCs w:val="18"/>
              </w:rPr>
              <w:t>7</w:t>
            </w:r>
          </w:p>
        </w:tc>
        <w:tc>
          <w:tcPr>
            <w:tcW w:w="1559" w:type="dxa"/>
            <w:tcBorders>
              <w:top w:val="nil"/>
              <w:left w:val="nil"/>
              <w:bottom w:val="nil"/>
              <w:right w:val="single" w:sz="4" w:space="0" w:color="auto"/>
            </w:tcBorders>
            <w:shd w:val="clear" w:color="auto" w:fill="auto"/>
            <w:noWrap/>
            <w:vAlign w:val="center"/>
            <w:hideMark/>
          </w:tcPr>
          <w:p w:rsidR="00EA5A16" w:rsidRPr="00447CFF" w:rsidRDefault="00A36A90" w:rsidP="0082731F">
            <w:pPr>
              <w:spacing w:after="0" w:line="240" w:lineRule="auto"/>
              <w:jc w:val="center"/>
              <w:rPr>
                <w:rFonts w:cs="Arial"/>
                <w:color w:val="000000"/>
                <w:sz w:val="18"/>
                <w:szCs w:val="18"/>
              </w:rPr>
            </w:pPr>
            <w:r>
              <w:rPr>
                <w:rFonts w:cs="Arial"/>
                <w:color w:val="000000"/>
                <w:sz w:val="18"/>
                <w:szCs w:val="18"/>
              </w:rPr>
              <w:t>7</w:t>
            </w:r>
          </w:p>
        </w:tc>
        <w:tc>
          <w:tcPr>
            <w:tcW w:w="1559" w:type="dxa"/>
            <w:tcBorders>
              <w:top w:val="nil"/>
              <w:left w:val="nil"/>
              <w:bottom w:val="nil"/>
              <w:right w:val="nil"/>
            </w:tcBorders>
            <w:shd w:val="clear" w:color="auto" w:fill="auto"/>
            <w:noWrap/>
            <w:vAlign w:val="center"/>
            <w:hideMark/>
          </w:tcPr>
          <w:p w:rsidR="00EA5A16" w:rsidRDefault="00A36A90" w:rsidP="0082731F">
            <w:pPr>
              <w:spacing w:after="0" w:line="240" w:lineRule="auto"/>
              <w:jc w:val="center"/>
              <w:rPr>
                <w:rFonts w:cs="Arial"/>
                <w:color w:val="000000"/>
                <w:sz w:val="18"/>
                <w:szCs w:val="18"/>
              </w:rPr>
            </w:pPr>
            <w:r>
              <w:rPr>
                <w:rFonts w:cs="Arial"/>
                <w:color w:val="000000"/>
                <w:sz w:val="18"/>
                <w:szCs w:val="18"/>
              </w:rPr>
              <w:t>20</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ind w:firstLineChars="200" w:firstLine="360"/>
              <w:rPr>
                <w:rFonts w:cs="Arial"/>
                <w:color w:val="000000"/>
                <w:sz w:val="18"/>
                <w:szCs w:val="18"/>
              </w:rPr>
            </w:pPr>
            <w:r w:rsidRPr="00447CFF">
              <w:rPr>
                <w:rFonts w:cs="Arial"/>
                <w:color w:val="000000"/>
                <w:sz w:val="18"/>
                <w:szCs w:val="18"/>
              </w:rPr>
              <w:t>kroužky kvality, vzdělávací kroužky (pracovní skupiny)</w:t>
            </w:r>
          </w:p>
        </w:tc>
        <w:tc>
          <w:tcPr>
            <w:tcW w:w="1583" w:type="dxa"/>
            <w:tcBorders>
              <w:top w:val="nil"/>
              <w:left w:val="nil"/>
              <w:bottom w:val="nil"/>
              <w:right w:val="single" w:sz="4" w:space="0" w:color="auto"/>
            </w:tcBorders>
            <w:shd w:val="clear" w:color="auto" w:fill="auto"/>
            <w:noWrap/>
            <w:vAlign w:val="center"/>
            <w:hideMark/>
          </w:tcPr>
          <w:p w:rsidR="00EA5A16" w:rsidRPr="00447CFF" w:rsidRDefault="00A36A90" w:rsidP="0082731F">
            <w:pPr>
              <w:spacing w:after="0" w:line="240" w:lineRule="auto"/>
              <w:jc w:val="center"/>
              <w:rPr>
                <w:rFonts w:cs="Arial"/>
                <w:color w:val="000000"/>
                <w:sz w:val="18"/>
                <w:szCs w:val="18"/>
              </w:rPr>
            </w:pPr>
            <w:r>
              <w:rPr>
                <w:rFonts w:cs="Arial"/>
                <w:color w:val="000000"/>
                <w:sz w:val="18"/>
                <w:szCs w:val="18"/>
              </w:rPr>
              <w:t>3</w:t>
            </w:r>
          </w:p>
        </w:tc>
        <w:tc>
          <w:tcPr>
            <w:tcW w:w="1559" w:type="dxa"/>
            <w:tcBorders>
              <w:top w:val="nil"/>
              <w:left w:val="nil"/>
              <w:bottom w:val="nil"/>
              <w:right w:val="single" w:sz="4" w:space="0" w:color="auto"/>
            </w:tcBorders>
            <w:shd w:val="clear" w:color="auto" w:fill="auto"/>
            <w:noWrap/>
            <w:vAlign w:val="center"/>
            <w:hideMark/>
          </w:tcPr>
          <w:p w:rsidR="00EA5A16" w:rsidRPr="00447CFF" w:rsidRDefault="00A36A90" w:rsidP="0082731F">
            <w:pPr>
              <w:spacing w:after="0" w:line="240" w:lineRule="auto"/>
              <w:jc w:val="center"/>
              <w:rPr>
                <w:rFonts w:cs="Arial"/>
                <w:color w:val="000000"/>
                <w:sz w:val="18"/>
                <w:szCs w:val="18"/>
              </w:rPr>
            </w:pPr>
            <w:r>
              <w:rPr>
                <w:rFonts w:cs="Arial"/>
                <w:color w:val="000000"/>
                <w:sz w:val="18"/>
                <w:szCs w:val="18"/>
              </w:rPr>
              <w:t>3</w:t>
            </w:r>
          </w:p>
        </w:tc>
        <w:tc>
          <w:tcPr>
            <w:tcW w:w="1559" w:type="dxa"/>
            <w:tcBorders>
              <w:top w:val="nil"/>
              <w:left w:val="nil"/>
              <w:bottom w:val="nil"/>
              <w:right w:val="nil"/>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3</w:t>
            </w:r>
            <w:r w:rsidR="00A36A90">
              <w:rPr>
                <w:rFonts w:cs="Arial"/>
                <w:color w:val="000000"/>
                <w:sz w:val="18"/>
                <w:szCs w:val="18"/>
              </w:rPr>
              <w:t>1</w:t>
            </w:r>
          </w:p>
        </w:tc>
      </w:tr>
      <w:tr w:rsidR="00EA5A16" w:rsidRPr="00447CFF" w:rsidTr="0082731F">
        <w:trPr>
          <w:trHeight w:val="454"/>
        </w:trPr>
        <w:tc>
          <w:tcPr>
            <w:tcW w:w="4938" w:type="dxa"/>
            <w:tcBorders>
              <w:top w:val="nil"/>
              <w:left w:val="nil"/>
              <w:bottom w:val="nil"/>
              <w:right w:val="single" w:sz="4" w:space="0" w:color="auto"/>
            </w:tcBorders>
            <w:shd w:val="clear" w:color="auto" w:fill="auto"/>
            <w:vAlign w:val="center"/>
            <w:hideMark/>
          </w:tcPr>
          <w:p w:rsidR="00EA5A16" w:rsidRPr="00447CFF" w:rsidRDefault="00EA5A16" w:rsidP="004833CC">
            <w:pPr>
              <w:spacing w:after="0" w:line="240" w:lineRule="auto"/>
              <w:ind w:firstLineChars="200" w:firstLine="360"/>
              <w:rPr>
                <w:rFonts w:cs="Arial"/>
                <w:color w:val="000000"/>
                <w:sz w:val="18"/>
                <w:szCs w:val="18"/>
              </w:rPr>
            </w:pPr>
            <w:r w:rsidRPr="00447CFF">
              <w:rPr>
                <w:rFonts w:cs="Arial"/>
                <w:color w:val="000000"/>
                <w:sz w:val="18"/>
                <w:szCs w:val="18"/>
              </w:rPr>
              <w:t>samostudium, samostatný e-</w:t>
            </w:r>
            <w:proofErr w:type="spellStart"/>
            <w:r w:rsidRPr="00447CFF">
              <w:rPr>
                <w:rFonts w:cs="Arial"/>
                <w:color w:val="000000"/>
                <w:sz w:val="18"/>
                <w:szCs w:val="18"/>
              </w:rPr>
              <w:t>learning</w:t>
            </w:r>
            <w:proofErr w:type="spellEnd"/>
          </w:p>
        </w:tc>
        <w:tc>
          <w:tcPr>
            <w:tcW w:w="1583" w:type="dxa"/>
            <w:tcBorders>
              <w:top w:val="nil"/>
              <w:left w:val="nil"/>
              <w:bottom w:val="nil"/>
              <w:right w:val="single" w:sz="4" w:space="0" w:color="auto"/>
            </w:tcBorders>
            <w:shd w:val="clear" w:color="auto" w:fill="auto"/>
            <w:noWrap/>
            <w:vAlign w:val="center"/>
            <w:hideMark/>
          </w:tcPr>
          <w:p w:rsidR="00EA5A16" w:rsidRPr="00447CFF" w:rsidRDefault="007E6FD4" w:rsidP="00A36A90">
            <w:pPr>
              <w:spacing w:after="0" w:line="240" w:lineRule="auto"/>
              <w:jc w:val="center"/>
              <w:rPr>
                <w:rFonts w:cs="Arial"/>
                <w:color w:val="000000"/>
                <w:sz w:val="18"/>
                <w:szCs w:val="18"/>
              </w:rPr>
            </w:pPr>
            <w:r>
              <w:rPr>
                <w:rFonts w:cs="Arial"/>
                <w:color w:val="000000"/>
                <w:sz w:val="18"/>
                <w:szCs w:val="18"/>
              </w:rPr>
              <w:t>1</w:t>
            </w:r>
            <w:r w:rsidR="00A36A90">
              <w:rPr>
                <w:rFonts w:cs="Arial"/>
                <w:color w:val="000000"/>
                <w:sz w:val="18"/>
                <w:szCs w:val="18"/>
              </w:rPr>
              <w:t>3</w:t>
            </w:r>
          </w:p>
        </w:tc>
        <w:tc>
          <w:tcPr>
            <w:tcW w:w="1559" w:type="dxa"/>
            <w:tcBorders>
              <w:top w:val="nil"/>
              <w:left w:val="nil"/>
              <w:bottom w:val="nil"/>
              <w:right w:val="single" w:sz="4" w:space="0" w:color="auto"/>
            </w:tcBorders>
            <w:shd w:val="clear" w:color="auto" w:fill="auto"/>
            <w:noWrap/>
            <w:vAlign w:val="center"/>
            <w:hideMark/>
          </w:tcPr>
          <w:p w:rsidR="00EA5A16" w:rsidRPr="00447CFF" w:rsidRDefault="001D4A0A" w:rsidP="00A36A90">
            <w:pPr>
              <w:spacing w:after="0" w:line="240" w:lineRule="auto"/>
              <w:jc w:val="center"/>
              <w:rPr>
                <w:rFonts w:cs="Arial"/>
                <w:color w:val="000000"/>
                <w:sz w:val="18"/>
                <w:szCs w:val="18"/>
              </w:rPr>
            </w:pPr>
            <w:r w:rsidRPr="001D4A0A">
              <w:rPr>
                <w:rFonts w:cs="Arial"/>
                <w:color w:val="000000"/>
                <w:sz w:val="18"/>
                <w:szCs w:val="18"/>
              </w:rPr>
              <w:t>13</w:t>
            </w:r>
          </w:p>
        </w:tc>
        <w:tc>
          <w:tcPr>
            <w:tcW w:w="1559" w:type="dxa"/>
            <w:tcBorders>
              <w:top w:val="nil"/>
              <w:left w:val="nil"/>
              <w:bottom w:val="nil"/>
              <w:right w:val="nil"/>
            </w:tcBorders>
            <w:shd w:val="clear" w:color="auto" w:fill="auto"/>
            <w:noWrap/>
            <w:vAlign w:val="center"/>
            <w:hideMark/>
          </w:tcPr>
          <w:p w:rsidR="00EA5A16" w:rsidRDefault="00EA5A16" w:rsidP="00A36A90">
            <w:pPr>
              <w:spacing w:after="0" w:line="240" w:lineRule="auto"/>
              <w:jc w:val="center"/>
              <w:rPr>
                <w:rFonts w:cs="Arial"/>
                <w:color w:val="000000"/>
                <w:sz w:val="18"/>
                <w:szCs w:val="18"/>
              </w:rPr>
            </w:pPr>
            <w:r>
              <w:rPr>
                <w:rFonts w:cs="Arial"/>
                <w:color w:val="000000"/>
                <w:sz w:val="18"/>
                <w:szCs w:val="18"/>
              </w:rPr>
              <w:t>3</w:t>
            </w:r>
            <w:r w:rsidR="00A36A90">
              <w:rPr>
                <w:rFonts w:cs="Arial"/>
                <w:color w:val="000000"/>
                <w:sz w:val="18"/>
                <w:szCs w:val="18"/>
              </w:rPr>
              <w:t>8</w:t>
            </w:r>
          </w:p>
        </w:tc>
      </w:tr>
    </w:tbl>
    <w:p w:rsidR="00447CFF" w:rsidRDefault="007C3A3E" w:rsidP="00590D37">
      <w:pPr>
        <w:spacing w:after="0"/>
        <w:jc w:val="both"/>
      </w:pPr>
      <w:r>
        <w:fldChar w:fldCharType="end"/>
      </w:r>
    </w:p>
    <w:p w:rsidR="0099769C" w:rsidRDefault="0099769C" w:rsidP="0099769C">
      <w:pPr>
        <w:spacing w:after="0"/>
        <w:contextualSpacing/>
        <w:rPr>
          <w:sz w:val="18"/>
        </w:rPr>
      </w:pPr>
      <w:r>
        <w:rPr>
          <w:sz w:val="18"/>
        </w:rPr>
        <w:t>Z</w:t>
      </w:r>
      <w:r w:rsidRPr="00EB211F">
        <w:rPr>
          <w:sz w:val="18"/>
        </w:rPr>
        <w:t>droj: šetření CVTS, ČSÚ 2017</w:t>
      </w:r>
    </w:p>
    <w:p w:rsidR="00AB2EEA" w:rsidRDefault="00AB2EEA" w:rsidP="0099769C">
      <w:pPr>
        <w:spacing w:after="0"/>
        <w:contextualSpacing/>
        <w:rPr>
          <w:sz w:val="18"/>
        </w:rPr>
      </w:pPr>
    </w:p>
    <w:p w:rsidR="007F45E0" w:rsidRDefault="007F45E0" w:rsidP="0099769C">
      <w:pPr>
        <w:spacing w:after="0"/>
        <w:contextualSpacing/>
        <w:rPr>
          <w:sz w:val="18"/>
        </w:rPr>
      </w:pPr>
    </w:p>
    <w:p w:rsidR="0099769C" w:rsidRDefault="0099769C" w:rsidP="0099769C">
      <w:pPr>
        <w:pStyle w:val="Nadpis3"/>
      </w:pPr>
      <w:bookmarkStart w:id="99" w:name="_Toc490472735"/>
      <w:bookmarkStart w:id="100" w:name="_Toc501614108"/>
      <w:r>
        <w:t>Doba strávená zaměstnanci dalším odborným vzděláváním</w:t>
      </w:r>
      <w:bookmarkEnd w:id="99"/>
      <w:bookmarkEnd w:id="100"/>
    </w:p>
    <w:p w:rsidR="0099769C" w:rsidRDefault="0099769C" w:rsidP="0099769C">
      <w:pPr>
        <w:spacing w:after="0"/>
        <w:jc w:val="both"/>
      </w:pPr>
    </w:p>
    <w:p w:rsidR="0099769C" w:rsidRDefault="0099769C" w:rsidP="0099769C">
      <w:pPr>
        <w:spacing w:after="0"/>
        <w:jc w:val="both"/>
      </w:pPr>
      <w:r>
        <w:t>Celkově strávili zaměstnanci</w:t>
      </w:r>
      <w:r w:rsidR="00E961F6">
        <w:t xml:space="preserve"> firem šetřených v rámci CVTS</w:t>
      </w:r>
      <w:r>
        <w:t xml:space="preserve"> vzděláváním</w:t>
      </w:r>
      <w:r w:rsidR="00E961F6">
        <w:t xml:space="preserve"> v kurzech a školeních</w:t>
      </w:r>
      <w:r>
        <w:t xml:space="preserve"> </w:t>
      </w:r>
      <w:r w:rsidR="002271B2">
        <w:t xml:space="preserve">v roce 2015 </w:t>
      </w:r>
      <w:r>
        <w:t>průměrně 0,6 % sv</w:t>
      </w:r>
      <w:r w:rsidR="002271B2">
        <w:t xml:space="preserve">ých placených pracovních hodin. Na jednoho zaměstnance připadalo 11 hodin věnovaných </w:t>
      </w:r>
      <w:r w:rsidR="005461FD">
        <w:t xml:space="preserve">účasti na kurzech či školeních. Při </w:t>
      </w:r>
      <w:r w:rsidR="00FC6E1A">
        <w:t>přepočtu</w:t>
      </w:r>
      <w:r w:rsidR="005461FD">
        <w:t xml:space="preserve"> </w:t>
      </w:r>
      <w:r w:rsidR="00FC6E1A">
        <w:t xml:space="preserve">na účastníka kurzů a školení </w:t>
      </w:r>
      <w:r w:rsidR="005461FD">
        <w:t>činí</w:t>
      </w:r>
      <w:r w:rsidR="00E961F6">
        <w:t xml:space="preserve"> tento</w:t>
      </w:r>
      <w:r w:rsidR="005461FD">
        <w:t xml:space="preserve"> podíl 1</w:t>
      </w:r>
      <w:r w:rsidR="00FC6E1A">
        <w:t>4</w:t>
      </w:r>
      <w:r w:rsidR="00213EE9">
        <w:t> </w:t>
      </w:r>
      <w:r w:rsidR="005461FD">
        <w:t xml:space="preserve">hodin (viz </w:t>
      </w:r>
      <w:r w:rsidR="00EF3498">
        <w:t>graf č. 24</w:t>
      </w:r>
      <w:r w:rsidR="005461FD">
        <w:t>)</w:t>
      </w:r>
      <w:r w:rsidR="00E961F6">
        <w:rPr>
          <w:rStyle w:val="Znakapoznpodarou"/>
        </w:rPr>
        <w:footnoteReference w:id="12"/>
      </w:r>
      <w:r w:rsidR="005461FD">
        <w:t xml:space="preserve">. </w:t>
      </w:r>
      <w:r>
        <w:t>Průměrná doba strávená vzděláváním samozřejmě souvisí s tím, jak a jaké firmy celkově zajišťují vzdělávání, proto do velké míry koresponduje s rozdělením celkové vzdělávací aktivity firem. Tedy například zaměstnanci malých firem (s</w:t>
      </w:r>
      <w:r w:rsidR="00915C23">
        <w:t> </w:t>
      </w:r>
      <w:r w:rsidR="00D73AB5">
        <w:t>10–</w:t>
      </w:r>
      <w:r>
        <w:t xml:space="preserve">19 zaměstnanci) </w:t>
      </w:r>
      <w:r w:rsidR="002271B2">
        <w:t>strávili na kurzech či školeních 8</w:t>
      </w:r>
      <w:r w:rsidR="00213EE9">
        <w:t> </w:t>
      </w:r>
      <w:r w:rsidR="002271B2">
        <w:t>hodin</w:t>
      </w:r>
      <w:r w:rsidR="00700A9E">
        <w:t xml:space="preserve"> za rok</w:t>
      </w:r>
      <w:r w:rsidR="002271B2">
        <w:t>.</w:t>
      </w:r>
      <w:r>
        <w:t xml:space="preserve"> </w:t>
      </w:r>
      <w:r w:rsidR="002271B2">
        <w:t>Z</w:t>
      </w:r>
      <w:r>
        <w:t xml:space="preserve">aměstnanci s více než 250 kolegy v jedné firmě stejnou aktivitou strávili </w:t>
      </w:r>
      <w:r w:rsidR="002271B2">
        <w:t>v průměru 13</w:t>
      </w:r>
      <w:r w:rsidR="00213EE9">
        <w:t> </w:t>
      </w:r>
      <w:r w:rsidR="002271B2">
        <w:t>placených pracovních hodin</w:t>
      </w:r>
      <w:r w:rsidR="00700A9E">
        <w:t xml:space="preserve">. Podílu hodin strávených na kurzech či školeních v přepočtu na jednoho zaměstnance podle odvětví jednoznačně </w:t>
      </w:r>
      <w:r w:rsidR="00A56C94">
        <w:t>dominuje</w:t>
      </w:r>
      <w:r w:rsidR="00700A9E">
        <w:t xml:space="preserve"> sekce Peněžnictví, pojišťovnictví (K) s 33 hodinami za rok 2015. Oproti celkovému průměru za všechna odvětví je </w:t>
      </w:r>
      <w:r w:rsidR="00E961F6">
        <w:t xml:space="preserve">tento </w:t>
      </w:r>
      <w:r w:rsidR="00700A9E">
        <w:t>téměř trojnásobný. Naopa</w:t>
      </w:r>
      <w:r w:rsidR="004D40ED">
        <w:t xml:space="preserve">k zaměstnanci v sekci Ubytování, stravování </w:t>
      </w:r>
      <w:r w:rsidR="00700A9E">
        <w:t>a pohostinství (I) se v průměru vzdělávali na kurzech či školeních</w:t>
      </w:r>
      <w:r w:rsidR="00E961F6">
        <w:t xml:space="preserve"> v roce 2015 pouze</w:t>
      </w:r>
      <w:r w:rsidR="00700A9E">
        <w:t xml:space="preserve"> 5 hodin (viz </w:t>
      </w:r>
      <w:r w:rsidR="00EF3498">
        <w:t>graf č. 25</w:t>
      </w:r>
      <w:r w:rsidR="00700A9E">
        <w:t>).</w:t>
      </w:r>
    </w:p>
    <w:p w:rsidR="002271B2" w:rsidRDefault="002271B2" w:rsidP="0099769C">
      <w:pPr>
        <w:spacing w:after="0"/>
        <w:jc w:val="both"/>
      </w:pPr>
    </w:p>
    <w:p w:rsidR="002271B2" w:rsidRDefault="002271B2" w:rsidP="002271B2">
      <w:pPr>
        <w:pStyle w:val="Titulek"/>
        <w:keepNext/>
        <w:jc w:val="both"/>
      </w:pPr>
      <w:bookmarkStart w:id="101" w:name="_Ref496515038"/>
      <w:bookmarkStart w:id="102" w:name="_Toc501615607"/>
      <w:r>
        <w:lastRenderedPageBreak/>
        <w:t xml:space="preserve">Graf č. </w:t>
      </w:r>
      <w:r w:rsidR="007C3A3E">
        <w:fldChar w:fldCharType="begin"/>
      </w:r>
      <w:r w:rsidR="00C84608">
        <w:instrText xml:space="preserve"> SEQ Graf_č. \* ARABIC </w:instrText>
      </w:r>
      <w:r w:rsidR="007C3A3E">
        <w:fldChar w:fldCharType="separate"/>
      </w:r>
      <w:r w:rsidR="00476EDB">
        <w:rPr>
          <w:noProof/>
        </w:rPr>
        <w:t>24</w:t>
      </w:r>
      <w:r w:rsidR="007C3A3E">
        <w:rPr>
          <w:noProof/>
        </w:rPr>
        <w:fldChar w:fldCharType="end"/>
      </w:r>
      <w:bookmarkEnd w:id="101"/>
      <w:r>
        <w:t xml:space="preserve">: Počet hodin </w:t>
      </w:r>
      <w:r w:rsidR="00F74112">
        <w:t xml:space="preserve">za rok </w:t>
      </w:r>
      <w:r>
        <w:t>strávených na kurzech</w:t>
      </w:r>
      <w:r w:rsidR="00E31308">
        <w:t>/</w:t>
      </w:r>
      <w:r>
        <w:t>školeních na jednoho zaměstnance</w:t>
      </w:r>
      <w:r w:rsidR="005461FD">
        <w:t xml:space="preserve"> </w:t>
      </w:r>
      <w:r w:rsidR="00FC6E1A">
        <w:t xml:space="preserve">a účastníka kurzů/školení </w:t>
      </w:r>
      <w:r w:rsidR="005461FD">
        <w:t>podle velikosti firmy</w:t>
      </w:r>
      <w:r>
        <w:t>, 2015</w:t>
      </w:r>
      <w:bookmarkEnd w:id="102"/>
    </w:p>
    <w:p w:rsidR="002271B2" w:rsidRPr="00050B7B" w:rsidRDefault="00050B7B" w:rsidP="0099769C">
      <w:pPr>
        <w:spacing w:after="0"/>
        <w:jc w:val="both"/>
        <w:rPr>
          <w:sz w:val="16"/>
        </w:rPr>
      </w:pPr>
      <w:r w:rsidRPr="00050B7B">
        <w:rPr>
          <w:noProof/>
          <w:sz w:val="16"/>
        </w:rPr>
        <w:drawing>
          <wp:inline distT="0" distB="0" distL="0" distR="0" wp14:anchorId="343F7CA6" wp14:editId="029DAB2C">
            <wp:extent cx="6096000" cy="2867025"/>
            <wp:effectExtent l="0" t="0" r="0" b="0"/>
            <wp:docPr id="69" name="Graf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52E4" w:rsidRDefault="007C52E4" w:rsidP="002271B2">
      <w:pPr>
        <w:spacing w:after="0"/>
        <w:contextualSpacing/>
        <w:rPr>
          <w:sz w:val="18"/>
        </w:rPr>
      </w:pPr>
    </w:p>
    <w:p w:rsidR="00DE1E7E" w:rsidRDefault="002271B2" w:rsidP="00AB2EEA">
      <w:pPr>
        <w:spacing w:after="0"/>
        <w:contextualSpacing/>
      </w:pPr>
      <w:r>
        <w:rPr>
          <w:sz w:val="18"/>
        </w:rPr>
        <w:t>Z</w:t>
      </w:r>
      <w:r w:rsidRPr="00EB211F">
        <w:rPr>
          <w:sz w:val="18"/>
        </w:rPr>
        <w:t>droj: šetření CVTS, ČSÚ 2017</w:t>
      </w:r>
    </w:p>
    <w:p w:rsidR="00DE1E7E" w:rsidRDefault="00DE1E7E" w:rsidP="0099769C">
      <w:pPr>
        <w:spacing w:after="0"/>
        <w:jc w:val="both"/>
      </w:pPr>
    </w:p>
    <w:p w:rsidR="00DE1E7E" w:rsidRDefault="00DE1E7E" w:rsidP="00DE1E7E">
      <w:pPr>
        <w:pStyle w:val="Titulek"/>
        <w:keepNext/>
        <w:jc w:val="both"/>
      </w:pPr>
      <w:bookmarkStart w:id="103" w:name="_Ref496518699"/>
      <w:bookmarkStart w:id="104" w:name="_Toc501615608"/>
      <w:r>
        <w:t xml:space="preserve">Graf č. </w:t>
      </w:r>
      <w:r w:rsidR="007C3A3E">
        <w:fldChar w:fldCharType="begin"/>
      </w:r>
      <w:r w:rsidR="00C84608">
        <w:instrText xml:space="preserve"> SEQ Graf_č. \* ARABIC </w:instrText>
      </w:r>
      <w:r w:rsidR="007C3A3E">
        <w:fldChar w:fldCharType="separate"/>
      </w:r>
      <w:r w:rsidR="00476EDB">
        <w:rPr>
          <w:noProof/>
        </w:rPr>
        <w:t>25</w:t>
      </w:r>
      <w:r w:rsidR="007C3A3E">
        <w:rPr>
          <w:noProof/>
        </w:rPr>
        <w:fldChar w:fldCharType="end"/>
      </w:r>
      <w:bookmarkEnd w:id="103"/>
      <w:r>
        <w:t xml:space="preserve">: Počet hodin </w:t>
      </w:r>
      <w:r w:rsidR="005B50BC">
        <w:t xml:space="preserve">za rok </w:t>
      </w:r>
      <w:r>
        <w:t>strávených na kurzech</w:t>
      </w:r>
      <w:r w:rsidR="00E31308">
        <w:t>/</w:t>
      </w:r>
      <w:r>
        <w:t xml:space="preserve">školeních </w:t>
      </w:r>
      <w:r w:rsidR="007C52E4">
        <w:t>na</w:t>
      </w:r>
      <w:r>
        <w:t xml:space="preserve"> </w:t>
      </w:r>
      <w:r w:rsidR="007C52E4">
        <w:t>jednoho</w:t>
      </w:r>
      <w:r>
        <w:t xml:space="preserve"> zaměstnance</w:t>
      </w:r>
      <w:r w:rsidR="00FC6E1A">
        <w:t xml:space="preserve"> a účastníka kurzů/školení</w:t>
      </w:r>
      <w:r>
        <w:t xml:space="preserve"> ve firmách v daném odvětví</w:t>
      </w:r>
      <w:r w:rsidR="001C206D">
        <w:t xml:space="preserve"> (</w:t>
      </w:r>
      <w:proofErr w:type="gramStart"/>
      <w:r w:rsidR="001C206D">
        <w:t>CZ</w:t>
      </w:r>
      <w:proofErr w:type="gramEnd"/>
      <w:r w:rsidR="001C206D">
        <w:t>–</w:t>
      </w:r>
      <w:proofErr w:type="gramStart"/>
      <w:r w:rsidR="001C206D">
        <w:t>NACE</w:t>
      </w:r>
      <w:proofErr w:type="gramEnd"/>
      <w:r w:rsidR="001C206D">
        <w:t>)</w:t>
      </w:r>
      <w:r>
        <w:t>, 2015</w:t>
      </w:r>
      <w:bookmarkEnd w:id="104"/>
    </w:p>
    <w:p w:rsidR="00DE1E7E" w:rsidRDefault="00050B7B" w:rsidP="007C52E4">
      <w:r>
        <w:rPr>
          <w:noProof/>
        </w:rPr>
        <w:drawing>
          <wp:inline distT="0" distB="0" distL="0" distR="0" wp14:anchorId="6C87E412" wp14:editId="656C90F3">
            <wp:extent cx="6010275" cy="3076575"/>
            <wp:effectExtent l="0" t="0" r="0" b="0"/>
            <wp:docPr id="70" name="Graf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E1E7E" w:rsidRDefault="00DE1E7E" w:rsidP="00DE1E7E">
      <w:pPr>
        <w:spacing w:after="0"/>
        <w:contextualSpacing/>
        <w:rPr>
          <w:sz w:val="18"/>
        </w:rPr>
      </w:pPr>
      <w:r>
        <w:rPr>
          <w:sz w:val="18"/>
        </w:rPr>
        <w:t>Z</w:t>
      </w:r>
      <w:r w:rsidRPr="00EB211F">
        <w:rPr>
          <w:sz w:val="18"/>
        </w:rPr>
        <w:t>droj: šetření CVTS, ČSÚ 2017</w:t>
      </w:r>
    </w:p>
    <w:p w:rsidR="0099769C" w:rsidRPr="00EB211F" w:rsidRDefault="0099769C" w:rsidP="0099769C">
      <w:pPr>
        <w:spacing w:after="0"/>
        <w:contextualSpacing/>
        <w:rPr>
          <w:sz w:val="18"/>
        </w:rPr>
      </w:pPr>
    </w:p>
    <w:p w:rsidR="00161C0B" w:rsidRDefault="00290CAE" w:rsidP="00D51501">
      <w:pPr>
        <w:spacing w:after="0"/>
        <w:jc w:val="both"/>
      </w:pPr>
      <w:r>
        <w:t>P</w:t>
      </w:r>
      <w:r w:rsidR="00D51501">
        <w:t>odíl hodin využitých zaměstnanci v roce 2015 na povinná školení (ze všech školení – povinných i</w:t>
      </w:r>
      <w:r w:rsidR="00213EE9">
        <w:t> </w:t>
      </w:r>
      <w:r w:rsidR="00D51501">
        <w:t xml:space="preserve">nepovinných) činil </w:t>
      </w:r>
      <w:r>
        <w:t xml:space="preserve">40 </w:t>
      </w:r>
      <w:r w:rsidR="00D51501">
        <w:t>%</w:t>
      </w:r>
      <w:r>
        <w:t xml:space="preserve">, což odpovídá 4,5 hodinám, které </w:t>
      </w:r>
      <w:r w:rsidR="006E48A4">
        <w:t xml:space="preserve">jeden </w:t>
      </w:r>
      <w:r>
        <w:t xml:space="preserve">zaměstnanec </w:t>
      </w:r>
      <w:r w:rsidR="00C7280E">
        <w:t xml:space="preserve">za referenční rok 2015 </w:t>
      </w:r>
      <w:r>
        <w:t>v průměru věnoval účasti na povinn</w:t>
      </w:r>
      <w:r w:rsidR="000A7A9C">
        <w:t>ých</w:t>
      </w:r>
      <w:r>
        <w:t xml:space="preserve"> kurz</w:t>
      </w:r>
      <w:r w:rsidR="000A7A9C">
        <w:t>ech</w:t>
      </w:r>
      <w:r w:rsidR="00D51501">
        <w:t>.</w:t>
      </w:r>
      <w:r>
        <w:t xml:space="preserve"> </w:t>
      </w:r>
      <w:r w:rsidR="000A7A9C">
        <w:t xml:space="preserve">V </w:t>
      </w:r>
      <w:r>
        <w:t>nepovinn</w:t>
      </w:r>
      <w:r w:rsidR="000A7A9C">
        <w:t>ých</w:t>
      </w:r>
      <w:r>
        <w:t xml:space="preserve"> kurz</w:t>
      </w:r>
      <w:r w:rsidR="000A7A9C">
        <w:t>ech</w:t>
      </w:r>
      <w:r>
        <w:t xml:space="preserve"> strávil necelých 7 hodin.</w:t>
      </w:r>
      <w:r w:rsidR="00D51501">
        <w:t xml:space="preserve"> S rostoucí velikostí firmy tento podíl klesá (ze </w:t>
      </w:r>
      <w:r w:rsidR="00C7280E">
        <w:t>49</w:t>
      </w:r>
      <w:r w:rsidR="00D51501">
        <w:t xml:space="preserve"> % u malých firem k </w:t>
      </w:r>
      <w:r w:rsidR="00C7280E">
        <w:t>33</w:t>
      </w:r>
      <w:r w:rsidR="00D51501">
        <w:t xml:space="preserve"> % u firem velkých), což je dáno tím, že se zaměstnanci velkých firem častěji účastnili kromě školení ze zákona povinných i těch nepovinných.</w:t>
      </w:r>
      <w:r w:rsidR="00C7280E">
        <w:t xml:space="preserve"> Zatímco zaměstnanci malých firem tedy strávili zhruba po 4 hodinách jak na povinných, tak nepovinných školeních, </w:t>
      </w:r>
      <w:r w:rsidR="00C7280E">
        <w:lastRenderedPageBreak/>
        <w:t>zaměstnanci firem s více než 250 zaměstnanci věnovali účasti na povinných školeních 4 hodiny a účasti na</w:t>
      </w:r>
      <w:r w:rsidR="00213EE9">
        <w:t> </w:t>
      </w:r>
      <w:r w:rsidR="00C7280E">
        <w:t>nepovinných více než 8,5 hodin za rok.</w:t>
      </w:r>
      <w:r w:rsidR="00D51501">
        <w:t xml:space="preserve"> Podobný nepoměr je rovněž u firem s</w:t>
      </w:r>
      <w:r w:rsidR="000A7A9C">
        <w:t> </w:t>
      </w:r>
      <w:r w:rsidR="00D51501">
        <w:t>českým</w:t>
      </w:r>
      <w:r w:rsidR="000A7A9C">
        <w:t xml:space="preserve"> vrcholovým</w:t>
      </w:r>
      <w:r w:rsidR="00D51501">
        <w:t xml:space="preserve"> vlastníkem, kde zaměstnanci </w:t>
      </w:r>
      <w:r w:rsidR="00E72AA3">
        <w:t xml:space="preserve">věnovali </w:t>
      </w:r>
      <w:r w:rsidR="00D51501">
        <w:t>účasti</w:t>
      </w:r>
      <w:r w:rsidR="00E72AA3">
        <w:t xml:space="preserve"> na</w:t>
      </w:r>
      <w:r w:rsidR="00D51501">
        <w:t xml:space="preserve"> povinných školení</w:t>
      </w:r>
      <w:r w:rsidR="00E72AA3">
        <w:t>ch</w:t>
      </w:r>
      <w:r w:rsidR="00D51501">
        <w:t xml:space="preserve"> </w:t>
      </w:r>
      <w:r w:rsidR="00C7280E">
        <w:t>48</w:t>
      </w:r>
      <w:r w:rsidR="00D51501">
        <w:t xml:space="preserve"> %</w:t>
      </w:r>
      <w:r w:rsidR="00E72AA3">
        <w:t xml:space="preserve"> hodin školení</w:t>
      </w:r>
      <w:r w:rsidR="00D51501">
        <w:t>, ve srovnání s firmami s vlastníkem ze zahraničí, kde se zaměstnanci těchto firem účastnili povinných školení z</w:t>
      </w:r>
      <w:r w:rsidR="00DA0AFE">
        <w:t> </w:t>
      </w:r>
      <w:r w:rsidR="00C7280E">
        <w:t>29</w:t>
      </w:r>
      <w:r w:rsidR="00DA0AFE">
        <w:t> </w:t>
      </w:r>
      <w:r w:rsidR="00D51501">
        <w:t>%</w:t>
      </w:r>
      <w:r w:rsidR="00DA0AFE">
        <w:t> </w:t>
      </w:r>
      <w:r w:rsidR="00D51501">
        <w:t>všech hodin strávených na školeních.</w:t>
      </w:r>
      <w:r w:rsidR="00C7280E">
        <w:t xml:space="preserve"> Zaměstnanci firem s tuzemským vlastníkem tedy strávili 4,5</w:t>
      </w:r>
      <w:r w:rsidR="00DA0AFE">
        <w:t> </w:t>
      </w:r>
      <w:r w:rsidR="00C7280E">
        <w:t>hodiny na</w:t>
      </w:r>
      <w:r w:rsidR="00213EE9">
        <w:t> </w:t>
      </w:r>
      <w:r w:rsidR="00C7280E">
        <w:t>povinných kurzech</w:t>
      </w:r>
      <w:r w:rsidR="000A7A9C">
        <w:t xml:space="preserve"> a</w:t>
      </w:r>
      <w:r w:rsidR="00C7280E">
        <w:t xml:space="preserve"> necelých 5 hodin na nepovinných kurzech. U firem se zahraničním vlastníkem se zaměstnanci v roce 2015 vzdělávali v rámci povinných kurzů 4 hodiny</w:t>
      </w:r>
      <w:r w:rsidR="000A7A9C">
        <w:t>,</w:t>
      </w:r>
      <w:r w:rsidR="00C7280E">
        <w:t xml:space="preserve"> v rámci nepovinných </w:t>
      </w:r>
      <w:r w:rsidR="000A7A9C">
        <w:t xml:space="preserve">kurzů to však bylo </w:t>
      </w:r>
      <w:r w:rsidR="00C7280E">
        <w:t>více než 10 hodin.</w:t>
      </w:r>
    </w:p>
    <w:p w:rsidR="00161C0B" w:rsidRDefault="00161C0B" w:rsidP="00D51501">
      <w:pPr>
        <w:spacing w:after="0"/>
        <w:jc w:val="both"/>
      </w:pPr>
    </w:p>
    <w:p w:rsidR="00161C0B" w:rsidRDefault="00161C0B" w:rsidP="00161C0B">
      <w:pPr>
        <w:pStyle w:val="Titulek"/>
        <w:keepNext/>
        <w:jc w:val="both"/>
      </w:pPr>
      <w:bookmarkStart w:id="105" w:name="_Toc501615609"/>
      <w:r>
        <w:t xml:space="preserve">Graf č. </w:t>
      </w:r>
      <w:r w:rsidR="00E13170">
        <w:fldChar w:fldCharType="begin"/>
      </w:r>
      <w:r w:rsidR="00E13170">
        <w:instrText xml:space="preserve"> SEQ Graf_č. \* ARABIC </w:instrText>
      </w:r>
      <w:r w:rsidR="00E13170">
        <w:fldChar w:fldCharType="separate"/>
      </w:r>
      <w:r w:rsidR="00476EDB">
        <w:rPr>
          <w:noProof/>
        </w:rPr>
        <w:t>26</w:t>
      </w:r>
      <w:r w:rsidR="00E13170">
        <w:rPr>
          <w:noProof/>
        </w:rPr>
        <w:fldChar w:fldCharType="end"/>
      </w:r>
      <w:r>
        <w:t>: Počet hodin za rok strávených na povinných a nepovinných kurzech/školeních na jednoho zaměstnance podle velikosti firmy, 2015</w:t>
      </w:r>
      <w:bookmarkEnd w:id="105"/>
    </w:p>
    <w:p w:rsidR="00161C0B" w:rsidRDefault="00050B7B" w:rsidP="00D51501">
      <w:pPr>
        <w:spacing w:after="0"/>
        <w:jc w:val="both"/>
      </w:pPr>
      <w:r>
        <w:rPr>
          <w:noProof/>
        </w:rPr>
        <w:drawing>
          <wp:inline distT="0" distB="0" distL="0" distR="0" wp14:anchorId="61FCB930" wp14:editId="75DB7746">
            <wp:extent cx="6115050" cy="2143125"/>
            <wp:effectExtent l="0" t="0" r="0" b="0"/>
            <wp:docPr id="71" name="Graf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61C0B" w:rsidRDefault="00161C0B" w:rsidP="00161C0B">
      <w:pPr>
        <w:spacing w:after="0"/>
        <w:contextualSpacing/>
        <w:rPr>
          <w:sz w:val="18"/>
        </w:rPr>
      </w:pPr>
    </w:p>
    <w:p w:rsidR="00161C0B" w:rsidRDefault="00161C0B" w:rsidP="00880EAE">
      <w:pPr>
        <w:spacing w:after="0"/>
        <w:contextualSpacing/>
      </w:pPr>
      <w:r>
        <w:rPr>
          <w:sz w:val="18"/>
        </w:rPr>
        <w:t>Z</w:t>
      </w:r>
      <w:r w:rsidRPr="00EB211F">
        <w:rPr>
          <w:sz w:val="18"/>
        </w:rPr>
        <w:t>droj: šetření CVTS, ČSÚ 2017</w:t>
      </w:r>
    </w:p>
    <w:p w:rsidR="00161C0B" w:rsidRDefault="00161C0B" w:rsidP="00D51501">
      <w:pPr>
        <w:spacing w:after="0"/>
        <w:jc w:val="both"/>
      </w:pPr>
    </w:p>
    <w:p w:rsidR="00563CD7" w:rsidRDefault="00563CD7" w:rsidP="00D51501">
      <w:pPr>
        <w:spacing w:after="0"/>
        <w:jc w:val="both"/>
      </w:pPr>
    </w:p>
    <w:p w:rsidR="005A25D1" w:rsidRDefault="005A25D1" w:rsidP="005A25D1">
      <w:pPr>
        <w:pStyle w:val="Nadpis3"/>
      </w:pPr>
      <w:bookmarkStart w:id="106" w:name="_Toc490472737"/>
      <w:bookmarkStart w:id="107" w:name="_Toc501614109"/>
      <w:r>
        <w:t>Hodnocení nejdůležitějších dovedností zaměstnanců</w:t>
      </w:r>
      <w:bookmarkEnd w:id="106"/>
      <w:bookmarkEnd w:id="107"/>
    </w:p>
    <w:p w:rsidR="00492F74" w:rsidRDefault="00492F74" w:rsidP="00492F74">
      <w:pPr>
        <w:spacing w:after="0"/>
        <w:jc w:val="both"/>
      </w:pPr>
    </w:p>
    <w:p w:rsidR="005A25D1" w:rsidRDefault="005A25D1" w:rsidP="00492F74">
      <w:pPr>
        <w:spacing w:after="0"/>
        <w:jc w:val="both"/>
      </w:pPr>
      <w:r>
        <w:t xml:space="preserve">Kromě celkového přístupu firem ke vzdělávání, který </w:t>
      </w:r>
      <w:r w:rsidR="00ED1116">
        <w:t>ovlivňuje</w:t>
      </w:r>
      <w:r>
        <w:t xml:space="preserve"> řada okolností, z nichž některé již byly v tomto textu představeny, je </w:t>
      </w:r>
      <w:r w:rsidR="0051195F">
        <w:t xml:space="preserve">také </w:t>
      </w:r>
      <w:r>
        <w:t xml:space="preserve">možné </w:t>
      </w:r>
      <w:r w:rsidR="0051195F">
        <w:t>zjistit,</w:t>
      </w:r>
      <w:r w:rsidR="00B70148">
        <w:t xml:space="preserve"> jaké</w:t>
      </w:r>
      <w:r>
        <w:t xml:space="preserve"> konkrétní preference </w:t>
      </w:r>
      <w:r w:rsidR="00B70148">
        <w:t xml:space="preserve">týkající se </w:t>
      </w:r>
      <w:r>
        <w:t>dovedností</w:t>
      </w:r>
      <w:r w:rsidR="00B70148">
        <w:t xml:space="preserve"> svých</w:t>
      </w:r>
      <w:r>
        <w:t xml:space="preserve"> zaměstnanců </w:t>
      </w:r>
      <w:r w:rsidR="00B70148">
        <w:t xml:space="preserve">firmy mají </w:t>
      </w:r>
      <w:r>
        <w:t>a</w:t>
      </w:r>
      <w:r w:rsidR="00B70148">
        <w:t xml:space="preserve"> postihnout</w:t>
      </w:r>
      <w:r>
        <w:t xml:space="preserve"> jejich vztah s reálným zajišťováním vzdělávání na stejná témata.</w:t>
      </w:r>
    </w:p>
    <w:p w:rsidR="00492F74" w:rsidRDefault="00492F74" w:rsidP="00492F74">
      <w:pPr>
        <w:spacing w:after="0"/>
        <w:jc w:val="both"/>
      </w:pPr>
    </w:p>
    <w:p w:rsidR="005A25D1" w:rsidRDefault="005A25D1" w:rsidP="005A25D1">
      <w:pPr>
        <w:spacing w:after="0"/>
        <w:jc w:val="both"/>
      </w:pPr>
      <w:r>
        <w:t xml:space="preserve">Třetina firem jako nejdůležitější dovednost svých zaměstnanců z hlediska rozvoje firmy v následujících letech oceňuje shodně schopnost týmové práce a jednání se zákazníky. Do stejné kategorie tzv. měkkých kompetencí patří i téměř čtvrtinou oceňovaná dovednost vhodného řešení problémů či obtížných úkolů. Čtvrtina firem rovněž kladně hodnotí i odborné specifické dovednosti související s výkonem konkrétního povolání. </w:t>
      </w:r>
      <w:r w:rsidR="00EF3498">
        <w:t>Tabulka č. 3</w:t>
      </w:r>
      <w:r w:rsidR="00492F74" w:rsidRPr="00F3511B">
        <w:rPr>
          <w:color w:val="00B0F0"/>
        </w:rPr>
        <w:t xml:space="preserve"> </w:t>
      </w:r>
      <w:r>
        <w:t xml:space="preserve">zobrazuje další možnosti </w:t>
      </w:r>
      <w:r w:rsidR="00810A9E">
        <w:t xml:space="preserve">žádoucích </w:t>
      </w:r>
      <w:r w:rsidR="00B70148">
        <w:t xml:space="preserve">dovedností zaměstnanců </w:t>
      </w:r>
      <w:r>
        <w:t>a podíl firem, které je označily</w:t>
      </w:r>
      <w:r w:rsidR="00EB420F">
        <w:t xml:space="preserve"> za důležité</w:t>
      </w:r>
      <w:r>
        <w:t>.</w:t>
      </w:r>
      <w:r w:rsidR="00757925">
        <w:t xml:space="preserve"> </w:t>
      </w:r>
      <w:r w:rsidR="00B70148">
        <w:t>Mimo výše uvedených oblastí souvisejících s poskytováním vzdělávání má na</w:t>
      </w:r>
      <w:r w:rsidR="00213EE9">
        <w:t> </w:t>
      </w:r>
      <w:r w:rsidR="00ED1116">
        <w:t xml:space="preserve">hodnocení důležitosti některých </w:t>
      </w:r>
      <w:r w:rsidR="00B70148">
        <w:t xml:space="preserve">preferovaných </w:t>
      </w:r>
      <w:r w:rsidR="00ED1116">
        <w:t>dovedností</w:t>
      </w:r>
      <w:r w:rsidR="00B70148">
        <w:t xml:space="preserve"> zaměstnanců vliv </w:t>
      </w:r>
      <w:r w:rsidR="009170AB">
        <w:t xml:space="preserve">i </w:t>
      </w:r>
      <w:r w:rsidR="00B70148">
        <w:t>kritérium velikosti firmy</w:t>
      </w:r>
      <w:r w:rsidR="00ED1116">
        <w:t>. Priorita schopnosti týmové práce mírně klesá s velikostí firmy stejně jako vedení administrativy</w:t>
      </w:r>
      <w:r w:rsidR="00A56C94">
        <w:t xml:space="preserve"> a jednání se zákazníky</w:t>
      </w:r>
      <w:r w:rsidR="00ED1116">
        <w:t>, které j</w:t>
      </w:r>
      <w:r w:rsidR="00A56C94">
        <w:t>sou</w:t>
      </w:r>
      <w:r w:rsidR="00ED1116">
        <w:t xml:space="preserve"> u větších firem patrně v kompeten</w:t>
      </w:r>
      <w:r w:rsidR="00A56C94">
        <w:t xml:space="preserve">ci specializovaných pracovníků. </w:t>
      </w:r>
      <w:r w:rsidR="0019730B">
        <w:t>Naopak roste důraz kladený např. na znalost jazyků, manažerské dovednosti či specifické technické a inženýrské dovednosti.</w:t>
      </w:r>
      <w:r w:rsidR="00205F73">
        <w:t xml:space="preserve"> Podíly firem hodnotící</w:t>
      </w:r>
      <w:r w:rsidR="00361627">
        <w:t>ch</w:t>
      </w:r>
      <w:r w:rsidR="00205F73">
        <w:t xml:space="preserve"> důležitost daných dovedností se značně liší i z hlediska odvětví. Např. schopnost týmové práce vnímá </w:t>
      </w:r>
      <w:r w:rsidR="00EB420F">
        <w:t>48</w:t>
      </w:r>
      <w:r w:rsidR="00205F73">
        <w:t xml:space="preserve"> % firem v odvětví </w:t>
      </w:r>
      <w:r w:rsidR="004D424A">
        <w:t>U</w:t>
      </w:r>
      <w:r w:rsidR="00205F73">
        <w:t xml:space="preserve">bytování, stravování a pohostinství </w:t>
      </w:r>
      <w:r w:rsidR="004D424A">
        <w:t xml:space="preserve">(sekce I) </w:t>
      </w:r>
      <w:r w:rsidR="00205F73">
        <w:t>jako jednu ze tří</w:t>
      </w:r>
      <w:r w:rsidR="00DA0AFE">
        <w:t> </w:t>
      </w:r>
      <w:r w:rsidR="00205F73">
        <w:t>nejdůležitějších</w:t>
      </w:r>
      <w:r w:rsidR="00B70148">
        <w:t>, přičemž p</w:t>
      </w:r>
      <w:r w:rsidR="00205F73">
        <w:t xml:space="preserve">růměr za všechna odvětví u </w:t>
      </w:r>
      <w:r w:rsidR="0017231D">
        <w:t>této dovednosti činí 34</w:t>
      </w:r>
      <w:r w:rsidR="00205F73">
        <w:t xml:space="preserve"> %. </w:t>
      </w:r>
      <w:r w:rsidR="00B70148">
        <w:t>Schopnost j</w:t>
      </w:r>
      <w:r w:rsidR="00205F73">
        <w:t xml:space="preserve">ednání se zákazníky </w:t>
      </w:r>
      <w:r w:rsidR="00B70148">
        <w:t xml:space="preserve">nejčastěji preferují firmy z </w:t>
      </w:r>
      <w:r w:rsidR="00205F73">
        <w:t xml:space="preserve">odvětví </w:t>
      </w:r>
      <w:r w:rsidR="004D424A">
        <w:t>O</w:t>
      </w:r>
      <w:r w:rsidR="00205F73">
        <w:t>bchod</w:t>
      </w:r>
      <w:r w:rsidR="004D424A">
        <w:t xml:space="preserve"> (sekce G)</w:t>
      </w:r>
      <w:r w:rsidR="00205F73">
        <w:t xml:space="preserve">, ve kterém téměř </w:t>
      </w:r>
      <w:r w:rsidR="00EB420F">
        <w:t>60 % firem uvedlo</w:t>
      </w:r>
      <w:r w:rsidR="00205F73">
        <w:t xml:space="preserve"> důležitost této oblasti. V</w:t>
      </w:r>
      <w:r w:rsidR="00EB420F">
        <w:t>ysoký podíl je i v</w:t>
      </w:r>
      <w:r w:rsidR="00205F73">
        <w:t xml:space="preserve"> odvětví </w:t>
      </w:r>
      <w:r w:rsidR="004D424A">
        <w:t>U</w:t>
      </w:r>
      <w:r w:rsidR="00205F73">
        <w:t>bytování, stravování a pohostinství</w:t>
      </w:r>
      <w:r w:rsidR="004D424A">
        <w:t xml:space="preserve"> (I)</w:t>
      </w:r>
      <w:r w:rsidR="00EB420F">
        <w:t>, kde</w:t>
      </w:r>
      <w:r w:rsidR="00205F73">
        <w:t xml:space="preserve"> vybralo tuto možnost </w:t>
      </w:r>
      <w:r w:rsidR="00B70148">
        <w:t xml:space="preserve">jako jednu ze tří nejdůležitějších </w:t>
      </w:r>
      <w:r w:rsidR="00EB420F">
        <w:t>58</w:t>
      </w:r>
      <w:r w:rsidR="00205F73">
        <w:t xml:space="preserve"> % firem</w:t>
      </w:r>
      <w:r w:rsidR="00EB420F">
        <w:t>. Naopak nejnižší podíl (21 %) je mezi firmami zabývajícími se</w:t>
      </w:r>
      <w:r w:rsidR="00B70148">
        <w:t xml:space="preserve"> činnostmi v</w:t>
      </w:r>
      <w:r w:rsidR="00F33643">
        <w:t> </w:t>
      </w:r>
      <w:r w:rsidR="00EB420F">
        <w:t>průmysl</w:t>
      </w:r>
      <w:r w:rsidR="00B70148">
        <w:t>u</w:t>
      </w:r>
      <w:r w:rsidR="00F33643">
        <w:t xml:space="preserve"> (</w:t>
      </w:r>
      <w:proofErr w:type="gramStart"/>
      <w:r w:rsidR="00F33643">
        <w:t>sekce B–E)</w:t>
      </w:r>
      <w:r w:rsidR="00EB420F">
        <w:t>.</w:t>
      </w:r>
      <w:proofErr w:type="gramEnd"/>
    </w:p>
    <w:p w:rsidR="004416AE" w:rsidRDefault="004416AE" w:rsidP="005A25D1">
      <w:pPr>
        <w:spacing w:after="0"/>
        <w:jc w:val="both"/>
      </w:pPr>
    </w:p>
    <w:p w:rsidR="005A25D1" w:rsidRDefault="005A25D1" w:rsidP="00AF2689">
      <w:pPr>
        <w:pStyle w:val="Titulek"/>
        <w:jc w:val="both"/>
        <w:rPr>
          <w:rFonts w:ascii="Calibri" w:eastAsia="Calibri" w:hAnsi="Calibri"/>
          <w:lang w:eastAsia="en-US"/>
        </w:rPr>
      </w:pPr>
      <w:bookmarkStart w:id="108" w:name="_Ref496270727"/>
      <w:bookmarkStart w:id="109" w:name="_Toc496079844"/>
      <w:r>
        <w:t xml:space="preserve">Tabulka </w:t>
      </w:r>
      <w:r w:rsidR="00492F74">
        <w:t xml:space="preserve">č. </w:t>
      </w:r>
      <w:r w:rsidR="007C3A3E">
        <w:fldChar w:fldCharType="begin"/>
      </w:r>
      <w:r w:rsidR="00C84608">
        <w:instrText xml:space="preserve"> SEQ Tabulka \* ARABIC </w:instrText>
      </w:r>
      <w:r w:rsidR="007C3A3E">
        <w:fldChar w:fldCharType="separate"/>
      </w:r>
      <w:r w:rsidR="00476EDB">
        <w:rPr>
          <w:noProof/>
        </w:rPr>
        <w:t>3</w:t>
      </w:r>
      <w:r w:rsidR="007C3A3E">
        <w:rPr>
          <w:noProof/>
        </w:rPr>
        <w:fldChar w:fldCharType="end"/>
      </w:r>
      <w:bookmarkEnd w:id="108"/>
      <w:r>
        <w:t xml:space="preserve">: </w:t>
      </w:r>
      <w:r w:rsidRPr="005A25D1">
        <w:t xml:space="preserve">Podíl firem </w:t>
      </w:r>
      <w:r w:rsidR="00B70148">
        <w:t>řadící</w:t>
      </w:r>
      <w:r w:rsidR="00361627">
        <w:t>ch</w:t>
      </w:r>
      <w:r w:rsidR="00B70148" w:rsidRPr="005A25D1">
        <w:t xml:space="preserve"> </w:t>
      </w:r>
      <w:r w:rsidRPr="005A25D1">
        <w:t>dané dovednosti zaměstnanců mezi nejdůležitější</w:t>
      </w:r>
      <w:r w:rsidR="00ED1116">
        <w:t xml:space="preserve"> podle velikosti firmy</w:t>
      </w:r>
      <w:r w:rsidR="00AF2689">
        <w:t>, 2015</w:t>
      </w:r>
      <w:bookmarkEnd w:id="109"/>
      <w:r w:rsidR="007C3A3E">
        <w:fldChar w:fldCharType="begin"/>
      </w:r>
      <w:r>
        <w:instrText xml:space="preserve"> LINK Excel.Sheet.8 "\\\\ABFS2\\DATA\\DATA\\ZPRAC\\TECHNOL\\oddeleni_6301\\2_Vzdělávání\\2_CVTS_Kašparová\\Publikace\\CVTS_publikace\\tabulky do textuAK.xls" "T3!R2C1:R16C6" \a \f 4 \h </w:instrText>
      </w:r>
      <w:r w:rsidR="00093EEF">
        <w:instrText xml:space="preserve"> \* MERGEFORMAT </w:instrText>
      </w:r>
      <w:r w:rsidR="007C3A3E">
        <w:fldChar w:fldCharType="separate"/>
      </w:r>
    </w:p>
    <w:p w:rsidR="007D717B" w:rsidRPr="008C4159" w:rsidRDefault="00B70148" w:rsidP="008C4159">
      <w:pPr>
        <w:spacing w:after="0"/>
        <w:jc w:val="right"/>
        <w:rPr>
          <w:rFonts w:ascii="Calibri" w:eastAsia="Calibri" w:hAnsi="Calibri"/>
          <w:b/>
          <w:szCs w:val="20"/>
          <w:lang w:eastAsia="en-US"/>
        </w:rPr>
      </w:pPr>
      <w:r w:rsidRPr="008C4159">
        <w:rPr>
          <w:b/>
          <w:lang w:val="en-US"/>
        </w:rPr>
        <w:t>%</w:t>
      </w:r>
      <w:r w:rsidR="007C3A3E">
        <w:rPr>
          <w:b/>
        </w:rPr>
        <w:fldChar w:fldCharType="begin"/>
      </w:r>
      <w:r w:rsidR="007D717B" w:rsidRPr="008C4159">
        <w:rPr>
          <w:b/>
        </w:rPr>
        <w:instrText xml:space="preserve"> LINK Excel.Sheet.8 "\\\\ABFS2\\DATA\\DATA\\ZPRAC\\TECHNOL\\oddeleni_6301\\2_Vzdělávání\\2_CVTS_Kašparová\\Publikace\\CVTS_publikace\\tabulky do textuAK.xls" "T3!R2C1:R16C6" \a \f 4 \h </w:instrText>
      </w:r>
      <w:r w:rsidR="00093EEF" w:rsidRPr="008C4159">
        <w:rPr>
          <w:b/>
        </w:rPr>
        <w:instrText xml:space="preserve"> \* MERGEFORMAT </w:instrText>
      </w:r>
      <w:r w:rsidR="007C3A3E">
        <w:rPr>
          <w:b/>
        </w:rPr>
        <w:fldChar w:fldCharType="separate"/>
      </w:r>
    </w:p>
    <w:tbl>
      <w:tblPr>
        <w:tblW w:w="9640" w:type="dxa"/>
        <w:tblInd w:w="70" w:type="dxa"/>
        <w:tblCellMar>
          <w:left w:w="70" w:type="dxa"/>
          <w:right w:w="70" w:type="dxa"/>
        </w:tblCellMar>
        <w:tblLook w:val="04A0" w:firstRow="1" w:lastRow="0" w:firstColumn="1" w:lastColumn="0" w:noHBand="0" w:noVBand="1"/>
      </w:tblPr>
      <w:tblGrid>
        <w:gridCol w:w="3403"/>
        <w:gridCol w:w="1113"/>
        <w:gridCol w:w="1281"/>
        <w:gridCol w:w="1281"/>
        <w:gridCol w:w="1281"/>
        <w:gridCol w:w="1281"/>
      </w:tblGrid>
      <w:tr w:rsidR="00B70148" w:rsidRPr="007D717B" w:rsidTr="008C4159">
        <w:trPr>
          <w:trHeight w:val="493"/>
        </w:trPr>
        <w:tc>
          <w:tcPr>
            <w:tcW w:w="3403" w:type="dxa"/>
            <w:vMerge w:val="restart"/>
            <w:tcBorders>
              <w:top w:val="single" w:sz="4" w:space="0" w:color="auto"/>
              <w:left w:val="nil"/>
              <w:right w:val="single" w:sz="4" w:space="0" w:color="auto"/>
            </w:tcBorders>
            <w:shd w:val="clear" w:color="000000" w:fill="F2DCDB"/>
            <w:noWrap/>
            <w:vAlign w:val="center"/>
            <w:hideMark/>
          </w:tcPr>
          <w:p w:rsidR="00B70148" w:rsidRPr="007D717B" w:rsidDel="00B70148" w:rsidRDefault="00B70148" w:rsidP="007D717B">
            <w:pPr>
              <w:jc w:val="center"/>
              <w:rPr>
                <w:rFonts w:cs="Arial"/>
                <w:b/>
                <w:bCs/>
                <w:szCs w:val="20"/>
              </w:rPr>
            </w:pPr>
            <w:r>
              <w:rPr>
                <w:rFonts w:cs="Arial"/>
                <w:b/>
                <w:bCs/>
                <w:szCs w:val="20"/>
              </w:rPr>
              <w:t>Dovednosti zaměstnanců</w:t>
            </w:r>
          </w:p>
        </w:tc>
        <w:tc>
          <w:tcPr>
            <w:tcW w:w="1113" w:type="dxa"/>
            <w:vMerge w:val="restart"/>
            <w:tcBorders>
              <w:top w:val="single" w:sz="4" w:space="0" w:color="auto"/>
              <w:left w:val="nil"/>
              <w:right w:val="single" w:sz="4" w:space="0" w:color="auto"/>
            </w:tcBorders>
            <w:shd w:val="clear" w:color="000000" w:fill="F2DCDB"/>
            <w:vAlign w:val="center"/>
            <w:hideMark/>
          </w:tcPr>
          <w:p w:rsidR="00B70148" w:rsidRPr="007D717B" w:rsidRDefault="00B70148" w:rsidP="007D717B">
            <w:pPr>
              <w:jc w:val="center"/>
              <w:rPr>
                <w:rFonts w:cs="Arial"/>
                <w:b/>
                <w:bCs/>
                <w:sz w:val="18"/>
                <w:szCs w:val="18"/>
              </w:rPr>
            </w:pPr>
            <w:r w:rsidRPr="007D717B">
              <w:rPr>
                <w:rFonts w:cs="Arial"/>
                <w:b/>
                <w:bCs/>
                <w:sz w:val="18"/>
                <w:szCs w:val="18"/>
              </w:rPr>
              <w:t>celkem</w:t>
            </w:r>
          </w:p>
        </w:tc>
        <w:tc>
          <w:tcPr>
            <w:tcW w:w="5124" w:type="dxa"/>
            <w:gridSpan w:val="4"/>
            <w:tcBorders>
              <w:top w:val="single" w:sz="4" w:space="0" w:color="auto"/>
              <w:left w:val="nil"/>
              <w:bottom w:val="single" w:sz="4" w:space="0" w:color="auto"/>
            </w:tcBorders>
            <w:shd w:val="clear" w:color="000000" w:fill="F2DCDB"/>
            <w:vAlign w:val="center"/>
            <w:hideMark/>
          </w:tcPr>
          <w:p w:rsidR="00B70148" w:rsidRPr="007D717B" w:rsidRDefault="00B70148" w:rsidP="007D717B">
            <w:pPr>
              <w:spacing w:after="0" w:line="240" w:lineRule="auto"/>
              <w:jc w:val="center"/>
              <w:rPr>
                <w:rFonts w:cs="Arial"/>
                <w:b/>
                <w:bCs/>
                <w:sz w:val="18"/>
                <w:szCs w:val="18"/>
              </w:rPr>
            </w:pPr>
            <w:r>
              <w:rPr>
                <w:rFonts w:cs="Arial"/>
                <w:b/>
                <w:bCs/>
                <w:sz w:val="18"/>
                <w:szCs w:val="18"/>
              </w:rPr>
              <w:t>dle velikosti firmy</w:t>
            </w:r>
          </w:p>
        </w:tc>
      </w:tr>
      <w:tr w:rsidR="00B70148" w:rsidRPr="007D717B" w:rsidTr="008C4159">
        <w:trPr>
          <w:trHeight w:val="719"/>
        </w:trPr>
        <w:tc>
          <w:tcPr>
            <w:tcW w:w="3403" w:type="dxa"/>
            <w:vMerge/>
            <w:tcBorders>
              <w:left w:val="nil"/>
              <w:bottom w:val="single" w:sz="4" w:space="0" w:color="auto"/>
              <w:right w:val="single" w:sz="4" w:space="0" w:color="auto"/>
            </w:tcBorders>
            <w:shd w:val="clear" w:color="000000" w:fill="F2DCDB"/>
            <w:noWrap/>
            <w:vAlign w:val="center"/>
            <w:hideMark/>
          </w:tcPr>
          <w:p w:rsidR="00B70148" w:rsidRPr="007D717B" w:rsidRDefault="00B70148" w:rsidP="007D717B">
            <w:pPr>
              <w:spacing w:after="0" w:line="240" w:lineRule="auto"/>
              <w:jc w:val="center"/>
              <w:rPr>
                <w:rFonts w:cs="Arial"/>
                <w:b/>
                <w:bCs/>
                <w:szCs w:val="20"/>
              </w:rPr>
            </w:pPr>
          </w:p>
        </w:tc>
        <w:tc>
          <w:tcPr>
            <w:tcW w:w="1113" w:type="dxa"/>
            <w:vMerge/>
            <w:tcBorders>
              <w:left w:val="nil"/>
              <w:bottom w:val="single" w:sz="4" w:space="0" w:color="auto"/>
              <w:right w:val="single" w:sz="4" w:space="0" w:color="auto"/>
            </w:tcBorders>
            <w:shd w:val="clear" w:color="000000" w:fill="F2DCDB"/>
            <w:vAlign w:val="center"/>
            <w:hideMark/>
          </w:tcPr>
          <w:p w:rsidR="00B70148" w:rsidRPr="007D717B" w:rsidRDefault="00B70148" w:rsidP="007D717B">
            <w:pPr>
              <w:spacing w:after="0" w:line="240" w:lineRule="auto"/>
              <w:jc w:val="center"/>
              <w:rPr>
                <w:rFonts w:cs="Arial"/>
                <w:b/>
                <w:bCs/>
                <w:sz w:val="18"/>
                <w:szCs w:val="18"/>
              </w:rPr>
            </w:pPr>
          </w:p>
        </w:tc>
        <w:tc>
          <w:tcPr>
            <w:tcW w:w="1281" w:type="dxa"/>
            <w:tcBorders>
              <w:top w:val="single" w:sz="4" w:space="0" w:color="auto"/>
              <w:left w:val="nil"/>
              <w:bottom w:val="single" w:sz="4" w:space="0" w:color="auto"/>
              <w:right w:val="single" w:sz="4" w:space="0" w:color="auto"/>
            </w:tcBorders>
            <w:shd w:val="clear" w:color="000000" w:fill="F2DCDB"/>
            <w:vAlign w:val="center"/>
            <w:hideMark/>
          </w:tcPr>
          <w:p w:rsidR="00B70148" w:rsidRPr="007D717B" w:rsidRDefault="00B70148" w:rsidP="00D73AB5">
            <w:pPr>
              <w:spacing w:after="0" w:line="240" w:lineRule="auto"/>
              <w:jc w:val="center"/>
              <w:rPr>
                <w:rFonts w:cs="Arial"/>
                <w:b/>
                <w:bCs/>
                <w:sz w:val="18"/>
                <w:szCs w:val="18"/>
              </w:rPr>
            </w:pPr>
            <w:r w:rsidRPr="007D717B">
              <w:rPr>
                <w:rFonts w:cs="Arial"/>
                <w:b/>
                <w:bCs/>
                <w:sz w:val="18"/>
                <w:szCs w:val="18"/>
              </w:rPr>
              <w:t>10</w:t>
            </w:r>
            <w:r>
              <w:rPr>
                <w:rFonts w:cs="Arial"/>
                <w:b/>
                <w:bCs/>
                <w:sz w:val="18"/>
                <w:szCs w:val="18"/>
              </w:rPr>
              <w:t>–</w:t>
            </w:r>
            <w:r w:rsidRPr="007D717B">
              <w:rPr>
                <w:rFonts w:cs="Arial"/>
                <w:b/>
                <w:bCs/>
                <w:sz w:val="18"/>
                <w:szCs w:val="18"/>
              </w:rPr>
              <w:t>19 zaměstnanců</w:t>
            </w:r>
          </w:p>
        </w:tc>
        <w:tc>
          <w:tcPr>
            <w:tcW w:w="1281" w:type="dxa"/>
            <w:tcBorders>
              <w:top w:val="single" w:sz="4" w:space="0" w:color="auto"/>
              <w:left w:val="nil"/>
              <w:bottom w:val="single" w:sz="4" w:space="0" w:color="auto"/>
              <w:right w:val="single" w:sz="4" w:space="0" w:color="auto"/>
            </w:tcBorders>
            <w:shd w:val="clear" w:color="000000" w:fill="F2DCDB"/>
            <w:vAlign w:val="center"/>
            <w:hideMark/>
          </w:tcPr>
          <w:p w:rsidR="00B70148" w:rsidRPr="007D717B" w:rsidRDefault="00B70148" w:rsidP="00D73AB5">
            <w:pPr>
              <w:spacing w:after="0" w:line="240" w:lineRule="auto"/>
              <w:jc w:val="center"/>
              <w:rPr>
                <w:rFonts w:cs="Arial"/>
                <w:b/>
                <w:bCs/>
                <w:sz w:val="18"/>
                <w:szCs w:val="18"/>
              </w:rPr>
            </w:pPr>
            <w:r w:rsidRPr="007D717B">
              <w:rPr>
                <w:rFonts w:cs="Arial"/>
                <w:b/>
                <w:bCs/>
                <w:sz w:val="18"/>
                <w:szCs w:val="18"/>
              </w:rPr>
              <w:t>20</w:t>
            </w:r>
            <w:r>
              <w:rPr>
                <w:rFonts w:cs="Arial"/>
                <w:b/>
                <w:bCs/>
                <w:sz w:val="18"/>
                <w:szCs w:val="18"/>
              </w:rPr>
              <w:t>–</w:t>
            </w:r>
            <w:r w:rsidRPr="007D717B">
              <w:rPr>
                <w:rFonts w:cs="Arial"/>
                <w:b/>
                <w:bCs/>
                <w:sz w:val="18"/>
                <w:szCs w:val="18"/>
              </w:rPr>
              <w:t>49 zaměstnanců</w:t>
            </w:r>
          </w:p>
        </w:tc>
        <w:tc>
          <w:tcPr>
            <w:tcW w:w="1281" w:type="dxa"/>
            <w:tcBorders>
              <w:top w:val="single" w:sz="4" w:space="0" w:color="auto"/>
              <w:left w:val="nil"/>
              <w:bottom w:val="single" w:sz="4" w:space="0" w:color="auto"/>
              <w:right w:val="single" w:sz="4" w:space="0" w:color="auto"/>
            </w:tcBorders>
            <w:shd w:val="clear" w:color="000000" w:fill="F2DCDB"/>
            <w:vAlign w:val="center"/>
            <w:hideMark/>
          </w:tcPr>
          <w:p w:rsidR="00B70148" w:rsidRPr="007D717B" w:rsidRDefault="00B70148" w:rsidP="00D73AB5">
            <w:pPr>
              <w:spacing w:after="0" w:line="240" w:lineRule="auto"/>
              <w:jc w:val="center"/>
              <w:rPr>
                <w:rFonts w:cs="Arial"/>
                <w:b/>
                <w:bCs/>
                <w:sz w:val="18"/>
                <w:szCs w:val="18"/>
              </w:rPr>
            </w:pPr>
            <w:r w:rsidRPr="007D717B">
              <w:rPr>
                <w:rFonts w:cs="Arial"/>
                <w:b/>
                <w:bCs/>
                <w:sz w:val="18"/>
                <w:szCs w:val="18"/>
              </w:rPr>
              <w:t>50</w:t>
            </w:r>
            <w:r>
              <w:rPr>
                <w:rFonts w:cs="Arial"/>
                <w:b/>
                <w:bCs/>
                <w:sz w:val="18"/>
                <w:szCs w:val="18"/>
              </w:rPr>
              <w:t>–</w:t>
            </w:r>
            <w:r w:rsidRPr="007D717B">
              <w:rPr>
                <w:rFonts w:cs="Arial"/>
                <w:b/>
                <w:bCs/>
                <w:sz w:val="18"/>
                <w:szCs w:val="18"/>
              </w:rPr>
              <w:t>249 zaměstnanců</w:t>
            </w:r>
          </w:p>
        </w:tc>
        <w:tc>
          <w:tcPr>
            <w:tcW w:w="1281" w:type="dxa"/>
            <w:tcBorders>
              <w:top w:val="single" w:sz="4" w:space="0" w:color="auto"/>
              <w:left w:val="nil"/>
              <w:bottom w:val="single" w:sz="4" w:space="0" w:color="auto"/>
              <w:right w:val="nil"/>
            </w:tcBorders>
            <w:shd w:val="clear" w:color="000000" w:fill="F2DCDB"/>
            <w:vAlign w:val="center"/>
            <w:hideMark/>
          </w:tcPr>
          <w:p w:rsidR="00B70148" w:rsidRPr="007D717B" w:rsidRDefault="00B70148" w:rsidP="007D717B">
            <w:pPr>
              <w:spacing w:after="0" w:line="240" w:lineRule="auto"/>
              <w:jc w:val="center"/>
              <w:rPr>
                <w:rFonts w:cs="Arial"/>
                <w:b/>
                <w:bCs/>
                <w:sz w:val="18"/>
                <w:szCs w:val="18"/>
              </w:rPr>
            </w:pPr>
            <w:r w:rsidRPr="007D717B">
              <w:rPr>
                <w:rFonts w:cs="Arial"/>
                <w:b/>
                <w:bCs/>
                <w:sz w:val="18"/>
                <w:szCs w:val="18"/>
              </w:rPr>
              <w:t>250 a více zaměstnanců</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8C4159" w:rsidRDefault="004D544F" w:rsidP="008C4159">
            <w:pPr>
              <w:spacing w:after="0" w:line="240" w:lineRule="auto"/>
              <w:rPr>
                <w:rFonts w:cs="Arial"/>
                <w:color w:val="000000"/>
                <w:sz w:val="18"/>
                <w:szCs w:val="18"/>
              </w:rPr>
            </w:pPr>
            <w:r w:rsidRPr="007D717B">
              <w:rPr>
                <w:rFonts w:cs="Arial"/>
                <w:color w:val="000000"/>
                <w:sz w:val="18"/>
                <w:szCs w:val="18"/>
              </w:rPr>
              <w:t xml:space="preserve">běžná orientace v textu </w:t>
            </w:r>
          </w:p>
          <w:p w:rsidR="004D544F" w:rsidRPr="007D717B" w:rsidRDefault="004D544F" w:rsidP="008C4159">
            <w:pPr>
              <w:spacing w:after="0" w:line="240" w:lineRule="auto"/>
              <w:rPr>
                <w:rFonts w:cs="Arial"/>
                <w:color w:val="000000"/>
                <w:sz w:val="18"/>
                <w:szCs w:val="18"/>
              </w:rPr>
            </w:pPr>
            <w:r w:rsidRPr="007D717B">
              <w:rPr>
                <w:rFonts w:cs="Arial"/>
                <w:color w:val="000000"/>
                <w:sz w:val="18"/>
                <w:szCs w:val="18"/>
              </w:rPr>
              <w:t>a/nebo v početních operacích</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12</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w:t>
            </w:r>
            <w:r w:rsidR="000238C6">
              <w:rPr>
                <w:rFonts w:cs="Arial"/>
                <w:szCs w:val="20"/>
              </w:rPr>
              <w:t>3</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13</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9</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8</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běžné užívání informačních technologií</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20</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20</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19</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20</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21</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komunikační dovednosti</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19</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18</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19</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w:t>
            </w:r>
            <w:r w:rsidR="000238C6">
              <w:rPr>
                <w:rFonts w:cs="Arial"/>
                <w:szCs w:val="20"/>
              </w:rPr>
              <w:t>8</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21</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schopnost týmové práce</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34</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3</w:t>
            </w:r>
            <w:r w:rsidR="000238C6">
              <w:rPr>
                <w:rFonts w:cs="Arial"/>
                <w:szCs w:val="20"/>
              </w:rPr>
              <w:t>6</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34</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3</w:t>
            </w:r>
            <w:r w:rsidR="000238C6">
              <w:rPr>
                <w:rFonts w:cs="Arial"/>
                <w:szCs w:val="20"/>
              </w:rPr>
              <w:t>2</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31</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řešení problémů či obtížných úkolů</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4D544F" w:rsidP="000238C6">
            <w:pPr>
              <w:spacing w:after="0" w:line="240" w:lineRule="auto"/>
              <w:jc w:val="center"/>
              <w:rPr>
                <w:rFonts w:cs="Arial"/>
                <w:szCs w:val="20"/>
              </w:rPr>
            </w:pPr>
            <w:r w:rsidRPr="007D717B">
              <w:rPr>
                <w:rFonts w:cs="Arial"/>
                <w:szCs w:val="20"/>
              </w:rPr>
              <w:t>2</w:t>
            </w:r>
            <w:r w:rsidR="000238C6">
              <w:rPr>
                <w:rFonts w:cs="Arial"/>
                <w:szCs w:val="20"/>
              </w:rPr>
              <w:t>4</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w:t>
            </w:r>
            <w:r w:rsidR="000238C6">
              <w:rPr>
                <w:rFonts w:cs="Arial"/>
                <w:szCs w:val="20"/>
              </w:rPr>
              <w:t>3</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w:t>
            </w:r>
            <w:r w:rsidR="000238C6">
              <w:rPr>
                <w:rFonts w:cs="Arial"/>
                <w:szCs w:val="20"/>
              </w:rPr>
              <w:t>4</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25</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w:t>
            </w:r>
            <w:r w:rsidR="000238C6">
              <w:rPr>
                <w:rFonts w:cs="Arial"/>
                <w:szCs w:val="20"/>
              </w:rPr>
              <w:t>5</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znalost cizích jazyků</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4D544F" w:rsidP="000238C6">
            <w:pPr>
              <w:spacing w:after="0" w:line="240" w:lineRule="auto"/>
              <w:jc w:val="center"/>
              <w:rPr>
                <w:rFonts w:cs="Arial"/>
                <w:szCs w:val="20"/>
              </w:rPr>
            </w:pPr>
            <w:r w:rsidRPr="007D717B">
              <w:rPr>
                <w:rFonts w:cs="Arial"/>
                <w:szCs w:val="20"/>
              </w:rPr>
              <w:t>15</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w:t>
            </w:r>
            <w:r w:rsidR="000238C6">
              <w:rPr>
                <w:rFonts w:cs="Arial"/>
                <w:szCs w:val="20"/>
              </w:rPr>
              <w:t>3</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12</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w:t>
            </w:r>
            <w:r w:rsidR="000238C6">
              <w:rPr>
                <w:rFonts w:cs="Arial"/>
                <w:szCs w:val="20"/>
              </w:rPr>
              <w:t>3</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w:t>
            </w:r>
            <w:r w:rsidR="000238C6">
              <w:rPr>
                <w:rFonts w:cs="Arial"/>
                <w:szCs w:val="20"/>
              </w:rPr>
              <w:t>8</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vedení administrativy</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7</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7</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7</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6</w:t>
            </w:r>
          </w:p>
        </w:tc>
        <w:tc>
          <w:tcPr>
            <w:tcW w:w="1281" w:type="dxa"/>
            <w:tcBorders>
              <w:top w:val="nil"/>
              <w:left w:val="nil"/>
              <w:bottom w:val="nil"/>
              <w:right w:val="nil"/>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4</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jednání se zákazníky</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4D544F" w:rsidP="000238C6">
            <w:pPr>
              <w:spacing w:after="0" w:line="240" w:lineRule="auto"/>
              <w:jc w:val="center"/>
              <w:rPr>
                <w:rFonts w:cs="Arial"/>
                <w:szCs w:val="20"/>
              </w:rPr>
            </w:pPr>
            <w:r w:rsidRPr="007D717B">
              <w:rPr>
                <w:rFonts w:cs="Arial"/>
                <w:szCs w:val="20"/>
              </w:rPr>
              <w:t>3</w:t>
            </w:r>
            <w:r w:rsidR="000238C6">
              <w:rPr>
                <w:rFonts w:cs="Arial"/>
                <w:szCs w:val="20"/>
              </w:rPr>
              <w:t>4</w:t>
            </w:r>
          </w:p>
        </w:tc>
        <w:tc>
          <w:tcPr>
            <w:tcW w:w="1281" w:type="dxa"/>
            <w:tcBorders>
              <w:top w:val="nil"/>
              <w:left w:val="nil"/>
              <w:bottom w:val="nil"/>
              <w:right w:val="single" w:sz="4" w:space="0" w:color="auto"/>
            </w:tcBorders>
            <w:shd w:val="clear" w:color="auto" w:fill="auto"/>
            <w:noWrap/>
            <w:vAlign w:val="center"/>
            <w:hideMark/>
          </w:tcPr>
          <w:p w:rsidR="004D544F" w:rsidRDefault="000238C6" w:rsidP="000238C6">
            <w:pPr>
              <w:spacing w:after="0" w:line="240" w:lineRule="auto"/>
              <w:jc w:val="center"/>
              <w:rPr>
                <w:rFonts w:cs="Arial"/>
                <w:szCs w:val="20"/>
              </w:rPr>
            </w:pPr>
            <w:r>
              <w:rPr>
                <w:rFonts w:cs="Arial"/>
                <w:szCs w:val="20"/>
              </w:rPr>
              <w:t>35</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3</w:t>
            </w:r>
            <w:r w:rsidR="000238C6">
              <w:rPr>
                <w:rFonts w:cs="Arial"/>
                <w:szCs w:val="20"/>
              </w:rPr>
              <w:t>4</w:t>
            </w:r>
          </w:p>
        </w:tc>
        <w:tc>
          <w:tcPr>
            <w:tcW w:w="1281" w:type="dxa"/>
            <w:tcBorders>
              <w:top w:val="nil"/>
              <w:left w:val="nil"/>
              <w:bottom w:val="nil"/>
              <w:right w:val="single" w:sz="4" w:space="0" w:color="auto"/>
            </w:tcBorders>
            <w:shd w:val="clear" w:color="auto" w:fill="auto"/>
            <w:noWrap/>
            <w:vAlign w:val="center"/>
            <w:hideMark/>
          </w:tcPr>
          <w:p w:rsidR="004D544F" w:rsidRDefault="000238C6" w:rsidP="000238C6">
            <w:pPr>
              <w:spacing w:after="0" w:line="240" w:lineRule="auto"/>
              <w:jc w:val="center"/>
              <w:rPr>
                <w:rFonts w:cs="Arial"/>
                <w:szCs w:val="20"/>
              </w:rPr>
            </w:pPr>
            <w:r>
              <w:rPr>
                <w:rFonts w:cs="Arial"/>
                <w:szCs w:val="20"/>
              </w:rPr>
              <w:t>31</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26</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manažerské dovednosti</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4D544F" w:rsidP="000238C6">
            <w:pPr>
              <w:spacing w:after="0" w:line="240" w:lineRule="auto"/>
              <w:jc w:val="center"/>
              <w:rPr>
                <w:rFonts w:cs="Arial"/>
                <w:szCs w:val="20"/>
              </w:rPr>
            </w:pPr>
            <w:r w:rsidRPr="007D717B">
              <w:rPr>
                <w:rFonts w:cs="Arial"/>
                <w:szCs w:val="20"/>
              </w:rPr>
              <w:t>1</w:t>
            </w:r>
            <w:r w:rsidR="000238C6">
              <w:rPr>
                <w:rFonts w:cs="Arial"/>
                <w:szCs w:val="20"/>
              </w:rPr>
              <w:t>3</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8</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11</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21</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3</w:t>
            </w:r>
            <w:r w:rsidR="000238C6">
              <w:rPr>
                <w:rFonts w:cs="Arial"/>
                <w:szCs w:val="20"/>
              </w:rPr>
              <w:t>6</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odborná práce s informačními technologiemi</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5</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5</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4</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5</w:t>
            </w:r>
          </w:p>
        </w:tc>
        <w:tc>
          <w:tcPr>
            <w:tcW w:w="1281" w:type="dxa"/>
            <w:tcBorders>
              <w:top w:val="nil"/>
              <w:left w:val="nil"/>
              <w:bottom w:val="nil"/>
              <w:right w:val="nil"/>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7</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odborné dovednosti v oblasti matematiky a statistiky</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8C4159">
            <w:pPr>
              <w:spacing w:after="0" w:line="240" w:lineRule="auto"/>
              <w:jc w:val="center"/>
              <w:rPr>
                <w:rFonts w:cs="Arial"/>
                <w:szCs w:val="20"/>
              </w:rPr>
            </w:pPr>
            <w:r>
              <w:rPr>
                <w:rFonts w:cs="Arial"/>
                <w:szCs w:val="20"/>
              </w:rPr>
              <w:t>1</w:t>
            </w:r>
          </w:p>
        </w:tc>
        <w:tc>
          <w:tcPr>
            <w:tcW w:w="1281" w:type="dxa"/>
            <w:tcBorders>
              <w:top w:val="nil"/>
              <w:left w:val="nil"/>
              <w:bottom w:val="nil"/>
              <w:right w:val="single" w:sz="4" w:space="0" w:color="auto"/>
            </w:tcBorders>
            <w:shd w:val="clear" w:color="auto" w:fill="auto"/>
            <w:noWrap/>
            <w:vAlign w:val="center"/>
            <w:hideMark/>
          </w:tcPr>
          <w:p w:rsidR="004D544F" w:rsidRPr="001063A6" w:rsidRDefault="000238C6" w:rsidP="008C4159">
            <w:pPr>
              <w:spacing w:after="0" w:line="240" w:lineRule="auto"/>
              <w:jc w:val="center"/>
              <w:rPr>
                <w:rFonts w:cs="Arial"/>
                <w:color w:val="7F7F7F" w:themeColor="text1" w:themeTint="80"/>
                <w:szCs w:val="20"/>
              </w:rPr>
            </w:pPr>
            <w:r w:rsidRPr="001063A6">
              <w:rPr>
                <w:rFonts w:cs="Arial"/>
                <w:color w:val="7F7F7F" w:themeColor="text1" w:themeTint="80"/>
                <w:szCs w:val="20"/>
              </w:rPr>
              <w:t>1</w:t>
            </w:r>
          </w:p>
        </w:tc>
        <w:tc>
          <w:tcPr>
            <w:tcW w:w="1281" w:type="dxa"/>
            <w:tcBorders>
              <w:top w:val="nil"/>
              <w:left w:val="nil"/>
              <w:bottom w:val="nil"/>
              <w:right w:val="single" w:sz="4" w:space="0" w:color="auto"/>
            </w:tcBorders>
            <w:shd w:val="clear" w:color="auto" w:fill="auto"/>
            <w:noWrap/>
            <w:vAlign w:val="center"/>
            <w:hideMark/>
          </w:tcPr>
          <w:p w:rsidR="004D544F" w:rsidRPr="001063A6" w:rsidRDefault="000238C6" w:rsidP="008C4159">
            <w:pPr>
              <w:spacing w:after="0" w:line="240" w:lineRule="auto"/>
              <w:jc w:val="center"/>
              <w:rPr>
                <w:rFonts w:cs="Arial"/>
                <w:color w:val="7F7F7F" w:themeColor="text1" w:themeTint="80"/>
                <w:szCs w:val="20"/>
              </w:rPr>
            </w:pPr>
            <w:r w:rsidRPr="001063A6">
              <w:rPr>
                <w:rFonts w:cs="Arial"/>
                <w:color w:val="7F7F7F" w:themeColor="text1" w:themeTint="80"/>
                <w:szCs w:val="20"/>
              </w:rPr>
              <w:t>&lt;1</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1</w:t>
            </w:r>
          </w:p>
        </w:tc>
        <w:tc>
          <w:tcPr>
            <w:tcW w:w="1281" w:type="dxa"/>
            <w:tcBorders>
              <w:top w:val="nil"/>
              <w:left w:val="nil"/>
              <w:bottom w:val="nil"/>
              <w:right w:val="nil"/>
            </w:tcBorders>
            <w:shd w:val="clear" w:color="auto" w:fill="auto"/>
            <w:noWrap/>
            <w:vAlign w:val="center"/>
            <w:hideMark/>
          </w:tcPr>
          <w:p w:rsidR="004D544F" w:rsidRDefault="000238C6" w:rsidP="008C4159">
            <w:pPr>
              <w:spacing w:after="0" w:line="240" w:lineRule="auto"/>
              <w:jc w:val="center"/>
              <w:rPr>
                <w:rFonts w:cs="Arial"/>
                <w:szCs w:val="20"/>
              </w:rPr>
            </w:pPr>
            <w:r w:rsidRPr="001063A6">
              <w:rPr>
                <w:rFonts w:cs="Arial"/>
                <w:color w:val="7F7F7F" w:themeColor="text1" w:themeTint="80"/>
                <w:szCs w:val="20"/>
              </w:rPr>
              <w:t>1</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specifické technické a inženýrské dovednosti</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4D544F" w:rsidP="000238C6">
            <w:pPr>
              <w:spacing w:after="0" w:line="240" w:lineRule="auto"/>
              <w:jc w:val="center"/>
              <w:rPr>
                <w:rFonts w:cs="Arial"/>
                <w:szCs w:val="20"/>
              </w:rPr>
            </w:pPr>
            <w:r w:rsidRPr="007D717B">
              <w:rPr>
                <w:rFonts w:cs="Arial"/>
                <w:szCs w:val="20"/>
              </w:rPr>
              <w:t>1</w:t>
            </w:r>
            <w:r w:rsidR="000238C6">
              <w:rPr>
                <w:rFonts w:cs="Arial"/>
                <w:szCs w:val="20"/>
              </w:rPr>
              <w:t>9</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16</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1</w:t>
            </w:r>
            <w:r w:rsidR="000238C6">
              <w:rPr>
                <w:rFonts w:cs="Arial"/>
                <w:szCs w:val="20"/>
              </w:rPr>
              <w:t>6</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25</w:t>
            </w:r>
          </w:p>
        </w:tc>
        <w:tc>
          <w:tcPr>
            <w:tcW w:w="1281" w:type="dxa"/>
            <w:tcBorders>
              <w:top w:val="nil"/>
              <w:left w:val="nil"/>
              <w:bottom w:val="nil"/>
              <w:right w:val="nil"/>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40</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jiné specifické dovednosti</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4D544F" w:rsidP="000238C6">
            <w:pPr>
              <w:spacing w:after="0" w:line="240" w:lineRule="auto"/>
              <w:jc w:val="center"/>
              <w:rPr>
                <w:rFonts w:cs="Arial"/>
                <w:szCs w:val="20"/>
              </w:rPr>
            </w:pPr>
            <w:r w:rsidRPr="007D717B">
              <w:rPr>
                <w:rFonts w:cs="Arial"/>
                <w:szCs w:val="20"/>
              </w:rPr>
              <w:t>2</w:t>
            </w:r>
            <w:r w:rsidR="000238C6">
              <w:rPr>
                <w:rFonts w:cs="Arial"/>
                <w:szCs w:val="20"/>
              </w:rPr>
              <w:t>7</w:t>
            </w:r>
          </w:p>
        </w:tc>
        <w:tc>
          <w:tcPr>
            <w:tcW w:w="1281" w:type="dxa"/>
            <w:tcBorders>
              <w:top w:val="nil"/>
              <w:left w:val="nil"/>
              <w:bottom w:val="nil"/>
              <w:right w:val="single" w:sz="4" w:space="0" w:color="auto"/>
            </w:tcBorders>
            <w:shd w:val="clear" w:color="auto" w:fill="auto"/>
            <w:noWrap/>
            <w:vAlign w:val="center"/>
            <w:hideMark/>
          </w:tcPr>
          <w:p w:rsidR="004D544F" w:rsidRDefault="000238C6" w:rsidP="000238C6">
            <w:pPr>
              <w:spacing w:after="0" w:line="240" w:lineRule="auto"/>
              <w:jc w:val="center"/>
              <w:rPr>
                <w:rFonts w:cs="Arial"/>
                <w:szCs w:val="20"/>
              </w:rPr>
            </w:pPr>
            <w:r>
              <w:rPr>
                <w:rFonts w:cs="Arial"/>
                <w:szCs w:val="20"/>
              </w:rPr>
              <w:t>25</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27</w:t>
            </w:r>
          </w:p>
        </w:tc>
        <w:tc>
          <w:tcPr>
            <w:tcW w:w="1281" w:type="dxa"/>
            <w:tcBorders>
              <w:top w:val="nil"/>
              <w:left w:val="nil"/>
              <w:bottom w:val="nil"/>
              <w:right w:val="single" w:sz="4" w:space="0" w:color="auto"/>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w:t>
            </w:r>
            <w:r w:rsidR="000238C6">
              <w:rPr>
                <w:rFonts w:cs="Arial"/>
                <w:szCs w:val="20"/>
              </w:rPr>
              <w:t>9</w:t>
            </w:r>
          </w:p>
        </w:tc>
        <w:tc>
          <w:tcPr>
            <w:tcW w:w="1281" w:type="dxa"/>
            <w:tcBorders>
              <w:top w:val="nil"/>
              <w:left w:val="nil"/>
              <w:bottom w:val="nil"/>
              <w:right w:val="nil"/>
            </w:tcBorders>
            <w:shd w:val="clear" w:color="auto" w:fill="auto"/>
            <w:noWrap/>
            <w:vAlign w:val="center"/>
            <w:hideMark/>
          </w:tcPr>
          <w:p w:rsidR="004D544F" w:rsidRDefault="004D544F" w:rsidP="000238C6">
            <w:pPr>
              <w:spacing w:after="0" w:line="240" w:lineRule="auto"/>
              <w:jc w:val="center"/>
              <w:rPr>
                <w:rFonts w:cs="Arial"/>
                <w:szCs w:val="20"/>
              </w:rPr>
            </w:pPr>
            <w:r>
              <w:rPr>
                <w:rFonts w:cs="Arial"/>
                <w:szCs w:val="20"/>
              </w:rPr>
              <w:t>26</w:t>
            </w:r>
          </w:p>
        </w:tc>
      </w:tr>
      <w:tr w:rsidR="004D544F" w:rsidRPr="007D717B" w:rsidTr="008C4159">
        <w:trPr>
          <w:trHeight w:val="508"/>
        </w:trPr>
        <w:tc>
          <w:tcPr>
            <w:tcW w:w="3403" w:type="dxa"/>
            <w:tcBorders>
              <w:top w:val="nil"/>
              <w:left w:val="nil"/>
              <w:bottom w:val="nil"/>
              <w:right w:val="single" w:sz="4" w:space="0" w:color="auto"/>
            </w:tcBorders>
            <w:shd w:val="clear" w:color="auto" w:fill="auto"/>
            <w:vAlign w:val="center"/>
            <w:hideMark/>
          </w:tcPr>
          <w:p w:rsidR="004D544F" w:rsidRPr="007D717B" w:rsidRDefault="004D544F" w:rsidP="00B70148">
            <w:pPr>
              <w:spacing w:after="0" w:line="240" w:lineRule="auto"/>
              <w:rPr>
                <w:rFonts w:cs="Arial"/>
                <w:color w:val="000000"/>
                <w:sz w:val="18"/>
                <w:szCs w:val="18"/>
              </w:rPr>
            </w:pPr>
            <w:r w:rsidRPr="007D717B">
              <w:rPr>
                <w:rFonts w:cs="Arial"/>
                <w:color w:val="000000"/>
                <w:sz w:val="18"/>
                <w:szCs w:val="18"/>
              </w:rPr>
              <w:t>nemá názor</w:t>
            </w:r>
          </w:p>
        </w:tc>
        <w:tc>
          <w:tcPr>
            <w:tcW w:w="1113" w:type="dxa"/>
            <w:tcBorders>
              <w:top w:val="nil"/>
              <w:left w:val="nil"/>
              <w:bottom w:val="nil"/>
              <w:right w:val="single" w:sz="4" w:space="0" w:color="auto"/>
            </w:tcBorders>
            <w:shd w:val="clear" w:color="auto" w:fill="auto"/>
            <w:noWrap/>
            <w:vAlign w:val="center"/>
            <w:hideMark/>
          </w:tcPr>
          <w:p w:rsidR="004D544F" w:rsidRPr="007D717B" w:rsidRDefault="000238C6" w:rsidP="000238C6">
            <w:pPr>
              <w:spacing w:after="0" w:line="240" w:lineRule="auto"/>
              <w:jc w:val="center"/>
              <w:rPr>
                <w:rFonts w:cs="Arial"/>
                <w:szCs w:val="20"/>
              </w:rPr>
            </w:pPr>
            <w:r>
              <w:rPr>
                <w:rFonts w:cs="Arial"/>
                <w:szCs w:val="20"/>
              </w:rPr>
              <w:t>9</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10</w:t>
            </w:r>
          </w:p>
        </w:tc>
        <w:tc>
          <w:tcPr>
            <w:tcW w:w="1281" w:type="dxa"/>
            <w:tcBorders>
              <w:top w:val="nil"/>
              <w:left w:val="nil"/>
              <w:bottom w:val="nil"/>
              <w:right w:val="single" w:sz="4" w:space="0" w:color="auto"/>
            </w:tcBorders>
            <w:shd w:val="clear" w:color="auto" w:fill="auto"/>
            <w:noWrap/>
            <w:vAlign w:val="center"/>
            <w:hideMark/>
          </w:tcPr>
          <w:p w:rsidR="004D544F" w:rsidRDefault="000238C6" w:rsidP="000238C6">
            <w:pPr>
              <w:spacing w:after="0" w:line="240" w:lineRule="auto"/>
              <w:jc w:val="center"/>
              <w:rPr>
                <w:rFonts w:cs="Arial"/>
                <w:szCs w:val="20"/>
              </w:rPr>
            </w:pPr>
            <w:r>
              <w:rPr>
                <w:rFonts w:cs="Arial"/>
                <w:szCs w:val="20"/>
              </w:rPr>
              <w:t>10</w:t>
            </w:r>
          </w:p>
        </w:tc>
        <w:tc>
          <w:tcPr>
            <w:tcW w:w="1281" w:type="dxa"/>
            <w:tcBorders>
              <w:top w:val="nil"/>
              <w:left w:val="nil"/>
              <w:bottom w:val="nil"/>
              <w:right w:val="single" w:sz="4" w:space="0" w:color="auto"/>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7</w:t>
            </w:r>
          </w:p>
        </w:tc>
        <w:tc>
          <w:tcPr>
            <w:tcW w:w="1281" w:type="dxa"/>
            <w:tcBorders>
              <w:top w:val="nil"/>
              <w:left w:val="nil"/>
              <w:bottom w:val="nil"/>
              <w:right w:val="nil"/>
            </w:tcBorders>
            <w:shd w:val="clear" w:color="auto" w:fill="auto"/>
            <w:noWrap/>
            <w:vAlign w:val="center"/>
            <w:hideMark/>
          </w:tcPr>
          <w:p w:rsidR="004D544F" w:rsidRDefault="000238C6" w:rsidP="008C4159">
            <w:pPr>
              <w:spacing w:after="0" w:line="240" w:lineRule="auto"/>
              <w:jc w:val="center"/>
              <w:rPr>
                <w:rFonts w:cs="Arial"/>
                <w:szCs w:val="20"/>
              </w:rPr>
            </w:pPr>
            <w:r>
              <w:rPr>
                <w:rFonts w:cs="Arial"/>
                <w:szCs w:val="20"/>
              </w:rPr>
              <w:t>2</w:t>
            </w:r>
          </w:p>
        </w:tc>
      </w:tr>
    </w:tbl>
    <w:p w:rsidR="005A25D1" w:rsidRDefault="007C3A3E" w:rsidP="005A25D1">
      <w:pPr>
        <w:spacing w:after="0"/>
        <w:jc w:val="both"/>
      </w:pPr>
      <w:r>
        <w:fldChar w:fldCharType="end"/>
      </w:r>
      <w:r>
        <w:fldChar w:fldCharType="end"/>
      </w:r>
    </w:p>
    <w:p w:rsidR="002B3849" w:rsidRDefault="002B3849" w:rsidP="00880EAE">
      <w:pPr>
        <w:spacing w:after="0"/>
        <w:contextualSpacing/>
        <w:rPr>
          <w:sz w:val="18"/>
        </w:rPr>
      </w:pPr>
      <w:r>
        <w:rPr>
          <w:sz w:val="18"/>
        </w:rPr>
        <w:t>Z</w:t>
      </w:r>
      <w:r w:rsidRPr="00EB211F">
        <w:rPr>
          <w:sz w:val="18"/>
        </w:rPr>
        <w:t>droj: šetření CVTS, ČSÚ 2017</w:t>
      </w:r>
    </w:p>
    <w:p w:rsidR="00880EAE" w:rsidRDefault="00555EE6" w:rsidP="00880EAE">
      <w:pPr>
        <w:spacing w:after="0"/>
        <w:jc w:val="both"/>
        <w:rPr>
          <w:rFonts w:cs="Arial"/>
          <w:color w:val="000000"/>
          <w:sz w:val="18"/>
          <w:szCs w:val="16"/>
        </w:rPr>
      </w:pPr>
      <w:r>
        <w:rPr>
          <w:rFonts w:cs="Arial"/>
          <w:color w:val="000000"/>
          <w:sz w:val="18"/>
          <w:szCs w:val="16"/>
        </w:rPr>
        <w:t xml:space="preserve">Pozn.: firmy měly označit 1 až </w:t>
      </w:r>
      <w:r w:rsidR="002B3849" w:rsidRPr="002B3849">
        <w:rPr>
          <w:rFonts w:cs="Arial"/>
          <w:color w:val="000000"/>
          <w:sz w:val="18"/>
          <w:szCs w:val="16"/>
        </w:rPr>
        <w:t>3 nejdůležitější dovednosti</w:t>
      </w:r>
    </w:p>
    <w:p w:rsidR="001063A6" w:rsidRPr="001063A6" w:rsidRDefault="001063A6" w:rsidP="00880EAE">
      <w:pPr>
        <w:spacing w:after="0"/>
        <w:jc w:val="both"/>
        <w:rPr>
          <w:rFonts w:cs="Arial"/>
          <w:color w:val="7F7F7F" w:themeColor="text1" w:themeTint="80"/>
          <w:sz w:val="18"/>
          <w:szCs w:val="16"/>
        </w:rPr>
      </w:pPr>
      <w:r w:rsidRPr="001063A6">
        <w:rPr>
          <w:rFonts w:cs="Arial"/>
          <w:color w:val="7F7F7F" w:themeColor="text1" w:themeTint="80"/>
          <w:sz w:val="18"/>
          <w:szCs w:val="16"/>
        </w:rPr>
        <w:t>nízká spolehlivost údajů</w:t>
      </w:r>
    </w:p>
    <w:p w:rsidR="00ED1116" w:rsidRDefault="00ED1116" w:rsidP="002B3849">
      <w:pPr>
        <w:spacing w:after="0" w:line="240" w:lineRule="auto"/>
        <w:jc w:val="both"/>
        <w:rPr>
          <w:rFonts w:cs="Arial"/>
          <w:color w:val="000000"/>
          <w:sz w:val="18"/>
          <w:szCs w:val="16"/>
        </w:rPr>
      </w:pPr>
    </w:p>
    <w:p w:rsidR="00290BD5" w:rsidRDefault="007D717B" w:rsidP="00050B7B">
      <w:pPr>
        <w:spacing w:after="0"/>
        <w:jc w:val="both"/>
      </w:pPr>
      <w:r w:rsidRPr="007D717B">
        <w:t xml:space="preserve">Šetření CVTS nabízí možnost porovnat hodnocení </w:t>
      </w:r>
      <w:r w:rsidR="00A56C94">
        <w:t xml:space="preserve">důležitosti </w:t>
      </w:r>
      <w:r w:rsidRPr="007D717B">
        <w:t>dovedností zaměstnanců firmami s poskytováním kurzů, které tyto dovednosti rozvíjejí (nejčastější obsahová témata nepovinných kurzů a</w:t>
      </w:r>
      <w:r w:rsidR="00213EE9">
        <w:t> </w:t>
      </w:r>
      <w:r w:rsidRPr="007D717B">
        <w:t>podí</w:t>
      </w:r>
      <w:r w:rsidR="00747095">
        <w:t xml:space="preserve">ly firem, které je zajišťovaly, </w:t>
      </w:r>
      <w:r w:rsidR="007C3A3E" w:rsidRPr="00973C4B">
        <w:rPr>
          <w:color w:val="0070C0"/>
          <w:u w:val="single"/>
        </w:rPr>
        <w:fldChar w:fldCharType="begin"/>
      </w:r>
      <w:r w:rsidR="00B47690" w:rsidRPr="00973C4B">
        <w:rPr>
          <w:color w:val="0070C0"/>
          <w:u w:val="single"/>
        </w:rPr>
        <w:instrText xml:space="preserve"> REF _Ref496266123 \h </w:instrText>
      </w:r>
      <w:r w:rsidR="00973C4B">
        <w:rPr>
          <w:color w:val="0070C0"/>
          <w:u w:val="single"/>
        </w:rPr>
        <w:instrText xml:space="preserve"> \* MERGEFORMAT </w:instrText>
      </w:r>
      <w:r w:rsidR="007C3A3E" w:rsidRPr="00973C4B">
        <w:rPr>
          <w:color w:val="0070C0"/>
          <w:u w:val="single"/>
        </w:rPr>
      </w:r>
      <w:r w:rsidR="007C3A3E" w:rsidRPr="00973C4B">
        <w:rPr>
          <w:color w:val="0070C0"/>
          <w:u w:val="single"/>
        </w:rPr>
        <w:fldChar w:fldCharType="separate"/>
      </w:r>
      <w:r w:rsidR="00476EDB" w:rsidRPr="00476EDB">
        <w:rPr>
          <w:color w:val="0070C0"/>
          <w:u w:val="single"/>
        </w:rPr>
        <w:t xml:space="preserve">Graf č. </w:t>
      </w:r>
      <w:r w:rsidR="00476EDB" w:rsidRPr="00476EDB">
        <w:rPr>
          <w:noProof/>
          <w:color w:val="0070C0"/>
          <w:u w:val="single"/>
        </w:rPr>
        <w:t>21</w:t>
      </w:r>
      <w:r w:rsidR="007C3A3E" w:rsidRPr="00973C4B">
        <w:rPr>
          <w:color w:val="0070C0"/>
          <w:u w:val="single"/>
        </w:rPr>
        <w:fldChar w:fldCharType="end"/>
      </w:r>
      <w:r w:rsidRPr="007D717B">
        <w:t xml:space="preserve">). Jak je z výše uvedené tabulky a zároveň </w:t>
      </w:r>
      <w:r w:rsidR="00747095">
        <w:t xml:space="preserve">z </w:t>
      </w:r>
      <w:r w:rsidRPr="007D717B">
        <w:t>daného grafu zřejmé, znalost cizích jazyků považuje za jednu ze tří nejdůležitějších dovedností svých zaměstnanců 15</w:t>
      </w:r>
      <w:r w:rsidR="00DA0AFE">
        <w:t> </w:t>
      </w:r>
      <w:r w:rsidRPr="007D717B">
        <w:t>%</w:t>
      </w:r>
      <w:r w:rsidR="00DA0AFE">
        <w:t> </w:t>
      </w:r>
      <w:r w:rsidRPr="007D717B">
        <w:t>firem. Přestože jazykové kurzy svým zaměstnancům poskytovalo shodně 15 % firem, nejednalo se ve</w:t>
      </w:r>
      <w:r w:rsidR="00213EE9">
        <w:t> </w:t>
      </w:r>
      <w:r w:rsidRPr="007D717B">
        <w:t>většině případů o ty samé subjekty a pouze 44 % firem, které považují rozvíjení jazykových znalostí zaměstnanců za důležité</w:t>
      </w:r>
      <w:r>
        <w:t>,</w:t>
      </w:r>
      <w:r w:rsidRPr="007D717B">
        <w:t xml:space="preserve"> skutečně jazykové kurzy</w:t>
      </w:r>
      <w:r>
        <w:t xml:space="preserve"> zajišťují</w:t>
      </w:r>
      <w:r w:rsidRPr="007D717B">
        <w:t xml:space="preserve">. Obdobně vzdělávání z oblasti </w:t>
      </w:r>
      <w:r w:rsidR="00B36212">
        <w:t xml:space="preserve">jiných </w:t>
      </w:r>
      <w:r w:rsidRPr="007D717B">
        <w:t>firemně-specifických dovedností zajišťují pouze necelé čtyři desetiny firem, které zároveň tyto dovednosti teoreticky vyzdvihují. U některých dalších v tabulce uvedených možností je zřejmý zejména nesoulad mezi oceňovanými tzv. měkkými kompetencemi a minimem firem, které tyto dovednosti rozvíjejí vzděláváním. Firmy si uvědomují, že měkké kompetence jsou vedle „tvrdých“ znalostí a dovedností pro práci důležité, tato důležitost však nebývá vždy reflekto</w:t>
      </w:r>
      <w:r w:rsidR="00093EEF">
        <w:t>vána v</w:t>
      </w:r>
      <w:r w:rsidR="007B3FF0">
        <w:t xml:space="preserve"> poskytovaném</w:t>
      </w:r>
      <w:r w:rsidR="00093EEF">
        <w:t xml:space="preserve"> vzdělávání zaměstnanců.</w:t>
      </w:r>
      <w:r w:rsidR="00290BD5">
        <w:br w:type="page"/>
      </w:r>
    </w:p>
    <w:p w:rsidR="00290BD5" w:rsidRDefault="00290BD5" w:rsidP="00290BD5">
      <w:pPr>
        <w:pStyle w:val="Nadpis2"/>
      </w:pPr>
      <w:bookmarkStart w:id="110" w:name="_Toc485639758"/>
      <w:bookmarkStart w:id="111" w:name="_Toc490472738"/>
      <w:bookmarkStart w:id="112" w:name="_Toc501614110"/>
      <w:r>
        <w:lastRenderedPageBreak/>
        <w:t xml:space="preserve">Kapitola 3: </w:t>
      </w:r>
      <w:r w:rsidRPr="00384A9E">
        <w:t xml:space="preserve">Výše </w:t>
      </w:r>
      <w:r w:rsidR="0076287E">
        <w:t xml:space="preserve">firemních </w:t>
      </w:r>
      <w:r w:rsidRPr="00384A9E">
        <w:t>investic do vzdělávání zaměstnanců</w:t>
      </w:r>
      <w:bookmarkEnd w:id="110"/>
      <w:bookmarkEnd w:id="111"/>
      <w:bookmarkEnd w:id="112"/>
      <w:r w:rsidRPr="00384A9E">
        <w:t xml:space="preserve"> </w:t>
      </w:r>
    </w:p>
    <w:p w:rsidR="00290BD5" w:rsidRDefault="00290BD5" w:rsidP="00290BD5">
      <w:pPr>
        <w:ind w:firstLine="708"/>
        <w:contextualSpacing/>
        <w:jc w:val="both"/>
      </w:pPr>
    </w:p>
    <w:p w:rsidR="00290BD5" w:rsidRDefault="00174370" w:rsidP="00CA0FFC">
      <w:pPr>
        <w:contextualSpacing/>
        <w:jc w:val="both"/>
      </w:pPr>
      <w:r>
        <w:t>Možnost f</w:t>
      </w:r>
      <w:r w:rsidR="00290BD5">
        <w:t>iremní</w:t>
      </w:r>
      <w:r>
        <w:t>ho vzdělávání je velmi úzce spjata</w:t>
      </w:r>
      <w:r w:rsidR="00290BD5">
        <w:t xml:space="preserve"> s financováním. Přestože si některé firmy uvědomují význam vzdělávání svých zaměstnanců a jakkoli velký zájem o něj mohou mít, pokud se jim finančně nedaří, vzdělávání zajišťují méně či </w:t>
      </w:r>
      <w:r w:rsidR="002B5B39">
        <w:t xml:space="preserve">ho nezajišťují </w:t>
      </w:r>
      <w:r w:rsidR="00290BD5">
        <w:t>vůbec</w:t>
      </w:r>
      <w:r w:rsidR="00290BD5">
        <w:rPr>
          <w:rStyle w:val="Znakapoznpodarou"/>
        </w:rPr>
        <w:footnoteReference w:id="13"/>
      </w:r>
      <w:r w:rsidR="00290BD5">
        <w:t>. Vzdělávání je bráno jako zbytný firemní náklad a v době krize je obvykle nutné se soustředit pouze na náklady nezbytné. Nicméně pokud firmy vzdělávání zajišťují, na finanční investici do jisté míry závisí i kvalita poskytovaných služeb. Přestože roli samozřejmě hrají i další faktory. Celková výše nákladů na vzdělávání se může u jednotlivých typů firem velmi odlišovat, s ohledem na obecné charakteristiky (popsané dále) nebo i s ohledem na konkrétní potřeby zaměstnanců a míru odbornosti vyžadovaných znalostí a dovedností. V CVTS byly zjišťovány průměrné výdaje na vzdělávání celkem, dále odděleně na kurzy či školení a výše dotací, které firma na vzdělávání dostala či vydala.</w:t>
      </w:r>
    </w:p>
    <w:p w:rsidR="00B47690" w:rsidRDefault="00B47690" w:rsidP="00CA0FFC">
      <w:pPr>
        <w:contextualSpacing/>
        <w:jc w:val="both"/>
      </w:pPr>
    </w:p>
    <w:p w:rsidR="00290BD5" w:rsidRDefault="00290BD5" w:rsidP="00CA0FFC">
      <w:pPr>
        <w:contextualSpacing/>
        <w:jc w:val="both"/>
        <w:rPr>
          <w:b/>
          <w:u w:val="single"/>
        </w:rPr>
      </w:pPr>
      <w:r>
        <w:t>Zjišťované výdaje na vzdělávání zahrnují pouze skutečné náklady firmy na vzdělávání, tedy poplatky a</w:t>
      </w:r>
      <w:r w:rsidR="00213EE9">
        <w:t> </w:t>
      </w:r>
      <w:r>
        <w:t xml:space="preserve">platby za kurzy/školení, cestovní náhrady zaměstnanců, náklady práce interních školitelů, nájem apod. Naopak nezahrnují výdaje za mzdu zaměstnanců, </w:t>
      </w:r>
      <w:r w:rsidR="00650275">
        <w:t>kteří se v rámci</w:t>
      </w:r>
      <w:r>
        <w:t xml:space="preserve"> sv</w:t>
      </w:r>
      <w:r w:rsidR="00650275">
        <w:t>é pracovní doby vzdělávali</w:t>
      </w:r>
      <w:r>
        <w:t>.</w:t>
      </w:r>
    </w:p>
    <w:p w:rsidR="00290BD5" w:rsidRDefault="00EC53DF" w:rsidP="00CA0FFC">
      <w:pPr>
        <w:pStyle w:val="Nadpis3"/>
      </w:pPr>
      <w:bookmarkStart w:id="113" w:name="_Toc485639759"/>
      <w:bookmarkStart w:id="114" w:name="_Toc490472739"/>
      <w:bookmarkStart w:id="115" w:name="_Toc501614111"/>
      <w:r>
        <w:t>Hlavní</w:t>
      </w:r>
      <w:r w:rsidR="00290BD5">
        <w:t xml:space="preserve"> zjištění</w:t>
      </w:r>
      <w:bookmarkEnd w:id="113"/>
      <w:bookmarkEnd w:id="114"/>
      <w:bookmarkEnd w:id="115"/>
    </w:p>
    <w:p w:rsidR="00290BD5" w:rsidRPr="00EA2E58" w:rsidRDefault="001C7F7F" w:rsidP="00CA0FFC">
      <w:pPr>
        <w:pStyle w:val="Odstavecseseznamem"/>
        <w:numPr>
          <w:ilvl w:val="0"/>
          <w:numId w:val="16"/>
        </w:numPr>
        <w:spacing w:after="200"/>
        <w:jc w:val="both"/>
        <w:rPr>
          <w:rFonts w:cs="Arial"/>
          <w:u w:val="single"/>
        </w:rPr>
      </w:pPr>
      <w:r>
        <w:rPr>
          <w:rFonts w:cs="Arial"/>
        </w:rPr>
        <w:t>Podíl</w:t>
      </w:r>
      <w:r w:rsidR="00290BD5" w:rsidRPr="00EA2E58">
        <w:rPr>
          <w:rFonts w:cs="Arial"/>
        </w:rPr>
        <w:t xml:space="preserve"> výdaj</w:t>
      </w:r>
      <w:r>
        <w:rPr>
          <w:rFonts w:cs="Arial"/>
        </w:rPr>
        <w:t>ů</w:t>
      </w:r>
      <w:r w:rsidR="00290BD5" w:rsidRPr="00EA2E58">
        <w:rPr>
          <w:rFonts w:cs="Arial"/>
        </w:rPr>
        <w:t xml:space="preserve"> na vzdělávání na jednoho zaměstnance v roce 2015</w:t>
      </w:r>
      <w:r w:rsidR="00290BD5">
        <w:rPr>
          <w:rFonts w:cs="Arial"/>
        </w:rPr>
        <w:t xml:space="preserve"> </w:t>
      </w:r>
      <w:r w:rsidR="00290BD5" w:rsidRPr="00EA2E58">
        <w:rPr>
          <w:rFonts w:cs="Arial"/>
        </w:rPr>
        <w:t>činil</w:t>
      </w:r>
      <w:r>
        <w:rPr>
          <w:rFonts w:cs="Arial"/>
        </w:rPr>
        <w:t xml:space="preserve"> v průměru</w:t>
      </w:r>
      <w:r w:rsidR="00290BD5" w:rsidRPr="00EA2E58">
        <w:rPr>
          <w:rFonts w:cs="Arial"/>
        </w:rPr>
        <w:t xml:space="preserve"> </w:t>
      </w:r>
      <w:r>
        <w:rPr>
          <w:rFonts w:cs="Arial"/>
        </w:rPr>
        <w:t>3 13</w:t>
      </w:r>
      <w:r w:rsidR="00E90253">
        <w:rPr>
          <w:rFonts w:cs="Arial"/>
        </w:rPr>
        <w:t>4</w:t>
      </w:r>
      <w:r w:rsidR="00290BD5" w:rsidRPr="00EA2E58">
        <w:rPr>
          <w:rFonts w:cs="Arial"/>
        </w:rPr>
        <w:t xml:space="preserve"> Kč, v případě započítání pouze „vzdělávajících“ firem to bylo </w:t>
      </w:r>
      <w:r>
        <w:rPr>
          <w:rFonts w:cs="Arial"/>
        </w:rPr>
        <w:t>3 247</w:t>
      </w:r>
      <w:r w:rsidR="00290BD5" w:rsidRPr="00EA2E58">
        <w:rPr>
          <w:rFonts w:cs="Arial"/>
        </w:rPr>
        <w:t xml:space="preserve"> Kč. Nejvyšší náklady vydávají firmy s více než 250 zaměstnanci a firmy z odvětví </w:t>
      </w:r>
      <w:r w:rsidR="00983719">
        <w:rPr>
          <w:rFonts w:cs="Arial"/>
        </w:rPr>
        <w:t>I</w:t>
      </w:r>
      <w:r w:rsidR="002B5B39">
        <w:rPr>
          <w:rFonts w:cs="Arial"/>
        </w:rPr>
        <w:t>nformační</w:t>
      </w:r>
      <w:r w:rsidR="00290BD5" w:rsidRPr="00EA2E58">
        <w:rPr>
          <w:rFonts w:cs="Arial"/>
        </w:rPr>
        <w:t xml:space="preserve"> a komunikační </w:t>
      </w:r>
      <w:r w:rsidR="002B5B39">
        <w:rPr>
          <w:rFonts w:cs="Arial"/>
        </w:rPr>
        <w:t>činnosti</w:t>
      </w:r>
      <w:r w:rsidR="00983719">
        <w:rPr>
          <w:rFonts w:cs="Arial"/>
        </w:rPr>
        <w:t xml:space="preserve"> (sekce J)</w:t>
      </w:r>
      <w:r w:rsidR="00290BD5" w:rsidRPr="00EA2E58">
        <w:rPr>
          <w:rFonts w:cs="Arial"/>
        </w:rPr>
        <w:t>.</w:t>
      </w:r>
    </w:p>
    <w:p w:rsidR="00290BD5" w:rsidRPr="00EA2E58" w:rsidRDefault="001C7F7F" w:rsidP="00CA0FFC">
      <w:pPr>
        <w:pStyle w:val="Odstavecseseznamem"/>
        <w:numPr>
          <w:ilvl w:val="0"/>
          <w:numId w:val="16"/>
        </w:numPr>
        <w:spacing w:after="200"/>
        <w:jc w:val="both"/>
        <w:rPr>
          <w:rFonts w:cs="Arial"/>
          <w:u w:val="single"/>
        </w:rPr>
      </w:pPr>
      <w:r>
        <w:rPr>
          <w:rFonts w:cs="Arial"/>
        </w:rPr>
        <w:t>Podíl výdajů</w:t>
      </w:r>
      <w:r w:rsidR="00290BD5" w:rsidRPr="00EA2E58">
        <w:rPr>
          <w:rFonts w:cs="Arial"/>
        </w:rPr>
        <w:t xml:space="preserve"> na kurz či školení </w:t>
      </w:r>
      <w:r>
        <w:rPr>
          <w:rFonts w:cs="Arial"/>
        </w:rPr>
        <w:t xml:space="preserve">na jednoho účastníka </w:t>
      </w:r>
      <w:r w:rsidR="00290BD5" w:rsidRPr="00EA2E58">
        <w:rPr>
          <w:rFonts w:cs="Arial"/>
        </w:rPr>
        <w:t xml:space="preserve">byly </w:t>
      </w:r>
      <w:r>
        <w:rPr>
          <w:rFonts w:cs="Arial"/>
        </w:rPr>
        <w:t>3 470 Kč.</w:t>
      </w:r>
      <w:r w:rsidR="00290BD5" w:rsidRPr="00EA2E58">
        <w:rPr>
          <w:rFonts w:cs="Arial"/>
        </w:rPr>
        <w:t xml:space="preserve"> </w:t>
      </w:r>
      <w:r>
        <w:rPr>
          <w:rFonts w:cs="Arial"/>
        </w:rPr>
        <w:t>Podíl výdajů</w:t>
      </w:r>
      <w:r w:rsidR="00290BD5" w:rsidRPr="00EA2E58">
        <w:rPr>
          <w:rFonts w:cs="Arial"/>
        </w:rPr>
        <w:t xml:space="preserve"> </w:t>
      </w:r>
      <w:r>
        <w:rPr>
          <w:rFonts w:cs="Arial"/>
        </w:rPr>
        <w:t>za jednu hodinu</w:t>
      </w:r>
      <w:r w:rsidR="00290BD5" w:rsidRPr="00EA2E58">
        <w:rPr>
          <w:rFonts w:cs="Arial"/>
        </w:rPr>
        <w:t xml:space="preserve"> k</w:t>
      </w:r>
      <w:r>
        <w:rPr>
          <w:rFonts w:cs="Arial"/>
        </w:rPr>
        <w:t>urzu/školení činil</w:t>
      </w:r>
      <w:r w:rsidR="00290BD5" w:rsidRPr="00EA2E58">
        <w:rPr>
          <w:rFonts w:cs="Arial"/>
        </w:rPr>
        <w:t xml:space="preserve"> </w:t>
      </w:r>
      <w:r>
        <w:rPr>
          <w:rFonts w:cs="Arial"/>
        </w:rPr>
        <w:t>256</w:t>
      </w:r>
      <w:r w:rsidR="00290BD5" w:rsidRPr="00EA2E58">
        <w:rPr>
          <w:rFonts w:cs="Arial"/>
        </w:rPr>
        <w:t xml:space="preserve"> Kč.</w:t>
      </w:r>
    </w:p>
    <w:p w:rsidR="00290BD5" w:rsidRPr="00EA2E58" w:rsidRDefault="001C7F7F" w:rsidP="00CA0FFC">
      <w:pPr>
        <w:pStyle w:val="Odstavecseseznamem"/>
        <w:numPr>
          <w:ilvl w:val="0"/>
          <w:numId w:val="16"/>
        </w:numPr>
        <w:spacing w:after="200"/>
        <w:jc w:val="both"/>
        <w:rPr>
          <w:rFonts w:cs="Arial"/>
          <w:u w:val="single"/>
        </w:rPr>
      </w:pPr>
      <w:r>
        <w:rPr>
          <w:rFonts w:cs="Arial"/>
        </w:rPr>
        <w:t>P</w:t>
      </w:r>
      <w:r w:rsidR="00290BD5" w:rsidRPr="00EA2E58">
        <w:rPr>
          <w:rFonts w:cs="Arial"/>
        </w:rPr>
        <w:t xml:space="preserve">odíl nákladů na vzdělávání k celkovým nákladům práce firem činil ve zkoumaném roce </w:t>
      </w:r>
      <w:r>
        <w:rPr>
          <w:rFonts w:cs="Arial"/>
        </w:rPr>
        <w:t xml:space="preserve">v průměru </w:t>
      </w:r>
      <w:r w:rsidR="00290BD5" w:rsidRPr="00EA2E58">
        <w:rPr>
          <w:rFonts w:cs="Arial"/>
        </w:rPr>
        <w:t>0,</w:t>
      </w:r>
      <w:r>
        <w:rPr>
          <w:rFonts w:cs="Arial"/>
        </w:rPr>
        <w:t>71</w:t>
      </w:r>
      <w:r w:rsidR="00290BD5" w:rsidRPr="00EA2E58">
        <w:rPr>
          <w:rFonts w:cs="Arial"/>
        </w:rPr>
        <w:t xml:space="preserve"> %.</w:t>
      </w:r>
    </w:p>
    <w:p w:rsidR="00CA0FFC" w:rsidRPr="00AB2EEA" w:rsidRDefault="00290BD5" w:rsidP="00CA0FFC">
      <w:pPr>
        <w:pStyle w:val="Odstavecseseznamem"/>
        <w:numPr>
          <w:ilvl w:val="0"/>
          <w:numId w:val="16"/>
        </w:numPr>
        <w:spacing w:after="120"/>
        <w:jc w:val="both"/>
      </w:pPr>
      <w:r w:rsidRPr="00AB2EEA">
        <w:rPr>
          <w:rFonts w:cs="Arial"/>
        </w:rPr>
        <w:t>Většina firem (91 %) v ČR v roce 2015 nevyužívala žádné dotace na vzdělávání. Malý podíl (7 %) firem využilo dotace z Evropské unie. Valná většina firem rovněž žádné příspěvky na vzdělávání (např. do kolektivních fondů) neposkytovala.</w:t>
      </w:r>
      <w:bookmarkStart w:id="116" w:name="_Toc490472740"/>
    </w:p>
    <w:p w:rsidR="00E97145" w:rsidRDefault="00E97145" w:rsidP="00CA0FFC">
      <w:pPr>
        <w:pStyle w:val="Nadpis4"/>
        <w:spacing w:after="120"/>
        <w:rPr>
          <w:rFonts w:eastAsia="Times New Roman"/>
          <w:b w:val="0"/>
          <w:bCs w:val="0"/>
          <w:iCs w:val="0"/>
          <w:color w:val="auto"/>
        </w:rPr>
      </w:pPr>
    </w:p>
    <w:p w:rsidR="00290BD5" w:rsidRPr="000F7EF9" w:rsidRDefault="009E2CE9" w:rsidP="00CA0FFC">
      <w:pPr>
        <w:pStyle w:val="Nadpis4"/>
        <w:spacing w:after="120"/>
      </w:pPr>
      <w:bookmarkStart w:id="117" w:name="_Toc501614112"/>
      <w:r>
        <w:t>Výdaje</w:t>
      </w:r>
      <w:r w:rsidR="00290BD5" w:rsidRPr="000F7EF9">
        <w:t xml:space="preserve"> na vzdělávání</w:t>
      </w:r>
      <w:bookmarkEnd w:id="116"/>
      <w:bookmarkEnd w:id="117"/>
    </w:p>
    <w:p w:rsidR="001C7F7F" w:rsidRDefault="00290BD5" w:rsidP="00CA0FFC">
      <w:pPr>
        <w:contextualSpacing/>
        <w:jc w:val="both"/>
      </w:pPr>
      <w:r>
        <w:t>V celkovém pohledu vydaly firmy (i se započítáním těch, které vzdělávání ve sledovaném období nezajišťovaly) v roce 2015 za vzdělávání zaměstnanců průměrně přes 200 tisíc Kč. Po přepočtení na</w:t>
      </w:r>
      <w:r w:rsidR="00213EE9">
        <w:t> </w:t>
      </w:r>
      <w:r>
        <w:t xml:space="preserve">jednoho zaměstnance, což očišťuje vliv velikosti firmy, </w:t>
      </w:r>
      <w:r w:rsidR="00367778">
        <w:t xml:space="preserve">činil </w:t>
      </w:r>
      <w:r>
        <w:t>průměrný výdaj za vzdělávání firem v</w:t>
      </w:r>
      <w:r w:rsidR="00B83928">
        <w:t xml:space="preserve"> daném </w:t>
      </w:r>
      <w:r>
        <w:t xml:space="preserve">roce </w:t>
      </w:r>
      <w:r w:rsidR="001C7F7F">
        <w:t>3 13</w:t>
      </w:r>
      <w:r w:rsidR="00E90253">
        <w:t>4</w:t>
      </w:r>
      <w:r>
        <w:t xml:space="preserve"> Kč. Při vyloučení firem, které žádné vzdělávání pro své zaměstnance neorganizovaly, vzroste průměrný výdaj firmy na vzdělávání na 230 tisíc korun, v přepočtu na jednoho zaměstnance těchto firem pak na</w:t>
      </w:r>
      <w:r w:rsidR="00174370">
        <w:t xml:space="preserve"> necelých</w:t>
      </w:r>
      <w:r>
        <w:t xml:space="preserve"> </w:t>
      </w:r>
      <w:r w:rsidR="001C7F7F">
        <w:t>3 250</w:t>
      </w:r>
      <w:r>
        <w:t xml:space="preserve"> Kč. Rozdíly v těchto částkách nejsou vysoké, protože většina firem nějaký druh vzdělávání (alespoň povinné kurzy) zajistila, takže firem vyloučených z tohoto průměru je relativně málo.</w:t>
      </w:r>
    </w:p>
    <w:p w:rsidR="00290BD5" w:rsidRDefault="00290BD5" w:rsidP="00CA0FFC">
      <w:pPr>
        <w:contextualSpacing/>
        <w:jc w:val="both"/>
      </w:pPr>
      <w:r>
        <w:t xml:space="preserve"> </w:t>
      </w:r>
    </w:p>
    <w:p w:rsidR="00290BD5" w:rsidRDefault="00290BD5" w:rsidP="00CA0FFC">
      <w:pPr>
        <w:contextualSpacing/>
        <w:jc w:val="both"/>
      </w:pPr>
      <w:r>
        <w:t>Náklady na vzdělávání se samozřejmě nejvíce odvíjí od množství a zejména finanční nákladnosti vzdělávání, které firma zajišťovala.  Proto i rozložení nákladů podle jednotlivých charakteristik firem odpovídá rozložení poskytování vzdělávání obecně. Nejvyšší náklady na vzdělávání (přepočtené na jednoho zaměstnance) tak vydávají firmy s více než 250 zaměstnanci (</w:t>
      </w:r>
      <w:r w:rsidRPr="000A46AF">
        <w:t>3</w:t>
      </w:r>
      <w:r>
        <w:t xml:space="preserve"> </w:t>
      </w:r>
      <w:r w:rsidRPr="000A46AF">
        <w:t>600</w:t>
      </w:r>
      <w:r>
        <w:t xml:space="preserve"> Kč) a rovněž platí, že s velikostí firmy průměrný výdaj na vzdělávání roste. S tím souvisí i vazba mezi výdaji na vzdělávání a firemním obratem, kdy firmy s vyšším obratem mají i vyšší výdaje na vzdělávání, což se ovšem opět vztahuje k vyšší míře ochoty zajišťovat zaměstnancům vzdělávání, která je nejvyšší právě u </w:t>
      </w:r>
      <w:r w:rsidR="001C3BF5">
        <w:t xml:space="preserve">větších </w:t>
      </w:r>
      <w:r>
        <w:t>firem.</w:t>
      </w:r>
    </w:p>
    <w:p w:rsidR="008B54C8" w:rsidRDefault="008B54C8" w:rsidP="00CA0FFC">
      <w:pPr>
        <w:contextualSpacing/>
        <w:jc w:val="both"/>
      </w:pPr>
    </w:p>
    <w:p w:rsidR="00290BD5" w:rsidRDefault="00290BD5" w:rsidP="00290BD5">
      <w:pPr>
        <w:contextualSpacing/>
        <w:jc w:val="both"/>
      </w:pPr>
      <w:r>
        <w:lastRenderedPageBreak/>
        <w:t xml:space="preserve">Výrazně vyšší rozdíly mezi výdaji na jednoho zaměstnance jsou mezi firmami podle odvětví podnikatelské činnosti. </w:t>
      </w:r>
      <w:r w:rsidRPr="007827D1">
        <w:t xml:space="preserve">Firmy v odvětví </w:t>
      </w:r>
      <w:r w:rsidR="00983719">
        <w:t>P</w:t>
      </w:r>
      <w:r w:rsidRPr="007827D1">
        <w:t xml:space="preserve">eněžnictví a pojišťovnictví (sekce K), které jsou ve firemním vzdělávání jedny z nejaktivnějších, </w:t>
      </w:r>
      <w:r>
        <w:t xml:space="preserve">na něj </w:t>
      </w:r>
      <w:r w:rsidRPr="007827D1">
        <w:t>vynakládají rovněž i relativně velké množství peněz</w:t>
      </w:r>
      <w:r>
        <w:t xml:space="preserve"> </w:t>
      </w:r>
      <w:r w:rsidR="00D73AB5">
        <w:t>–</w:t>
      </w:r>
      <w:r w:rsidRPr="007827D1">
        <w:t xml:space="preserve"> v přepočtení na jednoh</w:t>
      </w:r>
      <w:r>
        <w:t>o zaměstnance</w:t>
      </w:r>
      <w:r w:rsidRPr="007827D1">
        <w:t xml:space="preserve"> </w:t>
      </w:r>
      <w:r w:rsidR="008B54C8">
        <w:t>8 000</w:t>
      </w:r>
      <w:r w:rsidRPr="007827D1">
        <w:t xml:space="preserve"> </w:t>
      </w:r>
      <w:r>
        <w:t>Kč</w:t>
      </w:r>
      <w:r w:rsidRPr="007827D1">
        <w:t xml:space="preserve">. Tuto hranici </w:t>
      </w:r>
      <w:r>
        <w:t>dokonce ještě</w:t>
      </w:r>
      <w:r w:rsidRPr="007827D1">
        <w:t xml:space="preserve"> překročily firmy z odvětví </w:t>
      </w:r>
      <w:r w:rsidR="00983719">
        <w:t>I</w:t>
      </w:r>
      <w:r w:rsidR="00C466F4">
        <w:t>nformační</w:t>
      </w:r>
      <w:r w:rsidRPr="007827D1">
        <w:t xml:space="preserve"> a</w:t>
      </w:r>
      <w:r>
        <w:t> </w:t>
      </w:r>
      <w:r w:rsidR="00C466F4">
        <w:t>komunikační činnosti</w:t>
      </w:r>
      <w:r w:rsidR="00983719">
        <w:t xml:space="preserve"> (sekce J)</w:t>
      </w:r>
      <w:r w:rsidRPr="007827D1">
        <w:t xml:space="preserve">, které za jednoho zaměstnance průměrně vydávají </w:t>
      </w:r>
      <w:r w:rsidR="008B54C8">
        <w:t>9</w:t>
      </w:r>
      <w:r>
        <w:t xml:space="preserve"> </w:t>
      </w:r>
      <w:r w:rsidRPr="007827D1">
        <w:t>000 Kč. U těchto firem jsou náklady na vzdělávání</w:t>
      </w:r>
      <w:r w:rsidR="00367778">
        <w:t>,</w:t>
      </w:r>
      <w:r w:rsidRPr="007827D1">
        <w:t xml:space="preserve"> na rozdíl od před</w:t>
      </w:r>
      <w:r>
        <w:t>chozí kategorie</w:t>
      </w:r>
      <w:r w:rsidR="00367778">
        <w:t>,</w:t>
      </w:r>
      <w:r>
        <w:t xml:space="preserve"> vysoké spíše </w:t>
      </w:r>
      <w:r w:rsidR="003830DE">
        <w:t xml:space="preserve">z </w:t>
      </w:r>
      <w:r>
        <w:t>důvodu</w:t>
      </w:r>
      <w:r w:rsidRPr="007827D1">
        <w:t xml:space="preserve"> vyšší</w:t>
      </w:r>
      <w:r>
        <w:t>ch celkových nákladů</w:t>
      </w:r>
      <w:r w:rsidRPr="007827D1">
        <w:t xml:space="preserve"> na</w:t>
      </w:r>
      <w:r w:rsidR="00213EE9">
        <w:t> </w:t>
      </w:r>
      <w:r w:rsidRPr="007827D1">
        <w:t>vzdělávání, jinými slovy, v tomto odvětví posílají méně lidí na drahé kurzy.</w:t>
      </w:r>
      <w:r>
        <w:t xml:space="preserve"> Naopak nejnižší náklady na</w:t>
      </w:r>
      <w:r w:rsidR="00213EE9">
        <w:t> </w:t>
      </w:r>
      <w:r>
        <w:t xml:space="preserve">vzdělávání, ve výši přibližně </w:t>
      </w:r>
      <w:r w:rsidR="008B54C8">
        <w:t>900</w:t>
      </w:r>
      <w:r>
        <w:t xml:space="preserve"> Kč na zaměstnance, jsou v odvětví </w:t>
      </w:r>
      <w:r w:rsidR="00983719">
        <w:t>U</w:t>
      </w:r>
      <w:r>
        <w:t xml:space="preserve">bytování, stravování a pohostinství (sekce I). Zaměstnanci těchto firem se vzdělávání obecně účastní méně a kurzy nejsou tak nákladné. </w:t>
      </w:r>
    </w:p>
    <w:p w:rsidR="00092845" w:rsidRDefault="00092845" w:rsidP="00092845">
      <w:pPr>
        <w:pStyle w:val="Titulek"/>
        <w:keepNext/>
        <w:jc w:val="both"/>
      </w:pPr>
      <w:bookmarkStart w:id="118" w:name="_Toc501615610"/>
      <w:r>
        <w:t xml:space="preserve">Graf č. </w:t>
      </w:r>
      <w:r w:rsidR="007C3A3E">
        <w:fldChar w:fldCharType="begin"/>
      </w:r>
      <w:r w:rsidR="00C84608">
        <w:instrText xml:space="preserve"> SEQ Graf_č. \* ARABIC </w:instrText>
      </w:r>
      <w:r w:rsidR="007C3A3E">
        <w:fldChar w:fldCharType="separate"/>
      </w:r>
      <w:r w:rsidR="00476EDB">
        <w:rPr>
          <w:noProof/>
        </w:rPr>
        <w:t>27</w:t>
      </w:r>
      <w:r w:rsidR="007C3A3E">
        <w:rPr>
          <w:noProof/>
        </w:rPr>
        <w:fldChar w:fldCharType="end"/>
      </w:r>
      <w:r>
        <w:t xml:space="preserve">: Výše </w:t>
      </w:r>
      <w:r w:rsidR="009E2CE9">
        <w:t>podílu</w:t>
      </w:r>
      <w:r w:rsidRPr="00733CC0">
        <w:t xml:space="preserve"> výdaj</w:t>
      </w:r>
      <w:r>
        <w:t xml:space="preserve">ů </w:t>
      </w:r>
      <w:r w:rsidRPr="00733CC0">
        <w:t xml:space="preserve">na </w:t>
      </w:r>
      <w:r w:rsidR="00E31308">
        <w:t xml:space="preserve">vzdělávání </w:t>
      </w:r>
      <w:r>
        <w:t>podle velikosti firmy, 2015</w:t>
      </w:r>
      <w:bookmarkEnd w:id="118"/>
    </w:p>
    <w:p w:rsidR="008B54C8" w:rsidRPr="008B54C8" w:rsidRDefault="00E90253" w:rsidP="008B54C8">
      <w:r>
        <w:rPr>
          <w:noProof/>
        </w:rPr>
        <w:drawing>
          <wp:inline distT="0" distB="0" distL="0" distR="0" wp14:anchorId="059FE9C9" wp14:editId="252817EA">
            <wp:extent cx="6124575" cy="2857500"/>
            <wp:effectExtent l="0" t="0" r="0" b="0"/>
            <wp:docPr id="72" name="Graf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201D8" w:rsidRPr="00EB211F" w:rsidRDefault="00D201D8" w:rsidP="00D201D8">
      <w:pPr>
        <w:spacing w:after="0"/>
        <w:contextualSpacing/>
        <w:rPr>
          <w:sz w:val="18"/>
        </w:rPr>
      </w:pPr>
      <w:r>
        <w:rPr>
          <w:sz w:val="18"/>
        </w:rPr>
        <w:t>Z</w:t>
      </w:r>
      <w:r w:rsidRPr="00EB211F">
        <w:rPr>
          <w:sz w:val="18"/>
        </w:rPr>
        <w:t>droj: šetření CVTS, ČSÚ 2017</w:t>
      </w:r>
    </w:p>
    <w:p w:rsidR="007D717B" w:rsidRDefault="007D717B" w:rsidP="005A25D1">
      <w:pPr>
        <w:spacing w:after="0"/>
        <w:jc w:val="both"/>
      </w:pPr>
    </w:p>
    <w:p w:rsidR="00D201D8" w:rsidRPr="00C1214F" w:rsidRDefault="00D201D8" w:rsidP="00EC53DF">
      <w:pPr>
        <w:contextualSpacing/>
        <w:jc w:val="both"/>
        <w:rPr>
          <w:highlight w:val="yellow"/>
        </w:rPr>
      </w:pPr>
      <w:r>
        <w:t xml:space="preserve">Popsaná vysvětlení rozdílů ve finančních nákladech firem na vzdělávání úzce souvisí s jejich celkovým přístupem </w:t>
      </w:r>
      <w:r w:rsidR="00C87FDD">
        <w:t>ke v</w:t>
      </w:r>
      <w:r>
        <w:t xml:space="preserve">zdělávání svých zaměstnanců. </w:t>
      </w:r>
    </w:p>
    <w:p w:rsidR="00D201D8" w:rsidRPr="00C1214F" w:rsidRDefault="00D201D8" w:rsidP="005A25D1">
      <w:pPr>
        <w:spacing w:after="0"/>
        <w:jc w:val="both"/>
        <w:rPr>
          <w:highlight w:val="yellow"/>
        </w:rPr>
      </w:pPr>
    </w:p>
    <w:p w:rsidR="00D201D8" w:rsidRPr="00EA2E58" w:rsidRDefault="00D201D8" w:rsidP="009E2CE9">
      <w:pPr>
        <w:pStyle w:val="Nadpis4"/>
        <w:spacing w:after="120"/>
      </w:pPr>
      <w:bookmarkStart w:id="119" w:name="_Toc490472741"/>
      <w:bookmarkStart w:id="120" w:name="_Ref497915571"/>
      <w:bookmarkStart w:id="121" w:name="_Toc501614113"/>
      <w:r w:rsidRPr="00EA2E58">
        <w:t>Náklady na vzdělávání vztažené k celkovým nákladům</w:t>
      </w:r>
      <w:bookmarkEnd w:id="119"/>
      <w:bookmarkEnd w:id="120"/>
      <w:r w:rsidR="00B83928">
        <w:t xml:space="preserve"> práce</w:t>
      </w:r>
      <w:bookmarkEnd w:id="121"/>
    </w:p>
    <w:p w:rsidR="00D201D8" w:rsidRDefault="00D201D8" w:rsidP="009E2CE9">
      <w:pPr>
        <w:contextualSpacing/>
        <w:jc w:val="both"/>
      </w:pPr>
      <w:r>
        <w:t>Při pohledu na celkové náklady firem na vzdělávání by se mohlo zdát, že jsou poměrně vysoké, nicméně když je vztáhneme k úplným nákladům práce f</w:t>
      </w:r>
      <w:r w:rsidR="009E2CE9">
        <w:t xml:space="preserve">irem, získáme podíl </w:t>
      </w:r>
      <w:r w:rsidR="00DE44B4">
        <w:t xml:space="preserve">v </w:t>
      </w:r>
      <w:r w:rsidR="009E2CE9">
        <w:t>průměru 0,71</w:t>
      </w:r>
      <w:r>
        <w:t xml:space="preserve"> %. Takový podíl činí náklady na vzdělávání na celkových nákladech </w:t>
      </w:r>
      <w:r w:rsidR="009E2CE9">
        <w:t xml:space="preserve">práce </w:t>
      </w:r>
      <w:r>
        <w:t xml:space="preserve">firmy. Podíly se rovněž liší podle různých charakteristik firem, závisí vždy na tom, kolik peněz firma na vzdělávání vydává, ale i na množství a finanční nákladnosti jednotlivých forem vzdělávání a počtu zaměstnanců, které na ně vysílá. Z hlediska velikosti firem se nejvíce liší firmy </w:t>
      </w:r>
      <w:r w:rsidR="009E2CE9">
        <w:t>malé</w:t>
      </w:r>
      <w:r>
        <w:t xml:space="preserve"> (s </w:t>
      </w:r>
      <w:r w:rsidR="009E2CE9">
        <w:t>1</w:t>
      </w:r>
      <w:r>
        <w:t xml:space="preserve">0 až </w:t>
      </w:r>
      <w:r w:rsidR="009E2CE9">
        <w:t>19</w:t>
      </w:r>
      <w:r>
        <w:t xml:space="preserve"> zaměstnanci), jejichž podíl nákladů na vzdělávání na celkových nákladech činí 0,6</w:t>
      </w:r>
      <w:r w:rsidR="009E2CE9">
        <w:t>4</w:t>
      </w:r>
      <w:r>
        <w:t xml:space="preserve"> % a firmy velké (s více než 250 za</w:t>
      </w:r>
      <w:r w:rsidR="009E2CE9">
        <w:t>městnanci), jejichž podíl je 0,74</w:t>
      </w:r>
      <w:r>
        <w:t xml:space="preserve"> %. V odlišném podílu těchto dvou typů firem se projevuje zmíněný rozdílný přístup: </w:t>
      </w:r>
      <w:r w:rsidR="009E2CE9">
        <w:t>malé</w:t>
      </w:r>
      <w:r>
        <w:t xml:space="preserve"> firmy </w:t>
      </w:r>
      <w:r w:rsidR="009E2CE9">
        <w:t xml:space="preserve">(např. rodinného charakteru) </w:t>
      </w:r>
      <w:r>
        <w:t xml:space="preserve">obecně zajišťují vzdělávání </w:t>
      </w:r>
      <w:r w:rsidR="00367778">
        <w:t>menšímu počtu zaměstnanců</w:t>
      </w:r>
      <w:r w:rsidR="009E2CE9">
        <w:t xml:space="preserve"> (často i z důvodu nezastupitelnosti v době účasti na kurzech), </w:t>
      </w:r>
      <w:r>
        <w:t xml:space="preserve">než firmy někdy i s řádově stovkami zaměstnanců. Velké firmy zároveň využívají více specializovaných kurzů, které jsou nákladnější než kurzy povinné. Z hlediska odvětví, ve kterém firmy podnikají, je vzdělávání nejnákladnější pro firmy z oblasti </w:t>
      </w:r>
      <w:r w:rsidR="00C466F4">
        <w:t>I</w:t>
      </w:r>
      <w:r>
        <w:t xml:space="preserve">nformačních a komunikačních </w:t>
      </w:r>
      <w:r w:rsidR="00C466F4">
        <w:t>činnosti (J)</w:t>
      </w:r>
      <w:r>
        <w:t>, kde podíl nákladů na</w:t>
      </w:r>
      <w:r w:rsidR="00213EE9">
        <w:t> </w:t>
      </w:r>
      <w:r>
        <w:t>vzdělávání dosahuje 1</w:t>
      </w:r>
      <w:r w:rsidR="009E2CE9">
        <w:t>,1</w:t>
      </w:r>
      <w:r>
        <w:t xml:space="preserve"> % celkových nákladů práce. U těchto firem je důvodem opět vysoká finanční nákladnost jednotlivých vzdělávacích forem specializovaných na danou oblast. U firem se zahraničním vlastníkem byl z</w:t>
      </w:r>
      <w:r w:rsidR="009E2CE9">
        <w:t> důvodu vyšší obecné účasti jeji</w:t>
      </w:r>
      <w:r>
        <w:t xml:space="preserve">ch zaměstnanců vyšší i podíl nákladů na vzdělávání </w:t>
      </w:r>
      <w:r>
        <w:lastRenderedPageBreak/>
        <w:t>na</w:t>
      </w:r>
      <w:r w:rsidR="00213EE9">
        <w:t> </w:t>
      </w:r>
      <w:r>
        <w:t>úplných nákladech práce. Činil 0,8</w:t>
      </w:r>
      <w:r w:rsidR="009E2CE9">
        <w:t>1</w:t>
      </w:r>
      <w:r>
        <w:t xml:space="preserve"> %, oproti </w:t>
      </w:r>
      <w:r w:rsidR="00F82C16">
        <w:t>podílu firem s </w:t>
      </w:r>
      <w:r w:rsidRPr="00F82C16">
        <w:t>českým</w:t>
      </w:r>
      <w:r w:rsidR="00F82C16">
        <w:t xml:space="preserve"> vlastníkem</w:t>
      </w:r>
      <w:r>
        <w:t xml:space="preserve">, který </w:t>
      </w:r>
      <w:r w:rsidR="00F82C16">
        <w:t>byl</w:t>
      </w:r>
      <w:r>
        <w:t xml:space="preserve"> mírně podprůměrný</w:t>
      </w:r>
      <w:r w:rsidR="00F82C16">
        <w:t xml:space="preserve"> s </w:t>
      </w:r>
      <w:r w:rsidR="00DE44B4">
        <w:t>hodnotou</w:t>
      </w:r>
      <w:r>
        <w:t xml:space="preserve"> 0,6</w:t>
      </w:r>
      <w:r w:rsidR="009E2CE9">
        <w:t>2</w:t>
      </w:r>
      <w:r>
        <w:t xml:space="preserve"> %.</w:t>
      </w:r>
    </w:p>
    <w:p w:rsidR="00F82C16" w:rsidRPr="000E28FD" w:rsidRDefault="00EC53DF" w:rsidP="009E2CE9">
      <w:pPr>
        <w:pStyle w:val="Nadpis4"/>
        <w:spacing w:after="120"/>
      </w:pPr>
      <w:bookmarkStart w:id="122" w:name="_Toc490472742"/>
      <w:bookmarkStart w:id="123" w:name="_Toc501614114"/>
      <w:r w:rsidRPr="00EC53DF">
        <w:t>V</w:t>
      </w:r>
      <w:r w:rsidR="00F82C16" w:rsidRPr="000E28FD">
        <w:t>ýdaje na kurzy/školení</w:t>
      </w:r>
      <w:bookmarkEnd w:id="122"/>
      <w:bookmarkEnd w:id="123"/>
    </w:p>
    <w:p w:rsidR="00F82C16" w:rsidRDefault="00F82C16" w:rsidP="009E2CE9">
      <w:pPr>
        <w:contextualSpacing/>
        <w:jc w:val="both"/>
      </w:pPr>
      <w:r>
        <w:t>P</w:t>
      </w:r>
      <w:r w:rsidR="009E2CE9">
        <w:t>odíl</w:t>
      </w:r>
      <w:r>
        <w:t xml:space="preserve"> výdaj</w:t>
      </w:r>
      <w:r w:rsidR="009E2CE9">
        <w:t>ů</w:t>
      </w:r>
      <w:r>
        <w:t xml:space="preserve"> na kurz nebo školení na jednoho jeho účastníka činil v roce 2015 </w:t>
      </w:r>
      <w:r w:rsidR="00880EAE">
        <w:t>přibližně</w:t>
      </w:r>
      <w:r>
        <w:t xml:space="preserve"> </w:t>
      </w:r>
      <w:r w:rsidR="009E2CE9">
        <w:t>3 500</w:t>
      </w:r>
      <w:r>
        <w:t xml:space="preserve"> Kč. Stejně jako u celkových výdajů, u výdajů na školení platí, že s velik</w:t>
      </w:r>
      <w:r w:rsidR="005D0C56">
        <w:t>ostí firmy výdaje rostou (od 2 7</w:t>
      </w:r>
      <w:r>
        <w:t>00 Kč u malých firem k</w:t>
      </w:r>
      <w:r w:rsidR="00C466F4">
        <w:t> </w:t>
      </w:r>
      <w:r w:rsidR="005D0C56">
        <w:t>3</w:t>
      </w:r>
      <w:r w:rsidR="00C466F4">
        <w:t> </w:t>
      </w:r>
      <w:r w:rsidR="005D0C56">
        <w:t>9</w:t>
      </w:r>
      <w:r>
        <w:t>00 Kč u firem velkých). U průměru na jednoho účastníka je sice vliv velikosti firmy a počtu účastníků školení očištěn, nicméně stále platí, že rozdíl mezi jednotlivými velikostními kategoriemi je způsoben vyšší nákladností kurzů či školení u větších firem, které častěji než firmy menší zajišťují nepovinné kurzy, které bývají dražší než kurzy povinné. Dále je rozdíl ovlivněn vyšší</w:t>
      </w:r>
      <w:r w:rsidR="00C40B6C">
        <w:t>m</w:t>
      </w:r>
      <w:r>
        <w:t xml:space="preserve"> </w:t>
      </w:r>
      <w:r w:rsidR="00C40B6C">
        <w:t>počtem</w:t>
      </w:r>
      <w:r>
        <w:t xml:space="preserve"> dražších specializovaných kurzů, na</w:t>
      </w:r>
      <w:r w:rsidR="00213EE9">
        <w:t> </w:t>
      </w:r>
      <w:r>
        <w:t xml:space="preserve">které větší firmy své zaměstnance posílají. Z hlediska odvětví podnikání </w:t>
      </w:r>
      <w:r w:rsidR="005D0C56">
        <w:t xml:space="preserve">je </w:t>
      </w:r>
      <w:r>
        <w:t xml:space="preserve">rozložení průměrných výdajů za kurzy/školení </w:t>
      </w:r>
      <w:r w:rsidR="005D0C56">
        <w:t xml:space="preserve">obdobné </w:t>
      </w:r>
      <w:r>
        <w:t>rozložení celkových průměrných výdajů firem za vzdělávání (viz výše), tzn.</w:t>
      </w:r>
      <w:r w:rsidR="00213EE9">
        <w:t> </w:t>
      </w:r>
      <w:r>
        <w:t>nejméně za kurzy či šk</w:t>
      </w:r>
      <w:r w:rsidR="00983719">
        <w:t>olení utrácejí firmy v odvětví U</w:t>
      </w:r>
      <w:r>
        <w:t>bytování, stravování a pohostinství (sekce I</w:t>
      </w:r>
      <w:r w:rsidR="00195C7D">
        <w:t>;</w:t>
      </w:r>
      <w:r>
        <w:t xml:space="preserve"> necelých </w:t>
      </w:r>
      <w:r w:rsidR="005D0C56">
        <w:t>1 200</w:t>
      </w:r>
      <w:r w:rsidRPr="00940F24">
        <w:t xml:space="preserve"> Kč) a nejvíce pak firmy v odvětví </w:t>
      </w:r>
      <w:r w:rsidR="00983719">
        <w:t>I</w:t>
      </w:r>
      <w:r w:rsidRPr="00940F24">
        <w:t xml:space="preserve">nformační a komunikační </w:t>
      </w:r>
      <w:r w:rsidR="00C466F4">
        <w:t>činnosti</w:t>
      </w:r>
      <w:r w:rsidRPr="00940F24">
        <w:t xml:space="preserve"> </w:t>
      </w:r>
      <w:r>
        <w:t>(sekce J</w:t>
      </w:r>
      <w:r w:rsidR="00195C7D">
        <w:t>;</w:t>
      </w:r>
      <w:r>
        <w:t xml:space="preserve"> </w:t>
      </w:r>
      <w:r w:rsidR="005D0C56">
        <w:t>9</w:t>
      </w:r>
      <w:r>
        <w:t> </w:t>
      </w:r>
      <w:r w:rsidR="005D0C56">
        <w:t>8</w:t>
      </w:r>
      <w:r w:rsidRPr="00940F24">
        <w:t xml:space="preserve">00 Kč). </w:t>
      </w:r>
    </w:p>
    <w:p w:rsidR="00014ABD" w:rsidRDefault="00AE29CE" w:rsidP="00AE29CE">
      <w:pPr>
        <w:pStyle w:val="Titulek"/>
        <w:keepNext/>
        <w:jc w:val="both"/>
      </w:pPr>
      <w:bookmarkStart w:id="124" w:name="_Ref496535444"/>
      <w:bookmarkStart w:id="125" w:name="_Toc501615611"/>
      <w:r>
        <w:t xml:space="preserve">Graf č. </w:t>
      </w:r>
      <w:r w:rsidR="007C3A3E">
        <w:fldChar w:fldCharType="begin"/>
      </w:r>
      <w:r w:rsidR="00C84608">
        <w:instrText xml:space="preserve"> SEQ Graf_č. \* ARABIC </w:instrText>
      </w:r>
      <w:r w:rsidR="007C3A3E">
        <w:fldChar w:fldCharType="separate"/>
      </w:r>
      <w:r w:rsidR="00476EDB">
        <w:rPr>
          <w:noProof/>
        </w:rPr>
        <w:t>28</w:t>
      </w:r>
      <w:r w:rsidR="007C3A3E">
        <w:rPr>
          <w:noProof/>
        </w:rPr>
        <w:fldChar w:fldCharType="end"/>
      </w:r>
      <w:bookmarkEnd w:id="124"/>
      <w:r>
        <w:t xml:space="preserve">: </w:t>
      </w:r>
      <w:r w:rsidR="00014ABD">
        <w:t>Výše podílu</w:t>
      </w:r>
      <w:r w:rsidR="00014ABD" w:rsidRPr="00733CC0">
        <w:t xml:space="preserve"> výdaj</w:t>
      </w:r>
      <w:r w:rsidR="00014ABD">
        <w:t xml:space="preserve">ů </w:t>
      </w:r>
      <w:r w:rsidR="00014ABD" w:rsidRPr="00733CC0">
        <w:t xml:space="preserve">na </w:t>
      </w:r>
      <w:r w:rsidR="0076287E">
        <w:t xml:space="preserve">vzdělávání </w:t>
      </w:r>
      <w:r w:rsidR="00014ABD">
        <w:t>podle odvětví firmy (</w:t>
      </w:r>
      <w:proofErr w:type="gramStart"/>
      <w:r w:rsidR="00014ABD">
        <w:t>CZ</w:t>
      </w:r>
      <w:proofErr w:type="gramEnd"/>
      <w:r w:rsidR="00014ABD">
        <w:t>–</w:t>
      </w:r>
      <w:proofErr w:type="gramStart"/>
      <w:r w:rsidR="00014ABD">
        <w:t>NACE</w:t>
      </w:r>
      <w:proofErr w:type="gramEnd"/>
      <w:r w:rsidR="00014ABD">
        <w:t>), 2015</w:t>
      </w:r>
      <w:bookmarkEnd w:id="125"/>
    </w:p>
    <w:p w:rsidR="00D53CB5" w:rsidRPr="00D53CB5" w:rsidRDefault="00E90253" w:rsidP="00D53CB5">
      <w:r>
        <w:rPr>
          <w:noProof/>
        </w:rPr>
        <w:drawing>
          <wp:inline distT="0" distB="0" distL="0" distR="0" wp14:anchorId="21F7A37F" wp14:editId="1D98F30A">
            <wp:extent cx="5972810" cy="4323715"/>
            <wp:effectExtent l="0" t="0" r="8890" b="635"/>
            <wp:docPr id="74" name="Graf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A182B" w:rsidRPr="00EB211F" w:rsidRDefault="002A182B" w:rsidP="00014ABD">
      <w:pPr>
        <w:rPr>
          <w:sz w:val="18"/>
        </w:rPr>
      </w:pPr>
      <w:r>
        <w:rPr>
          <w:sz w:val="18"/>
        </w:rPr>
        <w:t>Z</w:t>
      </w:r>
      <w:r w:rsidRPr="00EB211F">
        <w:rPr>
          <w:sz w:val="18"/>
        </w:rPr>
        <w:t>droj: šetření CVTS, ČSÚ 2017</w:t>
      </w:r>
    </w:p>
    <w:p w:rsidR="002A182B" w:rsidRDefault="002A182B" w:rsidP="002A182B">
      <w:pPr>
        <w:contextualSpacing/>
        <w:jc w:val="both"/>
      </w:pPr>
      <w:r>
        <w:t xml:space="preserve">U </w:t>
      </w:r>
      <w:r w:rsidR="00B72AEC">
        <w:t xml:space="preserve">vynaložených </w:t>
      </w:r>
      <w:r>
        <w:t xml:space="preserve">financí </w:t>
      </w:r>
      <w:r w:rsidR="00B72AEC">
        <w:t>je sledováno</w:t>
      </w:r>
      <w:r>
        <w:t xml:space="preserve"> nejen to, za co jsou utraceny, ale i jaký měla investice dopad. U kurzů a</w:t>
      </w:r>
      <w:r w:rsidR="00213EE9">
        <w:t> </w:t>
      </w:r>
      <w:r>
        <w:t>školení firmy často investovaly do externích kurzů, kterých bylo v roce 2015 výrazně více než kurzů organizovaných v rámci firmy (viz</w:t>
      </w:r>
      <w:r w:rsidR="003B6F9A">
        <w:t xml:space="preserve"> podkapitola</w:t>
      </w:r>
      <w:r>
        <w:t xml:space="preserve"> </w:t>
      </w:r>
      <w:r w:rsidR="007C3A3E" w:rsidRPr="004272F9">
        <w:rPr>
          <w:color w:val="0070C0"/>
          <w:u w:val="single"/>
        </w:rPr>
        <w:fldChar w:fldCharType="begin"/>
      </w:r>
      <w:r w:rsidR="0014073C" w:rsidRPr="004272F9">
        <w:rPr>
          <w:color w:val="0070C0"/>
          <w:u w:val="single"/>
        </w:rPr>
        <w:instrText xml:space="preserve"> REF _Ref496535184 \h </w:instrText>
      </w:r>
      <w:r w:rsidR="004272F9">
        <w:rPr>
          <w:color w:val="0070C0"/>
          <w:u w:val="single"/>
        </w:rPr>
        <w:instrText xml:space="preserve"> \* MERGEFORMAT </w:instrText>
      </w:r>
      <w:r w:rsidR="007C3A3E" w:rsidRPr="004272F9">
        <w:rPr>
          <w:color w:val="0070C0"/>
          <w:u w:val="single"/>
        </w:rPr>
      </w:r>
      <w:r w:rsidR="007C3A3E" w:rsidRPr="004272F9">
        <w:rPr>
          <w:color w:val="0070C0"/>
          <w:u w:val="single"/>
        </w:rPr>
        <w:fldChar w:fldCharType="separate"/>
      </w:r>
      <w:r w:rsidR="00476EDB" w:rsidRPr="00476EDB">
        <w:rPr>
          <w:color w:val="0070C0"/>
          <w:u w:val="single"/>
        </w:rPr>
        <w:t>Interní vs. externí zajištění kurzů a školení</w:t>
      </w:r>
      <w:r w:rsidR="007C3A3E" w:rsidRPr="004272F9">
        <w:rPr>
          <w:color w:val="0070C0"/>
          <w:u w:val="single"/>
        </w:rPr>
        <w:fldChar w:fldCharType="end"/>
      </w:r>
      <w:r>
        <w:t xml:space="preserve">). U nepovinných kurzů je tak možné přibližně odhadnout finanční náročnost jednotlivých tematických zaměření kurzů. Odhad to je opravdu hrubý, protože celková částka je zjišťována za oba druhy kurzů/školení, ale </w:t>
      </w:r>
      <w:r w:rsidR="007C7E1E">
        <w:t>za</w:t>
      </w:r>
      <w:r>
        <w:t xml:space="preserve"> předpokladu, že náklady na povinné kurzy jsou (přepočteno na jednoho zaměstnance) zhruba u všech firem podobné, je možné se dobrat hrubých odhadů u témat nepovinných kurzů. Nejvíce financí na jednoho účastníka vydaly </w:t>
      </w:r>
      <w:r>
        <w:lastRenderedPageBreak/>
        <w:t>firmy, které zajišťovaly kurzy zaměřené na zlepšení týmové práce a na běžné užívání informačních technologií, což jsou typičtí představitelé zlepšování měkkých kompetencí a obecných témat vzdělávání ve</w:t>
      </w:r>
      <w:r w:rsidR="00213EE9">
        <w:t> </w:t>
      </w:r>
      <w:r>
        <w:t>firmách. Dále pak nepřekvapí, že výrazně více finančních nákladů průměrně vydaly firmy, které po</w:t>
      </w:r>
      <w:r w:rsidR="00213EE9">
        <w:t> </w:t>
      </w:r>
      <w:r>
        <w:t>proběhnutém kurzu nebo školení dělají nějakou formu zpětné evaluace.</w:t>
      </w:r>
    </w:p>
    <w:p w:rsidR="009E2CE9" w:rsidRDefault="009E2CE9" w:rsidP="002A182B">
      <w:pPr>
        <w:contextualSpacing/>
        <w:jc w:val="both"/>
      </w:pPr>
    </w:p>
    <w:p w:rsidR="002A182B" w:rsidRDefault="00B72AEC" w:rsidP="002A182B">
      <w:pPr>
        <w:contextualSpacing/>
        <w:jc w:val="both"/>
      </w:pPr>
      <w:r>
        <w:t>Výše</w:t>
      </w:r>
      <w:r w:rsidR="0051220B">
        <w:t xml:space="preserve"> nákladů</w:t>
      </w:r>
      <w:r w:rsidR="002A182B">
        <w:t xml:space="preserve"> firem na jednu uskutečněno</w:t>
      </w:r>
      <w:r>
        <w:t>u hodinu kurzu nebo školení byla</w:t>
      </w:r>
      <w:r w:rsidR="002A182B">
        <w:t xml:space="preserve"> </w:t>
      </w:r>
      <w:r w:rsidR="0051220B">
        <w:t>v průměru 26</w:t>
      </w:r>
      <w:r w:rsidR="002A182B">
        <w:t>0 Kč, přičemž jsou započítané pouze hodiny v rámci placené pracovní doby. Při pohledu na rozložení podle výše zkoumaných kategorií, kde jejich pořadí dle výše nákladů za hodinu kurzu vychází stejně jako u průměrných nákla</w:t>
      </w:r>
      <w:r w:rsidR="002A182B" w:rsidRPr="006704AC">
        <w:t>dů (viz</w:t>
      </w:r>
      <w:r w:rsidR="00213EE9">
        <w:t> </w:t>
      </w:r>
      <w:r w:rsidR="00EF3498">
        <w:t>graf č. 28</w:t>
      </w:r>
      <w:r w:rsidR="002A182B" w:rsidRPr="006704AC">
        <w:t xml:space="preserve">), </w:t>
      </w:r>
      <w:r w:rsidR="002A182B">
        <w:t xml:space="preserve">je možné potvrdit </w:t>
      </w:r>
      <w:r w:rsidR="00D53CB5">
        <w:t xml:space="preserve">již dříve </w:t>
      </w:r>
      <w:r w:rsidR="002A182B">
        <w:t>uvedenou interpretaci, že firmy s nejvyššími náklady (ať už přepočtenými na jednoho účastníka kurzu nebo na jednu hodinu) zajišťují častěji výrazně dražší kurzy/školení než jiné firmy.</w:t>
      </w:r>
    </w:p>
    <w:p w:rsidR="002A182B" w:rsidRPr="00210CE2" w:rsidRDefault="002A182B" w:rsidP="009E2CE9">
      <w:pPr>
        <w:pStyle w:val="Nadpis4"/>
        <w:spacing w:after="120"/>
      </w:pPr>
      <w:bookmarkStart w:id="126" w:name="_Toc490472743"/>
      <w:bookmarkStart w:id="127" w:name="_Toc501614115"/>
      <w:r w:rsidRPr="00210CE2">
        <w:t>Příspěvky na vzdělávání</w:t>
      </w:r>
      <w:bookmarkEnd w:id="126"/>
      <w:bookmarkEnd w:id="127"/>
    </w:p>
    <w:p w:rsidR="00D51501" w:rsidRDefault="002A182B" w:rsidP="0051220B">
      <w:pPr>
        <w:contextualSpacing/>
        <w:jc w:val="both"/>
      </w:pPr>
      <w:r>
        <w:t xml:space="preserve">Jak je zřejmé nejen z této kapitoly, podpora firemního vzdělávání výrazně závisí na financích. Kromě celkové i firemní ekonomické situace </w:t>
      </w:r>
      <w:r w:rsidR="00367778">
        <w:t xml:space="preserve">hrají </w:t>
      </w:r>
      <w:r>
        <w:t>relativně velkou roli i dotace a další příspěvky, které firmy na</w:t>
      </w:r>
      <w:r w:rsidR="00213EE9">
        <w:t> </w:t>
      </w:r>
      <w:r>
        <w:t>vzdělávání svých zaměstnanců mohou čerpat. Valná většina (91 %) firem však deklarovala, že v roce 2015 žádné příspěvky tohoto typu nevyužila. Zhruba 7 % firem ve zkoumaném roce čerpalo dotace z Evropské unie (</w:t>
      </w:r>
      <w:r w:rsidR="00C466F4">
        <w:t xml:space="preserve">z </w:t>
      </w:r>
      <w:r>
        <w:t xml:space="preserve">Evropských fondů). Nejčastěji se jednalo o firmy, které zajišťovaly nepovinné kurzy či školení a částečně i jiné formy vzdělávání – existuje tedy předpoklad, že peníze byly využity na tento druh vzdělávání. Dotace z EU nejvíce využívaly firmy s více než 250 zaměstnanci (25 %) a firmy z odvětví </w:t>
      </w:r>
      <w:r w:rsidR="00AD2FC5">
        <w:t>P</w:t>
      </w:r>
      <w:r>
        <w:t>růmysl (</w:t>
      </w:r>
      <w:r w:rsidR="00AD2FC5">
        <w:t xml:space="preserve">sekce BC; </w:t>
      </w:r>
      <w:r>
        <w:t>12 %), které zřejmě ve velké míře využívaly finance z operačních programů MPO.</w:t>
      </w:r>
    </w:p>
    <w:p w:rsidR="00366CC8" w:rsidRDefault="00366CC8" w:rsidP="00366CC8">
      <w:pPr>
        <w:pStyle w:val="Titulek"/>
        <w:keepNext/>
      </w:pPr>
      <w:bookmarkStart w:id="128" w:name="_Toc501615612"/>
      <w:r>
        <w:t xml:space="preserve">Graf č. </w:t>
      </w:r>
      <w:r w:rsidR="007C3A3E">
        <w:fldChar w:fldCharType="begin"/>
      </w:r>
      <w:r w:rsidR="00C84608">
        <w:instrText xml:space="preserve"> SEQ Graf_č. \* ARABIC </w:instrText>
      </w:r>
      <w:r w:rsidR="007C3A3E">
        <w:fldChar w:fldCharType="separate"/>
      </w:r>
      <w:r w:rsidR="00476EDB">
        <w:rPr>
          <w:noProof/>
        </w:rPr>
        <w:t>29</w:t>
      </w:r>
      <w:r w:rsidR="007C3A3E">
        <w:rPr>
          <w:noProof/>
        </w:rPr>
        <w:fldChar w:fldCharType="end"/>
      </w:r>
      <w:r>
        <w:t>: Podíl firem, které využily dotace z EU na úhradu vzdělávání zaměstnanců, 2015</w:t>
      </w:r>
      <w:bookmarkEnd w:id="128"/>
    </w:p>
    <w:p w:rsidR="0051220B" w:rsidRPr="0051220B" w:rsidRDefault="00E90253" w:rsidP="0051220B">
      <w:r>
        <w:rPr>
          <w:noProof/>
        </w:rPr>
        <w:drawing>
          <wp:inline distT="0" distB="0" distL="0" distR="0" wp14:anchorId="3BF8F158" wp14:editId="62BEA0DD">
            <wp:extent cx="5972810" cy="3916045"/>
            <wp:effectExtent l="0" t="0" r="8890" b="8255"/>
            <wp:docPr id="94" name="Graf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A182B" w:rsidRPr="00EB211F" w:rsidRDefault="002A182B" w:rsidP="002A182B">
      <w:pPr>
        <w:spacing w:after="0"/>
        <w:contextualSpacing/>
        <w:rPr>
          <w:sz w:val="18"/>
        </w:rPr>
      </w:pPr>
      <w:r>
        <w:rPr>
          <w:sz w:val="18"/>
        </w:rPr>
        <w:t>Z</w:t>
      </w:r>
      <w:r w:rsidRPr="00EB211F">
        <w:rPr>
          <w:sz w:val="18"/>
        </w:rPr>
        <w:t>droj: šetření CVTS, ČSÚ 2017</w:t>
      </w:r>
    </w:p>
    <w:p w:rsidR="002A182B" w:rsidRDefault="002A182B" w:rsidP="00D51501"/>
    <w:p w:rsidR="009E2CE9" w:rsidRDefault="002A182B" w:rsidP="002A182B">
      <w:pPr>
        <w:contextualSpacing/>
        <w:jc w:val="both"/>
      </w:pPr>
      <w:r>
        <w:lastRenderedPageBreak/>
        <w:t>Firmy, které využívaly evropské dotace, rovněž vykazovaly nejvyšší zájem o vzdělávání svých zaměstnanců</w:t>
      </w:r>
      <w:r>
        <w:rPr>
          <w:rStyle w:val="Znakapoznpodarou"/>
        </w:rPr>
        <w:footnoteReference w:id="14"/>
      </w:r>
      <w:r>
        <w:t>. Z toho je možné usuzovat, že ve většině z těchto firem byl prvotním impulsem k získání dotace na vzdělávání zájem (případně dřívější kladná zkušenost), díky kterému se firmy začaly o možnost jiného financování zajímat a ne naopak. Průměrná částka dotace je téměř 320 tisíc Kč, nicméně mezi firmami, které dotaci dostaly, jsou značné rozdíly. Medián dotací na vzdělávání je 180 tisíc Kč a většina (93 %) těchto dotací pochází z veřejných zdrojů.</w:t>
      </w:r>
    </w:p>
    <w:p w:rsidR="002A182B" w:rsidRDefault="002A182B" w:rsidP="002A182B">
      <w:pPr>
        <w:contextualSpacing/>
        <w:jc w:val="both"/>
      </w:pPr>
      <w:r>
        <w:t xml:space="preserve"> </w:t>
      </w:r>
    </w:p>
    <w:p w:rsidR="00087249" w:rsidRDefault="002A182B" w:rsidP="002A182B">
      <w:pPr>
        <w:contextualSpacing/>
        <w:jc w:val="both"/>
      </w:pPr>
      <w:r>
        <w:t>Kromě možnosti žádostí o dotace na vzdělávání svých zaměstnanců, mají firmy možnost i naopak poskytovat příspěvky</w:t>
      </w:r>
      <w:r>
        <w:rPr>
          <w:rStyle w:val="Znakapoznpodarou"/>
        </w:rPr>
        <w:footnoteReference w:id="15"/>
      </w:r>
      <w:r>
        <w:t xml:space="preserve"> na vzdělávání do některého z fondů. Nicméně 99 % firem v ČR této možnosti za</w:t>
      </w:r>
      <w:r w:rsidR="00213EE9">
        <w:t> období 2012</w:t>
      </w:r>
      <w:r w:rsidR="00D73AB5">
        <w:t>–</w:t>
      </w:r>
      <w:r>
        <w:t>2015 nevyužilo.</w:t>
      </w:r>
    </w:p>
    <w:p w:rsidR="00087249" w:rsidRDefault="00087249">
      <w:pPr>
        <w:spacing w:after="0" w:line="240" w:lineRule="auto"/>
      </w:pPr>
      <w:r>
        <w:br w:type="page"/>
      </w:r>
    </w:p>
    <w:p w:rsidR="00087249" w:rsidRDefault="00087249" w:rsidP="00087249">
      <w:pPr>
        <w:pStyle w:val="Nadpis2"/>
      </w:pPr>
      <w:bookmarkStart w:id="129" w:name="_Kapitola_4:_Omezení"/>
      <w:bookmarkStart w:id="130" w:name="_Toc485639761"/>
      <w:bookmarkStart w:id="131" w:name="_Toc490472744"/>
      <w:bookmarkStart w:id="132" w:name="_Ref496600794"/>
      <w:bookmarkStart w:id="133" w:name="_Ref501092058"/>
      <w:bookmarkStart w:id="134" w:name="_Ref501092986"/>
      <w:bookmarkStart w:id="135" w:name="_Ref501092989"/>
      <w:bookmarkStart w:id="136" w:name="_Ref501093168"/>
      <w:bookmarkStart w:id="137" w:name="_Ref501099230"/>
      <w:bookmarkStart w:id="138" w:name="_Ref501099948"/>
      <w:bookmarkStart w:id="139" w:name="_Toc501614116"/>
      <w:bookmarkEnd w:id="129"/>
      <w:r>
        <w:lastRenderedPageBreak/>
        <w:t>Kapitola 4: Omezení a překážky ve vzdělávání zaměstnanců</w:t>
      </w:r>
      <w:bookmarkEnd w:id="130"/>
      <w:bookmarkEnd w:id="131"/>
      <w:bookmarkEnd w:id="132"/>
      <w:bookmarkEnd w:id="133"/>
      <w:bookmarkEnd w:id="134"/>
      <w:bookmarkEnd w:id="135"/>
      <w:bookmarkEnd w:id="136"/>
      <w:bookmarkEnd w:id="137"/>
      <w:bookmarkEnd w:id="138"/>
      <w:bookmarkEnd w:id="139"/>
    </w:p>
    <w:p w:rsidR="00087249" w:rsidRDefault="00087249" w:rsidP="00087249">
      <w:pPr>
        <w:spacing w:after="0"/>
        <w:contextualSpacing/>
        <w:jc w:val="both"/>
        <w:rPr>
          <w:b/>
          <w:u w:val="single"/>
        </w:rPr>
      </w:pPr>
    </w:p>
    <w:p w:rsidR="00087249" w:rsidRDefault="00087249" w:rsidP="00CA0FFC">
      <w:pPr>
        <w:spacing w:after="0"/>
        <w:contextualSpacing/>
        <w:jc w:val="both"/>
      </w:pPr>
      <w:r>
        <w:t>V návaznosti na předchozí části textu, zejména těch o účasti zaměstnanců firem v různých formách vzdělávání, se tato kapitola věnuje naopak omezením a překážkám, které firmám v poskytování (více) vzdělávání zabraňují. V případech, kdy se pracovníci organizovaně nevzdělávají, protože to nepotřebují, je vše v pořádku. Problém nastává, když by se dále vzdělávat potřeb</w:t>
      </w:r>
      <w:r w:rsidR="00E7631E">
        <w:t xml:space="preserve">ovali a firma jim to neumožňuje, </w:t>
      </w:r>
      <w:r>
        <w:t xml:space="preserve">tyto potřeby </w:t>
      </w:r>
      <w:r w:rsidR="00C40B6C">
        <w:t xml:space="preserve">si </w:t>
      </w:r>
      <w:r>
        <w:t>neuvědomuje</w:t>
      </w:r>
      <w:r w:rsidR="00E7631E">
        <w:t xml:space="preserve"> nebo si to nemůže z finančních důvodů dovolit</w:t>
      </w:r>
      <w:r>
        <w:t xml:space="preserve">. </w:t>
      </w:r>
      <w:r w:rsidR="00E7631E">
        <w:t>D</w:t>
      </w:r>
      <w:r>
        <w:t xml:space="preserve">iskrepance </w:t>
      </w:r>
      <w:r w:rsidR="00E7631E">
        <w:t>mezi potřebami a</w:t>
      </w:r>
      <w:r w:rsidR="00DA0AFE">
        <w:t> </w:t>
      </w:r>
      <w:r w:rsidR="00E7631E">
        <w:t xml:space="preserve">realitou </w:t>
      </w:r>
      <w:r>
        <w:t xml:space="preserve">může v případě vyšší míry nebo </w:t>
      </w:r>
      <w:r w:rsidR="003A7736">
        <w:t>při</w:t>
      </w:r>
      <w:r>
        <w:t xml:space="preserve"> déletrvající</w:t>
      </w:r>
      <w:r w:rsidR="003A7736">
        <w:t>m stavu</w:t>
      </w:r>
      <w:r>
        <w:t xml:space="preserve"> snadno vyústit až do podoby problémů, ke</w:t>
      </w:r>
      <w:r w:rsidR="00DA0AFE">
        <w:t> </w:t>
      </w:r>
      <w:r>
        <w:t xml:space="preserve">kterým se již firmy obrátit zády nemohou (např. problémy s nekvalitním plněním zakázek, odchody klíčových zaměstnanců firmy apod.). Proto je nutné případným problémům předcházet, k čemuž reflexe </w:t>
      </w:r>
      <w:r w:rsidR="003A7736">
        <w:t xml:space="preserve">neposkytování dalšího vzdělávání </w:t>
      </w:r>
      <w:r>
        <w:t>zaměstnanců může pomoci.</w:t>
      </w:r>
    </w:p>
    <w:p w:rsidR="00087249" w:rsidRDefault="00087249" w:rsidP="00CA0FFC">
      <w:pPr>
        <w:spacing w:after="0"/>
        <w:contextualSpacing/>
        <w:jc w:val="both"/>
        <w:rPr>
          <w:b/>
          <w:u w:val="single"/>
        </w:rPr>
      </w:pPr>
    </w:p>
    <w:p w:rsidR="00087249" w:rsidRDefault="00EC53DF" w:rsidP="00CA0FFC">
      <w:pPr>
        <w:pStyle w:val="Nadpis3"/>
      </w:pPr>
      <w:bookmarkStart w:id="140" w:name="_Toc485639762"/>
      <w:bookmarkStart w:id="141" w:name="_Toc490472745"/>
      <w:bookmarkStart w:id="142" w:name="_Toc501614117"/>
      <w:r>
        <w:t>Hlavní</w:t>
      </w:r>
      <w:r w:rsidR="00087249" w:rsidRPr="006C6ACF">
        <w:t xml:space="preserve"> zjištění</w:t>
      </w:r>
      <w:bookmarkEnd w:id="140"/>
      <w:bookmarkEnd w:id="141"/>
      <w:bookmarkEnd w:id="142"/>
    </w:p>
    <w:p w:rsidR="00087249" w:rsidRPr="0077709B" w:rsidRDefault="0077709B" w:rsidP="00CA0FFC">
      <w:pPr>
        <w:pStyle w:val="Odstavecseseznamem"/>
        <w:numPr>
          <w:ilvl w:val="0"/>
          <w:numId w:val="25"/>
        </w:numPr>
        <w:spacing w:after="0"/>
        <w:jc w:val="both"/>
        <w:rPr>
          <w:rFonts w:cs="Arial"/>
          <w:u w:val="single"/>
        </w:rPr>
      </w:pPr>
      <w:r w:rsidRPr="0077709B">
        <w:rPr>
          <w:rFonts w:cs="Arial"/>
        </w:rPr>
        <w:t xml:space="preserve">Téměř 60 % firem </w:t>
      </w:r>
      <w:r w:rsidR="00EA11B1">
        <w:rPr>
          <w:rFonts w:cs="Arial"/>
        </w:rPr>
        <w:t>neposkytuje více vzdělávání zaměstnanců, protože se domnívá, že stávající kvalifikace či účast na vzdělávání jsou pro potřeby podniku dostatečné.</w:t>
      </w:r>
    </w:p>
    <w:p w:rsidR="00087249" w:rsidRPr="00986430" w:rsidRDefault="00087249" w:rsidP="00CA0FFC">
      <w:pPr>
        <w:pStyle w:val="Odstavecseseznamem"/>
        <w:numPr>
          <w:ilvl w:val="0"/>
          <w:numId w:val="17"/>
        </w:numPr>
        <w:spacing w:after="0"/>
        <w:jc w:val="both"/>
        <w:rPr>
          <w:rFonts w:cs="Arial"/>
          <w:u w:val="single"/>
        </w:rPr>
      </w:pPr>
      <w:r w:rsidRPr="00EA2E58">
        <w:rPr>
          <w:rFonts w:cs="Arial"/>
        </w:rPr>
        <w:t>Nejčastějším omezením</w:t>
      </w:r>
      <w:r>
        <w:rPr>
          <w:rFonts w:cs="Arial"/>
        </w:rPr>
        <w:t xml:space="preserve"> v poskytování více vzdělávání mezi firmami, které nějaké vzdělávání zaměstnancům poskytovaly,</w:t>
      </w:r>
      <w:r w:rsidRPr="00EA2E58">
        <w:rPr>
          <w:rFonts w:cs="Arial"/>
        </w:rPr>
        <w:t xml:space="preserve"> byl</w:t>
      </w:r>
      <w:r w:rsidR="00882FC9">
        <w:rPr>
          <w:rFonts w:cs="Arial"/>
        </w:rPr>
        <w:t>o</w:t>
      </w:r>
      <w:r w:rsidRPr="00EA2E58">
        <w:rPr>
          <w:rFonts w:cs="Arial"/>
        </w:rPr>
        <w:t xml:space="preserve"> vysoké časové a pracovní vytížení zaměstnanců</w:t>
      </w:r>
      <w:r>
        <w:rPr>
          <w:rFonts w:cs="Arial"/>
        </w:rPr>
        <w:t xml:space="preserve"> (uvedlo 16</w:t>
      </w:r>
      <w:r w:rsidR="00DA0AFE">
        <w:rPr>
          <w:rFonts w:cs="Arial"/>
        </w:rPr>
        <w:t> </w:t>
      </w:r>
      <w:r w:rsidR="003A7736">
        <w:rPr>
          <w:rFonts w:cs="Arial"/>
          <w:lang w:val="en-US"/>
        </w:rPr>
        <w:t>%</w:t>
      </w:r>
      <w:r w:rsidR="00DA0AFE">
        <w:rPr>
          <w:rFonts w:cs="Arial"/>
          <w:lang w:val="en-US"/>
        </w:rPr>
        <w:t> </w:t>
      </w:r>
      <w:r>
        <w:rPr>
          <w:rFonts w:cs="Arial"/>
        </w:rPr>
        <w:t>firem</w:t>
      </w:r>
      <w:r w:rsidR="003A7736">
        <w:rPr>
          <w:rFonts w:cs="Arial"/>
        </w:rPr>
        <w:t xml:space="preserve"> zajišťujících vzdělávání</w:t>
      </w:r>
      <w:r>
        <w:rPr>
          <w:rFonts w:cs="Arial"/>
        </w:rPr>
        <w:t>)</w:t>
      </w:r>
      <w:r w:rsidRPr="00EA2E58">
        <w:rPr>
          <w:rFonts w:cs="Arial"/>
        </w:rPr>
        <w:t xml:space="preserve">. </w:t>
      </w:r>
    </w:p>
    <w:p w:rsidR="00087249" w:rsidRPr="00986430" w:rsidRDefault="00087249" w:rsidP="00CA0FFC">
      <w:pPr>
        <w:pStyle w:val="Odstavecseseznamem"/>
        <w:numPr>
          <w:ilvl w:val="0"/>
          <w:numId w:val="17"/>
        </w:numPr>
        <w:spacing w:after="0"/>
        <w:jc w:val="both"/>
        <w:rPr>
          <w:rFonts w:cs="Arial"/>
          <w:u w:val="single"/>
        </w:rPr>
      </w:pPr>
      <w:r w:rsidRPr="00EA2E58">
        <w:rPr>
          <w:rFonts w:cs="Arial"/>
        </w:rPr>
        <w:t xml:space="preserve">Nejvíce </w:t>
      </w:r>
      <w:r>
        <w:rPr>
          <w:rFonts w:cs="Arial"/>
        </w:rPr>
        <w:t>zastoupeným důvodem pro neposkytnutí vzdělávání</w:t>
      </w:r>
      <w:r w:rsidRPr="00EA2E58">
        <w:rPr>
          <w:rFonts w:cs="Arial"/>
        </w:rPr>
        <w:t xml:space="preserve"> zaměstnanců</w:t>
      </w:r>
      <w:r>
        <w:rPr>
          <w:rFonts w:cs="Arial"/>
        </w:rPr>
        <w:t>m</w:t>
      </w:r>
      <w:r w:rsidRPr="00EA2E58">
        <w:rPr>
          <w:rFonts w:cs="Arial"/>
        </w:rPr>
        <w:t xml:space="preserve"> </w:t>
      </w:r>
      <w:r>
        <w:rPr>
          <w:rFonts w:cs="Arial"/>
        </w:rPr>
        <w:t>mezi firmami, které žádné vzdělávání zaměstnancům ve sledovaném období neposkytly,</w:t>
      </w:r>
      <w:r w:rsidRPr="00EA2E58">
        <w:rPr>
          <w:rFonts w:cs="Arial"/>
        </w:rPr>
        <w:t xml:space="preserve"> byl</w:t>
      </w:r>
      <w:r w:rsidR="00340321">
        <w:rPr>
          <w:rFonts w:cs="Arial"/>
        </w:rPr>
        <w:t>o přesvědčení</w:t>
      </w:r>
      <w:r w:rsidRPr="00EA2E58">
        <w:rPr>
          <w:rFonts w:cs="Arial"/>
        </w:rPr>
        <w:t xml:space="preserve">, že stávající </w:t>
      </w:r>
      <w:r w:rsidR="00340321">
        <w:rPr>
          <w:rFonts w:cs="Arial"/>
        </w:rPr>
        <w:t xml:space="preserve">znalosti a </w:t>
      </w:r>
      <w:r w:rsidRPr="00EA2E58">
        <w:rPr>
          <w:rFonts w:cs="Arial"/>
        </w:rPr>
        <w:t xml:space="preserve">dovednosti </w:t>
      </w:r>
      <w:r w:rsidR="00340321">
        <w:rPr>
          <w:rFonts w:cs="Arial"/>
        </w:rPr>
        <w:t xml:space="preserve">zaměstnanců </w:t>
      </w:r>
      <w:r w:rsidRPr="00EA2E58">
        <w:rPr>
          <w:rFonts w:cs="Arial"/>
        </w:rPr>
        <w:t>odpovídaly potřebám firmy (69 %</w:t>
      </w:r>
      <w:r>
        <w:rPr>
          <w:rFonts w:cs="Arial"/>
        </w:rPr>
        <w:t xml:space="preserve"> firem neposkytujících vzdělávání</w:t>
      </w:r>
      <w:r w:rsidRPr="00EA2E58">
        <w:rPr>
          <w:rFonts w:cs="Arial"/>
        </w:rPr>
        <w:t>).</w:t>
      </w:r>
    </w:p>
    <w:p w:rsidR="00087249" w:rsidRDefault="00087249" w:rsidP="00CA0FFC">
      <w:pPr>
        <w:pStyle w:val="Odstavecseseznamem"/>
        <w:numPr>
          <w:ilvl w:val="0"/>
          <w:numId w:val="17"/>
        </w:numPr>
        <w:spacing w:after="0"/>
        <w:jc w:val="both"/>
        <w:rPr>
          <w:rFonts w:cs="Arial"/>
        </w:rPr>
      </w:pPr>
      <w:r w:rsidRPr="00AB2EEA">
        <w:rPr>
          <w:rFonts w:cs="Arial"/>
        </w:rPr>
        <w:t xml:space="preserve">Nejméně častým omezením (2 </w:t>
      </w:r>
      <w:r w:rsidR="003A7736" w:rsidRPr="00AB2EEA">
        <w:rPr>
          <w:rFonts w:cs="Arial"/>
        </w:rPr>
        <w:t>%</w:t>
      </w:r>
      <w:r w:rsidRPr="00AB2EEA">
        <w:rPr>
          <w:rFonts w:cs="Arial"/>
        </w:rPr>
        <w:t xml:space="preserve"> v případě firem poskytujících</w:t>
      </w:r>
      <w:r w:rsidR="00DA0AFE">
        <w:rPr>
          <w:rFonts w:cs="Arial"/>
        </w:rPr>
        <w:t xml:space="preserve"> vzdělávání) i překážkou (0,4 %</w:t>
      </w:r>
      <w:r w:rsidRPr="00AB2EEA">
        <w:rPr>
          <w:rFonts w:cs="Arial"/>
        </w:rPr>
        <w:t xml:space="preserve"> v případě firem neposkytujících vzdělávání) jsou obtíže s identifikací vzdělávacích potřeb.</w:t>
      </w:r>
    </w:p>
    <w:p w:rsidR="00AB2EEA" w:rsidRPr="00AB2EEA" w:rsidRDefault="00AB2EEA" w:rsidP="00AB2EEA">
      <w:pPr>
        <w:pStyle w:val="Odstavecseseznamem"/>
        <w:spacing w:after="0"/>
        <w:jc w:val="both"/>
        <w:rPr>
          <w:rFonts w:cs="Arial"/>
        </w:rPr>
      </w:pPr>
    </w:p>
    <w:p w:rsidR="00087249" w:rsidRPr="00192B0F" w:rsidRDefault="004E7E54" w:rsidP="00CA0FFC">
      <w:pPr>
        <w:pStyle w:val="Nadpis4"/>
        <w:spacing w:after="120"/>
      </w:pPr>
      <w:bookmarkStart w:id="143" w:name="_Toc490472747"/>
      <w:bookmarkStart w:id="144" w:name="_Toc501614118"/>
      <w:r>
        <w:t>Důvody pro neposkytování</w:t>
      </w:r>
      <w:r w:rsidR="000469F6">
        <w:t xml:space="preserve"> (</w:t>
      </w:r>
      <w:r w:rsidR="006727A6">
        <w:t>více</w:t>
      </w:r>
      <w:r w:rsidR="000469F6">
        <w:t>)</w:t>
      </w:r>
      <w:r w:rsidR="006727A6">
        <w:t xml:space="preserve"> vzdělávání zaměstnancům</w:t>
      </w:r>
      <w:bookmarkEnd w:id="143"/>
      <w:bookmarkEnd w:id="144"/>
    </w:p>
    <w:p w:rsidR="00087249" w:rsidRDefault="0077709B" w:rsidP="00CA0FFC">
      <w:pPr>
        <w:spacing w:after="0"/>
        <w:contextualSpacing/>
        <w:jc w:val="both"/>
      </w:pPr>
      <w:r>
        <w:t>Více než 58 %</w:t>
      </w:r>
      <w:r w:rsidR="00087249">
        <w:t xml:space="preserve"> firem </w:t>
      </w:r>
      <w:r>
        <w:t xml:space="preserve">jako důvod pro neposkytování více vzdělávání zaměstnancům </w:t>
      </w:r>
      <w:r w:rsidR="00EA11B1">
        <w:t>uvedlo,</w:t>
      </w:r>
      <w:r>
        <w:t xml:space="preserve"> že stávající kvalifikace </w:t>
      </w:r>
      <w:r w:rsidR="004E7E54">
        <w:t>či zapojení zaměstnanců do vzděláv</w:t>
      </w:r>
      <w:r>
        <w:t>ání odpovídalo potřebám podniku</w:t>
      </w:r>
      <w:r w:rsidR="00EA11B1">
        <w:t xml:space="preserve">. Mezi </w:t>
      </w:r>
      <w:r w:rsidR="00087249">
        <w:t>odvětví</w:t>
      </w:r>
      <w:r w:rsidR="00EA11B1">
        <w:t>mi</w:t>
      </w:r>
      <w:r w:rsidR="00087249">
        <w:t xml:space="preserve"> největší souhlas </w:t>
      </w:r>
      <w:r w:rsidR="00EA11B1">
        <w:t>s odpovídající kvalifikací zaměstnanců či již dostatečné účasti na vzdělávání</w:t>
      </w:r>
      <w:r w:rsidR="00087249">
        <w:t xml:space="preserve"> deklarovaly firmy </w:t>
      </w:r>
      <w:r w:rsidR="003A7736">
        <w:t>ze</w:t>
      </w:r>
      <w:r w:rsidR="008C78A2">
        <w:t> </w:t>
      </w:r>
      <w:r w:rsidR="00087249">
        <w:t xml:space="preserve">sekce </w:t>
      </w:r>
      <w:r w:rsidR="00BD20CD">
        <w:t>D</w:t>
      </w:r>
      <w:r w:rsidR="003A7736">
        <w:t xml:space="preserve">oprava a skladování (sekce </w:t>
      </w:r>
      <w:r w:rsidR="00087249">
        <w:t>H</w:t>
      </w:r>
      <w:r w:rsidR="0081642E">
        <w:t>; 66 %</w:t>
      </w:r>
      <w:r w:rsidR="003A7736">
        <w:t>)</w:t>
      </w:r>
      <w:r w:rsidR="00087249">
        <w:t xml:space="preserve"> a dále firmy zabývající se výrobou a rozvody energií (</w:t>
      </w:r>
      <w:r w:rsidR="0081642E">
        <w:t xml:space="preserve">sekce </w:t>
      </w:r>
      <w:proofErr w:type="gramStart"/>
      <w:r w:rsidR="003A7736">
        <w:t>DE</w:t>
      </w:r>
      <w:proofErr w:type="gramEnd"/>
      <w:r w:rsidR="003A7736">
        <w:t>;</w:t>
      </w:r>
      <w:r w:rsidR="001C2920">
        <w:t xml:space="preserve"> </w:t>
      </w:r>
      <w:r w:rsidR="00087249">
        <w:t>6</w:t>
      </w:r>
      <w:r w:rsidR="00EA11B1">
        <w:t>3</w:t>
      </w:r>
      <w:r w:rsidR="00087249">
        <w:t xml:space="preserve"> %). V prvním případě jde o firmy, které zajišťovaly zejména povinné kurzy a zbylé formy vzdělávání spíše omezeně</w:t>
      </w:r>
      <w:r w:rsidR="00087249">
        <w:rPr>
          <w:rStyle w:val="Znakapoznpodarou"/>
          <w:rFonts w:eastAsia="MS Gothic"/>
        </w:rPr>
        <w:footnoteReference w:id="16"/>
      </w:r>
      <w:r w:rsidR="00087249">
        <w:t>, tudíž je možné usuzovat, že zaměstnanci jin</w:t>
      </w:r>
      <w:r w:rsidR="004116F0">
        <w:t>á</w:t>
      </w:r>
      <w:r w:rsidR="00087249">
        <w:t xml:space="preserve"> vzdělávání, než </w:t>
      </w:r>
      <w:r w:rsidR="00A0194A">
        <w:t>ta, která</w:t>
      </w:r>
      <w:r w:rsidR="00087249">
        <w:t xml:space="preserve"> ze zákona museli absolvovat, nepotřebovali (nebo si to firma neuvědomovala). V druhém případě, u firem z energetického odvětví, si zaměstnanci rovněž </w:t>
      </w:r>
      <w:r w:rsidR="00DF15F9">
        <w:t xml:space="preserve">z velké části </w:t>
      </w:r>
      <w:r w:rsidR="00087249">
        <w:t xml:space="preserve">vystačili s povinným vzděláváním, nicméně u třetiny firem doplněným o nepovinné kurzy </w:t>
      </w:r>
      <w:r w:rsidR="00DF15F9">
        <w:t>a zároveň o</w:t>
      </w:r>
      <w:r w:rsidR="00087249">
        <w:t xml:space="preserve"> jiné formy vzdělávání. </w:t>
      </w:r>
      <w:r w:rsidR="00A07D55">
        <w:t>Jak již z výše uvedených poznatků vyplývá,</w:t>
      </w:r>
      <w:r w:rsidR="00087249">
        <w:t xml:space="preserve"> firmy z odvětví </w:t>
      </w:r>
      <w:r w:rsidR="00BD20CD">
        <w:t xml:space="preserve">Ubytování, </w:t>
      </w:r>
      <w:r w:rsidR="00087249">
        <w:t>strav</w:t>
      </w:r>
      <w:r w:rsidR="00A07D55">
        <w:t>ování</w:t>
      </w:r>
      <w:r w:rsidR="00BD20CD">
        <w:t xml:space="preserve"> a pohostinství</w:t>
      </w:r>
      <w:r w:rsidR="00A07D55">
        <w:t xml:space="preserve"> (sekce I) </w:t>
      </w:r>
      <w:r w:rsidR="00087249">
        <w:t xml:space="preserve">obecně jiné vzdělávání než povinné </w:t>
      </w:r>
      <w:r w:rsidR="00A07D55">
        <w:t xml:space="preserve">příliš </w:t>
      </w:r>
      <w:r w:rsidR="00087249">
        <w:t>n</w:t>
      </w:r>
      <w:r w:rsidR="00A07D55">
        <w:t xml:space="preserve">eposkytují (a toho </w:t>
      </w:r>
      <w:r w:rsidR="00340321">
        <w:t>méně než čtyři pětiny</w:t>
      </w:r>
      <w:r w:rsidR="00A07D55">
        <w:t xml:space="preserve">). </w:t>
      </w:r>
      <w:r w:rsidR="00EA11B1">
        <w:t>48</w:t>
      </w:r>
      <w:r w:rsidR="00A07D55">
        <w:t xml:space="preserve"> % firem </w:t>
      </w:r>
      <w:r w:rsidR="00EA11B1">
        <w:t>z tohoto odvětví se spokojí se stávajícím zapojením do vzdělávání popř. se stávající kvalifikací zaměstnanců.</w:t>
      </w:r>
    </w:p>
    <w:p w:rsidR="00087249" w:rsidRDefault="00087249" w:rsidP="00CA0FFC">
      <w:pPr>
        <w:spacing w:after="0"/>
        <w:contextualSpacing/>
        <w:jc w:val="both"/>
      </w:pPr>
    </w:p>
    <w:p w:rsidR="00340321" w:rsidRDefault="00087249" w:rsidP="00CA0FFC">
      <w:pPr>
        <w:spacing w:after="0"/>
        <w:contextualSpacing/>
        <w:jc w:val="both"/>
      </w:pPr>
      <w:r>
        <w:t xml:space="preserve">Nejčastějšími faktory, které vedou k omezení vzdělávání ve firmě nebo jsou důvodem pro jeho neposkytování, jsou v 15 % firem vysoké pracovní a časové vytížení zaměstnanců a </w:t>
      </w:r>
      <w:r w:rsidR="004334ED">
        <w:t xml:space="preserve">upřednostňování náboru nových pracovníků před vzděláváním stávajících (12 %). Tento důvod pro neposkytování více vzdělávání uvádí každá pátá firma z odvětví </w:t>
      </w:r>
      <w:r w:rsidR="00BD20CD">
        <w:t xml:space="preserve">Ubytování, </w:t>
      </w:r>
      <w:r w:rsidR="004334ED">
        <w:t>stravování</w:t>
      </w:r>
      <w:r w:rsidR="00BD20CD">
        <w:t xml:space="preserve"> a pohostinství</w:t>
      </w:r>
      <w:r w:rsidR="004334ED">
        <w:t xml:space="preserve"> (sekce I).</w:t>
      </w:r>
      <w:r>
        <w:t xml:space="preserve"> </w:t>
      </w:r>
      <w:r w:rsidR="00340321">
        <w:t>Naopak potíže s identifikací vzdělávacích potřeb svých zaměstnanců neudávají téměř žádné firmy (1 %) bez ohledu na</w:t>
      </w:r>
      <w:r w:rsidR="008C78A2">
        <w:t> </w:t>
      </w:r>
      <w:r w:rsidR="00340321">
        <w:t>odvětví.</w:t>
      </w:r>
    </w:p>
    <w:p w:rsidR="00087249" w:rsidRDefault="00087249" w:rsidP="00087249">
      <w:pPr>
        <w:spacing w:after="0"/>
        <w:contextualSpacing/>
        <w:jc w:val="both"/>
      </w:pPr>
    </w:p>
    <w:p w:rsidR="005E1C2B" w:rsidRDefault="005E1C2B" w:rsidP="005E1C2B">
      <w:pPr>
        <w:pStyle w:val="Titulek"/>
        <w:keepNext/>
        <w:jc w:val="both"/>
      </w:pPr>
      <w:bookmarkStart w:id="145" w:name="_Toc501615613"/>
      <w:r>
        <w:lastRenderedPageBreak/>
        <w:t xml:space="preserve">Graf č. </w:t>
      </w:r>
      <w:r w:rsidR="007C3A3E">
        <w:fldChar w:fldCharType="begin"/>
      </w:r>
      <w:r w:rsidR="00C84608">
        <w:instrText xml:space="preserve"> SEQ Graf_č. \* ARABIC </w:instrText>
      </w:r>
      <w:r w:rsidR="007C3A3E">
        <w:fldChar w:fldCharType="separate"/>
      </w:r>
      <w:r w:rsidR="00476EDB">
        <w:rPr>
          <w:noProof/>
        </w:rPr>
        <w:t>30</w:t>
      </w:r>
      <w:r w:rsidR="007C3A3E">
        <w:rPr>
          <w:noProof/>
        </w:rPr>
        <w:fldChar w:fldCharType="end"/>
      </w:r>
      <w:r>
        <w:t>: Podíl firem podle důvodů pro nepos</w:t>
      </w:r>
      <w:r w:rsidR="00C174A4">
        <w:t>kytování vzdělávání zaměstnanců,</w:t>
      </w:r>
      <w:r>
        <w:t xml:space="preserve"> nebo poskytování </w:t>
      </w:r>
      <w:r w:rsidR="00A0194A">
        <w:t xml:space="preserve">vzdělávání zaměstnanců </w:t>
      </w:r>
      <w:r>
        <w:t>v omezené míře, 2015</w:t>
      </w:r>
      <w:bookmarkEnd w:id="145"/>
    </w:p>
    <w:p w:rsidR="00087249" w:rsidRDefault="00A90657" w:rsidP="00087249">
      <w:pPr>
        <w:spacing w:after="0"/>
        <w:contextualSpacing/>
        <w:jc w:val="both"/>
        <w:rPr>
          <w:u w:val="single"/>
        </w:rPr>
      </w:pPr>
      <w:r>
        <w:rPr>
          <w:noProof/>
        </w:rPr>
        <w:drawing>
          <wp:inline distT="0" distB="0" distL="0" distR="0" wp14:anchorId="221BFD5D" wp14:editId="1D11D401">
            <wp:extent cx="5769553" cy="3670156"/>
            <wp:effectExtent l="0" t="0" r="3175" b="6985"/>
            <wp:docPr id="97" name="Graf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95AC5" w:rsidRDefault="00195AC5" w:rsidP="00087249">
      <w:pPr>
        <w:spacing w:after="0"/>
        <w:contextualSpacing/>
        <w:jc w:val="both"/>
        <w:rPr>
          <w:u w:val="single"/>
        </w:rPr>
      </w:pPr>
    </w:p>
    <w:p w:rsidR="00087249" w:rsidRPr="00EA2E58" w:rsidRDefault="00555EE6" w:rsidP="00AA16FF">
      <w:pPr>
        <w:spacing w:after="0"/>
        <w:contextualSpacing/>
        <w:rPr>
          <w:sz w:val="18"/>
        </w:rPr>
      </w:pPr>
      <w:r>
        <w:rPr>
          <w:sz w:val="18"/>
        </w:rPr>
        <w:t>Z</w:t>
      </w:r>
      <w:r w:rsidR="00087249" w:rsidRPr="00EA2E58">
        <w:rPr>
          <w:sz w:val="18"/>
        </w:rPr>
        <w:t>droj: šetření CVTS, ČSÚ 2017</w:t>
      </w:r>
    </w:p>
    <w:p w:rsidR="00087249" w:rsidRDefault="00555EE6" w:rsidP="00AA16FF">
      <w:pPr>
        <w:spacing w:after="0"/>
        <w:rPr>
          <w:sz w:val="18"/>
        </w:rPr>
      </w:pPr>
      <w:r>
        <w:rPr>
          <w:sz w:val="18"/>
        </w:rPr>
        <w:t>Pozn.:</w:t>
      </w:r>
      <w:r w:rsidR="00087249" w:rsidRPr="005B027D">
        <w:rPr>
          <w:sz w:val="18"/>
        </w:rPr>
        <w:t xml:space="preserve"> firmy mohly označit více odpovědí</w:t>
      </w:r>
    </w:p>
    <w:p w:rsidR="00855275" w:rsidRPr="005B027D" w:rsidRDefault="00855275" w:rsidP="00AA16FF">
      <w:pPr>
        <w:spacing w:after="0"/>
        <w:rPr>
          <w:sz w:val="18"/>
        </w:rPr>
      </w:pPr>
      <w:r>
        <w:rPr>
          <w:sz w:val="18"/>
        </w:rPr>
        <w:t xml:space="preserve">* </w:t>
      </w:r>
      <w:r w:rsidR="004334ED">
        <w:rPr>
          <w:sz w:val="18"/>
        </w:rPr>
        <w:t>Podporou POV (=počáteční odborné vzdělání) je zde myšleno poskytování praktické výchovy žákům/studentům formálního vzdělávání směřujícího k získání výučního listu či maturitní zkoušky (příp. vzdělávání na konzervatořích), kteří jsou v podnicích na praxi.</w:t>
      </w:r>
    </w:p>
    <w:p w:rsidR="00087249" w:rsidRDefault="00087249" w:rsidP="00087249">
      <w:pPr>
        <w:spacing w:after="0"/>
        <w:contextualSpacing/>
        <w:jc w:val="both"/>
        <w:rPr>
          <w:u w:val="single"/>
        </w:rPr>
      </w:pPr>
    </w:p>
    <w:p w:rsidR="00125C79" w:rsidRDefault="00087249" w:rsidP="00087249">
      <w:pPr>
        <w:spacing w:after="0"/>
        <w:contextualSpacing/>
        <w:jc w:val="both"/>
      </w:pPr>
      <w:r>
        <w:t xml:space="preserve">Vysoké pracovní a časové vytížení je důvodem k omezení či </w:t>
      </w:r>
      <w:proofErr w:type="spellStart"/>
      <w:r>
        <w:t>nerealizaci</w:t>
      </w:r>
      <w:proofErr w:type="spellEnd"/>
      <w:r>
        <w:t xml:space="preserve"> vzdělávání zaměstnanců zejména u</w:t>
      </w:r>
      <w:r w:rsidR="008C78A2">
        <w:t> </w:t>
      </w:r>
      <w:r>
        <w:t xml:space="preserve">velkých firem (28 %, s velikostí firmy význam tohoto omezení roste) a firem z odvětví </w:t>
      </w:r>
      <w:r w:rsidR="00BD20CD">
        <w:t>I</w:t>
      </w:r>
      <w:r w:rsidR="004116F0">
        <w:t>nformační</w:t>
      </w:r>
      <w:r>
        <w:t xml:space="preserve"> a</w:t>
      </w:r>
      <w:r w:rsidR="008C78A2">
        <w:t> </w:t>
      </w:r>
      <w:r>
        <w:t>ko</w:t>
      </w:r>
      <w:r w:rsidR="004116F0">
        <w:t>munikační</w:t>
      </w:r>
      <w:r w:rsidR="005634B8">
        <w:t xml:space="preserve"> </w:t>
      </w:r>
      <w:r w:rsidR="004116F0">
        <w:t>činnosti</w:t>
      </w:r>
      <w:r w:rsidR="005634B8">
        <w:t xml:space="preserve"> (</w:t>
      </w:r>
      <w:r w:rsidR="004116F0">
        <w:t xml:space="preserve">sekce J; </w:t>
      </w:r>
      <w:r w:rsidR="005634B8">
        <w:t xml:space="preserve">23 %). </w:t>
      </w:r>
      <w:r w:rsidR="006727A6">
        <w:t>Ovšem jak již bylo zmíněno výše, právě tyto kategorie patří mezi nejaktivnější, co se týče vzdělávání zaměstnanců.</w:t>
      </w:r>
      <w:r w:rsidR="00FD43CA">
        <w:t xml:space="preserve"> </w:t>
      </w:r>
      <w:r>
        <w:t xml:space="preserve">Naopak </w:t>
      </w:r>
      <w:r w:rsidR="00125C79">
        <w:t>u odvětví, které neklade takový dů</w:t>
      </w:r>
      <w:r w:rsidR="00BD20CD">
        <w:t>raz na</w:t>
      </w:r>
      <w:r w:rsidR="008C78A2">
        <w:t> </w:t>
      </w:r>
      <w:r w:rsidR="00BD20CD">
        <w:t xml:space="preserve">vzdělávání – Ubytování, </w:t>
      </w:r>
      <w:r w:rsidR="00125C79">
        <w:t xml:space="preserve">stravování </w:t>
      </w:r>
      <w:r w:rsidR="00BD20CD">
        <w:t xml:space="preserve">a pohostinství (sekce I) </w:t>
      </w:r>
      <w:r w:rsidR="00E7631E">
        <w:t xml:space="preserve">– </w:t>
      </w:r>
      <w:r w:rsidR="00125C79">
        <w:t>je podle 26 % firem neposkytování vzdělávání ve větší míře dáno specifickou HR strategií</w:t>
      </w:r>
      <w:r>
        <w:rPr>
          <w:rStyle w:val="Znakapoznpodarou"/>
        </w:rPr>
        <w:footnoteReference w:id="17"/>
      </w:r>
      <w:r w:rsidR="00125C79">
        <w:t xml:space="preserve">. </w:t>
      </w:r>
      <w:r>
        <w:t>Část firem v této oblasti tedy pociťuje omezení v otázce vzdělávání svých zaměstnanců</w:t>
      </w:r>
      <w:r w:rsidR="005634B8">
        <w:t>.</w:t>
      </w:r>
      <w:r>
        <w:t xml:space="preserve"> </w:t>
      </w:r>
      <w:r w:rsidR="005634B8">
        <w:t>F</w:t>
      </w:r>
      <w:r>
        <w:t xml:space="preserve">irmy cítí, že by zaměstnanci vzdělávání potřebovali (zejména v oblasti posílení měkkých kompetencí), </w:t>
      </w:r>
      <w:r w:rsidR="00125C79">
        <w:t xml:space="preserve">jiné </w:t>
      </w:r>
      <w:r>
        <w:t xml:space="preserve">firmy na druhou stranu </w:t>
      </w:r>
      <w:r w:rsidR="0081642E">
        <w:t>v relativně nadprůměrné míře (17</w:t>
      </w:r>
      <w:r>
        <w:t xml:space="preserve"> % oproti průměru za všechna odvětví 11 %) tvrdí, že vzdělávání zaměstnanci nepotřebují. Situaci </w:t>
      </w:r>
      <w:r w:rsidR="005634B8">
        <w:t xml:space="preserve">navíc </w:t>
      </w:r>
      <w:r>
        <w:t>komplik</w:t>
      </w:r>
      <w:r w:rsidR="005634B8">
        <w:t>uje již zmíněná specifická personální strategie, kdy</w:t>
      </w:r>
      <w:r>
        <w:t xml:space="preserve"> firmy v této oblasti </w:t>
      </w:r>
      <w:r w:rsidR="005634B8">
        <w:t>mají tendenci nabírat</w:t>
      </w:r>
      <w:r>
        <w:t xml:space="preserve"> nové zaměstnance, kteří jsou lépe vybaveni požadovanými kompetencemi než zaměstnanci stávající a zároveň některé firmy spolupracují s odbornými školami v zajišťování praxí pro studenty a učně.</w:t>
      </w:r>
    </w:p>
    <w:p w:rsidR="00087249" w:rsidRDefault="00125C79" w:rsidP="00087249">
      <w:pPr>
        <w:spacing w:after="0"/>
        <w:contextualSpacing/>
        <w:jc w:val="both"/>
      </w:pPr>
      <w:r>
        <w:t xml:space="preserve"> </w:t>
      </w:r>
    </w:p>
    <w:p w:rsidR="00087249" w:rsidRDefault="00087249" w:rsidP="00087249">
      <w:pPr>
        <w:spacing w:after="0"/>
        <w:contextualSpacing/>
        <w:jc w:val="both"/>
      </w:pPr>
      <w:r>
        <w:t>Jak by se dalo předpokládat, i jak částečně vyplývá z předchozího textu, firmy s větším zájmem o vzdělávání zaměstnanců</w:t>
      </w:r>
      <w:r>
        <w:rPr>
          <w:rStyle w:val="Znakapoznpodarou"/>
          <w:rFonts w:eastAsia="MS Gothic"/>
        </w:rPr>
        <w:footnoteReference w:id="18"/>
      </w:r>
      <w:r>
        <w:t xml:space="preserve"> častěji deklarují, že v jeho praktické realizaci nevidí žádná omezení, </w:t>
      </w:r>
      <w:r w:rsidR="00BD5B70">
        <w:t>lze se tedy domnívat</w:t>
      </w:r>
      <w:r>
        <w:t xml:space="preserve">, že vzdělávání úspěšně realizují. Naopak firmy s nejnižším zájmem o vzdělávání svých zaměstnanců omezení vidí, nicméně jeho konkrétní formy nijak výrazně nevyzdvihují (vykazují průměrné nebo podprůměrné </w:t>
      </w:r>
      <w:r>
        <w:lastRenderedPageBreak/>
        <w:t xml:space="preserve">hodnoty). Nabízí se tedy otázka, nakolik jsou uvedená omezení či překážky skutečnými problémy a zda by jejich vyřešení přineslo zaměstnancům firem deklarované potřebné vzdělávání nebo nakolik jsou jen zdůvodněním nezájmu o vzdělávání nebo neuvědomění si jeho potřeby. </w:t>
      </w:r>
    </w:p>
    <w:p w:rsidR="00087249" w:rsidRDefault="00087249" w:rsidP="00087249">
      <w:pPr>
        <w:spacing w:after="0"/>
        <w:contextualSpacing/>
        <w:jc w:val="both"/>
      </w:pPr>
    </w:p>
    <w:p w:rsidR="00087249" w:rsidRDefault="00087249" w:rsidP="005634B8">
      <w:pPr>
        <w:pStyle w:val="Nadpis4"/>
        <w:spacing w:after="120"/>
      </w:pPr>
      <w:bookmarkStart w:id="146" w:name="_Toc490472748"/>
      <w:bookmarkStart w:id="147" w:name="_Toc501614119"/>
      <w:r>
        <w:t>Omezení</w:t>
      </w:r>
      <w:r w:rsidRPr="00192B0F">
        <w:t xml:space="preserve"> ve vz</w:t>
      </w:r>
      <w:r>
        <w:t>dělávání zaměstnanců firem poskytujících vzdělávání</w:t>
      </w:r>
      <w:bookmarkEnd w:id="146"/>
      <w:bookmarkEnd w:id="147"/>
    </w:p>
    <w:p w:rsidR="00087249" w:rsidRDefault="00087249" w:rsidP="005634B8">
      <w:pPr>
        <w:spacing w:after="0"/>
        <w:contextualSpacing/>
        <w:jc w:val="both"/>
      </w:pPr>
      <w:r>
        <w:t>Firmy, které v roce 2015 zajišťovaly nějaký druh vzdělávání pro své zaměstnance (a kterých byla z celkové</w:t>
      </w:r>
      <w:r w:rsidR="00F12CE1">
        <w:t>ho počtu valná většina</w:t>
      </w:r>
      <w:r w:rsidRPr="005634B8">
        <w:rPr>
          <w:u w:val="single"/>
        </w:rPr>
        <w:t>)</w:t>
      </w:r>
      <w:r>
        <w:t xml:space="preserve">, si při této činnosti ve více než polovině případů (57 %) nebyly vědomy žádných omezení. </w:t>
      </w:r>
      <w:r w:rsidR="00E7631E">
        <w:t xml:space="preserve">Pokud už firmy nějaké omezení připouštějí, pak jich zpravidla není mnoho, obvykle jedno (uvedlo 26 %) nebo dvě (13 %). </w:t>
      </w:r>
      <w:r>
        <w:t>Nejčastějším omezením bylo (stejně jako u všech firem) vysoké pracovní a</w:t>
      </w:r>
      <w:r w:rsidR="00DA0AFE">
        <w:t> </w:t>
      </w:r>
      <w:r>
        <w:t>časové vytížení zaměstnanců (16 %), následované upřednostňování</w:t>
      </w:r>
      <w:r w:rsidR="000726AD">
        <w:t>m</w:t>
      </w:r>
      <w:r>
        <w:t xml:space="preserve"> nabírání nových (lépe kvalifikovaných) pracovníků před vzděláváním stávajících zaměstnanců (13 %). Třetím </w:t>
      </w:r>
      <w:r w:rsidR="00340321">
        <w:t xml:space="preserve">nejčastěji uváděným </w:t>
      </w:r>
      <w:r>
        <w:t>omezením vyšší intenzity firemního vzdělávání, které uvedla desetina poskytujících firem, byly jeho vysoké náklady.</w:t>
      </w:r>
    </w:p>
    <w:p w:rsidR="00087249" w:rsidRDefault="00087249" w:rsidP="00087249">
      <w:pPr>
        <w:spacing w:after="0"/>
        <w:contextualSpacing/>
        <w:jc w:val="both"/>
      </w:pPr>
    </w:p>
    <w:p w:rsidR="00087249" w:rsidRPr="00CA4572" w:rsidRDefault="00087249" w:rsidP="00087249">
      <w:pPr>
        <w:pStyle w:val="Titulek"/>
        <w:keepNext/>
        <w:jc w:val="both"/>
      </w:pPr>
      <w:bookmarkStart w:id="148" w:name="_Toc484437878"/>
      <w:bookmarkStart w:id="149" w:name="_Toc501615614"/>
      <w:r w:rsidRPr="005E1C2B">
        <w:t xml:space="preserve">Graf č. </w:t>
      </w:r>
      <w:r w:rsidR="007C3A3E">
        <w:fldChar w:fldCharType="begin"/>
      </w:r>
      <w:r w:rsidR="00C84608">
        <w:instrText xml:space="preserve"> SEQ Graf_č. \* ARABIC </w:instrText>
      </w:r>
      <w:r w:rsidR="007C3A3E">
        <w:fldChar w:fldCharType="separate"/>
      </w:r>
      <w:r w:rsidR="00476EDB">
        <w:rPr>
          <w:noProof/>
        </w:rPr>
        <w:t>31</w:t>
      </w:r>
      <w:r w:rsidR="007C3A3E">
        <w:rPr>
          <w:noProof/>
        </w:rPr>
        <w:fldChar w:fldCharType="end"/>
      </w:r>
      <w:r w:rsidRPr="005E1C2B">
        <w:t>:</w:t>
      </w:r>
      <w:r>
        <w:t xml:space="preserve"> Podíl firem poskytujících vzdělání podle důvodů pro jeho poskytování v omezené míře, 201</w:t>
      </w:r>
      <w:bookmarkEnd w:id="148"/>
      <w:r>
        <w:t>5</w:t>
      </w:r>
      <w:bookmarkEnd w:id="149"/>
    </w:p>
    <w:p w:rsidR="00087249" w:rsidRDefault="00A90657" w:rsidP="00087249">
      <w:pPr>
        <w:spacing w:after="0"/>
        <w:contextualSpacing/>
        <w:jc w:val="both"/>
        <w:rPr>
          <w:b/>
        </w:rPr>
      </w:pPr>
      <w:r>
        <w:rPr>
          <w:noProof/>
        </w:rPr>
        <w:drawing>
          <wp:inline distT="0" distB="0" distL="0" distR="0" wp14:anchorId="7DECE1B2" wp14:editId="7AEBCA65">
            <wp:extent cx="6029325" cy="3962400"/>
            <wp:effectExtent l="0" t="0" r="0" b="0"/>
            <wp:docPr id="98" name="Graf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87249" w:rsidRPr="00EA2E58" w:rsidRDefault="00555EE6" w:rsidP="00087249">
      <w:pPr>
        <w:spacing w:after="0"/>
        <w:contextualSpacing/>
        <w:rPr>
          <w:sz w:val="18"/>
        </w:rPr>
      </w:pPr>
      <w:r>
        <w:rPr>
          <w:sz w:val="18"/>
        </w:rPr>
        <w:t>Z</w:t>
      </w:r>
      <w:r w:rsidR="00087249" w:rsidRPr="00EA2E58">
        <w:rPr>
          <w:sz w:val="18"/>
        </w:rPr>
        <w:t>droj: šetření CVTS, ČSÚ 2017</w:t>
      </w:r>
    </w:p>
    <w:p w:rsidR="00087249" w:rsidRDefault="00555EE6" w:rsidP="00087249">
      <w:pPr>
        <w:spacing w:after="0"/>
        <w:contextualSpacing/>
        <w:rPr>
          <w:sz w:val="18"/>
        </w:rPr>
      </w:pPr>
      <w:r>
        <w:rPr>
          <w:sz w:val="18"/>
        </w:rPr>
        <w:t>Pozn.:</w:t>
      </w:r>
      <w:r w:rsidR="00087249">
        <w:rPr>
          <w:sz w:val="18"/>
        </w:rPr>
        <w:t xml:space="preserve"> </w:t>
      </w:r>
      <w:r w:rsidR="00087249" w:rsidRPr="00EA2E58">
        <w:rPr>
          <w:sz w:val="18"/>
        </w:rPr>
        <w:t>firmy mohly označit více odpovědí</w:t>
      </w:r>
    </w:p>
    <w:p w:rsidR="004334ED" w:rsidRPr="005B027D" w:rsidRDefault="004334ED" w:rsidP="004334ED">
      <w:pPr>
        <w:spacing w:after="0"/>
        <w:rPr>
          <w:sz w:val="18"/>
        </w:rPr>
      </w:pPr>
      <w:r>
        <w:rPr>
          <w:sz w:val="18"/>
        </w:rPr>
        <w:t>* Podporou POV (=počáteční odborné vzdělání) je zde myšleno poskytování praktické výchovy žákům/studentům formálního vzdělávání směřujícího k získání výučního listu či maturitní zkoušky (příp. vzdělávání na konzervatořích), kteří jsou v podnicích na praxi.</w:t>
      </w:r>
    </w:p>
    <w:p w:rsidR="004334ED" w:rsidRPr="00EA2E58" w:rsidRDefault="004334ED" w:rsidP="00087249">
      <w:pPr>
        <w:spacing w:after="0"/>
        <w:contextualSpacing/>
        <w:rPr>
          <w:sz w:val="18"/>
        </w:rPr>
      </w:pPr>
    </w:p>
    <w:p w:rsidR="00087249" w:rsidRDefault="00087249" w:rsidP="00087249">
      <w:pPr>
        <w:spacing w:after="0"/>
        <w:contextualSpacing/>
        <w:jc w:val="both"/>
      </w:pPr>
      <w:r>
        <w:t xml:space="preserve">Velké firmy (s více než 250 zaměstnanci) ze všech velikostních skupin nejméně (48 %) uváděly, že žádná omezení neevidovaly. V souvislosti s jejich velkou mírou poskytovaného vzdělávání to vyznívá paradoxně, ale vztah je logický. Velké firmy si uvědomují význam vzdělávání pro své zaměstnance (viz </w:t>
      </w:r>
      <w:r w:rsidR="004116F0">
        <w:t>výše</w:t>
      </w:r>
      <w:r>
        <w:t>) a některé by jej zřejmě rády poskytovaly ve větší míře, ale narážejí na různá omezení. Nejčastěji na vysoké časové a</w:t>
      </w:r>
      <w:r w:rsidR="008C78A2">
        <w:t> </w:t>
      </w:r>
      <w:r>
        <w:t xml:space="preserve">pracovní vytížení zaměstnanců (28 %), které je </w:t>
      </w:r>
      <w:r w:rsidR="00750FA5">
        <w:t xml:space="preserve">i obecně </w:t>
      </w:r>
      <w:r>
        <w:t xml:space="preserve">nejčastější, ale u velkých firem je to relativně výrazně častěji. Dalším omezením, s podobně vyšší frekvencí u velkých firem než obecně, jsou vysoké </w:t>
      </w:r>
      <w:r>
        <w:lastRenderedPageBreak/>
        <w:t xml:space="preserve">náklady na vzdělávání. Vyšší míra tohoto omezení u velkých firem může být způsobena i vyšší mírou zájmu těchto firem o specializované vzdělávání, které je finančně nákladnější než vzdělávání s všeobecným zaměřením, které ve velkých firmách bývá spíše saturováno. </w:t>
      </w:r>
      <w:r w:rsidR="00340321">
        <w:t>Velké</w:t>
      </w:r>
      <w:r>
        <w:t xml:space="preserve"> firmy rovněž o něco častěji uváděly jako důvod omezení fakt, že byl kladen důraz na vzdělávání v dřívějších letech.</w:t>
      </w:r>
    </w:p>
    <w:p w:rsidR="00BE5EB7" w:rsidRDefault="00BE5EB7" w:rsidP="00087249">
      <w:pPr>
        <w:spacing w:after="0"/>
        <w:contextualSpacing/>
        <w:jc w:val="both"/>
      </w:pPr>
    </w:p>
    <w:p w:rsidR="00087249" w:rsidRDefault="00087249" w:rsidP="00087249">
      <w:pPr>
        <w:spacing w:after="0"/>
        <w:contextualSpacing/>
        <w:jc w:val="both"/>
      </w:pPr>
      <w:r>
        <w:t>Firmy, které ve vzdělávání nepociťují žádná omezení, se od sebe odlišují i podle odvětví, v</w:t>
      </w:r>
      <w:r w:rsidR="00BE5EB7">
        <w:t>e</w:t>
      </w:r>
      <w:r>
        <w:t> kterém se pohybují. Největší souhlas s tvrz</w:t>
      </w:r>
      <w:r w:rsidR="00BD20CD">
        <w:t>ením projevují firmy z oblasti D</w:t>
      </w:r>
      <w:r w:rsidR="004116F0">
        <w:t>oprava</w:t>
      </w:r>
      <w:r>
        <w:t xml:space="preserve"> a skladování (</w:t>
      </w:r>
      <w:r w:rsidR="00BD20CD">
        <w:t xml:space="preserve">sekce H; </w:t>
      </w:r>
      <w:r>
        <w:t>6</w:t>
      </w:r>
      <w:r w:rsidR="00BE5EB7">
        <w:t>8</w:t>
      </w:r>
      <w:r>
        <w:t xml:space="preserve"> %) a</w:t>
      </w:r>
      <w:r w:rsidR="008C78A2">
        <w:t> </w:t>
      </w:r>
      <w:r>
        <w:t xml:space="preserve">nejméně naopak firmy z odvětví </w:t>
      </w:r>
      <w:r w:rsidR="00BD20CD">
        <w:t xml:space="preserve">Ubytování, stravování a pohostinství </w:t>
      </w:r>
      <w:r>
        <w:t>(</w:t>
      </w:r>
      <w:r w:rsidR="00BD20CD">
        <w:t xml:space="preserve">sekce I; </w:t>
      </w:r>
      <w:r>
        <w:t>42 %). Pořadí firem je podobné jako u hodnocení všech firem</w:t>
      </w:r>
      <w:r>
        <w:rPr>
          <w:rStyle w:val="Znakapoznpodarou"/>
          <w:rFonts w:eastAsia="MS Gothic"/>
        </w:rPr>
        <w:footnoteReference w:id="19"/>
      </w:r>
      <w:r>
        <w:t xml:space="preserve">, i možné vysvětlení (zvlášť u firem z oblasti </w:t>
      </w:r>
      <w:r w:rsidR="00BD20CD">
        <w:t>ubytování</w:t>
      </w:r>
      <w:r w:rsidR="004B6749">
        <w:t xml:space="preserve"> a stravování</w:t>
      </w:r>
      <w:r>
        <w:t xml:space="preserve">) již bylo podáno výše. Naopak, nejčastější důvod omezení vzdělávání ve firmách – časové a pracovní vytížení – bylo nejvíce deklarováno u firem z odvětví </w:t>
      </w:r>
      <w:r w:rsidR="00BD20CD">
        <w:t>I</w:t>
      </w:r>
      <w:r>
        <w:t>nformačn</w:t>
      </w:r>
      <w:r w:rsidR="004116F0">
        <w:t>í</w:t>
      </w:r>
      <w:r w:rsidR="00BE5EB7">
        <w:t xml:space="preserve"> a komunikačních </w:t>
      </w:r>
      <w:r w:rsidR="004116F0">
        <w:t>činnosti</w:t>
      </w:r>
      <w:r w:rsidR="00BD20CD">
        <w:t xml:space="preserve"> (sekce J)</w:t>
      </w:r>
      <w:r w:rsidR="00BE5EB7">
        <w:t xml:space="preserve">. </w:t>
      </w:r>
      <w:r>
        <w:t>U</w:t>
      </w:r>
      <w:r w:rsidR="008C78A2">
        <w:t> </w:t>
      </w:r>
      <w:r>
        <w:t xml:space="preserve">těchto firem časové a pracovní omezení nastává z několika vzájemně souvisejících důvodů. Firmy v oblasti ICT jsou jako jedno z rychle se rozvíjejících odvětví často přehlceny </w:t>
      </w:r>
      <w:r w:rsidR="004116F0">
        <w:t>časově náročnými zakázkami.</w:t>
      </w:r>
      <w:r>
        <w:t xml:space="preserve"> Zároveň je do těchto firem mnohdy těžké sehnat zaměstnance s odpovídající kvalifikací</w:t>
      </w:r>
      <w:r>
        <w:rPr>
          <w:rStyle w:val="Znakapoznpodarou"/>
          <w:rFonts w:eastAsia="MS Gothic"/>
        </w:rPr>
        <w:footnoteReference w:id="20"/>
      </w:r>
      <w:r>
        <w:t xml:space="preserve">, tudíž stávající pracovníci mají více práce. </w:t>
      </w:r>
      <w:r w:rsidR="004116F0">
        <w:t>V</w:t>
      </w:r>
      <w:r>
        <w:t xml:space="preserve">zdělávání v těchto firmách </w:t>
      </w:r>
      <w:r w:rsidR="004116F0">
        <w:t xml:space="preserve">navíc často </w:t>
      </w:r>
      <w:r>
        <w:t>probíhá na bázi specializovaných kurzů</w:t>
      </w:r>
      <w:r w:rsidR="00F12CE1">
        <w:t>, které jsou také časově</w:t>
      </w:r>
      <w:r>
        <w:t xml:space="preserve"> náročné, je tedy nutné počítat s vyšší hodinovou dotací než u jiných kurzů i</w:t>
      </w:r>
      <w:r w:rsidR="00DA0AFE">
        <w:t> </w:t>
      </w:r>
      <w:r>
        <w:t>při</w:t>
      </w:r>
      <w:r w:rsidR="00DA0AFE">
        <w:t> </w:t>
      </w:r>
      <w:r>
        <w:t>plánování. Toto omezení vnímá as</w:t>
      </w:r>
      <w:r w:rsidR="00BE5EB7">
        <w:t>i čtvrtina firem z této oblasti (23 %).</w:t>
      </w:r>
    </w:p>
    <w:p w:rsidR="001F65AF" w:rsidRDefault="001F65AF" w:rsidP="00087249">
      <w:pPr>
        <w:spacing w:after="0"/>
        <w:contextualSpacing/>
        <w:jc w:val="both"/>
      </w:pPr>
    </w:p>
    <w:p w:rsidR="00087249" w:rsidRPr="00192B0F" w:rsidRDefault="00087249" w:rsidP="00171CAE">
      <w:pPr>
        <w:pStyle w:val="Nadpis4"/>
        <w:spacing w:after="120"/>
      </w:pPr>
      <w:bookmarkStart w:id="150" w:name="_Toc490472749"/>
      <w:bookmarkStart w:id="151" w:name="_Toc501614120"/>
      <w:r w:rsidRPr="005A5B52">
        <w:t>Překážky ve vzdělávání zaměstnanců firem neposkytujících vzdělávání</w:t>
      </w:r>
      <w:bookmarkEnd w:id="150"/>
      <w:bookmarkEnd w:id="151"/>
    </w:p>
    <w:p w:rsidR="00171CAE" w:rsidRDefault="00087249" w:rsidP="00171CAE">
      <w:pPr>
        <w:spacing w:after="0"/>
        <w:contextualSpacing/>
        <w:jc w:val="both"/>
      </w:pPr>
      <w:r>
        <w:t xml:space="preserve">Jak již bylo mnohokrát zmíněno, valná většina firem (91 %) poskytuje svým zaměstnancům alespoň nějakou formu vzdělávání. Tato podkapitola se zaměřuje na ty firmy, které žádnou formu vzdělávání v roce 2015 nezajistily, a zkoumá překážky, které jim v tom zabránily. Vzhledem k nízkému zastoupení těchto firem nebyly </w:t>
      </w:r>
      <w:r w:rsidR="00BF1731">
        <w:t>zatím</w:t>
      </w:r>
      <w:r>
        <w:t xml:space="preserve"> obecně popsány, proto budou stručně představeny nyní.</w:t>
      </w:r>
    </w:p>
    <w:p w:rsidR="00087249" w:rsidRDefault="00087249" w:rsidP="00171CAE">
      <w:pPr>
        <w:spacing w:after="0"/>
        <w:contextualSpacing/>
        <w:jc w:val="both"/>
      </w:pPr>
    </w:p>
    <w:p w:rsidR="00087249" w:rsidRDefault="00087249" w:rsidP="00087249">
      <w:pPr>
        <w:spacing w:after="0"/>
        <w:contextualSpacing/>
        <w:jc w:val="both"/>
      </w:pPr>
      <w:r>
        <w:t>Firmy, které v roce 2015 neposkytly svým zaměstnancům žádné vzdělávání, jsou ve va</w:t>
      </w:r>
      <w:r w:rsidR="00AB7339">
        <w:t>lné míře (59</w:t>
      </w:r>
      <w:r>
        <w:t xml:space="preserve"> %) malé (počet zaměstna</w:t>
      </w:r>
      <w:r w:rsidR="00631E7C">
        <w:t>nců se pohybuje mezi 10 a 20), mohou to t</w:t>
      </w:r>
      <w:r>
        <w:t>edy být částečně rodinné podniky. Mezi odvětví</w:t>
      </w:r>
      <w:r w:rsidR="000A1A99">
        <w:t xml:space="preserve">mi podnikání převažuje průmysl </w:t>
      </w:r>
      <w:r w:rsidR="00C717FD">
        <w:t xml:space="preserve">a obchod. </w:t>
      </w:r>
      <w:r>
        <w:t>Vlastníkem nevzdělávajících firem je v drtivé většině (95</w:t>
      </w:r>
      <w:r w:rsidR="008C78A2">
        <w:t> </w:t>
      </w:r>
      <w:r>
        <w:t xml:space="preserve">%) český majitel </w:t>
      </w:r>
      <w:r w:rsidR="00C717FD">
        <w:t>(což je ovšem dáno i tím, že ve výběrovém souboru je větší zastoupení firem s</w:t>
      </w:r>
      <w:r w:rsidR="00631E7C">
        <w:t> českým vrcholovým vlastníkem).</w:t>
      </w:r>
    </w:p>
    <w:p w:rsidR="00171CAE" w:rsidRDefault="00171CAE" w:rsidP="00087249">
      <w:pPr>
        <w:spacing w:after="0"/>
        <w:contextualSpacing/>
        <w:jc w:val="both"/>
      </w:pPr>
    </w:p>
    <w:p w:rsidR="00087249" w:rsidRDefault="00171CAE" w:rsidP="00087249">
      <w:pPr>
        <w:spacing w:after="0"/>
        <w:contextualSpacing/>
        <w:jc w:val="both"/>
      </w:pPr>
      <w:r>
        <w:t>Co je tedy nejčastějším</w:t>
      </w:r>
      <w:r w:rsidR="00087249">
        <w:t xml:space="preserve"> </w:t>
      </w:r>
      <w:r>
        <w:t>vysvětlením</w:t>
      </w:r>
      <w:r w:rsidR="00087249">
        <w:t xml:space="preserve"> těchto firem, </w:t>
      </w:r>
      <w:r>
        <w:t>proč neposkytují</w:t>
      </w:r>
      <w:r w:rsidR="00087249">
        <w:t xml:space="preserve"> vzdělávání </w:t>
      </w:r>
      <w:r>
        <w:t>svým</w:t>
      </w:r>
      <w:r w:rsidR="00087249">
        <w:t xml:space="preserve"> zaměstnancům? S velkým náskokem před ostatními možnostmi</w:t>
      </w:r>
      <w:r>
        <w:t xml:space="preserve"> (69 %) </w:t>
      </w:r>
      <w:r w:rsidR="00087249">
        <w:t>je to fakt, že „stávající kvalifikace, dovednosti a</w:t>
      </w:r>
      <w:r w:rsidR="008C78A2">
        <w:t> </w:t>
      </w:r>
      <w:r w:rsidR="00087249">
        <w:t xml:space="preserve">schopnosti zaměstnanců odpovídaly aktuálním potřebám firmy“. </w:t>
      </w:r>
      <w:r>
        <w:t>Čtvrtina</w:t>
      </w:r>
      <w:r w:rsidR="00087249">
        <w:t xml:space="preserve"> firem, které vzdělávání nep</w:t>
      </w:r>
      <w:r w:rsidR="000A1A99">
        <w:t>oskytují, uvedla „jiné důvody“.</w:t>
      </w:r>
    </w:p>
    <w:p w:rsidR="00171CAE" w:rsidRDefault="00171CAE" w:rsidP="00087249">
      <w:pPr>
        <w:spacing w:after="0"/>
        <w:contextualSpacing/>
        <w:jc w:val="both"/>
      </w:pPr>
    </w:p>
    <w:p w:rsidR="005E1C2B" w:rsidRDefault="005E1C2B" w:rsidP="005E1C2B">
      <w:pPr>
        <w:pStyle w:val="Titulek"/>
        <w:keepNext/>
        <w:jc w:val="both"/>
      </w:pPr>
      <w:bookmarkStart w:id="152" w:name="_Toc501615615"/>
      <w:r>
        <w:lastRenderedPageBreak/>
        <w:t xml:space="preserve">Graf č. </w:t>
      </w:r>
      <w:r w:rsidR="007C3A3E">
        <w:fldChar w:fldCharType="begin"/>
      </w:r>
      <w:r w:rsidR="00C84608">
        <w:instrText xml:space="preserve"> SEQ Graf_č. \* ARABIC </w:instrText>
      </w:r>
      <w:r w:rsidR="007C3A3E">
        <w:fldChar w:fldCharType="separate"/>
      </w:r>
      <w:r w:rsidR="00476EDB">
        <w:rPr>
          <w:noProof/>
        </w:rPr>
        <w:t>32</w:t>
      </w:r>
      <w:r w:rsidR="007C3A3E">
        <w:rPr>
          <w:noProof/>
        </w:rPr>
        <w:fldChar w:fldCharType="end"/>
      </w:r>
      <w:r w:rsidR="001C206D">
        <w:t xml:space="preserve">: Podíl firem </w:t>
      </w:r>
      <w:r>
        <w:t>neposkytujících vzdělá</w:t>
      </w:r>
      <w:r w:rsidR="00AA7DA6">
        <w:t>vá</w:t>
      </w:r>
      <w:r>
        <w:t xml:space="preserve">ní podle důvodů </w:t>
      </w:r>
      <w:r w:rsidR="00171CAE">
        <w:t>ne</w:t>
      </w:r>
      <w:r>
        <w:t>poskytování vzdělání, 2015</w:t>
      </w:r>
      <w:bookmarkEnd w:id="152"/>
    </w:p>
    <w:p w:rsidR="00171CAE" w:rsidRPr="00171CAE" w:rsidRDefault="00A90657" w:rsidP="00171CAE">
      <w:r>
        <w:rPr>
          <w:noProof/>
        </w:rPr>
        <w:drawing>
          <wp:inline distT="0" distB="0" distL="0" distR="0" wp14:anchorId="2BC3BBB8" wp14:editId="58062F00">
            <wp:extent cx="5848350" cy="3400425"/>
            <wp:effectExtent l="0" t="0" r="0" b="0"/>
            <wp:docPr id="99" name="Graf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87249" w:rsidRPr="00E27A5C" w:rsidRDefault="00555EE6" w:rsidP="00087249">
      <w:pPr>
        <w:spacing w:after="0"/>
        <w:contextualSpacing/>
        <w:jc w:val="both"/>
      </w:pPr>
      <w:r>
        <w:t>Z</w:t>
      </w:r>
      <w:r w:rsidR="00087249" w:rsidRPr="00EA2E58">
        <w:rPr>
          <w:sz w:val="18"/>
        </w:rPr>
        <w:t>droj: šetření CVTS, ČSÚ 2017</w:t>
      </w:r>
    </w:p>
    <w:p w:rsidR="001D1D6A" w:rsidRDefault="00555EE6" w:rsidP="00087249">
      <w:pPr>
        <w:spacing w:after="0"/>
        <w:contextualSpacing/>
        <w:rPr>
          <w:sz w:val="18"/>
        </w:rPr>
      </w:pPr>
      <w:r>
        <w:rPr>
          <w:sz w:val="18"/>
        </w:rPr>
        <w:t>Pozn.:</w:t>
      </w:r>
      <w:r w:rsidR="00087249" w:rsidRPr="00EA2E58">
        <w:rPr>
          <w:sz w:val="18"/>
        </w:rPr>
        <w:t xml:space="preserve"> firmy mohly označit více odpovědí; </w:t>
      </w:r>
    </w:p>
    <w:p w:rsidR="001D1D6A" w:rsidRPr="005B027D" w:rsidRDefault="001D1D6A" w:rsidP="001D1D6A">
      <w:pPr>
        <w:spacing w:after="0"/>
        <w:rPr>
          <w:sz w:val="18"/>
        </w:rPr>
      </w:pPr>
      <w:r>
        <w:rPr>
          <w:sz w:val="18"/>
        </w:rPr>
        <w:t>* Podporou POV (=počáteční odborné vzdělání) je zde myšleno poskytování praktické výchovy žákům/studentům formálního vzdělávání směřujícího k získání výučního listu či maturitní zkoušky (příp. vzdělávání na konzervatořích), kteří jsou v podnicích na praxi.</w:t>
      </w:r>
    </w:p>
    <w:p w:rsidR="00087249" w:rsidRDefault="00087249" w:rsidP="00087249">
      <w:pPr>
        <w:spacing w:after="0"/>
        <w:contextualSpacing/>
        <w:jc w:val="both"/>
        <w:rPr>
          <w:u w:val="single"/>
        </w:rPr>
      </w:pPr>
    </w:p>
    <w:p w:rsidR="00087249" w:rsidRDefault="00087249" w:rsidP="00087249">
      <w:pPr>
        <w:spacing w:after="0"/>
        <w:contextualSpacing/>
        <w:jc w:val="both"/>
      </w:pPr>
      <w:r>
        <w:t>Obě jmenované nejčetnější odpovědi firem budí dojem spíše zástupného vysvětlen</w:t>
      </w:r>
      <w:r w:rsidR="00631E7C">
        <w:t xml:space="preserve">í nezájmu o vzdělávání obecně. </w:t>
      </w:r>
      <w:r>
        <w:t xml:space="preserve">Pokud by tento stav odpovídající kvalifikace zaměstnanců ve firmách skutečně platil, byl by to pozitivní jev, otázkou však zůstává, na jakém základě je toto tvrzení firem postaveno. Většina z firem, které označily první odpověď, si analýzu vzdělávacích potřeb nedělá (třetina však nepravidelně ano). Zvolení </w:t>
      </w:r>
      <w:r w:rsidR="00171CAE">
        <w:t xml:space="preserve">odpovědi </w:t>
      </w:r>
      <w:r>
        <w:t>jiné</w:t>
      </w:r>
      <w:r w:rsidR="00171CAE">
        <w:t xml:space="preserve"> důvody</w:t>
      </w:r>
      <w:r>
        <w:t xml:space="preserve"> může být zástupná možnost pro totéž nebo nějaký skutečný „jiný důvod“, kt</w:t>
      </w:r>
      <w:r w:rsidR="00C717FD">
        <w:t xml:space="preserve">erý nebyl v možnostech obsažen. </w:t>
      </w:r>
      <w:r>
        <w:t xml:space="preserve">70 % těchto firem </w:t>
      </w:r>
      <w:r w:rsidR="00631E7C">
        <w:t xml:space="preserve">však </w:t>
      </w:r>
      <w:r>
        <w:t>nezajišťovalo vzdělávání ani v roce 2014 a může tedy jít o</w:t>
      </w:r>
      <w:r w:rsidR="008C78A2">
        <w:t> </w:t>
      </w:r>
      <w:r>
        <w:t>dlouhodobé nastavení těchto firem.</w:t>
      </w:r>
    </w:p>
    <w:p w:rsidR="005A5896" w:rsidRDefault="005A5896">
      <w:pPr>
        <w:spacing w:after="0" w:line="240" w:lineRule="auto"/>
        <w:rPr>
          <w:u w:val="single"/>
        </w:rPr>
      </w:pPr>
      <w:r>
        <w:rPr>
          <w:u w:val="single"/>
        </w:rPr>
        <w:br w:type="page"/>
      </w:r>
    </w:p>
    <w:p w:rsidR="005A5896" w:rsidRDefault="005A5896" w:rsidP="005A5896">
      <w:pPr>
        <w:pStyle w:val="Nadpis2"/>
      </w:pPr>
      <w:bookmarkStart w:id="153" w:name="_Toc485639764"/>
      <w:bookmarkStart w:id="154" w:name="_Toc490472750"/>
      <w:bookmarkStart w:id="155" w:name="_Toc501614121"/>
      <w:r>
        <w:lastRenderedPageBreak/>
        <w:t xml:space="preserve">Kapitola 5: </w:t>
      </w:r>
      <w:r w:rsidRPr="00E93C01">
        <w:t>Spolupráce firem a škol</w:t>
      </w:r>
      <w:bookmarkEnd w:id="153"/>
      <w:bookmarkEnd w:id="154"/>
      <w:bookmarkEnd w:id="155"/>
    </w:p>
    <w:p w:rsidR="005A5896" w:rsidRDefault="005A5896" w:rsidP="005A5896">
      <w:pPr>
        <w:pStyle w:val="Nadpis3"/>
      </w:pPr>
      <w:bookmarkStart w:id="156" w:name="_Toc485639765"/>
      <w:bookmarkStart w:id="157" w:name="_Toc490472751"/>
    </w:p>
    <w:p w:rsidR="005A5896" w:rsidRDefault="005A5896" w:rsidP="00AB2EEA">
      <w:pPr>
        <w:spacing w:after="0"/>
        <w:contextualSpacing/>
        <w:jc w:val="both"/>
      </w:pPr>
      <w:r>
        <w:t>Spolupráce</w:t>
      </w:r>
      <w:r w:rsidRPr="00861BEF">
        <w:t xml:space="preserve"> firem a škol může být obohacující pro obě zúčastněné instituce.</w:t>
      </w:r>
      <w:r>
        <w:t xml:space="preserve"> Školám, resp. zejména jejich studentům, spolupráce s firmami zajišťuje pohled do</w:t>
      </w:r>
      <w:r w:rsidRPr="00861BEF">
        <w:t xml:space="preserve"> </w:t>
      </w:r>
      <w:r>
        <w:t>praxe a přináší obohacující prvek teorie probírané ve</w:t>
      </w:r>
      <w:r w:rsidR="008C78A2">
        <w:t> </w:t>
      </w:r>
      <w:r>
        <w:t xml:space="preserve">škole. Stejně tak tento vhled pomáhá i učitelům, kteří mohou ve svých hodinách lépe reagovat na změny, které v oboru probíhají a zároveň se s nimi sami seznamovat. Firmám může tato forma spolupráce přinášet pohled do teoretické přípravy budoucích absolventů a </w:t>
      </w:r>
      <w:r w:rsidR="00F73F2B">
        <w:t xml:space="preserve">mohou tak </w:t>
      </w:r>
      <w:r>
        <w:t>lépe reagovat na jejich případné chybějící znalosti. Kromě jiného i z této situace vycházejí následné vzdělávací potřeby zaměstnanců firmy, jejichž množs</w:t>
      </w:r>
      <w:r w:rsidR="009F231B">
        <w:t>tví a míru je tak možné spolupra</w:t>
      </w:r>
      <w:r>
        <w:t xml:space="preserve">cí se školami částečně ovlivňovat. Zároveň firmy mohou v průběhu praxí studentů vyhledávat nadané studenty a případně jim nabídnout zaměstnání po absolvování školy. </w:t>
      </w:r>
      <w:r w:rsidR="00C717FD">
        <w:t>F</w:t>
      </w:r>
      <w:r>
        <w:t xml:space="preserve">irmy </w:t>
      </w:r>
      <w:r w:rsidR="00C717FD">
        <w:t xml:space="preserve">často </w:t>
      </w:r>
      <w:r>
        <w:t xml:space="preserve">pozitivně hodnotí možnost ovlivnit pracovní dráhu takto vybraného absolventa/nového zaměstnance ihned v počátcích, bez toho aniž by si jinde vytvořil pracovní návyky, které se s chodem konkrétní firmy neslučují. </w:t>
      </w:r>
    </w:p>
    <w:p w:rsidR="00AB2EEA" w:rsidRDefault="00AB2EEA" w:rsidP="00AB2EEA">
      <w:pPr>
        <w:spacing w:after="0"/>
        <w:contextualSpacing/>
        <w:jc w:val="both"/>
      </w:pPr>
    </w:p>
    <w:p w:rsidR="005A5896" w:rsidRDefault="00EC53DF" w:rsidP="00CA0FFC">
      <w:pPr>
        <w:pStyle w:val="Nadpis3"/>
      </w:pPr>
      <w:bookmarkStart w:id="158" w:name="_Toc501614122"/>
      <w:r>
        <w:t>Hlavní</w:t>
      </w:r>
      <w:r w:rsidR="005A5896">
        <w:t xml:space="preserve"> zjištění</w:t>
      </w:r>
      <w:bookmarkEnd w:id="156"/>
      <w:bookmarkEnd w:id="157"/>
      <w:bookmarkEnd w:id="158"/>
    </w:p>
    <w:p w:rsidR="005A5896" w:rsidRPr="00EA2E58" w:rsidRDefault="005A5896" w:rsidP="003476DF">
      <w:pPr>
        <w:pStyle w:val="Odstavecseseznamem"/>
        <w:numPr>
          <w:ilvl w:val="0"/>
          <w:numId w:val="18"/>
        </w:numPr>
        <w:spacing w:after="200"/>
        <w:jc w:val="both"/>
        <w:rPr>
          <w:rFonts w:cs="Arial"/>
        </w:rPr>
      </w:pPr>
      <w:r w:rsidRPr="00EA2E58">
        <w:rPr>
          <w:rFonts w:cs="Arial"/>
        </w:rPr>
        <w:t>S některým typem</w:t>
      </w:r>
      <w:r>
        <w:rPr>
          <w:rFonts w:cs="Arial"/>
        </w:rPr>
        <w:t xml:space="preserve"> školy spolupracuje 27 % firem, </w:t>
      </w:r>
      <w:r w:rsidRPr="00EA2E58">
        <w:rPr>
          <w:rFonts w:cs="Arial"/>
        </w:rPr>
        <w:t>nejčastěji je to pouze s jednou školou (12 %</w:t>
      </w:r>
      <w:r>
        <w:rPr>
          <w:rFonts w:cs="Arial"/>
        </w:rPr>
        <w:t xml:space="preserve"> všech firem</w:t>
      </w:r>
      <w:r w:rsidRPr="00EA2E58">
        <w:rPr>
          <w:rFonts w:cs="Arial"/>
        </w:rPr>
        <w:t xml:space="preserve">). Se středními školami či VOŠ kooperuje 23 % firem, s vysokými školami pak 13 %. S oběma typy škol spolupracuje </w:t>
      </w:r>
      <w:r>
        <w:rPr>
          <w:rFonts w:cs="Arial"/>
        </w:rPr>
        <w:t>10</w:t>
      </w:r>
      <w:r w:rsidRPr="00EA2E58">
        <w:rPr>
          <w:rFonts w:cs="Arial"/>
        </w:rPr>
        <w:t xml:space="preserve"> % firem.</w:t>
      </w:r>
    </w:p>
    <w:p w:rsidR="005A5896" w:rsidRPr="00EA2E58" w:rsidRDefault="005A5896" w:rsidP="003476DF">
      <w:pPr>
        <w:pStyle w:val="Odstavecseseznamem"/>
        <w:numPr>
          <w:ilvl w:val="0"/>
          <w:numId w:val="18"/>
        </w:numPr>
        <w:spacing w:after="200"/>
        <w:jc w:val="both"/>
        <w:rPr>
          <w:rFonts w:cs="Arial"/>
        </w:rPr>
      </w:pPr>
      <w:r w:rsidRPr="00EA2E58">
        <w:rPr>
          <w:rFonts w:cs="Arial"/>
        </w:rPr>
        <w:t xml:space="preserve">Míra spolupráce se školami roste s velikostí firmy, ty největší (s více než 250 zaměstnanci) se školami </w:t>
      </w:r>
      <w:r>
        <w:rPr>
          <w:rFonts w:cs="Arial"/>
        </w:rPr>
        <w:t>spolupracují</w:t>
      </w:r>
      <w:r w:rsidRPr="00EA2E58">
        <w:rPr>
          <w:rFonts w:cs="Arial"/>
        </w:rPr>
        <w:t xml:space="preserve"> v 72 %</w:t>
      </w:r>
      <w:r>
        <w:rPr>
          <w:rFonts w:cs="Arial"/>
        </w:rPr>
        <w:t xml:space="preserve"> případů</w:t>
      </w:r>
      <w:r w:rsidRPr="00EA2E58">
        <w:rPr>
          <w:rFonts w:cs="Arial"/>
        </w:rPr>
        <w:t>. Z hlediska odvětví jsou to nejvíce firmy pohybující se v oblasti ICT (</w:t>
      </w:r>
      <w:r w:rsidR="004B6749">
        <w:rPr>
          <w:rFonts w:cs="Arial"/>
        </w:rPr>
        <w:t xml:space="preserve">sekce J; </w:t>
      </w:r>
      <w:r w:rsidRPr="00EA2E58">
        <w:rPr>
          <w:rFonts w:cs="Arial"/>
        </w:rPr>
        <w:t>35 %) a firmy</w:t>
      </w:r>
      <w:r w:rsidR="004B6749">
        <w:rPr>
          <w:rFonts w:cs="Arial"/>
        </w:rPr>
        <w:t xml:space="preserve"> podnikající v </w:t>
      </w:r>
      <w:r w:rsidR="009F231B">
        <w:rPr>
          <w:rFonts w:cs="Arial"/>
        </w:rPr>
        <w:t>p</w:t>
      </w:r>
      <w:r>
        <w:rPr>
          <w:rFonts w:cs="Arial"/>
        </w:rPr>
        <w:t>růmyslu</w:t>
      </w:r>
      <w:r w:rsidRPr="00EA2E58">
        <w:rPr>
          <w:rFonts w:cs="Arial"/>
        </w:rPr>
        <w:t xml:space="preserve"> (</w:t>
      </w:r>
      <w:r w:rsidR="004B6749">
        <w:rPr>
          <w:rFonts w:cs="Arial"/>
        </w:rPr>
        <w:t xml:space="preserve">sekce BC; </w:t>
      </w:r>
      <w:r w:rsidRPr="00EA2E58">
        <w:rPr>
          <w:rFonts w:cs="Arial"/>
        </w:rPr>
        <w:t>33 %).</w:t>
      </w:r>
    </w:p>
    <w:p w:rsidR="005A5896" w:rsidRPr="00EA2E58" w:rsidRDefault="005A5896" w:rsidP="003476DF">
      <w:pPr>
        <w:pStyle w:val="Odstavecseseznamem"/>
        <w:numPr>
          <w:ilvl w:val="0"/>
          <w:numId w:val="18"/>
        </w:numPr>
        <w:spacing w:after="200"/>
        <w:jc w:val="both"/>
        <w:rPr>
          <w:rFonts w:cs="Arial"/>
        </w:rPr>
      </w:pPr>
      <w:r w:rsidRPr="00EA2E58">
        <w:rPr>
          <w:rFonts w:cs="Arial"/>
        </w:rPr>
        <w:t>Nejčastěji spolu firmy a školy kooperují v rámci zajišťování praxe, výcviku či stáže ve firmě pro</w:t>
      </w:r>
      <w:r w:rsidR="008C78A2">
        <w:rPr>
          <w:rFonts w:cs="Arial"/>
        </w:rPr>
        <w:t> </w:t>
      </w:r>
      <w:r w:rsidRPr="00EA2E58">
        <w:rPr>
          <w:rFonts w:cs="Arial"/>
        </w:rPr>
        <w:t>studenty/učně (23 %).</w:t>
      </w:r>
    </w:p>
    <w:p w:rsidR="005A5896" w:rsidRPr="00EA2E58" w:rsidRDefault="005A5896" w:rsidP="003476DF">
      <w:pPr>
        <w:pStyle w:val="Odstavecseseznamem"/>
        <w:numPr>
          <w:ilvl w:val="0"/>
          <w:numId w:val="18"/>
        </w:numPr>
        <w:spacing w:after="200"/>
        <w:jc w:val="both"/>
        <w:rPr>
          <w:rFonts w:cs="Arial"/>
        </w:rPr>
      </w:pPr>
      <w:r w:rsidRPr="00EA2E58">
        <w:rPr>
          <w:rFonts w:cs="Arial"/>
        </w:rPr>
        <w:t>Nejčastějším důvodem pro přijímání studentů na praxi je možnost získání kvalifikovaných pracovníků (15 %).</w:t>
      </w:r>
    </w:p>
    <w:p w:rsidR="005A5896" w:rsidRPr="00A80EAC" w:rsidRDefault="005A5896" w:rsidP="00CA0FFC">
      <w:pPr>
        <w:pStyle w:val="Nadpis4"/>
        <w:spacing w:after="120"/>
      </w:pPr>
      <w:bookmarkStart w:id="159" w:name="_Toc490472753"/>
      <w:bookmarkStart w:id="160" w:name="_Toc501614123"/>
      <w:r w:rsidRPr="00A80EAC">
        <w:t>Obecná spolupráce firem a škol</w:t>
      </w:r>
      <w:bookmarkEnd w:id="159"/>
      <w:bookmarkEnd w:id="160"/>
    </w:p>
    <w:p w:rsidR="005A5896" w:rsidRDefault="005A5896" w:rsidP="00CA0FFC">
      <w:pPr>
        <w:spacing w:after="0"/>
        <w:contextualSpacing/>
        <w:jc w:val="both"/>
      </w:pPr>
      <w:r>
        <w:t xml:space="preserve">S alespoň jednou školou spolupracuje celkem 27 </w:t>
      </w:r>
      <w:r w:rsidR="00C87196">
        <w:rPr>
          <w:lang w:val="en-US"/>
        </w:rPr>
        <w:t xml:space="preserve">% </w:t>
      </w:r>
      <w:proofErr w:type="spellStart"/>
      <w:r>
        <w:rPr>
          <w:lang w:val="en-US"/>
        </w:rPr>
        <w:t>firem</w:t>
      </w:r>
      <w:proofErr w:type="spellEnd"/>
      <w:r w:rsidR="008F3B67">
        <w:rPr>
          <w:lang w:val="en-US"/>
        </w:rPr>
        <w:t xml:space="preserve"> </w:t>
      </w:r>
      <w:proofErr w:type="spellStart"/>
      <w:r>
        <w:rPr>
          <w:lang w:val="en-US"/>
        </w:rPr>
        <w:t>sledovan</w:t>
      </w:r>
      <w:r>
        <w:t>ých</w:t>
      </w:r>
      <w:proofErr w:type="spellEnd"/>
      <w:r>
        <w:t xml:space="preserve"> v rámci šetření CVTS. Firmy nejčastěji spolupracují s menším počtem škol (do pěti), nejvíce </w:t>
      </w:r>
      <w:r w:rsidR="00C717FD">
        <w:t xml:space="preserve">firem (12 %) spolupracuje </w:t>
      </w:r>
      <w:r>
        <w:t>pouze s jednou školou.</w:t>
      </w:r>
      <w:r w:rsidRPr="00C21F6E">
        <w:t xml:space="preserve"> </w:t>
      </w:r>
      <w:r>
        <w:t xml:space="preserve">O něco častěji firmy spolupracují se středními školami (nebo vyššími odbornými školami, 23 %) než se školami vysokými (13 %). S oběma typy škol pak v roce 2015 spolupracovalo </w:t>
      </w:r>
      <w:r w:rsidR="00DE0BA0">
        <w:t>10</w:t>
      </w:r>
      <w:r>
        <w:t xml:space="preserve"> % českých firem.</w:t>
      </w:r>
    </w:p>
    <w:p w:rsidR="00DE0BA0" w:rsidRDefault="00DE0BA0" w:rsidP="005A5896">
      <w:pPr>
        <w:spacing w:after="0"/>
        <w:ind w:firstLine="708"/>
        <w:contextualSpacing/>
        <w:jc w:val="both"/>
      </w:pPr>
    </w:p>
    <w:p w:rsidR="00DE0BA0" w:rsidRPr="00C21F6E" w:rsidRDefault="00DE0BA0" w:rsidP="00DE0BA0">
      <w:pPr>
        <w:pStyle w:val="Titulek"/>
        <w:rPr>
          <w:b w:val="0"/>
        </w:rPr>
      </w:pPr>
      <w:bookmarkStart w:id="161" w:name="_Toc484437881"/>
      <w:bookmarkStart w:id="162" w:name="_Toc501615616"/>
      <w:r w:rsidRPr="005E1C2B">
        <w:t xml:space="preserve">Graf č. </w:t>
      </w:r>
      <w:r w:rsidR="007C3A3E">
        <w:fldChar w:fldCharType="begin"/>
      </w:r>
      <w:r w:rsidR="00C84608">
        <w:instrText xml:space="preserve"> SEQ Graf_č. \* ARABIC </w:instrText>
      </w:r>
      <w:r w:rsidR="007C3A3E">
        <w:fldChar w:fldCharType="separate"/>
      </w:r>
      <w:r w:rsidR="00476EDB">
        <w:rPr>
          <w:noProof/>
        </w:rPr>
        <w:t>33</w:t>
      </w:r>
      <w:r w:rsidR="007C3A3E">
        <w:rPr>
          <w:noProof/>
        </w:rPr>
        <w:fldChar w:fldCharType="end"/>
      </w:r>
      <w:r w:rsidRPr="005E1C2B">
        <w:t>: Podíl</w:t>
      </w:r>
      <w:r>
        <w:t xml:space="preserve"> firem spolupracujících se školami dle typu škol, 2015</w:t>
      </w:r>
      <w:bookmarkEnd w:id="161"/>
      <w:bookmarkEnd w:id="162"/>
    </w:p>
    <w:p w:rsidR="00DE0BA0" w:rsidRDefault="001302BB" w:rsidP="00DE0BA0">
      <w:pPr>
        <w:spacing w:after="0"/>
        <w:contextualSpacing/>
        <w:jc w:val="both"/>
      </w:pPr>
      <w:r>
        <w:rPr>
          <w:noProof/>
        </w:rPr>
        <w:drawing>
          <wp:inline distT="0" distB="0" distL="0" distR="0" wp14:anchorId="23AC6389" wp14:editId="09418DBA">
            <wp:extent cx="5686425" cy="2543175"/>
            <wp:effectExtent l="0" t="0" r="0" b="0"/>
            <wp:docPr id="100" name="Graf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E0BA0" w:rsidRDefault="00555EE6" w:rsidP="00DE0BA0">
      <w:pPr>
        <w:spacing w:after="0"/>
        <w:contextualSpacing/>
        <w:jc w:val="both"/>
        <w:rPr>
          <w:sz w:val="18"/>
        </w:rPr>
      </w:pPr>
      <w:r>
        <w:rPr>
          <w:sz w:val="18"/>
        </w:rPr>
        <w:t>Z</w:t>
      </w:r>
      <w:r w:rsidR="00DE0BA0" w:rsidRPr="00EA2E58">
        <w:rPr>
          <w:sz w:val="18"/>
        </w:rPr>
        <w:t>droj: šetření CVTS, ČSÚ 2017</w:t>
      </w:r>
    </w:p>
    <w:p w:rsidR="00882FCF" w:rsidRPr="00EA2E58" w:rsidRDefault="00882FCF" w:rsidP="00DE0BA0">
      <w:pPr>
        <w:spacing w:after="0"/>
        <w:contextualSpacing/>
        <w:jc w:val="both"/>
        <w:rPr>
          <w:sz w:val="18"/>
        </w:rPr>
      </w:pPr>
    </w:p>
    <w:p w:rsidR="00DE0BA0" w:rsidRDefault="00DE0BA0" w:rsidP="00DE0BA0">
      <w:pPr>
        <w:spacing w:after="0"/>
        <w:contextualSpacing/>
        <w:jc w:val="both"/>
      </w:pPr>
      <w:r>
        <w:lastRenderedPageBreak/>
        <w:t xml:space="preserve">Míra spolupráce se školami se samozřejmě liší podle typu firmy, např. u malých rodinných firem lze v tomto ohledu těžko očekávat významné zapojení. Nicméně i mezi malými firmami (do dvaceti zaměstnanců) se najdou takové, které se školami nějakým způsobem spolupracují (20 %). Podíl spolupracujících firem roste s velikostí firmy, u největších (s více než 250 zaměstnanci) jsou takových </w:t>
      </w:r>
      <w:r w:rsidR="00C87196">
        <w:t>téměř</w:t>
      </w:r>
      <w:r>
        <w:t xml:space="preserve"> tři čtvrtiny. V rámci spolupráce malých firem a škol může jít o dlouhodobý kontakt, v menších městech třeba i nevyhnutelný, např. pokud ve městě existuje pouze jedna firma se stejným zaměřením jako obor studia ve škole. Naopak větší firmy, navíc ve větších městech, mají i pestřejší výběr škol, se kterými mohou spolupracovat a širší možnost forem spolupráce. Firma např. může spolupracovat s více školami na různých projektech a škola naopak může svým studentům nabídnout možnost účastnit se např. celého procesu výroby určitého výrobku či projít si více odděleními jedné firmy. </w:t>
      </w:r>
    </w:p>
    <w:p w:rsidR="00DE0BA0" w:rsidRDefault="00DE0BA0" w:rsidP="00DE0BA0">
      <w:pPr>
        <w:spacing w:after="0"/>
        <w:contextualSpacing/>
        <w:jc w:val="both"/>
      </w:pPr>
    </w:p>
    <w:p w:rsidR="00DE0BA0" w:rsidRDefault="00DE0BA0" w:rsidP="00DE0BA0">
      <w:pPr>
        <w:pStyle w:val="Titulek"/>
        <w:keepNext/>
        <w:jc w:val="both"/>
      </w:pPr>
      <w:bookmarkStart w:id="163" w:name="_Toc484437882"/>
      <w:bookmarkStart w:id="164" w:name="_Toc501615617"/>
      <w:r w:rsidRPr="005E1C2B">
        <w:t xml:space="preserve">Graf č. </w:t>
      </w:r>
      <w:r w:rsidR="007C3A3E">
        <w:fldChar w:fldCharType="begin"/>
      </w:r>
      <w:r w:rsidR="00C84608">
        <w:instrText xml:space="preserve"> SEQ Graf_č. \* ARABIC </w:instrText>
      </w:r>
      <w:r w:rsidR="007C3A3E">
        <w:fldChar w:fldCharType="separate"/>
      </w:r>
      <w:r w:rsidR="00476EDB">
        <w:rPr>
          <w:noProof/>
        </w:rPr>
        <w:t>34</w:t>
      </w:r>
      <w:r w:rsidR="007C3A3E">
        <w:rPr>
          <w:noProof/>
        </w:rPr>
        <w:fldChar w:fldCharType="end"/>
      </w:r>
      <w:r w:rsidRPr="005E1C2B">
        <w:t>:</w:t>
      </w:r>
      <w:r>
        <w:t xml:space="preserve"> </w:t>
      </w:r>
      <w:r w:rsidRPr="00063A36">
        <w:t>Podíl firem spolupracujících s</w:t>
      </w:r>
      <w:r>
        <w:t>e školami dle typu školy a velikosti firmy, 2015</w:t>
      </w:r>
      <w:bookmarkEnd w:id="163"/>
      <w:bookmarkEnd w:id="164"/>
    </w:p>
    <w:p w:rsidR="00DE0BA0" w:rsidRPr="00502737" w:rsidRDefault="001302BB" w:rsidP="00DE0BA0">
      <w:pPr>
        <w:spacing w:after="0"/>
        <w:contextualSpacing/>
        <w:jc w:val="both"/>
      </w:pPr>
      <w:r>
        <w:rPr>
          <w:noProof/>
        </w:rPr>
        <w:drawing>
          <wp:inline distT="0" distB="0" distL="0" distR="0" wp14:anchorId="067F609F" wp14:editId="62B4296C">
            <wp:extent cx="6019800" cy="3686175"/>
            <wp:effectExtent l="0" t="0" r="0" b="0"/>
            <wp:docPr id="101" name="Graf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E0BA0" w:rsidRPr="00EA2E58" w:rsidRDefault="00555EE6" w:rsidP="00DE0BA0">
      <w:pPr>
        <w:spacing w:after="0"/>
        <w:contextualSpacing/>
        <w:jc w:val="both"/>
        <w:rPr>
          <w:sz w:val="18"/>
        </w:rPr>
      </w:pPr>
      <w:r>
        <w:rPr>
          <w:sz w:val="18"/>
        </w:rPr>
        <w:t>Z</w:t>
      </w:r>
      <w:r w:rsidR="00DE0BA0" w:rsidRPr="00EA2E58">
        <w:rPr>
          <w:sz w:val="18"/>
        </w:rPr>
        <w:t>droj: šetření CVTS, ČSÚ 2017</w:t>
      </w:r>
    </w:p>
    <w:p w:rsidR="00DE0BA0" w:rsidRDefault="00DE0BA0" w:rsidP="00DE0BA0">
      <w:pPr>
        <w:spacing w:after="0"/>
        <w:contextualSpacing/>
        <w:jc w:val="both"/>
      </w:pPr>
    </w:p>
    <w:p w:rsidR="00E31308" w:rsidRDefault="00DE0BA0" w:rsidP="001302BB">
      <w:pPr>
        <w:spacing w:after="0"/>
        <w:contextualSpacing/>
        <w:jc w:val="both"/>
      </w:pPr>
      <w:r>
        <w:t>Ve zkoumané charakteristice se od sebe relativně výrazně odlišují firmy i podle odvětví podnikání. V některých oborech se školami spolupracu</w:t>
      </w:r>
      <w:r w:rsidR="00C61702">
        <w:t>je třetina firem (P</w:t>
      </w:r>
      <w:r>
        <w:t>růmysl</w:t>
      </w:r>
      <w:r w:rsidR="004B6749">
        <w:t xml:space="preserve"> (BC)</w:t>
      </w:r>
      <w:r w:rsidR="00C61702">
        <w:t xml:space="preserve">, Ubytování, </w:t>
      </w:r>
      <w:r w:rsidR="00B43352">
        <w:t xml:space="preserve">stravování </w:t>
      </w:r>
      <w:r w:rsidR="00C61702">
        <w:t>a</w:t>
      </w:r>
      <w:r w:rsidR="008C78A2">
        <w:t> </w:t>
      </w:r>
      <w:r w:rsidR="00C61702">
        <w:t>pohostinství (I), Informační a komunikační činnosti</w:t>
      </w:r>
      <w:r w:rsidR="004B6749">
        <w:t xml:space="preserve"> (J)</w:t>
      </w:r>
      <w:r w:rsidR="00C61702">
        <w:t xml:space="preserve">), </w:t>
      </w:r>
      <w:r w:rsidR="009445EA">
        <w:t xml:space="preserve">naopak </w:t>
      </w:r>
      <w:r w:rsidR="00C61702">
        <w:t>v sekcích S</w:t>
      </w:r>
      <w:r w:rsidR="00B43352">
        <w:t>tavebnictví</w:t>
      </w:r>
      <w:r w:rsidR="004B6749">
        <w:t xml:space="preserve"> (F)</w:t>
      </w:r>
      <w:r w:rsidR="00B43352">
        <w:t xml:space="preserve">, </w:t>
      </w:r>
      <w:r w:rsidR="00C61702">
        <w:t>O</w:t>
      </w:r>
      <w:r w:rsidR="00BE4E34">
        <w:t>bchod</w:t>
      </w:r>
      <w:r w:rsidR="00B43352">
        <w:t xml:space="preserve"> </w:t>
      </w:r>
      <w:r w:rsidR="004B6749">
        <w:t xml:space="preserve">(G) </w:t>
      </w:r>
      <w:r>
        <w:t>pětina či méně. Zároveň je mezi odvětvími značný rozdíl v míře spolupráce se středními školami či vyššími odborn</w:t>
      </w:r>
      <w:r w:rsidR="002E3136">
        <w:t>ými školami a školami vysokými, což je podmíněno požadovaným stupněm vzdělání a kvalifikace</w:t>
      </w:r>
      <w:r w:rsidR="009445EA">
        <w:t xml:space="preserve"> uchazečů o zaměstnání v daném odvětví</w:t>
      </w:r>
      <w:r w:rsidR="002E3136">
        <w:t xml:space="preserve">. </w:t>
      </w:r>
      <w:r>
        <w:t>Například firmy z o</w:t>
      </w:r>
      <w:r w:rsidR="00C61702">
        <w:t>dvětví</w:t>
      </w:r>
      <w:r>
        <w:t xml:space="preserve"> </w:t>
      </w:r>
      <w:r w:rsidR="004B6749">
        <w:t>P</w:t>
      </w:r>
      <w:r>
        <w:t>rů</w:t>
      </w:r>
      <w:r w:rsidR="00C61702">
        <w:t>mysl</w:t>
      </w:r>
      <w:r>
        <w:t xml:space="preserve"> </w:t>
      </w:r>
      <w:r w:rsidR="0042610C">
        <w:t xml:space="preserve">(sekce BC) </w:t>
      </w:r>
      <w:r>
        <w:t xml:space="preserve">a </w:t>
      </w:r>
      <w:r w:rsidR="004B6749">
        <w:t xml:space="preserve">Ubytování, </w:t>
      </w:r>
      <w:r>
        <w:t>stravování</w:t>
      </w:r>
      <w:r w:rsidR="004B6749">
        <w:t xml:space="preserve"> a pohostinství (sekce I)</w:t>
      </w:r>
      <w:r>
        <w:t xml:space="preserve"> relativně výrazně kooperují se středními školami či vyššími odbornými školami (obojí </w:t>
      </w:r>
      <w:r w:rsidR="0042610C">
        <w:t>okolo</w:t>
      </w:r>
      <w:r>
        <w:t xml:space="preserve"> 30 % firem) a méně (u firem z oblasti </w:t>
      </w:r>
      <w:r w:rsidR="004B6749">
        <w:t>u</w:t>
      </w:r>
      <w:r>
        <w:t>bytování a stravování výrazně méně</w:t>
      </w:r>
      <w:r w:rsidR="00B43352">
        <w:t>, jen 8 %</w:t>
      </w:r>
      <w:r>
        <w:t xml:space="preserve">) pak s vysokými školami. Firmy z těchto odvětví častěji spolupracují se středním školami zřejmě proto, že umožňují studentům nebo učňům absolvovat povinnou praxi ve svých provozovnách. Opačná situace nastává u firem z oblasti </w:t>
      </w:r>
      <w:r w:rsidR="0042610C">
        <w:t>I</w:t>
      </w:r>
      <w:r w:rsidR="00C61702">
        <w:t>nformační a komunikační činnosti</w:t>
      </w:r>
      <w:r w:rsidR="0042610C">
        <w:t xml:space="preserve"> (sekce J)</w:t>
      </w:r>
      <w:r>
        <w:t xml:space="preserve"> a </w:t>
      </w:r>
      <w:r w:rsidR="0042610C">
        <w:t>P</w:t>
      </w:r>
      <w:r>
        <w:t>eněžnictví a pojišťovnictví</w:t>
      </w:r>
      <w:r w:rsidR="0042610C">
        <w:t xml:space="preserve"> (sekce K)</w:t>
      </w:r>
      <w:r>
        <w:t>, které naopak spolup</w:t>
      </w:r>
      <w:r w:rsidR="009445EA">
        <w:t xml:space="preserve">racují více s vysokými školami. </w:t>
      </w:r>
      <w:r>
        <w:t>Tyto firmy jsou na rozdíl od výše jmenovaných pro</w:t>
      </w:r>
      <w:r w:rsidR="008C78A2">
        <w:t> </w:t>
      </w:r>
      <w:r>
        <w:t>vysokoškoláky (zejm. v patřičných oborech) zajímavější, mohou jim ukázat specializované systémy a</w:t>
      </w:r>
      <w:r w:rsidR="008C78A2">
        <w:t> </w:t>
      </w:r>
      <w:r>
        <w:t>postupy a částečně i sladit jejich teoretické znalosti ze studia s praxí. Zároveň jsou tyto firmy častěji větší a</w:t>
      </w:r>
      <w:r w:rsidR="008C78A2">
        <w:t> </w:t>
      </w:r>
      <w:r>
        <w:t>nacházejí se také ve větších městech, kde pro spolupráci s vysokými školami existují lepší podmínky.</w:t>
      </w:r>
      <w:r w:rsidR="00E31308">
        <w:br w:type="page"/>
      </w:r>
    </w:p>
    <w:p w:rsidR="00B43352" w:rsidRDefault="00B43352" w:rsidP="00B43352">
      <w:pPr>
        <w:pStyle w:val="Titulek"/>
      </w:pPr>
      <w:bookmarkStart w:id="165" w:name="_Toc484437883"/>
      <w:bookmarkStart w:id="166" w:name="_Toc501615618"/>
      <w:r w:rsidRPr="005E1C2B">
        <w:lastRenderedPageBreak/>
        <w:t xml:space="preserve">Graf č. </w:t>
      </w:r>
      <w:r w:rsidR="007C3A3E">
        <w:fldChar w:fldCharType="begin"/>
      </w:r>
      <w:r w:rsidR="00C84608">
        <w:instrText xml:space="preserve"> SEQ Graf_č. \* ARABIC </w:instrText>
      </w:r>
      <w:r w:rsidR="007C3A3E">
        <w:fldChar w:fldCharType="separate"/>
      </w:r>
      <w:r w:rsidR="00476EDB">
        <w:rPr>
          <w:noProof/>
        </w:rPr>
        <w:t>35</w:t>
      </w:r>
      <w:r w:rsidR="007C3A3E">
        <w:rPr>
          <w:noProof/>
        </w:rPr>
        <w:fldChar w:fldCharType="end"/>
      </w:r>
      <w:r w:rsidRPr="005E1C2B">
        <w:t xml:space="preserve">: </w:t>
      </w:r>
      <w:r w:rsidRPr="00063A36">
        <w:t>Podíl firem spolupracujících s</w:t>
      </w:r>
      <w:r>
        <w:t>e školami dle typu školy a odvětví firmy (</w:t>
      </w:r>
      <w:proofErr w:type="gramStart"/>
      <w:r>
        <w:t>CZ</w:t>
      </w:r>
      <w:proofErr w:type="gramEnd"/>
      <w:r>
        <w:t>–</w:t>
      </w:r>
      <w:proofErr w:type="gramStart"/>
      <w:r>
        <w:t>NACE</w:t>
      </w:r>
      <w:proofErr w:type="gramEnd"/>
      <w:r>
        <w:t>)</w:t>
      </w:r>
      <w:bookmarkEnd w:id="165"/>
      <w:r>
        <w:t>, 2015</w:t>
      </w:r>
      <w:bookmarkEnd w:id="166"/>
    </w:p>
    <w:p w:rsidR="00B43352" w:rsidRDefault="001302BB" w:rsidP="00B43352">
      <w:pPr>
        <w:pStyle w:val="Titulek"/>
      </w:pPr>
      <w:r>
        <w:rPr>
          <w:noProof/>
        </w:rPr>
        <w:drawing>
          <wp:inline distT="0" distB="0" distL="0" distR="0" wp14:anchorId="7FBBDDF8" wp14:editId="4DA4FF14">
            <wp:extent cx="5972810" cy="4055745"/>
            <wp:effectExtent l="0" t="0" r="8890" b="1905"/>
            <wp:docPr id="102" name="Graf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43352" w:rsidRPr="00EA2E58" w:rsidRDefault="00555EE6" w:rsidP="00B43352">
      <w:pPr>
        <w:spacing w:after="0"/>
        <w:contextualSpacing/>
        <w:jc w:val="both"/>
        <w:rPr>
          <w:sz w:val="18"/>
        </w:rPr>
      </w:pPr>
      <w:r>
        <w:rPr>
          <w:sz w:val="18"/>
        </w:rPr>
        <w:t>Z</w:t>
      </w:r>
      <w:r w:rsidR="00B43352" w:rsidRPr="00EA2E58">
        <w:rPr>
          <w:sz w:val="18"/>
        </w:rPr>
        <w:t>droj: šetření CVTS, ČSÚ 2017</w:t>
      </w:r>
    </w:p>
    <w:p w:rsidR="00B43352" w:rsidRDefault="00B43352" w:rsidP="00DE0BA0">
      <w:pPr>
        <w:spacing w:after="0"/>
        <w:contextualSpacing/>
        <w:jc w:val="both"/>
      </w:pPr>
    </w:p>
    <w:p w:rsidR="00B43352" w:rsidRDefault="00B43352" w:rsidP="00CA0FFC">
      <w:pPr>
        <w:spacing w:after="0"/>
        <w:contextualSpacing/>
        <w:jc w:val="both"/>
      </w:pPr>
      <w:r>
        <w:t xml:space="preserve">Z geografického hlediska spolupracuje se školami nejvíce firem </w:t>
      </w:r>
      <w:r w:rsidR="00921510">
        <w:t>v Libereckém kraji (34 %),</w:t>
      </w:r>
      <w:r>
        <w:t xml:space="preserve"> nejméně pak v Praze (2</w:t>
      </w:r>
      <w:r w:rsidR="00921510">
        <w:t>3</w:t>
      </w:r>
      <w:r>
        <w:t xml:space="preserve"> %). Rozdíl může být </w:t>
      </w:r>
      <w:r w:rsidR="00941062">
        <w:t xml:space="preserve">dán </w:t>
      </w:r>
      <w:r w:rsidR="00921510">
        <w:t>tím</w:t>
      </w:r>
      <w:r>
        <w:t xml:space="preserve">, že v Praze je </w:t>
      </w:r>
      <w:r w:rsidR="00921510">
        <w:t>vysoce koncentrované množství firem</w:t>
      </w:r>
      <w:r>
        <w:t xml:space="preserve"> i škol, </w:t>
      </w:r>
      <w:r w:rsidR="00941062">
        <w:t>což</w:t>
      </w:r>
      <w:r>
        <w:t xml:space="preserve"> může míru spolupráce zkreslovat. Dále pak ve zkoumané charakteristice převažují zahraniční firmy (36 %) o</w:t>
      </w:r>
      <w:r w:rsidR="008C78A2">
        <w:t> </w:t>
      </w:r>
      <w:r w:rsidR="008F3B67">
        <w:t>přibližně</w:t>
      </w:r>
      <w:r>
        <w:t xml:space="preserve"> deset procentních bodů nad firmami tuzemskými (25 %). Zde opět může docházet ke zkreslení z toho důvodu, že českých firem je nad zahraničními velmi výrazný převis (nicméně škol je pořád stejně). Zároveň zahraniční firmy jsou častěji větší a ty se školami </w:t>
      </w:r>
      <w:r w:rsidR="00941062">
        <w:t xml:space="preserve">obecně </w:t>
      </w:r>
      <w:r>
        <w:t>spolupracují více.</w:t>
      </w:r>
    </w:p>
    <w:p w:rsidR="00941062" w:rsidRDefault="00941062" w:rsidP="00CA0FFC">
      <w:pPr>
        <w:spacing w:after="0"/>
        <w:contextualSpacing/>
        <w:jc w:val="both"/>
      </w:pPr>
    </w:p>
    <w:p w:rsidR="00941062" w:rsidRDefault="00941062" w:rsidP="00CA0FFC">
      <w:pPr>
        <w:pStyle w:val="Nadpis4"/>
        <w:spacing w:after="120"/>
      </w:pPr>
      <w:bookmarkStart w:id="167" w:name="_Toc490472754"/>
      <w:bookmarkStart w:id="168" w:name="_Ref496611732"/>
      <w:bookmarkStart w:id="169" w:name="_Ref496611736"/>
      <w:bookmarkStart w:id="170" w:name="_Toc501614124"/>
      <w:r>
        <w:t>Z</w:t>
      </w:r>
      <w:r w:rsidRPr="00315165">
        <w:t>působy spolupráce firem a škol</w:t>
      </w:r>
      <w:bookmarkEnd w:id="167"/>
      <w:bookmarkEnd w:id="168"/>
      <w:bookmarkEnd w:id="169"/>
      <w:bookmarkEnd w:id="170"/>
    </w:p>
    <w:p w:rsidR="00E31308" w:rsidRDefault="00941062" w:rsidP="00CA0FFC">
      <w:pPr>
        <w:spacing w:after="0"/>
        <w:contextualSpacing/>
        <w:jc w:val="both"/>
      </w:pPr>
      <w:r>
        <w:t xml:space="preserve">Forem či způsobů, kterými mohou firmy a školy kooperovat, je mnoho. Záleží vždy na každé dvojici, jaký způsob je pro ni vyhovující a jaký si zvolí. Bohužel se ukazuje, že české firmy v tomto ohledu příliš inovativní nejsou. Pokud už vůbec firmy se školami spolupracují, nejčastěji je to ve formě zajišťování praxe ve firmě pro učně nebo studenty. Se středními školami takovým způsobem spolupracuje pětina firem, s vysokými pak pouze 9 %. Ostatní zkoumané možnosti spolupráce jsou využívané minimálně, firmy </w:t>
      </w:r>
      <w:r w:rsidR="00A85714">
        <w:t xml:space="preserve">příliš často </w:t>
      </w:r>
      <w:r>
        <w:t>nepořádají přednášky ve školách (3 % shodně pro SŠ/VOŠ i VŠ) a ani s vysokými školami nepracují na výzkumných či inovačních projektech (</w:t>
      </w:r>
      <w:r w:rsidR="00A85714">
        <w:t xml:space="preserve">pouze </w:t>
      </w:r>
      <w:r>
        <w:t xml:space="preserve">1 %). </w:t>
      </w:r>
      <w:r w:rsidR="002116DF">
        <w:t xml:space="preserve">Vzhledem k nepoměru mezi počtem firem a vysokých škol, </w:t>
      </w:r>
      <w:r w:rsidR="00C829FD">
        <w:t>je uvedený podíl velmi nízký</w:t>
      </w:r>
      <w:r w:rsidR="002116DF">
        <w:t xml:space="preserve">. </w:t>
      </w:r>
      <w:r w:rsidR="00921510">
        <w:t>Mnohé firmy se školami leckdy i intenzivně spolupracují, nicméně jedná se o spolupráci</w:t>
      </w:r>
      <w:r w:rsidR="00C829FD">
        <w:t xml:space="preserve"> </w:t>
      </w:r>
      <w:r w:rsidR="009445EA">
        <w:t>s</w:t>
      </w:r>
      <w:r w:rsidR="008C78A2">
        <w:t> </w:t>
      </w:r>
      <w:r w:rsidR="009445EA">
        <w:t>desítkami</w:t>
      </w:r>
      <w:r w:rsidR="00C829FD">
        <w:t xml:space="preserve"> vysokých škol</w:t>
      </w:r>
      <w:r w:rsidR="00921510">
        <w:t xml:space="preserve">, čili na celkovém počtu firem se to neprojeví příliš výrazně. </w:t>
      </w:r>
      <w:r w:rsidR="00C829FD">
        <w:t xml:space="preserve">Kapacity škol jsou </w:t>
      </w:r>
      <w:r w:rsidR="00245B03">
        <w:t xml:space="preserve">navíc </w:t>
      </w:r>
      <w:r w:rsidR="00C829FD">
        <w:t xml:space="preserve">omezené a mohou navázat jen určité množství kontaktů umožňujících spolupráci s firmami. </w:t>
      </w:r>
    </w:p>
    <w:p w:rsidR="00E31308" w:rsidRDefault="00E31308" w:rsidP="00CA0FFC">
      <w:pPr>
        <w:spacing w:after="0"/>
      </w:pPr>
      <w:r>
        <w:br w:type="page"/>
      </w:r>
    </w:p>
    <w:p w:rsidR="002116DF" w:rsidRDefault="002116DF" w:rsidP="002116DF">
      <w:pPr>
        <w:pStyle w:val="Titulek"/>
        <w:spacing w:after="0"/>
        <w:contextualSpacing/>
      </w:pPr>
      <w:bookmarkStart w:id="171" w:name="_Toc484437884"/>
      <w:bookmarkStart w:id="172" w:name="_Toc501615619"/>
      <w:r w:rsidRPr="005E1C2B">
        <w:lastRenderedPageBreak/>
        <w:t xml:space="preserve">Graf č. </w:t>
      </w:r>
      <w:r w:rsidR="007C3A3E">
        <w:fldChar w:fldCharType="begin"/>
      </w:r>
      <w:r w:rsidR="00C84608">
        <w:instrText xml:space="preserve"> SEQ Graf_č. \* ARABIC </w:instrText>
      </w:r>
      <w:r w:rsidR="007C3A3E">
        <w:fldChar w:fldCharType="separate"/>
      </w:r>
      <w:r w:rsidR="00476EDB">
        <w:rPr>
          <w:noProof/>
        </w:rPr>
        <w:t>36</w:t>
      </w:r>
      <w:r w:rsidR="007C3A3E">
        <w:rPr>
          <w:noProof/>
        </w:rPr>
        <w:fldChar w:fldCharType="end"/>
      </w:r>
      <w:r w:rsidRPr="005E1C2B">
        <w:t>:</w:t>
      </w:r>
      <w:r>
        <w:t xml:space="preserve"> </w:t>
      </w:r>
      <w:r w:rsidR="00E64490">
        <w:t>Podíl firem podle způsobů spolupráce firem a škol, 2015</w:t>
      </w:r>
      <w:bookmarkEnd w:id="171"/>
      <w:bookmarkEnd w:id="172"/>
    </w:p>
    <w:p w:rsidR="002116DF" w:rsidRDefault="002116DF" w:rsidP="002116DF">
      <w:pPr>
        <w:spacing w:after="0"/>
        <w:contextualSpacing/>
        <w:jc w:val="both"/>
        <w:rPr>
          <w:b/>
        </w:rPr>
      </w:pPr>
    </w:p>
    <w:p w:rsidR="000B6FF8" w:rsidRDefault="001302BB" w:rsidP="002116DF">
      <w:pPr>
        <w:spacing w:after="0"/>
        <w:contextualSpacing/>
        <w:jc w:val="both"/>
        <w:rPr>
          <w:sz w:val="18"/>
        </w:rPr>
      </w:pPr>
      <w:r>
        <w:rPr>
          <w:noProof/>
        </w:rPr>
        <w:drawing>
          <wp:inline distT="0" distB="0" distL="0" distR="0" wp14:anchorId="0413CEB0" wp14:editId="49A69A79">
            <wp:extent cx="5769553" cy="3557588"/>
            <wp:effectExtent l="0" t="0" r="3175" b="5080"/>
            <wp:docPr id="105" name="Graf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116DF" w:rsidRPr="00EA2E58" w:rsidRDefault="00555EE6" w:rsidP="002116DF">
      <w:pPr>
        <w:spacing w:after="0"/>
        <w:contextualSpacing/>
        <w:jc w:val="both"/>
        <w:rPr>
          <w:sz w:val="18"/>
        </w:rPr>
      </w:pPr>
      <w:r>
        <w:rPr>
          <w:sz w:val="18"/>
        </w:rPr>
        <w:t>Z</w:t>
      </w:r>
      <w:r w:rsidR="002116DF" w:rsidRPr="00EA2E58">
        <w:rPr>
          <w:sz w:val="18"/>
        </w:rPr>
        <w:t>droj: šetření CVTS, ČSÚ 2017</w:t>
      </w:r>
    </w:p>
    <w:p w:rsidR="002116DF" w:rsidRPr="00EA2E58" w:rsidRDefault="00555EE6" w:rsidP="002116DF">
      <w:pPr>
        <w:spacing w:after="0"/>
        <w:contextualSpacing/>
        <w:rPr>
          <w:sz w:val="18"/>
        </w:rPr>
      </w:pPr>
      <w:r>
        <w:rPr>
          <w:sz w:val="18"/>
        </w:rPr>
        <w:t>Pozn.:</w:t>
      </w:r>
      <w:r w:rsidR="002116DF" w:rsidRPr="00EA2E58">
        <w:rPr>
          <w:sz w:val="18"/>
        </w:rPr>
        <w:t xml:space="preserve"> firmy mohly označit více odpovědí</w:t>
      </w:r>
      <w:r>
        <w:rPr>
          <w:sz w:val="18"/>
        </w:rPr>
        <w:t>; m</w:t>
      </w:r>
      <w:r w:rsidR="00E64490">
        <w:rPr>
          <w:sz w:val="18"/>
        </w:rPr>
        <w:t>ožnosti spolupráce při vývoji nových nebo inovovaných produktů a</w:t>
      </w:r>
      <w:r w:rsidR="008C78A2">
        <w:rPr>
          <w:sz w:val="18"/>
        </w:rPr>
        <w:t> </w:t>
      </w:r>
      <w:r w:rsidR="00E64490">
        <w:rPr>
          <w:sz w:val="18"/>
        </w:rPr>
        <w:t>spolupráce na výzkumu či vývoji byly možné jen u spolupráce s VŠ</w:t>
      </w:r>
    </w:p>
    <w:p w:rsidR="002116DF" w:rsidRDefault="002116DF" w:rsidP="002116DF">
      <w:pPr>
        <w:spacing w:after="0"/>
        <w:contextualSpacing/>
        <w:jc w:val="both"/>
        <w:rPr>
          <w:u w:val="single"/>
        </w:rPr>
      </w:pPr>
    </w:p>
    <w:p w:rsidR="002116DF" w:rsidRDefault="002116DF" w:rsidP="002116DF">
      <w:pPr>
        <w:spacing w:after="0"/>
        <w:contextualSpacing/>
        <w:jc w:val="both"/>
      </w:pPr>
      <w:r>
        <w:t xml:space="preserve">Vzhledem k tomu, že kromě </w:t>
      </w:r>
      <w:r w:rsidR="00A85714">
        <w:t>zajišťování praxe</w:t>
      </w:r>
      <w:r>
        <w:t xml:space="preserve"> jsou způsoby spolupráce firem a škol v míře využívání téměř zanedbatelné, zkoumané charakteristiky firem jsou </w:t>
      </w:r>
      <w:r w:rsidR="001E104A">
        <w:t>u</w:t>
      </w:r>
      <w:r>
        <w:t xml:space="preserve"> „zajišťování praxe“ podobné jako u spolupráce firem a</w:t>
      </w:r>
      <w:r w:rsidR="008C78A2">
        <w:t> </w:t>
      </w:r>
      <w:r>
        <w:t xml:space="preserve">škol obecně. Střední školy či VOŠ si nejčastěji zajišťují praxe studentů u větších firem (60 %) a u firem z odvětví </w:t>
      </w:r>
      <w:r w:rsidR="002501F0">
        <w:t>P</w:t>
      </w:r>
      <w:r w:rsidR="00943C36">
        <w:t>růmysl</w:t>
      </w:r>
      <w:r>
        <w:t xml:space="preserve"> (</w:t>
      </w:r>
      <w:r w:rsidR="002501F0">
        <w:t xml:space="preserve">sekce BC; </w:t>
      </w:r>
      <w:r>
        <w:t>2</w:t>
      </w:r>
      <w:r w:rsidR="002501F0">
        <w:t>7</w:t>
      </w:r>
      <w:r w:rsidR="00507476">
        <w:t xml:space="preserve"> %) a </w:t>
      </w:r>
      <w:r w:rsidR="002501F0">
        <w:t xml:space="preserve">Ubytování, </w:t>
      </w:r>
      <w:r w:rsidR="00507476">
        <w:t>stravování</w:t>
      </w:r>
      <w:r w:rsidR="002501F0">
        <w:t xml:space="preserve"> a pohostinství</w:t>
      </w:r>
      <w:r w:rsidR="00507476">
        <w:t xml:space="preserve"> (</w:t>
      </w:r>
      <w:r w:rsidR="002501F0">
        <w:t xml:space="preserve">sekce I; </w:t>
      </w:r>
      <w:r w:rsidR="00507476">
        <w:t>30</w:t>
      </w:r>
      <w:r>
        <w:t xml:space="preserve"> %).</w:t>
      </w:r>
      <w:r w:rsidR="009347F2" w:rsidRPr="009347F2">
        <w:t xml:space="preserve"> Tato odvětví jsou již tradičně s poskytováním praxí studentům spojena. Firem s tímto zaměřením je navíc poměrně dostatek</w:t>
      </w:r>
      <w:r>
        <w:t>.</w:t>
      </w:r>
      <w:r w:rsidR="009347F2">
        <w:t xml:space="preserve"> </w:t>
      </w:r>
      <w:r>
        <w:t xml:space="preserve">Velké množství je i škol, které vyučují obory </w:t>
      </w:r>
      <w:r w:rsidR="00943C36">
        <w:t>odpovídající</w:t>
      </w:r>
      <w:r>
        <w:t xml:space="preserve"> těmto firemním odvětvím (střední průmyslové školy, střední školy či učiliště s obory kuchař/číšník, hotelnictví a turismus atp.). U vysokých škol je situace výrazně odlišná. Na rozdíl od středních škol, kde praxe zajišťuje studentům nebo učňům většinou škola sama, </w:t>
      </w:r>
      <w:r w:rsidR="009347F2" w:rsidRPr="009347F2">
        <w:t xml:space="preserve">na vysokých školách si v častějších případech hledají studenti stáže či praxe sami. Mnohdy se </w:t>
      </w:r>
      <w:r w:rsidR="00442DF3">
        <w:t xml:space="preserve">ani </w:t>
      </w:r>
      <w:r w:rsidR="009347F2" w:rsidRPr="009347F2">
        <w:t xml:space="preserve">nejedná o povinnou praxi v rámci studia, ale jen o studentovu vlastní iniciativu, což pak ovšem není </w:t>
      </w:r>
      <w:r w:rsidR="00442DF3">
        <w:t>příklad</w:t>
      </w:r>
      <w:r w:rsidR="009347F2" w:rsidRPr="009347F2">
        <w:t xml:space="preserve"> spolupráce firem a škol. Jsou však i vysoké školy, které mají s firmami uzavřeny smlouvy o</w:t>
      </w:r>
      <w:r w:rsidR="008C78A2">
        <w:t> </w:t>
      </w:r>
      <w:r w:rsidR="009347F2" w:rsidRPr="009347F2">
        <w:t>poskytování stáží (např. na základě dlouhodobé spolupráce na různých projektech). Studenti tak mají snazší přístup k zajištění praxe a firma si tak zařídí „přísun“ nových stážistů pro své vlastní účely.</w:t>
      </w:r>
      <w:r w:rsidR="009347F2">
        <w:t xml:space="preserve"> </w:t>
      </w:r>
      <w:r>
        <w:t xml:space="preserve">Vysoké školy tímto způsobem nejvíce spolupracovaly s velkými firmami (43 %) a s firmami z odvětví </w:t>
      </w:r>
      <w:r w:rsidR="002501F0">
        <w:t>I</w:t>
      </w:r>
      <w:r w:rsidR="00943C36">
        <w:t>nformační a</w:t>
      </w:r>
      <w:r w:rsidR="008C78A2">
        <w:t> </w:t>
      </w:r>
      <w:r w:rsidR="00943C36">
        <w:t>komunikační</w:t>
      </w:r>
      <w:r>
        <w:t xml:space="preserve"> </w:t>
      </w:r>
      <w:r w:rsidR="002501F0">
        <w:t>činnost</w:t>
      </w:r>
      <w:r w:rsidR="00943C36">
        <w:t>i</w:t>
      </w:r>
      <w:r>
        <w:t xml:space="preserve"> (</w:t>
      </w:r>
      <w:r w:rsidR="002501F0">
        <w:t xml:space="preserve">sekce J; </w:t>
      </w:r>
      <w:r>
        <w:t>15 %). ICT firmy tak mohou využít v</w:t>
      </w:r>
      <w:r w:rsidR="008C78A2">
        <w:t>ýhod, které již byly naznačeny, tedy např. v</w:t>
      </w:r>
      <w:r>
        <w:t> </w:t>
      </w:r>
      <w:r w:rsidR="008C78A2">
        <w:t>případě</w:t>
      </w:r>
      <w:r>
        <w:t xml:space="preserve"> nižšíh</w:t>
      </w:r>
      <w:r w:rsidR="00943C36">
        <w:t xml:space="preserve">o počtu uchazečů </w:t>
      </w:r>
      <w:r w:rsidR="008C78A2">
        <w:t xml:space="preserve">mohou volné pracovní místo obsadit </w:t>
      </w:r>
      <w:r>
        <w:t>stážisty jednak pro samotnou konkrétní potřebnou činnost a jednak s nimi navázat spolupráci do budoucna. U vysokých škol je výhodou, že firmy nemusí čekat, až student dostuduje, ale mohou s ním uzavřít pracovní smlouvu i během studia.</w:t>
      </w:r>
    </w:p>
    <w:p w:rsidR="0008742A" w:rsidRDefault="0008742A" w:rsidP="002116DF">
      <w:pPr>
        <w:spacing w:after="0"/>
        <w:contextualSpacing/>
        <w:jc w:val="both"/>
      </w:pPr>
    </w:p>
    <w:p w:rsidR="0008742A" w:rsidRDefault="0008742A" w:rsidP="009347F2">
      <w:pPr>
        <w:pStyle w:val="Nadpis4"/>
        <w:spacing w:after="120"/>
      </w:pPr>
      <w:bookmarkStart w:id="173" w:name="_Toc490472755"/>
      <w:bookmarkStart w:id="174" w:name="_Toc501614125"/>
      <w:r>
        <w:t>Poskytování praxe žákům/studentům počátečního vzdělávání</w:t>
      </w:r>
      <w:bookmarkEnd w:id="173"/>
      <w:bookmarkEnd w:id="174"/>
    </w:p>
    <w:p w:rsidR="0008742A" w:rsidRDefault="0008742A" w:rsidP="009347F2">
      <w:pPr>
        <w:spacing w:after="0"/>
        <w:contextualSpacing/>
        <w:jc w:val="both"/>
      </w:pPr>
      <w:r>
        <w:t>Na rozdíl od šířeji vymezené možnosti poskytování praxe, výcviku či stáže jako jednoho ze způsobů spolupráce firmy a školy, se tato podkapitola věnuje výhradně praxi studentů či učňů (tedy studujícím v počátečním vzdělávání) s následujícími podmínkami: praxe musí být nedílnou složkou odborné přípravy na</w:t>
      </w:r>
      <w:r w:rsidR="00BC33C6">
        <w:t> </w:t>
      </w:r>
      <w:r>
        <w:t xml:space="preserve">konkrétní povolání, studenti dostávají za svou práci na praxi finanční a/nebo materiální odměnu </w:t>
      </w:r>
      <w:r>
        <w:lastRenderedPageBreak/>
        <w:t>a</w:t>
      </w:r>
      <w:r w:rsidR="008C78A2">
        <w:t> </w:t>
      </w:r>
      <w:r>
        <w:t>podrobnosti o praxi obsahuje pracovní smlouva nebo formální dohoda, kterou firma sjedná s konkrétním studentem či s</w:t>
      </w:r>
      <w:r w:rsidR="00967D95">
        <w:t>e</w:t>
      </w:r>
      <w:r>
        <w:t> vzdělávací institucí, která studenta na praxi vysílá.</w:t>
      </w:r>
    </w:p>
    <w:p w:rsidR="009347F2" w:rsidRDefault="009347F2" w:rsidP="009347F2">
      <w:pPr>
        <w:spacing w:after="0"/>
        <w:contextualSpacing/>
        <w:jc w:val="both"/>
      </w:pPr>
    </w:p>
    <w:p w:rsidR="0008742A" w:rsidRDefault="0008742A" w:rsidP="0008742A">
      <w:pPr>
        <w:spacing w:after="0"/>
        <w:contextualSpacing/>
        <w:jc w:val="both"/>
      </w:pPr>
      <w:r>
        <w:t xml:space="preserve">Firem, kde je taková forma spolupráce běžná, byla v ČR v roce 2015 čtvrtina. Charakteristiky těchto firem jsou stejné jako výše zmíněné, neboť je předpoklad, že tato forma praxí do značné míry naplňuje i výše popsanou širší definici (zajišťování praxe, výcviku nebo stáže ve firmě, viz </w:t>
      </w:r>
      <w:r w:rsidR="006D4064">
        <w:t xml:space="preserve">podkapitola </w:t>
      </w:r>
      <w:r w:rsidR="007C3A3E" w:rsidRPr="004272F9">
        <w:rPr>
          <w:color w:val="0070C0"/>
          <w:u w:val="single"/>
        </w:rPr>
        <w:fldChar w:fldCharType="begin"/>
      </w:r>
      <w:r w:rsidR="009347F2" w:rsidRPr="004272F9">
        <w:rPr>
          <w:color w:val="0070C0"/>
          <w:u w:val="single"/>
        </w:rPr>
        <w:instrText xml:space="preserve"> REF _Ref496611732 \h </w:instrText>
      </w:r>
      <w:r w:rsidR="004272F9">
        <w:rPr>
          <w:color w:val="0070C0"/>
          <w:u w:val="single"/>
        </w:rPr>
        <w:instrText xml:space="preserve"> \* MERGEFORMAT </w:instrText>
      </w:r>
      <w:r w:rsidR="007C3A3E" w:rsidRPr="004272F9">
        <w:rPr>
          <w:color w:val="0070C0"/>
          <w:u w:val="single"/>
        </w:rPr>
      </w:r>
      <w:r w:rsidR="007C3A3E" w:rsidRPr="004272F9">
        <w:rPr>
          <w:color w:val="0070C0"/>
          <w:u w:val="single"/>
        </w:rPr>
        <w:fldChar w:fldCharType="separate"/>
      </w:r>
      <w:r w:rsidR="00476EDB" w:rsidRPr="00476EDB">
        <w:rPr>
          <w:color w:val="0070C0"/>
          <w:u w:val="single"/>
        </w:rPr>
        <w:t>Způsoby spolupráce firem a škol</w:t>
      </w:r>
      <w:r w:rsidR="007C3A3E" w:rsidRPr="004272F9">
        <w:rPr>
          <w:color w:val="0070C0"/>
          <w:u w:val="single"/>
        </w:rPr>
        <w:fldChar w:fldCharType="end"/>
      </w:r>
      <w:r w:rsidR="00ED2D52" w:rsidRPr="00ED2D52">
        <w:t>).</w:t>
      </w:r>
      <w:r w:rsidRPr="00ED2D52">
        <w:t xml:space="preserve"> </w:t>
      </w:r>
      <w:r>
        <w:t>Nejčastějším hlavním důvodem, hlavní motivací pro firmy, pro přijímání studentů na praxi je u</w:t>
      </w:r>
      <w:r w:rsidR="008C78A2">
        <w:t> </w:t>
      </w:r>
      <w:r>
        <w:t>15 % firem možnost získání kvalifikovaných pracovníků, následovaná podobnou motivací možnosti výběru nejlepších studentů do řad zaměstnanců firmy.</w:t>
      </w:r>
    </w:p>
    <w:p w:rsidR="0008742A" w:rsidRDefault="0008742A" w:rsidP="002116DF">
      <w:pPr>
        <w:spacing w:after="0"/>
        <w:contextualSpacing/>
        <w:jc w:val="both"/>
      </w:pPr>
    </w:p>
    <w:p w:rsidR="00A9746A" w:rsidRDefault="00A9746A" w:rsidP="00A9746A">
      <w:pPr>
        <w:pStyle w:val="Titulek"/>
        <w:rPr>
          <w:b w:val="0"/>
        </w:rPr>
      </w:pPr>
      <w:bookmarkStart w:id="175" w:name="_Toc484437885"/>
      <w:bookmarkStart w:id="176" w:name="_Toc501615620"/>
      <w:r w:rsidRPr="005E1C2B">
        <w:t xml:space="preserve">Graf č. </w:t>
      </w:r>
      <w:r w:rsidR="007C3A3E">
        <w:fldChar w:fldCharType="begin"/>
      </w:r>
      <w:r w:rsidR="00C84608">
        <w:instrText xml:space="preserve"> SEQ Graf_č. \* ARABIC </w:instrText>
      </w:r>
      <w:r w:rsidR="007C3A3E">
        <w:fldChar w:fldCharType="separate"/>
      </w:r>
      <w:r w:rsidR="00476EDB">
        <w:rPr>
          <w:noProof/>
        </w:rPr>
        <w:t>37</w:t>
      </w:r>
      <w:r w:rsidR="007C3A3E">
        <w:rPr>
          <w:noProof/>
        </w:rPr>
        <w:fldChar w:fldCharType="end"/>
      </w:r>
      <w:r w:rsidRPr="005E1C2B">
        <w:t>:</w:t>
      </w:r>
      <w:r>
        <w:t xml:space="preserve"> Podíl firem podle hl</w:t>
      </w:r>
      <w:r w:rsidRPr="0033155D">
        <w:t>avní</w:t>
      </w:r>
      <w:r>
        <w:t>ch</w:t>
      </w:r>
      <w:r w:rsidRPr="0033155D">
        <w:t xml:space="preserve"> důvod</w:t>
      </w:r>
      <w:r>
        <w:t>ů</w:t>
      </w:r>
      <w:r w:rsidRPr="0033155D">
        <w:t xml:space="preserve"> pro přijímání studentů na praxi </w:t>
      </w:r>
      <w:r>
        <w:t>dle</w:t>
      </w:r>
      <w:r w:rsidRPr="0033155D">
        <w:t xml:space="preserve"> vybraných odvětví</w:t>
      </w:r>
      <w:r w:rsidR="00BE4E34">
        <w:t xml:space="preserve"> firmy (</w:t>
      </w:r>
      <w:proofErr w:type="gramStart"/>
      <w:r w:rsidR="00BE4E34">
        <w:t>CZ</w:t>
      </w:r>
      <w:proofErr w:type="gramEnd"/>
      <w:r w:rsidR="00BE4E34">
        <w:t>–</w:t>
      </w:r>
      <w:proofErr w:type="gramStart"/>
      <w:r w:rsidR="00BE4E34">
        <w:t>NACE</w:t>
      </w:r>
      <w:proofErr w:type="gramEnd"/>
      <w:r w:rsidR="00BE4E34">
        <w:t>)</w:t>
      </w:r>
      <w:r w:rsidRPr="0033155D">
        <w:t>, 2015</w:t>
      </w:r>
      <w:bookmarkEnd w:id="175"/>
      <w:bookmarkEnd w:id="176"/>
    </w:p>
    <w:p w:rsidR="00A9746A" w:rsidRDefault="001302BB" w:rsidP="00A9746A">
      <w:pPr>
        <w:spacing w:after="0"/>
        <w:contextualSpacing/>
        <w:jc w:val="both"/>
        <w:rPr>
          <w:b/>
        </w:rPr>
      </w:pPr>
      <w:r>
        <w:rPr>
          <w:noProof/>
        </w:rPr>
        <w:drawing>
          <wp:inline distT="0" distB="0" distL="0" distR="0" wp14:anchorId="43F15AA6" wp14:editId="40BED734">
            <wp:extent cx="5769554" cy="3557588"/>
            <wp:effectExtent l="0" t="0" r="3175" b="5080"/>
            <wp:docPr id="106" name="Graf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347F2" w:rsidRPr="00D61470" w:rsidRDefault="009347F2" w:rsidP="00A9746A">
      <w:pPr>
        <w:spacing w:after="0"/>
        <w:contextualSpacing/>
        <w:jc w:val="both"/>
        <w:rPr>
          <w:b/>
        </w:rPr>
      </w:pPr>
    </w:p>
    <w:p w:rsidR="00A9746A" w:rsidRPr="00EA2E58" w:rsidRDefault="00555EE6" w:rsidP="00A9746A">
      <w:pPr>
        <w:spacing w:after="0"/>
        <w:contextualSpacing/>
        <w:jc w:val="both"/>
        <w:rPr>
          <w:sz w:val="18"/>
        </w:rPr>
      </w:pPr>
      <w:r>
        <w:rPr>
          <w:sz w:val="18"/>
        </w:rPr>
        <w:t>Z</w:t>
      </w:r>
      <w:r w:rsidR="00A9746A" w:rsidRPr="00EA2E58">
        <w:rPr>
          <w:sz w:val="18"/>
        </w:rPr>
        <w:t>droj: šetření CVTS, ČSÚ 2017</w:t>
      </w:r>
    </w:p>
    <w:p w:rsidR="00A9746A" w:rsidRPr="00EA2E58" w:rsidRDefault="00555EE6" w:rsidP="00A9746A">
      <w:pPr>
        <w:spacing w:after="0"/>
        <w:contextualSpacing/>
        <w:rPr>
          <w:sz w:val="18"/>
        </w:rPr>
      </w:pPr>
      <w:r>
        <w:rPr>
          <w:sz w:val="18"/>
        </w:rPr>
        <w:t xml:space="preserve">Pozn.: </w:t>
      </w:r>
      <w:r w:rsidR="00A9746A" w:rsidRPr="00EA2E58">
        <w:rPr>
          <w:sz w:val="18"/>
        </w:rPr>
        <w:t>firmy mohly označit více odpovědí</w:t>
      </w:r>
    </w:p>
    <w:p w:rsidR="00A9746A" w:rsidRPr="00832847" w:rsidRDefault="00A9746A" w:rsidP="00A9746A">
      <w:pPr>
        <w:spacing w:after="0"/>
        <w:contextualSpacing/>
        <w:jc w:val="both"/>
      </w:pPr>
      <w:r>
        <w:t xml:space="preserve"> </w:t>
      </w:r>
    </w:p>
    <w:p w:rsidR="008347AF" w:rsidRDefault="00A9746A" w:rsidP="007A5589">
      <w:pPr>
        <w:spacing w:after="0"/>
        <w:contextualSpacing/>
        <w:jc w:val="both"/>
      </w:pPr>
      <w:r>
        <w:t>O motivaci firem k přijímání studentů na praxi jako dobrého nástroje k pozdějšímu získání vhodných zaměstnanců již byla řeč výše i s ohledem na odvětví, která této možnosti využívají nejvíce. Některé firmy se ohledně praxí studentů netají pohnutkou využít reálnou pracovní kapacitu studentů. Jsou to zejména firmy z odvětv</w:t>
      </w:r>
      <w:r w:rsidR="007A5589">
        <w:t xml:space="preserve">í </w:t>
      </w:r>
      <w:r w:rsidR="002501F0">
        <w:t>U</w:t>
      </w:r>
      <w:r w:rsidR="007A5589">
        <w:t>by</w:t>
      </w:r>
      <w:r w:rsidR="002501F0">
        <w:t xml:space="preserve">tování, </w:t>
      </w:r>
      <w:r w:rsidR="007A5589">
        <w:t>stravování</w:t>
      </w:r>
      <w:r w:rsidR="002501F0">
        <w:t xml:space="preserve"> a pohostinství</w:t>
      </w:r>
      <w:r w:rsidR="007A5589">
        <w:t xml:space="preserve"> (</w:t>
      </w:r>
      <w:r w:rsidR="002501F0">
        <w:t xml:space="preserve">sekce I; </w:t>
      </w:r>
      <w:r w:rsidR="007A5589">
        <w:t>10 %)</w:t>
      </w:r>
      <w:r>
        <w:t xml:space="preserve">. </w:t>
      </w:r>
      <w:r w:rsidR="007A5589">
        <w:t>Zapojení studentů do pracovního procesu v</w:t>
      </w:r>
      <w:r w:rsidR="008C78A2">
        <w:t> </w:t>
      </w:r>
      <w:r w:rsidR="007A5589">
        <w:t>tomto odvětví je poměrně rychlé, protože pro výkon jednodušších činností stačí, když studenty pověření pracovníci krátce zaškolí a provádí kontrolu. Situaci ještě ulehčí, pokud studenti již mají s těmito činnostmi (n</w:t>
      </w:r>
      <w:r w:rsidR="00293F7E">
        <w:t xml:space="preserve">apř. roznos jídel v restauraci, </w:t>
      </w:r>
      <w:r w:rsidR="007A5589">
        <w:t xml:space="preserve">práce na recepci v hotelu) zkušenosti z brigád. </w:t>
      </w:r>
      <w:r>
        <w:t xml:space="preserve">Firmy tímto způsobem mohou nahrazovat případné chybějící lidské zdroje a studenti mají možnost </w:t>
      </w:r>
      <w:r w:rsidR="00021297">
        <w:t>získat</w:t>
      </w:r>
      <w:r w:rsidR="007A5589">
        <w:t xml:space="preserve"> </w:t>
      </w:r>
      <w:r>
        <w:t>finanční odměn</w:t>
      </w:r>
      <w:r w:rsidR="00021297">
        <w:t>u</w:t>
      </w:r>
      <w:r>
        <w:t>.</w:t>
      </w:r>
    </w:p>
    <w:p w:rsidR="008347AF" w:rsidRDefault="008347AF">
      <w:pPr>
        <w:spacing w:after="0" w:line="240" w:lineRule="auto"/>
      </w:pPr>
      <w:r>
        <w:br w:type="page"/>
      </w:r>
    </w:p>
    <w:p w:rsidR="008347AF" w:rsidRDefault="008347AF" w:rsidP="008347AF">
      <w:pPr>
        <w:pStyle w:val="Nadpis2"/>
      </w:pPr>
      <w:bookmarkStart w:id="177" w:name="_Toc485639767"/>
      <w:bookmarkStart w:id="178" w:name="_Toc490472756"/>
      <w:bookmarkStart w:id="179" w:name="_Toc501614126"/>
      <w:r>
        <w:lastRenderedPageBreak/>
        <w:t>Kapitola 6: Nabírání nových zaměstnanců</w:t>
      </w:r>
      <w:bookmarkEnd w:id="177"/>
      <w:bookmarkEnd w:id="178"/>
      <w:bookmarkEnd w:id="179"/>
    </w:p>
    <w:p w:rsidR="008347AF" w:rsidRDefault="008347AF" w:rsidP="008347AF">
      <w:pPr>
        <w:spacing w:after="0"/>
        <w:contextualSpacing/>
        <w:jc w:val="both"/>
        <w:rPr>
          <w:b/>
          <w:u w:val="single"/>
        </w:rPr>
      </w:pPr>
    </w:p>
    <w:p w:rsidR="008347AF" w:rsidRDefault="008347AF" w:rsidP="00AB2EEA">
      <w:pPr>
        <w:spacing w:after="0"/>
        <w:contextualSpacing/>
        <w:jc w:val="both"/>
      </w:pPr>
      <w:bookmarkStart w:id="180" w:name="_Toc485639768"/>
      <w:bookmarkStart w:id="181" w:name="_Toc490472757"/>
      <w:r>
        <w:t>Personální stav firmy, uspokojivá obsazenost pracovních míst nebo potíže při hledání vhodných kandidátů, závisí na celé řadě nejrůznějších faktorů. V první řadě je ovlivňuje stávající situace na trhu práce, tedy míra zaměstnanosti a nezaměstnanosti, která zase do velké míry závisí na ekonomické situaci země. Zároveň obsazenost volných pracovních míst ovlivňuje i oborová struktura školství, platová politika či lokální problémy v konkrétních obla</w:t>
      </w:r>
      <w:r w:rsidR="00262B3E">
        <w:t>stech. K porozumění personálním</w:t>
      </w:r>
      <w:r>
        <w:t xml:space="preserve"> obtíží</w:t>
      </w:r>
      <w:r w:rsidR="00262B3E">
        <w:t>m</w:t>
      </w:r>
      <w:r>
        <w:t xml:space="preserve"> firem by tedy byla zapotřebí rozsáhlá analýza všech jmenovaných i dalších faktorů, což ovšem není záměrem této publikace, proto následující kapitola přináší </w:t>
      </w:r>
      <w:r w:rsidR="009F5F22">
        <w:t xml:space="preserve">pouze </w:t>
      </w:r>
      <w:r>
        <w:t>základní vhled do problematiky nabírání nových zaměstnanců, postavený na informacích, které nabídly samy firmy.</w:t>
      </w:r>
    </w:p>
    <w:p w:rsidR="00AB2EEA" w:rsidRPr="00225A79" w:rsidRDefault="00AB2EEA" w:rsidP="00AB2EEA">
      <w:pPr>
        <w:spacing w:after="0"/>
        <w:contextualSpacing/>
        <w:jc w:val="both"/>
      </w:pPr>
    </w:p>
    <w:p w:rsidR="008347AF" w:rsidRDefault="00EC53DF" w:rsidP="00CA0FFC">
      <w:pPr>
        <w:pStyle w:val="Nadpis3"/>
      </w:pPr>
      <w:bookmarkStart w:id="182" w:name="_Toc501614127"/>
      <w:r>
        <w:t>H</w:t>
      </w:r>
      <w:r w:rsidR="008347AF">
        <w:t>lavní zjištění</w:t>
      </w:r>
      <w:bookmarkEnd w:id="180"/>
      <w:bookmarkEnd w:id="181"/>
      <w:bookmarkEnd w:id="182"/>
    </w:p>
    <w:p w:rsidR="008347AF" w:rsidRPr="00EA2E58" w:rsidRDefault="008347AF" w:rsidP="003476DF">
      <w:pPr>
        <w:pStyle w:val="Odstavecseseznamem"/>
        <w:numPr>
          <w:ilvl w:val="0"/>
          <w:numId w:val="19"/>
        </w:numPr>
        <w:spacing w:after="200"/>
        <w:jc w:val="both"/>
        <w:rPr>
          <w:rFonts w:cs="Arial"/>
        </w:rPr>
      </w:pPr>
      <w:r w:rsidRPr="00EA2E58">
        <w:rPr>
          <w:rFonts w:cs="Arial"/>
        </w:rPr>
        <w:t xml:space="preserve">Třetina firem (33 %) měla </w:t>
      </w:r>
      <w:r w:rsidR="00FA065F">
        <w:rPr>
          <w:rFonts w:cs="Arial"/>
        </w:rPr>
        <w:t>v uplynulých 12 měsících před šetřením</w:t>
      </w:r>
      <w:r w:rsidRPr="00EA2E58">
        <w:rPr>
          <w:rFonts w:cs="Arial"/>
        </w:rPr>
        <w:t xml:space="preserve"> problém s obsazením </w:t>
      </w:r>
      <w:r>
        <w:rPr>
          <w:rFonts w:cs="Arial"/>
        </w:rPr>
        <w:t>několika</w:t>
      </w:r>
      <w:r w:rsidRPr="00EA2E58">
        <w:rPr>
          <w:rFonts w:cs="Arial"/>
        </w:rPr>
        <w:t xml:space="preserve"> volných pracovních míst, více než polovina (54 %) </w:t>
      </w:r>
      <w:r w:rsidR="00262B3E">
        <w:rPr>
          <w:rFonts w:cs="Arial"/>
        </w:rPr>
        <w:t>neměla problém s obsazením volného pracovního místa.</w:t>
      </w:r>
    </w:p>
    <w:p w:rsidR="008347AF" w:rsidRPr="00EA2E58" w:rsidRDefault="008347AF" w:rsidP="003476DF">
      <w:pPr>
        <w:pStyle w:val="Odstavecseseznamem"/>
        <w:numPr>
          <w:ilvl w:val="0"/>
          <w:numId w:val="19"/>
        </w:numPr>
        <w:spacing w:after="200"/>
        <w:jc w:val="both"/>
        <w:rPr>
          <w:rFonts w:cs="Arial"/>
        </w:rPr>
      </w:pPr>
      <w:r w:rsidRPr="00EA2E58">
        <w:rPr>
          <w:rFonts w:cs="Arial"/>
        </w:rPr>
        <w:t xml:space="preserve">Téměř polovina firem (46 %) z těch, které měly problém při obsazení volných </w:t>
      </w:r>
      <w:r w:rsidR="009F5F22">
        <w:rPr>
          <w:rFonts w:cs="Arial"/>
        </w:rPr>
        <w:t xml:space="preserve">pracovních </w:t>
      </w:r>
      <w:r w:rsidRPr="00EA2E58">
        <w:rPr>
          <w:rFonts w:cs="Arial"/>
        </w:rPr>
        <w:t>míst, kladla u nově přijímaných zaměstnanců vyšší důraz na praxi než na dosažení požadovaného vzdělání.</w:t>
      </w:r>
    </w:p>
    <w:p w:rsidR="008347AF" w:rsidRPr="00EA2E58" w:rsidRDefault="008347AF" w:rsidP="003476DF">
      <w:pPr>
        <w:pStyle w:val="Odstavecseseznamem"/>
        <w:numPr>
          <w:ilvl w:val="0"/>
          <w:numId w:val="19"/>
        </w:numPr>
        <w:spacing w:after="200"/>
        <w:jc w:val="both"/>
        <w:rPr>
          <w:rFonts w:cs="Arial"/>
        </w:rPr>
      </w:pPr>
      <w:r w:rsidRPr="00EA2E58">
        <w:rPr>
          <w:rFonts w:cs="Arial"/>
        </w:rPr>
        <w:t>Nejčastějším oborem, ve kterém firmy požadovaly praxi či vzdělání, byly technické vědy, výroba a</w:t>
      </w:r>
      <w:r w:rsidR="008C78A2">
        <w:rPr>
          <w:rFonts w:cs="Arial"/>
        </w:rPr>
        <w:t> </w:t>
      </w:r>
      <w:r w:rsidRPr="00EA2E58">
        <w:rPr>
          <w:rFonts w:cs="Arial"/>
        </w:rPr>
        <w:t>výstavba (43 % firem, které měly problém při obsazení volných</w:t>
      </w:r>
      <w:r w:rsidR="009F5F22">
        <w:rPr>
          <w:rFonts w:cs="Arial"/>
        </w:rPr>
        <w:t xml:space="preserve"> pracovních</w:t>
      </w:r>
      <w:r w:rsidRPr="00EA2E58">
        <w:rPr>
          <w:rFonts w:cs="Arial"/>
        </w:rPr>
        <w:t xml:space="preserve"> míst).</w:t>
      </w:r>
    </w:p>
    <w:p w:rsidR="008347AF" w:rsidRPr="00EA2E58" w:rsidRDefault="0056764C" w:rsidP="003476DF">
      <w:pPr>
        <w:pStyle w:val="Odstavecseseznamem"/>
        <w:numPr>
          <w:ilvl w:val="0"/>
          <w:numId w:val="19"/>
        </w:numPr>
        <w:spacing w:after="200"/>
        <w:jc w:val="both"/>
        <w:rPr>
          <w:rFonts w:cs="Arial"/>
        </w:rPr>
      </w:pPr>
      <w:r>
        <w:rPr>
          <w:rFonts w:cs="Arial"/>
        </w:rPr>
        <w:t>Většina firem (68 %) ve 12 měsících předcházejících šetření</w:t>
      </w:r>
      <w:r w:rsidR="008347AF" w:rsidRPr="00EA2E58">
        <w:rPr>
          <w:rFonts w:cs="Arial"/>
        </w:rPr>
        <w:t xml:space="preserve"> nepřijala žádného čerstvého absolventa školy, naopak ta</w:t>
      </w:r>
      <w:r w:rsidR="00CC5E5F">
        <w:rPr>
          <w:rFonts w:cs="Arial"/>
        </w:rPr>
        <w:t>k učinila čtvrtina firem (26 %), zbylých 6 % nevědělo.</w:t>
      </w:r>
    </w:p>
    <w:p w:rsidR="008347AF" w:rsidRPr="00C6103F" w:rsidRDefault="008347AF" w:rsidP="003476DF">
      <w:pPr>
        <w:pStyle w:val="Odstavecseseznamem"/>
        <w:numPr>
          <w:ilvl w:val="0"/>
          <w:numId w:val="19"/>
        </w:numPr>
        <w:spacing w:after="0"/>
        <w:jc w:val="both"/>
        <w:rPr>
          <w:u w:val="single"/>
        </w:rPr>
      </w:pPr>
      <w:r w:rsidRPr="00C6103F">
        <w:rPr>
          <w:rFonts w:cs="Arial"/>
        </w:rPr>
        <w:t>Nejčastějším oborem studia přijímaných absolventů byly technické vědy, výroba či výstavba (v 45 % firem, které absolventa přijaly).</w:t>
      </w:r>
    </w:p>
    <w:p w:rsidR="00C6103F" w:rsidRPr="00C6103F" w:rsidRDefault="00C6103F" w:rsidP="00CA0FFC">
      <w:pPr>
        <w:pStyle w:val="Odstavecseseznamem"/>
        <w:spacing w:after="0"/>
        <w:jc w:val="both"/>
        <w:rPr>
          <w:u w:val="single"/>
        </w:rPr>
      </w:pPr>
    </w:p>
    <w:p w:rsidR="008347AF" w:rsidRDefault="008347AF" w:rsidP="00CA0FFC">
      <w:pPr>
        <w:pStyle w:val="Nadpis4"/>
        <w:spacing w:after="120"/>
      </w:pPr>
      <w:bookmarkStart w:id="183" w:name="_Toc490472759"/>
      <w:bookmarkStart w:id="184" w:name="_Toc501614128"/>
      <w:r>
        <w:t>Problémy s obsazením volného</w:t>
      </w:r>
      <w:r w:rsidR="00BE4E34">
        <w:t xml:space="preserve"> pracovního</w:t>
      </w:r>
      <w:r>
        <w:t xml:space="preserve"> místa</w:t>
      </w:r>
      <w:bookmarkEnd w:id="183"/>
      <w:bookmarkEnd w:id="184"/>
    </w:p>
    <w:p w:rsidR="009F5F22" w:rsidRDefault="00D23CB2" w:rsidP="00CA0FFC">
      <w:pPr>
        <w:spacing w:after="0"/>
        <w:contextualSpacing/>
        <w:jc w:val="both"/>
      </w:pPr>
      <w:r>
        <w:t>Na začátek je nutné připomenout, že šetření CVTS nepokrývá zaměstnance všech odvětví národního hospodářství, ale týká se pouze určitých ekonomických odvět</w:t>
      </w:r>
      <w:r w:rsidR="00DE2D95">
        <w:t>ví. Data neukazují situaci např.</w:t>
      </w:r>
      <w:r>
        <w:t xml:space="preserve"> ve státní správě, v sociální a zdravotní oblasti, ve vzdělávání a dalších (viz </w:t>
      </w:r>
      <w:r w:rsidR="007C3A3E" w:rsidRPr="004272F9">
        <w:rPr>
          <w:color w:val="0070C0"/>
          <w:u w:val="single"/>
        </w:rPr>
        <w:fldChar w:fldCharType="begin"/>
      </w:r>
      <w:r w:rsidR="009F5F22" w:rsidRPr="004272F9">
        <w:rPr>
          <w:color w:val="0070C0"/>
          <w:u w:val="single"/>
        </w:rPr>
        <w:instrText xml:space="preserve"> REF _Ref496612422 \h </w:instrText>
      </w:r>
      <w:r w:rsidR="004272F9">
        <w:rPr>
          <w:color w:val="0070C0"/>
          <w:u w:val="single"/>
        </w:rPr>
        <w:instrText xml:space="preserve"> \* MERGEFORMAT </w:instrText>
      </w:r>
      <w:r w:rsidR="007C3A3E" w:rsidRPr="004272F9">
        <w:rPr>
          <w:color w:val="0070C0"/>
          <w:u w:val="single"/>
        </w:rPr>
      </w:r>
      <w:r w:rsidR="007C3A3E" w:rsidRPr="004272F9">
        <w:rPr>
          <w:color w:val="0070C0"/>
          <w:u w:val="single"/>
        </w:rPr>
        <w:fldChar w:fldCharType="separate"/>
      </w:r>
      <w:r w:rsidR="00476EDB" w:rsidRPr="00476EDB">
        <w:rPr>
          <w:color w:val="0070C0"/>
          <w:u w:val="single"/>
        </w:rPr>
        <w:t>Metodologie</w:t>
      </w:r>
      <w:r w:rsidR="007C3A3E" w:rsidRPr="004272F9">
        <w:rPr>
          <w:color w:val="0070C0"/>
          <w:u w:val="single"/>
        </w:rPr>
        <w:fldChar w:fldCharType="end"/>
      </w:r>
      <w:r>
        <w:t xml:space="preserve">). Při hodnocení výstupů je potřeba na toto omezení pamatovat. </w:t>
      </w:r>
      <w:r w:rsidR="008347AF">
        <w:t xml:space="preserve">Více než polovina českých firem </w:t>
      </w:r>
      <w:r w:rsidR="00C6103F">
        <w:t xml:space="preserve">(54 %) </w:t>
      </w:r>
      <w:r w:rsidR="008347AF">
        <w:t>neměla v roce 2015 problém s obsazením volného pracovního místa (případně žádné volné místo neměla). Třetina firem měla problém s obsazením několika volných míst, 13 % pak s jedním. Kromě soudobé ekonomické situace a dalších faktorů záleží tento personální proces zejména na oboru, ve kterém firma působí, na velikosti firmy a místě jejího působení.</w:t>
      </w:r>
    </w:p>
    <w:p w:rsidR="008347AF" w:rsidRDefault="008347AF" w:rsidP="00CA0FFC">
      <w:pPr>
        <w:spacing w:after="0"/>
        <w:contextualSpacing/>
        <w:jc w:val="both"/>
      </w:pPr>
      <w:r>
        <w:t xml:space="preserve"> </w:t>
      </w:r>
    </w:p>
    <w:p w:rsidR="008347AF" w:rsidRDefault="008347AF" w:rsidP="00CA0FFC">
      <w:pPr>
        <w:spacing w:after="0"/>
        <w:contextualSpacing/>
        <w:jc w:val="both"/>
      </w:pPr>
      <w:r>
        <w:t xml:space="preserve">Nepřekvapivě největší obtíže s obsazováním volných míst </w:t>
      </w:r>
      <w:r w:rsidR="00FA065F">
        <w:t>(v 12 měsících předcházejících šetření) vykazovaly</w:t>
      </w:r>
      <w:r>
        <w:t xml:space="preserve"> firmy s více než 250 zaměstnanci a to téměř 80 % z nich, malé firmy (do 20 zaměstnanců) mají tento problém ze 40 %. Je to dáno nejen počtem pracovních míst ve firmě obecně, ale i jejich strukturou a</w:t>
      </w:r>
      <w:r w:rsidR="008C78A2">
        <w:t> </w:t>
      </w:r>
      <w:r>
        <w:t>mírou specializace, jejichž vzájemná rozdílnost je ve velkých firmách obvykle vyšší než ve firmách menších, kde buď specializované pracovníky v takové míře nepotřebují, nebo jeden člověk zastává více funkcí najednou.</w:t>
      </w:r>
    </w:p>
    <w:p w:rsidR="009F5F22" w:rsidRDefault="009F5F22" w:rsidP="00CA0FFC">
      <w:pPr>
        <w:spacing w:after="0"/>
        <w:contextualSpacing/>
        <w:jc w:val="both"/>
      </w:pPr>
    </w:p>
    <w:p w:rsidR="008347AF" w:rsidRDefault="008347AF" w:rsidP="00CA0FFC">
      <w:pPr>
        <w:spacing w:after="0"/>
        <w:contextualSpacing/>
        <w:jc w:val="both"/>
      </w:pPr>
      <w:r>
        <w:t>Z odvětvového hlediska bylo nejvíce problematické obsazování volných míst v</w:t>
      </w:r>
      <w:r w:rsidR="005F0609">
        <w:t>e firmách působících v oblasti I</w:t>
      </w:r>
      <w:r>
        <w:t xml:space="preserve">nformační a komunikační </w:t>
      </w:r>
      <w:r w:rsidR="005F0609">
        <w:t>činnost</w:t>
      </w:r>
      <w:r w:rsidR="00DE2D95">
        <w:t>i</w:t>
      </w:r>
      <w:r>
        <w:t xml:space="preserve"> (sekce J</w:t>
      </w:r>
      <w:r w:rsidR="009F5F22">
        <w:t>;</w:t>
      </w:r>
      <w:r>
        <w:t xml:space="preserve"> 56 %) a ve firmách v </w:t>
      </w:r>
      <w:r w:rsidR="005310A5">
        <w:t>o</w:t>
      </w:r>
      <w:r w:rsidR="00DE2D95">
        <w:t>dvětví</w:t>
      </w:r>
      <w:r w:rsidR="005310A5">
        <w:t xml:space="preserve"> P</w:t>
      </w:r>
      <w:r w:rsidR="009F5F22">
        <w:t>růmysl (sekce BC;</w:t>
      </w:r>
      <w:r>
        <w:t xml:space="preserve"> 55 %), a to z rozdílných důvodů. Firmy v oblasti ICT často hledají úzce zaměřené odborníky, kterých je navíc v tomto oboru nedostatek. Rovněž ze všech odvětví nejčastěji hledali nového kolegu s vysokoškolským vzděláním (33 %) a zároveň nejvíce (33 %) kladli důraz na praxi (při očištění vlivu firem, které neměly problém při obsazení volného místa, se oba podíly zvýší na 58 %). Na druhou stranu průmyslové firmy kromě specialistů ve velké míře hledají pracovníky do výroby, kterých je na trhu také nedostatek. Na obsazované pozice tyto firmy ve velké míře deklarovaly požadované střední vzdělání, ať už s maturitou, nebo bez ní (dohromady 3</w:t>
      </w:r>
      <w:r w:rsidR="00C2397A">
        <w:t>2</w:t>
      </w:r>
      <w:r w:rsidR="008C78A2">
        <w:t> </w:t>
      </w:r>
      <w:r>
        <w:t>%</w:t>
      </w:r>
      <w:r w:rsidR="00C2397A">
        <w:t xml:space="preserve"> všech firem</w:t>
      </w:r>
      <w:r>
        <w:t>) a kladly vyšší důraz na praxi než na vzdělání (25</w:t>
      </w:r>
      <w:r w:rsidR="009F5F22">
        <w:t> </w:t>
      </w:r>
      <w:r>
        <w:t xml:space="preserve">%). Naopak nejméně práce </w:t>
      </w:r>
      <w:r w:rsidR="004B5811">
        <w:t xml:space="preserve">s nabíráním </w:t>
      </w:r>
      <w:r w:rsidR="004B5811">
        <w:lastRenderedPageBreak/>
        <w:t xml:space="preserve">nových zaměstnanců </w:t>
      </w:r>
      <w:r>
        <w:t>měli personalisté ve firmách zabývajícíc</w:t>
      </w:r>
      <w:r w:rsidR="00DE2D95">
        <w:t xml:space="preserve">h se výrobou a rozvodem energie, </w:t>
      </w:r>
      <w:r>
        <w:t>plynu</w:t>
      </w:r>
      <w:r w:rsidR="00DE2D95">
        <w:t>, vody, tepla</w:t>
      </w:r>
      <w:r>
        <w:t xml:space="preserve"> (sekce DE), ty měly při obsazování volných míst problém pouze z 32 %.</w:t>
      </w:r>
    </w:p>
    <w:p w:rsidR="00C2397A" w:rsidRDefault="00C2397A" w:rsidP="008347AF">
      <w:pPr>
        <w:spacing w:after="0"/>
        <w:contextualSpacing/>
        <w:jc w:val="both"/>
      </w:pPr>
    </w:p>
    <w:p w:rsidR="00C2397A" w:rsidRDefault="00C2397A" w:rsidP="00C2397A">
      <w:pPr>
        <w:pStyle w:val="Titulek"/>
      </w:pPr>
      <w:bookmarkStart w:id="185" w:name="_Toc484437886"/>
      <w:bookmarkStart w:id="186" w:name="_Toc501615621"/>
      <w:r w:rsidRPr="005E1C2B">
        <w:t xml:space="preserve">Graf č. </w:t>
      </w:r>
      <w:r w:rsidR="007C3A3E">
        <w:fldChar w:fldCharType="begin"/>
      </w:r>
      <w:r w:rsidR="00C84608">
        <w:instrText xml:space="preserve"> SEQ Graf_č. \* ARABIC </w:instrText>
      </w:r>
      <w:r w:rsidR="007C3A3E">
        <w:fldChar w:fldCharType="separate"/>
      </w:r>
      <w:r w:rsidR="00476EDB">
        <w:rPr>
          <w:noProof/>
        </w:rPr>
        <w:t>38</w:t>
      </w:r>
      <w:r w:rsidR="007C3A3E">
        <w:rPr>
          <w:noProof/>
        </w:rPr>
        <w:fldChar w:fldCharType="end"/>
      </w:r>
      <w:r w:rsidRPr="005E1C2B">
        <w:t>:</w:t>
      </w:r>
      <w:r w:rsidRPr="0033155D">
        <w:rPr>
          <w:b w:val="0"/>
        </w:rPr>
        <w:t xml:space="preserve"> </w:t>
      </w:r>
      <w:r w:rsidRPr="0033155D">
        <w:t xml:space="preserve">Podíl firem </w:t>
      </w:r>
      <w:r w:rsidR="00ED4F06">
        <w:t>potýkajících se s problémem obsadit voln</w:t>
      </w:r>
      <w:r w:rsidR="00B14939">
        <w:t>á</w:t>
      </w:r>
      <w:r w:rsidR="00ED4F06">
        <w:t xml:space="preserve"> pracovní míst</w:t>
      </w:r>
      <w:r w:rsidR="00B14939">
        <w:t>a</w:t>
      </w:r>
      <w:r w:rsidR="00ED4F06">
        <w:t xml:space="preserve"> </w:t>
      </w:r>
      <w:r w:rsidRPr="0033155D">
        <w:t>podle velikosti firmy, 2015</w:t>
      </w:r>
      <w:bookmarkEnd w:id="185"/>
      <w:bookmarkEnd w:id="186"/>
    </w:p>
    <w:p w:rsidR="00273BC8" w:rsidRPr="00273BC8" w:rsidRDefault="00BA0440" w:rsidP="00273BC8">
      <w:r>
        <w:rPr>
          <w:noProof/>
        </w:rPr>
        <w:drawing>
          <wp:inline distT="0" distB="0" distL="0" distR="0" wp14:anchorId="465CA911" wp14:editId="78ED1780">
            <wp:extent cx="6048375" cy="2581275"/>
            <wp:effectExtent l="0" t="0" r="0" b="0"/>
            <wp:docPr id="108" name="Graf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14939" w:rsidRDefault="00555EE6" w:rsidP="00B14939">
      <w:pPr>
        <w:spacing w:after="0"/>
        <w:contextualSpacing/>
        <w:jc w:val="both"/>
        <w:rPr>
          <w:sz w:val="18"/>
        </w:rPr>
      </w:pPr>
      <w:r>
        <w:rPr>
          <w:sz w:val="18"/>
        </w:rPr>
        <w:t>Z</w:t>
      </w:r>
      <w:r w:rsidR="00B14939" w:rsidRPr="00EA2E58">
        <w:rPr>
          <w:sz w:val="18"/>
        </w:rPr>
        <w:t>droj: šetření CVTS, ČSÚ 2017</w:t>
      </w:r>
    </w:p>
    <w:p w:rsidR="00FA065F" w:rsidRDefault="00FA065F" w:rsidP="00FA065F">
      <w:pPr>
        <w:spacing w:after="0"/>
        <w:contextualSpacing/>
        <w:jc w:val="both"/>
        <w:rPr>
          <w:sz w:val="18"/>
        </w:rPr>
      </w:pPr>
      <w:r>
        <w:rPr>
          <w:sz w:val="18"/>
        </w:rPr>
        <w:t>Pozn.: týkalo se 12 měsíců</w:t>
      </w:r>
      <w:r w:rsidR="0037096B">
        <w:rPr>
          <w:sz w:val="18"/>
        </w:rPr>
        <w:t xml:space="preserve"> předcházejících šetření</w:t>
      </w:r>
    </w:p>
    <w:p w:rsidR="00273BC8" w:rsidRDefault="00273BC8" w:rsidP="00B14939">
      <w:pPr>
        <w:spacing w:after="0"/>
        <w:contextualSpacing/>
        <w:jc w:val="both"/>
        <w:rPr>
          <w:sz w:val="18"/>
        </w:rPr>
      </w:pPr>
    </w:p>
    <w:p w:rsidR="00156839" w:rsidRDefault="00273BC8" w:rsidP="00273BC8">
      <w:pPr>
        <w:pStyle w:val="Titulek"/>
      </w:pPr>
      <w:bookmarkStart w:id="187" w:name="_Toc484437887"/>
      <w:bookmarkStart w:id="188" w:name="_Toc501615622"/>
      <w:r w:rsidRPr="005E1C2B">
        <w:t xml:space="preserve">Graf č. </w:t>
      </w:r>
      <w:r w:rsidR="007C3A3E">
        <w:fldChar w:fldCharType="begin"/>
      </w:r>
      <w:r w:rsidR="00C84608">
        <w:instrText xml:space="preserve"> SEQ Graf_č. \* ARABIC </w:instrText>
      </w:r>
      <w:r w:rsidR="007C3A3E">
        <w:fldChar w:fldCharType="separate"/>
      </w:r>
      <w:r w:rsidR="00476EDB">
        <w:rPr>
          <w:noProof/>
        </w:rPr>
        <w:t>39</w:t>
      </w:r>
      <w:r w:rsidR="007C3A3E">
        <w:rPr>
          <w:noProof/>
        </w:rPr>
        <w:fldChar w:fldCharType="end"/>
      </w:r>
      <w:r w:rsidRPr="005E1C2B">
        <w:t xml:space="preserve">: </w:t>
      </w:r>
      <w:bookmarkEnd w:id="187"/>
      <w:r w:rsidRPr="0033155D">
        <w:t xml:space="preserve">Podíl firem </w:t>
      </w:r>
      <w:r>
        <w:t xml:space="preserve">potýkajících se s problémem obsadit volná pracovní místa </w:t>
      </w:r>
      <w:r w:rsidRPr="0033155D">
        <w:t xml:space="preserve">podle </w:t>
      </w:r>
      <w:r>
        <w:t>odvětví</w:t>
      </w:r>
      <w:r w:rsidRPr="0033155D">
        <w:t xml:space="preserve"> firmy, </w:t>
      </w:r>
      <w:r>
        <w:t>(</w:t>
      </w:r>
      <w:proofErr w:type="gramStart"/>
      <w:r>
        <w:t>CZ</w:t>
      </w:r>
      <w:proofErr w:type="gramEnd"/>
      <w:r>
        <w:t>–</w:t>
      </w:r>
      <w:proofErr w:type="gramStart"/>
      <w:r>
        <w:t>NACE</w:t>
      </w:r>
      <w:proofErr w:type="gramEnd"/>
      <w:r>
        <w:t xml:space="preserve">), </w:t>
      </w:r>
      <w:r w:rsidRPr="0033155D">
        <w:t>2015</w:t>
      </w:r>
      <w:bookmarkEnd w:id="188"/>
    </w:p>
    <w:p w:rsidR="00C2397A" w:rsidRPr="002B179F" w:rsidRDefault="00BA0440" w:rsidP="00273BC8">
      <w:pPr>
        <w:pStyle w:val="Titulek"/>
        <w:rPr>
          <w:b w:val="0"/>
        </w:rPr>
      </w:pPr>
      <w:r>
        <w:rPr>
          <w:noProof/>
        </w:rPr>
        <w:drawing>
          <wp:inline distT="0" distB="0" distL="0" distR="0" wp14:anchorId="232E6BEB" wp14:editId="218FA835">
            <wp:extent cx="5972175" cy="3629025"/>
            <wp:effectExtent l="0" t="0" r="0" b="0"/>
            <wp:docPr id="109" name="Graf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FA065F" w:rsidRDefault="00555EE6" w:rsidP="00C2397A">
      <w:pPr>
        <w:spacing w:after="0"/>
        <w:contextualSpacing/>
        <w:jc w:val="both"/>
        <w:rPr>
          <w:sz w:val="18"/>
        </w:rPr>
      </w:pPr>
      <w:r>
        <w:rPr>
          <w:sz w:val="18"/>
        </w:rPr>
        <w:t>Z</w:t>
      </w:r>
      <w:r w:rsidR="00C2397A" w:rsidRPr="00EA2E58">
        <w:rPr>
          <w:sz w:val="18"/>
        </w:rPr>
        <w:t>droj: šetření CVTS, ČSÚ 2017</w:t>
      </w:r>
    </w:p>
    <w:p w:rsidR="00FA065F" w:rsidRDefault="00FA065F" w:rsidP="00FA065F">
      <w:pPr>
        <w:spacing w:after="0"/>
        <w:contextualSpacing/>
        <w:jc w:val="both"/>
        <w:rPr>
          <w:sz w:val="18"/>
        </w:rPr>
      </w:pPr>
      <w:r>
        <w:rPr>
          <w:sz w:val="18"/>
        </w:rPr>
        <w:t xml:space="preserve">Pozn.: </w:t>
      </w:r>
      <w:r w:rsidR="0037096B">
        <w:rPr>
          <w:sz w:val="18"/>
        </w:rPr>
        <w:t>týkalo se 12 měsíců předcházejících šetření</w:t>
      </w:r>
    </w:p>
    <w:p w:rsidR="00D23CB2" w:rsidRDefault="00D23CB2" w:rsidP="00C63D65">
      <w:pPr>
        <w:pStyle w:val="Nadpis4"/>
        <w:spacing w:after="120"/>
      </w:pPr>
      <w:bookmarkStart w:id="189" w:name="_Toc490472760"/>
      <w:bookmarkStart w:id="190" w:name="_Toc501614129"/>
      <w:r>
        <w:lastRenderedPageBreak/>
        <w:t>Charakteristika nových zaměstnanců</w:t>
      </w:r>
      <w:bookmarkEnd w:id="189"/>
      <w:bookmarkEnd w:id="190"/>
    </w:p>
    <w:p w:rsidR="00D23CB2" w:rsidRDefault="00886785" w:rsidP="00C63D65">
      <w:pPr>
        <w:spacing w:after="0"/>
        <w:contextualSpacing/>
        <w:jc w:val="both"/>
      </w:pPr>
      <w:r>
        <w:t>Tato</w:t>
      </w:r>
      <w:r w:rsidR="007F4377">
        <w:t xml:space="preserve"> podkapitola</w:t>
      </w:r>
      <w:r w:rsidR="00D23CB2">
        <w:t xml:space="preserve"> </w:t>
      </w:r>
      <w:r w:rsidR="007F4377">
        <w:t xml:space="preserve">je věnována pouze firmám s volným </w:t>
      </w:r>
      <w:r w:rsidR="00D23CB2">
        <w:t>pracovní</w:t>
      </w:r>
      <w:r w:rsidR="007F4377">
        <w:t>m</w:t>
      </w:r>
      <w:r w:rsidR="00D23CB2">
        <w:t xml:space="preserve"> míst</w:t>
      </w:r>
      <w:r w:rsidR="007F4377">
        <w:t>em</w:t>
      </w:r>
      <w:r w:rsidR="00D23CB2">
        <w:t xml:space="preserve">, které bylo těžké obsadit vhodným novým zaměstnancem (46 %). </w:t>
      </w:r>
      <w:r>
        <w:t xml:space="preserve">Následující </w:t>
      </w:r>
      <w:r w:rsidR="00D23CB2">
        <w:t>charakteristik</w:t>
      </w:r>
      <w:r>
        <w:t>y</w:t>
      </w:r>
      <w:r w:rsidR="00D23CB2">
        <w:t xml:space="preserve"> se vztahuj</w:t>
      </w:r>
      <w:r>
        <w:t>í</w:t>
      </w:r>
      <w:r w:rsidR="00D23CB2">
        <w:t xml:space="preserve"> právě k této obtížně </w:t>
      </w:r>
      <w:proofErr w:type="spellStart"/>
      <w:r w:rsidR="00D23CB2">
        <w:t>obsaditelné</w:t>
      </w:r>
      <w:proofErr w:type="spellEnd"/>
      <w:r w:rsidR="00D23CB2">
        <w:t xml:space="preserve"> pracovní pozici (pokud měla firma více takových pozic, měla vybrat tu nejproblematičtější, příp.</w:t>
      </w:r>
      <w:r w:rsidR="008C78A2">
        <w:t> </w:t>
      </w:r>
      <w:r w:rsidR="00D23CB2">
        <w:t>pro firmu nejdůležitější).</w:t>
      </w:r>
    </w:p>
    <w:p w:rsidR="00C63D65" w:rsidRDefault="00C63D65" w:rsidP="00C63D65">
      <w:pPr>
        <w:spacing w:after="0"/>
        <w:contextualSpacing/>
        <w:jc w:val="both"/>
      </w:pPr>
    </w:p>
    <w:p w:rsidR="00D23CB2" w:rsidRDefault="00D23CB2" w:rsidP="00D23CB2">
      <w:pPr>
        <w:spacing w:after="0"/>
        <w:contextualSpacing/>
        <w:jc w:val="both"/>
      </w:pPr>
      <w:r>
        <w:t xml:space="preserve">První informace, které se firma o kandidátovi na dané volné místo dozví, se většinou nacházejí v pracovním životopise. Jeho nejdůležitější částí bývají pasáže o dosaženém vzdělání a absolvované praxi. 46 % firem deklaruje, že </w:t>
      </w:r>
      <w:r w:rsidR="00CC5E5F">
        <w:t>je pro ně důležitější praxe</w:t>
      </w:r>
      <w:r>
        <w:t xml:space="preserve"> uchazeče než jeho vzdělání, třetina firem na oba faktory klade přibližně stejný důraz.</w:t>
      </w:r>
    </w:p>
    <w:p w:rsidR="00D23CB2" w:rsidRDefault="00D23CB2" w:rsidP="00D23CB2">
      <w:pPr>
        <w:spacing w:after="0"/>
        <w:contextualSpacing/>
        <w:jc w:val="both"/>
      </w:pPr>
    </w:p>
    <w:p w:rsidR="00D23CB2" w:rsidRDefault="00D23CB2" w:rsidP="00D23CB2">
      <w:pPr>
        <w:pStyle w:val="Titulek"/>
      </w:pPr>
      <w:bookmarkStart w:id="191" w:name="_Toc484437888"/>
      <w:bookmarkStart w:id="192" w:name="_Toc501615623"/>
      <w:r w:rsidRPr="005E1C2B">
        <w:t xml:space="preserve">Graf č. </w:t>
      </w:r>
      <w:r w:rsidR="007C3A3E">
        <w:fldChar w:fldCharType="begin"/>
      </w:r>
      <w:r w:rsidR="00C84608">
        <w:instrText xml:space="preserve"> SEQ Graf_č. \* ARABIC </w:instrText>
      </w:r>
      <w:r w:rsidR="007C3A3E">
        <w:fldChar w:fldCharType="separate"/>
      </w:r>
      <w:r w:rsidR="00476EDB">
        <w:rPr>
          <w:noProof/>
        </w:rPr>
        <w:t>40</w:t>
      </w:r>
      <w:r w:rsidR="007C3A3E">
        <w:fldChar w:fldCharType="end"/>
      </w:r>
      <w:r w:rsidRPr="005E1C2B">
        <w:t>:</w:t>
      </w:r>
      <w:r>
        <w:t xml:space="preserve"> Podíl firem, které měly problém obsadit volné pracovní místo vhodným kandidátem podle </w:t>
      </w:r>
      <w:r w:rsidR="002052F1">
        <w:t>požadavků kladených na kandidáta</w:t>
      </w:r>
      <w:r w:rsidRPr="00F15DBC">
        <w:t>, 2015</w:t>
      </w:r>
      <w:bookmarkEnd w:id="191"/>
      <w:bookmarkEnd w:id="192"/>
    </w:p>
    <w:p w:rsidR="00D23CB2" w:rsidRPr="004A116D" w:rsidRDefault="00BA0440" w:rsidP="00D23CB2">
      <w:pPr>
        <w:spacing w:after="0"/>
        <w:contextualSpacing/>
        <w:jc w:val="both"/>
      </w:pPr>
      <w:r>
        <w:rPr>
          <w:noProof/>
        </w:rPr>
        <w:drawing>
          <wp:inline distT="0" distB="0" distL="0" distR="0" wp14:anchorId="59964487" wp14:editId="642C02D2">
            <wp:extent cx="5991225" cy="1866900"/>
            <wp:effectExtent l="0" t="0" r="0" b="0"/>
            <wp:docPr id="110" name="Graf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23CB2" w:rsidRPr="00EA2E58" w:rsidRDefault="00555EE6" w:rsidP="00D23CB2">
      <w:pPr>
        <w:spacing w:after="0"/>
        <w:contextualSpacing/>
        <w:jc w:val="both"/>
        <w:rPr>
          <w:sz w:val="18"/>
        </w:rPr>
      </w:pPr>
      <w:r>
        <w:rPr>
          <w:sz w:val="18"/>
        </w:rPr>
        <w:t>Z</w:t>
      </w:r>
      <w:r w:rsidR="00D23CB2" w:rsidRPr="00EA2E58">
        <w:rPr>
          <w:sz w:val="18"/>
        </w:rPr>
        <w:t>droj: šetření CVTS, ČSÚ 2017</w:t>
      </w:r>
    </w:p>
    <w:p w:rsidR="00D23CB2" w:rsidRDefault="00555EE6" w:rsidP="00D23CB2">
      <w:pPr>
        <w:spacing w:after="0"/>
        <w:contextualSpacing/>
        <w:jc w:val="both"/>
        <w:rPr>
          <w:sz w:val="18"/>
        </w:rPr>
      </w:pPr>
      <w:r>
        <w:rPr>
          <w:sz w:val="18"/>
        </w:rPr>
        <w:t>P</w:t>
      </w:r>
      <w:r w:rsidR="00D23CB2" w:rsidRPr="00EA2E58">
        <w:rPr>
          <w:sz w:val="18"/>
        </w:rPr>
        <w:t>ozn.: podíly pouze z firem, které měly problém obsadit pracovní místo vhodným kandidátem</w:t>
      </w:r>
      <w:r w:rsidR="00FA065F">
        <w:rPr>
          <w:sz w:val="18"/>
        </w:rPr>
        <w:t>;</w:t>
      </w:r>
    </w:p>
    <w:p w:rsidR="00FA065F" w:rsidRPr="00EA2E58" w:rsidRDefault="0037096B" w:rsidP="00D23CB2">
      <w:pPr>
        <w:spacing w:after="0"/>
        <w:contextualSpacing/>
        <w:jc w:val="both"/>
        <w:rPr>
          <w:sz w:val="18"/>
        </w:rPr>
      </w:pPr>
      <w:r>
        <w:rPr>
          <w:sz w:val="18"/>
        </w:rPr>
        <w:t>týkalo se 12 měsíců předcházejících šetření</w:t>
      </w:r>
    </w:p>
    <w:p w:rsidR="00D23CB2" w:rsidRDefault="00D23CB2" w:rsidP="00D23CB2">
      <w:pPr>
        <w:spacing w:after="0"/>
        <w:contextualSpacing/>
        <w:jc w:val="both"/>
        <w:rPr>
          <w:u w:val="single"/>
        </w:rPr>
      </w:pPr>
    </w:p>
    <w:p w:rsidR="00D23CB2" w:rsidRDefault="00D23CB2" w:rsidP="00D23CB2">
      <w:pPr>
        <w:spacing w:after="0"/>
        <w:contextualSpacing/>
        <w:jc w:val="both"/>
      </w:pPr>
      <w:r>
        <w:t xml:space="preserve">Nejvíce poptávaným oborem vzdělání nebo praxe, požadovaným u uchazečů o zaměstnání, </w:t>
      </w:r>
      <w:r w:rsidR="00027D43">
        <w:t xml:space="preserve">byla technika či výroba (43 %), </w:t>
      </w:r>
      <w:r>
        <w:t xml:space="preserve">naopak </w:t>
      </w:r>
      <w:r w:rsidR="00027D43">
        <w:t xml:space="preserve">nejméně </w:t>
      </w:r>
      <w:r>
        <w:t xml:space="preserve">všeobecné vzdělání nebo humanitní vědy (1 %). </w:t>
      </w:r>
      <w:r w:rsidR="00CE5D87">
        <w:t xml:space="preserve">(Opět je nutné vzít v potaz, že šetření CVTS nezahrnuje všechny sekce ekonomických činností.) </w:t>
      </w:r>
      <w:r>
        <w:t>Tento celkový výsledek ukazuje z</w:t>
      </w:r>
      <w:r w:rsidR="00027D43">
        <w:t>ákladní přehled požadavků firem.</w:t>
      </w:r>
      <w:r>
        <w:t xml:space="preserve"> </w:t>
      </w:r>
      <w:r w:rsidR="00027D43">
        <w:t>F</w:t>
      </w:r>
      <w:r>
        <w:t>irmy se mezi sebou samozřejmě odlišují podle odvětví i podle konkrétních pozic, které právě obsazují. Zejména výčet oborů se logicky velmi liší podle odvětví působení firmy, technické obory jsou nejvíce poptávané v</w:t>
      </w:r>
      <w:r w:rsidR="00436F1F">
        <w:t> odvětví P</w:t>
      </w:r>
      <w:r>
        <w:t xml:space="preserve">růmysl </w:t>
      </w:r>
      <w:r w:rsidR="005310A5">
        <w:t xml:space="preserve">(sekce BC) </w:t>
      </w:r>
      <w:r>
        <w:t xml:space="preserve">a </w:t>
      </w:r>
      <w:r w:rsidR="00436F1F">
        <w:t>S</w:t>
      </w:r>
      <w:r>
        <w:t>tavebnictví</w:t>
      </w:r>
      <w:r w:rsidR="005310A5">
        <w:t xml:space="preserve"> (F)</w:t>
      </w:r>
      <w:r>
        <w:t>, obchod a</w:t>
      </w:r>
      <w:r w:rsidR="008C78A2">
        <w:t> </w:t>
      </w:r>
      <w:r>
        <w:t>sl</w:t>
      </w:r>
      <w:r w:rsidR="002052F1">
        <w:t xml:space="preserve">užby zase v sekcích </w:t>
      </w:r>
      <w:r w:rsidR="00874B81">
        <w:t>U</w:t>
      </w:r>
      <w:r w:rsidR="002052F1">
        <w:t xml:space="preserve">bytování, </w:t>
      </w:r>
      <w:r>
        <w:t xml:space="preserve">stravování </w:t>
      </w:r>
      <w:r w:rsidR="00874B81">
        <w:t xml:space="preserve">a pohostinství (I) </w:t>
      </w:r>
      <w:r>
        <w:t xml:space="preserve">a </w:t>
      </w:r>
      <w:r w:rsidR="00874B81">
        <w:t>O</w:t>
      </w:r>
      <w:r>
        <w:t>bchod</w:t>
      </w:r>
      <w:r w:rsidR="00874B81">
        <w:t xml:space="preserve"> (G)</w:t>
      </w:r>
      <w:r>
        <w:t>.</w:t>
      </w:r>
    </w:p>
    <w:p w:rsidR="003476DF" w:rsidRDefault="003476DF" w:rsidP="00D23CB2">
      <w:pPr>
        <w:spacing w:after="0"/>
        <w:contextualSpacing/>
        <w:jc w:val="both"/>
      </w:pPr>
    </w:p>
    <w:p w:rsidR="003476DF" w:rsidRDefault="003476DF" w:rsidP="003476DF">
      <w:pPr>
        <w:spacing w:after="0"/>
        <w:contextualSpacing/>
        <w:jc w:val="both"/>
      </w:pPr>
      <w:r>
        <w:t>Podle konkrétních obsazovaných pozic se liší i nároky na výši vzdělání. Obecně nicméně převládá (53 %) střední vzdělání, z toho více střední škola s maturitou (29 %). Vysokoškolsky vzdělané kandidáty hledalo 19</w:t>
      </w:r>
      <w:r w:rsidR="008C78A2">
        <w:t> </w:t>
      </w:r>
      <w:r>
        <w:t>% firem, desetina pak neměla na vzdělání žádný zvláštní požadavek.</w:t>
      </w:r>
    </w:p>
    <w:p w:rsidR="003476DF" w:rsidRDefault="003476DF">
      <w:pPr>
        <w:spacing w:after="0" w:line="240" w:lineRule="auto"/>
      </w:pPr>
      <w:r>
        <w:br w:type="page"/>
      </w:r>
    </w:p>
    <w:p w:rsidR="00D23CB2" w:rsidRPr="00F15DBC" w:rsidRDefault="00D23CB2" w:rsidP="00D23CB2">
      <w:pPr>
        <w:pStyle w:val="Titulek"/>
      </w:pPr>
      <w:bookmarkStart w:id="193" w:name="_Toc484437889"/>
      <w:bookmarkStart w:id="194" w:name="_Toc501615624"/>
      <w:r w:rsidRPr="005E1C2B">
        <w:lastRenderedPageBreak/>
        <w:t xml:space="preserve">Graf č. </w:t>
      </w:r>
      <w:r w:rsidR="007C3A3E">
        <w:fldChar w:fldCharType="begin"/>
      </w:r>
      <w:r w:rsidR="00C84608">
        <w:instrText xml:space="preserve"> SEQ Graf_č. \* ARABIC </w:instrText>
      </w:r>
      <w:r w:rsidR="007C3A3E">
        <w:fldChar w:fldCharType="separate"/>
      </w:r>
      <w:r w:rsidR="00476EDB">
        <w:rPr>
          <w:noProof/>
        </w:rPr>
        <w:t>41</w:t>
      </w:r>
      <w:r w:rsidR="007C3A3E">
        <w:rPr>
          <w:noProof/>
        </w:rPr>
        <w:fldChar w:fldCharType="end"/>
      </w:r>
      <w:r w:rsidRPr="005E1C2B">
        <w:t>:</w:t>
      </w:r>
      <w:r>
        <w:t xml:space="preserve"> </w:t>
      </w:r>
      <w:r w:rsidR="00774838">
        <w:t xml:space="preserve">Podíl firem, které měly problém obsadit volné pracovní místo vhodným kandidátem, </w:t>
      </w:r>
      <w:r w:rsidR="00CE5D87">
        <w:t xml:space="preserve">podle </w:t>
      </w:r>
      <w:r w:rsidR="00774838">
        <w:t xml:space="preserve">požadovaného </w:t>
      </w:r>
      <w:r w:rsidR="00CE5D87">
        <w:t>obor</w:t>
      </w:r>
      <w:r w:rsidR="00774838">
        <w:t>u praxe či vzdělání nového zaměstnance</w:t>
      </w:r>
      <w:r w:rsidRPr="00F15DBC">
        <w:t>, 2015</w:t>
      </w:r>
      <w:bookmarkEnd w:id="193"/>
      <w:bookmarkEnd w:id="194"/>
    </w:p>
    <w:p w:rsidR="00D23CB2" w:rsidRPr="00877DBE" w:rsidRDefault="00BA0440" w:rsidP="00D23CB2">
      <w:pPr>
        <w:spacing w:after="0"/>
        <w:contextualSpacing/>
        <w:jc w:val="both"/>
      </w:pPr>
      <w:r>
        <w:rPr>
          <w:noProof/>
        </w:rPr>
        <w:drawing>
          <wp:inline distT="0" distB="0" distL="0" distR="0" wp14:anchorId="46637751" wp14:editId="237BA816">
            <wp:extent cx="6115050" cy="3409950"/>
            <wp:effectExtent l="0" t="0" r="0" b="0"/>
            <wp:docPr id="111" name="Graf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23CB2" w:rsidRPr="00EA2E58" w:rsidRDefault="00555EE6" w:rsidP="00D23CB2">
      <w:pPr>
        <w:spacing w:after="0"/>
        <w:contextualSpacing/>
        <w:jc w:val="both"/>
        <w:rPr>
          <w:sz w:val="18"/>
        </w:rPr>
      </w:pPr>
      <w:r>
        <w:rPr>
          <w:sz w:val="18"/>
        </w:rPr>
        <w:t>Z</w:t>
      </w:r>
      <w:r w:rsidR="00D23CB2" w:rsidRPr="00EA2E58">
        <w:rPr>
          <w:sz w:val="18"/>
        </w:rPr>
        <w:t>droj: šetření CVTS, ČSÚ 2017</w:t>
      </w:r>
    </w:p>
    <w:p w:rsidR="00FA065F" w:rsidRDefault="00555EE6" w:rsidP="00D23CB2">
      <w:pPr>
        <w:spacing w:after="0"/>
        <w:contextualSpacing/>
        <w:jc w:val="both"/>
        <w:rPr>
          <w:sz w:val="18"/>
        </w:rPr>
      </w:pPr>
      <w:r>
        <w:rPr>
          <w:sz w:val="18"/>
        </w:rPr>
        <w:t>P</w:t>
      </w:r>
      <w:r w:rsidR="00D23CB2" w:rsidRPr="00EA2E58">
        <w:rPr>
          <w:sz w:val="18"/>
        </w:rPr>
        <w:t xml:space="preserve">ozn.: </w:t>
      </w:r>
      <w:r w:rsidR="001C206D" w:rsidRPr="00EA2E58">
        <w:rPr>
          <w:sz w:val="18"/>
        </w:rPr>
        <w:t>b</w:t>
      </w:r>
      <w:r w:rsidR="001C206D">
        <w:rPr>
          <w:sz w:val="18"/>
        </w:rPr>
        <w:t xml:space="preserve">ylo možné označit více možností; </w:t>
      </w:r>
    </w:p>
    <w:p w:rsidR="00FA065F" w:rsidRDefault="00D23CB2" w:rsidP="00D23CB2">
      <w:pPr>
        <w:spacing w:after="0"/>
        <w:contextualSpacing/>
        <w:jc w:val="both"/>
        <w:rPr>
          <w:sz w:val="18"/>
        </w:rPr>
      </w:pPr>
      <w:r w:rsidRPr="00EA2E58">
        <w:rPr>
          <w:sz w:val="18"/>
        </w:rPr>
        <w:t>podíly pouze firem, které měly problém obsadit pra</w:t>
      </w:r>
      <w:r w:rsidR="001C206D">
        <w:rPr>
          <w:sz w:val="18"/>
        </w:rPr>
        <w:t>covní místo vhodným kandidátem</w:t>
      </w:r>
      <w:r w:rsidR="00FA065F">
        <w:rPr>
          <w:sz w:val="18"/>
        </w:rPr>
        <w:t>;</w:t>
      </w:r>
    </w:p>
    <w:p w:rsidR="00D23CB2" w:rsidRDefault="0037096B" w:rsidP="00D23CB2">
      <w:pPr>
        <w:spacing w:after="0"/>
        <w:contextualSpacing/>
        <w:jc w:val="both"/>
        <w:rPr>
          <w:sz w:val="18"/>
        </w:rPr>
      </w:pPr>
      <w:r>
        <w:rPr>
          <w:sz w:val="18"/>
        </w:rPr>
        <w:t>týkalo se 12 měsíců předcházejících šetření</w:t>
      </w:r>
      <w:r w:rsidR="00FA065F">
        <w:rPr>
          <w:sz w:val="18"/>
        </w:rPr>
        <w:t xml:space="preserve"> </w:t>
      </w:r>
    </w:p>
    <w:p w:rsidR="002052F1" w:rsidRPr="001C206D" w:rsidRDefault="002052F1" w:rsidP="00D23CB2">
      <w:pPr>
        <w:spacing w:after="0"/>
        <w:contextualSpacing/>
        <w:jc w:val="both"/>
        <w:rPr>
          <w:sz w:val="18"/>
        </w:rPr>
      </w:pPr>
    </w:p>
    <w:p w:rsidR="00C7500E" w:rsidRDefault="00C7500E" w:rsidP="002052F1">
      <w:pPr>
        <w:pStyle w:val="Nadpis4"/>
        <w:spacing w:after="120"/>
      </w:pPr>
      <w:bookmarkStart w:id="195" w:name="_Toc490472761"/>
      <w:bookmarkStart w:id="196" w:name="_Toc501614130"/>
      <w:r>
        <w:t>Přijímání čerstvých absolventů</w:t>
      </w:r>
      <w:bookmarkEnd w:id="195"/>
      <w:bookmarkEnd w:id="196"/>
    </w:p>
    <w:p w:rsidR="00C7500E" w:rsidRDefault="00C7500E" w:rsidP="002052F1">
      <w:pPr>
        <w:spacing w:after="0"/>
        <w:contextualSpacing/>
        <w:jc w:val="both"/>
      </w:pPr>
      <w:r>
        <w:t xml:space="preserve">Na volná pracovní místa ve firmách se kromě uchazečů s praxí hlásí i absolventi, kteří právě opustili počáteční vzdělávání. U absolventů se předpokládá, že nemají přílišné zkušenosti z praxe. Nicméně v posledních letech se rozdíl v tomto ohledu mezi těmito dvěma typy uchazečů stírá, protože mnoho studentů (zejména na vysokých školách) pracuje v oboru při studiu, takže po ukončení školy již mají alespoň nějaké pracovní zkušenosti. </w:t>
      </w:r>
    </w:p>
    <w:p w:rsidR="00C7500E" w:rsidRDefault="00C7500E" w:rsidP="00D23CB2">
      <w:pPr>
        <w:spacing w:after="0"/>
        <w:contextualSpacing/>
        <w:jc w:val="both"/>
      </w:pPr>
    </w:p>
    <w:p w:rsidR="002516FD" w:rsidRDefault="002516FD" w:rsidP="002516FD">
      <w:pPr>
        <w:pStyle w:val="Titulek"/>
      </w:pPr>
      <w:bookmarkStart w:id="197" w:name="_Toc501615625"/>
      <w:r>
        <w:t xml:space="preserve">Graf č. </w:t>
      </w:r>
      <w:r w:rsidR="00E13170">
        <w:fldChar w:fldCharType="begin"/>
      </w:r>
      <w:r w:rsidR="00E13170">
        <w:instrText xml:space="preserve"> SEQ Graf_č. \* ARABIC </w:instrText>
      </w:r>
      <w:r w:rsidR="00E13170">
        <w:fldChar w:fldCharType="separate"/>
      </w:r>
      <w:r w:rsidR="00476EDB">
        <w:rPr>
          <w:noProof/>
        </w:rPr>
        <w:t>42</w:t>
      </w:r>
      <w:r w:rsidR="00E13170">
        <w:rPr>
          <w:noProof/>
        </w:rPr>
        <w:fldChar w:fldCharType="end"/>
      </w:r>
      <w:r>
        <w:t xml:space="preserve">: </w:t>
      </w:r>
      <w:r w:rsidRPr="00F15DBC">
        <w:t xml:space="preserve">Podíl </w:t>
      </w:r>
      <w:r>
        <w:t xml:space="preserve">všech </w:t>
      </w:r>
      <w:r w:rsidRPr="00F15DBC">
        <w:t xml:space="preserve">firem </w:t>
      </w:r>
      <w:r>
        <w:t>podle přijímání absolventů škol</w:t>
      </w:r>
      <w:r w:rsidRPr="00F15DBC">
        <w:t xml:space="preserve"> na volné pozice, 2015</w:t>
      </w:r>
      <w:bookmarkEnd w:id="197"/>
    </w:p>
    <w:p w:rsidR="00C7500E" w:rsidRDefault="00BA0440" w:rsidP="00C7500E">
      <w:pPr>
        <w:spacing w:after="0"/>
        <w:contextualSpacing/>
        <w:jc w:val="both"/>
      </w:pPr>
      <w:r>
        <w:rPr>
          <w:noProof/>
        </w:rPr>
        <w:drawing>
          <wp:inline distT="0" distB="0" distL="0" distR="0" wp14:anchorId="17469392" wp14:editId="2A5E9D2C">
            <wp:extent cx="6067425" cy="1857375"/>
            <wp:effectExtent l="0" t="0" r="0" b="0"/>
            <wp:docPr id="112" name="Graf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C7500E" w:rsidRDefault="00555EE6" w:rsidP="00C7500E">
      <w:pPr>
        <w:spacing w:after="0"/>
        <w:contextualSpacing/>
        <w:jc w:val="both"/>
        <w:rPr>
          <w:sz w:val="18"/>
        </w:rPr>
      </w:pPr>
      <w:r>
        <w:rPr>
          <w:sz w:val="18"/>
        </w:rPr>
        <w:t>Z</w:t>
      </w:r>
      <w:r w:rsidR="00C7500E" w:rsidRPr="00EA2E58">
        <w:rPr>
          <w:sz w:val="18"/>
        </w:rPr>
        <w:t>droj: šetření CVTS, ČSÚ 2017</w:t>
      </w:r>
    </w:p>
    <w:p w:rsidR="0037096B" w:rsidRDefault="00FA065F" w:rsidP="0037096B">
      <w:pPr>
        <w:spacing w:after="0"/>
        <w:contextualSpacing/>
        <w:jc w:val="both"/>
        <w:rPr>
          <w:sz w:val="18"/>
        </w:rPr>
      </w:pPr>
      <w:r>
        <w:rPr>
          <w:sz w:val="18"/>
        </w:rPr>
        <w:t>Pozn.</w:t>
      </w:r>
      <w:r w:rsidR="0037096B">
        <w:rPr>
          <w:sz w:val="18"/>
        </w:rPr>
        <w:t xml:space="preserve">: týkalo se 12 měsíců předcházejících šetření </w:t>
      </w:r>
    </w:p>
    <w:p w:rsidR="00FA065F" w:rsidRPr="00EA2E58" w:rsidRDefault="00FA065F" w:rsidP="00C7500E">
      <w:pPr>
        <w:spacing w:after="0"/>
        <w:contextualSpacing/>
        <w:jc w:val="both"/>
        <w:rPr>
          <w:sz w:val="18"/>
        </w:rPr>
      </w:pPr>
    </w:p>
    <w:p w:rsidR="00C7500E" w:rsidRDefault="00C7500E" w:rsidP="00C7500E">
      <w:pPr>
        <w:spacing w:after="0"/>
        <w:contextualSpacing/>
        <w:jc w:val="both"/>
      </w:pPr>
    </w:p>
    <w:p w:rsidR="00C7500E" w:rsidRDefault="00C7500E" w:rsidP="00C7500E">
      <w:pPr>
        <w:spacing w:after="0"/>
        <w:contextualSpacing/>
        <w:jc w:val="both"/>
      </w:pPr>
      <w:r>
        <w:lastRenderedPageBreak/>
        <w:t>V uplynulých 12 měsících od data dotazování (v roce 2015) přijala absolventa školy čtvrtina českých firem. Nejvíce to opět byly firmy ve</w:t>
      </w:r>
      <w:r w:rsidR="00C6103F">
        <w:t>lké (s více než 250 zaměstnanci;</w:t>
      </w:r>
      <w:r>
        <w:t xml:space="preserve"> 74 %), které vzhledem ke své velikosti potřebují volná místa obsazovat častěji. Velké firmy z 66 % obsazovaly více než jednu z volných pracovních pozic čerstvými absolventy. Z hlediska odvětví takto nejčastěji činily firmy věnující se informačním a</w:t>
      </w:r>
      <w:r w:rsidR="008C78A2">
        <w:t> </w:t>
      </w:r>
      <w:r>
        <w:t>komunikačním činnostem (</w:t>
      </w:r>
      <w:r w:rsidR="00874B81">
        <w:t xml:space="preserve">sekce J; </w:t>
      </w:r>
      <w:r>
        <w:t>45 %) a peněžnictví a pojišťovnictví (</w:t>
      </w:r>
      <w:r w:rsidR="00874B81">
        <w:t xml:space="preserve">sekce K; </w:t>
      </w:r>
      <w:r>
        <w:t>41 %), tedy firmy, které ve velké míře potřebují specializované odborníky. U absolventů jim tedy nedostatek praxe zřejmě nevadil, nebo ji absolventi měli právě z dob studií. Firmy v těchto odvětvích rovněž ve velké míře poskytují další vzdělávání, je tedy možné, že jím částečně nedostatek praxe absolventů nahrazují, školí je v konkrétních dovednostech, které pro svou práci budou potřebovat.</w:t>
      </w:r>
    </w:p>
    <w:p w:rsidR="00425275" w:rsidRDefault="00425275" w:rsidP="00C7500E">
      <w:pPr>
        <w:spacing w:after="0"/>
        <w:contextualSpacing/>
        <w:jc w:val="both"/>
      </w:pPr>
    </w:p>
    <w:p w:rsidR="00C7500E" w:rsidRDefault="00C7500E" w:rsidP="00C7500E">
      <w:pPr>
        <w:spacing w:after="0"/>
        <w:contextualSpacing/>
        <w:jc w:val="both"/>
      </w:pPr>
      <w:r>
        <w:t>U přijímání nových zaměstnanců rovněž samozřejmě záleží na odvětví firmy a oboru vhodném pro danou pracovní pozici, ale obecně lze říci, že firmy v roce 2015 nejvíce přijímaly absolventy se vzděláním v technickém oboru (technika, výroba</w:t>
      </w:r>
      <w:r w:rsidR="005C7D5B">
        <w:t>, výstavba</w:t>
      </w:r>
      <w:r>
        <w:t>) a to téměř v polovině firem</w:t>
      </w:r>
      <w:r w:rsidR="00425275">
        <w:t xml:space="preserve"> (45 %)</w:t>
      </w:r>
      <w:r>
        <w:t>, kde nějakého absolventa v daném roce přijímali (v přepočtu na všechny firmy činí tento podíl 12 %). Souvisí to s faktem, že firem, které potřebují v těchto oborech vzdělané pracovníky, je poměrně hod</w:t>
      </w:r>
      <w:r w:rsidR="008E5065">
        <w:t>ně a na trhu práce je zřetelný</w:t>
      </w:r>
      <w:r>
        <w:t xml:space="preserve"> nedostatek takto zaměřených nezaměstnaných. Proto firmy přijímají velký počet absolventů, po kterých je i</w:t>
      </w:r>
      <w:r w:rsidR="008C78A2">
        <w:t> </w:t>
      </w:r>
      <w:r>
        <w:t>přes relativně velký počet technických škol a jejich studentů stále poptávka. Druhým nejčastějším byl shluk oborů ekonomie, řízení, správa a právo, jejichž absolventy přijala čtvrtina firem z těch, které absolventy přijímaly. Nejméně pak bylo absolventů přírodních věd, matematiky a statistiky, což souvisí s celkovým nižším počtem absolventů těchto škol.</w:t>
      </w:r>
    </w:p>
    <w:p w:rsidR="00774838" w:rsidRDefault="00774838" w:rsidP="00C7500E">
      <w:pPr>
        <w:spacing w:after="0"/>
        <w:contextualSpacing/>
        <w:jc w:val="both"/>
      </w:pPr>
    </w:p>
    <w:p w:rsidR="002516FD" w:rsidRDefault="002516FD" w:rsidP="002516FD">
      <w:pPr>
        <w:pStyle w:val="Titulek"/>
        <w:keepNext/>
        <w:jc w:val="both"/>
      </w:pPr>
      <w:bookmarkStart w:id="198" w:name="_Toc501615626"/>
      <w:r>
        <w:t xml:space="preserve">Graf č. </w:t>
      </w:r>
      <w:r w:rsidR="00E13170">
        <w:fldChar w:fldCharType="begin"/>
      </w:r>
      <w:r w:rsidR="00E13170">
        <w:instrText xml:space="preserve"> SEQ Graf_č. \* ARABIC </w:instrText>
      </w:r>
      <w:r w:rsidR="00E13170">
        <w:fldChar w:fldCharType="separate"/>
      </w:r>
      <w:r w:rsidR="00476EDB">
        <w:rPr>
          <w:noProof/>
        </w:rPr>
        <w:t>43</w:t>
      </w:r>
      <w:r w:rsidR="00E13170">
        <w:rPr>
          <w:noProof/>
        </w:rPr>
        <w:fldChar w:fldCharType="end"/>
      </w:r>
      <w:r>
        <w:t xml:space="preserve">: </w:t>
      </w:r>
      <w:r w:rsidRPr="00F15DBC">
        <w:t xml:space="preserve">Podíl firem, </w:t>
      </w:r>
      <w:r>
        <w:t>které přijaly absolventa podle</w:t>
      </w:r>
      <w:r w:rsidRPr="00F15DBC">
        <w:t xml:space="preserve"> oboru</w:t>
      </w:r>
      <w:r>
        <w:t xml:space="preserve"> jeho studia,</w:t>
      </w:r>
      <w:r w:rsidRPr="00F15DBC">
        <w:t xml:space="preserve"> 2015</w:t>
      </w:r>
      <w:bookmarkEnd w:id="198"/>
    </w:p>
    <w:p w:rsidR="00774838" w:rsidRDefault="00BA0440" w:rsidP="00774838">
      <w:pPr>
        <w:spacing w:after="0"/>
        <w:contextualSpacing/>
        <w:jc w:val="both"/>
      </w:pPr>
      <w:r>
        <w:rPr>
          <w:noProof/>
        </w:rPr>
        <w:drawing>
          <wp:inline distT="0" distB="0" distL="0" distR="0" wp14:anchorId="796841E2" wp14:editId="37CEC966">
            <wp:extent cx="5981700" cy="3076575"/>
            <wp:effectExtent l="0" t="0" r="0" b="0"/>
            <wp:docPr id="113" name="Graf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74838" w:rsidRPr="00EA2E58" w:rsidRDefault="00555EE6" w:rsidP="00774838">
      <w:pPr>
        <w:spacing w:after="0"/>
        <w:contextualSpacing/>
        <w:jc w:val="both"/>
        <w:rPr>
          <w:sz w:val="18"/>
        </w:rPr>
      </w:pPr>
      <w:r>
        <w:rPr>
          <w:sz w:val="18"/>
        </w:rPr>
        <w:t>Z</w:t>
      </w:r>
      <w:r w:rsidR="00774838" w:rsidRPr="00EA2E58">
        <w:rPr>
          <w:sz w:val="18"/>
        </w:rPr>
        <w:t>droj: šetření CVTS, ČSÚ 2017</w:t>
      </w:r>
    </w:p>
    <w:p w:rsidR="00FA065F" w:rsidRDefault="00555EE6" w:rsidP="00774838">
      <w:pPr>
        <w:spacing w:after="0"/>
        <w:contextualSpacing/>
        <w:jc w:val="both"/>
        <w:rPr>
          <w:sz w:val="18"/>
        </w:rPr>
      </w:pPr>
      <w:r>
        <w:rPr>
          <w:sz w:val="18"/>
        </w:rPr>
        <w:t>P</w:t>
      </w:r>
      <w:r w:rsidR="00774838" w:rsidRPr="00EA2E58">
        <w:rPr>
          <w:sz w:val="18"/>
        </w:rPr>
        <w:t xml:space="preserve">ozn.: </w:t>
      </w:r>
      <w:r w:rsidR="001C206D" w:rsidRPr="00EA2E58">
        <w:rPr>
          <w:sz w:val="18"/>
        </w:rPr>
        <w:t>bylo možné označit více možností</w:t>
      </w:r>
      <w:r w:rsidR="001C206D">
        <w:rPr>
          <w:sz w:val="18"/>
        </w:rPr>
        <w:t xml:space="preserve">; </w:t>
      </w:r>
      <w:r w:rsidR="00774838" w:rsidRPr="00EA2E58">
        <w:rPr>
          <w:sz w:val="18"/>
        </w:rPr>
        <w:t>podíly pouze firem, které obsadily volné m</w:t>
      </w:r>
      <w:r w:rsidR="001C206D">
        <w:rPr>
          <w:sz w:val="18"/>
        </w:rPr>
        <w:t>ísto čerstvým absolventem školy</w:t>
      </w:r>
      <w:r w:rsidR="00FA065F">
        <w:rPr>
          <w:sz w:val="18"/>
        </w:rPr>
        <w:t>;</w:t>
      </w:r>
    </w:p>
    <w:p w:rsidR="0037096B" w:rsidRDefault="0037096B" w:rsidP="0037096B">
      <w:pPr>
        <w:spacing w:after="0"/>
        <w:contextualSpacing/>
        <w:jc w:val="both"/>
        <w:rPr>
          <w:sz w:val="18"/>
        </w:rPr>
      </w:pPr>
      <w:r>
        <w:rPr>
          <w:sz w:val="18"/>
        </w:rPr>
        <w:t xml:space="preserve">týkalo se 12 měsíců předcházejících šetření </w:t>
      </w:r>
    </w:p>
    <w:p w:rsidR="00774838" w:rsidRDefault="00774838" w:rsidP="00774838">
      <w:pPr>
        <w:spacing w:after="0"/>
        <w:contextualSpacing/>
        <w:jc w:val="both"/>
      </w:pPr>
    </w:p>
    <w:p w:rsidR="00516FE8" w:rsidRDefault="00774838" w:rsidP="00FA065F">
      <w:pPr>
        <w:spacing w:after="0"/>
        <w:contextualSpacing/>
        <w:jc w:val="both"/>
      </w:pPr>
      <w:r>
        <w:t xml:space="preserve">Polovina firem (z těch, které nějakého absolventa </w:t>
      </w:r>
      <w:r w:rsidR="00BE4E34">
        <w:t>zaměstnaly</w:t>
      </w:r>
      <w:r>
        <w:t>) přijala na volné pracovní místo absolventa vysoké školy, dalších 40 %</w:t>
      </w:r>
      <w:r>
        <w:rPr>
          <w:rStyle w:val="Znakapoznpodarou"/>
        </w:rPr>
        <w:footnoteReference w:id="21"/>
      </w:r>
      <w:r>
        <w:t xml:space="preserve"> pak absolventa střední školy s maturitou. Preference absolventů s vyšším vzděláním souvisí s preferovanými obory vzdělání a do určité míry kopíruje i vzdělanostní strukturu absolventů vycházejících ze škol.</w:t>
      </w:r>
      <w:r w:rsidR="00516FE8">
        <w:br w:type="page"/>
      </w:r>
    </w:p>
    <w:p w:rsidR="00616E17" w:rsidRDefault="00616E17" w:rsidP="00616E17">
      <w:pPr>
        <w:pStyle w:val="Nadpis2"/>
      </w:pPr>
      <w:bookmarkStart w:id="199" w:name="_Toc490472713"/>
      <w:bookmarkStart w:id="200" w:name="_Toc501614131"/>
      <w:r>
        <w:lastRenderedPageBreak/>
        <w:t>Shrnutí hlavních zjištění</w:t>
      </w:r>
      <w:bookmarkEnd w:id="199"/>
      <w:bookmarkEnd w:id="200"/>
    </w:p>
    <w:p w:rsidR="00616E17" w:rsidRDefault="00616E17" w:rsidP="00CA0FFC">
      <w:pPr>
        <w:pStyle w:val="Odstavecseseznamem"/>
        <w:numPr>
          <w:ilvl w:val="0"/>
          <w:numId w:val="26"/>
        </w:numPr>
        <w:ind w:left="714" w:hanging="357"/>
        <w:jc w:val="both"/>
      </w:pPr>
      <w:r>
        <w:t xml:space="preserve">V roce 2015 zajistilo vzdělávání zaměstnancům 91 % firem v šetřených odvětvích. 89 % firem nabídlo alespoň jeden kurz nebo školení. Povinné kurzy poskytovalo 87 % firem, nepovinné pak více než 50 %. S rostoucí velikostí firmy roste podíl podniků, které vzdělávání zajišťují. </w:t>
      </w:r>
    </w:p>
    <w:p w:rsidR="00616E17" w:rsidRDefault="00616E17" w:rsidP="00CA0FFC">
      <w:pPr>
        <w:pStyle w:val="Odstavecseseznamem"/>
        <w:numPr>
          <w:ilvl w:val="0"/>
          <w:numId w:val="26"/>
        </w:numPr>
        <w:ind w:left="714" w:hanging="357"/>
        <w:jc w:val="both"/>
      </w:pPr>
      <w:r>
        <w:t>Nejaktivnější v organizaci kurzů a školení byly firmy z odvětví Informační a komunikační činnosti (</w:t>
      </w:r>
      <w:r w:rsidR="00874B81">
        <w:t xml:space="preserve">sekce </w:t>
      </w:r>
      <w:r>
        <w:t>J; 94 %), naopak nejméně kurzů zajišťovaly firmy v odvětví Ubytování, stravování a</w:t>
      </w:r>
      <w:r w:rsidR="008C78A2">
        <w:t> </w:t>
      </w:r>
      <w:r>
        <w:t>pohostinství (I; 80 %). Nejvyšší podíl poskytování nepovinných kurzů vykazuje odvětví Peněžnictví a pojišťovnictví (K; 80 %).</w:t>
      </w:r>
    </w:p>
    <w:p w:rsidR="00616E17" w:rsidRDefault="00616E17" w:rsidP="00CA0FFC">
      <w:pPr>
        <w:pStyle w:val="Odstavecseseznamem"/>
        <w:numPr>
          <w:ilvl w:val="0"/>
          <w:numId w:val="26"/>
        </w:numPr>
        <w:ind w:left="714" w:hanging="357"/>
        <w:jc w:val="both"/>
      </w:pPr>
      <w:r>
        <w:t>Účast zaměstnanců firem poskytujících vzdělávání na kurzech a školeních činila 87 %. Muži byli zapojeni v 90 % případů, podíl u žen byl nižší 83 %. Nepovinných kurzů se zúčastnilo 40</w:t>
      </w:r>
      <w:r w:rsidR="00BC33C6">
        <w:t> </w:t>
      </w:r>
      <w:r w:rsidRPr="00EF3181">
        <w:t>%</w:t>
      </w:r>
      <w:r w:rsidR="00BC33C6">
        <w:t> </w:t>
      </w:r>
      <w:r w:rsidRPr="00EF3181">
        <w:t>zaměstnaných mužů a 3</w:t>
      </w:r>
      <w:r w:rsidR="006750CA">
        <w:t>9</w:t>
      </w:r>
      <w:r w:rsidRPr="00EF3181">
        <w:t xml:space="preserve"> % </w:t>
      </w:r>
      <w:r>
        <w:t>zaměstnaných žen z firem poskytujících tyto kurzy.</w:t>
      </w:r>
    </w:p>
    <w:p w:rsidR="00616E17" w:rsidRPr="00915C23" w:rsidRDefault="00616E17" w:rsidP="00CA0FFC">
      <w:pPr>
        <w:pStyle w:val="Odstavecseseznamem"/>
        <w:numPr>
          <w:ilvl w:val="0"/>
          <w:numId w:val="26"/>
        </w:numPr>
        <w:spacing w:after="200"/>
        <w:ind w:left="714" w:hanging="357"/>
        <w:jc w:val="both"/>
        <w:rPr>
          <w:rFonts w:cs="Arial"/>
        </w:rPr>
      </w:pPr>
      <w:r w:rsidRPr="00915C23">
        <w:rPr>
          <w:rFonts w:cs="Arial"/>
        </w:rPr>
        <w:t>Celkově strávili zaměstnanci vzděláváním průměrně 0,6 % svých placených pracovních hodin, tedy v průměru 11 hodin ročně na jednoho zaměstnance.</w:t>
      </w:r>
    </w:p>
    <w:p w:rsidR="00616E17" w:rsidRDefault="00616E17" w:rsidP="00CA0FFC">
      <w:pPr>
        <w:pStyle w:val="Odstavecseseznamem"/>
        <w:numPr>
          <w:ilvl w:val="0"/>
          <w:numId w:val="26"/>
        </w:numPr>
        <w:ind w:left="714" w:hanging="357"/>
        <w:jc w:val="both"/>
      </w:pPr>
      <w:r>
        <w:t xml:space="preserve">Jak povinné, tak nepovinné kurzy a školení jsou častěji poskytovány externě. Více </w:t>
      </w:r>
      <w:r w:rsidR="00027D43">
        <w:t>než polovina (53</w:t>
      </w:r>
      <w:r w:rsidR="008C78A2">
        <w:t> </w:t>
      </w:r>
      <w:r w:rsidR="00027D43">
        <w:t>%) firem uvedla</w:t>
      </w:r>
      <w:r>
        <w:t>, že hlavním poskytovatelem externích kurzů/školení pro ně bývá soukromá komerční společnost zaměřená na vzdělávání.</w:t>
      </w:r>
    </w:p>
    <w:p w:rsidR="00616E17" w:rsidRDefault="00616E17" w:rsidP="00CA0FFC">
      <w:pPr>
        <w:pStyle w:val="Odstavecseseznamem"/>
        <w:numPr>
          <w:ilvl w:val="0"/>
          <w:numId w:val="26"/>
        </w:numPr>
        <w:ind w:left="714" w:hanging="357"/>
        <w:jc w:val="both"/>
      </w:pPr>
      <w:r>
        <w:t>V téměř dvou třetinách firem (63 %) není k dispozici osoba či útvar mající odpovědnost za organizaci vzdělávání. Ve firmách s více než 250 zaměstnanci je taková funkce naopak poměrně běžná (85</w:t>
      </w:r>
      <w:r w:rsidR="00BC33C6">
        <w:t> </w:t>
      </w:r>
      <w:r>
        <w:t>%</w:t>
      </w:r>
      <w:r w:rsidR="00BC33C6">
        <w:t> </w:t>
      </w:r>
      <w:r>
        <w:t xml:space="preserve">firem). </w:t>
      </w:r>
    </w:p>
    <w:p w:rsidR="00616E17" w:rsidRDefault="00616E17" w:rsidP="00CA0FFC">
      <w:pPr>
        <w:pStyle w:val="Odstavecseseznamem"/>
        <w:numPr>
          <w:ilvl w:val="0"/>
          <w:numId w:val="26"/>
        </w:numPr>
        <w:ind w:left="714" w:hanging="357"/>
        <w:jc w:val="both"/>
      </w:pPr>
      <w:r>
        <w:t>Více než 70 % firem provádí analýzu budoucích vzdělávacích potřeb, samotné vzdělávání pak plánuje přibližně polovina firem (53 %). Stejný podíl firem reaguje na zjištěný deficit či absenci znalostí a dovedností zaměstnanců poskytnutím potřebného vzdělávání.</w:t>
      </w:r>
    </w:p>
    <w:p w:rsidR="00616E17" w:rsidRDefault="00616E17" w:rsidP="00CA0FFC">
      <w:pPr>
        <w:pStyle w:val="Odstavecseseznamem"/>
        <w:numPr>
          <w:ilvl w:val="0"/>
          <w:numId w:val="26"/>
        </w:numPr>
        <w:ind w:left="714" w:hanging="357"/>
        <w:jc w:val="both"/>
      </w:pPr>
      <w:r>
        <w:t>42 % firem počítá s náklady na vzdělávání při sestavování ročního rozpočtu.</w:t>
      </w:r>
    </w:p>
    <w:p w:rsidR="00616E17" w:rsidRDefault="00616E17" w:rsidP="00CA0FFC">
      <w:pPr>
        <w:pStyle w:val="Odstavecseseznamem"/>
        <w:numPr>
          <w:ilvl w:val="0"/>
          <w:numId w:val="26"/>
        </w:numPr>
        <w:ind w:left="714" w:hanging="357"/>
        <w:jc w:val="both"/>
      </w:pPr>
      <w:r>
        <w:t>Podíl celkových výdajů na vzdělávání na jednoho zaměstnance činil 3 13</w:t>
      </w:r>
      <w:r w:rsidR="006750CA">
        <w:t>4</w:t>
      </w:r>
      <w:r>
        <w:t xml:space="preserve"> Kč. Podíl na</w:t>
      </w:r>
      <w:r w:rsidR="00BC33C6">
        <w:t> </w:t>
      </w:r>
      <w:r>
        <w:t>zaměstnance firem poskytujících vzdělávání byl 3 200 Kč. Podíl výdajů na kurz či školení na</w:t>
      </w:r>
      <w:r w:rsidR="00BC33C6">
        <w:t> </w:t>
      </w:r>
      <w:r>
        <w:t>jednoho účastníka byl ve výši téměř 3 500 Kč. Jedna hodina kurzu či školení vyšla v průměru na</w:t>
      </w:r>
      <w:r w:rsidR="00BC33C6">
        <w:t> </w:t>
      </w:r>
      <w:r>
        <w:t>260 Kč.</w:t>
      </w:r>
    </w:p>
    <w:p w:rsidR="00616E17" w:rsidRDefault="00616E17" w:rsidP="00CA0FFC">
      <w:pPr>
        <w:pStyle w:val="Odstavecseseznamem"/>
        <w:numPr>
          <w:ilvl w:val="0"/>
          <w:numId w:val="26"/>
        </w:numPr>
        <w:ind w:left="714" w:hanging="357"/>
        <w:jc w:val="both"/>
      </w:pPr>
      <w:r>
        <w:t>Z hlediska témat nepovinných kurzů se firmy nejčastěji zaměřovaly na školení jiných specifických dovedností souvisejících s povoláním (31 %), na jazykové kurzy (15 %) a specifické technické a</w:t>
      </w:r>
      <w:r w:rsidR="008C78A2">
        <w:t> </w:t>
      </w:r>
      <w:r>
        <w:t>inženýrské dovednosti (14 %).</w:t>
      </w:r>
    </w:p>
    <w:p w:rsidR="00616E17" w:rsidRDefault="00616E17" w:rsidP="00CA0FFC">
      <w:pPr>
        <w:pStyle w:val="Odstavecseseznamem"/>
        <w:numPr>
          <w:ilvl w:val="0"/>
          <w:numId w:val="26"/>
        </w:numPr>
        <w:ind w:left="714" w:hanging="357"/>
        <w:jc w:val="both"/>
      </w:pPr>
      <w:r>
        <w:t xml:space="preserve">Z nabídky dalšího vzdělávání mimo kurzy a školení firmy nejčastěji využívaly řízené zaškolování či instruktáž na pracovišti. </w:t>
      </w:r>
    </w:p>
    <w:p w:rsidR="00616E17" w:rsidRDefault="00616E17" w:rsidP="00CA0FFC">
      <w:pPr>
        <w:pStyle w:val="Odstavecseseznamem"/>
        <w:numPr>
          <w:ilvl w:val="0"/>
          <w:numId w:val="26"/>
        </w:numPr>
        <w:ind w:left="714" w:hanging="357"/>
        <w:jc w:val="both"/>
      </w:pPr>
      <w:r>
        <w:t>Zpětné vyhodnocení vzdělávacích aktivit provádí 42 % firem, přičemž nejčastěji pomocí zjišťování spokojenosti účastníků s realizovaným vzděláváním (21 %).</w:t>
      </w:r>
    </w:p>
    <w:p w:rsidR="00616E17" w:rsidRDefault="00616E17" w:rsidP="00CA0FFC">
      <w:pPr>
        <w:pStyle w:val="Odstavecseseznamem"/>
        <w:numPr>
          <w:ilvl w:val="0"/>
          <w:numId w:val="26"/>
        </w:numPr>
        <w:ind w:left="714" w:hanging="357"/>
        <w:jc w:val="both"/>
      </w:pPr>
      <w:r>
        <w:t>Nejčastějším důvodem, proč firmy zaměstnancům neposkytovaly (více) vzdělávacích aktivit bylo konstat</w:t>
      </w:r>
      <w:r w:rsidR="00027D43">
        <w:t>ování, že stávající kvalifikace</w:t>
      </w:r>
      <w:r>
        <w:t xml:space="preserve"> nebo účast ve vzdělávání byly dostatečné (58 %).</w:t>
      </w:r>
    </w:p>
    <w:p w:rsidR="00616E17" w:rsidRDefault="00616E17" w:rsidP="00CA0FFC">
      <w:pPr>
        <w:pStyle w:val="Odstavecseseznamem"/>
        <w:numPr>
          <w:ilvl w:val="0"/>
          <w:numId w:val="26"/>
        </w:numPr>
        <w:ind w:left="714" w:hanging="357"/>
        <w:jc w:val="both"/>
      </w:pPr>
      <w:r>
        <w:t>27 % firem uvedlo, že spolupracovalo se školami. Nejčastěji se jednalo o spolupráci na bázi zajišťování praxe pro studenty či učně (23 %). Podle 15 % firem je spolupráce motivována snahou získat kvalifikované pracovníky.</w:t>
      </w:r>
    </w:p>
    <w:p w:rsidR="00616E17" w:rsidRDefault="00616E17" w:rsidP="00CA0FFC">
      <w:pPr>
        <w:pStyle w:val="Odstavecseseznamem"/>
        <w:numPr>
          <w:ilvl w:val="0"/>
          <w:numId w:val="26"/>
        </w:numPr>
        <w:ind w:left="714" w:hanging="357"/>
        <w:jc w:val="both"/>
      </w:pPr>
      <w:r>
        <w:t>Téměř polovina (46 %) firem se potýkala s problémem obsadit volné pracovní místo. Tyto firmy kladou větší důraz na praxi v oboru (46 % z nich) než na požadované vzdělání (pouze 6 % z nich).</w:t>
      </w:r>
    </w:p>
    <w:p w:rsidR="00B47E59" w:rsidRDefault="00616E17" w:rsidP="00CA0FFC">
      <w:pPr>
        <w:pStyle w:val="Odstavecseseznamem"/>
        <w:numPr>
          <w:ilvl w:val="0"/>
          <w:numId w:val="26"/>
        </w:numPr>
        <w:spacing w:after="0"/>
        <w:ind w:left="714" w:hanging="357"/>
        <w:jc w:val="both"/>
      </w:pPr>
      <w:r>
        <w:t>Více než čtvrtina firem (26 %) v uplynulých 12 měsících před šetřením zaměstnala čerstvého absolventa ze školy.</w:t>
      </w:r>
    </w:p>
    <w:p w:rsidR="00B47E59" w:rsidRPr="00D51501" w:rsidRDefault="00B47E59" w:rsidP="00D51501"/>
    <w:bookmarkEnd w:id="1"/>
    <w:p w:rsidR="002F1DB4" w:rsidRDefault="002F1DB4">
      <w:pPr>
        <w:spacing w:after="0" w:line="240" w:lineRule="auto"/>
      </w:pPr>
      <w:r>
        <w:br w:type="page"/>
      </w:r>
    </w:p>
    <w:p w:rsidR="001C206D" w:rsidRDefault="001C206D" w:rsidP="00276534">
      <w:pPr>
        <w:pStyle w:val="Nadpis2"/>
        <w:rPr>
          <w:u w:val="single"/>
        </w:rPr>
      </w:pPr>
      <w:bookmarkStart w:id="201" w:name="_Toc501614132"/>
      <w:r w:rsidRPr="00880685">
        <w:lastRenderedPageBreak/>
        <w:t>Seznam grafů a tabulek</w:t>
      </w:r>
      <w:bookmarkEnd w:id="201"/>
    </w:p>
    <w:p w:rsidR="001C206D" w:rsidRPr="00276534" w:rsidRDefault="001C206D" w:rsidP="001C206D">
      <w:pPr>
        <w:spacing w:after="0" w:line="276" w:lineRule="auto"/>
        <w:contextualSpacing/>
        <w:jc w:val="both"/>
        <w:rPr>
          <w:rFonts w:eastAsia="MS Gothic"/>
          <w:b/>
          <w:bCs/>
          <w:color w:val="C00000"/>
          <w:sz w:val="24"/>
          <w:szCs w:val="28"/>
        </w:rPr>
      </w:pPr>
      <w:r w:rsidRPr="00276534">
        <w:rPr>
          <w:rFonts w:eastAsia="MS Gothic"/>
          <w:b/>
          <w:bCs/>
          <w:color w:val="C00000"/>
          <w:sz w:val="24"/>
          <w:szCs w:val="28"/>
        </w:rPr>
        <w:t>Seznam grafů</w:t>
      </w:r>
    </w:p>
    <w:p w:rsidR="00027D43" w:rsidRDefault="00027D43">
      <w:pPr>
        <w:pStyle w:val="Seznamobrzk"/>
        <w:tabs>
          <w:tab w:val="right" w:leader="dot" w:pos="9628"/>
        </w:tabs>
      </w:pPr>
    </w:p>
    <w:p w:rsidR="00366A5F" w:rsidRDefault="007C3A3E">
      <w:pPr>
        <w:pStyle w:val="Seznamobrzk"/>
        <w:tabs>
          <w:tab w:val="right" w:leader="dot" w:pos="9628"/>
        </w:tabs>
        <w:rPr>
          <w:rFonts w:asciiTheme="minorHAnsi" w:eastAsiaTheme="minorEastAsia" w:hAnsiTheme="minorHAnsi" w:cstheme="minorBidi"/>
          <w:noProof/>
          <w:sz w:val="22"/>
          <w:szCs w:val="22"/>
        </w:rPr>
      </w:pPr>
      <w:r>
        <w:fldChar w:fldCharType="begin"/>
      </w:r>
      <w:r w:rsidR="00362151">
        <w:instrText xml:space="preserve"> TOC \h \z \c "Graf č." </w:instrText>
      </w:r>
      <w:r>
        <w:fldChar w:fldCharType="separate"/>
      </w:r>
      <w:hyperlink w:anchor="_Toc501615584" w:history="1">
        <w:r w:rsidR="00366A5F" w:rsidRPr="009502B4">
          <w:rPr>
            <w:rStyle w:val="Hypertextovodkaz"/>
            <w:rFonts w:eastAsia="MS Gothic"/>
            <w:noProof/>
          </w:rPr>
          <w:t>Graf č. 1: Podíl firem, které poskytovaly kurzy/školení a jiné formy vzdělávání podle odvětví firmy (CZ–NACE), 2015</w:t>
        </w:r>
        <w:r w:rsidR="00366A5F">
          <w:rPr>
            <w:noProof/>
            <w:webHidden/>
          </w:rPr>
          <w:tab/>
        </w:r>
        <w:r w:rsidR="00366A5F">
          <w:rPr>
            <w:noProof/>
            <w:webHidden/>
          </w:rPr>
          <w:fldChar w:fldCharType="begin"/>
        </w:r>
        <w:r w:rsidR="00366A5F">
          <w:rPr>
            <w:noProof/>
            <w:webHidden/>
          </w:rPr>
          <w:instrText xml:space="preserve"> PAGEREF _Toc501615584 \h </w:instrText>
        </w:r>
        <w:r w:rsidR="00366A5F">
          <w:rPr>
            <w:noProof/>
            <w:webHidden/>
          </w:rPr>
        </w:r>
        <w:r w:rsidR="00366A5F">
          <w:rPr>
            <w:noProof/>
            <w:webHidden/>
          </w:rPr>
          <w:fldChar w:fldCharType="separate"/>
        </w:r>
        <w:r w:rsidR="006750CA">
          <w:rPr>
            <w:noProof/>
            <w:webHidden/>
          </w:rPr>
          <w:t>9</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85" w:history="1">
        <w:r w:rsidR="00366A5F" w:rsidRPr="009502B4">
          <w:rPr>
            <w:rStyle w:val="Hypertextovodkaz"/>
            <w:rFonts w:eastAsia="MS Gothic"/>
            <w:noProof/>
          </w:rPr>
          <w:t>Graf č. 2: Podíl firem, které poskytovaly kurzy/školení a jiné formy vzdělávání podle velikosti firmy, 2015</w:t>
        </w:r>
        <w:r w:rsidR="00366A5F">
          <w:rPr>
            <w:noProof/>
            <w:webHidden/>
          </w:rPr>
          <w:tab/>
        </w:r>
        <w:r w:rsidR="00366A5F">
          <w:rPr>
            <w:noProof/>
            <w:webHidden/>
          </w:rPr>
          <w:fldChar w:fldCharType="begin"/>
        </w:r>
        <w:r w:rsidR="00366A5F">
          <w:rPr>
            <w:noProof/>
            <w:webHidden/>
          </w:rPr>
          <w:instrText xml:space="preserve"> PAGEREF _Toc501615585 \h </w:instrText>
        </w:r>
        <w:r w:rsidR="00366A5F">
          <w:rPr>
            <w:noProof/>
            <w:webHidden/>
          </w:rPr>
        </w:r>
        <w:r w:rsidR="00366A5F">
          <w:rPr>
            <w:noProof/>
            <w:webHidden/>
          </w:rPr>
          <w:fldChar w:fldCharType="separate"/>
        </w:r>
        <w:r w:rsidR="006750CA">
          <w:rPr>
            <w:noProof/>
            <w:webHidden/>
          </w:rPr>
          <w:t>10</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86" w:history="1">
        <w:r w:rsidR="00366A5F" w:rsidRPr="009502B4">
          <w:rPr>
            <w:rStyle w:val="Hypertextovodkaz"/>
            <w:rFonts w:eastAsia="MS Gothic"/>
            <w:noProof/>
          </w:rPr>
          <w:t>Graf č. 3: Podíl firem poskytujících kurzy/školení, které provádí analýzu budoucích vzdělávacích potřeb zaměstnanců podle velikosti firmy, 2015</w:t>
        </w:r>
        <w:r w:rsidR="00366A5F">
          <w:rPr>
            <w:noProof/>
            <w:webHidden/>
          </w:rPr>
          <w:tab/>
        </w:r>
        <w:r w:rsidR="00366A5F">
          <w:rPr>
            <w:noProof/>
            <w:webHidden/>
          </w:rPr>
          <w:fldChar w:fldCharType="begin"/>
        </w:r>
        <w:r w:rsidR="00366A5F">
          <w:rPr>
            <w:noProof/>
            <w:webHidden/>
          </w:rPr>
          <w:instrText xml:space="preserve"> PAGEREF _Toc501615586 \h </w:instrText>
        </w:r>
        <w:r w:rsidR="00366A5F">
          <w:rPr>
            <w:noProof/>
            <w:webHidden/>
          </w:rPr>
        </w:r>
        <w:r w:rsidR="00366A5F">
          <w:rPr>
            <w:noProof/>
            <w:webHidden/>
          </w:rPr>
          <w:fldChar w:fldCharType="separate"/>
        </w:r>
        <w:r w:rsidR="006750CA">
          <w:rPr>
            <w:noProof/>
            <w:webHidden/>
          </w:rPr>
          <w:t>11</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87" w:history="1">
        <w:r w:rsidR="00366A5F" w:rsidRPr="009502B4">
          <w:rPr>
            <w:rStyle w:val="Hypertextovodkaz"/>
            <w:rFonts w:eastAsia="MS Gothic"/>
            <w:noProof/>
          </w:rPr>
          <w:t>Graf č. 4: Podíl firem se zaměstnancem či útvarem odpovědným za vzdělávání zaměstnanců podle velikosti firmy, 2015</w:t>
        </w:r>
        <w:r w:rsidR="00366A5F">
          <w:rPr>
            <w:noProof/>
            <w:webHidden/>
          </w:rPr>
          <w:tab/>
        </w:r>
        <w:r w:rsidR="00366A5F">
          <w:rPr>
            <w:noProof/>
            <w:webHidden/>
          </w:rPr>
          <w:fldChar w:fldCharType="begin"/>
        </w:r>
        <w:r w:rsidR="00366A5F">
          <w:rPr>
            <w:noProof/>
            <w:webHidden/>
          </w:rPr>
          <w:instrText xml:space="preserve"> PAGEREF _Toc501615587 \h </w:instrText>
        </w:r>
        <w:r w:rsidR="00366A5F">
          <w:rPr>
            <w:noProof/>
            <w:webHidden/>
          </w:rPr>
        </w:r>
        <w:r w:rsidR="00366A5F">
          <w:rPr>
            <w:noProof/>
            <w:webHidden/>
          </w:rPr>
          <w:fldChar w:fldCharType="separate"/>
        </w:r>
        <w:r w:rsidR="006750CA">
          <w:rPr>
            <w:noProof/>
            <w:webHidden/>
          </w:rPr>
          <w:t>12</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88" w:history="1">
        <w:r w:rsidR="00366A5F" w:rsidRPr="009502B4">
          <w:rPr>
            <w:rStyle w:val="Hypertextovodkaz"/>
            <w:rFonts w:eastAsia="MS Gothic"/>
            <w:noProof/>
          </w:rPr>
          <w:t>Graf č. 5: Podíl firem se zaměstnancem či útvarem odpovědným za vzdělávání zaměstnanců podle odvětví firmy (CZ–NACE), 2015</w:t>
        </w:r>
        <w:r w:rsidR="00366A5F">
          <w:rPr>
            <w:noProof/>
            <w:webHidden/>
          </w:rPr>
          <w:tab/>
        </w:r>
        <w:r w:rsidR="00366A5F">
          <w:rPr>
            <w:noProof/>
            <w:webHidden/>
          </w:rPr>
          <w:fldChar w:fldCharType="begin"/>
        </w:r>
        <w:r w:rsidR="00366A5F">
          <w:rPr>
            <w:noProof/>
            <w:webHidden/>
          </w:rPr>
          <w:instrText xml:space="preserve"> PAGEREF _Toc501615588 \h </w:instrText>
        </w:r>
        <w:r w:rsidR="00366A5F">
          <w:rPr>
            <w:noProof/>
            <w:webHidden/>
          </w:rPr>
        </w:r>
        <w:r w:rsidR="00366A5F">
          <w:rPr>
            <w:noProof/>
            <w:webHidden/>
          </w:rPr>
          <w:fldChar w:fldCharType="separate"/>
        </w:r>
        <w:r w:rsidR="006750CA">
          <w:rPr>
            <w:noProof/>
            <w:webHidden/>
          </w:rPr>
          <w:t>13</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89" w:history="1">
        <w:r w:rsidR="00366A5F" w:rsidRPr="009502B4">
          <w:rPr>
            <w:rStyle w:val="Hypertextovodkaz"/>
            <w:rFonts w:eastAsia="MS Gothic"/>
            <w:noProof/>
          </w:rPr>
          <w:t>Graf č. 6: Podíl firem se zaměstnancem či útvarem odpovědným za vzdělávání zaměstnanců podle poskytnutých forem vzdělávání, 2015</w:t>
        </w:r>
        <w:r w:rsidR="00366A5F">
          <w:rPr>
            <w:noProof/>
            <w:webHidden/>
          </w:rPr>
          <w:tab/>
        </w:r>
        <w:r w:rsidR="00366A5F">
          <w:rPr>
            <w:noProof/>
            <w:webHidden/>
          </w:rPr>
          <w:fldChar w:fldCharType="begin"/>
        </w:r>
        <w:r w:rsidR="00366A5F">
          <w:rPr>
            <w:noProof/>
            <w:webHidden/>
          </w:rPr>
          <w:instrText xml:space="preserve"> PAGEREF _Toc501615589 \h </w:instrText>
        </w:r>
        <w:r w:rsidR="00366A5F">
          <w:rPr>
            <w:noProof/>
            <w:webHidden/>
          </w:rPr>
        </w:r>
        <w:r w:rsidR="00366A5F">
          <w:rPr>
            <w:noProof/>
            <w:webHidden/>
          </w:rPr>
          <w:fldChar w:fldCharType="separate"/>
        </w:r>
        <w:r w:rsidR="006750CA">
          <w:rPr>
            <w:noProof/>
            <w:webHidden/>
          </w:rPr>
          <w:t>13</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0" w:history="1">
        <w:r w:rsidR="00366A5F" w:rsidRPr="009502B4">
          <w:rPr>
            <w:rStyle w:val="Hypertextovodkaz"/>
            <w:rFonts w:eastAsia="MS Gothic"/>
            <w:noProof/>
          </w:rPr>
          <w:t>Graf č. 7: Podíl firem poskytujících kurzy/školení podle velikosti firmy, 1999–2015</w:t>
        </w:r>
        <w:r w:rsidR="00366A5F">
          <w:rPr>
            <w:noProof/>
            <w:webHidden/>
          </w:rPr>
          <w:tab/>
        </w:r>
        <w:r w:rsidR="00366A5F">
          <w:rPr>
            <w:noProof/>
            <w:webHidden/>
          </w:rPr>
          <w:fldChar w:fldCharType="begin"/>
        </w:r>
        <w:r w:rsidR="00366A5F">
          <w:rPr>
            <w:noProof/>
            <w:webHidden/>
          </w:rPr>
          <w:instrText xml:space="preserve"> PAGEREF _Toc501615590 \h </w:instrText>
        </w:r>
        <w:r w:rsidR="00366A5F">
          <w:rPr>
            <w:noProof/>
            <w:webHidden/>
          </w:rPr>
        </w:r>
        <w:r w:rsidR="00366A5F">
          <w:rPr>
            <w:noProof/>
            <w:webHidden/>
          </w:rPr>
          <w:fldChar w:fldCharType="separate"/>
        </w:r>
        <w:r w:rsidR="006750CA">
          <w:rPr>
            <w:noProof/>
            <w:webHidden/>
          </w:rPr>
          <w:t>14</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1" w:history="1">
        <w:r w:rsidR="00366A5F" w:rsidRPr="009502B4">
          <w:rPr>
            <w:rStyle w:val="Hypertextovodkaz"/>
            <w:rFonts w:eastAsia="MS Gothic"/>
            <w:noProof/>
          </w:rPr>
          <w:t>Graf č. 8: Podíl firem, v nichž existovala osoba nebo útvar odpovědný za organizaci vzdělávání podle velikosti firmy, 2005–2015</w:t>
        </w:r>
        <w:r w:rsidR="00366A5F">
          <w:rPr>
            <w:noProof/>
            <w:webHidden/>
          </w:rPr>
          <w:tab/>
        </w:r>
        <w:r w:rsidR="00366A5F">
          <w:rPr>
            <w:noProof/>
            <w:webHidden/>
          </w:rPr>
          <w:fldChar w:fldCharType="begin"/>
        </w:r>
        <w:r w:rsidR="00366A5F">
          <w:rPr>
            <w:noProof/>
            <w:webHidden/>
          </w:rPr>
          <w:instrText xml:space="preserve"> PAGEREF _Toc501615591 \h </w:instrText>
        </w:r>
        <w:r w:rsidR="00366A5F">
          <w:rPr>
            <w:noProof/>
            <w:webHidden/>
          </w:rPr>
        </w:r>
        <w:r w:rsidR="00366A5F">
          <w:rPr>
            <w:noProof/>
            <w:webHidden/>
          </w:rPr>
          <w:fldChar w:fldCharType="separate"/>
        </w:r>
        <w:r w:rsidR="006750CA">
          <w:rPr>
            <w:noProof/>
            <w:webHidden/>
          </w:rPr>
          <w:t>15</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2" w:history="1">
        <w:r w:rsidR="00366A5F" w:rsidRPr="009502B4">
          <w:rPr>
            <w:rStyle w:val="Hypertextovodkaz"/>
            <w:rFonts w:eastAsia="MS Gothic"/>
            <w:noProof/>
          </w:rPr>
          <w:t>Graf č. 9: Podíl firem, které při plánování vzdělávání vytvořily písemný vzdělávací plán podle velikosti firmy, 1999–2015</w:t>
        </w:r>
        <w:r w:rsidR="00366A5F">
          <w:rPr>
            <w:noProof/>
            <w:webHidden/>
          </w:rPr>
          <w:tab/>
        </w:r>
        <w:r w:rsidR="00366A5F">
          <w:rPr>
            <w:noProof/>
            <w:webHidden/>
          </w:rPr>
          <w:fldChar w:fldCharType="begin"/>
        </w:r>
        <w:r w:rsidR="00366A5F">
          <w:rPr>
            <w:noProof/>
            <w:webHidden/>
          </w:rPr>
          <w:instrText xml:space="preserve"> PAGEREF _Toc501615592 \h </w:instrText>
        </w:r>
        <w:r w:rsidR="00366A5F">
          <w:rPr>
            <w:noProof/>
            <w:webHidden/>
          </w:rPr>
        </w:r>
        <w:r w:rsidR="00366A5F">
          <w:rPr>
            <w:noProof/>
            <w:webHidden/>
          </w:rPr>
          <w:fldChar w:fldCharType="separate"/>
        </w:r>
        <w:r w:rsidR="006750CA">
          <w:rPr>
            <w:noProof/>
            <w:webHidden/>
          </w:rPr>
          <w:t>15</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3" w:history="1">
        <w:r w:rsidR="00366A5F" w:rsidRPr="009502B4">
          <w:rPr>
            <w:rStyle w:val="Hypertextovodkaz"/>
            <w:rFonts w:eastAsia="MS Gothic"/>
            <w:noProof/>
          </w:rPr>
          <w:t>Graf č. 10: Podíl firem se zástupci zaměstnanců podniku (např. odbory) zapojenými do rozhodování o záležitostech souvisejících se vzděláváním podle velikosti firmy, 2015</w:t>
        </w:r>
        <w:r w:rsidR="00366A5F">
          <w:rPr>
            <w:noProof/>
            <w:webHidden/>
          </w:rPr>
          <w:tab/>
        </w:r>
        <w:r w:rsidR="00366A5F">
          <w:rPr>
            <w:noProof/>
            <w:webHidden/>
          </w:rPr>
          <w:fldChar w:fldCharType="begin"/>
        </w:r>
        <w:r w:rsidR="00366A5F">
          <w:rPr>
            <w:noProof/>
            <w:webHidden/>
          </w:rPr>
          <w:instrText xml:space="preserve"> PAGEREF _Toc501615593 \h </w:instrText>
        </w:r>
        <w:r w:rsidR="00366A5F">
          <w:rPr>
            <w:noProof/>
            <w:webHidden/>
          </w:rPr>
        </w:r>
        <w:r w:rsidR="00366A5F">
          <w:rPr>
            <w:noProof/>
            <w:webHidden/>
          </w:rPr>
          <w:fldChar w:fldCharType="separate"/>
        </w:r>
        <w:r w:rsidR="006750CA">
          <w:rPr>
            <w:noProof/>
            <w:webHidden/>
          </w:rPr>
          <w:t>17</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4" w:history="1">
        <w:r w:rsidR="00366A5F" w:rsidRPr="009502B4">
          <w:rPr>
            <w:rStyle w:val="Hypertextovodkaz"/>
            <w:rFonts w:eastAsia="MS Gothic"/>
            <w:noProof/>
          </w:rPr>
          <w:t>Graf č. 11: Podíl firem se zástupci zaměstnanců podniku (např. odbory) zapojenými do rozhodování o daných částech vzdělávacího procesu podle velikosti firmy, 2015</w:t>
        </w:r>
        <w:r w:rsidR="00366A5F">
          <w:rPr>
            <w:noProof/>
            <w:webHidden/>
          </w:rPr>
          <w:tab/>
        </w:r>
        <w:r w:rsidR="00366A5F">
          <w:rPr>
            <w:noProof/>
            <w:webHidden/>
          </w:rPr>
          <w:fldChar w:fldCharType="begin"/>
        </w:r>
        <w:r w:rsidR="00366A5F">
          <w:rPr>
            <w:noProof/>
            <w:webHidden/>
          </w:rPr>
          <w:instrText xml:space="preserve"> PAGEREF _Toc501615594 \h </w:instrText>
        </w:r>
        <w:r w:rsidR="00366A5F">
          <w:rPr>
            <w:noProof/>
            <w:webHidden/>
          </w:rPr>
        </w:r>
        <w:r w:rsidR="00366A5F">
          <w:rPr>
            <w:noProof/>
            <w:webHidden/>
          </w:rPr>
          <w:fldChar w:fldCharType="separate"/>
        </w:r>
        <w:r w:rsidR="006750CA">
          <w:rPr>
            <w:noProof/>
            <w:webHidden/>
          </w:rPr>
          <w:t>17</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5" w:history="1">
        <w:r w:rsidR="00366A5F" w:rsidRPr="009502B4">
          <w:rPr>
            <w:rStyle w:val="Hypertextovodkaz"/>
            <w:rFonts w:eastAsia="MS Gothic"/>
            <w:noProof/>
          </w:rPr>
          <w:t>Graf č. 12: Podíl firem s předem vyčleněnými finančními prostředky na vzdělávání podle velikosti firmy, 1999–2015</w:t>
        </w:r>
        <w:r w:rsidR="00366A5F">
          <w:rPr>
            <w:noProof/>
            <w:webHidden/>
          </w:rPr>
          <w:tab/>
        </w:r>
        <w:r w:rsidR="00366A5F">
          <w:rPr>
            <w:noProof/>
            <w:webHidden/>
          </w:rPr>
          <w:fldChar w:fldCharType="begin"/>
        </w:r>
        <w:r w:rsidR="00366A5F">
          <w:rPr>
            <w:noProof/>
            <w:webHidden/>
          </w:rPr>
          <w:instrText xml:space="preserve"> PAGEREF _Toc501615595 \h </w:instrText>
        </w:r>
        <w:r w:rsidR="00366A5F">
          <w:rPr>
            <w:noProof/>
            <w:webHidden/>
          </w:rPr>
        </w:r>
        <w:r w:rsidR="00366A5F">
          <w:rPr>
            <w:noProof/>
            <w:webHidden/>
          </w:rPr>
          <w:fldChar w:fldCharType="separate"/>
        </w:r>
        <w:r w:rsidR="006750CA">
          <w:rPr>
            <w:noProof/>
            <w:webHidden/>
          </w:rPr>
          <w:t>18</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6" w:history="1">
        <w:r w:rsidR="00366A5F" w:rsidRPr="009502B4">
          <w:rPr>
            <w:rStyle w:val="Hypertextovodkaz"/>
            <w:rFonts w:eastAsia="MS Gothic"/>
            <w:noProof/>
          </w:rPr>
          <w:t>Graf č. 13: Podíl firem plánujících vzdělávání vč. jeho financování a podíl firem, které vynaložily finance na vzdělávání dle velikosti firmy, 2015</w:t>
        </w:r>
        <w:r w:rsidR="00366A5F">
          <w:rPr>
            <w:noProof/>
            <w:webHidden/>
          </w:rPr>
          <w:tab/>
        </w:r>
        <w:r w:rsidR="00366A5F">
          <w:rPr>
            <w:noProof/>
            <w:webHidden/>
          </w:rPr>
          <w:fldChar w:fldCharType="begin"/>
        </w:r>
        <w:r w:rsidR="00366A5F">
          <w:rPr>
            <w:noProof/>
            <w:webHidden/>
          </w:rPr>
          <w:instrText xml:space="preserve"> PAGEREF _Toc501615596 \h </w:instrText>
        </w:r>
        <w:r w:rsidR="00366A5F">
          <w:rPr>
            <w:noProof/>
            <w:webHidden/>
          </w:rPr>
        </w:r>
        <w:r w:rsidR="00366A5F">
          <w:rPr>
            <w:noProof/>
            <w:webHidden/>
          </w:rPr>
          <w:fldChar w:fldCharType="separate"/>
        </w:r>
        <w:r w:rsidR="006750CA">
          <w:rPr>
            <w:noProof/>
            <w:webHidden/>
          </w:rPr>
          <w:t>19</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7" w:history="1">
        <w:r w:rsidR="00366A5F" w:rsidRPr="009502B4">
          <w:rPr>
            <w:rStyle w:val="Hypertextovodkaz"/>
            <w:rFonts w:eastAsia="MS Gothic"/>
            <w:noProof/>
          </w:rPr>
          <w:t>Graf č. 14: Podíl firem využívajících dané metody hodnocení vzdělávání, 2015</w:t>
        </w:r>
        <w:r w:rsidR="00366A5F">
          <w:rPr>
            <w:noProof/>
            <w:webHidden/>
          </w:rPr>
          <w:tab/>
        </w:r>
        <w:r w:rsidR="00366A5F">
          <w:rPr>
            <w:noProof/>
            <w:webHidden/>
          </w:rPr>
          <w:fldChar w:fldCharType="begin"/>
        </w:r>
        <w:r w:rsidR="00366A5F">
          <w:rPr>
            <w:noProof/>
            <w:webHidden/>
          </w:rPr>
          <w:instrText xml:space="preserve"> PAGEREF _Toc501615597 \h </w:instrText>
        </w:r>
        <w:r w:rsidR="00366A5F">
          <w:rPr>
            <w:noProof/>
            <w:webHidden/>
          </w:rPr>
        </w:r>
        <w:r w:rsidR="00366A5F">
          <w:rPr>
            <w:noProof/>
            <w:webHidden/>
          </w:rPr>
          <w:fldChar w:fldCharType="separate"/>
        </w:r>
        <w:r w:rsidR="006750CA">
          <w:rPr>
            <w:noProof/>
            <w:webHidden/>
          </w:rPr>
          <w:t>20</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8" w:history="1">
        <w:r w:rsidR="00366A5F" w:rsidRPr="009502B4">
          <w:rPr>
            <w:rStyle w:val="Hypertextovodkaz"/>
            <w:rFonts w:eastAsia="MS Gothic"/>
            <w:noProof/>
          </w:rPr>
          <w:t>Graf č. 15: Podíl firem podle využití různých poskytovatelů externích kurzů, 2015</w:t>
        </w:r>
        <w:r w:rsidR="00366A5F">
          <w:rPr>
            <w:noProof/>
            <w:webHidden/>
          </w:rPr>
          <w:tab/>
        </w:r>
        <w:r w:rsidR="00366A5F">
          <w:rPr>
            <w:noProof/>
            <w:webHidden/>
          </w:rPr>
          <w:fldChar w:fldCharType="begin"/>
        </w:r>
        <w:r w:rsidR="00366A5F">
          <w:rPr>
            <w:noProof/>
            <w:webHidden/>
          </w:rPr>
          <w:instrText xml:space="preserve"> PAGEREF _Toc501615598 \h </w:instrText>
        </w:r>
        <w:r w:rsidR="00366A5F">
          <w:rPr>
            <w:noProof/>
            <w:webHidden/>
          </w:rPr>
        </w:r>
        <w:r w:rsidR="00366A5F">
          <w:rPr>
            <w:noProof/>
            <w:webHidden/>
          </w:rPr>
          <w:fldChar w:fldCharType="separate"/>
        </w:r>
        <w:r w:rsidR="006750CA">
          <w:rPr>
            <w:noProof/>
            <w:webHidden/>
          </w:rPr>
          <w:t>23</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599" w:history="1">
        <w:r w:rsidR="00366A5F" w:rsidRPr="009502B4">
          <w:rPr>
            <w:rStyle w:val="Hypertextovodkaz"/>
            <w:rFonts w:eastAsia="MS Gothic"/>
            <w:noProof/>
          </w:rPr>
          <w:t>Graf č. 16: Podíl firem zajišťujících povinné kurzy/školení externě podle velikosti firmy, 2015</w:t>
        </w:r>
        <w:r w:rsidR="00366A5F">
          <w:rPr>
            <w:noProof/>
            <w:webHidden/>
          </w:rPr>
          <w:tab/>
        </w:r>
        <w:r w:rsidR="00366A5F">
          <w:rPr>
            <w:noProof/>
            <w:webHidden/>
          </w:rPr>
          <w:fldChar w:fldCharType="begin"/>
        </w:r>
        <w:r w:rsidR="00366A5F">
          <w:rPr>
            <w:noProof/>
            <w:webHidden/>
          </w:rPr>
          <w:instrText xml:space="preserve"> PAGEREF _Toc501615599 \h </w:instrText>
        </w:r>
        <w:r w:rsidR="00366A5F">
          <w:rPr>
            <w:noProof/>
            <w:webHidden/>
          </w:rPr>
        </w:r>
        <w:r w:rsidR="00366A5F">
          <w:rPr>
            <w:noProof/>
            <w:webHidden/>
          </w:rPr>
          <w:fldChar w:fldCharType="separate"/>
        </w:r>
        <w:r w:rsidR="006750CA">
          <w:rPr>
            <w:noProof/>
            <w:webHidden/>
          </w:rPr>
          <w:t>24</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0" w:history="1">
        <w:r w:rsidR="00366A5F" w:rsidRPr="009502B4">
          <w:rPr>
            <w:rStyle w:val="Hypertextovodkaz"/>
            <w:rFonts w:eastAsia="MS Gothic"/>
            <w:noProof/>
          </w:rPr>
          <w:t>Graf č. 17: Podíl firem zajišťujících povinné kurzy/školení interně podle velikosti firmy, 2015</w:t>
        </w:r>
        <w:r w:rsidR="00366A5F">
          <w:rPr>
            <w:noProof/>
            <w:webHidden/>
          </w:rPr>
          <w:tab/>
        </w:r>
        <w:r w:rsidR="00366A5F">
          <w:rPr>
            <w:noProof/>
            <w:webHidden/>
          </w:rPr>
          <w:fldChar w:fldCharType="begin"/>
        </w:r>
        <w:r w:rsidR="00366A5F">
          <w:rPr>
            <w:noProof/>
            <w:webHidden/>
          </w:rPr>
          <w:instrText xml:space="preserve"> PAGEREF _Toc501615600 \h </w:instrText>
        </w:r>
        <w:r w:rsidR="00366A5F">
          <w:rPr>
            <w:noProof/>
            <w:webHidden/>
          </w:rPr>
        </w:r>
        <w:r w:rsidR="00366A5F">
          <w:rPr>
            <w:noProof/>
            <w:webHidden/>
          </w:rPr>
          <w:fldChar w:fldCharType="separate"/>
        </w:r>
        <w:r w:rsidR="006750CA">
          <w:rPr>
            <w:noProof/>
            <w:webHidden/>
          </w:rPr>
          <w:t>24</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1" w:history="1">
        <w:r w:rsidR="00366A5F" w:rsidRPr="009502B4">
          <w:rPr>
            <w:rStyle w:val="Hypertextovodkaz"/>
            <w:rFonts w:eastAsia="MS Gothic"/>
            <w:noProof/>
          </w:rPr>
          <w:t>Graf č. 18: Podíl zaměstnanců účastnících se nepovinných kurzů/školení podle odvětví firmy (CZ–NACE), 2015</w:t>
        </w:r>
        <w:r w:rsidR="00366A5F">
          <w:rPr>
            <w:noProof/>
            <w:webHidden/>
          </w:rPr>
          <w:tab/>
        </w:r>
        <w:r w:rsidR="00366A5F">
          <w:rPr>
            <w:noProof/>
            <w:webHidden/>
          </w:rPr>
          <w:fldChar w:fldCharType="begin"/>
        </w:r>
        <w:r w:rsidR="00366A5F">
          <w:rPr>
            <w:noProof/>
            <w:webHidden/>
          </w:rPr>
          <w:instrText xml:space="preserve"> PAGEREF _Toc501615601 \h </w:instrText>
        </w:r>
        <w:r w:rsidR="00366A5F">
          <w:rPr>
            <w:noProof/>
            <w:webHidden/>
          </w:rPr>
        </w:r>
        <w:r w:rsidR="00366A5F">
          <w:rPr>
            <w:noProof/>
            <w:webHidden/>
          </w:rPr>
          <w:fldChar w:fldCharType="separate"/>
        </w:r>
        <w:r w:rsidR="006750CA">
          <w:rPr>
            <w:noProof/>
            <w:webHidden/>
          </w:rPr>
          <w:t>25</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2" w:history="1">
        <w:r w:rsidR="00366A5F" w:rsidRPr="009502B4">
          <w:rPr>
            <w:rStyle w:val="Hypertextovodkaz"/>
            <w:rFonts w:eastAsia="MS Gothic"/>
            <w:noProof/>
          </w:rPr>
          <w:t>Graf č. 19: Podíl firem zajišťujících nepovinné kurzy/školení externě podle velikosti firmy, 2015</w:t>
        </w:r>
        <w:r w:rsidR="00366A5F">
          <w:rPr>
            <w:noProof/>
            <w:webHidden/>
          </w:rPr>
          <w:tab/>
        </w:r>
        <w:r w:rsidR="00366A5F">
          <w:rPr>
            <w:noProof/>
            <w:webHidden/>
          </w:rPr>
          <w:fldChar w:fldCharType="begin"/>
        </w:r>
        <w:r w:rsidR="00366A5F">
          <w:rPr>
            <w:noProof/>
            <w:webHidden/>
          </w:rPr>
          <w:instrText xml:space="preserve"> PAGEREF _Toc501615602 \h </w:instrText>
        </w:r>
        <w:r w:rsidR="00366A5F">
          <w:rPr>
            <w:noProof/>
            <w:webHidden/>
          </w:rPr>
        </w:r>
        <w:r w:rsidR="00366A5F">
          <w:rPr>
            <w:noProof/>
            <w:webHidden/>
          </w:rPr>
          <w:fldChar w:fldCharType="separate"/>
        </w:r>
        <w:r w:rsidR="006750CA">
          <w:rPr>
            <w:noProof/>
            <w:webHidden/>
          </w:rPr>
          <w:t>26</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3" w:history="1">
        <w:r w:rsidR="00366A5F" w:rsidRPr="009502B4">
          <w:rPr>
            <w:rStyle w:val="Hypertextovodkaz"/>
            <w:rFonts w:eastAsia="MS Gothic"/>
            <w:noProof/>
          </w:rPr>
          <w:t>Graf č. 20: Podíl firem zajišťujících nepovinné kurzy/školení interně podle velikosti firmy, 2015</w:t>
        </w:r>
        <w:r w:rsidR="00366A5F">
          <w:rPr>
            <w:noProof/>
            <w:webHidden/>
          </w:rPr>
          <w:tab/>
        </w:r>
        <w:r w:rsidR="00366A5F">
          <w:rPr>
            <w:noProof/>
            <w:webHidden/>
          </w:rPr>
          <w:fldChar w:fldCharType="begin"/>
        </w:r>
        <w:r w:rsidR="00366A5F">
          <w:rPr>
            <w:noProof/>
            <w:webHidden/>
          </w:rPr>
          <w:instrText xml:space="preserve"> PAGEREF _Toc501615603 \h </w:instrText>
        </w:r>
        <w:r w:rsidR="00366A5F">
          <w:rPr>
            <w:noProof/>
            <w:webHidden/>
          </w:rPr>
        </w:r>
        <w:r w:rsidR="00366A5F">
          <w:rPr>
            <w:noProof/>
            <w:webHidden/>
          </w:rPr>
          <w:fldChar w:fldCharType="separate"/>
        </w:r>
        <w:r w:rsidR="006750CA">
          <w:rPr>
            <w:noProof/>
            <w:webHidden/>
          </w:rPr>
          <w:t>26</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4" w:history="1">
        <w:r w:rsidR="00366A5F" w:rsidRPr="009502B4">
          <w:rPr>
            <w:rStyle w:val="Hypertextovodkaz"/>
            <w:rFonts w:eastAsia="MS Gothic"/>
            <w:noProof/>
          </w:rPr>
          <w:t>Graf č. 21: Podíl firem poskytujících nepovinné kurzy/školení podle nejčastějších obsahových témat, 2015</w:t>
        </w:r>
        <w:r w:rsidR="00366A5F">
          <w:rPr>
            <w:noProof/>
            <w:webHidden/>
          </w:rPr>
          <w:tab/>
        </w:r>
        <w:r w:rsidR="00366A5F">
          <w:rPr>
            <w:noProof/>
            <w:webHidden/>
          </w:rPr>
          <w:fldChar w:fldCharType="begin"/>
        </w:r>
        <w:r w:rsidR="00366A5F">
          <w:rPr>
            <w:noProof/>
            <w:webHidden/>
          </w:rPr>
          <w:instrText xml:space="preserve"> PAGEREF _Toc501615604 \h </w:instrText>
        </w:r>
        <w:r w:rsidR="00366A5F">
          <w:rPr>
            <w:noProof/>
            <w:webHidden/>
          </w:rPr>
        </w:r>
        <w:r w:rsidR="00366A5F">
          <w:rPr>
            <w:noProof/>
            <w:webHidden/>
          </w:rPr>
          <w:fldChar w:fldCharType="separate"/>
        </w:r>
        <w:r w:rsidR="006750CA">
          <w:rPr>
            <w:noProof/>
            <w:webHidden/>
          </w:rPr>
          <w:t>27</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5" w:history="1">
        <w:r w:rsidR="00366A5F" w:rsidRPr="009502B4">
          <w:rPr>
            <w:rStyle w:val="Hypertextovodkaz"/>
            <w:rFonts w:eastAsia="MS Gothic"/>
            <w:noProof/>
          </w:rPr>
          <w:t>Graf č. 22: Podíl firem poskytujících nepovinné kurzy/školení podle nejčastějších obsahových témat podle odvětví firmy (CZ–NACE), 2015</w:t>
        </w:r>
        <w:r w:rsidR="00366A5F">
          <w:rPr>
            <w:noProof/>
            <w:webHidden/>
          </w:rPr>
          <w:tab/>
        </w:r>
        <w:r w:rsidR="00366A5F">
          <w:rPr>
            <w:noProof/>
            <w:webHidden/>
          </w:rPr>
          <w:fldChar w:fldCharType="begin"/>
        </w:r>
        <w:r w:rsidR="00366A5F">
          <w:rPr>
            <w:noProof/>
            <w:webHidden/>
          </w:rPr>
          <w:instrText xml:space="preserve"> PAGEREF _Toc501615605 \h </w:instrText>
        </w:r>
        <w:r w:rsidR="00366A5F">
          <w:rPr>
            <w:noProof/>
            <w:webHidden/>
          </w:rPr>
        </w:r>
        <w:r w:rsidR="00366A5F">
          <w:rPr>
            <w:noProof/>
            <w:webHidden/>
          </w:rPr>
          <w:fldChar w:fldCharType="separate"/>
        </w:r>
        <w:r w:rsidR="006750CA">
          <w:rPr>
            <w:noProof/>
            <w:webHidden/>
          </w:rPr>
          <w:t>28</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6" w:history="1">
        <w:r w:rsidR="00366A5F" w:rsidRPr="009502B4">
          <w:rPr>
            <w:rStyle w:val="Hypertextovodkaz"/>
            <w:rFonts w:eastAsia="MS Gothic"/>
            <w:noProof/>
          </w:rPr>
          <w:t>Graf č. 23: Podíl firem, poskytujících svým zaměstnancům jiné formy vzdělávání podle velikosti firmy, 2015</w:t>
        </w:r>
        <w:r w:rsidR="00366A5F">
          <w:rPr>
            <w:noProof/>
            <w:webHidden/>
          </w:rPr>
          <w:tab/>
        </w:r>
        <w:r w:rsidR="00366A5F">
          <w:rPr>
            <w:noProof/>
            <w:webHidden/>
          </w:rPr>
          <w:fldChar w:fldCharType="begin"/>
        </w:r>
        <w:r w:rsidR="00366A5F">
          <w:rPr>
            <w:noProof/>
            <w:webHidden/>
          </w:rPr>
          <w:instrText xml:space="preserve"> PAGEREF _Toc501615606 \h </w:instrText>
        </w:r>
        <w:r w:rsidR="00366A5F">
          <w:rPr>
            <w:noProof/>
            <w:webHidden/>
          </w:rPr>
        </w:r>
        <w:r w:rsidR="00366A5F">
          <w:rPr>
            <w:noProof/>
            <w:webHidden/>
          </w:rPr>
          <w:fldChar w:fldCharType="separate"/>
        </w:r>
        <w:r w:rsidR="006750CA">
          <w:rPr>
            <w:noProof/>
            <w:webHidden/>
          </w:rPr>
          <w:t>29</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7" w:history="1">
        <w:r w:rsidR="00366A5F" w:rsidRPr="009502B4">
          <w:rPr>
            <w:rStyle w:val="Hypertextovodkaz"/>
            <w:rFonts w:eastAsia="MS Gothic"/>
            <w:noProof/>
          </w:rPr>
          <w:t>Graf č. 24: Počet hodin za rok strávených na kurzech/školeních na jednoho zaměstnance a účastníka kurzů/školení podle velikosti firmy, 2015</w:t>
        </w:r>
        <w:r w:rsidR="00366A5F">
          <w:rPr>
            <w:noProof/>
            <w:webHidden/>
          </w:rPr>
          <w:tab/>
        </w:r>
        <w:r w:rsidR="00366A5F">
          <w:rPr>
            <w:noProof/>
            <w:webHidden/>
          </w:rPr>
          <w:fldChar w:fldCharType="begin"/>
        </w:r>
        <w:r w:rsidR="00366A5F">
          <w:rPr>
            <w:noProof/>
            <w:webHidden/>
          </w:rPr>
          <w:instrText xml:space="preserve"> PAGEREF _Toc501615607 \h </w:instrText>
        </w:r>
        <w:r w:rsidR="00366A5F">
          <w:rPr>
            <w:noProof/>
            <w:webHidden/>
          </w:rPr>
        </w:r>
        <w:r w:rsidR="00366A5F">
          <w:rPr>
            <w:noProof/>
            <w:webHidden/>
          </w:rPr>
          <w:fldChar w:fldCharType="separate"/>
        </w:r>
        <w:r w:rsidR="006750CA">
          <w:rPr>
            <w:noProof/>
            <w:webHidden/>
          </w:rPr>
          <w:t>31</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8" w:history="1">
        <w:r w:rsidR="00366A5F" w:rsidRPr="009502B4">
          <w:rPr>
            <w:rStyle w:val="Hypertextovodkaz"/>
            <w:rFonts w:eastAsia="MS Gothic"/>
            <w:noProof/>
          </w:rPr>
          <w:t>Graf č. 25: Počet hodin za rok strávených na kurzech/školeních na jednoho zaměstnance a účastníka kurzů/školení ve firmách v daném odvětví (CZ–NACE), 2015</w:t>
        </w:r>
        <w:r w:rsidR="00366A5F">
          <w:rPr>
            <w:noProof/>
            <w:webHidden/>
          </w:rPr>
          <w:tab/>
        </w:r>
        <w:r w:rsidR="00366A5F">
          <w:rPr>
            <w:noProof/>
            <w:webHidden/>
          </w:rPr>
          <w:fldChar w:fldCharType="begin"/>
        </w:r>
        <w:r w:rsidR="00366A5F">
          <w:rPr>
            <w:noProof/>
            <w:webHidden/>
          </w:rPr>
          <w:instrText xml:space="preserve"> PAGEREF _Toc501615608 \h </w:instrText>
        </w:r>
        <w:r w:rsidR="00366A5F">
          <w:rPr>
            <w:noProof/>
            <w:webHidden/>
          </w:rPr>
        </w:r>
        <w:r w:rsidR="00366A5F">
          <w:rPr>
            <w:noProof/>
            <w:webHidden/>
          </w:rPr>
          <w:fldChar w:fldCharType="separate"/>
        </w:r>
        <w:r w:rsidR="006750CA">
          <w:rPr>
            <w:noProof/>
            <w:webHidden/>
          </w:rPr>
          <w:t>31</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09" w:history="1">
        <w:r w:rsidR="00366A5F" w:rsidRPr="009502B4">
          <w:rPr>
            <w:rStyle w:val="Hypertextovodkaz"/>
            <w:rFonts w:eastAsia="MS Gothic"/>
            <w:noProof/>
          </w:rPr>
          <w:t>Graf č. 26: Počet hodin za rok strávených na povinných a nepovinných kurzech/školeních na jednoho zaměstnance podle velikosti firmy, 2015</w:t>
        </w:r>
        <w:r w:rsidR="00366A5F">
          <w:rPr>
            <w:noProof/>
            <w:webHidden/>
          </w:rPr>
          <w:tab/>
        </w:r>
        <w:r w:rsidR="00366A5F">
          <w:rPr>
            <w:noProof/>
            <w:webHidden/>
          </w:rPr>
          <w:fldChar w:fldCharType="begin"/>
        </w:r>
        <w:r w:rsidR="00366A5F">
          <w:rPr>
            <w:noProof/>
            <w:webHidden/>
          </w:rPr>
          <w:instrText xml:space="preserve"> PAGEREF _Toc501615609 \h </w:instrText>
        </w:r>
        <w:r w:rsidR="00366A5F">
          <w:rPr>
            <w:noProof/>
            <w:webHidden/>
          </w:rPr>
        </w:r>
        <w:r w:rsidR="00366A5F">
          <w:rPr>
            <w:noProof/>
            <w:webHidden/>
          </w:rPr>
          <w:fldChar w:fldCharType="separate"/>
        </w:r>
        <w:r w:rsidR="006750CA">
          <w:rPr>
            <w:noProof/>
            <w:webHidden/>
          </w:rPr>
          <w:t>32</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0" w:history="1">
        <w:r w:rsidR="00366A5F" w:rsidRPr="009502B4">
          <w:rPr>
            <w:rStyle w:val="Hypertextovodkaz"/>
            <w:rFonts w:eastAsia="MS Gothic"/>
            <w:noProof/>
          </w:rPr>
          <w:t>Graf č. 27: Výše podílu výdajů na vzdělávání podle velikosti firmy, 2015</w:t>
        </w:r>
        <w:r w:rsidR="00366A5F">
          <w:rPr>
            <w:noProof/>
            <w:webHidden/>
          </w:rPr>
          <w:tab/>
        </w:r>
        <w:r w:rsidR="00366A5F">
          <w:rPr>
            <w:noProof/>
            <w:webHidden/>
          </w:rPr>
          <w:fldChar w:fldCharType="begin"/>
        </w:r>
        <w:r w:rsidR="00366A5F">
          <w:rPr>
            <w:noProof/>
            <w:webHidden/>
          </w:rPr>
          <w:instrText xml:space="preserve"> PAGEREF _Toc501615610 \h </w:instrText>
        </w:r>
        <w:r w:rsidR="00366A5F">
          <w:rPr>
            <w:noProof/>
            <w:webHidden/>
          </w:rPr>
        </w:r>
        <w:r w:rsidR="00366A5F">
          <w:rPr>
            <w:noProof/>
            <w:webHidden/>
          </w:rPr>
          <w:fldChar w:fldCharType="separate"/>
        </w:r>
        <w:r w:rsidR="006750CA">
          <w:rPr>
            <w:noProof/>
            <w:webHidden/>
          </w:rPr>
          <w:t>35</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1" w:history="1">
        <w:r w:rsidR="00366A5F" w:rsidRPr="009502B4">
          <w:rPr>
            <w:rStyle w:val="Hypertextovodkaz"/>
            <w:rFonts w:eastAsia="MS Gothic"/>
            <w:noProof/>
          </w:rPr>
          <w:t>Graf č. 28: Výše podílu výdajů na vzdělávání podle odvětví firmy (CZ–NACE), 2015</w:t>
        </w:r>
        <w:r w:rsidR="00366A5F">
          <w:rPr>
            <w:noProof/>
            <w:webHidden/>
          </w:rPr>
          <w:tab/>
        </w:r>
        <w:r w:rsidR="00366A5F">
          <w:rPr>
            <w:noProof/>
            <w:webHidden/>
          </w:rPr>
          <w:fldChar w:fldCharType="begin"/>
        </w:r>
        <w:r w:rsidR="00366A5F">
          <w:rPr>
            <w:noProof/>
            <w:webHidden/>
          </w:rPr>
          <w:instrText xml:space="preserve"> PAGEREF _Toc501615611 \h </w:instrText>
        </w:r>
        <w:r w:rsidR="00366A5F">
          <w:rPr>
            <w:noProof/>
            <w:webHidden/>
          </w:rPr>
        </w:r>
        <w:r w:rsidR="00366A5F">
          <w:rPr>
            <w:noProof/>
            <w:webHidden/>
          </w:rPr>
          <w:fldChar w:fldCharType="separate"/>
        </w:r>
        <w:r w:rsidR="006750CA">
          <w:rPr>
            <w:noProof/>
            <w:webHidden/>
          </w:rPr>
          <w:t>36</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2" w:history="1">
        <w:r w:rsidR="00366A5F" w:rsidRPr="009502B4">
          <w:rPr>
            <w:rStyle w:val="Hypertextovodkaz"/>
            <w:rFonts w:eastAsia="MS Gothic"/>
            <w:noProof/>
          </w:rPr>
          <w:t>Graf č. 29: Podíl firem, které využily dotace z EU na úhradu vzdělávání zaměstnanců, 2015</w:t>
        </w:r>
        <w:r w:rsidR="00366A5F">
          <w:rPr>
            <w:noProof/>
            <w:webHidden/>
          </w:rPr>
          <w:tab/>
        </w:r>
        <w:r w:rsidR="00366A5F">
          <w:rPr>
            <w:noProof/>
            <w:webHidden/>
          </w:rPr>
          <w:fldChar w:fldCharType="begin"/>
        </w:r>
        <w:r w:rsidR="00366A5F">
          <w:rPr>
            <w:noProof/>
            <w:webHidden/>
          </w:rPr>
          <w:instrText xml:space="preserve"> PAGEREF _Toc501615612 \h </w:instrText>
        </w:r>
        <w:r w:rsidR="00366A5F">
          <w:rPr>
            <w:noProof/>
            <w:webHidden/>
          </w:rPr>
        </w:r>
        <w:r w:rsidR="00366A5F">
          <w:rPr>
            <w:noProof/>
            <w:webHidden/>
          </w:rPr>
          <w:fldChar w:fldCharType="separate"/>
        </w:r>
        <w:r w:rsidR="006750CA">
          <w:rPr>
            <w:noProof/>
            <w:webHidden/>
          </w:rPr>
          <w:t>37</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3" w:history="1">
        <w:r w:rsidR="00366A5F" w:rsidRPr="009502B4">
          <w:rPr>
            <w:rStyle w:val="Hypertextovodkaz"/>
            <w:rFonts w:eastAsia="MS Gothic"/>
            <w:noProof/>
          </w:rPr>
          <w:t>Graf č. 30: Podíl firem podle důvodů pro neposkytování vzdělávání zaměstnanců, nebo poskytování vzdělávání zaměstnanců v omezené míře, 2015</w:t>
        </w:r>
        <w:r w:rsidR="00366A5F">
          <w:rPr>
            <w:noProof/>
            <w:webHidden/>
          </w:rPr>
          <w:tab/>
        </w:r>
        <w:r w:rsidR="00366A5F">
          <w:rPr>
            <w:noProof/>
            <w:webHidden/>
          </w:rPr>
          <w:fldChar w:fldCharType="begin"/>
        </w:r>
        <w:r w:rsidR="00366A5F">
          <w:rPr>
            <w:noProof/>
            <w:webHidden/>
          </w:rPr>
          <w:instrText xml:space="preserve"> PAGEREF _Toc501615613 \h </w:instrText>
        </w:r>
        <w:r w:rsidR="00366A5F">
          <w:rPr>
            <w:noProof/>
            <w:webHidden/>
          </w:rPr>
        </w:r>
        <w:r w:rsidR="00366A5F">
          <w:rPr>
            <w:noProof/>
            <w:webHidden/>
          </w:rPr>
          <w:fldChar w:fldCharType="separate"/>
        </w:r>
        <w:r w:rsidR="006750CA">
          <w:rPr>
            <w:noProof/>
            <w:webHidden/>
          </w:rPr>
          <w:t>40</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4" w:history="1">
        <w:r w:rsidR="00366A5F" w:rsidRPr="009502B4">
          <w:rPr>
            <w:rStyle w:val="Hypertextovodkaz"/>
            <w:rFonts w:eastAsia="MS Gothic"/>
            <w:noProof/>
          </w:rPr>
          <w:t>Graf č. 31: Podíl firem poskytujících vzdělání podle důvodů pro jeho poskytování v omezené míře, 2015</w:t>
        </w:r>
        <w:r w:rsidR="00366A5F">
          <w:rPr>
            <w:noProof/>
            <w:webHidden/>
          </w:rPr>
          <w:tab/>
        </w:r>
        <w:r w:rsidR="00366A5F">
          <w:rPr>
            <w:noProof/>
            <w:webHidden/>
          </w:rPr>
          <w:fldChar w:fldCharType="begin"/>
        </w:r>
        <w:r w:rsidR="00366A5F">
          <w:rPr>
            <w:noProof/>
            <w:webHidden/>
          </w:rPr>
          <w:instrText xml:space="preserve"> PAGEREF _Toc501615614 \h </w:instrText>
        </w:r>
        <w:r w:rsidR="00366A5F">
          <w:rPr>
            <w:noProof/>
            <w:webHidden/>
          </w:rPr>
        </w:r>
        <w:r w:rsidR="00366A5F">
          <w:rPr>
            <w:noProof/>
            <w:webHidden/>
          </w:rPr>
          <w:fldChar w:fldCharType="separate"/>
        </w:r>
        <w:r w:rsidR="006750CA">
          <w:rPr>
            <w:noProof/>
            <w:webHidden/>
          </w:rPr>
          <w:t>41</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5" w:history="1">
        <w:r w:rsidR="00366A5F" w:rsidRPr="009502B4">
          <w:rPr>
            <w:rStyle w:val="Hypertextovodkaz"/>
            <w:rFonts w:eastAsia="MS Gothic"/>
            <w:noProof/>
          </w:rPr>
          <w:t>Graf č. 32: Podíl firem neposkytujících vzdělávání podle důvodů neposkytování vzdělání, 2015</w:t>
        </w:r>
        <w:r w:rsidR="00366A5F">
          <w:rPr>
            <w:noProof/>
            <w:webHidden/>
          </w:rPr>
          <w:tab/>
        </w:r>
        <w:r w:rsidR="00366A5F">
          <w:rPr>
            <w:noProof/>
            <w:webHidden/>
          </w:rPr>
          <w:fldChar w:fldCharType="begin"/>
        </w:r>
        <w:r w:rsidR="00366A5F">
          <w:rPr>
            <w:noProof/>
            <w:webHidden/>
          </w:rPr>
          <w:instrText xml:space="preserve"> PAGEREF _Toc501615615 \h </w:instrText>
        </w:r>
        <w:r w:rsidR="00366A5F">
          <w:rPr>
            <w:noProof/>
            <w:webHidden/>
          </w:rPr>
        </w:r>
        <w:r w:rsidR="00366A5F">
          <w:rPr>
            <w:noProof/>
            <w:webHidden/>
          </w:rPr>
          <w:fldChar w:fldCharType="separate"/>
        </w:r>
        <w:r w:rsidR="006750CA">
          <w:rPr>
            <w:noProof/>
            <w:webHidden/>
          </w:rPr>
          <w:t>43</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6" w:history="1">
        <w:r w:rsidR="00366A5F" w:rsidRPr="009502B4">
          <w:rPr>
            <w:rStyle w:val="Hypertextovodkaz"/>
            <w:rFonts w:eastAsia="MS Gothic"/>
            <w:noProof/>
          </w:rPr>
          <w:t>Graf č. 33: Podíl firem spolupracujících se školami dle typu škol, 2015</w:t>
        </w:r>
        <w:r w:rsidR="00366A5F">
          <w:rPr>
            <w:noProof/>
            <w:webHidden/>
          </w:rPr>
          <w:tab/>
        </w:r>
        <w:r w:rsidR="00366A5F">
          <w:rPr>
            <w:noProof/>
            <w:webHidden/>
          </w:rPr>
          <w:fldChar w:fldCharType="begin"/>
        </w:r>
        <w:r w:rsidR="00366A5F">
          <w:rPr>
            <w:noProof/>
            <w:webHidden/>
          </w:rPr>
          <w:instrText xml:space="preserve"> PAGEREF _Toc501615616 \h </w:instrText>
        </w:r>
        <w:r w:rsidR="00366A5F">
          <w:rPr>
            <w:noProof/>
            <w:webHidden/>
          </w:rPr>
        </w:r>
        <w:r w:rsidR="00366A5F">
          <w:rPr>
            <w:noProof/>
            <w:webHidden/>
          </w:rPr>
          <w:fldChar w:fldCharType="separate"/>
        </w:r>
        <w:r w:rsidR="006750CA">
          <w:rPr>
            <w:noProof/>
            <w:webHidden/>
          </w:rPr>
          <w:t>44</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7" w:history="1">
        <w:r w:rsidR="00366A5F" w:rsidRPr="009502B4">
          <w:rPr>
            <w:rStyle w:val="Hypertextovodkaz"/>
            <w:rFonts w:eastAsia="MS Gothic"/>
            <w:noProof/>
          </w:rPr>
          <w:t>Graf č. 34: Podíl firem spolupracujících se školami dle typu školy a velikosti firmy, 2015</w:t>
        </w:r>
        <w:r w:rsidR="00366A5F">
          <w:rPr>
            <w:noProof/>
            <w:webHidden/>
          </w:rPr>
          <w:tab/>
        </w:r>
        <w:r w:rsidR="00366A5F">
          <w:rPr>
            <w:noProof/>
            <w:webHidden/>
          </w:rPr>
          <w:fldChar w:fldCharType="begin"/>
        </w:r>
        <w:r w:rsidR="00366A5F">
          <w:rPr>
            <w:noProof/>
            <w:webHidden/>
          </w:rPr>
          <w:instrText xml:space="preserve"> PAGEREF _Toc501615617 \h </w:instrText>
        </w:r>
        <w:r w:rsidR="00366A5F">
          <w:rPr>
            <w:noProof/>
            <w:webHidden/>
          </w:rPr>
        </w:r>
        <w:r w:rsidR="00366A5F">
          <w:rPr>
            <w:noProof/>
            <w:webHidden/>
          </w:rPr>
          <w:fldChar w:fldCharType="separate"/>
        </w:r>
        <w:r w:rsidR="006750CA">
          <w:rPr>
            <w:noProof/>
            <w:webHidden/>
          </w:rPr>
          <w:t>45</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8" w:history="1">
        <w:r w:rsidR="00366A5F" w:rsidRPr="009502B4">
          <w:rPr>
            <w:rStyle w:val="Hypertextovodkaz"/>
            <w:rFonts w:eastAsia="MS Gothic"/>
            <w:noProof/>
          </w:rPr>
          <w:t>Graf č. 35: Podíl firem spolupracujících se školami dle typu školy a odvětví firmy (CZ–NACE), 2015</w:t>
        </w:r>
        <w:r w:rsidR="00366A5F">
          <w:rPr>
            <w:noProof/>
            <w:webHidden/>
          </w:rPr>
          <w:tab/>
        </w:r>
        <w:r w:rsidR="00366A5F">
          <w:rPr>
            <w:noProof/>
            <w:webHidden/>
          </w:rPr>
          <w:fldChar w:fldCharType="begin"/>
        </w:r>
        <w:r w:rsidR="00366A5F">
          <w:rPr>
            <w:noProof/>
            <w:webHidden/>
          </w:rPr>
          <w:instrText xml:space="preserve"> PAGEREF _Toc501615618 \h </w:instrText>
        </w:r>
        <w:r w:rsidR="00366A5F">
          <w:rPr>
            <w:noProof/>
            <w:webHidden/>
          </w:rPr>
        </w:r>
        <w:r w:rsidR="00366A5F">
          <w:rPr>
            <w:noProof/>
            <w:webHidden/>
          </w:rPr>
          <w:fldChar w:fldCharType="separate"/>
        </w:r>
        <w:r w:rsidR="006750CA">
          <w:rPr>
            <w:noProof/>
            <w:webHidden/>
          </w:rPr>
          <w:t>46</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19" w:history="1">
        <w:r w:rsidR="00366A5F" w:rsidRPr="009502B4">
          <w:rPr>
            <w:rStyle w:val="Hypertextovodkaz"/>
            <w:rFonts w:eastAsia="MS Gothic"/>
            <w:noProof/>
          </w:rPr>
          <w:t>Graf č. 36: Podíl firem podle způsobů spolupráce firem a škol, 2015</w:t>
        </w:r>
        <w:r w:rsidR="00366A5F">
          <w:rPr>
            <w:noProof/>
            <w:webHidden/>
          </w:rPr>
          <w:tab/>
        </w:r>
        <w:r w:rsidR="00366A5F">
          <w:rPr>
            <w:noProof/>
            <w:webHidden/>
          </w:rPr>
          <w:fldChar w:fldCharType="begin"/>
        </w:r>
        <w:r w:rsidR="00366A5F">
          <w:rPr>
            <w:noProof/>
            <w:webHidden/>
          </w:rPr>
          <w:instrText xml:space="preserve"> PAGEREF _Toc501615619 \h </w:instrText>
        </w:r>
        <w:r w:rsidR="00366A5F">
          <w:rPr>
            <w:noProof/>
            <w:webHidden/>
          </w:rPr>
        </w:r>
        <w:r w:rsidR="00366A5F">
          <w:rPr>
            <w:noProof/>
            <w:webHidden/>
          </w:rPr>
          <w:fldChar w:fldCharType="separate"/>
        </w:r>
        <w:r w:rsidR="006750CA">
          <w:rPr>
            <w:noProof/>
            <w:webHidden/>
          </w:rPr>
          <w:t>47</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0" w:history="1">
        <w:r w:rsidR="00366A5F" w:rsidRPr="009502B4">
          <w:rPr>
            <w:rStyle w:val="Hypertextovodkaz"/>
            <w:rFonts w:eastAsia="MS Gothic"/>
            <w:noProof/>
          </w:rPr>
          <w:t>Graf č. 37: Podíl firem podle hlavních důvodů pro přijímání studentů na praxi dle vybraných odvětví firmy (CZ–NACE), 2015</w:t>
        </w:r>
        <w:r w:rsidR="00366A5F">
          <w:rPr>
            <w:noProof/>
            <w:webHidden/>
          </w:rPr>
          <w:tab/>
        </w:r>
        <w:r w:rsidR="00366A5F">
          <w:rPr>
            <w:noProof/>
            <w:webHidden/>
          </w:rPr>
          <w:fldChar w:fldCharType="begin"/>
        </w:r>
        <w:r w:rsidR="00366A5F">
          <w:rPr>
            <w:noProof/>
            <w:webHidden/>
          </w:rPr>
          <w:instrText xml:space="preserve"> PAGEREF _Toc501615620 \h </w:instrText>
        </w:r>
        <w:r w:rsidR="00366A5F">
          <w:rPr>
            <w:noProof/>
            <w:webHidden/>
          </w:rPr>
        </w:r>
        <w:r w:rsidR="00366A5F">
          <w:rPr>
            <w:noProof/>
            <w:webHidden/>
          </w:rPr>
          <w:fldChar w:fldCharType="separate"/>
        </w:r>
        <w:r w:rsidR="006750CA">
          <w:rPr>
            <w:noProof/>
            <w:webHidden/>
          </w:rPr>
          <w:t>48</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1" w:history="1">
        <w:r w:rsidR="00366A5F" w:rsidRPr="009502B4">
          <w:rPr>
            <w:rStyle w:val="Hypertextovodkaz"/>
            <w:rFonts w:eastAsia="MS Gothic"/>
            <w:noProof/>
          </w:rPr>
          <w:t>Graf č. 38: Podíl firem potýkajících se s problémem obsadit volná pracovní místa podle velikosti firmy, 2015</w:t>
        </w:r>
        <w:r w:rsidR="00366A5F">
          <w:rPr>
            <w:noProof/>
            <w:webHidden/>
          </w:rPr>
          <w:tab/>
        </w:r>
        <w:r w:rsidR="00366A5F">
          <w:rPr>
            <w:noProof/>
            <w:webHidden/>
          </w:rPr>
          <w:fldChar w:fldCharType="begin"/>
        </w:r>
        <w:r w:rsidR="00366A5F">
          <w:rPr>
            <w:noProof/>
            <w:webHidden/>
          </w:rPr>
          <w:instrText xml:space="preserve"> PAGEREF _Toc501615621 \h </w:instrText>
        </w:r>
        <w:r w:rsidR="00366A5F">
          <w:rPr>
            <w:noProof/>
            <w:webHidden/>
          </w:rPr>
        </w:r>
        <w:r w:rsidR="00366A5F">
          <w:rPr>
            <w:noProof/>
            <w:webHidden/>
          </w:rPr>
          <w:fldChar w:fldCharType="separate"/>
        </w:r>
        <w:r w:rsidR="006750CA">
          <w:rPr>
            <w:noProof/>
            <w:webHidden/>
          </w:rPr>
          <w:t>50</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2" w:history="1">
        <w:r w:rsidR="00366A5F" w:rsidRPr="009502B4">
          <w:rPr>
            <w:rStyle w:val="Hypertextovodkaz"/>
            <w:rFonts w:eastAsia="MS Gothic"/>
            <w:noProof/>
          </w:rPr>
          <w:t>Graf č. 39: Podíl firem potýkajících se s problémem obsadit volná pracovní místa podle odvětví firmy, (CZ–NACE), 2015</w:t>
        </w:r>
        <w:r w:rsidR="00366A5F">
          <w:rPr>
            <w:noProof/>
            <w:webHidden/>
          </w:rPr>
          <w:tab/>
        </w:r>
        <w:r w:rsidR="00366A5F">
          <w:rPr>
            <w:noProof/>
            <w:webHidden/>
          </w:rPr>
          <w:fldChar w:fldCharType="begin"/>
        </w:r>
        <w:r w:rsidR="00366A5F">
          <w:rPr>
            <w:noProof/>
            <w:webHidden/>
          </w:rPr>
          <w:instrText xml:space="preserve"> PAGEREF _Toc501615622 \h </w:instrText>
        </w:r>
        <w:r w:rsidR="00366A5F">
          <w:rPr>
            <w:noProof/>
            <w:webHidden/>
          </w:rPr>
        </w:r>
        <w:r w:rsidR="00366A5F">
          <w:rPr>
            <w:noProof/>
            <w:webHidden/>
          </w:rPr>
          <w:fldChar w:fldCharType="separate"/>
        </w:r>
        <w:r w:rsidR="006750CA">
          <w:rPr>
            <w:noProof/>
            <w:webHidden/>
          </w:rPr>
          <w:t>50</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3" w:history="1">
        <w:r w:rsidR="00366A5F" w:rsidRPr="009502B4">
          <w:rPr>
            <w:rStyle w:val="Hypertextovodkaz"/>
            <w:rFonts w:eastAsia="MS Gothic"/>
            <w:noProof/>
          </w:rPr>
          <w:t>Graf č. 40: Podíl firem, které měly problém obsadit volné pracovní místo vhodným kandidátem podle požadavků kladených na kandidáta, 2015</w:t>
        </w:r>
        <w:r w:rsidR="00366A5F">
          <w:rPr>
            <w:noProof/>
            <w:webHidden/>
          </w:rPr>
          <w:tab/>
        </w:r>
        <w:r w:rsidR="00366A5F">
          <w:rPr>
            <w:noProof/>
            <w:webHidden/>
          </w:rPr>
          <w:fldChar w:fldCharType="begin"/>
        </w:r>
        <w:r w:rsidR="00366A5F">
          <w:rPr>
            <w:noProof/>
            <w:webHidden/>
          </w:rPr>
          <w:instrText xml:space="preserve"> PAGEREF _Toc501615623 \h </w:instrText>
        </w:r>
        <w:r w:rsidR="00366A5F">
          <w:rPr>
            <w:noProof/>
            <w:webHidden/>
          </w:rPr>
        </w:r>
        <w:r w:rsidR="00366A5F">
          <w:rPr>
            <w:noProof/>
            <w:webHidden/>
          </w:rPr>
          <w:fldChar w:fldCharType="separate"/>
        </w:r>
        <w:r w:rsidR="006750CA">
          <w:rPr>
            <w:noProof/>
            <w:webHidden/>
          </w:rPr>
          <w:t>51</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4" w:history="1">
        <w:r w:rsidR="00366A5F" w:rsidRPr="009502B4">
          <w:rPr>
            <w:rStyle w:val="Hypertextovodkaz"/>
            <w:rFonts w:eastAsia="MS Gothic"/>
            <w:noProof/>
          </w:rPr>
          <w:t>Graf č. 41: Podíl firem, které měly problém obsadit volné pracovní místo vhodným kandidátem, podle požadovaného oboru praxe či vzdělání nového zaměstnance, 2015</w:t>
        </w:r>
        <w:r w:rsidR="00366A5F">
          <w:rPr>
            <w:noProof/>
            <w:webHidden/>
          </w:rPr>
          <w:tab/>
        </w:r>
        <w:r w:rsidR="00366A5F">
          <w:rPr>
            <w:noProof/>
            <w:webHidden/>
          </w:rPr>
          <w:fldChar w:fldCharType="begin"/>
        </w:r>
        <w:r w:rsidR="00366A5F">
          <w:rPr>
            <w:noProof/>
            <w:webHidden/>
          </w:rPr>
          <w:instrText xml:space="preserve"> PAGEREF _Toc501615624 \h </w:instrText>
        </w:r>
        <w:r w:rsidR="00366A5F">
          <w:rPr>
            <w:noProof/>
            <w:webHidden/>
          </w:rPr>
        </w:r>
        <w:r w:rsidR="00366A5F">
          <w:rPr>
            <w:noProof/>
            <w:webHidden/>
          </w:rPr>
          <w:fldChar w:fldCharType="separate"/>
        </w:r>
        <w:r w:rsidR="006750CA">
          <w:rPr>
            <w:noProof/>
            <w:webHidden/>
          </w:rPr>
          <w:t>52</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5" w:history="1">
        <w:r w:rsidR="00366A5F" w:rsidRPr="009502B4">
          <w:rPr>
            <w:rStyle w:val="Hypertextovodkaz"/>
            <w:rFonts w:eastAsia="MS Gothic"/>
            <w:noProof/>
          </w:rPr>
          <w:t>Graf č. 42: Podíl všech firem podle přijímání absolventů škol na volné pozice, 2015</w:t>
        </w:r>
        <w:r w:rsidR="00366A5F">
          <w:rPr>
            <w:noProof/>
            <w:webHidden/>
          </w:rPr>
          <w:tab/>
        </w:r>
        <w:r w:rsidR="00366A5F">
          <w:rPr>
            <w:noProof/>
            <w:webHidden/>
          </w:rPr>
          <w:fldChar w:fldCharType="begin"/>
        </w:r>
        <w:r w:rsidR="00366A5F">
          <w:rPr>
            <w:noProof/>
            <w:webHidden/>
          </w:rPr>
          <w:instrText xml:space="preserve"> PAGEREF _Toc501615625 \h </w:instrText>
        </w:r>
        <w:r w:rsidR="00366A5F">
          <w:rPr>
            <w:noProof/>
            <w:webHidden/>
          </w:rPr>
        </w:r>
        <w:r w:rsidR="00366A5F">
          <w:rPr>
            <w:noProof/>
            <w:webHidden/>
          </w:rPr>
          <w:fldChar w:fldCharType="separate"/>
        </w:r>
        <w:r w:rsidR="006750CA">
          <w:rPr>
            <w:noProof/>
            <w:webHidden/>
          </w:rPr>
          <w:t>52</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6" w:history="1">
        <w:r w:rsidR="00366A5F" w:rsidRPr="009502B4">
          <w:rPr>
            <w:rStyle w:val="Hypertextovodkaz"/>
            <w:rFonts w:eastAsia="MS Gothic"/>
            <w:noProof/>
          </w:rPr>
          <w:t>Graf č. 43: Podíl firem, které přijaly absolventa podle oboru jeho studia, 2015</w:t>
        </w:r>
        <w:r w:rsidR="00366A5F">
          <w:rPr>
            <w:noProof/>
            <w:webHidden/>
          </w:rPr>
          <w:tab/>
        </w:r>
        <w:r w:rsidR="00366A5F">
          <w:rPr>
            <w:noProof/>
            <w:webHidden/>
          </w:rPr>
          <w:fldChar w:fldCharType="begin"/>
        </w:r>
        <w:r w:rsidR="00366A5F">
          <w:rPr>
            <w:noProof/>
            <w:webHidden/>
          </w:rPr>
          <w:instrText xml:space="preserve"> PAGEREF _Toc501615626 \h </w:instrText>
        </w:r>
        <w:r w:rsidR="00366A5F">
          <w:rPr>
            <w:noProof/>
            <w:webHidden/>
          </w:rPr>
        </w:r>
        <w:r w:rsidR="00366A5F">
          <w:rPr>
            <w:noProof/>
            <w:webHidden/>
          </w:rPr>
          <w:fldChar w:fldCharType="separate"/>
        </w:r>
        <w:r w:rsidR="006750CA">
          <w:rPr>
            <w:noProof/>
            <w:webHidden/>
          </w:rPr>
          <w:t>53</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7" w:history="1">
        <w:r w:rsidR="00366A5F" w:rsidRPr="009502B4">
          <w:rPr>
            <w:rStyle w:val="Hypertextovodkaz"/>
            <w:rFonts w:eastAsia="MS Gothic"/>
            <w:noProof/>
          </w:rPr>
          <w:t xml:space="preserve">Graf č. 44: </w:t>
        </w:r>
        <w:r w:rsidR="00366A5F" w:rsidRPr="009502B4">
          <w:rPr>
            <w:rStyle w:val="Hypertextovodkaz"/>
            <w:rFonts w:eastAsia="MS Gothic" w:cs="Arial"/>
            <w:noProof/>
          </w:rPr>
          <w:t>Zájem firem o vzdělávání zaměstnanců podle velikosti firmy, 2015</w:t>
        </w:r>
        <w:r w:rsidR="00366A5F">
          <w:rPr>
            <w:noProof/>
            <w:webHidden/>
          </w:rPr>
          <w:tab/>
        </w:r>
        <w:r w:rsidR="00366A5F">
          <w:rPr>
            <w:noProof/>
            <w:webHidden/>
          </w:rPr>
          <w:fldChar w:fldCharType="begin"/>
        </w:r>
        <w:r w:rsidR="00366A5F">
          <w:rPr>
            <w:noProof/>
            <w:webHidden/>
          </w:rPr>
          <w:instrText xml:space="preserve"> PAGEREF _Toc501615627 \h </w:instrText>
        </w:r>
        <w:r w:rsidR="00366A5F">
          <w:rPr>
            <w:noProof/>
            <w:webHidden/>
          </w:rPr>
        </w:r>
        <w:r w:rsidR="00366A5F">
          <w:rPr>
            <w:noProof/>
            <w:webHidden/>
          </w:rPr>
          <w:fldChar w:fldCharType="separate"/>
        </w:r>
        <w:r w:rsidR="006750CA">
          <w:rPr>
            <w:noProof/>
            <w:webHidden/>
          </w:rPr>
          <w:t>81</w:t>
        </w:r>
        <w:r w:rsidR="00366A5F">
          <w:rPr>
            <w:noProof/>
            <w:webHidden/>
          </w:rPr>
          <w:fldChar w:fldCharType="end"/>
        </w:r>
      </w:hyperlink>
    </w:p>
    <w:p w:rsidR="00366A5F" w:rsidRDefault="00E13170">
      <w:pPr>
        <w:pStyle w:val="Seznamobrzk"/>
        <w:tabs>
          <w:tab w:val="right" w:leader="dot" w:pos="9628"/>
        </w:tabs>
        <w:rPr>
          <w:rFonts w:asciiTheme="minorHAnsi" w:eastAsiaTheme="minorEastAsia" w:hAnsiTheme="minorHAnsi" w:cstheme="minorBidi"/>
          <w:noProof/>
          <w:sz w:val="22"/>
          <w:szCs w:val="22"/>
        </w:rPr>
      </w:pPr>
      <w:hyperlink w:anchor="_Toc501615628" w:history="1">
        <w:r w:rsidR="00366A5F" w:rsidRPr="009502B4">
          <w:rPr>
            <w:rStyle w:val="Hypertextovodkaz"/>
            <w:rFonts w:eastAsia="MS Gothic"/>
            <w:noProof/>
          </w:rPr>
          <w:t xml:space="preserve">Graf č. 45: </w:t>
        </w:r>
        <w:r w:rsidR="00366A5F" w:rsidRPr="009502B4">
          <w:rPr>
            <w:rStyle w:val="Hypertextovodkaz"/>
            <w:rFonts w:eastAsia="MS Gothic" w:cs="Arial"/>
            <w:noProof/>
          </w:rPr>
          <w:t>Organizace vzdělávání ve firmách se středním zájmem o vzdělávání zaměstnanců, 2015</w:t>
        </w:r>
        <w:r w:rsidR="00366A5F">
          <w:rPr>
            <w:noProof/>
            <w:webHidden/>
          </w:rPr>
          <w:tab/>
        </w:r>
        <w:r w:rsidR="00366A5F">
          <w:rPr>
            <w:noProof/>
            <w:webHidden/>
          </w:rPr>
          <w:fldChar w:fldCharType="begin"/>
        </w:r>
        <w:r w:rsidR="00366A5F">
          <w:rPr>
            <w:noProof/>
            <w:webHidden/>
          </w:rPr>
          <w:instrText xml:space="preserve"> PAGEREF _Toc501615628 \h </w:instrText>
        </w:r>
        <w:r w:rsidR="00366A5F">
          <w:rPr>
            <w:noProof/>
            <w:webHidden/>
          </w:rPr>
        </w:r>
        <w:r w:rsidR="00366A5F">
          <w:rPr>
            <w:noProof/>
            <w:webHidden/>
          </w:rPr>
          <w:fldChar w:fldCharType="separate"/>
        </w:r>
        <w:r w:rsidR="006750CA">
          <w:rPr>
            <w:noProof/>
            <w:webHidden/>
          </w:rPr>
          <w:t>83</w:t>
        </w:r>
        <w:r w:rsidR="00366A5F">
          <w:rPr>
            <w:noProof/>
            <w:webHidden/>
          </w:rPr>
          <w:fldChar w:fldCharType="end"/>
        </w:r>
      </w:hyperlink>
    </w:p>
    <w:p w:rsidR="002C19F8" w:rsidRDefault="007C3A3E" w:rsidP="002C19F8">
      <w:r>
        <w:fldChar w:fldCharType="end"/>
      </w:r>
    </w:p>
    <w:p w:rsidR="001C206D" w:rsidRPr="00276534" w:rsidRDefault="001C206D" w:rsidP="002C19F8">
      <w:pPr>
        <w:rPr>
          <w:rFonts w:eastAsia="MS Gothic"/>
          <w:b/>
          <w:bCs/>
          <w:color w:val="C00000"/>
          <w:sz w:val="24"/>
          <w:szCs w:val="28"/>
        </w:rPr>
      </w:pPr>
      <w:r w:rsidRPr="00276534">
        <w:rPr>
          <w:rFonts w:eastAsia="MS Gothic"/>
          <w:b/>
          <w:bCs/>
          <w:color w:val="C00000"/>
          <w:sz w:val="24"/>
          <w:szCs w:val="28"/>
        </w:rPr>
        <w:t>Seznam tabulek</w:t>
      </w:r>
    </w:p>
    <w:p w:rsidR="001C206D" w:rsidRDefault="007C3A3E">
      <w:pPr>
        <w:pStyle w:val="Seznamobrzk"/>
        <w:tabs>
          <w:tab w:val="right" w:leader="dot" w:pos="9628"/>
        </w:tabs>
        <w:rPr>
          <w:rFonts w:asciiTheme="minorHAnsi" w:eastAsiaTheme="minorEastAsia" w:hAnsiTheme="minorHAnsi" w:cstheme="minorBidi"/>
          <w:noProof/>
          <w:sz w:val="22"/>
          <w:szCs w:val="22"/>
        </w:rPr>
      </w:pPr>
      <w:r>
        <w:fldChar w:fldCharType="begin"/>
      </w:r>
      <w:r w:rsidR="001C206D">
        <w:instrText xml:space="preserve"> TOC \h \z \c "Tabulka" </w:instrText>
      </w:r>
      <w:r>
        <w:fldChar w:fldCharType="separate"/>
      </w:r>
      <w:hyperlink w:anchor="_Toc496079842" w:history="1">
        <w:r w:rsidR="001C206D" w:rsidRPr="003C594E">
          <w:rPr>
            <w:rStyle w:val="Hypertextovodkaz"/>
            <w:rFonts w:eastAsia="MS Gothic"/>
            <w:noProof/>
          </w:rPr>
          <w:t>Tabulka č. 1: Podíl firem obvykle reagujících daným způsobem na nedostatečnost stávajících znalostí či dovedností zaměstnanců podle velikosti firmy, 2015</w:t>
        </w:r>
        <w:r w:rsidR="001C206D">
          <w:rPr>
            <w:noProof/>
            <w:webHidden/>
          </w:rPr>
          <w:tab/>
        </w:r>
        <w:r>
          <w:rPr>
            <w:noProof/>
            <w:webHidden/>
          </w:rPr>
          <w:fldChar w:fldCharType="begin"/>
        </w:r>
        <w:r w:rsidR="001C206D">
          <w:rPr>
            <w:noProof/>
            <w:webHidden/>
          </w:rPr>
          <w:instrText xml:space="preserve"> PAGEREF _Toc496079842 \h </w:instrText>
        </w:r>
        <w:r>
          <w:rPr>
            <w:noProof/>
            <w:webHidden/>
          </w:rPr>
        </w:r>
        <w:r>
          <w:rPr>
            <w:noProof/>
            <w:webHidden/>
          </w:rPr>
          <w:fldChar w:fldCharType="separate"/>
        </w:r>
        <w:r w:rsidR="006750CA">
          <w:rPr>
            <w:noProof/>
            <w:webHidden/>
          </w:rPr>
          <w:t>16</w:t>
        </w:r>
        <w:r>
          <w:rPr>
            <w:noProof/>
            <w:webHidden/>
          </w:rPr>
          <w:fldChar w:fldCharType="end"/>
        </w:r>
      </w:hyperlink>
    </w:p>
    <w:p w:rsidR="001C206D" w:rsidRDefault="00E13170">
      <w:pPr>
        <w:pStyle w:val="Seznamobrzk"/>
        <w:tabs>
          <w:tab w:val="right" w:leader="dot" w:pos="9628"/>
        </w:tabs>
        <w:rPr>
          <w:rFonts w:asciiTheme="minorHAnsi" w:eastAsiaTheme="minorEastAsia" w:hAnsiTheme="minorHAnsi" w:cstheme="minorBidi"/>
          <w:noProof/>
          <w:sz w:val="22"/>
          <w:szCs w:val="22"/>
        </w:rPr>
      </w:pPr>
      <w:hyperlink w:anchor="_Toc496079843" w:history="1">
        <w:r w:rsidR="001C206D" w:rsidRPr="003C594E">
          <w:rPr>
            <w:rStyle w:val="Hypertextovodkaz"/>
            <w:rFonts w:eastAsia="MS Gothic"/>
            <w:noProof/>
          </w:rPr>
          <w:t xml:space="preserve">Tabulka 2: </w:t>
        </w:r>
        <w:r w:rsidR="00E04C53">
          <w:rPr>
            <w:noProof/>
          </w:rPr>
          <w:t>Podíl vzdělávajících se zaměstnanců dle typu absolvovaného vzdělávání</w:t>
        </w:r>
        <w:r w:rsidR="001C206D" w:rsidRPr="003C594E">
          <w:rPr>
            <w:rStyle w:val="Hypertextovodkaz"/>
            <w:rFonts w:eastAsia="MS Gothic"/>
            <w:noProof/>
          </w:rPr>
          <w:t>, 2015</w:t>
        </w:r>
        <w:r w:rsidR="001C206D">
          <w:rPr>
            <w:noProof/>
            <w:webHidden/>
          </w:rPr>
          <w:tab/>
        </w:r>
        <w:r w:rsidR="007C3A3E">
          <w:rPr>
            <w:noProof/>
            <w:webHidden/>
          </w:rPr>
          <w:fldChar w:fldCharType="begin"/>
        </w:r>
        <w:r w:rsidR="001C206D">
          <w:rPr>
            <w:noProof/>
            <w:webHidden/>
          </w:rPr>
          <w:instrText xml:space="preserve"> PAGEREF _Toc496079843 \h </w:instrText>
        </w:r>
        <w:r w:rsidR="007C3A3E">
          <w:rPr>
            <w:noProof/>
            <w:webHidden/>
          </w:rPr>
        </w:r>
        <w:r w:rsidR="007C3A3E">
          <w:rPr>
            <w:noProof/>
            <w:webHidden/>
          </w:rPr>
          <w:fldChar w:fldCharType="separate"/>
        </w:r>
        <w:r w:rsidR="006750CA">
          <w:rPr>
            <w:noProof/>
            <w:webHidden/>
          </w:rPr>
          <w:t>30</w:t>
        </w:r>
        <w:r w:rsidR="007C3A3E">
          <w:rPr>
            <w:noProof/>
            <w:webHidden/>
          </w:rPr>
          <w:fldChar w:fldCharType="end"/>
        </w:r>
      </w:hyperlink>
    </w:p>
    <w:p w:rsidR="001C206D" w:rsidRDefault="00E13170">
      <w:pPr>
        <w:pStyle w:val="Seznamobrzk"/>
        <w:tabs>
          <w:tab w:val="right" w:leader="dot" w:pos="9628"/>
        </w:tabs>
        <w:rPr>
          <w:noProof/>
        </w:rPr>
      </w:pPr>
      <w:hyperlink w:anchor="_Toc496079844" w:history="1">
        <w:r w:rsidR="001C206D" w:rsidRPr="003C594E">
          <w:rPr>
            <w:rStyle w:val="Hypertextovodkaz"/>
            <w:rFonts w:eastAsia="MS Gothic"/>
            <w:noProof/>
          </w:rPr>
          <w:t>Tabulka 3: Podíl firem řadících dané dovednosti zaměstnanců mezi nejdůležitější podle velikosti firmy, 2015</w:t>
        </w:r>
        <w:r w:rsidR="001C206D">
          <w:rPr>
            <w:noProof/>
            <w:webHidden/>
          </w:rPr>
          <w:tab/>
        </w:r>
        <w:r w:rsidR="007C3A3E">
          <w:rPr>
            <w:noProof/>
            <w:webHidden/>
          </w:rPr>
          <w:fldChar w:fldCharType="begin"/>
        </w:r>
        <w:r w:rsidR="001C206D">
          <w:rPr>
            <w:noProof/>
            <w:webHidden/>
          </w:rPr>
          <w:instrText xml:space="preserve"> PAGEREF _Toc496079844 \h </w:instrText>
        </w:r>
        <w:r w:rsidR="007C3A3E">
          <w:rPr>
            <w:noProof/>
            <w:webHidden/>
          </w:rPr>
        </w:r>
        <w:r w:rsidR="007C3A3E">
          <w:rPr>
            <w:noProof/>
            <w:webHidden/>
          </w:rPr>
          <w:fldChar w:fldCharType="separate"/>
        </w:r>
        <w:r w:rsidR="006750CA">
          <w:rPr>
            <w:noProof/>
            <w:webHidden/>
          </w:rPr>
          <w:t>33</w:t>
        </w:r>
        <w:r w:rsidR="007C3A3E">
          <w:rPr>
            <w:noProof/>
            <w:webHidden/>
          </w:rPr>
          <w:fldChar w:fldCharType="end"/>
        </w:r>
      </w:hyperlink>
    </w:p>
    <w:p w:rsidR="00787171" w:rsidRDefault="00787171" w:rsidP="00787171">
      <w:pPr>
        <w:rPr>
          <w:noProof/>
        </w:rPr>
      </w:pPr>
    </w:p>
    <w:p w:rsidR="00787171" w:rsidRPr="00276534" w:rsidRDefault="00787171" w:rsidP="00787171">
      <w:pPr>
        <w:rPr>
          <w:rFonts w:eastAsia="MS Gothic"/>
          <w:b/>
          <w:bCs/>
          <w:noProof/>
          <w:color w:val="C00000"/>
          <w:sz w:val="24"/>
          <w:szCs w:val="28"/>
        </w:rPr>
      </w:pPr>
      <w:r w:rsidRPr="00276534">
        <w:rPr>
          <w:rFonts w:eastAsia="MS Gothic"/>
          <w:b/>
          <w:bCs/>
          <w:noProof/>
          <w:color w:val="C00000"/>
          <w:sz w:val="24"/>
          <w:szCs w:val="28"/>
        </w:rPr>
        <w:t>Seznam příloh</w:t>
      </w:r>
    </w:p>
    <w:p w:rsidR="00393BDD" w:rsidRDefault="007C3A3E">
      <w:pPr>
        <w:pStyle w:val="Seznamobrzk"/>
        <w:tabs>
          <w:tab w:val="right" w:leader="dot" w:pos="9628"/>
        </w:tabs>
        <w:rPr>
          <w:rFonts w:asciiTheme="minorHAnsi" w:eastAsiaTheme="minorEastAsia" w:hAnsiTheme="minorHAnsi" w:cstheme="minorBidi"/>
          <w:noProof/>
          <w:sz w:val="22"/>
          <w:szCs w:val="22"/>
        </w:rPr>
      </w:pPr>
      <w:r>
        <w:rPr>
          <w:noProof/>
        </w:rPr>
        <w:fldChar w:fldCharType="begin"/>
      </w:r>
      <w:r w:rsidR="00787171">
        <w:rPr>
          <w:noProof/>
        </w:rPr>
        <w:instrText xml:space="preserve"> TOC \h \z \c "Příloha č." </w:instrText>
      </w:r>
      <w:r>
        <w:rPr>
          <w:noProof/>
        </w:rPr>
        <w:fldChar w:fldCharType="separate"/>
      </w:r>
      <w:hyperlink w:anchor="_Toc501093113" w:history="1">
        <w:r w:rsidR="00393BDD" w:rsidRPr="00BE03CD">
          <w:rPr>
            <w:rStyle w:val="Hypertextovodkaz"/>
            <w:rFonts w:eastAsia="MS Gothic"/>
            <w:noProof/>
          </w:rPr>
          <w:t>Příloha č. 1: Definice použitých výrazů</w:t>
        </w:r>
        <w:r w:rsidR="00393BDD">
          <w:rPr>
            <w:noProof/>
            <w:webHidden/>
          </w:rPr>
          <w:tab/>
        </w:r>
        <w:r w:rsidR="00393BDD">
          <w:rPr>
            <w:noProof/>
            <w:webHidden/>
          </w:rPr>
          <w:fldChar w:fldCharType="begin"/>
        </w:r>
        <w:r w:rsidR="00393BDD">
          <w:rPr>
            <w:noProof/>
            <w:webHidden/>
          </w:rPr>
          <w:instrText xml:space="preserve"> PAGEREF _Toc501093113 \h </w:instrText>
        </w:r>
        <w:r w:rsidR="00393BDD">
          <w:rPr>
            <w:noProof/>
            <w:webHidden/>
          </w:rPr>
        </w:r>
        <w:r w:rsidR="00393BDD">
          <w:rPr>
            <w:noProof/>
            <w:webHidden/>
          </w:rPr>
          <w:fldChar w:fldCharType="separate"/>
        </w:r>
        <w:r w:rsidR="00476EDB">
          <w:rPr>
            <w:noProof/>
            <w:webHidden/>
          </w:rPr>
          <w:t>57</w:t>
        </w:r>
        <w:r w:rsidR="00393BDD">
          <w:rPr>
            <w:noProof/>
            <w:webHidden/>
          </w:rPr>
          <w:fldChar w:fldCharType="end"/>
        </w:r>
      </w:hyperlink>
    </w:p>
    <w:p w:rsidR="00393BDD" w:rsidRDefault="00E13170">
      <w:pPr>
        <w:pStyle w:val="Seznamobrzk"/>
        <w:tabs>
          <w:tab w:val="right" w:leader="dot" w:pos="9628"/>
        </w:tabs>
        <w:rPr>
          <w:rFonts w:asciiTheme="minorHAnsi" w:eastAsiaTheme="minorEastAsia" w:hAnsiTheme="minorHAnsi" w:cstheme="minorBidi"/>
          <w:noProof/>
          <w:sz w:val="22"/>
          <w:szCs w:val="22"/>
        </w:rPr>
      </w:pPr>
      <w:hyperlink w:anchor="_Toc501093114" w:history="1">
        <w:r w:rsidR="00393BDD" w:rsidRPr="00BE03CD">
          <w:rPr>
            <w:rStyle w:val="Hypertextovodkaz"/>
            <w:rFonts w:eastAsia="MS Gothic"/>
            <w:noProof/>
          </w:rPr>
          <w:t>Příloha č. 2</w:t>
        </w:r>
        <w:r w:rsidR="00CA6516">
          <w:rPr>
            <w:rStyle w:val="Hypertextovodkaz"/>
            <w:rFonts w:eastAsia="MS Gothic"/>
            <w:noProof/>
          </w:rPr>
          <w:t>:</w:t>
        </w:r>
        <w:r w:rsidR="00393BDD" w:rsidRPr="00BE03CD">
          <w:rPr>
            <w:rStyle w:val="Hypertextovodkaz"/>
            <w:rFonts w:eastAsia="MS Gothic"/>
            <w:noProof/>
          </w:rPr>
          <w:t xml:space="preserve"> Seznam zahrnutých NACE</w:t>
        </w:r>
        <w:r w:rsidR="00393BDD">
          <w:rPr>
            <w:noProof/>
            <w:webHidden/>
          </w:rPr>
          <w:tab/>
        </w:r>
        <w:r w:rsidR="00393BDD">
          <w:rPr>
            <w:noProof/>
            <w:webHidden/>
          </w:rPr>
          <w:fldChar w:fldCharType="begin"/>
        </w:r>
        <w:r w:rsidR="00393BDD">
          <w:rPr>
            <w:noProof/>
            <w:webHidden/>
          </w:rPr>
          <w:instrText xml:space="preserve"> PAGEREF _Toc501093114 \h </w:instrText>
        </w:r>
        <w:r w:rsidR="00393BDD">
          <w:rPr>
            <w:noProof/>
            <w:webHidden/>
          </w:rPr>
        </w:r>
        <w:r w:rsidR="00393BDD">
          <w:rPr>
            <w:noProof/>
            <w:webHidden/>
          </w:rPr>
          <w:fldChar w:fldCharType="separate"/>
        </w:r>
        <w:r w:rsidR="00476EDB">
          <w:rPr>
            <w:noProof/>
            <w:webHidden/>
          </w:rPr>
          <w:t>60</w:t>
        </w:r>
        <w:r w:rsidR="00393BDD">
          <w:rPr>
            <w:noProof/>
            <w:webHidden/>
          </w:rPr>
          <w:fldChar w:fldCharType="end"/>
        </w:r>
      </w:hyperlink>
    </w:p>
    <w:p w:rsidR="00393BDD" w:rsidRDefault="00E13170">
      <w:pPr>
        <w:pStyle w:val="Seznamobrzk"/>
        <w:tabs>
          <w:tab w:val="right" w:leader="dot" w:pos="9628"/>
        </w:tabs>
        <w:rPr>
          <w:rFonts w:asciiTheme="minorHAnsi" w:eastAsiaTheme="minorEastAsia" w:hAnsiTheme="minorHAnsi" w:cstheme="minorBidi"/>
          <w:noProof/>
          <w:sz w:val="22"/>
          <w:szCs w:val="22"/>
        </w:rPr>
      </w:pPr>
      <w:hyperlink w:anchor="_Toc501093116" w:history="1">
        <w:r w:rsidR="00393BDD" w:rsidRPr="00BE03CD">
          <w:rPr>
            <w:rStyle w:val="Hypertextovodkaz"/>
            <w:rFonts w:eastAsia="MS Gothic"/>
            <w:noProof/>
          </w:rPr>
          <w:t xml:space="preserve">Příloha č. </w:t>
        </w:r>
        <w:r w:rsidR="0072018E">
          <w:rPr>
            <w:rStyle w:val="Hypertextovodkaz"/>
            <w:rFonts w:eastAsia="MS Gothic"/>
            <w:noProof/>
          </w:rPr>
          <w:t>3</w:t>
        </w:r>
        <w:r w:rsidR="00393BDD" w:rsidRPr="00BE03CD">
          <w:rPr>
            <w:rStyle w:val="Hypertextovodkaz"/>
            <w:rFonts w:eastAsia="MS Gothic"/>
            <w:noProof/>
          </w:rPr>
          <w:t>: Tabulková příloha</w:t>
        </w:r>
        <w:r w:rsidR="00393BDD">
          <w:rPr>
            <w:noProof/>
            <w:webHidden/>
          </w:rPr>
          <w:tab/>
        </w:r>
        <w:r w:rsidR="00393BDD">
          <w:rPr>
            <w:noProof/>
            <w:webHidden/>
          </w:rPr>
          <w:fldChar w:fldCharType="begin"/>
        </w:r>
        <w:r w:rsidR="00393BDD">
          <w:rPr>
            <w:noProof/>
            <w:webHidden/>
          </w:rPr>
          <w:instrText xml:space="preserve"> PAGEREF _Toc501093116 \h </w:instrText>
        </w:r>
        <w:r w:rsidR="00393BDD">
          <w:rPr>
            <w:noProof/>
            <w:webHidden/>
          </w:rPr>
        </w:r>
        <w:r w:rsidR="00393BDD">
          <w:rPr>
            <w:noProof/>
            <w:webHidden/>
          </w:rPr>
          <w:fldChar w:fldCharType="separate"/>
        </w:r>
        <w:r w:rsidR="00476EDB">
          <w:rPr>
            <w:noProof/>
            <w:webHidden/>
          </w:rPr>
          <w:t>61</w:t>
        </w:r>
        <w:r w:rsidR="00393BDD">
          <w:rPr>
            <w:noProof/>
            <w:webHidden/>
          </w:rPr>
          <w:fldChar w:fldCharType="end"/>
        </w:r>
      </w:hyperlink>
    </w:p>
    <w:p w:rsidR="00393BDD" w:rsidRDefault="00E13170">
      <w:pPr>
        <w:pStyle w:val="Seznamobrzk"/>
        <w:tabs>
          <w:tab w:val="right" w:leader="dot" w:pos="9628"/>
        </w:tabs>
        <w:rPr>
          <w:rFonts w:asciiTheme="minorHAnsi" w:eastAsiaTheme="minorEastAsia" w:hAnsiTheme="minorHAnsi" w:cstheme="minorBidi"/>
          <w:noProof/>
          <w:sz w:val="22"/>
          <w:szCs w:val="22"/>
        </w:rPr>
      </w:pPr>
      <w:hyperlink w:anchor="_Toc501093117" w:history="1">
        <w:r w:rsidR="0072018E">
          <w:rPr>
            <w:rStyle w:val="Hypertextovodkaz"/>
            <w:rFonts w:eastAsia="MS Gothic"/>
            <w:noProof/>
          </w:rPr>
          <w:t>Příloha č. 4</w:t>
        </w:r>
        <w:r w:rsidR="00393BDD" w:rsidRPr="00BE03CD">
          <w:rPr>
            <w:rStyle w:val="Hypertextovodkaz"/>
            <w:rFonts w:eastAsia="MS Gothic"/>
            <w:noProof/>
          </w:rPr>
          <w:t>: Typologie firem</w:t>
        </w:r>
        <w:r w:rsidR="00393BDD">
          <w:rPr>
            <w:noProof/>
            <w:webHidden/>
          </w:rPr>
          <w:tab/>
        </w:r>
        <w:r w:rsidR="00CA6516">
          <w:rPr>
            <w:noProof/>
            <w:webHidden/>
          </w:rPr>
          <w:t>8</w:t>
        </w:r>
      </w:hyperlink>
      <w:r w:rsidR="009A2378">
        <w:rPr>
          <w:noProof/>
        </w:rPr>
        <w:t>1</w:t>
      </w:r>
    </w:p>
    <w:p w:rsidR="00362151" w:rsidRDefault="007C3A3E" w:rsidP="001E71EA">
      <w:pPr>
        <w:contextualSpacing/>
      </w:pPr>
      <w:r>
        <w:rPr>
          <w:noProof/>
        </w:rPr>
        <w:fldChar w:fldCharType="end"/>
      </w:r>
      <w:r>
        <w:fldChar w:fldCharType="end"/>
      </w:r>
      <w:r w:rsidR="00362151">
        <w:br w:type="page"/>
      </w:r>
    </w:p>
    <w:p w:rsidR="002C19F8" w:rsidRPr="00771F07" w:rsidRDefault="002C19F8" w:rsidP="00771F07">
      <w:pPr>
        <w:pStyle w:val="Nadpis2"/>
      </w:pPr>
      <w:bookmarkStart w:id="202" w:name="_PictureBullets"/>
      <w:bookmarkStart w:id="203" w:name="_Toc501614133"/>
      <w:bookmarkEnd w:id="202"/>
      <w:r w:rsidRPr="00771F07">
        <w:lastRenderedPageBreak/>
        <w:t>Přílohy</w:t>
      </w:r>
      <w:bookmarkEnd w:id="203"/>
    </w:p>
    <w:p w:rsidR="002C19F8" w:rsidRPr="002C19F8" w:rsidRDefault="00787171" w:rsidP="00787171">
      <w:pPr>
        <w:pStyle w:val="Nadpis3"/>
      </w:pPr>
      <w:bookmarkStart w:id="204" w:name="_Příloha_č._1:"/>
      <w:bookmarkStart w:id="205" w:name="_Toc496167672"/>
      <w:bookmarkStart w:id="206" w:name="_Ref496168459"/>
      <w:bookmarkStart w:id="207" w:name="_Toc496868195"/>
      <w:bookmarkStart w:id="208" w:name="_Toc499217157"/>
      <w:bookmarkStart w:id="209" w:name="_Toc501093113"/>
      <w:bookmarkStart w:id="210" w:name="_Ref501100042"/>
      <w:bookmarkStart w:id="211" w:name="_Toc501614134"/>
      <w:bookmarkEnd w:id="204"/>
      <w:r>
        <w:t xml:space="preserve">Příloha č. </w:t>
      </w:r>
      <w:r w:rsidR="007C3A3E">
        <w:fldChar w:fldCharType="begin"/>
      </w:r>
      <w:r w:rsidR="00C84608">
        <w:instrText xml:space="preserve"> SEQ Příloha_č. \* ARABIC </w:instrText>
      </w:r>
      <w:r w:rsidR="007C3A3E">
        <w:fldChar w:fldCharType="separate"/>
      </w:r>
      <w:r w:rsidR="00476EDB">
        <w:rPr>
          <w:noProof/>
        </w:rPr>
        <w:t>1</w:t>
      </w:r>
      <w:r w:rsidR="007C3A3E">
        <w:rPr>
          <w:noProof/>
        </w:rPr>
        <w:fldChar w:fldCharType="end"/>
      </w:r>
      <w:r>
        <w:t xml:space="preserve">: </w:t>
      </w:r>
      <w:r w:rsidR="002C19F8" w:rsidRPr="002C19F8">
        <w:t>Definice použitých výrazů</w:t>
      </w:r>
      <w:bookmarkEnd w:id="205"/>
      <w:bookmarkEnd w:id="206"/>
      <w:bookmarkEnd w:id="207"/>
      <w:bookmarkEnd w:id="208"/>
      <w:bookmarkEnd w:id="209"/>
      <w:bookmarkEnd w:id="210"/>
      <w:bookmarkEnd w:id="211"/>
    </w:p>
    <w:p w:rsidR="00027D43" w:rsidRDefault="00027D43" w:rsidP="00616E17">
      <w:pPr>
        <w:spacing w:after="0"/>
        <w:contextualSpacing/>
        <w:jc w:val="both"/>
        <w:rPr>
          <w:u w:val="single"/>
        </w:rPr>
      </w:pPr>
    </w:p>
    <w:p w:rsidR="002C19F8" w:rsidRDefault="002C19F8" w:rsidP="00CA0FFC">
      <w:pPr>
        <w:spacing w:after="0"/>
        <w:contextualSpacing/>
        <w:jc w:val="both"/>
        <w:rPr>
          <w:u w:val="single"/>
        </w:rPr>
      </w:pPr>
      <w:r>
        <w:rPr>
          <w:u w:val="single"/>
        </w:rPr>
        <w:t>Firmy</w:t>
      </w:r>
      <w:r w:rsidR="00E3026F">
        <w:rPr>
          <w:u w:val="single"/>
        </w:rPr>
        <w:t>:</w:t>
      </w:r>
    </w:p>
    <w:p w:rsidR="002C19F8" w:rsidRDefault="002C19F8" w:rsidP="00CA0FFC">
      <w:pPr>
        <w:spacing w:after="0"/>
        <w:contextualSpacing/>
        <w:jc w:val="both"/>
      </w:pPr>
      <w:r>
        <w:t xml:space="preserve">Nepřesný název používaný v analýze místo pojmu ekonomické subjekty. Firmami jsou myšleny nejmenší </w:t>
      </w:r>
      <w:r w:rsidR="00BE4E34">
        <w:t>kombinace jednotek, produkující</w:t>
      </w:r>
      <w:r>
        <w:t xml:space="preserve"> zboží nebo služby, které mají určitý stupeň autonomie při rozhodování zejména při přerozdělování vlastních zdrojů. Mezi firmy jsou tedy kromě komerčních firem započítány i další instituce, např. veřejné nebo neziskové organizace.</w:t>
      </w:r>
    </w:p>
    <w:p w:rsidR="00027D43" w:rsidRPr="00D15840" w:rsidRDefault="00027D43" w:rsidP="00CA0FFC">
      <w:pPr>
        <w:spacing w:after="0"/>
        <w:contextualSpacing/>
        <w:jc w:val="both"/>
      </w:pPr>
    </w:p>
    <w:p w:rsidR="002C19F8" w:rsidRDefault="002C19F8" w:rsidP="00CA0FFC">
      <w:pPr>
        <w:spacing w:after="0"/>
        <w:contextualSpacing/>
        <w:jc w:val="both"/>
        <w:rPr>
          <w:u w:val="single"/>
        </w:rPr>
      </w:pPr>
      <w:r w:rsidRPr="00D15840">
        <w:rPr>
          <w:u w:val="single"/>
        </w:rPr>
        <w:t>Další odborné vzdělávání (v analýze používáno rovněž pod pojmem firemní vzdělávání)</w:t>
      </w:r>
      <w:r w:rsidR="00E3026F">
        <w:rPr>
          <w:u w:val="single"/>
        </w:rPr>
        <w:t>:</w:t>
      </w:r>
    </w:p>
    <w:p w:rsidR="002C19F8" w:rsidRDefault="00AD45C6" w:rsidP="00CA0FFC">
      <w:pPr>
        <w:contextualSpacing/>
        <w:jc w:val="both"/>
      </w:pPr>
      <w:r>
        <w:t>představuje v</w:t>
      </w:r>
      <w:r w:rsidR="002C19F8">
        <w:t xml:space="preserve">zdělávání v zaměstnání, kdy primárním cílem je osvojení nových kompetencí nebo rozvoj či zlepšení stávajících. Vzdělávání by mělo být primárně rozhodnutím firmy a vzdělávací akce by měla </w:t>
      </w:r>
      <w:r>
        <w:t xml:space="preserve">být předem naplánována a měla by </w:t>
      </w:r>
      <w:r w:rsidR="002C19F8">
        <w:t>mít svůj specifický vzdělávací charakter: vzdělávání probíhá po vymezený čas a je zaměřené pouze na danou činnost, nejčastěji za účasti lektora nebo prostřednictvím vzdělávacího zařízení (počítá se i počítač). Učení se na pracovišti (např. seznamování se s náplní práce při nástupu do</w:t>
      </w:r>
      <w:r w:rsidR="00BC33C6">
        <w:t> </w:t>
      </w:r>
      <w:r w:rsidR="002C19F8">
        <w:t>zaměstnání či při přijímaní nových úkolů) se tedy do takto vymezeného vzdělávání nezapočítává.</w:t>
      </w:r>
      <w:r>
        <w:t xml:space="preserve"> Pro</w:t>
      </w:r>
      <w:r w:rsidR="00BC33C6">
        <w:t> </w:t>
      </w:r>
      <w:r>
        <w:t>splnění definice vzdělávání zaměstnanců také musí platit, že jej podnik za zaměstnance alespoň částečně hradí.</w:t>
      </w:r>
    </w:p>
    <w:p w:rsidR="00027D43" w:rsidRPr="007D5095" w:rsidRDefault="00027D43" w:rsidP="00CA0FFC">
      <w:pPr>
        <w:contextualSpacing/>
        <w:jc w:val="both"/>
      </w:pPr>
    </w:p>
    <w:p w:rsidR="002C19F8" w:rsidRDefault="002C19F8" w:rsidP="00CA0FFC">
      <w:pPr>
        <w:spacing w:after="0"/>
        <w:contextualSpacing/>
        <w:jc w:val="both"/>
        <w:rPr>
          <w:u w:val="single"/>
        </w:rPr>
      </w:pPr>
      <w:r>
        <w:rPr>
          <w:u w:val="single"/>
        </w:rPr>
        <w:t>Počáteční odborné vzdělávání</w:t>
      </w:r>
      <w:r w:rsidR="00E3026F">
        <w:rPr>
          <w:u w:val="single"/>
        </w:rPr>
        <w:t>:</w:t>
      </w:r>
    </w:p>
    <w:p w:rsidR="002C19F8" w:rsidRDefault="002C19F8" w:rsidP="00CA0FFC">
      <w:pPr>
        <w:spacing w:after="0"/>
        <w:contextualSpacing/>
        <w:jc w:val="both"/>
      </w:pPr>
      <w:r>
        <w:t xml:space="preserve">Na rozdíl od dalšího odborného vzdělávání </w:t>
      </w:r>
      <w:r w:rsidR="00392321">
        <w:t>se</w:t>
      </w:r>
      <w:r>
        <w:t xml:space="preserve"> počáteční odborné vzdělávání koná převážně ve škole, má konkrétní vzdělávací plán a vede k získání formálního osvědčení. V rámci firem se může počáteční odborné vzdělávání odehrávat ve formě pracovních stáží (např. učňů), které jsou součástí vzdělávacích plánů.</w:t>
      </w:r>
    </w:p>
    <w:p w:rsidR="00027D43" w:rsidRDefault="00027D43" w:rsidP="00CA0FFC">
      <w:pPr>
        <w:spacing w:after="0"/>
        <w:contextualSpacing/>
        <w:jc w:val="both"/>
      </w:pPr>
    </w:p>
    <w:p w:rsidR="002C19F8" w:rsidRPr="007D5095" w:rsidRDefault="002C19F8" w:rsidP="00CA0FFC">
      <w:pPr>
        <w:spacing w:after="0"/>
        <w:contextualSpacing/>
        <w:jc w:val="both"/>
        <w:rPr>
          <w:u w:val="single"/>
        </w:rPr>
      </w:pPr>
      <w:r w:rsidRPr="007D5095">
        <w:rPr>
          <w:u w:val="single"/>
        </w:rPr>
        <w:t>Kurzy a školení</w:t>
      </w:r>
      <w:r w:rsidR="00E3026F">
        <w:rPr>
          <w:u w:val="single"/>
        </w:rPr>
        <w:t>:</w:t>
      </w:r>
    </w:p>
    <w:p w:rsidR="002C19F8" w:rsidRDefault="002C19F8" w:rsidP="00CA0FFC">
      <w:pPr>
        <w:spacing w:after="0"/>
        <w:contextualSpacing/>
        <w:jc w:val="both"/>
      </w:pPr>
      <w:r w:rsidRPr="007D5095">
        <w:t>Kurzy/školení se vyznačují vysokým stupněm organizace (z hlediska času, prostoru a obsahu) ze strany školitele či vzdělávací instituce. Obsah kurzů/školení je předem připraven pro charakteristickou cílovou skupinu osob, např. podle vymezených učebních osnov, a místo konání je většinou zřetelně oddělené od</w:t>
      </w:r>
      <w:r w:rsidR="00BC33C6">
        <w:t> </w:t>
      </w:r>
      <w:r w:rsidRPr="007D5095">
        <w:t>pracoviště (odehrává se v prostorách speciálně určených pro vzdělávání, jako jsou učebny nebo vzdělávací centra.) Patří sem např. povinné školení BOZP, počítačové či jazykové kurzy, kurzy zaměřené na</w:t>
      </w:r>
      <w:r w:rsidR="008C78A2">
        <w:t> </w:t>
      </w:r>
      <w:r w:rsidRPr="007D5095">
        <w:t>komunikační dovednosti, rekvalifikační kurzy, vzdělávání na vysokých školách, příp. jiné jasně strukturované vzdělávání zvyšující kvalifikaci či rozšiřující dovednosti zaměstnanců určitého oboru.</w:t>
      </w:r>
    </w:p>
    <w:p w:rsidR="00027D43" w:rsidRDefault="00027D43" w:rsidP="00CA0FFC">
      <w:pPr>
        <w:spacing w:after="0"/>
        <w:contextualSpacing/>
        <w:jc w:val="both"/>
      </w:pPr>
    </w:p>
    <w:p w:rsidR="00E3026F" w:rsidRDefault="002C19F8" w:rsidP="00CA0FFC">
      <w:pPr>
        <w:spacing w:after="0"/>
        <w:contextualSpacing/>
        <w:jc w:val="both"/>
      </w:pPr>
      <w:r w:rsidRPr="00AF12AA">
        <w:rPr>
          <w:u w:val="single"/>
        </w:rPr>
        <w:t>Povinné kurzy/školení:</w:t>
      </w:r>
      <w:r>
        <w:t xml:space="preserve"> </w:t>
      </w:r>
    </w:p>
    <w:p w:rsidR="002C19F8" w:rsidRDefault="002C19F8" w:rsidP="00CA0FFC">
      <w:pPr>
        <w:spacing w:after="0"/>
        <w:contextualSpacing/>
        <w:jc w:val="both"/>
      </w:pPr>
      <w:r>
        <w:t xml:space="preserve">Takové </w:t>
      </w:r>
      <w:r w:rsidRPr="00AF12AA">
        <w:t>formy vzdělávání, které jsou uskutečňovány v kurzech či školeních, vyplývají ze zákonných norem a</w:t>
      </w:r>
      <w:r w:rsidR="008C78A2">
        <w:t> </w:t>
      </w:r>
      <w:r w:rsidRPr="00AF12AA">
        <w:t xml:space="preserve">zaměřují se </w:t>
      </w:r>
      <w:r w:rsidR="00B57A8F">
        <w:t xml:space="preserve">na </w:t>
      </w:r>
      <w:r w:rsidRPr="00AF12AA">
        <w:t>problematiku ochr</w:t>
      </w:r>
      <w:r w:rsidR="00392321">
        <w:t>any zdraví a bezpečnosti práce. Z</w:t>
      </w:r>
      <w:r w:rsidRPr="00AF12AA">
        <w:t>a jejich zajišťování je zodpovědný zaměstnavatel. Jde většinou o kurzy, které jsou ze zákona povinné pro plnění některých (potenciálně) nebezpečných pracovních úkolů (např. řízení vysokozdvižných vozíků) či kurzy zaměřené na ochranu zaměstnanců a jejich okolí (např. vstupní školení BOZP pro nové pracovníky).</w:t>
      </w:r>
    </w:p>
    <w:p w:rsidR="00027D43" w:rsidRDefault="00027D43" w:rsidP="00CA0FFC">
      <w:pPr>
        <w:spacing w:after="0"/>
        <w:contextualSpacing/>
        <w:jc w:val="both"/>
      </w:pPr>
    </w:p>
    <w:p w:rsidR="00E3026F" w:rsidRDefault="002C19F8" w:rsidP="00CA0FFC">
      <w:pPr>
        <w:spacing w:after="0"/>
        <w:contextualSpacing/>
        <w:jc w:val="both"/>
      </w:pPr>
      <w:r>
        <w:rPr>
          <w:u w:val="single"/>
        </w:rPr>
        <w:t>Nepovinné kurzy/školení:</w:t>
      </w:r>
      <w:r w:rsidRPr="00AF12AA">
        <w:t xml:space="preserve"> </w:t>
      </w:r>
    </w:p>
    <w:p w:rsidR="002C19F8" w:rsidRDefault="002C19F8" w:rsidP="00CA0FFC">
      <w:pPr>
        <w:spacing w:after="0"/>
        <w:contextualSpacing/>
        <w:jc w:val="both"/>
      </w:pPr>
      <w:r>
        <w:t>Takové</w:t>
      </w:r>
      <w:r w:rsidRPr="00AF12AA">
        <w:t xml:space="preserve"> kurzy a školení, které nejsou povinné ze zákona. Patří tam např. počítačové či jazykové kurzy, kurzy zaměřené na komunikační dovednosti, rekvalifikační kurzy, vzdělávání na VŠ, příp. jiné jasně strukturované vzdělávání zvyšující kvalifikaci či rozšiřující dovednosti zaměstnanců určitého oboru.</w:t>
      </w:r>
    </w:p>
    <w:p w:rsidR="00027D43" w:rsidRPr="00AF12AA" w:rsidRDefault="00027D43" w:rsidP="00CA0FFC">
      <w:pPr>
        <w:spacing w:after="0"/>
        <w:contextualSpacing/>
        <w:jc w:val="both"/>
      </w:pPr>
    </w:p>
    <w:p w:rsidR="002C19F8" w:rsidRPr="007D5095" w:rsidRDefault="002C19F8" w:rsidP="00CA0FFC">
      <w:pPr>
        <w:spacing w:after="0"/>
        <w:contextualSpacing/>
        <w:jc w:val="both"/>
        <w:rPr>
          <w:u w:val="single"/>
        </w:rPr>
      </w:pPr>
      <w:r w:rsidRPr="007D5095">
        <w:rPr>
          <w:u w:val="single"/>
        </w:rPr>
        <w:t>Jiné formy vzdělávání</w:t>
      </w:r>
      <w:r w:rsidR="00E3026F">
        <w:rPr>
          <w:u w:val="single"/>
        </w:rPr>
        <w:t>:</w:t>
      </w:r>
    </w:p>
    <w:p w:rsidR="002C19F8" w:rsidRDefault="002C19F8" w:rsidP="00CA0FFC">
      <w:pPr>
        <w:spacing w:after="0"/>
        <w:contextualSpacing/>
        <w:jc w:val="both"/>
      </w:pPr>
      <w:r w:rsidRPr="007D5095">
        <w:t>Jiné formy vzdělávání než jsou kurzy a školení jsou charakterizovány jako plánované vzdělávání na</w:t>
      </w:r>
      <w:r w:rsidR="00BC33C6">
        <w:t> </w:t>
      </w:r>
      <w:r w:rsidRPr="007D5095">
        <w:t>pracovišti, kdy hlavním záměrem účastníka je něco se naučit. Účastníci zpravidla mají možnost si do</w:t>
      </w:r>
      <w:r w:rsidR="00BC33C6">
        <w:t> </w:t>
      </w:r>
      <w:r w:rsidR="0086548A">
        <w:t xml:space="preserve">jisté míry určit místo, </w:t>
      </w:r>
      <w:r w:rsidRPr="007D5095">
        <w:t>čas a obsah vzdělávání</w:t>
      </w:r>
      <w:r w:rsidR="00567470">
        <w:t>, přičemž obsah vzdělávání</w:t>
      </w:r>
      <w:r w:rsidRPr="007D5095">
        <w:t xml:space="preserve"> bývá přizpůsoben jejich individuálním potřebám. Do těchto jiných forem patří např. zaškolování či instruktáž orientovaná na konkrétní pracovní činnost, účast na konferencích či veletrzích či samostudium, pokud splňuje výše zmíněné podmínky definice.</w:t>
      </w:r>
    </w:p>
    <w:p w:rsidR="00E3026F" w:rsidRDefault="002C19F8" w:rsidP="00CA0FFC">
      <w:pPr>
        <w:spacing w:after="0"/>
        <w:contextualSpacing/>
        <w:jc w:val="both"/>
        <w:rPr>
          <w:u w:val="single"/>
        </w:rPr>
      </w:pPr>
      <w:r>
        <w:rPr>
          <w:u w:val="single"/>
        </w:rPr>
        <w:lastRenderedPageBreak/>
        <w:t>Vzdělávání formou zaškolová</w:t>
      </w:r>
      <w:r w:rsidR="00E3026F">
        <w:rPr>
          <w:u w:val="single"/>
        </w:rPr>
        <w:t>ní či instruktáže na pracovišti:</w:t>
      </w:r>
    </w:p>
    <w:p w:rsidR="002C19F8" w:rsidRDefault="00E3026F" w:rsidP="00CA0FFC">
      <w:pPr>
        <w:spacing w:after="0"/>
        <w:contextualSpacing/>
        <w:jc w:val="both"/>
      </w:pPr>
      <w:r>
        <w:t xml:space="preserve">Toto vzdělávání </w:t>
      </w:r>
      <w:r w:rsidRPr="00E3026F">
        <w:t>j</w:t>
      </w:r>
      <w:r w:rsidR="002C19F8" w:rsidRPr="00E3026F">
        <w:t>e</w:t>
      </w:r>
      <w:r w:rsidR="002C19F8">
        <w:t xml:space="preserve"> iniciováno zaměstnavatelem, koná se za přítomnosti lektora a s použitím běžných pracovních nástrojů dostupných na pracovišti. Má individuální charakter, je tedy určeno pouze pro malé skupiny zaměstnanců.</w:t>
      </w:r>
    </w:p>
    <w:p w:rsidR="00027D43" w:rsidRPr="00E3026F" w:rsidRDefault="00027D43" w:rsidP="00CA0FFC">
      <w:pPr>
        <w:spacing w:after="0"/>
        <w:contextualSpacing/>
        <w:jc w:val="both"/>
        <w:rPr>
          <w:u w:val="single"/>
        </w:rPr>
      </w:pPr>
    </w:p>
    <w:p w:rsidR="00E3026F" w:rsidRDefault="002C19F8" w:rsidP="00CA0FFC">
      <w:pPr>
        <w:spacing w:after="0"/>
        <w:contextualSpacing/>
        <w:jc w:val="both"/>
      </w:pPr>
      <w:r>
        <w:rPr>
          <w:u w:val="single"/>
        </w:rPr>
        <w:t>Rotace zaměstnanců na pracovních místech:</w:t>
      </w:r>
      <w:r>
        <w:t xml:space="preserve"> </w:t>
      </w:r>
    </w:p>
    <w:p w:rsidR="00E31308" w:rsidRDefault="00E3026F" w:rsidP="00CA0FFC">
      <w:pPr>
        <w:spacing w:after="0"/>
        <w:contextualSpacing/>
        <w:jc w:val="both"/>
      </w:pPr>
      <w:r>
        <w:t>Jedná se o s</w:t>
      </w:r>
      <w:r w:rsidR="002C19F8">
        <w:t>třídání pracovních míst v rámci firmy (příp. i mezi firmami) s cílem rozvoje dovedností zúčastněných zaměstnanců.</w:t>
      </w:r>
    </w:p>
    <w:p w:rsidR="00027D43" w:rsidRDefault="00027D43" w:rsidP="00CA0FFC">
      <w:pPr>
        <w:spacing w:after="0"/>
        <w:contextualSpacing/>
        <w:jc w:val="both"/>
      </w:pPr>
    </w:p>
    <w:p w:rsidR="00E3026F" w:rsidRDefault="002C19F8" w:rsidP="00CA0FFC">
      <w:pPr>
        <w:spacing w:after="0"/>
        <w:contextualSpacing/>
        <w:jc w:val="both"/>
      </w:pPr>
      <w:r>
        <w:rPr>
          <w:u w:val="single"/>
        </w:rPr>
        <w:t>Vzdělávací kroužky, kroužky kvality (pracovní skupiny):</w:t>
      </w:r>
      <w:r>
        <w:t xml:space="preserve"> </w:t>
      </w:r>
    </w:p>
    <w:p w:rsidR="002C19F8" w:rsidRDefault="002C19F8" w:rsidP="00CA0FFC">
      <w:pPr>
        <w:spacing w:after="0"/>
        <w:contextualSpacing/>
        <w:jc w:val="both"/>
      </w:pPr>
      <w:r>
        <w:t>Skupina zaměstnanců, která se pravidelně schází s hlavním cílem porozumět potřebám firmy a rozvíjet tak své znalosti.</w:t>
      </w:r>
    </w:p>
    <w:p w:rsidR="00027D43" w:rsidRDefault="00027D43" w:rsidP="00CA0FFC">
      <w:pPr>
        <w:spacing w:after="0"/>
        <w:contextualSpacing/>
        <w:jc w:val="both"/>
      </w:pPr>
    </w:p>
    <w:p w:rsidR="00E3026F" w:rsidRDefault="00E3026F" w:rsidP="00CA0FFC">
      <w:pPr>
        <w:spacing w:after="0"/>
        <w:contextualSpacing/>
        <w:jc w:val="both"/>
        <w:rPr>
          <w:u w:val="single"/>
        </w:rPr>
      </w:pPr>
      <w:r>
        <w:rPr>
          <w:u w:val="single"/>
        </w:rPr>
        <w:t>Samostatné studium, e-</w:t>
      </w:r>
      <w:proofErr w:type="spellStart"/>
      <w:r>
        <w:rPr>
          <w:u w:val="single"/>
        </w:rPr>
        <w:t>learning</w:t>
      </w:r>
      <w:proofErr w:type="spellEnd"/>
      <w:r>
        <w:rPr>
          <w:u w:val="single"/>
        </w:rPr>
        <w:t>:</w:t>
      </w:r>
    </w:p>
    <w:p w:rsidR="002C19F8" w:rsidRDefault="002C19F8" w:rsidP="00CA0FFC">
      <w:pPr>
        <w:spacing w:after="0"/>
        <w:contextualSpacing/>
        <w:jc w:val="both"/>
      </w:pPr>
      <w:r>
        <w:t>Vzdělávací aktivity, u kterých si jedinec sám organizuje čas a místo na vzdělávání.</w:t>
      </w:r>
    </w:p>
    <w:p w:rsidR="00027D43" w:rsidRDefault="00027D43" w:rsidP="00CA0FFC">
      <w:pPr>
        <w:spacing w:after="0"/>
        <w:contextualSpacing/>
        <w:jc w:val="both"/>
      </w:pPr>
    </w:p>
    <w:p w:rsidR="00E3026F" w:rsidRDefault="00E3026F" w:rsidP="00CA0FFC">
      <w:pPr>
        <w:spacing w:after="0"/>
        <w:contextualSpacing/>
        <w:jc w:val="both"/>
      </w:pPr>
      <w:r w:rsidRPr="00E3026F">
        <w:rPr>
          <w:u w:val="single"/>
        </w:rPr>
        <w:t>Interní kurzy</w:t>
      </w:r>
      <w:r w:rsidRPr="00E3026F">
        <w:t xml:space="preserve">: </w:t>
      </w:r>
    </w:p>
    <w:p w:rsidR="00E3026F" w:rsidRDefault="00E3026F" w:rsidP="00CA0FFC">
      <w:pPr>
        <w:spacing w:after="0"/>
        <w:contextualSpacing/>
        <w:jc w:val="both"/>
      </w:pPr>
      <w:r>
        <w:t>Z</w:t>
      </w:r>
      <w:r w:rsidRPr="00E3026F">
        <w:t xml:space="preserve"> podstatné části </w:t>
      </w:r>
      <w:r>
        <w:t xml:space="preserve">ho </w:t>
      </w:r>
      <w:r w:rsidRPr="00E3026F">
        <w:t>plánuje a řídí sama firma, která má též odpovědnost za jeho obsah.</w:t>
      </w:r>
      <w:r>
        <w:t xml:space="preserve"> </w:t>
      </w:r>
      <w:r w:rsidRPr="00E3026F">
        <w:t>Místo konání kurzu není rozhodující.</w:t>
      </w:r>
    </w:p>
    <w:p w:rsidR="00027D43" w:rsidRDefault="00027D43" w:rsidP="00CA0FFC">
      <w:pPr>
        <w:spacing w:after="0"/>
        <w:contextualSpacing/>
        <w:jc w:val="both"/>
      </w:pPr>
    </w:p>
    <w:p w:rsidR="00E3026F" w:rsidRDefault="00E3026F" w:rsidP="00CA0FFC">
      <w:pPr>
        <w:spacing w:after="0"/>
        <w:contextualSpacing/>
        <w:jc w:val="both"/>
      </w:pPr>
      <w:r w:rsidRPr="00E3026F">
        <w:rPr>
          <w:u w:val="single"/>
        </w:rPr>
        <w:t>Externí kurzy:</w:t>
      </w:r>
      <w:r>
        <w:t xml:space="preserve"> </w:t>
      </w:r>
    </w:p>
    <w:p w:rsidR="00E3026F" w:rsidRDefault="00E3026F" w:rsidP="00CA0FFC">
      <w:pPr>
        <w:spacing w:after="0"/>
        <w:contextualSpacing/>
        <w:jc w:val="both"/>
      </w:pPr>
      <w:r>
        <w:t>Z</w:t>
      </w:r>
      <w:r w:rsidRPr="00E3026F">
        <w:t xml:space="preserve"> podstatné části </w:t>
      </w:r>
      <w:r>
        <w:t xml:space="preserve">ho </w:t>
      </w:r>
      <w:r w:rsidRPr="00E3026F">
        <w:t>plánuje a řídí "třetí strana" neboli organizace, která není součást daného podniku. V</w:t>
      </w:r>
      <w:r w:rsidR="008C78A2">
        <w:t> </w:t>
      </w:r>
      <w:r w:rsidRPr="00E3026F">
        <w:t>tomto případě podnik nemá přímou odpovědnost za jeho obsah – podnik si pouze dané vzdělávání pro</w:t>
      </w:r>
      <w:r w:rsidR="00BC33C6">
        <w:t> </w:t>
      </w:r>
      <w:r w:rsidRPr="00E3026F">
        <w:t>zaměstnance vybere a objedná/zaplatí.</w:t>
      </w:r>
      <w:r>
        <w:t xml:space="preserve"> </w:t>
      </w:r>
      <w:r w:rsidRPr="00E3026F">
        <w:t>Místo konání kurzu není rozhodující.</w:t>
      </w:r>
    </w:p>
    <w:p w:rsidR="00027D43" w:rsidRDefault="00027D43" w:rsidP="00CA0FFC">
      <w:pPr>
        <w:spacing w:after="0"/>
        <w:contextualSpacing/>
        <w:jc w:val="both"/>
      </w:pPr>
    </w:p>
    <w:p w:rsidR="00E3026F" w:rsidRPr="00E3026F" w:rsidRDefault="00E3026F" w:rsidP="00CA0FFC">
      <w:pPr>
        <w:spacing w:after="0"/>
        <w:contextualSpacing/>
        <w:jc w:val="both"/>
        <w:rPr>
          <w:u w:val="single"/>
        </w:rPr>
      </w:pPr>
      <w:r w:rsidRPr="00E3026F">
        <w:rPr>
          <w:u w:val="single"/>
        </w:rPr>
        <w:t>Poskytovatel kurzu/školení</w:t>
      </w:r>
    </w:p>
    <w:p w:rsidR="00E3026F" w:rsidRDefault="00567470" w:rsidP="00CA0FFC">
      <w:pPr>
        <w:spacing w:after="0"/>
        <w:contextualSpacing/>
        <w:jc w:val="both"/>
      </w:pPr>
      <w:r>
        <w:t>je i</w:t>
      </w:r>
      <w:r w:rsidR="00E3026F">
        <w:t>nstituce, která připravila obsah kurzu/školení a nese hlavní zodpovědnost za jeho realizaci (např.</w:t>
      </w:r>
      <w:r w:rsidR="00BC33C6">
        <w:t> </w:t>
      </w:r>
      <w:r w:rsidR="00E3026F">
        <w:t>v</w:t>
      </w:r>
      <w:r w:rsidR="00BC33C6">
        <w:t> </w:t>
      </w:r>
      <w:r w:rsidR="00E3026F">
        <w:t>případě rekvalifikací jím tedy není Úřad práce, ale nasmlouvaná instituce, která rekvalifikaci po</w:t>
      </w:r>
      <w:r w:rsidR="00BC33C6">
        <w:t> </w:t>
      </w:r>
      <w:r w:rsidR="00E3026F">
        <w:t>odborné stránce zajistila</w:t>
      </w:r>
      <w:r>
        <w:t>)</w:t>
      </w:r>
      <w:r w:rsidR="00E3026F">
        <w:t>.</w:t>
      </w:r>
    </w:p>
    <w:p w:rsidR="00027D43" w:rsidRDefault="00027D43" w:rsidP="00CA0FFC">
      <w:pPr>
        <w:spacing w:after="0"/>
        <w:contextualSpacing/>
        <w:jc w:val="both"/>
      </w:pPr>
    </w:p>
    <w:p w:rsidR="00C84608" w:rsidRPr="00C84608" w:rsidRDefault="00C84608" w:rsidP="00CA0FFC">
      <w:pPr>
        <w:spacing w:after="0"/>
        <w:contextualSpacing/>
        <w:jc w:val="both"/>
        <w:rPr>
          <w:u w:val="single"/>
        </w:rPr>
      </w:pPr>
      <w:r w:rsidRPr="00C84608">
        <w:rPr>
          <w:u w:val="single"/>
        </w:rPr>
        <w:t>Celkový počet zaměstnanců zahrnuje:</w:t>
      </w:r>
    </w:p>
    <w:p w:rsidR="00C84608" w:rsidRDefault="00C84608" w:rsidP="00CA0FFC">
      <w:pPr>
        <w:spacing w:after="0"/>
        <w:contextualSpacing/>
        <w:jc w:val="both"/>
      </w:pPr>
      <w:r>
        <w:t xml:space="preserve">všechny stálé i dočasné zaměstnance, kteří jsou v pracovním, služebním nebo členském poměru (kde součástí členství je též pracovní vztah k zaměstnavateli; společníky ve společnostech s ručením omezeným, </w:t>
      </w:r>
      <w:proofErr w:type="spellStart"/>
      <w:r>
        <w:t>komandisty</w:t>
      </w:r>
      <w:proofErr w:type="spellEnd"/>
      <w:r>
        <w:t xml:space="preserve"> v komanditních společnostech apod., kteří mají uzavřenou pracovní smlouvu se svou společností, a jsou</w:t>
      </w:r>
      <w:r w:rsidR="00567470">
        <w:t xml:space="preserve"> k ní </w:t>
      </w:r>
      <w:r>
        <w:t xml:space="preserve">tudíž v pracovním poměru a dostávají příjem ze závislé činnosti. Do celkového počtu zaměstnanců k </w:t>
      </w:r>
      <w:proofErr w:type="gramStart"/>
      <w:r>
        <w:t>31.12.2015</w:t>
      </w:r>
      <w:proofErr w:type="gramEnd"/>
      <w:r>
        <w:t xml:space="preserve"> se zahrnují i pracovníci, kteří dočasně (krátkodobě) nejsou přítomni (např. jsou na nemocenské, placené dovolené, náhradním volnu apod.).</w:t>
      </w:r>
    </w:p>
    <w:p w:rsidR="00C84608" w:rsidRDefault="00C84608" w:rsidP="00CA0FFC">
      <w:pPr>
        <w:spacing w:after="0"/>
        <w:contextualSpacing/>
        <w:jc w:val="both"/>
      </w:pPr>
      <w:r>
        <w:t>Do celkového počtu zaměstnanců nejsou započítávány:</w:t>
      </w:r>
    </w:p>
    <w:p w:rsidR="00C84608" w:rsidRDefault="00C84608" w:rsidP="00CA0FFC">
      <w:pPr>
        <w:spacing w:after="0"/>
        <w:contextualSpacing/>
        <w:jc w:val="both"/>
      </w:pPr>
      <w:r>
        <w:t>osoby, které s podnikem uzavřely speciální smlouvu o poskytnutí praxe (učňovskou či jinou vzdělávací smlouvu); osoby, které pracují pro podnik, ale jsou placeny jinou společností (např. osoby zaměstnané nasmlouvanou firmou či zaměstnanci jiné společnosti, kteří dočasně působí v daném podniku); osoby pracující na dohody o pracích konaných mimo pracovní poměr; osoby, které po celou dobu referenčního období, tj. v roce 2015, nebyly přítomny v podniku a nedostávaly mzdu (např. osoby na rodičovské</w:t>
      </w:r>
      <w:r w:rsidR="00BC33C6">
        <w:t xml:space="preserve"> </w:t>
      </w:r>
      <w:r>
        <w:t>dovolené).</w:t>
      </w:r>
    </w:p>
    <w:p w:rsidR="00027D43" w:rsidRDefault="00027D43" w:rsidP="00CA0FFC">
      <w:pPr>
        <w:spacing w:after="0"/>
        <w:contextualSpacing/>
        <w:jc w:val="both"/>
      </w:pPr>
    </w:p>
    <w:p w:rsidR="000F4B71" w:rsidRPr="000F4B71" w:rsidRDefault="000F4B71" w:rsidP="00CA0FFC">
      <w:pPr>
        <w:spacing w:after="0"/>
        <w:contextualSpacing/>
        <w:jc w:val="both"/>
        <w:rPr>
          <w:u w:val="single"/>
        </w:rPr>
      </w:pPr>
      <w:r w:rsidRPr="000F4B71">
        <w:rPr>
          <w:u w:val="single"/>
        </w:rPr>
        <w:t>Celkový počet hodin</w:t>
      </w:r>
    </w:p>
    <w:p w:rsidR="000F4B71" w:rsidRDefault="000F4B71" w:rsidP="00CA0FFC">
      <w:pPr>
        <w:spacing w:after="0"/>
        <w:contextualSpacing/>
        <w:jc w:val="both"/>
      </w:pPr>
      <w:r>
        <w:t>strávených vzděláváním na kurzech/školeních by měl zahrnovat pouze skutečnou dobu vzdělávání, a to v</w:t>
      </w:r>
      <w:r w:rsidR="008C78A2">
        <w:t> </w:t>
      </w:r>
      <w:r>
        <w:t>rámci placeného pracovního času. Nepatří sem např. přestávky mezi jednotlivými lekcemi či školeními, které zaměstnanec věnoval své běžné práci, ani doba strávená dopravou na místo vzdělávání. Pokud se některé kurzy/školení konaly částečně i v jiném roce, započítává se pouze účast v roce 2015.</w:t>
      </w:r>
    </w:p>
    <w:p w:rsidR="00027D43" w:rsidRDefault="00027D43" w:rsidP="00CA0FFC">
      <w:pPr>
        <w:spacing w:after="0"/>
        <w:contextualSpacing/>
        <w:jc w:val="both"/>
      </w:pPr>
    </w:p>
    <w:p w:rsidR="00B560B3" w:rsidRPr="00B560B3" w:rsidRDefault="00B560B3" w:rsidP="00CA0FFC">
      <w:pPr>
        <w:spacing w:after="0"/>
        <w:contextualSpacing/>
        <w:jc w:val="both"/>
        <w:rPr>
          <w:u w:val="single"/>
        </w:rPr>
      </w:pPr>
      <w:r w:rsidRPr="00B560B3">
        <w:rPr>
          <w:u w:val="single"/>
        </w:rPr>
        <w:lastRenderedPageBreak/>
        <w:t>Vynaložené náklady za vzdělávání zahrnují:</w:t>
      </w:r>
    </w:p>
    <w:p w:rsidR="00B560B3" w:rsidRDefault="00B560B3" w:rsidP="00061007">
      <w:pPr>
        <w:autoSpaceDE w:val="0"/>
        <w:autoSpaceDN w:val="0"/>
        <w:adjustRightInd w:val="0"/>
        <w:spacing w:after="0"/>
        <w:jc w:val="both"/>
        <w:rPr>
          <w:rFonts w:eastAsia="Calibri" w:cs="Arial"/>
          <w:szCs w:val="18"/>
          <w:lang w:eastAsia="en-US"/>
        </w:rPr>
      </w:pPr>
      <w:r w:rsidRPr="00B560B3">
        <w:rPr>
          <w:rFonts w:eastAsia="Calibri" w:cs="Arial"/>
          <w:szCs w:val="18"/>
          <w:lang w:eastAsia="en-US"/>
        </w:rPr>
        <w:t>poplatky a platby za kurzy/školení pro zaměstnance; platby za cestovní náhrady (včetně ubytování a</w:t>
      </w:r>
      <w:r w:rsidR="008C78A2">
        <w:rPr>
          <w:rFonts w:eastAsia="Calibri" w:cs="Arial"/>
          <w:szCs w:val="18"/>
          <w:lang w:eastAsia="en-US"/>
        </w:rPr>
        <w:t> </w:t>
      </w:r>
      <w:r w:rsidRPr="00B560B3">
        <w:rPr>
          <w:rFonts w:eastAsia="Calibri" w:cs="Arial"/>
          <w:szCs w:val="18"/>
          <w:lang w:eastAsia="en-US"/>
        </w:rPr>
        <w:t>stravného) vynaložené za účelem účasti</w:t>
      </w:r>
      <w:r>
        <w:rPr>
          <w:rFonts w:eastAsia="Calibri" w:cs="Arial"/>
          <w:szCs w:val="18"/>
          <w:lang w:eastAsia="en-US"/>
        </w:rPr>
        <w:t xml:space="preserve"> </w:t>
      </w:r>
      <w:r w:rsidRPr="00B560B3">
        <w:rPr>
          <w:rFonts w:eastAsia="Calibri" w:cs="Arial"/>
          <w:szCs w:val="18"/>
          <w:lang w:eastAsia="en-US"/>
        </w:rPr>
        <w:t>zaměstnanců v kurzech/školeních; náklady práce interních školitelů v kurzech/školeních; náklady na vzdělávací střediska, učebny a jiné prostory podniku, ve kterých se konají</w:t>
      </w:r>
      <w:r w:rsidR="00061007">
        <w:rPr>
          <w:rFonts w:eastAsia="Calibri" w:cs="Arial"/>
          <w:szCs w:val="18"/>
          <w:lang w:eastAsia="en-US"/>
        </w:rPr>
        <w:t xml:space="preserve"> </w:t>
      </w:r>
      <w:r w:rsidRPr="00B560B3">
        <w:rPr>
          <w:rFonts w:eastAsia="Calibri" w:cs="Arial"/>
          <w:szCs w:val="18"/>
          <w:lang w:eastAsia="en-US"/>
        </w:rPr>
        <w:t>kurzy/školení, a náklady na učební materiály pro kurzy/školení</w:t>
      </w:r>
      <w:r>
        <w:rPr>
          <w:rFonts w:eastAsia="Calibri" w:cs="Arial"/>
          <w:szCs w:val="18"/>
          <w:lang w:eastAsia="en-US"/>
        </w:rPr>
        <w:t xml:space="preserve">; </w:t>
      </w:r>
      <w:r w:rsidRPr="00B560B3">
        <w:rPr>
          <w:rFonts w:eastAsia="Calibri" w:cs="Arial"/>
          <w:szCs w:val="18"/>
          <w:lang w:eastAsia="en-US"/>
        </w:rPr>
        <w:t>náklady na jiné formy vzdělávání než jsou kurzy/školení.</w:t>
      </w:r>
    </w:p>
    <w:p w:rsidR="00027D43" w:rsidRPr="00B560B3" w:rsidRDefault="00027D43" w:rsidP="00CA0FFC">
      <w:pPr>
        <w:spacing w:after="0"/>
        <w:contextualSpacing/>
        <w:jc w:val="both"/>
        <w:rPr>
          <w:rFonts w:cs="Arial"/>
          <w:sz w:val="22"/>
        </w:rPr>
      </w:pPr>
    </w:p>
    <w:p w:rsidR="00BA7247" w:rsidRDefault="00BA7247" w:rsidP="00CA0FFC">
      <w:pPr>
        <w:spacing w:after="0"/>
        <w:contextualSpacing/>
        <w:jc w:val="both"/>
      </w:pPr>
      <w:r w:rsidRPr="00BA7247">
        <w:rPr>
          <w:u w:val="single"/>
        </w:rPr>
        <w:t>Podpora počátečního odborného vzdělávání</w:t>
      </w:r>
      <w:r>
        <w:t xml:space="preserve"> znamená poskytování praktické výchovy žákům/studentům formálního vzdělávání směřujícího k získání výučního listu či maturitní zkoušky (příp. vzdělávání na</w:t>
      </w:r>
      <w:r w:rsidR="008C78A2">
        <w:t> </w:t>
      </w:r>
      <w:r>
        <w:t>konzervatořích), kteří jsou v podnicích na praxi.</w:t>
      </w:r>
    </w:p>
    <w:p w:rsidR="00027D43" w:rsidRDefault="00027D43" w:rsidP="00CA0FFC">
      <w:pPr>
        <w:spacing w:after="0"/>
        <w:contextualSpacing/>
        <w:jc w:val="both"/>
      </w:pPr>
    </w:p>
    <w:p w:rsidR="00487511" w:rsidRPr="00487511" w:rsidRDefault="00487511" w:rsidP="00CA0FFC">
      <w:pPr>
        <w:autoSpaceDE w:val="0"/>
        <w:autoSpaceDN w:val="0"/>
        <w:adjustRightInd w:val="0"/>
        <w:spacing w:after="0"/>
        <w:jc w:val="both"/>
        <w:rPr>
          <w:rFonts w:eastAsia="Calibri" w:cs="Arial"/>
          <w:szCs w:val="18"/>
          <w:lang w:eastAsia="en-US"/>
        </w:rPr>
      </w:pPr>
      <w:r w:rsidRPr="00487511">
        <w:rPr>
          <w:u w:val="single"/>
        </w:rPr>
        <w:t>Poskytování praktické výchovy</w:t>
      </w:r>
      <w:r>
        <w:rPr>
          <w:u w:val="single"/>
        </w:rPr>
        <w:t xml:space="preserve"> </w:t>
      </w:r>
      <w:r w:rsidRPr="00487511">
        <w:rPr>
          <w:rFonts w:eastAsia="Calibri" w:cs="Arial"/>
          <w:szCs w:val="18"/>
          <w:lang w:eastAsia="en-US"/>
        </w:rPr>
        <w:t>žákům/studentům počátečního o</w:t>
      </w:r>
      <w:r w:rsidR="00061007">
        <w:rPr>
          <w:rFonts w:eastAsia="Calibri" w:cs="Arial"/>
          <w:szCs w:val="18"/>
          <w:lang w:eastAsia="en-US"/>
        </w:rPr>
        <w:t xml:space="preserve">dborného vzdělávání v podnicích </w:t>
      </w:r>
      <w:r w:rsidR="00BE4E34">
        <w:rPr>
          <w:rFonts w:eastAsia="Calibri" w:cs="Arial"/>
          <w:szCs w:val="18"/>
          <w:lang w:eastAsia="en-US"/>
        </w:rPr>
        <w:t xml:space="preserve">je v šetření </w:t>
      </w:r>
      <w:r w:rsidRPr="00487511">
        <w:rPr>
          <w:rFonts w:eastAsia="Calibri" w:cs="Arial"/>
          <w:szCs w:val="18"/>
          <w:lang w:eastAsia="en-US"/>
        </w:rPr>
        <w:t xml:space="preserve">vymezeno </w:t>
      </w:r>
      <w:r w:rsidRPr="00487511">
        <w:rPr>
          <w:rFonts w:eastAsia="Calibri" w:cs="Arial"/>
          <w:bCs/>
          <w:szCs w:val="18"/>
          <w:lang w:eastAsia="en-US"/>
        </w:rPr>
        <w:t>následujícími podmínkami</w:t>
      </w:r>
      <w:r w:rsidRPr="00487511">
        <w:rPr>
          <w:rFonts w:eastAsia="Calibri" w:cs="Arial"/>
          <w:szCs w:val="18"/>
          <w:lang w:eastAsia="en-US"/>
        </w:rPr>
        <w:t>:</w:t>
      </w:r>
    </w:p>
    <w:p w:rsidR="00487511" w:rsidRPr="00487511" w:rsidRDefault="00487511" w:rsidP="00CA0FFC">
      <w:pPr>
        <w:autoSpaceDE w:val="0"/>
        <w:autoSpaceDN w:val="0"/>
        <w:adjustRightInd w:val="0"/>
        <w:spacing w:after="0"/>
        <w:jc w:val="both"/>
        <w:rPr>
          <w:rFonts w:eastAsia="Calibri" w:cs="Arial"/>
          <w:szCs w:val="18"/>
          <w:lang w:eastAsia="en-US"/>
        </w:rPr>
      </w:pPr>
      <w:r w:rsidRPr="00487511">
        <w:rPr>
          <w:rFonts w:eastAsia="Calibri" w:cs="Arial"/>
          <w:szCs w:val="18"/>
          <w:lang w:eastAsia="en-US"/>
        </w:rPr>
        <w:t>1. Zahrnuje opatření a činnosti související se vzděláváním a pracovní výukou poskytovanou žákům/studentům na praxi, kterou</w:t>
      </w:r>
      <w:r>
        <w:rPr>
          <w:rFonts w:eastAsia="Calibri" w:cs="Arial"/>
          <w:szCs w:val="18"/>
          <w:lang w:eastAsia="en-US"/>
        </w:rPr>
        <w:t xml:space="preserve"> </w:t>
      </w:r>
      <w:r w:rsidRPr="00487511">
        <w:rPr>
          <w:rFonts w:eastAsia="Calibri" w:cs="Arial"/>
          <w:szCs w:val="18"/>
          <w:lang w:eastAsia="en-US"/>
        </w:rPr>
        <w:t>získávají jakožto nedílnou složku své odborné přípravy na konkrétní povolání v rámci formálního vzdělávání směrujícího k</w:t>
      </w:r>
      <w:r>
        <w:rPr>
          <w:rFonts w:eastAsia="Calibri" w:cs="Arial"/>
          <w:szCs w:val="18"/>
          <w:lang w:eastAsia="en-US"/>
        </w:rPr>
        <w:t> </w:t>
      </w:r>
      <w:r w:rsidRPr="00487511">
        <w:rPr>
          <w:rFonts w:eastAsia="Calibri" w:cs="Arial"/>
          <w:szCs w:val="18"/>
          <w:lang w:eastAsia="en-US"/>
        </w:rPr>
        <w:t>získání</w:t>
      </w:r>
      <w:r>
        <w:rPr>
          <w:rFonts w:eastAsia="Calibri" w:cs="Arial"/>
          <w:szCs w:val="18"/>
          <w:lang w:eastAsia="en-US"/>
        </w:rPr>
        <w:t xml:space="preserve"> </w:t>
      </w:r>
      <w:r w:rsidRPr="00487511">
        <w:rPr>
          <w:rFonts w:eastAsia="Calibri" w:cs="Arial"/>
          <w:szCs w:val="18"/>
          <w:lang w:eastAsia="en-US"/>
        </w:rPr>
        <w:t>výučního listu či maturitní zkoušky, příp.</w:t>
      </w:r>
      <w:r w:rsidR="008C78A2">
        <w:rPr>
          <w:rFonts w:eastAsia="Calibri" w:cs="Arial"/>
          <w:szCs w:val="18"/>
          <w:lang w:eastAsia="en-US"/>
        </w:rPr>
        <w:t> </w:t>
      </w:r>
      <w:r w:rsidRPr="00487511">
        <w:rPr>
          <w:rFonts w:eastAsia="Calibri" w:cs="Arial"/>
          <w:szCs w:val="18"/>
          <w:lang w:eastAsia="en-US"/>
        </w:rPr>
        <w:t>v</w:t>
      </w:r>
      <w:r w:rsidR="008C78A2">
        <w:rPr>
          <w:rFonts w:eastAsia="Calibri" w:cs="Arial"/>
          <w:szCs w:val="18"/>
          <w:lang w:eastAsia="en-US"/>
        </w:rPr>
        <w:t> </w:t>
      </w:r>
      <w:r w:rsidRPr="00487511">
        <w:rPr>
          <w:rFonts w:eastAsia="Calibri" w:cs="Arial"/>
          <w:szCs w:val="18"/>
          <w:lang w:eastAsia="en-US"/>
        </w:rPr>
        <w:t>rámci vzdělávání na konzervatořích.</w:t>
      </w:r>
    </w:p>
    <w:p w:rsidR="00487511" w:rsidRPr="00487511" w:rsidRDefault="00487511" w:rsidP="00CA0FFC">
      <w:pPr>
        <w:autoSpaceDE w:val="0"/>
        <w:autoSpaceDN w:val="0"/>
        <w:adjustRightInd w:val="0"/>
        <w:spacing w:after="0"/>
        <w:jc w:val="both"/>
        <w:rPr>
          <w:rFonts w:eastAsia="Calibri" w:cs="Arial"/>
          <w:szCs w:val="18"/>
          <w:lang w:eastAsia="en-US"/>
        </w:rPr>
      </w:pPr>
      <w:r w:rsidRPr="00487511">
        <w:rPr>
          <w:rFonts w:eastAsia="Calibri" w:cs="Arial"/>
          <w:szCs w:val="18"/>
          <w:lang w:eastAsia="en-US"/>
        </w:rPr>
        <w:t>2. Žáci/studenti dostávají za svou práci v rámci odborné praxe nějakou formu finanční a/nebo materiální odměny (ať již od podniku</w:t>
      </w:r>
      <w:r w:rsidR="00061007">
        <w:rPr>
          <w:rFonts w:eastAsia="Calibri" w:cs="Arial"/>
          <w:szCs w:val="18"/>
          <w:lang w:eastAsia="en-US"/>
        </w:rPr>
        <w:t xml:space="preserve"> </w:t>
      </w:r>
      <w:r w:rsidRPr="00487511">
        <w:rPr>
          <w:rFonts w:eastAsia="Calibri" w:cs="Arial"/>
          <w:szCs w:val="18"/>
          <w:lang w:eastAsia="en-US"/>
        </w:rPr>
        <w:t>či od školy).</w:t>
      </w:r>
    </w:p>
    <w:p w:rsidR="00487511" w:rsidRPr="00487511" w:rsidRDefault="00487511" w:rsidP="00CA0FFC">
      <w:pPr>
        <w:autoSpaceDE w:val="0"/>
        <w:autoSpaceDN w:val="0"/>
        <w:adjustRightInd w:val="0"/>
        <w:spacing w:after="0"/>
        <w:jc w:val="both"/>
        <w:rPr>
          <w:rFonts w:cs="Arial"/>
          <w:sz w:val="22"/>
          <w:u w:val="single"/>
        </w:rPr>
      </w:pPr>
      <w:r w:rsidRPr="00487511">
        <w:rPr>
          <w:rFonts w:eastAsia="Calibri" w:cs="Arial"/>
          <w:szCs w:val="18"/>
          <w:lang w:eastAsia="en-US"/>
        </w:rPr>
        <w:t>3. Podrobnosti o vykonávané praxi (např. o druhu činnosti, trvání praxe, požadovaných dovednostech, které si má žák/student</w:t>
      </w:r>
      <w:r>
        <w:rPr>
          <w:rFonts w:eastAsia="Calibri" w:cs="Arial"/>
          <w:szCs w:val="18"/>
          <w:lang w:eastAsia="en-US"/>
        </w:rPr>
        <w:t xml:space="preserve"> </w:t>
      </w:r>
      <w:r w:rsidRPr="00487511">
        <w:rPr>
          <w:rFonts w:eastAsia="Calibri" w:cs="Arial"/>
          <w:szCs w:val="18"/>
          <w:lang w:eastAsia="en-US"/>
        </w:rPr>
        <w:t>osvojit, příp. o odměně za vykonanou práci)</w:t>
      </w:r>
      <w:r>
        <w:rPr>
          <w:rFonts w:eastAsia="Calibri" w:cs="Arial"/>
          <w:szCs w:val="18"/>
          <w:lang w:eastAsia="en-US"/>
        </w:rPr>
        <w:t>,</w:t>
      </w:r>
      <w:r w:rsidRPr="00487511">
        <w:rPr>
          <w:rFonts w:eastAsia="Calibri" w:cs="Arial"/>
          <w:szCs w:val="18"/>
          <w:lang w:eastAsia="en-US"/>
        </w:rPr>
        <w:t xml:space="preserve"> jsou předmětem smlouvy či formální dohody bud přímo</w:t>
      </w:r>
      <w:r>
        <w:rPr>
          <w:rFonts w:eastAsia="Calibri" w:cs="Arial"/>
          <w:szCs w:val="18"/>
          <w:lang w:eastAsia="en-US"/>
        </w:rPr>
        <w:t xml:space="preserve"> </w:t>
      </w:r>
      <w:r w:rsidRPr="00487511">
        <w:rPr>
          <w:rFonts w:eastAsia="Calibri" w:cs="Arial"/>
          <w:szCs w:val="18"/>
          <w:lang w:eastAsia="en-US"/>
        </w:rPr>
        <w:t>mezi podnikem a</w:t>
      </w:r>
      <w:r>
        <w:rPr>
          <w:rFonts w:eastAsia="Calibri" w:cs="Arial"/>
          <w:szCs w:val="18"/>
          <w:lang w:eastAsia="en-US"/>
        </w:rPr>
        <w:t xml:space="preserve"> </w:t>
      </w:r>
      <w:r w:rsidRPr="00487511">
        <w:rPr>
          <w:rFonts w:eastAsia="Calibri" w:cs="Arial"/>
          <w:szCs w:val="18"/>
          <w:lang w:eastAsia="en-US"/>
        </w:rPr>
        <w:t>žákem/studentem na praxi, nebo mezi podnikem a vzdělávací institucí, která žáka/studenta na praxi vysílá.</w:t>
      </w:r>
    </w:p>
    <w:p w:rsidR="00C84608" w:rsidRDefault="00C84608" w:rsidP="000F4B71">
      <w:pPr>
        <w:spacing w:after="0"/>
        <w:contextualSpacing/>
        <w:jc w:val="both"/>
      </w:pPr>
    </w:p>
    <w:p w:rsidR="00E3026F" w:rsidRDefault="00E3026F">
      <w:pPr>
        <w:spacing w:after="0" w:line="240" w:lineRule="auto"/>
      </w:pPr>
      <w:r>
        <w:br w:type="page"/>
      </w:r>
    </w:p>
    <w:p w:rsidR="002C19F8" w:rsidRPr="002C19F8" w:rsidRDefault="00787171" w:rsidP="00787171">
      <w:pPr>
        <w:pStyle w:val="Nadpis3"/>
      </w:pPr>
      <w:bookmarkStart w:id="212" w:name="_Toc496167674"/>
      <w:bookmarkStart w:id="213" w:name="_Toc496868196"/>
      <w:bookmarkStart w:id="214" w:name="_Toc499217158"/>
      <w:bookmarkStart w:id="215" w:name="_Ref501016875"/>
      <w:bookmarkStart w:id="216" w:name="_Toc501093114"/>
      <w:bookmarkStart w:id="217" w:name="_Toc501614135"/>
      <w:bookmarkStart w:id="218" w:name="_Toc485292321"/>
      <w:r>
        <w:lastRenderedPageBreak/>
        <w:t xml:space="preserve">Příloha č. </w:t>
      </w:r>
      <w:r w:rsidR="007C3A3E">
        <w:fldChar w:fldCharType="begin"/>
      </w:r>
      <w:r w:rsidR="00C84608">
        <w:instrText xml:space="preserve"> SEQ Příloha_č. \* ARABIC </w:instrText>
      </w:r>
      <w:r w:rsidR="007C3A3E">
        <w:fldChar w:fldCharType="separate"/>
      </w:r>
      <w:r w:rsidR="00476EDB">
        <w:rPr>
          <w:noProof/>
        </w:rPr>
        <w:t>2</w:t>
      </w:r>
      <w:r w:rsidR="007C3A3E">
        <w:rPr>
          <w:noProof/>
        </w:rPr>
        <w:fldChar w:fldCharType="end"/>
      </w:r>
      <w:r w:rsidR="0072018E">
        <w:rPr>
          <w:noProof/>
        </w:rPr>
        <w:t>:</w:t>
      </w:r>
      <w:r w:rsidR="002C19F8" w:rsidRPr="002C19F8">
        <w:t xml:space="preserve"> </w:t>
      </w:r>
      <w:r w:rsidR="002C19F8">
        <w:t>Seznam zahrnutých NACE</w:t>
      </w:r>
      <w:bookmarkEnd w:id="212"/>
      <w:bookmarkEnd w:id="213"/>
      <w:bookmarkEnd w:id="214"/>
      <w:bookmarkEnd w:id="215"/>
      <w:bookmarkEnd w:id="216"/>
      <w:bookmarkEnd w:id="217"/>
    </w:p>
    <w:tbl>
      <w:tblPr>
        <w:tblW w:w="9306" w:type="dxa"/>
        <w:tblInd w:w="55" w:type="dxa"/>
        <w:tblCellMar>
          <w:left w:w="70" w:type="dxa"/>
          <w:right w:w="70" w:type="dxa"/>
        </w:tblCellMar>
        <w:tblLook w:val="04A0" w:firstRow="1" w:lastRow="0" w:firstColumn="1" w:lastColumn="0" w:noHBand="0" w:noVBand="1"/>
      </w:tblPr>
      <w:tblGrid>
        <w:gridCol w:w="9306"/>
      </w:tblGrid>
      <w:tr w:rsidR="002C19F8" w:rsidRPr="0010021E" w:rsidTr="00F23B1D">
        <w:trPr>
          <w:trHeight w:val="390"/>
        </w:trPr>
        <w:tc>
          <w:tcPr>
            <w:tcW w:w="9306" w:type="dxa"/>
            <w:tcBorders>
              <w:top w:val="nil"/>
              <w:left w:val="nil"/>
              <w:bottom w:val="nil"/>
              <w:right w:val="nil"/>
            </w:tcBorders>
            <w:shd w:val="clear" w:color="000000" w:fill="FEACB4"/>
            <w:noWrap/>
            <w:vAlign w:val="bottom"/>
            <w:hideMark/>
          </w:tcPr>
          <w:bookmarkEnd w:id="218"/>
          <w:p w:rsidR="002C19F8" w:rsidRPr="0010021E" w:rsidRDefault="00B57A8F" w:rsidP="00D73AB5">
            <w:pPr>
              <w:spacing w:after="0" w:line="240" w:lineRule="auto"/>
              <w:rPr>
                <w:rFonts w:cs="Arial"/>
                <w:b/>
                <w:bCs/>
                <w:i/>
                <w:iCs/>
                <w:szCs w:val="18"/>
              </w:rPr>
            </w:pPr>
            <w:r>
              <w:rPr>
                <w:rFonts w:cs="Arial"/>
                <w:b/>
                <w:bCs/>
                <w:i/>
                <w:iCs/>
                <w:szCs w:val="18"/>
              </w:rPr>
              <w:t>Sledovaná</w:t>
            </w:r>
            <w:r w:rsidR="002C19F8" w:rsidRPr="0010021E">
              <w:rPr>
                <w:rFonts w:cs="Arial"/>
                <w:b/>
                <w:bCs/>
                <w:i/>
                <w:iCs/>
                <w:szCs w:val="18"/>
              </w:rPr>
              <w:t xml:space="preserve"> odvětví (</w:t>
            </w:r>
            <w:proofErr w:type="gramStart"/>
            <w:r w:rsidR="002C19F8" w:rsidRPr="0010021E">
              <w:rPr>
                <w:rFonts w:cs="Arial"/>
                <w:b/>
                <w:bCs/>
                <w:i/>
                <w:iCs/>
                <w:szCs w:val="18"/>
              </w:rPr>
              <w:t>CZ</w:t>
            </w:r>
            <w:proofErr w:type="gramEnd"/>
            <w:r w:rsidR="00D73AB5">
              <w:rPr>
                <w:rFonts w:cs="Arial"/>
                <w:b/>
                <w:bCs/>
                <w:i/>
                <w:iCs/>
                <w:szCs w:val="18"/>
              </w:rPr>
              <w:t>–</w:t>
            </w:r>
            <w:proofErr w:type="gramStart"/>
            <w:r w:rsidR="002C19F8" w:rsidRPr="0010021E">
              <w:rPr>
                <w:rFonts w:cs="Arial"/>
                <w:b/>
                <w:bCs/>
                <w:i/>
                <w:iCs/>
                <w:szCs w:val="18"/>
              </w:rPr>
              <w:t>NACE</w:t>
            </w:r>
            <w:proofErr w:type="gramEnd"/>
            <w:r w:rsidR="002C19F8" w:rsidRPr="0010021E">
              <w:rPr>
                <w:rFonts w:cs="Arial"/>
                <w:b/>
                <w:bCs/>
                <w:i/>
                <w:iCs/>
                <w:szCs w:val="18"/>
              </w:rPr>
              <w:t>)</w:t>
            </w:r>
          </w:p>
        </w:tc>
      </w:tr>
      <w:tr w:rsidR="002C19F8" w:rsidRPr="0010021E" w:rsidTr="00B57A8F">
        <w:trPr>
          <w:trHeight w:val="391"/>
        </w:trPr>
        <w:tc>
          <w:tcPr>
            <w:tcW w:w="9306" w:type="dxa"/>
            <w:tcBorders>
              <w:top w:val="nil"/>
              <w:left w:val="nil"/>
              <w:bottom w:val="nil"/>
              <w:right w:val="nil"/>
            </w:tcBorders>
            <w:shd w:val="clear" w:color="auto" w:fill="auto"/>
            <w:noWrap/>
            <w:vAlign w:val="center"/>
            <w:hideMark/>
          </w:tcPr>
          <w:p w:rsidR="002C19F8" w:rsidRPr="0010021E" w:rsidRDefault="00D73AB5" w:rsidP="00F23B1D">
            <w:pPr>
              <w:spacing w:after="0" w:line="240" w:lineRule="auto"/>
              <w:contextualSpacing/>
              <w:rPr>
                <w:rFonts w:cs="Arial"/>
                <w:b/>
                <w:bCs/>
                <w:color w:val="000000"/>
                <w:szCs w:val="18"/>
              </w:rPr>
            </w:pPr>
            <w:r>
              <w:rPr>
                <w:rFonts w:cs="Arial"/>
                <w:b/>
                <w:bCs/>
                <w:color w:val="000000"/>
                <w:szCs w:val="18"/>
              </w:rPr>
              <w:t xml:space="preserve"> Těžba a dobývání – B (05–</w:t>
            </w:r>
            <w:r w:rsidR="002C19F8" w:rsidRPr="0010021E">
              <w:rPr>
                <w:rFonts w:cs="Arial"/>
                <w:b/>
                <w:bCs/>
                <w:color w:val="000000"/>
                <w:szCs w:val="18"/>
              </w:rPr>
              <w:t>09)</w:t>
            </w:r>
          </w:p>
        </w:tc>
      </w:tr>
      <w:tr w:rsidR="002C19F8" w:rsidRPr="0010021E" w:rsidTr="00B57A8F">
        <w:trPr>
          <w:trHeight w:val="391"/>
        </w:trPr>
        <w:tc>
          <w:tcPr>
            <w:tcW w:w="9306" w:type="dxa"/>
            <w:tcBorders>
              <w:top w:val="nil"/>
              <w:left w:val="nil"/>
              <w:bottom w:val="nil"/>
              <w:right w:val="nil"/>
            </w:tcBorders>
            <w:shd w:val="clear" w:color="auto" w:fill="auto"/>
            <w:noWrap/>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Zpracovatelský průmysl – C (10–33)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Potravinářský, nápojový a tabákový průmysl (10–12)</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Textilní, oděvní, kožedělní a obuvnický průmysl (13–15)</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Dřevozpracující a papírenský průmysl (16–18)</w:t>
            </w:r>
          </w:p>
        </w:tc>
      </w:tr>
      <w:tr w:rsidR="002C19F8" w:rsidRPr="0010021E" w:rsidTr="00B57A8F">
        <w:trPr>
          <w:trHeight w:val="391"/>
        </w:trPr>
        <w:tc>
          <w:tcPr>
            <w:tcW w:w="9306" w:type="dxa"/>
            <w:tcBorders>
              <w:top w:val="nil"/>
              <w:left w:val="nil"/>
              <w:bottom w:val="nil"/>
              <w:right w:val="nil"/>
            </w:tcBorders>
            <w:shd w:val="clear" w:color="auto" w:fill="auto"/>
            <w:noWrap/>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Chemický, farmaceutický, gumárenský, plastikářský a sklářský průmysl (19–23)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szCs w:val="18"/>
              </w:rPr>
            </w:pPr>
            <w:r w:rsidRPr="0010021E">
              <w:rPr>
                <w:rFonts w:cs="Arial"/>
                <w:szCs w:val="18"/>
              </w:rPr>
              <w:t>Metalurgic</w:t>
            </w:r>
            <w:r w:rsidR="00D73AB5">
              <w:rPr>
                <w:rFonts w:cs="Arial"/>
                <w:szCs w:val="18"/>
              </w:rPr>
              <w:t>ký a kovozpracující průmysl (24–</w:t>
            </w:r>
            <w:r w:rsidRPr="0010021E">
              <w:rPr>
                <w:rFonts w:cs="Arial"/>
                <w:szCs w:val="18"/>
              </w:rPr>
              <w:t>25)</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0847CB" w:rsidP="00F23B1D">
            <w:pPr>
              <w:spacing w:after="0" w:line="240" w:lineRule="auto"/>
              <w:ind w:firstLineChars="100" w:firstLine="200"/>
              <w:contextualSpacing/>
              <w:rPr>
                <w:rFonts w:cs="Arial"/>
                <w:color w:val="000000"/>
                <w:szCs w:val="18"/>
              </w:rPr>
            </w:pPr>
            <w:r>
              <w:rPr>
                <w:rFonts w:cs="Arial"/>
                <w:color w:val="000000"/>
                <w:szCs w:val="18"/>
              </w:rPr>
              <w:t>Elektronický průmysl –</w:t>
            </w:r>
            <w:r w:rsidR="002C19F8" w:rsidRPr="0010021E">
              <w:rPr>
                <w:rFonts w:cs="Arial"/>
                <w:color w:val="000000"/>
                <w:szCs w:val="18"/>
              </w:rPr>
              <w:t xml:space="preserve"> Výroba počítačů, elektronických a optických přístrojů a zařízení (26)</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D73AB5">
            <w:pPr>
              <w:spacing w:after="0" w:line="240" w:lineRule="auto"/>
              <w:ind w:firstLineChars="100" w:firstLine="200"/>
              <w:contextualSpacing/>
              <w:rPr>
                <w:rFonts w:cs="Arial"/>
                <w:szCs w:val="18"/>
              </w:rPr>
            </w:pPr>
            <w:r w:rsidRPr="0010021E">
              <w:rPr>
                <w:rFonts w:cs="Arial"/>
                <w:szCs w:val="18"/>
              </w:rPr>
              <w:t>Elektrotechnický a strojírenský průmysl (27</w:t>
            </w:r>
            <w:r w:rsidR="00D73AB5">
              <w:rPr>
                <w:rFonts w:cs="Arial"/>
                <w:szCs w:val="18"/>
              </w:rPr>
              <w:t>–</w:t>
            </w:r>
            <w:r w:rsidRPr="0010021E">
              <w:rPr>
                <w:rFonts w:cs="Arial"/>
                <w:szCs w:val="18"/>
              </w:rPr>
              <w:t>28)</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Automobilový průmysl a výroba ostatních dopravních prostředků (29–30)</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D73AB5">
            <w:pPr>
              <w:spacing w:after="0" w:line="240" w:lineRule="auto"/>
              <w:ind w:firstLineChars="100" w:firstLine="200"/>
              <w:contextualSpacing/>
              <w:rPr>
                <w:rFonts w:cs="Arial"/>
                <w:color w:val="000000"/>
                <w:szCs w:val="18"/>
              </w:rPr>
            </w:pPr>
            <w:r w:rsidRPr="0010021E">
              <w:rPr>
                <w:rFonts w:cs="Arial"/>
                <w:color w:val="000000"/>
                <w:szCs w:val="18"/>
              </w:rPr>
              <w:t>Ostatní odvětví zpracovatelského průmyslu (31</w:t>
            </w:r>
            <w:r w:rsidR="00D73AB5">
              <w:rPr>
                <w:rFonts w:cs="Arial"/>
                <w:color w:val="000000"/>
                <w:szCs w:val="18"/>
              </w:rPr>
              <w:t>–</w:t>
            </w:r>
            <w:r w:rsidRPr="0010021E">
              <w:rPr>
                <w:rFonts w:cs="Arial"/>
                <w:color w:val="000000"/>
                <w:szCs w:val="18"/>
              </w:rPr>
              <w:t>33)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B57A8F">
            <w:pPr>
              <w:spacing w:after="0" w:line="240" w:lineRule="auto"/>
              <w:contextualSpacing/>
              <w:rPr>
                <w:rFonts w:cs="Arial"/>
                <w:b/>
                <w:bCs/>
                <w:color w:val="000000"/>
                <w:szCs w:val="18"/>
              </w:rPr>
            </w:pPr>
            <w:r w:rsidRPr="0010021E">
              <w:rPr>
                <w:rFonts w:cs="Arial"/>
                <w:b/>
                <w:bCs/>
                <w:color w:val="000000"/>
                <w:szCs w:val="18"/>
              </w:rPr>
              <w:t xml:space="preserve"> Výroba a rozvod energie, plynu, vody, tepla a činn</w:t>
            </w:r>
            <w:r w:rsidR="00B57A8F">
              <w:rPr>
                <w:rFonts w:cs="Arial"/>
                <w:b/>
                <w:bCs/>
                <w:color w:val="000000"/>
                <w:szCs w:val="18"/>
              </w:rPr>
              <w:t>osti</w:t>
            </w:r>
            <w:r w:rsidRPr="0010021E">
              <w:rPr>
                <w:rFonts w:cs="Arial"/>
                <w:b/>
                <w:bCs/>
                <w:color w:val="000000"/>
                <w:szCs w:val="18"/>
              </w:rPr>
              <w:t xml:space="preserve"> související s odpady – D, E (35–39)  </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Stavebnictví – F (41–43)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Velkoobchod a maloobchod; opravy a údržba motorových vozidel – G (45–47)</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Velkoobchod, maloobchod a opravy motorových vozidel (45)</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Velkoobchod, kromě motorových vozidel (46)</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Maloobchod, kromě motorových vozidel (47)</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Doprava a skladování – H (49–53)            </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Ubytování, stravování a pohostinství – I (55–56)</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Ubytování (55)</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Stravování a pohostinství (56)</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Informační a komunikační činnosti – J (58–63)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Činnosti v oblasti vydavatelství, filmu, videozáznamů a televizních programů (58–60)</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Telekomunikační činnosti (61)</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Činnosti v oblasti informačních technologií; Informační činnosti (62–63)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Peněž</w:t>
            </w:r>
            <w:r w:rsidR="000847CB">
              <w:rPr>
                <w:rFonts w:cs="Arial"/>
                <w:b/>
                <w:bCs/>
                <w:color w:val="000000"/>
                <w:szCs w:val="18"/>
              </w:rPr>
              <w:t>nictví a pojišťovnictví – K (64–</w:t>
            </w:r>
            <w:r w:rsidRPr="0010021E">
              <w:rPr>
                <w:rFonts w:cs="Arial"/>
                <w:b/>
                <w:bCs/>
                <w:color w:val="000000"/>
                <w:szCs w:val="18"/>
              </w:rPr>
              <w:t>66)</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Činnosti v oblasti nemovitostí – L (68)</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Profesní, vědecké a technické činnosti – M (69–75)</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contextualSpacing/>
              <w:rPr>
                <w:rFonts w:cs="Arial"/>
                <w:b/>
                <w:bCs/>
                <w:color w:val="000000"/>
                <w:szCs w:val="18"/>
              </w:rPr>
            </w:pPr>
            <w:r w:rsidRPr="0010021E">
              <w:rPr>
                <w:rFonts w:cs="Arial"/>
                <w:b/>
                <w:bCs/>
                <w:color w:val="000000"/>
                <w:szCs w:val="18"/>
              </w:rPr>
              <w:t xml:space="preserve"> Administrativní a podpůrné činnosti – N (77–82)</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Činnosti cestovních agentur a kanceláří (79)</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F23B1D">
            <w:pPr>
              <w:spacing w:after="0" w:line="240" w:lineRule="auto"/>
              <w:ind w:firstLineChars="100" w:firstLine="200"/>
              <w:contextualSpacing/>
              <w:rPr>
                <w:rFonts w:cs="Arial"/>
                <w:color w:val="000000"/>
                <w:szCs w:val="18"/>
              </w:rPr>
            </w:pPr>
            <w:r w:rsidRPr="0010021E">
              <w:rPr>
                <w:rFonts w:cs="Arial"/>
                <w:color w:val="000000"/>
                <w:szCs w:val="18"/>
              </w:rPr>
              <w:t>Ostatní administrativní a podpůrné činnosti (77–78, 80–82)</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0847CB">
            <w:pPr>
              <w:spacing w:after="0" w:line="240" w:lineRule="auto"/>
              <w:contextualSpacing/>
              <w:rPr>
                <w:rFonts w:cs="Arial"/>
                <w:b/>
                <w:bCs/>
                <w:color w:val="000000"/>
                <w:szCs w:val="18"/>
              </w:rPr>
            </w:pPr>
            <w:r w:rsidRPr="0010021E">
              <w:rPr>
                <w:rFonts w:cs="Arial"/>
                <w:b/>
                <w:bCs/>
                <w:color w:val="000000"/>
                <w:szCs w:val="18"/>
              </w:rPr>
              <w:t xml:space="preserve"> Kulturní, zábavní a rekreační činnost </w:t>
            </w:r>
            <w:r w:rsidR="000847CB">
              <w:rPr>
                <w:rFonts w:cs="Arial"/>
                <w:b/>
                <w:bCs/>
                <w:color w:val="000000"/>
                <w:szCs w:val="18"/>
              </w:rPr>
              <w:t>–</w:t>
            </w:r>
            <w:r w:rsidRPr="0010021E">
              <w:rPr>
                <w:rFonts w:cs="Arial"/>
                <w:b/>
                <w:bCs/>
                <w:color w:val="000000"/>
                <w:szCs w:val="18"/>
              </w:rPr>
              <w:t xml:space="preserve"> R (90</w:t>
            </w:r>
            <w:r w:rsidR="000847CB">
              <w:rPr>
                <w:rFonts w:cs="Arial"/>
                <w:b/>
                <w:bCs/>
                <w:color w:val="000000"/>
                <w:szCs w:val="18"/>
              </w:rPr>
              <w:t>–</w:t>
            </w:r>
            <w:r w:rsidRPr="0010021E">
              <w:rPr>
                <w:rFonts w:cs="Arial"/>
                <w:b/>
                <w:bCs/>
                <w:color w:val="000000"/>
                <w:szCs w:val="18"/>
              </w:rPr>
              <w:t>93)</w:t>
            </w:r>
          </w:p>
        </w:tc>
      </w:tr>
      <w:tr w:rsidR="002C19F8" w:rsidRPr="0010021E" w:rsidTr="00B57A8F">
        <w:trPr>
          <w:trHeight w:val="391"/>
        </w:trPr>
        <w:tc>
          <w:tcPr>
            <w:tcW w:w="9306" w:type="dxa"/>
            <w:tcBorders>
              <w:top w:val="nil"/>
              <w:left w:val="nil"/>
              <w:bottom w:val="nil"/>
              <w:right w:val="nil"/>
            </w:tcBorders>
            <w:shd w:val="clear" w:color="auto" w:fill="auto"/>
            <w:vAlign w:val="center"/>
            <w:hideMark/>
          </w:tcPr>
          <w:p w:rsidR="002C19F8" w:rsidRPr="0010021E" w:rsidRDefault="002C19F8" w:rsidP="000847CB">
            <w:pPr>
              <w:spacing w:after="0" w:line="240" w:lineRule="auto"/>
              <w:contextualSpacing/>
              <w:rPr>
                <w:rFonts w:cs="Arial"/>
                <w:b/>
                <w:bCs/>
                <w:color w:val="000000"/>
                <w:szCs w:val="18"/>
              </w:rPr>
            </w:pPr>
            <w:r w:rsidRPr="0010021E">
              <w:rPr>
                <w:rFonts w:cs="Arial"/>
                <w:b/>
                <w:bCs/>
                <w:color w:val="000000"/>
                <w:szCs w:val="18"/>
              </w:rPr>
              <w:t xml:space="preserve"> Ostatní činnosti </w:t>
            </w:r>
            <w:r w:rsidR="000847CB">
              <w:rPr>
                <w:rFonts w:cs="Arial"/>
                <w:b/>
                <w:bCs/>
                <w:color w:val="000000"/>
                <w:szCs w:val="18"/>
              </w:rPr>
              <w:t>– S (94–</w:t>
            </w:r>
            <w:r w:rsidRPr="0010021E">
              <w:rPr>
                <w:rFonts w:cs="Arial"/>
                <w:b/>
                <w:bCs/>
                <w:color w:val="000000"/>
                <w:szCs w:val="18"/>
              </w:rPr>
              <w:t>96)</w:t>
            </w:r>
          </w:p>
        </w:tc>
      </w:tr>
    </w:tbl>
    <w:p w:rsidR="00492F74" w:rsidRDefault="00492F74">
      <w:pPr>
        <w:spacing w:after="0" w:line="240" w:lineRule="auto"/>
        <w:rPr>
          <w:rFonts w:eastAsia="MS Gothic"/>
          <w:b/>
          <w:bCs/>
          <w:color w:val="BC091B"/>
          <w:sz w:val="24"/>
        </w:rPr>
      </w:pPr>
      <w:bookmarkStart w:id="219" w:name="_Toc485292322"/>
      <w:bookmarkStart w:id="220" w:name="_Toc496167675"/>
      <w:r>
        <w:br w:type="page"/>
      </w:r>
    </w:p>
    <w:p w:rsidR="00022667" w:rsidRDefault="00787171" w:rsidP="00787171">
      <w:pPr>
        <w:pStyle w:val="Nadpis3"/>
      </w:pPr>
      <w:bookmarkStart w:id="221" w:name="_Toc485292323"/>
      <w:bookmarkStart w:id="222" w:name="_Toc496167676"/>
      <w:bookmarkStart w:id="223" w:name="_Ref496174280"/>
      <w:bookmarkStart w:id="224" w:name="_Toc496868198"/>
      <w:bookmarkStart w:id="225" w:name="_Toc499217160"/>
      <w:bookmarkStart w:id="226" w:name="_Ref499624772"/>
      <w:bookmarkStart w:id="227" w:name="_Ref501090442"/>
      <w:bookmarkStart w:id="228" w:name="_Toc501093116"/>
      <w:bookmarkStart w:id="229" w:name="_Toc501614136"/>
      <w:bookmarkEnd w:id="219"/>
      <w:bookmarkEnd w:id="220"/>
      <w:r>
        <w:lastRenderedPageBreak/>
        <w:t>Příloha č.</w:t>
      </w:r>
      <w:r w:rsidR="0072018E">
        <w:t xml:space="preserve"> 3</w:t>
      </w:r>
      <w:r w:rsidR="002C19F8" w:rsidRPr="002C19F8">
        <w:t xml:space="preserve">: </w:t>
      </w:r>
      <w:r w:rsidR="002C19F8" w:rsidRPr="002268FE">
        <w:t>Tabulková příloha</w:t>
      </w:r>
      <w:bookmarkEnd w:id="221"/>
      <w:bookmarkEnd w:id="222"/>
      <w:bookmarkEnd w:id="223"/>
      <w:bookmarkEnd w:id="224"/>
      <w:bookmarkEnd w:id="225"/>
      <w:bookmarkEnd w:id="226"/>
      <w:bookmarkEnd w:id="227"/>
      <w:bookmarkEnd w:id="228"/>
      <w:bookmarkEnd w:id="229"/>
    </w:p>
    <w:p w:rsidR="00022667" w:rsidRDefault="00022667" w:rsidP="00022667"/>
    <w:p w:rsidR="00CA6516" w:rsidRDefault="00CA6516" w:rsidP="00CA6516">
      <w:pPr>
        <w:spacing w:after="0"/>
      </w:pPr>
      <w:r>
        <w:t>Tabulka č. 1</w:t>
      </w:r>
      <w:r>
        <w:tab/>
        <w:t>Firmy zajišťující kurzy/školení a jiné formy vzdělávání</w:t>
      </w:r>
    </w:p>
    <w:p w:rsidR="00CA6516" w:rsidRDefault="00CA6516" w:rsidP="00CA6516">
      <w:pPr>
        <w:spacing w:after="0"/>
      </w:pPr>
      <w:r>
        <w:tab/>
      </w:r>
    </w:p>
    <w:p w:rsidR="00CA6516" w:rsidRPr="00CA6516" w:rsidRDefault="00CA6516" w:rsidP="00CA6516">
      <w:pPr>
        <w:spacing w:after="0"/>
        <w:rPr>
          <w:rFonts w:eastAsia="MS Gothic"/>
          <w:b/>
          <w:bCs/>
          <w:color w:val="BC091B"/>
          <w:sz w:val="24"/>
        </w:rPr>
      </w:pPr>
      <w:r w:rsidRPr="00CA6516">
        <w:rPr>
          <w:rFonts w:eastAsia="MS Gothic"/>
          <w:b/>
          <w:bCs/>
          <w:color w:val="BC091B"/>
          <w:sz w:val="24"/>
        </w:rPr>
        <w:tab/>
      </w:r>
      <w:r w:rsidRPr="00CA6516">
        <w:rPr>
          <w:rFonts w:eastAsia="MS Gothic"/>
          <w:b/>
          <w:bCs/>
          <w:color w:val="BC091B"/>
          <w:sz w:val="24"/>
        </w:rPr>
        <w:tab/>
      </w:r>
      <w:r w:rsidRPr="00CA6516">
        <w:rPr>
          <w:rFonts w:eastAsia="MS Gothic"/>
          <w:b/>
          <w:bCs/>
          <w:color w:val="BC091B"/>
        </w:rPr>
        <w:t>Kurzy a školení</w:t>
      </w:r>
    </w:p>
    <w:p w:rsidR="00CA6516" w:rsidRDefault="00CA6516" w:rsidP="00CA6516">
      <w:pPr>
        <w:spacing w:after="0"/>
      </w:pPr>
      <w:r>
        <w:t>Tabulka č. 2a</w:t>
      </w:r>
      <w:r>
        <w:tab/>
        <w:t>Účast zaměstnanců na kurzech/školeních (zaměstnanců všech firem)</w:t>
      </w:r>
    </w:p>
    <w:p w:rsidR="00CA6516" w:rsidRDefault="00CA6516" w:rsidP="00CA6516">
      <w:pPr>
        <w:spacing w:after="0"/>
        <w:ind w:left="1410" w:hanging="1410"/>
      </w:pPr>
      <w:r>
        <w:t>Tabulka č. 2b</w:t>
      </w:r>
      <w:r>
        <w:tab/>
        <w:t xml:space="preserve">Účast zaměstnanců na kurzech/školeních </w:t>
      </w:r>
    </w:p>
    <w:p w:rsidR="00CA6516" w:rsidRDefault="00CA6516" w:rsidP="00CA6516">
      <w:pPr>
        <w:spacing w:after="0"/>
        <w:ind w:left="1410"/>
      </w:pPr>
      <w:r>
        <w:t>(pouze zaměstnanců firem poskytujících kurzy/školení)</w:t>
      </w:r>
    </w:p>
    <w:p w:rsidR="00CA6516" w:rsidRDefault="00CA6516" w:rsidP="00CA6516">
      <w:pPr>
        <w:spacing w:after="0"/>
      </w:pPr>
      <w:r>
        <w:t>Tabulka č. 3a</w:t>
      </w:r>
      <w:r>
        <w:tab/>
        <w:t>Účast zaměstnanců na kurzech/školeních podle pohlaví a věku (zaměstnanců všech firem)</w:t>
      </w:r>
    </w:p>
    <w:p w:rsidR="00CA6516" w:rsidRDefault="00CA6516" w:rsidP="00CA6516">
      <w:pPr>
        <w:spacing w:after="0"/>
        <w:ind w:left="1410" w:hanging="1410"/>
      </w:pPr>
      <w:r>
        <w:t>Tabulka č. 3b</w:t>
      </w:r>
      <w:r>
        <w:tab/>
        <w:t xml:space="preserve">Účast zaměstnanců na kurzech/školeních podle pohlaví a věku </w:t>
      </w:r>
    </w:p>
    <w:p w:rsidR="00CA6516" w:rsidRDefault="00CA6516" w:rsidP="00CA6516">
      <w:pPr>
        <w:spacing w:after="0"/>
        <w:ind w:left="1410"/>
      </w:pPr>
      <w:r>
        <w:t>(pouze zaměstnanců firem poskytujících kurzy/školení)</w:t>
      </w:r>
    </w:p>
    <w:p w:rsidR="00CA6516" w:rsidRDefault="00CA6516" w:rsidP="00CA6516">
      <w:pPr>
        <w:spacing w:after="0"/>
      </w:pPr>
      <w:r>
        <w:t>Tabulka č. 4</w:t>
      </w:r>
      <w:r>
        <w:tab/>
        <w:t>Firmy zajišťující interní a externí kurzy/školení</w:t>
      </w:r>
    </w:p>
    <w:p w:rsidR="00CA6516" w:rsidRDefault="00CA6516" w:rsidP="00CA6516">
      <w:pPr>
        <w:spacing w:after="0"/>
      </w:pPr>
      <w:r>
        <w:t>Tabulka č. 5</w:t>
      </w:r>
      <w:r>
        <w:tab/>
        <w:t>Hlavní poskytovatelé externích kurzů</w:t>
      </w:r>
    </w:p>
    <w:p w:rsidR="00CA6516" w:rsidRDefault="00CA6516" w:rsidP="00CA6516">
      <w:pPr>
        <w:spacing w:after="0"/>
      </w:pPr>
      <w:r>
        <w:t>Tabulka č. 6</w:t>
      </w:r>
      <w:r>
        <w:tab/>
        <w:t>Témata nejčastějších nepovinných kurzů/školení</w:t>
      </w:r>
    </w:p>
    <w:p w:rsidR="00CA6516" w:rsidRDefault="00CA6516" w:rsidP="00CA6516">
      <w:pPr>
        <w:spacing w:after="0"/>
      </w:pPr>
      <w:r>
        <w:tab/>
      </w:r>
    </w:p>
    <w:p w:rsidR="00CA6516" w:rsidRPr="00CA6516" w:rsidRDefault="00CA6516" w:rsidP="00CA6516">
      <w:pPr>
        <w:spacing w:after="0"/>
        <w:rPr>
          <w:rFonts w:eastAsia="MS Gothic"/>
          <w:b/>
          <w:bCs/>
          <w:color w:val="BC091B"/>
        </w:rPr>
      </w:pPr>
      <w:r w:rsidRPr="00CA6516">
        <w:rPr>
          <w:rFonts w:eastAsia="MS Gothic"/>
          <w:b/>
          <w:bCs/>
          <w:color w:val="BC091B"/>
        </w:rPr>
        <w:tab/>
      </w:r>
      <w:r w:rsidRPr="00CA6516">
        <w:rPr>
          <w:rFonts w:eastAsia="MS Gothic"/>
          <w:b/>
          <w:bCs/>
          <w:color w:val="BC091B"/>
        </w:rPr>
        <w:tab/>
        <w:t>Jiné formy vzdělávání</w:t>
      </w:r>
    </w:p>
    <w:p w:rsidR="00CA6516" w:rsidRDefault="00CA6516" w:rsidP="00CA6516">
      <w:pPr>
        <w:spacing w:after="0"/>
      </w:pPr>
      <w:r>
        <w:t>Tabulka č. 7</w:t>
      </w:r>
      <w:r>
        <w:tab/>
        <w:t>Firmy zajišťující jiné formy vzdělávání</w:t>
      </w:r>
    </w:p>
    <w:p w:rsidR="00CA6516" w:rsidRDefault="00CA6516" w:rsidP="00CA6516">
      <w:pPr>
        <w:spacing w:after="0"/>
      </w:pPr>
      <w:r>
        <w:t>Tabulka č. 8a</w:t>
      </w:r>
      <w:r>
        <w:tab/>
        <w:t>Účast zaměstnanců v jiných formách vzdělávání (zaměstnanců všech firem)</w:t>
      </w:r>
    </w:p>
    <w:p w:rsidR="00CA6516" w:rsidRDefault="00CA6516" w:rsidP="00CA6516">
      <w:pPr>
        <w:spacing w:after="0"/>
        <w:ind w:left="1410" w:hanging="1410"/>
      </w:pPr>
      <w:r>
        <w:t>Tabulka č. 8b</w:t>
      </w:r>
      <w:r>
        <w:tab/>
        <w:t xml:space="preserve">Účast zaměstnanců v jiných formách vzdělávání </w:t>
      </w:r>
    </w:p>
    <w:p w:rsidR="00CA6516" w:rsidRDefault="00CA6516" w:rsidP="00CA6516">
      <w:pPr>
        <w:spacing w:after="0"/>
        <w:ind w:left="1410"/>
      </w:pPr>
      <w:r>
        <w:t>(zaměstnanců firem poskytujících danou formu vzdělávání)</w:t>
      </w:r>
    </w:p>
    <w:p w:rsidR="00CA6516" w:rsidRDefault="00CA6516" w:rsidP="00CA6516">
      <w:pPr>
        <w:spacing w:after="0"/>
      </w:pPr>
      <w:r>
        <w:tab/>
      </w:r>
    </w:p>
    <w:p w:rsidR="00CA6516" w:rsidRPr="00CA6516" w:rsidRDefault="00CA6516" w:rsidP="00CA6516">
      <w:pPr>
        <w:spacing w:after="0"/>
        <w:rPr>
          <w:rFonts w:eastAsia="MS Gothic"/>
          <w:b/>
          <w:bCs/>
          <w:color w:val="BC091B"/>
        </w:rPr>
      </w:pPr>
      <w:r w:rsidRPr="00CA6516">
        <w:rPr>
          <w:rFonts w:eastAsia="MS Gothic"/>
          <w:b/>
          <w:bCs/>
          <w:color w:val="BC091B"/>
        </w:rPr>
        <w:tab/>
      </w:r>
      <w:r w:rsidRPr="00CA6516">
        <w:rPr>
          <w:rFonts w:eastAsia="MS Gothic"/>
          <w:b/>
          <w:bCs/>
          <w:color w:val="BC091B"/>
        </w:rPr>
        <w:tab/>
        <w:t>Hodnocení ve firmách</w:t>
      </w:r>
    </w:p>
    <w:p w:rsidR="00CA6516" w:rsidRDefault="00CA6516" w:rsidP="00CA6516">
      <w:pPr>
        <w:spacing w:after="0"/>
      </w:pPr>
      <w:r>
        <w:t>Tabulka č. 9</w:t>
      </w:r>
      <w:r>
        <w:tab/>
        <w:t>Hodnocení nejdůležitějších dovedností zaměstnanců firmami</w:t>
      </w:r>
    </w:p>
    <w:p w:rsidR="00CA6516" w:rsidRDefault="00CA6516" w:rsidP="00CA6516">
      <w:pPr>
        <w:spacing w:after="0"/>
      </w:pPr>
      <w:r>
        <w:t>Tabulka č. 10</w:t>
      </w:r>
      <w:r>
        <w:tab/>
        <w:t>Vybrané charakteristiky přístupu firem ke vzdělávání zaměstnanců</w:t>
      </w:r>
    </w:p>
    <w:p w:rsidR="00CA6516" w:rsidRDefault="00CA6516" w:rsidP="00CA6516">
      <w:pPr>
        <w:spacing w:after="0"/>
      </w:pPr>
      <w:r>
        <w:tab/>
      </w:r>
    </w:p>
    <w:p w:rsidR="00CA6516" w:rsidRPr="00CA6516" w:rsidRDefault="00CA6516" w:rsidP="00CA6516">
      <w:pPr>
        <w:spacing w:after="0"/>
        <w:rPr>
          <w:rFonts w:eastAsia="MS Gothic"/>
          <w:b/>
          <w:bCs/>
          <w:color w:val="BC091B"/>
        </w:rPr>
      </w:pPr>
      <w:r w:rsidRPr="00CA6516">
        <w:rPr>
          <w:rFonts w:eastAsia="MS Gothic"/>
          <w:b/>
          <w:bCs/>
          <w:color w:val="BC091B"/>
        </w:rPr>
        <w:tab/>
      </w:r>
      <w:r w:rsidRPr="00CA6516">
        <w:rPr>
          <w:rFonts w:eastAsia="MS Gothic"/>
          <w:b/>
          <w:bCs/>
          <w:color w:val="BC091B"/>
        </w:rPr>
        <w:tab/>
        <w:t>Finance a plánování ve firmách</w:t>
      </w:r>
    </w:p>
    <w:p w:rsidR="00CA6516" w:rsidRDefault="00CA6516" w:rsidP="00CA6516">
      <w:pPr>
        <w:spacing w:after="0"/>
      </w:pPr>
      <w:r>
        <w:t>Tabulka č. 11</w:t>
      </w:r>
      <w:r>
        <w:tab/>
        <w:t>Rozpočet a plánování vzdělávání ve firmách</w:t>
      </w:r>
    </w:p>
    <w:p w:rsidR="00CA6516" w:rsidRDefault="00CA6516" w:rsidP="00CA6516">
      <w:pPr>
        <w:spacing w:after="0"/>
      </w:pPr>
      <w:r>
        <w:t>Tabulka č. 12</w:t>
      </w:r>
      <w:r>
        <w:tab/>
        <w:t>Finance ve firemním vzdělávání</w:t>
      </w:r>
    </w:p>
    <w:p w:rsidR="00CA6516" w:rsidRDefault="00CA6516" w:rsidP="00CA6516">
      <w:pPr>
        <w:spacing w:after="0"/>
      </w:pPr>
      <w:r>
        <w:t>Tabulka č. 13</w:t>
      </w:r>
      <w:r>
        <w:tab/>
        <w:t>Důvody pro neposkytování (více) vzdělávání zaměstnanců</w:t>
      </w:r>
    </w:p>
    <w:p w:rsidR="00CA6516" w:rsidRDefault="00CA6516" w:rsidP="00CA6516">
      <w:pPr>
        <w:spacing w:after="0"/>
      </w:pPr>
      <w:r>
        <w:t>Tabulka č. 14</w:t>
      </w:r>
      <w:r>
        <w:tab/>
        <w:t>Spolupráce firem a škol</w:t>
      </w:r>
    </w:p>
    <w:p w:rsidR="009A2378" w:rsidRDefault="00CA6516" w:rsidP="00CA6516">
      <w:pPr>
        <w:spacing w:after="0"/>
      </w:pPr>
      <w:r>
        <w:t>Tabulka č. 15</w:t>
      </w:r>
      <w:r>
        <w:tab/>
        <w:t>Nabírání nových zaměstnanců v 12 měsících předcházejících šetření</w:t>
      </w:r>
    </w:p>
    <w:p w:rsidR="009A2378" w:rsidRDefault="009A2378">
      <w:pPr>
        <w:spacing w:after="0" w:line="240" w:lineRule="auto"/>
      </w:pPr>
      <w:r>
        <w:br w:type="page"/>
      </w:r>
    </w:p>
    <w:p w:rsidR="009A2378" w:rsidRPr="009A2378" w:rsidRDefault="009A2378" w:rsidP="009A2378">
      <w:pPr>
        <w:spacing w:after="0"/>
        <w:rPr>
          <w:rFonts w:eastAsia="MS Gothic"/>
          <w:b/>
          <w:bCs/>
          <w:color w:val="BC091B"/>
          <w:sz w:val="24"/>
        </w:rPr>
      </w:pPr>
      <w:r w:rsidRPr="009A2378">
        <w:rPr>
          <w:rFonts w:eastAsia="MS Gothic"/>
          <w:b/>
          <w:bCs/>
          <w:color w:val="BC091B"/>
          <w:sz w:val="24"/>
        </w:rPr>
        <w:lastRenderedPageBreak/>
        <w:t>Vysvětlivky a definice vybraných pojmů</w:t>
      </w:r>
    </w:p>
    <w:p w:rsidR="009A2378" w:rsidRDefault="009A2378" w:rsidP="009A2378">
      <w:pPr>
        <w:spacing w:after="0"/>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Podíl všech firem (podíl zaměstnanců všech firem):</w:t>
      </w:r>
    </w:p>
    <w:p w:rsidR="009A2378" w:rsidRPr="009A2378" w:rsidRDefault="009A2378" w:rsidP="009A2378">
      <w:pPr>
        <w:spacing w:after="0"/>
        <w:jc w:val="both"/>
        <w:rPr>
          <w:sz w:val="16"/>
        </w:rPr>
      </w:pPr>
      <w:r w:rsidRPr="009A2378">
        <w:rPr>
          <w:sz w:val="16"/>
        </w:rPr>
        <w:t>Sledovaný jev se vztahuje ke všem firmám, resp. zaměstnancům všech firem (v daném členění).</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Podíl firem poskytujících dané vzdělávání (podíl zaměstnanců firem poskytujících dané vzdělávání):</w:t>
      </w:r>
    </w:p>
    <w:p w:rsidR="009A2378" w:rsidRPr="009A2378" w:rsidRDefault="009A2378" w:rsidP="009A2378">
      <w:pPr>
        <w:spacing w:after="0"/>
        <w:jc w:val="both"/>
        <w:rPr>
          <w:sz w:val="16"/>
        </w:rPr>
      </w:pPr>
      <w:r w:rsidRPr="009A2378">
        <w:rPr>
          <w:sz w:val="16"/>
        </w:rPr>
        <w:t>Sledovaný jev se vztahuje k omezenému počtu firem, resp. zaměstnancům omezeného počtu firem (v daném členění).</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Kurzy/školení</w:t>
      </w:r>
    </w:p>
    <w:p w:rsidR="009A2378" w:rsidRPr="009A2378" w:rsidRDefault="009A2378" w:rsidP="009A2378">
      <w:pPr>
        <w:spacing w:after="0"/>
        <w:jc w:val="both"/>
        <w:rPr>
          <w:sz w:val="16"/>
        </w:rPr>
      </w:pPr>
      <w:proofErr w:type="gramStart"/>
      <w:r w:rsidRPr="009A2378">
        <w:rPr>
          <w:sz w:val="16"/>
        </w:rPr>
        <w:t>se vyznačují</w:t>
      </w:r>
      <w:proofErr w:type="gramEnd"/>
      <w:r w:rsidRPr="009A2378">
        <w:rPr>
          <w:sz w:val="16"/>
        </w:rPr>
        <w:t xml:space="preserve"> vysokým stupněm organizace (z hlediska času, prostoru a obsahu) ze strany školitele či vzdělávací instituce. Obsah kurzů/školení je předem připraven pro charakteristickou cílovou skupinu osob, např. podle vymezených učebních osnov, a místo konání je většinou zřetelně oddělené od pracoviště (odehrává se v prostorách speciálně určených pro vzdělávání, jako jsou učebny nebo vzdělávací centra.) Patří sem např. povinné školení BOZP, počítačové či jazykové kurzy, kurzy zaměřené na komunikační do</w:t>
      </w:r>
      <w:r>
        <w:rPr>
          <w:sz w:val="16"/>
        </w:rPr>
        <w:t xml:space="preserve">vednosti, rekvalifikační kurzy, </w:t>
      </w:r>
      <w:r w:rsidRPr="009A2378">
        <w:rPr>
          <w:sz w:val="16"/>
        </w:rPr>
        <w:t>vzdělávání na vysokých školách, příp. jiné jasně strukturované vzdělávání zvyšující kvalifikaci či rozšiřující dovednosti zaměstnanců určitého oboru.</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Povinné kurzy/školení:</w:t>
      </w:r>
    </w:p>
    <w:p w:rsidR="009A2378" w:rsidRPr="009A2378" w:rsidRDefault="009A2378" w:rsidP="009A2378">
      <w:pPr>
        <w:spacing w:after="0"/>
        <w:jc w:val="both"/>
        <w:rPr>
          <w:sz w:val="16"/>
        </w:rPr>
      </w:pPr>
      <w:r w:rsidRPr="009A2378">
        <w:rPr>
          <w:sz w:val="16"/>
        </w:rPr>
        <w:t>Takové formy vzdělávání, které jsou uskutečňovány v kurzech či školeních, vyplývají ze zákonných norem a zaměřují se na</w:t>
      </w:r>
      <w:r>
        <w:rPr>
          <w:sz w:val="16"/>
        </w:rPr>
        <w:t> </w:t>
      </w:r>
      <w:r w:rsidRPr="009A2378">
        <w:rPr>
          <w:sz w:val="16"/>
        </w:rPr>
        <w:t>problematiku ochrany zdraví a bezpečnosti práce a za jejichž zajišťování je zodpovědný zaměstnavatel. Jde většinou o kurzy, které jsou ze zákona povinné pro plnění některých (potenciálně) nebezpečných pracovních úkolů (např. řízení vysokozdvižných vozíků) či kurzy zaměřené na ochranu zaměstnanců a jejich okolí (např. vstupní školení BOZP pro nové pracovníky).</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Nepovinné kurzy/školení:</w:t>
      </w:r>
    </w:p>
    <w:p w:rsidR="009A2378" w:rsidRPr="009A2378" w:rsidRDefault="009A2378" w:rsidP="009A2378">
      <w:pPr>
        <w:spacing w:after="0"/>
        <w:jc w:val="both"/>
        <w:rPr>
          <w:sz w:val="16"/>
        </w:rPr>
      </w:pPr>
      <w:r w:rsidRPr="009A2378">
        <w:rPr>
          <w:sz w:val="16"/>
        </w:rPr>
        <w:t>Takové kurzy a školení, které nejsou povinné ze zákona. Patří tam např. počítačové či jazykové kurzy, kurzy zaměřené na komunikační dovednosti, rekvalifikační kurzy, vzdělávání na VŠ, příp. jiné jasně strukturované vzdělávání zvyšující kvalifikaci či rozšiřující dovednosti zaměstnanců určitého oboru.</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Jiné formy vzdělávání:</w:t>
      </w:r>
    </w:p>
    <w:p w:rsidR="009A2378" w:rsidRPr="009A2378" w:rsidRDefault="009A2378" w:rsidP="009A2378">
      <w:pPr>
        <w:spacing w:after="0"/>
        <w:jc w:val="both"/>
        <w:rPr>
          <w:sz w:val="16"/>
        </w:rPr>
      </w:pPr>
      <w:r w:rsidRPr="009A2378">
        <w:rPr>
          <w:sz w:val="16"/>
        </w:rPr>
        <w:t xml:space="preserve">Jiné formy vzdělávání než jsou kurzy a školení jsou charakterizovány jako plánované vzdělávání na pracovišti, kdy hlavním záměrem účastníka je něco se naučit. Účastníci zpravidla mají možnost si do </w:t>
      </w:r>
      <w:r w:rsidR="00BE4E34">
        <w:rPr>
          <w:sz w:val="16"/>
        </w:rPr>
        <w:t>jisté míry určit místo,</w:t>
      </w:r>
      <w:r w:rsidRPr="009A2378">
        <w:rPr>
          <w:sz w:val="16"/>
        </w:rPr>
        <w:t xml:space="preserve"> čas a obsah vzdělávání</w:t>
      </w:r>
      <w:r w:rsidR="00BE4E34">
        <w:rPr>
          <w:sz w:val="16"/>
        </w:rPr>
        <w:t>, přičemž obsah vzdělávání</w:t>
      </w:r>
      <w:r w:rsidRPr="009A2378">
        <w:rPr>
          <w:sz w:val="16"/>
        </w:rPr>
        <w:t xml:space="preserve"> bývá přizpůsoben jejich individuálním potřebám. Do těchto jiných forem patří např. zaškolování či instruktáž orientovaná na konkrétní pracovní činnost, účast na konferencích či veletrzích či samostudium, pokud splňuje výše zmíněné podmínky definice.</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Celkový počet hodin</w:t>
      </w:r>
    </w:p>
    <w:p w:rsidR="009A2378" w:rsidRPr="009A2378" w:rsidRDefault="009A2378" w:rsidP="009A2378">
      <w:pPr>
        <w:spacing w:after="0"/>
        <w:jc w:val="both"/>
        <w:rPr>
          <w:sz w:val="16"/>
        </w:rPr>
      </w:pPr>
      <w:r w:rsidRPr="009A2378">
        <w:rPr>
          <w:sz w:val="16"/>
        </w:rPr>
        <w:t>strávených vzděláváním na kurzech/školeních by měl zahrnovat pouze skutečnou dobu vzdělávání, a to v rámci placeného pracovního času. Nepatří sem např. přestávky mezi jednotlivými lekcemi či školeními, které zaměstnanec věnoval své běžné práci, ani doba strávená dopravou na místo vzdělávání. Pokud se některé kurzy/školení konaly částečně i v jiném roce, započítává se pouze účast v</w:t>
      </w:r>
      <w:r>
        <w:rPr>
          <w:sz w:val="16"/>
        </w:rPr>
        <w:t> </w:t>
      </w:r>
      <w:r w:rsidRPr="009A2378">
        <w:rPr>
          <w:sz w:val="16"/>
        </w:rPr>
        <w:t>roce 2015.</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Interní kurzy</w:t>
      </w:r>
    </w:p>
    <w:p w:rsidR="009A2378" w:rsidRPr="009A2378" w:rsidRDefault="009A2378" w:rsidP="009A2378">
      <w:pPr>
        <w:spacing w:after="0"/>
        <w:jc w:val="both"/>
        <w:rPr>
          <w:sz w:val="16"/>
        </w:rPr>
      </w:pPr>
      <w:r w:rsidRPr="009A2378">
        <w:rPr>
          <w:sz w:val="16"/>
        </w:rPr>
        <w:t>z podstatné části plánuje a řídí sama firma, která má též odpovědnost za jeho obsah. Místo konání kurzu není rozhodující.</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Externí kurzy</w:t>
      </w:r>
    </w:p>
    <w:p w:rsidR="009A2378" w:rsidRDefault="009A2378" w:rsidP="009A2378">
      <w:pPr>
        <w:spacing w:after="0"/>
        <w:jc w:val="both"/>
        <w:rPr>
          <w:sz w:val="16"/>
        </w:rPr>
      </w:pPr>
      <w:r w:rsidRPr="009A2378">
        <w:rPr>
          <w:sz w:val="16"/>
        </w:rPr>
        <w:t xml:space="preserve">z podstatné části plánuje a řídí </w:t>
      </w:r>
      <w:r>
        <w:rPr>
          <w:sz w:val="16"/>
        </w:rPr>
        <w:t>"třetí strana"</w:t>
      </w:r>
      <w:r w:rsidRPr="009A2378">
        <w:rPr>
          <w:sz w:val="16"/>
        </w:rPr>
        <w:t xml:space="preserve"> neboli organizace, která není součást daného podniku. V tomto případě podnik nemá přímou odpovědnost za jeho obsah – podnik si pouze dané vzdělávání pro zaměstnance vybere a objedná/zaplatí. Místo konání kurzu není rozhodující.</w:t>
      </w:r>
    </w:p>
    <w:p w:rsidR="00FD4F5A" w:rsidRPr="009A2378" w:rsidRDefault="00FD4F5A"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Poskytovatel kurzu/školení:</w:t>
      </w:r>
    </w:p>
    <w:p w:rsidR="009A2378" w:rsidRPr="009A2378" w:rsidRDefault="009A2378" w:rsidP="009A2378">
      <w:pPr>
        <w:spacing w:after="0"/>
        <w:jc w:val="both"/>
        <w:rPr>
          <w:sz w:val="16"/>
        </w:rPr>
      </w:pPr>
      <w:r w:rsidRPr="009A2378">
        <w:rPr>
          <w:sz w:val="16"/>
        </w:rPr>
        <w:t>instituce, která připravila obsah kurzu/školení a nese hlavní zodpovědnost za jeho realizaci (např. v případě rekvalifikací jím tedy není Úřad práce, ale nasmlouvaná instituce, která rekvalifikaci po odborné stránce zajistila.</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Zaškolování, instruktáž na pracovišti</w:t>
      </w:r>
    </w:p>
    <w:p w:rsidR="009A2378" w:rsidRPr="009A2378" w:rsidRDefault="009A2378" w:rsidP="009A2378">
      <w:pPr>
        <w:spacing w:after="0"/>
        <w:jc w:val="both"/>
        <w:rPr>
          <w:sz w:val="16"/>
        </w:rPr>
      </w:pPr>
      <w:r w:rsidRPr="009A2378">
        <w:rPr>
          <w:sz w:val="16"/>
        </w:rPr>
        <w:t>je iniciováno zaměstnavatelem, koná se za přítomnosti lektora a s použitím běžných pracovních nástrojů dostupných na pracovišti. Má individuální charakter, je tedy určeno pouze pro malé skupiny zaměstnanců.</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Rotace zaměstnanců na pracovních místech:</w:t>
      </w:r>
    </w:p>
    <w:p w:rsidR="009A2378" w:rsidRPr="009A2378" w:rsidRDefault="009A2378" w:rsidP="009A2378">
      <w:pPr>
        <w:spacing w:after="0"/>
        <w:jc w:val="both"/>
        <w:rPr>
          <w:sz w:val="16"/>
        </w:rPr>
      </w:pPr>
      <w:r w:rsidRPr="009A2378">
        <w:rPr>
          <w:sz w:val="16"/>
        </w:rPr>
        <w:t>Střídání pracovních míst v rámci firmy (příp. i mezi firmami) s cílem rozvoje dovedností zúčastněných zaměstnanců.</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Kroužky kvality, vzdělávací kroužky (pracovní skupiny):</w:t>
      </w:r>
    </w:p>
    <w:p w:rsidR="009A2378" w:rsidRPr="009A2378" w:rsidRDefault="009A2378" w:rsidP="009A2378">
      <w:pPr>
        <w:spacing w:after="0"/>
        <w:jc w:val="both"/>
        <w:rPr>
          <w:sz w:val="16"/>
        </w:rPr>
      </w:pPr>
      <w:r w:rsidRPr="009A2378">
        <w:rPr>
          <w:sz w:val="16"/>
        </w:rPr>
        <w:t>Skupina zaměstnanců, která se pravidelně schází s hlavním cílem porozumět potřebám firmy a rozvíjet tak své znalosti.</w:t>
      </w:r>
    </w:p>
    <w:p w:rsidR="009A2378" w:rsidRPr="009A2378" w:rsidRDefault="009A2378" w:rsidP="009A2378">
      <w:pPr>
        <w:spacing w:after="0"/>
        <w:jc w:val="both"/>
        <w:rPr>
          <w:sz w:val="16"/>
        </w:rPr>
      </w:pPr>
    </w:p>
    <w:p w:rsidR="009A2378" w:rsidRPr="009A2378" w:rsidRDefault="009A2378" w:rsidP="009A2378">
      <w:pPr>
        <w:spacing w:after="0"/>
        <w:jc w:val="both"/>
        <w:rPr>
          <w:rFonts w:eastAsia="MS Gothic"/>
          <w:b/>
          <w:bCs/>
          <w:color w:val="BC091B"/>
          <w:sz w:val="16"/>
        </w:rPr>
      </w:pPr>
      <w:r w:rsidRPr="009A2378">
        <w:rPr>
          <w:rFonts w:eastAsia="MS Gothic"/>
          <w:b/>
          <w:bCs/>
          <w:color w:val="BC091B"/>
          <w:sz w:val="16"/>
        </w:rPr>
        <w:t>Samostudium, e-</w:t>
      </w:r>
      <w:proofErr w:type="spellStart"/>
      <w:r w:rsidRPr="009A2378">
        <w:rPr>
          <w:rFonts w:eastAsia="MS Gothic"/>
          <w:b/>
          <w:bCs/>
          <w:color w:val="BC091B"/>
          <w:sz w:val="16"/>
        </w:rPr>
        <w:t>learning</w:t>
      </w:r>
      <w:proofErr w:type="spellEnd"/>
      <w:r w:rsidRPr="009A2378">
        <w:rPr>
          <w:rFonts w:eastAsia="MS Gothic"/>
          <w:b/>
          <w:bCs/>
          <w:color w:val="BC091B"/>
          <w:sz w:val="16"/>
        </w:rPr>
        <w:t>:</w:t>
      </w:r>
    </w:p>
    <w:p w:rsidR="00022667" w:rsidRDefault="009A2378" w:rsidP="00FD4F5A">
      <w:pPr>
        <w:spacing w:after="0"/>
        <w:jc w:val="both"/>
        <w:rPr>
          <w:rFonts w:eastAsia="MS Gothic"/>
          <w:b/>
          <w:bCs/>
          <w:color w:val="BC091B"/>
          <w:sz w:val="24"/>
        </w:rPr>
      </w:pPr>
      <w:r w:rsidRPr="009A2378">
        <w:rPr>
          <w:sz w:val="16"/>
        </w:rPr>
        <w:t>Vzdělávací aktivity, u kterých si jedinec sám organizuje čas a místo na vzdělávání.</w:t>
      </w:r>
      <w:r w:rsidR="00BF46F9" w:rsidRPr="00BF46F9">
        <w:rPr>
          <w:sz w:val="16"/>
        </w:rPr>
        <w:t xml:space="preserve"> </w:t>
      </w:r>
      <w:r w:rsidR="00022667">
        <w:br w:type="page"/>
      </w:r>
    </w:p>
    <w:p w:rsidR="00022667" w:rsidRDefault="0067655D">
      <w:pPr>
        <w:spacing w:after="0" w:line="240" w:lineRule="auto"/>
      </w:pPr>
      <w:r w:rsidRPr="0067655D">
        <w:rPr>
          <w:noProof/>
        </w:rPr>
        <w:lastRenderedPageBreak/>
        <w:drawing>
          <wp:inline distT="0" distB="0" distL="0" distR="0">
            <wp:extent cx="5438775" cy="9096375"/>
            <wp:effectExtent l="0" t="0" r="9525"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38775" cy="9096375"/>
                    </a:xfrm>
                    <a:prstGeom prst="rect">
                      <a:avLst/>
                    </a:prstGeom>
                    <a:noFill/>
                    <a:ln>
                      <a:noFill/>
                    </a:ln>
                  </pic:spPr>
                </pic:pic>
              </a:graphicData>
            </a:graphic>
          </wp:inline>
        </w:drawing>
      </w:r>
    </w:p>
    <w:p w:rsidR="00022667" w:rsidRDefault="0067655D">
      <w:pPr>
        <w:spacing w:after="0" w:line="240" w:lineRule="auto"/>
      </w:pPr>
      <w:r w:rsidRPr="0067655D">
        <w:rPr>
          <w:noProof/>
        </w:rPr>
        <w:lastRenderedPageBreak/>
        <w:drawing>
          <wp:inline distT="0" distB="0" distL="0" distR="0" wp14:anchorId="48663EAB" wp14:editId="157F0548">
            <wp:extent cx="6120130" cy="8276666"/>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8276666"/>
                    </a:xfrm>
                    <a:prstGeom prst="rect">
                      <a:avLst/>
                    </a:prstGeom>
                    <a:noFill/>
                    <a:ln>
                      <a:noFill/>
                    </a:ln>
                  </pic:spPr>
                </pic:pic>
              </a:graphicData>
            </a:graphic>
          </wp:inline>
        </w:drawing>
      </w:r>
    </w:p>
    <w:p w:rsidR="00022667" w:rsidRDefault="00197157">
      <w:pPr>
        <w:spacing w:after="0" w:line="240" w:lineRule="auto"/>
      </w:pPr>
      <w:r w:rsidRPr="00197157">
        <w:t xml:space="preserve"> </w:t>
      </w:r>
      <w:r w:rsidR="00022667">
        <w:br w:type="page"/>
      </w:r>
    </w:p>
    <w:p w:rsidR="0072018E" w:rsidRDefault="0067655D">
      <w:pPr>
        <w:spacing w:after="0" w:line="240" w:lineRule="auto"/>
      </w:pPr>
      <w:r w:rsidRPr="0067655D">
        <w:rPr>
          <w:noProof/>
        </w:rPr>
        <w:lastRenderedPageBreak/>
        <w:drawing>
          <wp:inline distT="0" distB="0" distL="0" distR="0" wp14:anchorId="6DFE83AC" wp14:editId="580E3D8B">
            <wp:extent cx="5772150" cy="7753350"/>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4">
                      <a:extLst>
                        <a:ext uri="{28A0092B-C50C-407E-A947-70E740481C1C}">
                          <a14:useLocalDpi xmlns:a14="http://schemas.microsoft.com/office/drawing/2010/main" val="0"/>
                        </a:ext>
                      </a:extLst>
                    </a:blip>
                    <a:srcRect r="5655"/>
                    <a:stretch/>
                  </pic:blipFill>
                  <pic:spPr bwMode="auto">
                    <a:xfrm>
                      <a:off x="0" y="0"/>
                      <a:ext cx="5773987" cy="7755817"/>
                    </a:xfrm>
                    <a:prstGeom prst="rect">
                      <a:avLst/>
                    </a:prstGeom>
                    <a:noFill/>
                    <a:ln>
                      <a:noFill/>
                    </a:ln>
                    <a:extLst>
                      <a:ext uri="{53640926-AAD7-44D8-BBD7-CCE9431645EC}">
                        <a14:shadowObscured xmlns:a14="http://schemas.microsoft.com/office/drawing/2010/main"/>
                      </a:ext>
                    </a:extLst>
                  </pic:spPr>
                </pic:pic>
              </a:graphicData>
            </a:graphic>
          </wp:inline>
        </w:drawing>
      </w:r>
    </w:p>
    <w:p w:rsidR="0072018E" w:rsidRDefault="0072018E">
      <w:pPr>
        <w:spacing w:after="0" w:line="240" w:lineRule="auto"/>
      </w:pPr>
      <w:r>
        <w:br w:type="page"/>
      </w:r>
    </w:p>
    <w:p w:rsidR="001E71EA" w:rsidRDefault="0067655D">
      <w:pPr>
        <w:spacing w:after="0" w:line="240" w:lineRule="auto"/>
        <w:rPr>
          <w:rFonts w:eastAsia="MS Gothic"/>
          <w:b/>
          <w:bCs/>
          <w:color w:val="BC091B"/>
          <w:sz w:val="24"/>
        </w:rPr>
      </w:pPr>
      <w:r w:rsidRPr="0067655D">
        <w:rPr>
          <w:noProof/>
        </w:rPr>
        <w:lastRenderedPageBreak/>
        <w:drawing>
          <wp:anchor distT="0" distB="0" distL="114300" distR="114300" simplePos="0" relativeHeight="251664896" behindDoc="0" locked="0" layoutInCell="1" allowOverlap="1">
            <wp:simplePos x="25400" y="1429385"/>
            <wp:positionH relativeFrom="margin">
              <wp:align>center</wp:align>
            </wp:positionH>
            <wp:positionV relativeFrom="margin">
              <wp:align>center</wp:align>
            </wp:positionV>
            <wp:extent cx="7465695" cy="6069330"/>
            <wp:effectExtent l="0" t="6667" r="0" b="0"/>
            <wp:wrapSquare wrapText="bothSides"/>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rot="16200000">
                      <a:off x="0" y="0"/>
                      <a:ext cx="7465695" cy="6069330"/>
                    </a:xfrm>
                    <a:prstGeom prst="rect">
                      <a:avLst/>
                    </a:prstGeom>
                    <a:noFill/>
                    <a:ln>
                      <a:noFill/>
                    </a:ln>
                  </pic:spPr>
                </pic:pic>
              </a:graphicData>
            </a:graphic>
          </wp:anchor>
        </w:drawing>
      </w:r>
      <w:r w:rsidR="00197157" w:rsidRPr="00197157">
        <w:t xml:space="preserve"> </w:t>
      </w:r>
      <w:r w:rsidR="001E71EA">
        <w:br w:type="page"/>
      </w:r>
    </w:p>
    <w:p w:rsidR="00481540" w:rsidRDefault="00197157">
      <w:pPr>
        <w:spacing w:after="0" w:line="240" w:lineRule="auto"/>
        <w:rPr>
          <w:rFonts w:eastAsia="MS Gothic"/>
          <w:b/>
          <w:bCs/>
          <w:color w:val="BC091B"/>
          <w:sz w:val="24"/>
        </w:rPr>
      </w:pPr>
      <w:bookmarkStart w:id="230" w:name="_Toc501093117"/>
      <w:r w:rsidRPr="00197157">
        <w:lastRenderedPageBreak/>
        <w:t xml:space="preserve">  </w:t>
      </w:r>
      <w:r w:rsidR="0067655D" w:rsidRPr="0067655D">
        <w:rPr>
          <w:noProof/>
        </w:rPr>
        <w:drawing>
          <wp:anchor distT="0" distB="0" distL="114300" distR="114300" simplePos="0" relativeHeight="251665920" behindDoc="0" locked="0" layoutInCell="1" allowOverlap="1">
            <wp:simplePos x="95250" y="1418590"/>
            <wp:positionH relativeFrom="margin">
              <wp:align>center</wp:align>
            </wp:positionH>
            <wp:positionV relativeFrom="margin">
              <wp:align>center</wp:align>
            </wp:positionV>
            <wp:extent cx="7430135" cy="6040120"/>
            <wp:effectExtent l="0" t="0" r="8572" b="8573"/>
            <wp:wrapSquare wrapText="bothSides"/>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rot="16200000">
                      <a:off x="0" y="0"/>
                      <a:ext cx="7430135" cy="6040120"/>
                    </a:xfrm>
                    <a:prstGeom prst="rect">
                      <a:avLst/>
                    </a:prstGeom>
                    <a:noFill/>
                    <a:ln>
                      <a:noFill/>
                    </a:ln>
                  </pic:spPr>
                </pic:pic>
              </a:graphicData>
            </a:graphic>
          </wp:anchor>
        </w:drawing>
      </w:r>
      <w:r w:rsidR="00481540">
        <w:br w:type="page"/>
      </w:r>
    </w:p>
    <w:p w:rsidR="00481540" w:rsidRDefault="0067655D">
      <w:pPr>
        <w:spacing w:after="0" w:line="240" w:lineRule="auto"/>
      </w:pPr>
      <w:r w:rsidRPr="0067655D">
        <w:rPr>
          <w:noProof/>
        </w:rPr>
        <w:lastRenderedPageBreak/>
        <w:drawing>
          <wp:inline distT="0" distB="0" distL="0" distR="0" wp14:anchorId="1DFEBC43" wp14:editId="508914C1">
            <wp:extent cx="6120130" cy="8048053"/>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8048053"/>
                    </a:xfrm>
                    <a:prstGeom prst="rect">
                      <a:avLst/>
                    </a:prstGeom>
                    <a:noFill/>
                    <a:ln>
                      <a:noFill/>
                    </a:ln>
                  </pic:spPr>
                </pic:pic>
              </a:graphicData>
            </a:graphic>
          </wp:inline>
        </w:drawing>
      </w:r>
    </w:p>
    <w:p w:rsidR="00481540" w:rsidRDefault="00481540">
      <w:pPr>
        <w:spacing w:after="0" w:line="240" w:lineRule="auto"/>
      </w:pPr>
      <w:r>
        <w:br w:type="page"/>
      </w:r>
    </w:p>
    <w:p w:rsidR="00481540" w:rsidRDefault="0067655D">
      <w:pPr>
        <w:spacing w:after="0" w:line="240" w:lineRule="auto"/>
      </w:pPr>
      <w:r w:rsidRPr="0067655D">
        <w:rPr>
          <w:noProof/>
        </w:rPr>
        <w:lastRenderedPageBreak/>
        <w:drawing>
          <wp:inline distT="0" distB="0" distL="0" distR="0" wp14:anchorId="0F8D5754" wp14:editId="3C5BFBC5">
            <wp:extent cx="6120130" cy="7055050"/>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20130" cy="7055050"/>
                    </a:xfrm>
                    <a:prstGeom prst="rect">
                      <a:avLst/>
                    </a:prstGeom>
                    <a:noFill/>
                    <a:ln>
                      <a:noFill/>
                    </a:ln>
                  </pic:spPr>
                </pic:pic>
              </a:graphicData>
            </a:graphic>
          </wp:inline>
        </w:drawing>
      </w:r>
    </w:p>
    <w:p w:rsidR="00481540" w:rsidRDefault="00481540">
      <w:pPr>
        <w:spacing w:after="0" w:line="240" w:lineRule="auto"/>
      </w:pPr>
      <w:r>
        <w:br w:type="page"/>
      </w:r>
    </w:p>
    <w:p w:rsidR="00481540" w:rsidRDefault="0067655D">
      <w:pPr>
        <w:spacing w:after="0" w:line="240" w:lineRule="auto"/>
      </w:pPr>
      <w:r w:rsidRPr="0067655D">
        <w:rPr>
          <w:noProof/>
        </w:rPr>
        <w:lastRenderedPageBreak/>
        <w:drawing>
          <wp:inline distT="0" distB="0" distL="0" distR="0" wp14:anchorId="5DA8CE87" wp14:editId="3007FD2A">
            <wp:extent cx="6120130" cy="8504033"/>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8504033"/>
                    </a:xfrm>
                    <a:prstGeom prst="rect">
                      <a:avLst/>
                    </a:prstGeom>
                    <a:noFill/>
                    <a:ln>
                      <a:noFill/>
                    </a:ln>
                  </pic:spPr>
                </pic:pic>
              </a:graphicData>
            </a:graphic>
          </wp:inline>
        </w:drawing>
      </w:r>
    </w:p>
    <w:p w:rsidR="00481540" w:rsidRDefault="00481540">
      <w:pPr>
        <w:spacing w:after="0" w:line="240" w:lineRule="auto"/>
      </w:pPr>
      <w:r>
        <w:br w:type="page"/>
      </w:r>
    </w:p>
    <w:p w:rsidR="006A47B0" w:rsidRDefault="00F547ED">
      <w:pPr>
        <w:spacing w:after="0" w:line="240" w:lineRule="auto"/>
      </w:pPr>
      <w:r w:rsidRPr="00F547ED">
        <w:rPr>
          <w:noProof/>
        </w:rPr>
        <w:lastRenderedPageBreak/>
        <w:drawing>
          <wp:inline distT="0" distB="0" distL="0" distR="0" wp14:anchorId="6685A42D" wp14:editId="2FF8431E">
            <wp:extent cx="6120130" cy="6027959"/>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0130" cy="6027959"/>
                    </a:xfrm>
                    <a:prstGeom prst="rect">
                      <a:avLst/>
                    </a:prstGeom>
                    <a:noFill/>
                    <a:ln>
                      <a:noFill/>
                    </a:ln>
                  </pic:spPr>
                </pic:pic>
              </a:graphicData>
            </a:graphic>
          </wp:inline>
        </w:drawing>
      </w:r>
    </w:p>
    <w:p w:rsidR="006A47B0" w:rsidRDefault="006A47B0">
      <w:pPr>
        <w:spacing w:after="0" w:line="240" w:lineRule="auto"/>
      </w:pPr>
      <w:r>
        <w:br w:type="page"/>
      </w:r>
    </w:p>
    <w:p w:rsidR="006A47B0" w:rsidRDefault="00FE3AF0">
      <w:pPr>
        <w:spacing w:after="0" w:line="240" w:lineRule="auto"/>
      </w:pPr>
      <w:r w:rsidRPr="00FE3AF0">
        <w:rPr>
          <w:noProof/>
        </w:rPr>
        <w:lastRenderedPageBreak/>
        <w:drawing>
          <wp:inline distT="0" distB="0" distL="0" distR="0" wp14:anchorId="015A82F8" wp14:editId="085F0A03">
            <wp:extent cx="6120130" cy="6027959"/>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130" cy="6027959"/>
                    </a:xfrm>
                    <a:prstGeom prst="rect">
                      <a:avLst/>
                    </a:prstGeom>
                    <a:noFill/>
                    <a:ln>
                      <a:noFill/>
                    </a:ln>
                  </pic:spPr>
                </pic:pic>
              </a:graphicData>
            </a:graphic>
          </wp:inline>
        </w:drawing>
      </w:r>
    </w:p>
    <w:p w:rsidR="006A47B0" w:rsidRDefault="006A47B0">
      <w:pPr>
        <w:spacing w:after="0" w:line="240" w:lineRule="auto"/>
      </w:pPr>
      <w:r>
        <w:br w:type="page"/>
      </w:r>
    </w:p>
    <w:p w:rsidR="006A47B0" w:rsidRDefault="00FE3AF0">
      <w:pPr>
        <w:spacing w:after="0" w:line="240" w:lineRule="auto"/>
      </w:pPr>
      <w:r w:rsidRPr="00FE3AF0">
        <w:rPr>
          <w:noProof/>
        </w:rPr>
        <w:lastRenderedPageBreak/>
        <w:drawing>
          <wp:inline distT="0" distB="0" distL="0" distR="0" wp14:anchorId="6A91911C" wp14:editId="6D78DB1A">
            <wp:extent cx="6120130" cy="6027959"/>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130" cy="6027959"/>
                    </a:xfrm>
                    <a:prstGeom prst="rect">
                      <a:avLst/>
                    </a:prstGeom>
                    <a:noFill/>
                    <a:ln>
                      <a:noFill/>
                    </a:ln>
                  </pic:spPr>
                </pic:pic>
              </a:graphicData>
            </a:graphic>
          </wp:inline>
        </w:drawing>
      </w:r>
    </w:p>
    <w:p w:rsidR="006A47B0" w:rsidRDefault="006A47B0">
      <w:pPr>
        <w:spacing w:after="0" w:line="240" w:lineRule="auto"/>
      </w:pPr>
      <w:r>
        <w:br w:type="page"/>
      </w:r>
    </w:p>
    <w:p w:rsidR="00481540" w:rsidRDefault="003D6C1C">
      <w:pPr>
        <w:spacing w:after="0" w:line="240" w:lineRule="auto"/>
        <w:rPr>
          <w:rFonts w:eastAsia="MS Gothic"/>
          <w:b/>
          <w:bCs/>
          <w:color w:val="BC091B"/>
          <w:sz w:val="24"/>
        </w:rPr>
      </w:pPr>
      <w:r w:rsidRPr="003D6C1C">
        <w:lastRenderedPageBreak/>
        <w:t xml:space="preserve"> </w:t>
      </w:r>
      <w:r w:rsidR="00F547ED" w:rsidRPr="00F547ED">
        <w:rPr>
          <w:noProof/>
        </w:rPr>
        <w:drawing>
          <wp:inline distT="0" distB="0" distL="0" distR="0" wp14:anchorId="618EF546" wp14:editId="4464671B">
            <wp:extent cx="6120130" cy="7198884"/>
            <wp:effectExtent l="0" t="0" r="0" b="254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7198884"/>
                    </a:xfrm>
                    <a:prstGeom prst="rect">
                      <a:avLst/>
                    </a:prstGeom>
                    <a:noFill/>
                    <a:ln>
                      <a:noFill/>
                    </a:ln>
                  </pic:spPr>
                </pic:pic>
              </a:graphicData>
            </a:graphic>
          </wp:inline>
        </w:drawing>
      </w:r>
      <w:r w:rsidR="00481540">
        <w:br w:type="page"/>
      </w:r>
    </w:p>
    <w:p w:rsidR="006A47B0" w:rsidRDefault="00FE3AF0">
      <w:pPr>
        <w:spacing w:after="0" w:line="240" w:lineRule="auto"/>
      </w:pPr>
      <w:r w:rsidRPr="00FE3AF0">
        <w:rPr>
          <w:noProof/>
        </w:rPr>
        <w:lastRenderedPageBreak/>
        <w:drawing>
          <wp:inline distT="0" distB="0" distL="0" distR="0" wp14:anchorId="74871229" wp14:editId="7CD0B58A">
            <wp:extent cx="6120130" cy="7157071"/>
            <wp:effectExtent l="0" t="0" r="0" b="635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20130" cy="7157071"/>
                    </a:xfrm>
                    <a:prstGeom prst="rect">
                      <a:avLst/>
                    </a:prstGeom>
                    <a:noFill/>
                    <a:ln>
                      <a:noFill/>
                    </a:ln>
                  </pic:spPr>
                </pic:pic>
              </a:graphicData>
            </a:graphic>
          </wp:inline>
        </w:drawing>
      </w:r>
    </w:p>
    <w:p w:rsidR="006A47B0" w:rsidRDefault="006A47B0">
      <w:pPr>
        <w:spacing w:after="0" w:line="240" w:lineRule="auto"/>
      </w:pPr>
      <w:r>
        <w:br w:type="page"/>
      </w:r>
    </w:p>
    <w:p w:rsidR="006A47B0" w:rsidRDefault="00FE3AF0">
      <w:pPr>
        <w:spacing w:after="0" w:line="240" w:lineRule="auto"/>
      </w:pPr>
      <w:r w:rsidRPr="00FE3AF0">
        <w:rPr>
          <w:noProof/>
        </w:rPr>
        <w:lastRenderedPageBreak/>
        <w:drawing>
          <wp:inline distT="0" distB="0" distL="0" distR="0" wp14:anchorId="42BC5A2B" wp14:editId="4EDBF9F0">
            <wp:extent cx="6120130" cy="6911216"/>
            <wp:effectExtent l="0" t="0" r="0" b="4445"/>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130" cy="6911216"/>
                    </a:xfrm>
                    <a:prstGeom prst="rect">
                      <a:avLst/>
                    </a:prstGeom>
                    <a:noFill/>
                    <a:ln>
                      <a:noFill/>
                    </a:ln>
                  </pic:spPr>
                </pic:pic>
              </a:graphicData>
            </a:graphic>
          </wp:inline>
        </w:drawing>
      </w:r>
    </w:p>
    <w:p w:rsidR="006A47B0" w:rsidRDefault="006A47B0">
      <w:pPr>
        <w:spacing w:after="0" w:line="240" w:lineRule="auto"/>
      </w:pPr>
      <w:r>
        <w:br w:type="page"/>
      </w:r>
    </w:p>
    <w:p w:rsidR="006A47B0" w:rsidRDefault="00FE3AF0">
      <w:pPr>
        <w:spacing w:after="0" w:line="240" w:lineRule="auto"/>
      </w:pPr>
      <w:r w:rsidRPr="00FE3AF0">
        <w:rPr>
          <w:noProof/>
        </w:rPr>
        <w:lastRenderedPageBreak/>
        <w:drawing>
          <wp:inline distT="0" distB="0" distL="0" distR="0" wp14:anchorId="2C17EAF3" wp14:editId="2C9D29A5">
            <wp:extent cx="6120130" cy="5935214"/>
            <wp:effectExtent l="0" t="0" r="0" b="889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130" cy="5935214"/>
                    </a:xfrm>
                    <a:prstGeom prst="rect">
                      <a:avLst/>
                    </a:prstGeom>
                    <a:noFill/>
                    <a:ln>
                      <a:noFill/>
                    </a:ln>
                  </pic:spPr>
                </pic:pic>
              </a:graphicData>
            </a:graphic>
          </wp:inline>
        </w:drawing>
      </w:r>
    </w:p>
    <w:p w:rsidR="006A47B0" w:rsidRDefault="006A47B0">
      <w:pPr>
        <w:spacing w:after="0" w:line="240" w:lineRule="auto"/>
      </w:pPr>
      <w:r>
        <w:br w:type="page"/>
      </w:r>
    </w:p>
    <w:p w:rsidR="006A47B0" w:rsidRDefault="00FE3AF0">
      <w:pPr>
        <w:spacing w:after="0" w:line="240" w:lineRule="auto"/>
      </w:pPr>
      <w:r w:rsidRPr="00FE3AF0">
        <w:rPr>
          <w:noProof/>
        </w:rPr>
        <w:lastRenderedPageBreak/>
        <w:drawing>
          <wp:inline distT="0" distB="0" distL="0" distR="0" wp14:anchorId="47E102C5" wp14:editId="1E342C97">
            <wp:extent cx="6181725" cy="6610576"/>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67">
                      <a:extLst>
                        <a:ext uri="{28A0092B-C50C-407E-A947-70E740481C1C}">
                          <a14:useLocalDpi xmlns:a14="http://schemas.microsoft.com/office/drawing/2010/main" val="0"/>
                        </a:ext>
                      </a:extLst>
                    </a:blip>
                    <a:srcRect r="8004"/>
                    <a:stretch/>
                  </pic:blipFill>
                  <pic:spPr bwMode="auto">
                    <a:xfrm>
                      <a:off x="0" y="0"/>
                      <a:ext cx="6182807" cy="6611733"/>
                    </a:xfrm>
                    <a:prstGeom prst="rect">
                      <a:avLst/>
                    </a:prstGeom>
                    <a:noFill/>
                    <a:ln>
                      <a:noFill/>
                    </a:ln>
                    <a:extLst>
                      <a:ext uri="{53640926-AAD7-44D8-BBD7-CCE9431645EC}">
                        <a14:shadowObscured xmlns:a14="http://schemas.microsoft.com/office/drawing/2010/main"/>
                      </a:ext>
                    </a:extLst>
                  </pic:spPr>
                </pic:pic>
              </a:graphicData>
            </a:graphic>
          </wp:inline>
        </w:drawing>
      </w:r>
    </w:p>
    <w:p w:rsidR="006A47B0" w:rsidRDefault="006A47B0">
      <w:pPr>
        <w:spacing w:after="0" w:line="240" w:lineRule="auto"/>
      </w:pPr>
      <w:r>
        <w:br w:type="page"/>
      </w:r>
    </w:p>
    <w:p w:rsidR="006A47B0" w:rsidRDefault="00FE3AF0">
      <w:pPr>
        <w:spacing w:after="0" w:line="240" w:lineRule="auto"/>
      </w:pPr>
      <w:r w:rsidRPr="00FE3AF0">
        <w:rPr>
          <w:noProof/>
        </w:rPr>
        <w:lastRenderedPageBreak/>
        <w:drawing>
          <wp:inline distT="0" distB="0" distL="0" distR="0" wp14:anchorId="0F7BF721" wp14:editId="21C460B1">
            <wp:extent cx="6120130" cy="6150854"/>
            <wp:effectExtent l="0" t="0" r="0" b="254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6150854"/>
                    </a:xfrm>
                    <a:prstGeom prst="rect">
                      <a:avLst/>
                    </a:prstGeom>
                    <a:noFill/>
                    <a:ln>
                      <a:noFill/>
                    </a:ln>
                  </pic:spPr>
                </pic:pic>
              </a:graphicData>
            </a:graphic>
          </wp:inline>
        </w:drawing>
      </w:r>
    </w:p>
    <w:p w:rsidR="006A47B0" w:rsidRDefault="006A47B0">
      <w:pPr>
        <w:spacing w:after="0" w:line="240" w:lineRule="auto"/>
      </w:pPr>
      <w:r>
        <w:br w:type="page"/>
      </w:r>
    </w:p>
    <w:p w:rsidR="00481540" w:rsidRDefault="00AC20A3">
      <w:pPr>
        <w:spacing w:after="0" w:line="240" w:lineRule="auto"/>
        <w:rPr>
          <w:rFonts w:eastAsia="MS Gothic"/>
          <w:b/>
          <w:bCs/>
          <w:color w:val="BC091B"/>
          <w:sz w:val="24"/>
        </w:rPr>
      </w:pPr>
      <w:r w:rsidRPr="00AC20A3">
        <w:lastRenderedPageBreak/>
        <w:t xml:space="preserve"> </w:t>
      </w:r>
      <w:r w:rsidR="00FE3AF0" w:rsidRPr="00FE3AF0">
        <w:rPr>
          <w:noProof/>
        </w:rPr>
        <w:drawing>
          <wp:inline distT="0" distB="0" distL="0" distR="0" wp14:anchorId="6962EC05" wp14:editId="130561CC">
            <wp:extent cx="6120130" cy="6150854"/>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130" cy="6150854"/>
                    </a:xfrm>
                    <a:prstGeom prst="rect">
                      <a:avLst/>
                    </a:prstGeom>
                    <a:noFill/>
                    <a:ln>
                      <a:noFill/>
                    </a:ln>
                  </pic:spPr>
                </pic:pic>
              </a:graphicData>
            </a:graphic>
          </wp:inline>
        </w:drawing>
      </w:r>
      <w:r w:rsidR="00481540">
        <w:br w:type="page"/>
      </w:r>
    </w:p>
    <w:p w:rsidR="001E71EA" w:rsidRPr="001E71EA" w:rsidRDefault="001E71EA" w:rsidP="001E71EA">
      <w:pPr>
        <w:pStyle w:val="Nadpis3"/>
      </w:pPr>
      <w:bookmarkStart w:id="231" w:name="_Toc501614137"/>
      <w:r>
        <w:lastRenderedPageBreak/>
        <w:t>Příloha č.</w:t>
      </w:r>
      <w:r w:rsidR="0072018E">
        <w:t xml:space="preserve"> 4</w:t>
      </w:r>
      <w:r>
        <w:t>: Typologie firem</w:t>
      </w:r>
      <w:bookmarkEnd w:id="230"/>
      <w:bookmarkEnd w:id="231"/>
    </w:p>
    <w:p w:rsidR="001E71EA" w:rsidRDefault="001E71EA" w:rsidP="001E71EA">
      <w:pPr>
        <w:spacing w:after="0"/>
        <w:contextualSpacing/>
        <w:jc w:val="both"/>
        <w:rPr>
          <w:rFonts w:cs="Arial"/>
          <w:szCs w:val="20"/>
        </w:rPr>
      </w:pPr>
    </w:p>
    <w:p w:rsidR="001E71EA" w:rsidRDefault="001E71EA" w:rsidP="00CA0FFC">
      <w:pPr>
        <w:spacing w:after="0"/>
        <w:contextualSpacing/>
        <w:jc w:val="both"/>
        <w:rPr>
          <w:rFonts w:cs="Arial"/>
          <w:szCs w:val="20"/>
        </w:rPr>
      </w:pPr>
      <w:r w:rsidRPr="0071083E">
        <w:rPr>
          <w:rFonts w:cs="Arial"/>
          <w:szCs w:val="20"/>
        </w:rPr>
        <w:t xml:space="preserve">Z předchozích analýz vyplynulo, že vzdělávání </w:t>
      </w:r>
      <w:r w:rsidR="005C2BD9">
        <w:rPr>
          <w:rFonts w:cs="Arial"/>
          <w:szCs w:val="20"/>
        </w:rPr>
        <w:t xml:space="preserve">zaměstnanců </w:t>
      </w:r>
      <w:r w:rsidRPr="0071083E">
        <w:rPr>
          <w:rFonts w:cs="Arial"/>
          <w:szCs w:val="20"/>
        </w:rPr>
        <w:t xml:space="preserve">ve firmách závisí zejména </w:t>
      </w:r>
      <w:r w:rsidR="00276534">
        <w:rPr>
          <w:rFonts w:cs="Arial"/>
          <w:szCs w:val="20"/>
        </w:rPr>
        <w:t xml:space="preserve">na </w:t>
      </w:r>
      <w:r w:rsidR="00764E54">
        <w:rPr>
          <w:rFonts w:cs="Arial"/>
          <w:szCs w:val="20"/>
        </w:rPr>
        <w:t>velikosti firmy</w:t>
      </w:r>
      <w:r w:rsidRPr="0071083E">
        <w:rPr>
          <w:rFonts w:cs="Arial"/>
          <w:szCs w:val="20"/>
        </w:rPr>
        <w:t xml:space="preserve">, </w:t>
      </w:r>
      <w:r w:rsidR="00EA1457">
        <w:rPr>
          <w:rFonts w:cs="Arial"/>
          <w:szCs w:val="20"/>
        </w:rPr>
        <w:t>na</w:t>
      </w:r>
      <w:r w:rsidR="00BC33C6">
        <w:rPr>
          <w:rFonts w:cs="Arial"/>
          <w:szCs w:val="20"/>
        </w:rPr>
        <w:t> </w:t>
      </w:r>
      <w:r w:rsidR="00EA1457">
        <w:rPr>
          <w:rFonts w:cs="Arial"/>
          <w:szCs w:val="20"/>
        </w:rPr>
        <w:t>zemi původu vrcholového vlastníka</w:t>
      </w:r>
      <w:r w:rsidRPr="0071083E">
        <w:rPr>
          <w:rFonts w:cs="Arial"/>
          <w:szCs w:val="20"/>
        </w:rPr>
        <w:t xml:space="preserve"> a v jaké oblasti </w:t>
      </w:r>
      <w:r w:rsidR="00EA1457">
        <w:rPr>
          <w:rFonts w:cs="Arial"/>
          <w:szCs w:val="20"/>
        </w:rPr>
        <w:t xml:space="preserve">firma </w:t>
      </w:r>
      <w:r w:rsidRPr="0071083E">
        <w:rPr>
          <w:rFonts w:cs="Arial"/>
          <w:szCs w:val="20"/>
        </w:rPr>
        <w:t xml:space="preserve">podniká. Mezi firmami, </w:t>
      </w:r>
      <w:r>
        <w:rPr>
          <w:rFonts w:cs="Arial"/>
          <w:szCs w:val="20"/>
        </w:rPr>
        <w:t>které</w:t>
      </w:r>
      <w:r w:rsidRPr="0071083E">
        <w:rPr>
          <w:rFonts w:cs="Arial"/>
          <w:szCs w:val="20"/>
        </w:rPr>
        <w:t xml:space="preserve"> se nejvíce zaměřují na </w:t>
      </w:r>
      <w:r>
        <w:rPr>
          <w:rFonts w:cs="Arial"/>
          <w:szCs w:val="20"/>
        </w:rPr>
        <w:t xml:space="preserve">firemní vzdělávání, převládají velké, často </w:t>
      </w:r>
      <w:r w:rsidRPr="0071083E">
        <w:rPr>
          <w:rFonts w:cs="Arial"/>
          <w:szCs w:val="20"/>
        </w:rPr>
        <w:t>zahraniční korporace v odvětví</w:t>
      </w:r>
      <w:r w:rsidR="00221E44">
        <w:rPr>
          <w:rFonts w:cs="Arial"/>
          <w:szCs w:val="20"/>
        </w:rPr>
        <w:t>ch</w:t>
      </w:r>
      <w:r w:rsidRPr="0071083E">
        <w:rPr>
          <w:rFonts w:cs="Arial"/>
          <w:szCs w:val="20"/>
        </w:rPr>
        <w:t xml:space="preserve"> </w:t>
      </w:r>
      <w:r w:rsidR="00726388">
        <w:rPr>
          <w:rFonts w:cs="Arial"/>
          <w:szCs w:val="20"/>
        </w:rPr>
        <w:t>P</w:t>
      </w:r>
      <w:r>
        <w:rPr>
          <w:rFonts w:cs="Arial"/>
          <w:szCs w:val="20"/>
        </w:rPr>
        <w:t>růmysl</w:t>
      </w:r>
      <w:r w:rsidR="00221E44">
        <w:rPr>
          <w:rFonts w:cs="Arial"/>
          <w:szCs w:val="20"/>
        </w:rPr>
        <w:t>, Informační a</w:t>
      </w:r>
      <w:r w:rsidR="00BC33C6">
        <w:rPr>
          <w:rFonts w:cs="Arial"/>
          <w:szCs w:val="20"/>
        </w:rPr>
        <w:t> </w:t>
      </w:r>
      <w:r w:rsidR="00221E44">
        <w:rPr>
          <w:rFonts w:cs="Arial"/>
          <w:szCs w:val="20"/>
        </w:rPr>
        <w:t>komunikační činnosti</w:t>
      </w:r>
      <w:r>
        <w:rPr>
          <w:rFonts w:cs="Arial"/>
          <w:szCs w:val="20"/>
        </w:rPr>
        <w:t xml:space="preserve"> či </w:t>
      </w:r>
      <w:r w:rsidR="00726388">
        <w:rPr>
          <w:rFonts w:cs="Arial"/>
          <w:szCs w:val="20"/>
        </w:rPr>
        <w:t>P</w:t>
      </w:r>
      <w:r>
        <w:rPr>
          <w:rFonts w:cs="Arial"/>
          <w:szCs w:val="20"/>
        </w:rPr>
        <w:t>eněžnictví a pojišťovnictví</w:t>
      </w:r>
      <w:r w:rsidRPr="0071083E">
        <w:rPr>
          <w:rFonts w:cs="Arial"/>
          <w:szCs w:val="20"/>
        </w:rPr>
        <w:t xml:space="preserve">. </w:t>
      </w:r>
      <w:r w:rsidR="005C2BD9">
        <w:rPr>
          <w:rFonts w:cs="Arial"/>
          <w:szCs w:val="20"/>
        </w:rPr>
        <w:t>Tato kapitola je proto zaměřena</w:t>
      </w:r>
      <w:r w:rsidRPr="0071083E">
        <w:rPr>
          <w:rFonts w:cs="Arial"/>
          <w:szCs w:val="20"/>
        </w:rPr>
        <w:t xml:space="preserve"> na specifika dalšího vzdělávání nejen v těchto oblastech, ale i na další firmy, které do dalšího vzdělávání investují o něco méně či minimálně. </w:t>
      </w:r>
      <w:r w:rsidR="005C2BD9">
        <w:rPr>
          <w:rFonts w:cs="Arial"/>
          <w:szCs w:val="20"/>
        </w:rPr>
        <w:t>Cílem je analyzovat</w:t>
      </w:r>
      <w:r w:rsidRPr="0071083E">
        <w:rPr>
          <w:rFonts w:cs="Arial"/>
          <w:szCs w:val="20"/>
        </w:rPr>
        <w:t>, v čem se dané firmy odlišují a co je společnými znaky firem podle organizování kurzů a finanční i</w:t>
      </w:r>
      <w:r>
        <w:rPr>
          <w:rFonts w:cs="Arial"/>
          <w:szCs w:val="20"/>
        </w:rPr>
        <w:t>nvestice do dalšího vzdělávání.</w:t>
      </w:r>
    </w:p>
    <w:p w:rsidR="001E71EA" w:rsidRPr="0071083E" w:rsidRDefault="001E71EA" w:rsidP="00CA0FFC">
      <w:pPr>
        <w:spacing w:after="0"/>
        <w:contextualSpacing/>
        <w:jc w:val="both"/>
        <w:rPr>
          <w:rFonts w:cs="Arial"/>
          <w:szCs w:val="20"/>
        </w:rPr>
      </w:pPr>
    </w:p>
    <w:p w:rsidR="001E71EA" w:rsidRPr="0071083E" w:rsidRDefault="005C2BD9" w:rsidP="00CA0FFC">
      <w:pPr>
        <w:spacing w:after="0"/>
        <w:contextualSpacing/>
        <w:jc w:val="both"/>
        <w:rPr>
          <w:rFonts w:cs="Arial"/>
          <w:szCs w:val="20"/>
        </w:rPr>
      </w:pPr>
      <w:r>
        <w:rPr>
          <w:rFonts w:cs="Arial"/>
          <w:szCs w:val="20"/>
        </w:rPr>
        <w:t>Za tímto účelem byla vytvořena t</w:t>
      </w:r>
      <w:r w:rsidR="001E71EA" w:rsidRPr="0071083E">
        <w:rPr>
          <w:rFonts w:cs="Arial"/>
          <w:szCs w:val="20"/>
        </w:rPr>
        <w:t>ypologi</w:t>
      </w:r>
      <w:r>
        <w:rPr>
          <w:rFonts w:cs="Arial"/>
          <w:szCs w:val="20"/>
        </w:rPr>
        <w:t>e</w:t>
      </w:r>
      <w:r w:rsidR="001E71EA" w:rsidRPr="0071083E">
        <w:rPr>
          <w:rFonts w:cs="Arial"/>
          <w:szCs w:val="20"/>
        </w:rPr>
        <w:t xml:space="preserve"> firem</w:t>
      </w:r>
      <w:r w:rsidR="001E71EA">
        <w:rPr>
          <w:rFonts w:cs="Arial"/>
          <w:szCs w:val="20"/>
        </w:rPr>
        <w:t>, která rozděluje firmy do tří</w:t>
      </w:r>
      <w:r w:rsidR="001E71EA" w:rsidRPr="0071083E">
        <w:rPr>
          <w:rFonts w:cs="Arial"/>
          <w:szCs w:val="20"/>
        </w:rPr>
        <w:t xml:space="preserve"> typů podle </w:t>
      </w:r>
      <w:r w:rsidR="001E71EA" w:rsidRPr="0071083E">
        <w:rPr>
          <w:rFonts w:cs="Arial"/>
          <w:i/>
          <w:szCs w:val="20"/>
        </w:rPr>
        <w:t>organizování nepovinných kurzů a</w:t>
      </w:r>
      <w:r w:rsidR="001E71EA">
        <w:rPr>
          <w:rFonts w:cs="Arial"/>
          <w:i/>
          <w:szCs w:val="20"/>
        </w:rPr>
        <w:t xml:space="preserve"> školení, </w:t>
      </w:r>
      <w:r w:rsidR="001E71EA" w:rsidRPr="0071083E">
        <w:rPr>
          <w:rFonts w:cs="Arial"/>
          <w:szCs w:val="20"/>
        </w:rPr>
        <w:t xml:space="preserve">podle </w:t>
      </w:r>
      <w:r w:rsidR="001E71EA">
        <w:rPr>
          <w:rFonts w:cs="Arial"/>
          <w:szCs w:val="20"/>
        </w:rPr>
        <w:t xml:space="preserve">zajišťování </w:t>
      </w:r>
      <w:r w:rsidR="001E71EA" w:rsidRPr="0071083E">
        <w:rPr>
          <w:rFonts w:cs="Arial"/>
          <w:i/>
          <w:szCs w:val="20"/>
        </w:rPr>
        <w:t>jiných forem vzdělávání</w:t>
      </w:r>
      <w:r w:rsidR="001E71EA">
        <w:rPr>
          <w:rStyle w:val="Znakapoznpodarou"/>
          <w:rFonts w:cs="Arial"/>
          <w:i/>
          <w:szCs w:val="20"/>
        </w:rPr>
        <w:footnoteReference w:id="22"/>
      </w:r>
      <w:r w:rsidR="001E71EA" w:rsidRPr="0071083E">
        <w:rPr>
          <w:rFonts w:cs="Arial"/>
          <w:szCs w:val="20"/>
        </w:rPr>
        <w:t xml:space="preserve"> a podle </w:t>
      </w:r>
      <w:r w:rsidR="001E71EA" w:rsidRPr="0071083E">
        <w:rPr>
          <w:rFonts w:cs="Arial"/>
          <w:i/>
          <w:szCs w:val="20"/>
        </w:rPr>
        <w:t>výše vyna</w:t>
      </w:r>
      <w:r w:rsidR="00236AF1">
        <w:rPr>
          <w:rFonts w:cs="Arial"/>
          <w:i/>
          <w:szCs w:val="20"/>
        </w:rPr>
        <w:t xml:space="preserve">ložených nákladů na zajišťování </w:t>
      </w:r>
      <w:r w:rsidR="001E71EA" w:rsidRPr="0071083E">
        <w:rPr>
          <w:rFonts w:cs="Arial"/>
          <w:i/>
          <w:szCs w:val="20"/>
        </w:rPr>
        <w:t>vzdělávání zaměstnanců</w:t>
      </w:r>
      <w:r w:rsidR="001E71EA" w:rsidRPr="0071083E">
        <w:rPr>
          <w:rFonts w:cs="Arial"/>
          <w:szCs w:val="20"/>
        </w:rPr>
        <w:t xml:space="preserve">. </w:t>
      </w:r>
      <w:r>
        <w:rPr>
          <w:rFonts w:cs="Arial"/>
          <w:szCs w:val="20"/>
        </w:rPr>
        <w:t>Míra f</w:t>
      </w:r>
      <w:r w:rsidR="001E71EA" w:rsidRPr="0071083E">
        <w:rPr>
          <w:rFonts w:cs="Arial"/>
          <w:szCs w:val="20"/>
        </w:rPr>
        <w:t xml:space="preserve">inancování </w:t>
      </w:r>
      <w:r w:rsidR="00236AF1">
        <w:rPr>
          <w:rFonts w:cs="Arial"/>
          <w:szCs w:val="20"/>
        </w:rPr>
        <w:t xml:space="preserve">firemního </w:t>
      </w:r>
      <w:r w:rsidR="001E71EA" w:rsidRPr="0071083E">
        <w:rPr>
          <w:rFonts w:cs="Arial"/>
          <w:szCs w:val="20"/>
        </w:rPr>
        <w:t xml:space="preserve">vzdělávání </w:t>
      </w:r>
      <w:r>
        <w:rPr>
          <w:rFonts w:cs="Arial"/>
          <w:szCs w:val="20"/>
        </w:rPr>
        <w:t>se posuzuje na základě čtyř kategorií</w:t>
      </w:r>
      <w:r w:rsidR="001E71EA" w:rsidRPr="0071083E">
        <w:rPr>
          <w:rFonts w:cs="Arial"/>
          <w:szCs w:val="20"/>
        </w:rPr>
        <w:t xml:space="preserve"> vynaložených investic, a to do 10 000 Kč, 10 000 Kč až 25 000 Kč, 25 000 Kč až 100 000 Kč a nad 100 000 Kč. Tři typy společností se v těchto parametrech odlišují podle časové </w:t>
      </w:r>
      <w:r w:rsidR="00236AF1">
        <w:rPr>
          <w:rFonts w:cs="Arial"/>
          <w:szCs w:val="20"/>
        </w:rPr>
        <w:t xml:space="preserve">investice </w:t>
      </w:r>
      <w:r w:rsidR="001E71EA" w:rsidRPr="0071083E">
        <w:rPr>
          <w:rFonts w:cs="Arial"/>
          <w:szCs w:val="20"/>
        </w:rPr>
        <w:t>(organizace kurzů a</w:t>
      </w:r>
      <w:r w:rsidR="008C78A2">
        <w:rPr>
          <w:rFonts w:cs="Arial"/>
          <w:szCs w:val="20"/>
        </w:rPr>
        <w:t> </w:t>
      </w:r>
      <w:r w:rsidR="001E71EA" w:rsidRPr="0071083E">
        <w:rPr>
          <w:rFonts w:cs="Arial"/>
          <w:szCs w:val="20"/>
        </w:rPr>
        <w:t xml:space="preserve">jiných forem vzdělávání) a finanční investice do </w:t>
      </w:r>
      <w:r w:rsidR="001E71EA">
        <w:rPr>
          <w:rFonts w:cs="Arial"/>
          <w:szCs w:val="20"/>
        </w:rPr>
        <w:t xml:space="preserve">vzdělávání </w:t>
      </w:r>
      <w:r>
        <w:rPr>
          <w:rFonts w:cs="Arial"/>
          <w:szCs w:val="20"/>
        </w:rPr>
        <w:t xml:space="preserve">zaměstnanců </w:t>
      </w:r>
      <w:r w:rsidR="001E71EA" w:rsidRPr="0071083E">
        <w:rPr>
          <w:rFonts w:cs="Arial"/>
          <w:szCs w:val="20"/>
        </w:rPr>
        <w:t xml:space="preserve">a tvoří tak </w:t>
      </w:r>
      <w:r w:rsidR="001E71EA" w:rsidRPr="0071083E">
        <w:rPr>
          <w:rFonts w:cs="Arial"/>
          <w:i/>
          <w:szCs w:val="20"/>
        </w:rPr>
        <w:t xml:space="preserve">Firmy s největším zájmem o </w:t>
      </w:r>
      <w:r>
        <w:rPr>
          <w:rFonts w:cs="Arial"/>
          <w:i/>
          <w:szCs w:val="20"/>
        </w:rPr>
        <w:t>vzdělávání</w:t>
      </w:r>
      <w:r w:rsidR="00236AF1">
        <w:rPr>
          <w:rFonts w:cs="Arial"/>
          <w:i/>
          <w:szCs w:val="20"/>
        </w:rPr>
        <w:t xml:space="preserve"> zaměstnanců</w:t>
      </w:r>
      <w:r w:rsidR="001E71EA" w:rsidRPr="0071083E">
        <w:rPr>
          <w:rFonts w:cs="Arial"/>
          <w:szCs w:val="20"/>
        </w:rPr>
        <w:t xml:space="preserve">, </w:t>
      </w:r>
      <w:r w:rsidR="001E71EA" w:rsidRPr="0071083E">
        <w:rPr>
          <w:rFonts w:cs="Arial"/>
          <w:i/>
          <w:szCs w:val="20"/>
        </w:rPr>
        <w:t xml:space="preserve">Firmy se středním zájmem o </w:t>
      </w:r>
      <w:r>
        <w:rPr>
          <w:rFonts w:cs="Arial"/>
          <w:i/>
          <w:szCs w:val="20"/>
        </w:rPr>
        <w:t>vzdělávání</w:t>
      </w:r>
      <w:r w:rsidR="00236AF1">
        <w:rPr>
          <w:rFonts w:cs="Arial"/>
          <w:szCs w:val="20"/>
        </w:rPr>
        <w:t xml:space="preserve"> </w:t>
      </w:r>
      <w:r w:rsidR="00236AF1" w:rsidRPr="00236AF1">
        <w:rPr>
          <w:rFonts w:cs="Arial"/>
          <w:i/>
          <w:szCs w:val="20"/>
        </w:rPr>
        <w:t xml:space="preserve">zaměstnanců </w:t>
      </w:r>
      <w:r w:rsidR="001E71EA" w:rsidRPr="0071083E">
        <w:rPr>
          <w:rFonts w:cs="Arial"/>
          <w:szCs w:val="20"/>
        </w:rPr>
        <w:t xml:space="preserve">a </w:t>
      </w:r>
      <w:r w:rsidR="001E71EA" w:rsidRPr="0071083E">
        <w:rPr>
          <w:rFonts w:cs="Arial"/>
          <w:i/>
          <w:szCs w:val="20"/>
        </w:rPr>
        <w:t>Firmy s</w:t>
      </w:r>
      <w:r w:rsidR="008C78A2">
        <w:rPr>
          <w:rFonts w:cs="Arial"/>
          <w:i/>
          <w:szCs w:val="20"/>
        </w:rPr>
        <w:t> </w:t>
      </w:r>
      <w:r w:rsidR="001E71EA" w:rsidRPr="0071083E">
        <w:rPr>
          <w:rFonts w:cs="Arial"/>
          <w:i/>
          <w:szCs w:val="20"/>
        </w:rPr>
        <w:t xml:space="preserve">minimálním zájmem o </w:t>
      </w:r>
      <w:r>
        <w:rPr>
          <w:rFonts w:cs="Arial"/>
          <w:i/>
          <w:szCs w:val="20"/>
        </w:rPr>
        <w:t>vzdělávání</w:t>
      </w:r>
      <w:r w:rsidR="00236AF1">
        <w:rPr>
          <w:rFonts w:cs="Arial"/>
          <w:i/>
          <w:szCs w:val="20"/>
        </w:rPr>
        <w:t xml:space="preserve"> zaměstnanců</w:t>
      </w:r>
      <w:r w:rsidR="001E71EA" w:rsidRPr="0071083E">
        <w:rPr>
          <w:rFonts w:cs="Arial"/>
          <w:szCs w:val="20"/>
        </w:rPr>
        <w:t>.</w:t>
      </w:r>
    </w:p>
    <w:p w:rsidR="001E71EA" w:rsidRPr="0071083E" w:rsidRDefault="001E71EA" w:rsidP="00CA0FFC">
      <w:pPr>
        <w:spacing w:after="0"/>
        <w:contextualSpacing/>
        <w:rPr>
          <w:rFonts w:cs="Arial"/>
          <w:szCs w:val="20"/>
        </w:rPr>
      </w:pPr>
    </w:p>
    <w:p w:rsidR="001E71EA" w:rsidRDefault="001E71EA" w:rsidP="00AB2EEA">
      <w:pPr>
        <w:spacing w:after="120"/>
        <w:rPr>
          <w:rFonts w:cs="Arial"/>
          <w:szCs w:val="20"/>
        </w:rPr>
      </w:pPr>
      <w:bookmarkStart w:id="232" w:name="_Toc480383348"/>
      <w:bookmarkStart w:id="233" w:name="_Toc490472763"/>
      <w:bookmarkStart w:id="234" w:name="_Toc499217445"/>
      <w:bookmarkStart w:id="235" w:name="_Toc499301602"/>
      <w:bookmarkStart w:id="236" w:name="_Toc499302383"/>
      <w:r w:rsidRPr="00AA7325">
        <w:rPr>
          <w:b/>
          <w:color w:val="C00000"/>
        </w:rPr>
        <w:t>Firmy s největším zájmem</w:t>
      </w:r>
      <w:r w:rsidRPr="00AA7325" w:rsidDel="0030054E">
        <w:rPr>
          <w:b/>
          <w:color w:val="C00000"/>
        </w:rPr>
        <w:t xml:space="preserve"> </w:t>
      </w:r>
      <w:r w:rsidRPr="00AA7325">
        <w:rPr>
          <w:b/>
          <w:color w:val="C00000"/>
        </w:rPr>
        <w:t xml:space="preserve">o </w:t>
      </w:r>
      <w:bookmarkEnd w:id="232"/>
      <w:bookmarkEnd w:id="233"/>
      <w:bookmarkEnd w:id="234"/>
      <w:bookmarkEnd w:id="235"/>
      <w:bookmarkEnd w:id="236"/>
      <w:r w:rsidR="005C2BD9">
        <w:rPr>
          <w:b/>
          <w:color w:val="C00000"/>
        </w:rPr>
        <w:t>vzdělávání</w:t>
      </w:r>
      <w:r w:rsidR="00236AF1">
        <w:rPr>
          <w:b/>
          <w:color w:val="C00000"/>
        </w:rPr>
        <w:t xml:space="preserve"> zaměstnanců</w:t>
      </w:r>
      <w:r w:rsidR="00555035">
        <w:rPr>
          <w:b/>
          <w:color w:val="C00000"/>
        </w:rPr>
        <w:t xml:space="preserve"> (VZ)</w:t>
      </w:r>
    </w:p>
    <w:p w:rsidR="001E71EA" w:rsidRPr="009A25DB" w:rsidRDefault="001E71EA" w:rsidP="00CA0FFC">
      <w:pPr>
        <w:pStyle w:val="Normln1"/>
        <w:spacing w:after="0" w:line="288" w:lineRule="auto"/>
        <w:ind w:firstLine="0"/>
        <w:contextualSpacing/>
        <w:rPr>
          <w:rFonts w:ascii="Arial" w:hAnsi="Arial" w:cs="Arial"/>
          <w:b/>
          <w:sz w:val="20"/>
          <w:szCs w:val="20"/>
        </w:rPr>
      </w:pPr>
      <w:r w:rsidRPr="0071083E">
        <w:rPr>
          <w:rFonts w:ascii="Arial" w:hAnsi="Arial" w:cs="Arial"/>
          <w:sz w:val="20"/>
          <w:szCs w:val="20"/>
        </w:rPr>
        <w:t>První typ firem s největším zájmem</w:t>
      </w:r>
      <w:r w:rsidRPr="0071083E" w:rsidDel="0030054E">
        <w:rPr>
          <w:rFonts w:ascii="Arial" w:hAnsi="Arial" w:cs="Arial"/>
          <w:sz w:val="20"/>
          <w:szCs w:val="20"/>
        </w:rPr>
        <w:t xml:space="preserve"> </w:t>
      </w:r>
      <w:r w:rsidRPr="0071083E">
        <w:rPr>
          <w:rFonts w:ascii="Arial" w:hAnsi="Arial" w:cs="Arial"/>
          <w:sz w:val="20"/>
          <w:szCs w:val="20"/>
        </w:rPr>
        <w:t xml:space="preserve">o </w:t>
      </w:r>
      <w:r w:rsidR="005C2BD9">
        <w:rPr>
          <w:rFonts w:ascii="Arial" w:hAnsi="Arial" w:cs="Arial"/>
          <w:sz w:val="20"/>
          <w:szCs w:val="20"/>
        </w:rPr>
        <w:t>vzdělávání</w:t>
      </w:r>
      <w:r w:rsidRPr="0071083E">
        <w:rPr>
          <w:rFonts w:ascii="Arial" w:hAnsi="Arial" w:cs="Arial"/>
          <w:sz w:val="20"/>
          <w:szCs w:val="20"/>
        </w:rPr>
        <w:t xml:space="preserve"> spojuje větší míra</w:t>
      </w:r>
      <w:r w:rsidR="00AD02E2">
        <w:rPr>
          <w:rFonts w:ascii="Arial" w:hAnsi="Arial" w:cs="Arial"/>
          <w:sz w:val="20"/>
          <w:szCs w:val="20"/>
        </w:rPr>
        <w:t xml:space="preserve"> organizování nepovinných kurzů/</w:t>
      </w:r>
      <w:r w:rsidRPr="0071083E">
        <w:rPr>
          <w:rFonts w:ascii="Arial" w:hAnsi="Arial" w:cs="Arial"/>
          <w:sz w:val="20"/>
          <w:szCs w:val="20"/>
        </w:rPr>
        <w:t>školení i</w:t>
      </w:r>
      <w:r w:rsidR="008C78A2">
        <w:rPr>
          <w:rFonts w:ascii="Arial" w:hAnsi="Arial" w:cs="Arial"/>
          <w:sz w:val="20"/>
          <w:szCs w:val="20"/>
        </w:rPr>
        <w:t> </w:t>
      </w:r>
      <w:r w:rsidRPr="0071083E">
        <w:rPr>
          <w:rFonts w:ascii="Arial" w:hAnsi="Arial" w:cs="Arial"/>
          <w:sz w:val="20"/>
          <w:szCs w:val="20"/>
        </w:rPr>
        <w:t>pořádání jiných forem vzdělávání pro své zaměstnance. Tyto firmy zároveň vynalož</w:t>
      </w:r>
      <w:r w:rsidR="00555035">
        <w:rPr>
          <w:rFonts w:ascii="Arial" w:hAnsi="Arial" w:cs="Arial"/>
          <w:sz w:val="20"/>
          <w:szCs w:val="20"/>
        </w:rPr>
        <w:t>ily</w:t>
      </w:r>
      <w:r w:rsidRPr="0071083E">
        <w:rPr>
          <w:rFonts w:ascii="Arial" w:hAnsi="Arial" w:cs="Arial"/>
          <w:sz w:val="20"/>
          <w:szCs w:val="20"/>
        </w:rPr>
        <w:t xml:space="preserve"> na dovzdělání svých zaměstnanců více </w:t>
      </w:r>
      <w:r w:rsidR="002516FD">
        <w:rPr>
          <w:rFonts w:ascii="Arial" w:hAnsi="Arial" w:cs="Arial"/>
          <w:sz w:val="20"/>
          <w:szCs w:val="20"/>
        </w:rPr>
        <w:t>než</w:t>
      </w:r>
      <w:r w:rsidRPr="0071083E">
        <w:rPr>
          <w:rFonts w:ascii="Arial" w:hAnsi="Arial" w:cs="Arial"/>
          <w:sz w:val="20"/>
          <w:szCs w:val="20"/>
        </w:rPr>
        <w:t xml:space="preserve"> 25 000 Kč ročně. </w:t>
      </w:r>
      <w:r w:rsidR="004C5F81">
        <w:rPr>
          <w:rFonts w:ascii="Arial" w:hAnsi="Arial" w:cs="Arial"/>
          <w:sz w:val="20"/>
          <w:szCs w:val="20"/>
        </w:rPr>
        <w:t xml:space="preserve">Značná většina firem </w:t>
      </w:r>
      <w:r w:rsidR="00E00286">
        <w:rPr>
          <w:rFonts w:ascii="Arial" w:hAnsi="Arial" w:cs="Arial"/>
          <w:sz w:val="20"/>
          <w:szCs w:val="20"/>
        </w:rPr>
        <w:t xml:space="preserve">s více než 250 zaměstnanci </w:t>
      </w:r>
      <w:r w:rsidR="004C5F81">
        <w:rPr>
          <w:rFonts w:ascii="Arial" w:hAnsi="Arial" w:cs="Arial"/>
          <w:sz w:val="20"/>
          <w:szCs w:val="20"/>
        </w:rPr>
        <w:t xml:space="preserve">(70 %) vykazovala charakteristiky firem s největším zájmem o </w:t>
      </w:r>
      <w:r w:rsidR="005C2BD9">
        <w:rPr>
          <w:rFonts w:ascii="Arial" w:hAnsi="Arial" w:cs="Arial"/>
          <w:sz w:val="20"/>
          <w:szCs w:val="20"/>
        </w:rPr>
        <w:t>vzdělávání zaměstnanců</w:t>
      </w:r>
      <w:r w:rsidR="004C5F81">
        <w:rPr>
          <w:rFonts w:ascii="Arial" w:hAnsi="Arial" w:cs="Arial"/>
          <w:sz w:val="20"/>
          <w:szCs w:val="20"/>
        </w:rPr>
        <w:t xml:space="preserve">. </w:t>
      </w:r>
      <w:r w:rsidR="00BD2998">
        <w:rPr>
          <w:rFonts w:ascii="Arial" w:hAnsi="Arial" w:cs="Arial"/>
          <w:sz w:val="20"/>
          <w:szCs w:val="20"/>
        </w:rPr>
        <w:t xml:space="preserve">Firem </w:t>
      </w:r>
      <w:r w:rsidR="00E00286">
        <w:rPr>
          <w:rFonts w:ascii="Arial" w:hAnsi="Arial" w:cs="Arial"/>
          <w:sz w:val="20"/>
          <w:szCs w:val="20"/>
        </w:rPr>
        <w:t xml:space="preserve">s 50–249 zaměstnanci patřily do této kategorie </w:t>
      </w:r>
      <w:r w:rsidR="00BD2998">
        <w:rPr>
          <w:rFonts w:ascii="Arial" w:hAnsi="Arial" w:cs="Arial"/>
          <w:sz w:val="20"/>
          <w:szCs w:val="20"/>
        </w:rPr>
        <w:t xml:space="preserve">2/5 </w:t>
      </w:r>
      <w:r w:rsidRPr="0071083E">
        <w:rPr>
          <w:rFonts w:ascii="Arial" w:hAnsi="Arial" w:cs="Arial"/>
          <w:sz w:val="20"/>
          <w:szCs w:val="20"/>
        </w:rPr>
        <w:t xml:space="preserve">(viz </w:t>
      </w:r>
      <w:r w:rsidR="00F12CE1">
        <w:rPr>
          <w:rFonts w:ascii="Arial" w:hAnsi="Arial" w:cs="Arial"/>
          <w:sz w:val="20"/>
          <w:szCs w:val="20"/>
        </w:rPr>
        <w:t>graf č. 44).</w:t>
      </w:r>
    </w:p>
    <w:p w:rsidR="001E71EA" w:rsidRPr="0071083E" w:rsidRDefault="001E71EA" w:rsidP="001E71EA">
      <w:pPr>
        <w:pStyle w:val="Normln1"/>
        <w:spacing w:after="0"/>
        <w:ind w:firstLine="0"/>
        <w:contextualSpacing/>
        <w:rPr>
          <w:rFonts w:ascii="Arial" w:hAnsi="Arial" w:cs="Arial"/>
          <w:sz w:val="20"/>
          <w:szCs w:val="20"/>
        </w:rPr>
      </w:pPr>
    </w:p>
    <w:p w:rsidR="001E71EA" w:rsidRDefault="002516FD" w:rsidP="002516FD">
      <w:pPr>
        <w:pStyle w:val="Titulek"/>
        <w:rPr>
          <w:rFonts w:cs="Arial"/>
        </w:rPr>
      </w:pPr>
      <w:bookmarkStart w:id="237" w:name="_Ref499543374"/>
      <w:bookmarkStart w:id="238" w:name="_Ref499543414"/>
      <w:bookmarkStart w:id="239" w:name="_Toc501615627"/>
      <w:r>
        <w:t xml:space="preserve">Graf č. </w:t>
      </w:r>
      <w:r w:rsidR="00E13170">
        <w:fldChar w:fldCharType="begin"/>
      </w:r>
      <w:r w:rsidR="00E13170">
        <w:instrText xml:space="preserve"> SEQ Graf_č. \* ARABIC </w:instrText>
      </w:r>
      <w:r w:rsidR="00E13170">
        <w:fldChar w:fldCharType="separate"/>
      </w:r>
      <w:r w:rsidR="00476EDB">
        <w:rPr>
          <w:noProof/>
        </w:rPr>
        <w:t>44</w:t>
      </w:r>
      <w:r w:rsidR="00E13170">
        <w:rPr>
          <w:noProof/>
        </w:rPr>
        <w:fldChar w:fldCharType="end"/>
      </w:r>
      <w:bookmarkEnd w:id="237"/>
      <w:r>
        <w:t xml:space="preserve">: </w:t>
      </w:r>
      <w:r>
        <w:rPr>
          <w:rFonts w:cs="Arial"/>
        </w:rPr>
        <w:t>Zájem firem o vzdělávání zaměstnanců podle velikosti firmy, 2015</w:t>
      </w:r>
      <w:bookmarkEnd w:id="238"/>
      <w:bookmarkEnd w:id="239"/>
    </w:p>
    <w:p w:rsidR="001E71EA" w:rsidRPr="0071083E" w:rsidRDefault="006750CA" w:rsidP="001E71EA">
      <w:pPr>
        <w:pStyle w:val="Normln1"/>
        <w:spacing w:after="0" w:line="23" w:lineRule="atLeast"/>
        <w:ind w:firstLine="0"/>
        <w:contextualSpacing/>
        <w:rPr>
          <w:rFonts w:ascii="Arial" w:hAnsi="Arial" w:cs="Arial"/>
          <w:sz w:val="20"/>
          <w:szCs w:val="20"/>
        </w:rPr>
      </w:pPr>
      <w:r>
        <w:rPr>
          <w:noProof/>
          <w:lang w:eastAsia="cs-CZ"/>
        </w:rPr>
        <w:drawing>
          <wp:inline distT="0" distB="0" distL="0" distR="0" wp14:anchorId="328B86E7" wp14:editId="30812CB0">
            <wp:extent cx="6048375" cy="2743200"/>
            <wp:effectExtent l="0" t="0" r="0" b="0"/>
            <wp:docPr id="114" name="Graf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4C5F81" w:rsidRDefault="004C5F81" w:rsidP="00EA1457">
      <w:pPr>
        <w:pStyle w:val="Normln1"/>
        <w:spacing w:after="0" w:line="23" w:lineRule="atLeast"/>
        <w:ind w:firstLine="0"/>
        <w:contextualSpacing/>
        <w:rPr>
          <w:rFonts w:ascii="Arial" w:hAnsi="Arial" w:cs="Arial"/>
          <w:sz w:val="18"/>
          <w:szCs w:val="20"/>
        </w:rPr>
      </w:pPr>
    </w:p>
    <w:p w:rsidR="001E71EA" w:rsidRDefault="001E71EA" w:rsidP="00EA1457">
      <w:pPr>
        <w:pStyle w:val="Normln1"/>
        <w:spacing w:after="0" w:line="23" w:lineRule="atLeast"/>
        <w:ind w:firstLine="0"/>
        <w:contextualSpacing/>
        <w:rPr>
          <w:rFonts w:ascii="Arial" w:hAnsi="Arial" w:cs="Arial"/>
          <w:sz w:val="20"/>
          <w:szCs w:val="20"/>
        </w:rPr>
      </w:pPr>
      <w:r w:rsidRPr="0071083E">
        <w:rPr>
          <w:rFonts w:ascii="Arial" w:hAnsi="Arial" w:cs="Arial"/>
          <w:sz w:val="18"/>
          <w:szCs w:val="20"/>
        </w:rPr>
        <w:t>Zdroj</w:t>
      </w:r>
      <w:r w:rsidRPr="0071083E">
        <w:rPr>
          <w:rFonts w:ascii="Arial" w:hAnsi="Arial" w:cs="Arial"/>
          <w:sz w:val="20"/>
          <w:szCs w:val="20"/>
        </w:rPr>
        <w:t>: šetření CVTS, ČSÚ 2017</w:t>
      </w:r>
    </w:p>
    <w:p w:rsidR="001E71EA" w:rsidRPr="0071083E" w:rsidRDefault="001E71EA" w:rsidP="001E71EA">
      <w:pPr>
        <w:pStyle w:val="Normln1"/>
        <w:spacing w:after="0" w:line="23" w:lineRule="atLeast"/>
        <w:contextualSpacing/>
        <w:rPr>
          <w:rFonts w:ascii="Arial" w:hAnsi="Arial" w:cs="Arial"/>
          <w:sz w:val="20"/>
          <w:szCs w:val="20"/>
        </w:rPr>
      </w:pPr>
    </w:p>
    <w:p w:rsidR="001E71EA" w:rsidRDefault="0032771E" w:rsidP="00CA0FFC">
      <w:pPr>
        <w:pStyle w:val="Normln1"/>
        <w:spacing w:after="0" w:line="288" w:lineRule="auto"/>
        <w:ind w:firstLine="0"/>
        <w:contextualSpacing/>
        <w:rPr>
          <w:rFonts w:ascii="Arial" w:hAnsi="Arial" w:cs="Arial"/>
          <w:sz w:val="20"/>
          <w:szCs w:val="20"/>
        </w:rPr>
      </w:pPr>
      <w:r>
        <w:rPr>
          <w:rFonts w:ascii="Arial" w:hAnsi="Arial" w:cs="Arial"/>
          <w:sz w:val="20"/>
          <w:szCs w:val="20"/>
        </w:rPr>
        <w:lastRenderedPageBreak/>
        <w:t xml:space="preserve">Téměř polovina firem z odvětví </w:t>
      </w:r>
      <w:r w:rsidR="00726388">
        <w:rPr>
          <w:rFonts w:ascii="Arial" w:hAnsi="Arial" w:cs="Arial"/>
          <w:sz w:val="20"/>
          <w:szCs w:val="20"/>
        </w:rPr>
        <w:t>P</w:t>
      </w:r>
      <w:r>
        <w:rPr>
          <w:rFonts w:ascii="Arial" w:hAnsi="Arial" w:cs="Arial"/>
          <w:sz w:val="20"/>
          <w:szCs w:val="20"/>
        </w:rPr>
        <w:t>eněžnictví a pojišťovnictví (sekce K) patří do skupiny firem s největším zájmem</w:t>
      </w:r>
      <w:r w:rsidR="002516FD">
        <w:rPr>
          <w:rFonts w:ascii="Arial" w:hAnsi="Arial" w:cs="Arial"/>
          <w:sz w:val="20"/>
          <w:szCs w:val="20"/>
        </w:rPr>
        <w:t xml:space="preserve"> o </w:t>
      </w:r>
      <w:r w:rsidR="00DC615A">
        <w:rPr>
          <w:rFonts w:ascii="Arial" w:hAnsi="Arial" w:cs="Arial"/>
          <w:sz w:val="20"/>
          <w:szCs w:val="20"/>
        </w:rPr>
        <w:t>vzdělávání</w:t>
      </w:r>
      <w:r w:rsidR="00726388">
        <w:rPr>
          <w:rFonts w:ascii="Arial" w:hAnsi="Arial" w:cs="Arial"/>
          <w:sz w:val="20"/>
          <w:szCs w:val="20"/>
        </w:rPr>
        <w:t>. V závěsu se nachází odvětví I</w:t>
      </w:r>
      <w:r>
        <w:rPr>
          <w:rFonts w:ascii="Arial" w:hAnsi="Arial" w:cs="Arial"/>
          <w:sz w:val="20"/>
          <w:szCs w:val="20"/>
        </w:rPr>
        <w:t>nformační a komunikační</w:t>
      </w:r>
      <w:r w:rsidR="00221E44">
        <w:rPr>
          <w:rFonts w:ascii="Arial" w:hAnsi="Arial" w:cs="Arial"/>
          <w:sz w:val="20"/>
          <w:szCs w:val="20"/>
        </w:rPr>
        <w:t xml:space="preserve"> činnosti</w:t>
      </w:r>
      <w:r>
        <w:rPr>
          <w:rFonts w:ascii="Arial" w:hAnsi="Arial" w:cs="Arial"/>
          <w:sz w:val="20"/>
          <w:szCs w:val="20"/>
        </w:rPr>
        <w:t xml:space="preserve"> (sekce J) s</w:t>
      </w:r>
      <w:r w:rsidR="00BC33C6">
        <w:rPr>
          <w:rFonts w:ascii="Arial" w:hAnsi="Arial" w:cs="Arial"/>
          <w:sz w:val="20"/>
          <w:szCs w:val="20"/>
        </w:rPr>
        <w:t> </w:t>
      </w:r>
      <w:r>
        <w:rPr>
          <w:rFonts w:ascii="Arial" w:hAnsi="Arial" w:cs="Arial"/>
          <w:sz w:val="20"/>
          <w:szCs w:val="20"/>
        </w:rPr>
        <w:t>45</w:t>
      </w:r>
      <w:r w:rsidR="00BC33C6">
        <w:rPr>
          <w:rFonts w:ascii="Arial" w:hAnsi="Arial" w:cs="Arial"/>
          <w:sz w:val="20"/>
          <w:szCs w:val="20"/>
        </w:rPr>
        <w:t> </w:t>
      </w:r>
      <w:r>
        <w:rPr>
          <w:rFonts w:ascii="Arial" w:hAnsi="Arial" w:cs="Arial"/>
          <w:sz w:val="20"/>
          <w:szCs w:val="20"/>
        </w:rPr>
        <w:t>%</w:t>
      </w:r>
      <w:r w:rsidR="00BC33C6">
        <w:rPr>
          <w:rFonts w:ascii="Arial" w:hAnsi="Arial" w:cs="Arial"/>
          <w:sz w:val="20"/>
          <w:szCs w:val="20"/>
        </w:rPr>
        <w:t> </w:t>
      </w:r>
      <w:r>
        <w:rPr>
          <w:rFonts w:ascii="Arial" w:hAnsi="Arial" w:cs="Arial"/>
          <w:sz w:val="20"/>
          <w:szCs w:val="20"/>
        </w:rPr>
        <w:t>firem</w:t>
      </w:r>
      <w:r w:rsidR="00E96A62">
        <w:rPr>
          <w:rFonts w:ascii="Arial" w:hAnsi="Arial" w:cs="Arial"/>
          <w:sz w:val="20"/>
          <w:szCs w:val="20"/>
        </w:rPr>
        <w:t>.</w:t>
      </w:r>
    </w:p>
    <w:p w:rsidR="001E71EA" w:rsidRPr="0071083E" w:rsidRDefault="001E71EA" w:rsidP="00CA0FFC">
      <w:pPr>
        <w:pStyle w:val="Normln1"/>
        <w:spacing w:after="0" w:line="288" w:lineRule="auto"/>
        <w:ind w:firstLine="0"/>
        <w:contextualSpacing/>
        <w:rPr>
          <w:rFonts w:ascii="Arial" w:hAnsi="Arial" w:cs="Arial"/>
          <w:sz w:val="20"/>
          <w:szCs w:val="20"/>
        </w:rPr>
      </w:pPr>
    </w:p>
    <w:p w:rsidR="001E71EA" w:rsidRDefault="000440D5" w:rsidP="00CA0FFC">
      <w:pPr>
        <w:pStyle w:val="Normln1"/>
        <w:spacing w:after="0" w:line="288" w:lineRule="auto"/>
        <w:ind w:firstLine="0"/>
        <w:contextualSpacing/>
        <w:rPr>
          <w:rFonts w:ascii="Arial" w:hAnsi="Arial" w:cs="Arial"/>
          <w:sz w:val="20"/>
          <w:szCs w:val="20"/>
        </w:rPr>
      </w:pPr>
      <w:r>
        <w:rPr>
          <w:rFonts w:ascii="Arial" w:hAnsi="Arial" w:cs="Arial"/>
          <w:sz w:val="20"/>
          <w:szCs w:val="20"/>
        </w:rPr>
        <w:t xml:space="preserve">Zatímco polovina firem se zahraničním vlastníkem vykazovala nejvyšší zájem o </w:t>
      </w:r>
      <w:r w:rsidR="00DC615A">
        <w:rPr>
          <w:rFonts w:ascii="Arial" w:hAnsi="Arial" w:cs="Arial"/>
          <w:sz w:val="20"/>
          <w:szCs w:val="20"/>
        </w:rPr>
        <w:t>vzdělávání zaměstnanců</w:t>
      </w:r>
      <w:r>
        <w:rPr>
          <w:rFonts w:ascii="Arial" w:hAnsi="Arial" w:cs="Arial"/>
          <w:sz w:val="20"/>
          <w:szCs w:val="20"/>
        </w:rPr>
        <w:t xml:space="preserve">, českých firem byla méně než pětina. Souvisí to se skutečností, že firmy se zahraničním vlastníkem jsou zpravidla větší a jak vyplynulo z analýzy, s růstem podniku roste </w:t>
      </w:r>
      <w:r w:rsidR="002516FD">
        <w:rPr>
          <w:rFonts w:ascii="Arial" w:hAnsi="Arial" w:cs="Arial"/>
          <w:sz w:val="20"/>
          <w:szCs w:val="20"/>
        </w:rPr>
        <w:t xml:space="preserve">i </w:t>
      </w:r>
      <w:r>
        <w:rPr>
          <w:rFonts w:ascii="Arial" w:hAnsi="Arial" w:cs="Arial"/>
          <w:sz w:val="20"/>
          <w:szCs w:val="20"/>
        </w:rPr>
        <w:t>podíl firem poskytujících vzdělávání.</w:t>
      </w:r>
    </w:p>
    <w:p w:rsidR="001C4160" w:rsidRPr="0071083E" w:rsidRDefault="001C4160" w:rsidP="00CA0FFC">
      <w:pPr>
        <w:pStyle w:val="Normln1"/>
        <w:spacing w:after="0" w:line="288" w:lineRule="auto"/>
        <w:ind w:firstLine="0"/>
        <w:contextualSpacing/>
        <w:rPr>
          <w:rFonts w:ascii="Arial" w:hAnsi="Arial" w:cs="Arial"/>
          <w:sz w:val="20"/>
          <w:szCs w:val="20"/>
        </w:rPr>
      </w:pPr>
    </w:p>
    <w:p w:rsidR="001E71EA" w:rsidRDefault="001E71EA" w:rsidP="00CA0FFC">
      <w:pPr>
        <w:pStyle w:val="Normln1"/>
        <w:spacing w:after="0" w:line="288" w:lineRule="auto"/>
        <w:ind w:firstLine="0"/>
        <w:contextualSpacing/>
        <w:rPr>
          <w:rFonts w:ascii="Arial" w:hAnsi="Arial" w:cs="Arial"/>
          <w:sz w:val="20"/>
          <w:szCs w:val="20"/>
        </w:rPr>
      </w:pPr>
      <w:r w:rsidRPr="0071083E">
        <w:rPr>
          <w:rFonts w:ascii="Arial" w:hAnsi="Arial" w:cs="Arial"/>
          <w:sz w:val="20"/>
          <w:szCs w:val="20"/>
        </w:rPr>
        <w:t xml:space="preserve">Největší zájem o </w:t>
      </w:r>
      <w:r w:rsidR="00DC615A">
        <w:rPr>
          <w:rFonts w:ascii="Arial" w:hAnsi="Arial" w:cs="Arial"/>
          <w:sz w:val="20"/>
          <w:szCs w:val="20"/>
        </w:rPr>
        <w:t>firemní vzdělávání</w:t>
      </w:r>
      <w:r w:rsidRPr="0071083E">
        <w:rPr>
          <w:rFonts w:ascii="Arial" w:hAnsi="Arial" w:cs="Arial"/>
          <w:sz w:val="20"/>
          <w:szCs w:val="20"/>
        </w:rPr>
        <w:t xml:space="preserve"> závi</w:t>
      </w:r>
      <w:r w:rsidR="00236AF1">
        <w:rPr>
          <w:rFonts w:ascii="Arial" w:hAnsi="Arial" w:cs="Arial"/>
          <w:sz w:val="20"/>
          <w:szCs w:val="20"/>
        </w:rPr>
        <w:t xml:space="preserve">sí na tom, zda má společnost </w:t>
      </w:r>
      <w:r w:rsidRPr="0071083E">
        <w:rPr>
          <w:rFonts w:ascii="Arial" w:hAnsi="Arial" w:cs="Arial"/>
          <w:sz w:val="20"/>
          <w:szCs w:val="20"/>
        </w:rPr>
        <w:t xml:space="preserve">speciálně zaměřený útvar či pověřeného zaměstnance na vzdělávání. Z  firem nejvíce se zajímajících </w:t>
      </w:r>
      <w:r w:rsidR="002516FD">
        <w:rPr>
          <w:rFonts w:ascii="Arial" w:hAnsi="Arial" w:cs="Arial"/>
          <w:sz w:val="20"/>
          <w:szCs w:val="20"/>
        </w:rPr>
        <w:t xml:space="preserve">o </w:t>
      </w:r>
      <w:r w:rsidR="00DC615A">
        <w:rPr>
          <w:rFonts w:ascii="Arial" w:hAnsi="Arial" w:cs="Arial"/>
          <w:sz w:val="20"/>
          <w:szCs w:val="20"/>
        </w:rPr>
        <w:t>problematiku</w:t>
      </w:r>
      <w:r w:rsidR="002516FD">
        <w:rPr>
          <w:rFonts w:ascii="Arial" w:hAnsi="Arial" w:cs="Arial"/>
          <w:sz w:val="20"/>
          <w:szCs w:val="20"/>
        </w:rPr>
        <w:t xml:space="preserve"> </w:t>
      </w:r>
      <w:r w:rsidR="00236AF1">
        <w:rPr>
          <w:rFonts w:ascii="Arial" w:hAnsi="Arial" w:cs="Arial"/>
          <w:sz w:val="20"/>
          <w:szCs w:val="20"/>
        </w:rPr>
        <w:t xml:space="preserve">vzdělávání </w:t>
      </w:r>
      <w:r w:rsidR="002516FD">
        <w:rPr>
          <w:rFonts w:ascii="Arial" w:hAnsi="Arial" w:cs="Arial"/>
          <w:sz w:val="20"/>
          <w:szCs w:val="20"/>
        </w:rPr>
        <w:t>bylo</w:t>
      </w:r>
      <w:r w:rsidRPr="0071083E">
        <w:rPr>
          <w:rFonts w:ascii="Arial" w:hAnsi="Arial" w:cs="Arial"/>
          <w:sz w:val="20"/>
          <w:szCs w:val="20"/>
        </w:rPr>
        <w:t xml:space="preserve"> v téměř 70</w:t>
      </w:r>
      <w:r w:rsidR="00DC615A">
        <w:rPr>
          <w:rFonts w:ascii="Arial" w:hAnsi="Arial" w:cs="Arial"/>
          <w:sz w:val="20"/>
          <w:szCs w:val="20"/>
        </w:rPr>
        <w:t> </w:t>
      </w:r>
      <w:r w:rsidRPr="0071083E">
        <w:rPr>
          <w:rFonts w:ascii="Arial" w:hAnsi="Arial" w:cs="Arial"/>
          <w:sz w:val="20"/>
          <w:szCs w:val="20"/>
        </w:rPr>
        <w:t>% z nich speciální oddělení či pověřen</w:t>
      </w:r>
      <w:r w:rsidR="00DC615A">
        <w:rPr>
          <w:rFonts w:ascii="Arial" w:hAnsi="Arial" w:cs="Arial"/>
          <w:sz w:val="20"/>
          <w:szCs w:val="20"/>
        </w:rPr>
        <w:t>ý</w:t>
      </w:r>
      <w:r w:rsidRPr="0071083E">
        <w:rPr>
          <w:rFonts w:ascii="Arial" w:hAnsi="Arial" w:cs="Arial"/>
          <w:sz w:val="20"/>
          <w:szCs w:val="20"/>
        </w:rPr>
        <w:t xml:space="preserve"> zaměstnanec</w:t>
      </w:r>
      <w:r w:rsidR="00DC615A">
        <w:rPr>
          <w:rFonts w:ascii="Arial" w:hAnsi="Arial" w:cs="Arial"/>
          <w:sz w:val="20"/>
          <w:szCs w:val="20"/>
        </w:rPr>
        <w:t xml:space="preserve"> zodpovědný za </w:t>
      </w:r>
      <w:r w:rsidR="00236AF1">
        <w:rPr>
          <w:rFonts w:ascii="Arial" w:hAnsi="Arial" w:cs="Arial"/>
          <w:sz w:val="20"/>
          <w:szCs w:val="20"/>
        </w:rPr>
        <w:t>tuto oblast</w:t>
      </w:r>
      <w:r w:rsidRPr="0071083E">
        <w:rPr>
          <w:rFonts w:ascii="Arial" w:hAnsi="Arial" w:cs="Arial"/>
          <w:sz w:val="20"/>
          <w:szCs w:val="20"/>
        </w:rPr>
        <w:t>. Celé 4/5 těchto firem také plán</w:t>
      </w:r>
      <w:r w:rsidR="002516FD">
        <w:rPr>
          <w:rFonts w:ascii="Arial" w:hAnsi="Arial" w:cs="Arial"/>
          <w:sz w:val="20"/>
          <w:szCs w:val="20"/>
        </w:rPr>
        <w:t>ovaly</w:t>
      </w:r>
      <w:r w:rsidRPr="0071083E">
        <w:rPr>
          <w:rFonts w:ascii="Arial" w:hAnsi="Arial" w:cs="Arial"/>
          <w:sz w:val="20"/>
          <w:szCs w:val="20"/>
        </w:rPr>
        <w:t xml:space="preserve"> vzdělávání zaměstnanců předem. Evaluace efektivity </w:t>
      </w:r>
      <w:r w:rsidR="00DC615A">
        <w:rPr>
          <w:rFonts w:ascii="Arial" w:hAnsi="Arial" w:cs="Arial"/>
          <w:sz w:val="20"/>
          <w:szCs w:val="20"/>
        </w:rPr>
        <w:t>vzdělávání</w:t>
      </w:r>
      <w:r w:rsidRPr="0071083E">
        <w:rPr>
          <w:rFonts w:ascii="Arial" w:hAnsi="Arial" w:cs="Arial"/>
          <w:sz w:val="20"/>
          <w:szCs w:val="20"/>
        </w:rPr>
        <w:t xml:space="preserve"> </w:t>
      </w:r>
      <w:r w:rsidR="002516FD">
        <w:rPr>
          <w:rFonts w:ascii="Arial" w:hAnsi="Arial" w:cs="Arial"/>
          <w:sz w:val="20"/>
          <w:szCs w:val="20"/>
        </w:rPr>
        <w:t>byla</w:t>
      </w:r>
      <w:r w:rsidRPr="0071083E">
        <w:rPr>
          <w:rFonts w:ascii="Arial" w:hAnsi="Arial" w:cs="Arial"/>
          <w:sz w:val="20"/>
          <w:szCs w:val="20"/>
        </w:rPr>
        <w:t xml:space="preserve"> u více </w:t>
      </w:r>
      <w:r w:rsidR="002516FD">
        <w:rPr>
          <w:rFonts w:ascii="Arial" w:hAnsi="Arial" w:cs="Arial"/>
          <w:sz w:val="20"/>
          <w:szCs w:val="20"/>
        </w:rPr>
        <w:t>než</w:t>
      </w:r>
      <w:r w:rsidRPr="0071083E">
        <w:rPr>
          <w:rFonts w:ascii="Arial" w:hAnsi="Arial" w:cs="Arial"/>
          <w:sz w:val="20"/>
          <w:szCs w:val="20"/>
        </w:rPr>
        <w:t xml:space="preserve"> 80 % z nich samozřejmostí. Na základě dalších charakteristik lze usoudit, že ve firmách existuje souvislost mezi zájmem o organizaci kurzů a finanční dotací </w:t>
      </w:r>
      <w:r w:rsidR="00DC615A">
        <w:rPr>
          <w:rFonts w:ascii="Arial" w:hAnsi="Arial" w:cs="Arial"/>
          <w:sz w:val="20"/>
          <w:szCs w:val="20"/>
        </w:rPr>
        <w:t>na tyto aktivity</w:t>
      </w:r>
      <w:r w:rsidRPr="0071083E">
        <w:rPr>
          <w:rFonts w:ascii="Arial" w:hAnsi="Arial" w:cs="Arial"/>
          <w:sz w:val="20"/>
          <w:szCs w:val="20"/>
        </w:rPr>
        <w:t xml:space="preserve"> a zájmem o kvalitu poskytovan</w:t>
      </w:r>
      <w:r w:rsidR="009D58EA">
        <w:rPr>
          <w:rFonts w:ascii="Arial" w:hAnsi="Arial" w:cs="Arial"/>
          <w:sz w:val="20"/>
          <w:szCs w:val="20"/>
        </w:rPr>
        <w:t xml:space="preserve">ého </w:t>
      </w:r>
      <w:r w:rsidRPr="0071083E">
        <w:rPr>
          <w:rFonts w:ascii="Arial" w:hAnsi="Arial" w:cs="Arial"/>
          <w:sz w:val="20"/>
          <w:szCs w:val="20"/>
        </w:rPr>
        <w:t>vzdělávání.</w:t>
      </w:r>
    </w:p>
    <w:p w:rsidR="001E71EA" w:rsidRPr="0071083E" w:rsidRDefault="001E71EA" w:rsidP="001E71EA">
      <w:pPr>
        <w:pStyle w:val="Normln1"/>
        <w:spacing w:after="0"/>
        <w:ind w:firstLine="0"/>
        <w:contextualSpacing/>
        <w:rPr>
          <w:rFonts w:ascii="Arial" w:hAnsi="Arial" w:cs="Arial"/>
          <w:sz w:val="20"/>
          <w:szCs w:val="20"/>
        </w:rPr>
      </w:pPr>
      <w:r w:rsidRPr="0071083E">
        <w:rPr>
          <w:rFonts w:ascii="Arial" w:hAnsi="Arial" w:cs="Arial"/>
          <w:sz w:val="20"/>
          <w:szCs w:val="20"/>
        </w:rPr>
        <w:t xml:space="preserve"> </w:t>
      </w:r>
    </w:p>
    <w:p w:rsidR="001E71EA" w:rsidRPr="00AA7325" w:rsidRDefault="001E71EA" w:rsidP="00AB2EEA">
      <w:pPr>
        <w:spacing w:after="120"/>
        <w:rPr>
          <w:rFonts w:cs="Arial"/>
          <w:b/>
          <w:color w:val="C00000"/>
          <w:szCs w:val="20"/>
        </w:rPr>
      </w:pPr>
      <w:bookmarkStart w:id="240" w:name="_Toc480383352"/>
      <w:bookmarkStart w:id="241" w:name="_Toc490472764"/>
      <w:bookmarkStart w:id="242" w:name="_Toc499217446"/>
      <w:bookmarkStart w:id="243" w:name="_Toc499301603"/>
      <w:bookmarkStart w:id="244" w:name="_Toc499302384"/>
      <w:r w:rsidRPr="00AA7325">
        <w:rPr>
          <w:b/>
          <w:color w:val="C00000"/>
        </w:rPr>
        <w:t xml:space="preserve">Firmy se středním zájmem o </w:t>
      </w:r>
      <w:bookmarkEnd w:id="240"/>
      <w:bookmarkEnd w:id="241"/>
      <w:bookmarkEnd w:id="242"/>
      <w:bookmarkEnd w:id="243"/>
      <w:bookmarkEnd w:id="244"/>
      <w:r w:rsidR="00DC615A">
        <w:rPr>
          <w:b/>
          <w:color w:val="C00000"/>
        </w:rPr>
        <w:t>vzdělávání zaměstnanců</w:t>
      </w:r>
    </w:p>
    <w:p w:rsidR="001E71EA" w:rsidRDefault="001E71EA" w:rsidP="00CA0FFC">
      <w:pPr>
        <w:spacing w:after="0"/>
        <w:contextualSpacing/>
        <w:jc w:val="both"/>
        <w:rPr>
          <w:rFonts w:cs="Arial"/>
          <w:szCs w:val="20"/>
        </w:rPr>
      </w:pPr>
      <w:r w:rsidRPr="0071083E">
        <w:rPr>
          <w:rFonts w:cs="Arial"/>
          <w:szCs w:val="20"/>
        </w:rPr>
        <w:t xml:space="preserve">Firmy se středním zájmem o </w:t>
      </w:r>
      <w:r w:rsidR="00DC615A">
        <w:rPr>
          <w:rFonts w:cs="Arial"/>
          <w:szCs w:val="20"/>
        </w:rPr>
        <w:t>vzdělávání zaměstnanců</w:t>
      </w:r>
      <w:r w:rsidRPr="0071083E" w:rsidDel="00ED6F8C">
        <w:rPr>
          <w:rFonts w:cs="Arial"/>
          <w:szCs w:val="20"/>
        </w:rPr>
        <w:t xml:space="preserve"> </w:t>
      </w:r>
      <w:r w:rsidRPr="0071083E">
        <w:rPr>
          <w:rFonts w:cs="Arial"/>
          <w:szCs w:val="20"/>
        </w:rPr>
        <w:t xml:space="preserve">organizují nepovinné kurzy a školení pro své zaměstnance. Jiné formy vzdělávání však již nezajišťují. Investice do </w:t>
      </w:r>
      <w:r w:rsidR="00DC615A">
        <w:rPr>
          <w:rFonts w:cs="Arial"/>
          <w:szCs w:val="20"/>
        </w:rPr>
        <w:t>vzdělávání</w:t>
      </w:r>
      <w:r w:rsidRPr="0071083E">
        <w:rPr>
          <w:rFonts w:cs="Arial"/>
          <w:szCs w:val="20"/>
        </w:rPr>
        <w:t xml:space="preserve"> se pohybují v rozmezí 10 000 Kč až 25 000 Kč ročně.</w:t>
      </w:r>
    </w:p>
    <w:p w:rsidR="001E71EA" w:rsidRPr="0071083E" w:rsidRDefault="001E71EA" w:rsidP="00CA0FFC">
      <w:pPr>
        <w:spacing w:after="0"/>
        <w:contextualSpacing/>
        <w:jc w:val="both"/>
        <w:rPr>
          <w:rFonts w:cs="Arial"/>
          <w:szCs w:val="20"/>
        </w:rPr>
      </w:pPr>
      <w:r w:rsidRPr="0071083E">
        <w:rPr>
          <w:rFonts w:cs="Arial"/>
          <w:szCs w:val="20"/>
        </w:rPr>
        <w:t xml:space="preserve"> </w:t>
      </w:r>
    </w:p>
    <w:p w:rsidR="001E71EA" w:rsidRDefault="00E00286" w:rsidP="00CA0FFC">
      <w:pPr>
        <w:pStyle w:val="Normln1"/>
        <w:spacing w:after="0" w:line="288" w:lineRule="auto"/>
        <w:ind w:firstLine="0"/>
        <w:contextualSpacing/>
        <w:rPr>
          <w:rFonts w:ascii="Arial" w:hAnsi="Arial" w:cs="Arial"/>
          <w:sz w:val="20"/>
          <w:szCs w:val="20"/>
        </w:rPr>
      </w:pPr>
      <w:r>
        <w:rPr>
          <w:rFonts w:ascii="Arial" w:hAnsi="Arial" w:cs="Arial"/>
          <w:sz w:val="20"/>
          <w:szCs w:val="20"/>
        </w:rPr>
        <w:t xml:space="preserve">Nejvyšší podíl firem se středním zájmem </w:t>
      </w:r>
      <w:r w:rsidR="00DC615A">
        <w:rPr>
          <w:rFonts w:ascii="Arial" w:hAnsi="Arial" w:cs="Arial"/>
          <w:sz w:val="20"/>
          <w:szCs w:val="20"/>
        </w:rPr>
        <w:t xml:space="preserve">o firemní vzdělávání </w:t>
      </w:r>
      <w:r>
        <w:rPr>
          <w:rFonts w:ascii="Arial" w:hAnsi="Arial" w:cs="Arial"/>
          <w:sz w:val="20"/>
          <w:szCs w:val="20"/>
        </w:rPr>
        <w:t>se nacházel ve středně velkých firmách od</w:t>
      </w:r>
      <w:r w:rsidR="00FD4F5A">
        <w:rPr>
          <w:rFonts w:ascii="Arial" w:hAnsi="Arial" w:cs="Arial"/>
          <w:sz w:val="20"/>
          <w:szCs w:val="20"/>
        </w:rPr>
        <w:t> </w:t>
      </w:r>
      <w:r>
        <w:rPr>
          <w:rFonts w:ascii="Arial" w:hAnsi="Arial" w:cs="Arial"/>
          <w:sz w:val="20"/>
          <w:szCs w:val="20"/>
        </w:rPr>
        <w:t>20</w:t>
      </w:r>
      <w:r w:rsidR="00C57ABA">
        <w:rPr>
          <w:rFonts w:ascii="Arial" w:hAnsi="Arial" w:cs="Arial"/>
          <w:sz w:val="20"/>
          <w:szCs w:val="20"/>
        </w:rPr>
        <w:t> </w:t>
      </w:r>
      <w:r>
        <w:rPr>
          <w:rFonts w:ascii="Arial" w:hAnsi="Arial" w:cs="Arial"/>
          <w:sz w:val="20"/>
          <w:szCs w:val="20"/>
        </w:rPr>
        <w:t xml:space="preserve">do 50 zaměstnanců (16 % z nich). Podíly podle velikosti firmy byly poměrně vyrovnané až na výjimku, kterou tvořily největší firmy s více než 250 zaměstnanci. Střední zájem </w:t>
      </w:r>
      <w:r w:rsidR="00DC615A">
        <w:rPr>
          <w:rFonts w:ascii="Arial" w:hAnsi="Arial" w:cs="Arial"/>
          <w:sz w:val="20"/>
          <w:szCs w:val="20"/>
        </w:rPr>
        <w:t>o další vzdělávání</w:t>
      </w:r>
      <w:r>
        <w:rPr>
          <w:rFonts w:ascii="Arial" w:hAnsi="Arial" w:cs="Arial"/>
          <w:sz w:val="20"/>
          <w:szCs w:val="20"/>
        </w:rPr>
        <w:t xml:space="preserve"> projevila pouze 4</w:t>
      </w:r>
      <w:r w:rsidR="00C57ABA">
        <w:rPr>
          <w:rFonts w:ascii="Arial" w:hAnsi="Arial" w:cs="Arial"/>
          <w:sz w:val="20"/>
          <w:szCs w:val="20"/>
        </w:rPr>
        <w:t> </w:t>
      </w:r>
      <w:r>
        <w:rPr>
          <w:rFonts w:ascii="Arial" w:hAnsi="Arial" w:cs="Arial"/>
          <w:sz w:val="20"/>
          <w:szCs w:val="20"/>
        </w:rPr>
        <w:t>% firem</w:t>
      </w:r>
      <w:r w:rsidR="00DC615A">
        <w:rPr>
          <w:rFonts w:ascii="Arial" w:hAnsi="Arial" w:cs="Arial"/>
          <w:sz w:val="20"/>
          <w:szCs w:val="20"/>
        </w:rPr>
        <w:t xml:space="preserve"> v této velikostní kategorii</w:t>
      </w:r>
      <w:r>
        <w:rPr>
          <w:rFonts w:ascii="Arial" w:hAnsi="Arial" w:cs="Arial"/>
          <w:sz w:val="20"/>
          <w:szCs w:val="20"/>
        </w:rPr>
        <w:t xml:space="preserve"> </w:t>
      </w:r>
      <w:r w:rsidR="001E71EA" w:rsidRPr="006704AC">
        <w:rPr>
          <w:rFonts w:ascii="Arial" w:hAnsi="Arial" w:cs="Arial"/>
          <w:sz w:val="20"/>
          <w:szCs w:val="20"/>
        </w:rPr>
        <w:t>(viz</w:t>
      </w:r>
      <w:r w:rsidR="00260E7C">
        <w:rPr>
          <w:rFonts w:ascii="Arial" w:hAnsi="Arial" w:cs="Arial"/>
          <w:sz w:val="20"/>
          <w:szCs w:val="20"/>
        </w:rPr>
        <w:t xml:space="preserve"> </w:t>
      </w:r>
      <w:r w:rsidR="00F12CE1">
        <w:rPr>
          <w:rFonts w:ascii="Arial" w:hAnsi="Arial" w:cs="Arial"/>
          <w:sz w:val="20"/>
          <w:szCs w:val="20"/>
        </w:rPr>
        <w:t>graf č. 44).</w:t>
      </w:r>
    </w:p>
    <w:p w:rsidR="001E71EA" w:rsidRPr="0071083E" w:rsidRDefault="001E71EA" w:rsidP="00CA0FFC">
      <w:pPr>
        <w:pStyle w:val="Normln1"/>
        <w:spacing w:after="0" w:line="288" w:lineRule="auto"/>
        <w:ind w:firstLine="0"/>
        <w:contextualSpacing/>
        <w:rPr>
          <w:rFonts w:ascii="Arial" w:hAnsi="Arial" w:cs="Arial"/>
          <w:sz w:val="20"/>
          <w:szCs w:val="20"/>
        </w:rPr>
      </w:pPr>
      <w:r w:rsidRPr="0071083E">
        <w:rPr>
          <w:rFonts w:ascii="Arial" w:hAnsi="Arial" w:cs="Arial"/>
          <w:sz w:val="20"/>
          <w:szCs w:val="20"/>
        </w:rPr>
        <w:t xml:space="preserve"> </w:t>
      </w:r>
    </w:p>
    <w:p w:rsidR="001E71EA" w:rsidRDefault="00E96A62" w:rsidP="00CA0FFC">
      <w:pPr>
        <w:pStyle w:val="Normln1"/>
        <w:spacing w:after="0" w:line="288" w:lineRule="auto"/>
        <w:ind w:firstLine="0"/>
        <w:contextualSpacing/>
        <w:rPr>
          <w:rFonts w:ascii="Arial" w:hAnsi="Arial" w:cs="Arial"/>
          <w:sz w:val="20"/>
          <w:szCs w:val="20"/>
        </w:rPr>
      </w:pPr>
      <w:r>
        <w:rPr>
          <w:rFonts w:ascii="Arial" w:hAnsi="Arial" w:cs="Arial"/>
          <w:sz w:val="20"/>
          <w:szCs w:val="20"/>
        </w:rPr>
        <w:t xml:space="preserve">Pětina firem z odvětví </w:t>
      </w:r>
      <w:r w:rsidR="00726388">
        <w:rPr>
          <w:rFonts w:ascii="Arial" w:hAnsi="Arial" w:cs="Arial"/>
          <w:sz w:val="20"/>
          <w:szCs w:val="20"/>
        </w:rPr>
        <w:t>S</w:t>
      </w:r>
      <w:r>
        <w:rPr>
          <w:rFonts w:ascii="Arial" w:hAnsi="Arial" w:cs="Arial"/>
          <w:sz w:val="20"/>
          <w:szCs w:val="20"/>
        </w:rPr>
        <w:t xml:space="preserve">tavebnictví (sekce F) patří do skupiny firem se středním zájmem o </w:t>
      </w:r>
      <w:r w:rsidR="00DC615A">
        <w:rPr>
          <w:rFonts w:ascii="Arial" w:hAnsi="Arial" w:cs="Arial"/>
          <w:sz w:val="20"/>
          <w:szCs w:val="20"/>
        </w:rPr>
        <w:t>vzdělávání zaměstnanců</w:t>
      </w:r>
      <w:r>
        <w:rPr>
          <w:rFonts w:ascii="Arial" w:hAnsi="Arial" w:cs="Arial"/>
          <w:sz w:val="20"/>
          <w:szCs w:val="20"/>
        </w:rPr>
        <w:t>. Po</w:t>
      </w:r>
      <w:r w:rsidR="00726388">
        <w:rPr>
          <w:rFonts w:ascii="Arial" w:hAnsi="Arial" w:cs="Arial"/>
          <w:sz w:val="20"/>
          <w:szCs w:val="20"/>
        </w:rPr>
        <w:t>dobný podíl vykazuje i odvětví D</w:t>
      </w:r>
      <w:r>
        <w:rPr>
          <w:rFonts w:ascii="Arial" w:hAnsi="Arial" w:cs="Arial"/>
          <w:sz w:val="20"/>
          <w:szCs w:val="20"/>
        </w:rPr>
        <w:t xml:space="preserve">oprava </w:t>
      </w:r>
      <w:r w:rsidR="00221E44">
        <w:rPr>
          <w:rFonts w:ascii="Arial" w:hAnsi="Arial" w:cs="Arial"/>
          <w:sz w:val="20"/>
          <w:szCs w:val="20"/>
        </w:rPr>
        <w:t xml:space="preserve">a skladování </w:t>
      </w:r>
      <w:r>
        <w:rPr>
          <w:rFonts w:ascii="Arial" w:hAnsi="Arial" w:cs="Arial"/>
          <w:sz w:val="20"/>
          <w:szCs w:val="20"/>
        </w:rPr>
        <w:t xml:space="preserve">(sekce H). </w:t>
      </w:r>
      <w:r w:rsidR="000440D5">
        <w:rPr>
          <w:rFonts w:ascii="Arial" w:hAnsi="Arial" w:cs="Arial"/>
          <w:sz w:val="20"/>
          <w:szCs w:val="20"/>
        </w:rPr>
        <w:t xml:space="preserve">Do skupiny firem se středním zájmem o </w:t>
      </w:r>
      <w:r w:rsidR="00DC615A">
        <w:rPr>
          <w:rFonts w:ascii="Arial" w:hAnsi="Arial" w:cs="Arial"/>
          <w:sz w:val="20"/>
          <w:szCs w:val="20"/>
        </w:rPr>
        <w:t xml:space="preserve">firemní vzdělávání </w:t>
      </w:r>
      <w:r w:rsidR="000440D5">
        <w:rPr>
          <w:rFonts w:ascii="Arial" w:hAnsi="Arial" w:cs="Arial"/>
          <w:sz w:val="20"/>
          <w:szCs w:val="20"/>
        </w:rPr>
        <w:t>patřilo 14 % firem původem z České republiky a necelá desetina firem se zahraničním vlastníkem.</w:t>
      </w:r>
    </w:p>
    <w:p w:rsidR="001E71EA" w:rsidRPr="0071083E" w:rsidRDefault="001E71EA" w:rsidP="00CA0FFC">
      <w:pPr>
        <w:pStyle w:val="Normln1"/>
        <w:spacing w:after="0" w:line="288" w:lineRule="auto"/>
        <w:ind w:firstLine="0"/>
        <w:contextualSpacing/>
        <w:rPr>
          <w:rFonts w:ascii="Arial" w:hAnsi="Arial" w:cs="Arial"/>
          <w:sz w:val="20"/>
          <w:szCs w:val="20"/>
        </w:rPr>
      </w:pPr>
      <w:r w:rsidRPr="0071083E">
        <w:rPr>
          <w:rFonts w:ascii="Arial" w:hAnsi="Arial" w:cs="Arial"/>
          <w:sz w:val="20"/>
          <w:szCs w:val="20"/>
        </w:rPr>
        <w:t xml:space="preserve"> </w:t>
      </w:r>
    </w:p>
    <w:p w:rsidR="001E71EA" w:rsidRDefault="001E71EA" w:rsidP="00CA0FFC">
      <w:pPr>
        <w:pStyle w:val="Normln1"/>
        <w:spacing w:after="0" w:line="288" w:lineRule="auto"/>
        <w:ind w:firstLine="0"/>
        <w:contextualSpacing/>
        <w:rPr>
          <w:rFonts w:ascii="Arial" w:hAnsi="Arial" w:cs="Arial"/>
          <w:sz w:val="20"/>
          <w:szCs w:val="20"/>
        </w:rPr>
      </w:pPr>
      <w:r w:rsidRPr="0071083E">
        <w:rPr>
          <w:rFonts w:ascii="Arial" w:hAnsi="Arial" w:cs="Arial"/>
          <w:sz w:val="20"/>
          <w:szCs w:val="20"/>
        </w:rPr>
        <w:t>Úspora času a financí v</w:t>
      </w:r>
      <w:r w:rsidR="00DC615A">
        <w:rPr>
          <w:rFonts w:ascii="Arial" w:hAnsi="Arial" w:cs="Arial"/>
          <w:sz w:val="20"/>
          <w:szCs w:val="20"/>
        </w:rPr>
        <w:t> oblasti dalšího vzdělávání</w:t>
      </w:r>
      <w:r w:rsidRPr="0071083E">
        <w:rPr>
          <w:rFonts w:ascii="Arial" w:hAnsi="Arial" w:cs="Arial"/>
          <w:sz w:val="20"/>
          <w:szCs w:val="20"/>
        </w:rPr>
        <w:t xml:space="preserve"> se projevuje i </w:t>
      </w:r>
      <w:r w:rsidR="00221E44">
        <w:rPr>
          <w:rFonts w:ascii="Arial" w:hAnsi="Arial" w:cs="Arial"/>
          <w:sz w:val="20"/>
          <w:szCs w:val="20"/>
        </w:rPr>
        <w:t>tendencí</w:t>
      </w:r>
      <w:r w:rsidR="00DC615A">
        <w:rPr>
          <w:rFonts w:ascii="Arial" w:hAnsi="Arial" w:cs="Arial"/>
          <w:sz w:val="20"/>
          <w:szCs w:val="20"/>
        </w:rPr>
        <w:t xml:space="preserve"> plánovat </w:t>
      </w:r>
      <w:r w:rsidR="00236AF1">
        <w:rPr>
          <w:rFonts w:ascii="Arial" w:hAnsi="Arial" w:cs="Arial"/>
          <w:sz w:val="20"/>
          <w:szCs w:val="20"/>
        </w:rPr>
        <w:t xml:space="preserve">či hodnotit </w:t>
      </w:r>
      <w:r w:rsidR="00DC615A">
        <w:rPr>
          <w:rFonts w:ascii="Arial" w:hAnsi="Arial" w:cs="Arial"/>
          <w:sz w:val="20"/>
          <w:szCs w:val="20"/>
        </w:rPr>
        <w:t>kurzy, školení či jiné vzdělávací aktivity</w:t>
      </w:r>
      <w:r w:rsidRPr="0071083E">
        <w:rPr>
          <w:rFonts w:ascii="Arial" w:hAnsi="Arial" w:cs="Arial"/>
          <w:sz w:val="20"/>
          <w:szCs w:val="20"/>
        </w:rPr>
        <w:t xml:space="preserve">. Téměř </w:t>
      </w:r>
      <w:r w:rsidR="00DC615A">
        <w:rPr>
          <w:rFonts w:ascii="Arial" w:hAnsi="Arial" w:cs="Arial"/>
          <w:sz w:val="20"/>
          <w:szCs w:val="20"/>
        </w:rPr>
        <w:t>2/3 firem se středním zájmem o firemní vzdělávání</w:t>
      </w:r>
      <w:r w:rsidRPr="0071083E" w:rsidDel="00DD3392">
        <w:rPr>
          <w:rFonts w:ascii="Arial" w:hAnsi="Arial" w:cs="Arial"/>
          <w:sz w:val="20"/>
          <w:szCs w:val="20"/>
        </w:rPr>
        <w:t xml:space="preserve"> </w:t>
      </w:r>
      <w:r w:rsidRPr="0071083E">
        <w:rPr>
          <w:rFonts w:ascii="Arial" w:hAnsi="Arial" w:cs="Arial"/>
          <w:sz w:val="20"/>
          <w:szCs w:val="20"/>
        </w:rPr>
        <w:t>ne</w:t>
      </w:r>
      <w:r w:rsidR="002516FD">
        <w:rPr>
          <w:rFonts w:ascii="Arial" w:hAnsi="Arial" w:cs="Arial"/>
          <w:sz w:val="20"/>
          <w:szCs w:val="20"/>
        </w:rPr>
        <w:t>měly</w:t>
      </w:r>
      <w:r w:rsidRPr="0071083E">
        <w:rPr>
          <w:rFonts w:ascii="Arial" w:hAnsi="Arial" w:cs="Arial"/>
          <w:sz w:val="20"/>
          <w:szCs w:val="20"/>
        </w:rPr>
        <w:t xml:space="preserve"> ve své společnosti nikoho pověřeného (ať už útvar či zodpovědnou osobu), kdo by měl na starost organizaci vzdělávání zaměstnanců. S touto skutečností souvisí, že</w:t>
      </w:r>
      <w:r w:rsidR="002516FD">
        <w:rPr>
          <w:rFonts w:ascii="Arial" w:hAnsi="Arial" w:cs="Arial"/>
          <w:sz w:val="20"/>
          <w:szCs w:val="20"/>
        </w:rPr>
        <w:t xml:space="preserve"> necelé 3/5 organizací neprováděly</w:t>
      </w:r>
      <w:r w:rsidRPr="0071083E">
        <w:rPr>
          <w:rFonts w:ascii="Arial" w:hAnsi="Arial" w:cs="Arial"/>
          <w:sz w:val="20"/>
          <w:szCs w:val="20"/>
        </w:rPr>
        <w:t xml:space="preserve"> evaluaci efektivity zajišťovaného vzdělávání zamě</w:t>
      </w:r>
      <w:r w:rsidR="00D836D2">
        <w:rPr>
          <w:rFonts w:ascii="Arial" w:hAnsi="Arial" w:cs="Arial"/>
          <w:sz w:val="20"/>
          <w:szCs w:val="20"/>
        </w:rPr>
        <w:t xml:space="preserve">stnanců. Na druhou stranu více než </w:t>
      </w:r>
      <w:r w:rsidRPr="0071083E">
        <w:rPr>
          <w:rFonts w:ascii="Arial" w:hAnsi="Arial" w:cs="Arial"/>
          <w:sz w:val="20"/>
          <w:szCs w:val="20"/>
        </w:rPr>
        <w:t>po</w:t>
      </w:r>
      <w:r w:rsidR="002516FD">
        <w:rPr>
          <w:rFonts w:ascii="Arial" w:hAnsi="Arial" w:cs="Arial"/>
          <w:sz w:val="20"/>
          <w:szCs w:val="20"/>
        </w:rPr>
        <w:t>lovina firem plánovala</w:t>
      </w:r>
      <w:r w:rsidR="00D836D2">
        <w:rPr>
          <w:rFonts w:ascii="Arial" w:hAnsi="Arial" w:cs="Arial"/>
          <w:sz w:val="20"/>
          <w:szCs w:val="20"/>
        </w:rPr>
        <w:t xml:space="preserve"> vzdělávání </w:t>
      </w:r>
      <w:r w:rsidRPr="0071083E">
        <w:rPr>
          <w:rFonts w:ascii="Arial" w:hAnsi="Arial" w:cs="Arial"/>
          <w:sz w:val="20"/>
          <w:szCs w:val="20"/>
        </w:rPr>
        <w:t>(viz</w:t>
      </w:r>
      <w:r w:rsidR="00260E7C">
        <w:rPr>
          <w:rFonts w:ascii="Arial" w:hAnsi="Arial" w:cs="Arial"/>
          <w:sz w:val="20"/>
          <w:szCs w:val="20"/>
        </w:rPr>
        <w:t xml:space="preserve"> </w:t>
      </w:r>
      <w:r w:rsidR="00F12CE1">
        <w:rPr>
          <w:rFonts w:ascii="Arial" w:hAnsi="Arial" w:cs="Arial"/>
          <w:sz w:val="20"/>
          <w:szCs w:val="20"/>
        </w:rPr>
        <w:t>graf č. 45)</w:t>
      </w:r>
      <w:r w:rsidRPr="0071083E">
        <w:rPr>
          <w:rFonts w:ascii="Arial" w:hAnsi="Arial" w:cs="Arial"/>
          <w:sz w:val="20"/>
          <w:szCs w:val="20"/>
        </w:rPr>
        <w:t xml:space="preserve">. </w:t>
      </w:r>
    </w:p>
    <w:p w:rsidR="00822763" w:rsidRDefault="00822763" w:rsidP="00CA0FFC">
      <w:pPr>
        <w:pStyle w:val="Normln1"/>
        <w:spacing w:after="0" w:line="288" w:lineRule="auto"/>
        <w:ind w:firstLine="0"/>
        <w:contextualSpacing/>
        <w:rPr>
          <w:rFonts w:ascii="Arial" w:hAnsi="Arial" w:cs="Arial"/>
          <w:sz w:val="20"/>
          <w:szCs w:val="20"/>
        </w:rPr>
      </w:pPr>
    </w:p>
    <w:p w:rsidR="00822763" w:rsidRPr="00AA7325" w:rsidRDefault="00822763" w:rsidP="00AB2EEA">
      <w:pPr>
        <w:spacing w:after="120"/>
        <w:rPr>
          <w:rFonts w:cs="Arial"/>
          <w:b/>
          <w:color w:val="C00000"/>
          <w:szCs w:val="20"/>
        </w:rPr>
      </w:pPr>
      <w:bookmarkStart w:id="245" w:name="_Toc480383356"/>
      <w:bookmarkStart w:id="246" w:name="_Toc490472765"/>
      <w:bookmarkStart w:id="247" w:name="_Toc499217447"/>
      <w:bookmarkStart w:id="248" w:name="_Toc499301604"/>
      <w:bookmarkStart w:id="249" w:name="_Toc499302385"/>
      <w:r w:rsidRPr="00AA7325">
        <w:rPr>
          <w:b/>
          <w:color w:val="C00000"/>
        </w:rPr>
        <w:t xml:space="preserve">Firmy s minimálním zájmem o </w:t>
      </w:r>
      <w:bookmarkEnd w:id="245"/>
      <w:bookmarkEnd w:id="246"/>
      <w:bookmarkEnd w:id="247"/>
      <w:bookmarkEnd w:id="248"/>
      <w:bookmarkEnd w:id="249"/>
      <w:r>
        <w:rPr>
          <w:b/>
          <w:color w:val="C00000"/>
        </w:rPr>
        <w:t>vzdělávání zaměstnanců</w:t>
      </w:r>
    </w:p>
    <w:p w:rsidR="00822763" w:rsidRDefault="00822763" w:rsidP="00822763">
      <w:pPr>
        <w:spacing w:after="0"/>
        <w:contextualSpacing/>
        <w:jc w:val="both"/>
        <w:rPr>
          <w:rFonts w:cs="Arial"/>
          <w:szCs w:val="20"/>
        </w:rPr>
      </w:pPr>
      <w:r w:rsidRPr="0071083E">
        <w:rPr>
          <w:rFonts w:cs="Arial"/>
          <w:szCs w:val="20"/>
        </w:rPr>
        <w:t xml:space="preserve">Poslední typ firem, které se minimálně zajímají o </w:t>
      </w:r>
      <w:r>
        <w:rPr>
          <w:rFonts w:cs="Arial"/>
          <w:szCs w:val="20"/>
        </w:rPr>
        <w:t>firemní vzdělávání</w:t>
      </w:r>
      <w:r w:rsidRPr="0071083E">
        <w:rPr>
          <w:rFonts w:cs="Arial"/>
          <w:szCs w:val="20"/>
        </w:rPr>
        <w:t xml:space="preserve">, </w:t>
      </w:r>
      <w:r>
        <w:rPr>
          <w:rFonts w:cs="Arial"/>
          <w:szCs w:val="20"/>
        </w:rPr>
        <w:t>na něj vynaložily méně než 10 000 Kč ročně a neorganizovaly</w:t>
      </w:r>
      <w:r w:rsidRPr="0071083E">
        <w:rPr>
          <w:rFonts w:cs="Arial"/>
          <w:szCs w:val="20"/>
        </w:rPr>
        <w:t xml:space="preserve"> žádné nadstavbové škol</w:t>
      </w:r>
      <w:r>
        <w:rPr>
          <w:rFonts w:cs="Arial"/>
          <w:szCs w:val="20"/>
        </w:rPr>
        <w:t xml:space="preserve">ení a kurzy pro své zaměstnance </w:t>
      </w:r>
      <w:r w:rsidRPr="0071083E">
        <w:rPr>
          <w:rFonts w:cs="Arial"/>
          <w:szCs w:val="20"/>
        </w:rPr>
        <w:t>kromě základn</w:t>
      </w:r>
      <w:r>
        <w:rPr>
          <w:rFonts w:cs="Arial"/>
          <w:szCs w:val="20"/>
        </w:rPr>
        <w:t>ích ze</w:t>
      </w:r>
      <w:r w:rsidR="00C57ABA">
        <w:rPr>
          <w:rFonts w:cs="Arial"/>
          <w:szCs w:val="20"/>
        </w:rPr>
        <w:t> </w:t>
      </w:r>
      <w:r>
        <w:rPr>
          <w:rFonts w:cs="Arial"/>
          <w:szCs w:val="20"/>
        </w:rPr>
        <w:t>zákona povinných školení. Neorganizovaly</w:t>
      </w:r>
      <w:r w:rsidRPr="0071083E">
        <w:rPr>
          <w:rFonts w:cs="Arial"/>
          <w:szCs w:val="20"/>
        </w:rPr>
        <w:t xml:space="preserve"> </w:t>
      </w:r>
      <w:r>
        <w:rPr>
          <w:rFonts w:cs="Arial"/>
          <w:szCs w:val="20"/>
        </w:rPr>
        <w:t xml:space="preserve">tedy </w:t>
      </w:r>
      <w:r w:rsidRPr="0071083E">
        <w:rPr>
          <w:rFonts w:cs="Arial"/>
          <w:szCs w:val="20"/>
        </w:rPr>
        <w:t xml:space="preserve">nepovinné kurzy </w:t>
      </w:r>
      <w:r>
        <w:rPr>
          <w:rFonts w:cs="Arial"/>
          <w:szCs w:val="20"/>
        </w:rPr>
        <w:t>ani jiné formy vzdělávání.</w:t>
      </w:r>
    </w:p>
    <w:p w:rsidR="00822763" w:rsidRPr="0071083E" w:rsidRDefault="00822763" w:rsidP="00822763">
      <w:pPr>
        <w:spacing w:after="0"/>
        <w:contextualSpacing/>
        <w:jc w:val="both"/>
        <w:rPr>
          <w:rFonts w:cs="Arial"/>
          <w:szCs w:val="20"/>
        </w:rPr>
      </w:pPr>
      <w:r w:rsidRPr="0071083E">
        <w:rPr>
          <w:rFonts w:cs="Arial"/>
          <w:szCs w:val="20"/>
        </w:rPr>
        <w:t xml:space="preserve"> </w:t>
      </w:r>
    </w:p>
    <w:p w:rsidR="00822763" w:rsidRDefault="00822763" w:rsidP="00822763">
      <w:pPr>
        <w:pStyle w:val="Normln1"/>
        <w:spacing w:after="0" w:line="288" w:lineRule="auto"/>
        <w:ind w:firstLine="0"/>
        <w:contextualSpacing/>
        <w:rPr>
          <w:rFonts w:ascii="Arial" w:hAnsi="Arial" w:cs="Arial"/>
          <w:sz w:val="20"/>
          <w:szCs w:val="20"/>
        </w:rPr>
      </w:pPr>
      <w:r>
        <w:rPr>
          <w:rFonts w:ascii="Arial" w:hAnsi="Arial" w:cs="Arial"/>
          <w:sz w:val="20"/>
          <w:szCs w:val="20"/>
        </w:rPr>
        <w:t>Není překvapivé</w:t>
      </w:r>
      <w:r w:rsidRPr="0071083E">
        <w:rPr>
          <w:rFonts w:ascii="Arial" w:hAnsi="Arial" w:cs="Arial"/>
          <w:sz w:val="20"/>
          <w:szCs w:val="20"/>
        </w:rPr>
        <w:t>, že</w:t>
      </w:r>
      <w:r>
        <w:rPr>
          <w:rFonts w:ascii="Arial" w:hAnsi="Arial" w:cs="Arial"/>
          <w:sz w:val="20"/>
          <w:szCs w:val="20"/>
        </w:rPr>
        <w:t xml:space="preserve"> malé firmy rodinného typu se</w:t>
      </w:r>
      <w:r w:rsidRPr="0071083E">
        <w:rPr>
          <w:rFonts w:ascii="Arial" w:hAnsi="Arial" w:cs="Arial"/>
          <w:sz w:val="20"/>
          <w:szCs w:val="20"/>
        </w:rPr>
        <w:t xml:space="preserve"> nejméně zajímají o </w:t>
      </w:r>
      <w:r>
        <w:rPr>
          <w:rFonts w:ascii="Arial" w:hAnsi="Arial" w:cs="Arial"/>
          <w:sz w:val="20"/>
          <w:szCs w:val="20"/>
        </w:rPr>
        <w:t>další vzdělávání zaměstnanců. Třetina firem s 10–19 zaměstnanci patří do této kategorie. S rostoucí velikostí firmy podíl klesá a mezi největšími firmami se našlo pouze 1 % firem, které vykazovaly minimální zájmem o firemní vzdělávání</w:t>
      </w:r>
      <w:r w:rsidRPr="0071083E">
        <w:rPr>
          <w:rFonts w:ascii="Arial" w:hAnsi="Arial" w:cs="Arial"/>
          <w:sz w:val="20"/>
          <w:szCs w:val="20"/>
        </w:rPr>
        <w:t xml:space="preserve"> (</w:t>
      </w:r>
      <w:r w:rsidRPr="006704AC">
        <w:rPr>
          <w:rFonts w:ascii="Arial" w:hAnsi="Arial" w:cs="Arial"/>
          <w:sz w:val="20"/>
          <w:szCs w:val="20"/>
        </w:rPr>
        <w:t xml:space="preserve">viz </w:t>
      </w:r>
      <w:r w:rsidR="00F12CE1">
        <w:rPr>
          <w:rFonts w:ascii="Arial" w:hAnsi="Arial" w:cs="Arial"/>
          <w:sz w:val="20"/>
          <w:szCs w:val="20"/>
        </w:rPr>
        <w:t>graf č. 44)</w:t>
      </w:r>
      <w:r w:rsidRPr="006704AC">
        <w:rPr>
          <w:rFonts w:ascii="Arial" w:hAnsi="Arial" w:cs="Arial"/>
          <w:sz w:val="20"/>
          <w:szCs w:val="20"/>
        </w:rPr>
        <w:t>.</w:t>
      </w:r>
    </w:p>
    <w:p w:rsidR="00822763" w:rsidRPr="0071083E" w:rsidRDefault="00822763" w:rsidP="00822763">
      <w:pPr>
        <w:pStyle w:val="Normln1"/>
        <w:spacing w:after="0" w:line="288" w:lineRule="auto"/>
        <w:ind w:firstLine="0"/>
        <w:contextualSpacing/>
        <w:rPr>
          <w:rFonts w:ascii="Arial" w:hAnsi="Arial" w:cs="Arial"/>
          <w:sz w:val="20"/>
          <w:szCs w:val="20"/>
        </w:rPr>
      </w:pPr>
    </w:p>
    <w:p w:rsidR="00822763" w:rsidRPr="0071083E" w:rsidRDefault="00822763" w:rsidP="00822763">
      <w:pPr>
        <w:pStyle w:val="Normln1"/>
        <w:spacing w:after="0" w:line="288" w:lineRule="auto"/>
        <w:ind w:firstLine="0"/>
        <w:contextualSpacing/>
        <w:rPr>
          <w:rFonts w:ascii="Arial" w:hAnsi="Arial" w:cs="Arial"/>
          <w:sz w:val="20"/>
          <w:szCs w:val="20"/>
        </w:rPr>
      </w:pPr>
      <w:r>
        <w:rPr>
          <w:rFonts w:ascii="Arial" w:hAnsi="Arial" w:cs="Arial"/>
          <w:sz w:val="20"/>
          <w:szCs w:val="20"/>
        </w:rPr>
        <w:t>Jednoznačně nejvyšší podíl firem s minimálním zájmem o vzdělávání zaměstnanců se nacházel v odvětví Ubytování, stravování a pohostinství (sekce I; 47 %). Čtvrtina českých firem byla zařazena mezi firmy s minimálním zájmem, firem se zahraničním vlastníkem v této kategorii byla necelá desetina.</w:t>
      </w:r>
    </w:p>
    <w:p w:rsidR="00822763" w:rsidRPr="0071083E" w:rsidRDefault="00822763" w:rsidP="00822763">
      <w:pPr>
        <w:pStyle w:val="Normln1"/>
        <w:spacing w:after="0" w:line="288" w:lineRule="auto"/>
        <w:ind w:firstLine="0"/>
        <w:contextualSpacing/>
        <w:rPr>
          <w:rFonts w:ascii="Arial" w:hAnsi="Arial" w:cs="Arial"/>
          <w:sz w:val="20"/>
          <w:szCs w:val="20"/>
        </w:rPr>
      </w:pPr>
    </w:p>
    <w:p w:rsidR="00822763" w:rsidRPr="003B793C" w:rsidRDefault="00822763" w:rsidP="00822763">
      <w:pPr>
        <w:pStyle w:val="Normln1"/>
        <w:spacing w:after="0" w:line="288" w:lineRule="auto"/>
        <w:ind w:firstLine="0"/>
        <w:contextualSpacing/>
        <w:rPr>
          <w:rFonts w:ascii="Arial" w:hAnsi="Arial" w:cs="Arial"/>
          <w:sz w:val="20"/>
          <w:szCs w:val="20"/>
        </w:rPr>
      </w:pPr>
      <w:r w:rsidRPr="0071083E">
        <w:rPr>
          <w:rFonts w:ascii="Arial" w:hAnsi="Arial" w:cs="Arial"/>
          <w:sz w:val="20"/>
          <w:szCs w:val="20"/>
        </w:rPr>
        <w:lastRenderedPageBreak/>
        <w:t xml:space="preserve">Vzhledem k nejnižšímu zájmu o </w:t>
      </w:r>
      <w:r>
        <w:rPr>
          <w:rFonts w:ascii="Arial" w:hAnsi="Arial" w:cs="Arial"/>
          <w:sz w:val="20"/>
          <w:szCs w:val="20"/>
        </w:rPr>
        <w:t>vzdělávací aktivity</w:t>
      </w:r>
      <w:r w:rsidRPr="0071083E">
        <w:rPr>
          <w:rFonts w:ascii="Arial" w:hAnsi="Arial" w:cs="Arial"/>
          <w:sz w:val="20"/>
          <w:szCs w:val="20"/>
        </w:rPr>
        <w:t xml:space="preserve"> je pochopitelné, že se firmy snaží minimalizovat i náklady na zaměstnance, kteří by </w:t>
      </w:r>
      <w:r>
        <w:rPr>
          <w:rFonts w:ascii="Arial" w:hAnsi="Arial" w:cs="Arial"/>
          <w:sz w:val="20"/>
          <w:szCs w:val="20"/>
        </w:rPr>
        <w:t>byli zodpovědní za koordinaci vzdělávání zaměstnanců ve firmách.</w:t>
      </w:r>
      <w:r w:rsidRPr="0071083E">
        <w:rPr>
          <w:rFonts w:ascii="Arial" w:hAnsi="Arial" w:cs="Arial"/>
          <w:sz w:val="20"/>
          <w:szCs w:val="20"/>
        </w:rPr>
        <w:t xml:space="preserve"> Většina </w:t>
      </w:r>
      <w:r>
        <w:rPr>
          <w:rFonts w:ascii="Arial" w:hAnsi="Arial" w:cs="Arial"/>
          <w:sz w:val="20"/>
          <w:szCs w:val="20"/>
        </w:rPr>
        <w:t>podniků</w:t>
      </w:r>
      <w:r w:rsidRPr="0071083E">
        <w:rPr>
          <w:rFonts w:ascii="Arial" w:hAnsi="Arial" w:cs="Arial"/>
          <w:sz w:val="20"/>
          <w:szCs w:val="20"/>
        </w:rPr>
        <w:t xml:space="preserve"> (téměř 90 %) </w:t>
      </w:r>
      <w:r>
        <w:rPr>
          <w:rFonts w:ascii="Arial" w:hAnsi="Arial" w:cs="Arial"/>
          <w:sz w:val="20"/>
          <w:szCs w:val="20"/>
        </w:rPr>
        <w:t xml:space="preserve">touto funkcí </w:t>
      </w:r>
      <w:r w:rsidRPr="0071083E">
        <w:rPr>
          <w:rFonts w:ascii="Arial" w:hAnsi="Arial" w:cs="Arial"/>
          <w:sz w:val="20"/>
          <w:szCs w:val="20"/>
        </w:rPr>
        <w:t>nikoho speciálně nepověřuje</w:t>
      </w:r>
      <w:r>
        <w:rPr>
          <w:rFonts w:ascii="Arial" w:hAnsi="Arial" w:cs="Arial"/>
          <w:sz w:val="20"/>
          <w:szCs w:val="20"/>
        </w:rPr>
        <w:t xml:space="preserve">. Více než 2/3 společností s minimálním zájmem o vzdělávání zaměstnanců neplánovaly program vzdělávání předem. </w:t>
      </w:r>
      <w:r w:rsidRPr="0071083E">
        <w:rPr>
          <w:rFonts w:ascii="Arial" w:hAnsi="Arial" w:cs="Arial"/>
          <w:sz w:val="20"/>
          <w:szCs w:val="20"/>
        </w:rPr>
        <w:t>Necelých 90 % firem se také nezabýv</w:t>
      </w:r>
      <w:r>
        <w:rPr>
          <w:rFonts w:ascii="Arial" w:hAnsi="Arial" w:cs="Arial"/>
          <w:sz w:val="20"/>
          <w:szCs w:val="20"/>
        </w:rPr>
        <w:t>alo</w:t>
      </w:r>
      <w:r w:rsidRPr="0071083E">
        <w:rPr>
          <w:rFonts w:ascii="Arial" w:hAnsi="Arial" w:cs="Arial"/>
          <w:sz w:val="20"/>
          <w:szCs w:val="20"/>
        </w:rPr>
        <w:t xml:space="preserve"> evaluací efektivity zajišťovaného </w:t>
      </w:r>
      <w:r>
        <w:rPr>
          <w:rFonts w:ascii="Arial" w:hAnsi="Arial" w:cs="Arial"/>
          <w:sz w:val="20"/>
          <w:szCs w:val="20"/>
        </w:rPr>
        <w:t xml:space="preserve">firemního </w:t>
      </w:r>
      <w:r w:rsidRPr="0071083E">
        <w:rPr>
          <w:rFonts w:ascii="Arial" w:hAnsi="Arial" w:cs="Arial"/>
          <w:sz w:val="20"/>
          <w:szCs w:val="20"/>
        </w:rPr>
        <w:t>vzdělávání.</w:t>
      </w:r>
    </w:p>
    <w:p w:rsidR="001E71EA" w:rsidRDefault="001E71EA" w:rsidP="001E71EA">
      <w:pPr>
        <w:pStyle w:val="Normln1"/>
        <w:spacing w:after="0"/>
        <w:ind w:firstLine="0"/>
        <w:contextualSpacing/>
        <w:rPr>
          <w:rFonts w:ascii="Arial" w:hAnsi="Arial" w:cs="Arial"/>
          <w:sz w:val="20"/>
          <w:szCs w:val="20"/>
        </w:rPr>
      </w:pPr>
    </w:p>
    <w:p w:rsidR="002516FD" w:rsidRPr="00C74574" w:rsidRDefault="002516FD" w:rsidP="002516FD">
      <w:pPr>
        <w:pStyle w:val="Titulek"/>
        <w:rPr>
          <w:rFonts w:cs="Arial"/>
        </w:rPr>
      </w:pPr>
      <w:bookmarkStart w:id="250" w:name="_Ref499543513"/>
      <w:bookmarkStart w:id="251" w:name="_Toc501615628"/>
      <w:r>
        <w:t xml:space="preserve">Graf č. </w:t>
      </w:r>
      <w:r w:rsidR="00E13170">
        <w:fldChar w:fldCharType="begin"/>
      </w:r>
      <w:r w:rsidR="00E13170">
        <w:instrText xml:space="preserve"> SEQ Graf_č. \* ARABIC </w:instrText>
      </w:r>
      <w:r w:rsidR="00E13170">
        <w:fldChar w:fldCharType="separate"/>
      </w:r>
      <w:r w:rsidR="00476EDB">
        <w:rPr>
          <w:noProof/>
        </w:rPr>
        <w:t>45</w:t>
      </w:r>
      <w:r w:rsidR="00E13170">
        <w:rPr>
          <w:noProof/>
        </w:rPr>
        <w:fldChar w:fldCharType="end"/>
      </w:r>
      <w:r>
        <w:t xml:space="preserve">: </w:t>
      </w:r>
      <w:r w:rsidRPr="00D836D2">
        <w:rPr>
          <w:rFonts w:cs="Arial"/>
        </w:rPr>
        <w:t>Organizace</w:t>
      </w:r>
      <w:r w:rsidRPr="00C74574">
        <w:rPr>
          <w:rFonts w:cs="Arial"/>
        </w:rPr>
        <w:t xml:space="preserve"> vzdělávání ve firmách se středním zájmem o </w:t>
      </w:r>
      <w:r>
        <w:rPr>
          <w:rFonts w:cs="Arial"/>
        </w:rPr>
        <w:t>vzdělávání</w:t>
      </w:r>
      <w:r w:rsidR="00DC615A">
        <w:rPr>
          <w:rFonts w:cs="Arial"/>
        </w:rPr>
        <w:t xml:space="preserve"> zaměstnanců</w:t>
      </w:r>
      <w:r>
        <w:rPr>
          <w:rFonts w:cs="Arial"/>
        </w:rPr>
        <w:t>, 2015</w:t>
      </w:r>
      <w:bookmarkEnd w:id="250"/>
      <w:bookmarkEnd w:id="251"/>
    </w:p>
    <w:p w:rsidR="001E71EA" w:rsidRPr="0071083E" w:rsidRDefault="000A77AB" w:rsidP="001E71EA">
      <w:pPr>
        <w:pStyle w:val="Normln1"/>
        <w:spacing w:after="0"/>
        <w:ind w:firstLine="0"/>
        <w:contextualSpacing/>
        <w:rPr>
          <w:rFonts w:ascii="Arial" w:hAnsi="Arial" w:cs="Arial"/>
          <w:sz w:val="20"/>
          <w:szCs w:val="20"/>
        </w:rPr>
      </w:pPr>
      <w:r>
        <w:rPr>
          <w:noProof/>
          <w:lang w:eastAsia="cs-CZ"/>
        </w:rPr>
        <w:drawing>
          <wp:inline distT="0" distB="0" distL="0" distR="0" wp14:anchorId="2FB80F6B" wp14:editId="43343C76">
            <wp:extent cx="6105525" cy="2743200"/>
            <wp:effectExtent l="0" t="0" r="0" b="0"/>
            <wp:docPr id="96" name="Graf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BE1CEB" w:rsidRDefault="00BE1CEB" w:rsidP="00BE1CEB">
      <w:pPr>
        <w:pStyle w:val="Normln1"/>
        <w:spacing w:after="0"/>
        <w:ind w:firstLine="0"/>
        <w:contextualSpacing/>
        <w:rPr>
          <w:rFonts w:ascii="Arial" w:hAnsi="Arial" w:cs="Arial"/>
          <w:sz w:val="20"/>
          <w:szCs w:val="20"/>
        </w:rPr>
      </w:pPr>
    </w:p>
    <w:p w:rsidR="00BE1CEB" w:rsidRDefault="001E71EA" w:rsidP="00BE1CEB">
      <w:pPr>
        <w:pStyle w:val="Normln1"/>
        <w:spacing w:after="0"/>
        <w:ind w:firstLine="0"/>
        <w:contextualSpacing/>
        <w:rPr>
          <w:rFonts w:ascii="Arial" w:hAnsi="Arial" w:cs="Arial"/>
          <w:sz w:val="20"/>
          <w:szCs w:val="20"/>
        </w:rPr>
      </w:pPr>
      <w:r w:rsidRPr="0071083E">
        <w:rPr>
          <w:rFonts w:ascii="Arial" w:hAnsi="Arial" w:cs="Arial"/>
          <w:sz w:val="20"/>
          <w:szCs w:val="20"/>
        </w:rPr>
        <w:t>Zdroj: šetření CVTS, ČSÚ 2017</w:t>
      </w:r>
    </w:p>
    <w:p w:rsidR="00BE1CEB" w:rsidRDefault="00BE1CEB">
      <w:pPr>
        <w:spacing w:after="0" w:line="240" w:lineRule="auto"/>
        <w:rPr>
          <w:rFonts w:eastAsia="Calibri" w:cs="Arial"/>
          <w:szCs w:val="20"/>
          <w:lang w:eastAsia="en-US"/>
        </w:rPr>
      </w:pPr>
    </w:p>
    <w:p w:rsidR="00DC615A" w:rsidRDefault="00DC615A">
      <w:pPr>
        <w:spacing w:after="0" w:line="240" w:lineRule="auto"/>
        <w:rPr>
          <w:rFonts w:eastAsia="Calibri" w:cs="Arial"/>
          <w:szCs w:val="20"/>
          <w:lang w:eastAsia="en-US"/>
        </w:rPr>
      </w:pPr>
    </w:p>
    <w:sectPr w:rsidR="00DC615A" w:rsidSect="006F5416">
      <w:headerReference w:type="even" r:id="rId72"/>
      <w:headerReference w:type="default" r:id="rId73"/>
      <w:footerReference w:type="even" r:id="rId74"/>
      <w:footerReference w:type="default" r:id="rId75"/>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BA" w:rsidRDefault="00F603BA" w:rsidP="00E71A58">
      <w:r>
        <w:separator/>
      </w:r>
    </w:p>
  </w:endnote>
  <w:endnote w:type="continuationSeparator" w:id="0">
    <w:p w:rsidR="00F603BA" w:rsidRDefault="00F603B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BA" w:rsidRPr="00932443" w:rsidRDefault="00F603BA"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34"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E13170">
      <w:rPr>
        <w:szCs w:val="16"/>
      </w:rPr>
      <w:t>14</w:t>
    </w:r>
    <w:r w:rsidRPr="00932443">
      <w:rPr>
        <w:szCs w:val="16"/>
      </w:rPr>
      <w:fldChar w:fldCharType="end"/>
    </w:r>
    <w:r w:rsidRPr="00932443">
      <w:rPr>
        <w:szCs w:val="16"/>
      </w:rPr>
      <w:tab/>
    </w:r>
    <w:r>
      <w:rPr>
        <w:szCs w:val="16"/>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BA" w:rsidRPr="00932443" w:rsidRDefault="00F603BA"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35"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2015</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E13170">
      <w:rPr>
        <w:rStyle w:val="ZpatChar"/>
        <w:szCs w:val="16"/>
      </w:rPr>
      <w:t>13</w:t>
    </w:r>
    <w:r w:rsidRPr="00932443">
      <w:rPr>
        <w:rStyle w:val="ZpatCha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BA" w:rsidRDefault="00F603BA" w:rsidP="00E71A58">
      <w:r>
        <w:separator/>
      </w:r>
    </w:p>
  </w:footnote>
  <w:footnote w:type="continuationSeparator" w:id="0">
    <w:p w:rsidR="00F603BA" w:rsidRDefault="00F603BA" w:rsidP="00E71A58">
      <w:r>
        <w:continuationSeparator/>
      </w:r>
    </w:p>
  </w:footnote>
  <w:footnote w:id="1">
    <w:p w:rsidR="00F603BA" w:rsidRPr="00F266E0" w:rsidRDefault="00F603BA" w:rsidP="00C25DAB">
      <w:pPr>
        <w:pStyle w:val="Textpoznpodarou"/>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Data z předchozích vln šetření za Českou republiku i za státy EU jsou dostupná zde: </w:t>
      </w:r>
      <w:hyperlink r:id="rId1" w:history="1">
        <w:r w:rsidRPr="00F266E0">
          <w:rPr>
            <w:rStyle w:val="Hypertextovodkaz"/>
            <w:rFonts w:ascii="Arial" w:hAnsi="Arial" w:cs="Arial"/>
            <w:color w:val="auto"/>
            <w:sz w:val="18"/>
            <w:szCs w:val="18"/>
          </w:rPr>
          <w:t>http://ec.europa.eu/eurostat/data/database</w:t>
        </w:r>
      </w:hyperlink>
      <w:r w:rsidRPr="00F266E0">
        <w:rPr>
          <w:rFonts w:ascii="Arial" w:hAnsi="Arial" w:cs="Arial"/>
          <w:sz w:val="18"/>
          <w:szCs w:val="18"/>
        </w:rPr>
        <w:t xml:space="preserve">; </w:t>
      </w:r>
      <w:proofErr w:type="spellStart"/>
      <w:r w:rsidRPr="00F266E0">
        <w:rPr>
          <w:rFonts w:ascii="Arial" w:hAnsi="Arial" w:cs="Arial"/>
          <w:sz w:val="18"/>
          <w:szCs w:val="18"/>
        </w:rPr>
        <w:t>Population</w:t>
      </w:r>
      <w:proofErr w:type="spellEnd"/>
      <w:r w:rsidRPr="00F266E0">
        <w:rPr>
          <w:rFonts w:ascii="Arial" w:hAnsi="Arial" w:cs="Arial"/>
          <w:sz w:val="18"/>
          <w:szCs w:val="18"/>
        </w:rPr>
        <w:t xml:space="preserve"> and </w:t>
      </w:r>
      <w:proofErr w:type="spellStart"/>
      <w:r w:rsidRPr="00F266E0">
        <w:rPr>
          <w:rFonts w:ascii="Arial" w:hAnsi="Arial" w:cs="Arial"/>
          <w:sz w:val="18"/>
          <w:szCs w:val="18"/>
        </w:rPr>
        <w:t>social</w:t>
      </w:r>
      <w:proofErr w:type="spellEnd"/>
      <w:r w:rsidRPr="00F266E0">
        <w:rPr>
          <w:rFonts w:ascii="Arial" w:hAnsi="Arial" w:cs="Arial"/>
          <w:sz w:val="18"/>
          <w:szCs w:val="18"/>
        </w:rPr>
        <w:t xml:space="preserve"> </w:t>
      </w:r>
      <w:proofErr w:type="spellStart"/>
      <w:r w:rsidRPr="00F266E0">
        <w:rPr>
          <w:rFonts w:ascii="Arial" w:hAnsi="Arial" w:cs="Arial"/>
          <w:sz w:val="18"/>
          <w:szCs w:val="18"/>
        </w:rPr>
        <w:t>conditions</w:t>
      </w:r>
      <w:proofErr w:type="spellEnd"/>
      <w:r w:rsidRPr="00F266E0">
        <w:rPr>
          <w:rFonts w:ascii="Arial" w:hAnsi="Arial" w:cs="Arial"/>
          <w:sz w:val="18"/>
          <w:szCs w:val="18"/>
        </w:rPr>
        <w:t xml:space="preserve">, </w:t>
      </w:r>
      <w:proofErr w:type="spellStart"/>
      <w:r w:rsidRPr="00F266E0">
        <w:rPr>
          <w:rFonts w:ascii="Arial" w:hAnsi="Arial" w:cs="Arial"/>
          <w:sz w:val="18"/>
          <w:szCs w:val="18"/>
        </w:rPr>
        <w:t>Education</w:t>
      </w:r>
      <w:proofErr w:type="spellEnd"/>
      <w:r w:rsidRPr="00F266E0">
        <w:rPr>
          <w:rFonts w:ascii="Arial" w:hAnsi="Arial" w:cs="Arial"/>
          <w:sz w:val="18"/>
          <w:szCs w:val="18"/>
        </w:rPr>
        <w:t xml:space="preserve"> and </w:t>
      </w:r>
      <w:proofErr w:type="spellStart"/>
      <w:r w:rsidRPr="00F266E0">
        <w:rPr>
          <w:rFonts w:ascii="Arial" w:hAnsi="Arial" w:cs="Arial"/>
          <w:sz w:val="18"/>
          <w:szCs w:val="18"/>
        </w:rPr>
        <w:t>training</w:t>
      </w:r>
      <w:proofErr w:type="spellEnd"/>
      <w:r w:rsidRPr="00F266E0">
        <w:rPr>
          <w:rFonts w:ascii="Arial" w:hAnsi="Arial" w:cs="Arial"/>
          <w:sz w:val="18"/>
          <w:szCs w:val="18"/>
        </w:rPr>
        <w:t xml:space="preserve">, </w:t>
      </w:r>
      <w:proofErr w:type="spellStart"/>
      <w:r w:rsidRPr="00F266E0">
        <w:rPr>
          <w:rFonts w:ascii="Arial" w:hAnsi="Arial" w:cs="Arial"/>
          <w:sz w:val="18"/>
          <w:szCs w:val="18"/>
        </w:rPr>
        <w:t>Participation</w:t>
      </w:r>
      <w:proofErr w:type="spellEnd"/>
      <w:r w:rsidRPr="00F266E0">
        <w:rPr>
          <w:rFonts w:ascii="Arial" w:hAnsi="Arial" w:cs="Arial"/>
          <w:sz w:val="18"/>
          <w:szCs w:val="18"/>
        </w:rPr>
        <w:t xml:space="preserve"> in </w:t>
      </w:r>
      <w:proofErr w:type="spellStart"/>
      <w:r w:rsidRPr="00F266E0">
        <w:rPr>
          <w:rFonts w:ascii="Arial" w:hAnsi="Arial" w:cs="Arial"/>
          <w:sz w:val="18"/>
          <w:szCs w:val="18"/>
        </w:rPr>
        <w:t>education</w:t>
      </w:r>
      <w:proofErr w:type="spellEnd"/>
      <w:r w:rsidRPr="00F266E0">
        <w:rPr>
          <w:rFonts w:ascii="Arial" w:hAnsi="Arial" w:cs="Arial"/>
          <w:sz w:val="18"/>
          <w:szCs w:val="18"/>
        </w:rPr>
        <w:t xml:space="preserve"> and </w:t>
      </w:r>
      <w:proofErr w:type="spellStart"/>
      <w:r w:rsidRPr="00F266E0">
        <w:rPr>
          <w:rFonts w:ascii="Arial" w:hAnsi="Arial" w:cs="Arial"/>
          <w:sz w:val="18"/>
          <w:szCs w:val="18"/>
        </w:rPr>
        <w:t>training</w:t>
      </w:r>
      <w:proofErr w:type="spellEnd"/>
      <w:r w:rsidRPr="00F266E0">
        <w:rPr>
          <w:rFonts w:ascii="Arial" w:hAnsi="Arial" w:cs="Arial"/>
          <w:sz w:val="18"/>
          <w:szCs w:val="18"/>
        </w:rPr>
        <w:t xml:space="preserve">, </w:t>
      </w:r>
      <w:proofErr w:type="spellStart"/>
      <w:r w:rsidRPr="00F266E0">
        <w:rPr>
          <w:rFonts w:ascii="Arial" w:hAnsi="Arial" w:cs="Arial"/>
          <w:sz w:val="18"/>
          <w:szCs w:val="18"/>
        </w:rPr>
        <w:t>Continuing</w:t>
      </w:r>
      <w:proofErr w:type="spellEnd"/>
      <w:r w:rsidRPr="00F266E0">
        <w:rPr>
          <w:rFonts w:ascii="Arial" w:hAnsi="Arial" w:cs="Arial"/>
          <w:sz w:val="18"/>
          <w:szCs w:val="18"/>
        </w:rPr>
        <w:t xml:space="preserve"> </w:t>
      </w:r>
      <w:proofErr w:type="spellStart"/>
      <w:r w:rsidRPr="00F266E0">
        <w:rPr>
          <w:rFonts w:ascii="Arial" w:hAnsi="Arial" w:cs="Arial"/>
          <w:sz w:val="18"/>
          <w:szCs w:val="18"/>
        </w:rPr>
        <w:t>vocational</w:t>
      </w:r>
      <w:proofErr w:type="spellEnd"/>
      <w:r w:rsidRPr="00F266E0">
        <w:rPr>
          <w:rFonts w:ascii="Arial" w:hAnsi="Arial" w:cs="Arial"/>
          <w:sz w:val="18"/>
          <w:szCs w:val="18"/>
        </w:rPr>
        <w:t xml:space="preserve"> </w:t>
      </w:r>
      <w:proofErr w:type="spellStart"/>
      <w:r w:rsidRPr="00F266E0">
        <w:rPr>
          <w:rFonts w:ascii="Arial" w:hAnsi="Arial" w:cs="Arial"/>
          <w:sz w:val="18"/>
          <w:szCs w:val="18"/>
        </w:rPr>
        <w:t>training</w:t>
      </w:r>
      <w:proofErr w:type="spellEnd"/>
      <w:r w:rsidRPr="00F266E0">
        <w:rPr>
          <w:rFonts w:ascii="Arial" w:hAnsi="Arial" w:cs="Arial"/>
          <w:sz w:val="18"/>
          <w:szCs w:val="18"/>
        </w:rPr>
        <w:t xml:space="preserve"> in </w:t>
      </w:r>
      <w:proofErr w:type="spellStart"/>
      <w:r w:rsidRPr="00F266E0">
        <w:rPr>
          <w:rFonts w:ascii="Arial" w:hAnsi="Arial" w:cs="Arial"/>
          <w:sz w:val="18"/>
          <w:szCs w:val="18"/>
        </w:rPr>
        <w:t>enterprises</w:t>
      </w:r>
      <w:proofErr w:type="spellEnd"/>
    </w:p>
  </w:footnote>
  <w:footnote w:id="2">
    <w:p w:rsidR="00F603BA" w:rsidRPr="00F266E0" w:rsidRDefault="00F603BA" w:rsidP="00C162CA">
      <w:pPr>
        <w:pStyle w:val="Textpoznpodarou"/>
        <w:jc w:val="both"/>
        <w:rPr>
          <w:rFonts w:ascii="Arial" w:hAnsi="Arial" w:cs="Arial"/>
          <w:b/>
          <w:sz w:val="18"/>
          <w:szCs w:val="16"/>
        </w:rPr>
      </w:pPr>
      <w:r w:rsidRPr="00F266E0">
        <w:rPr>
          <w:rStyle w:val="Znakapoznpodarou"/>
          <w:rFonts w:ascii="Arial" w:hAnsi="Arial" w:cs="Arial"/>
          <w:sz w:val="18"/>
          <w:szCs w:val="16"/>
        </w:rPr>
        <w:footnoteRef/>
      </w:r>
      <w:r w:rsidRPr="00F266E0">
        <w:rPr>
          <w:rFonts w:ascii="Arial" w:hAnsi="Arial" w:cs="Arial"/>
          <w:sz w:val="18"/>
          <w:szCs w:val="16"/>
        </w:rPr>
        <w:t xml:space="preserve"> </w:t>
      </w:r>
      <w:r w:rsidRPr="00F266E0">
        <w:rPr>
          <w:rFonts w:ascii="Arial" w:hAnsi="Arial" w:cs="Arial"/>
          <w:b/>
          <w:sz w:val="18"/>
          <w:szCs w:val="16"/>
        </w:rPr>
        <w:t>Kurzy/školení</w:t>
      </w:r>
      <w:r w:rsidRPr="00F266E0">
        <w:rPr>
          <w:rFonts w:ascii="Arial" w:hAnsi="Arial" w:cs="Arial"/>
          <w:sz w:val="18"/>
          <w:szCs w:val="16"/>
        </w:rPr>
        <w:t xml:space="preserve"> se vyznačují vysokým stupněm organizace (z hlediska času, prostoru a obsahu) ze strany školitele či vzdělávací instituce. Obsah kurzů/školení je předem připraven pro charakteristickou cílovou skupinu osob, např. podle vymezených učebních osnov, a místo konání je většinou zřetelně oddělené od pracoviště (odehrává se v prostorách speciálně určených pro vzdělávání, jako jsou učebny nebo vzdělávací centra.) </w:t>
      </w:r>
      <w:r w:rsidRPr="00F266E0">
        <w:rPr>
          <w:rFonts w:ascii="Arial" w:hAnsi="Arial" w:cs="Arial"/>
          <w:b/>
          <w:sz w:val="18"/>
          <w:szCs w:val="16"/>
        </w:rPr>
        <w:t>Patří sem např. povinné školení BOZP, počítačové či jazykové kurzy, kurzy zaměřené na komunikační dovednosti apod., příp. jiné jasně strukturované vzdělávání zvyšující kvalifikaci či rozšiřující dovednosti zaměstnanců určitého oboru.</w:t>
      </w:r>
    </w:p>
  </w:footnote>
  <w:footnote w:id="3">
    <w:p w:rsidR="00F603BA" w:rsidRPr="00F266E0" w:rsidRDefault="00F603BA" w:rsidP="0060063E">
      <w:pPr>
        <w:pStyle w:val="Textpoznpodarou"/>
        <w:jc w:val="both"/>
        <w:rPr>
          <w:rFonts w:ascii="Arial" w:hAnsi="Arial" w:cs="Arial"/>
          <w:sz w:val="18"/>
          <w:szCs w:val="16"/>
        </w:rPr>
      </w:pPr>
      <w:r w:rsidRPr="00F266E0">
        <w:rPr>
          <w:rStyle w:val="Znakapoznpodarou"/>
          <w:rFonts w:ascii="Arial" w:hAnsi="Arial" w:cs="Arial"/>
          <w:sz w:val="18"/>
          <w:szCs w:val="16"/>
        </w:rPr>
        <w:footnoteRef/>
      </w:r>
      <w:r w:rsidRPr="00F266E0">
        <w:rPr>
          <w:rFonts w:ascii="Arial" w:hAnsi="Arial" w:cs="Arial"/>
          <w:sz w:val="18"/>
          <w:szCs w:val="16"/>
        </w:rPr>
        <w:t xml:space="preserve"> </w:t>
      </w:r>
      <w:r w:rsidRPr="00F266E0">
        <w:rPr>
          <w:rFonts w:ascii="Arial" w:hAnsi="Arial" w:cs="Arial"/>
          <w:b/>
          <w:sz w:val="18"/>
          <w:szCs w:val="16"/>
        </w:rPr>
        <w:t xml:space="preserve">Jiné formy vzdělávání než jsou kurzy a školení </w:t>
      </w:r>
      <w:r w:rsidRPr="00F266E0">
        <w:rPr>
          <w:rFonts w:ascii="Arial" w:hAnsi="Arial" w:cs="Arial"/>
          <w:sz w:val="18"/>
          <w:szCs w:val="16"/>
        </w:rPr>
        <w:t xml:space="preserve">jsou charakterizovány jako plánované vzdělávání na pracovišti, kdy hlavním záměrem účastníka je něco se naučit. Účastníci zpravidla mají možnost si do </w:t>
      </w:r>
      <w:r>
        <w:rPr>
          <w:rFonts w:ascii="Arial" w:hAnsi="Arial" w:cs="Arial"/>
          <w:sz w:val="18"/>
          <w:szCs w:val="16"/>
        </w:rPr>
        <w:t xml:space="preserve">jisté míry určit místo, </w:t>
      </w:r>
      <w:r w:rsidRPr="00F266E0">
        <w:rPr>
          <w:rFonts w:ascii="Arial" w:hAnsi="Arial" w:cs="Arial"/>
          <w:sz w:val="18"/>
          <w:szCs w:val="16"/>
        </w:rPr>
        <w:t>čas a</w:t>
      </w:r>
      <w:r>
        <w:rPr>
          <w:rFonts w:ascii="Arial" w:hAnsi="Arial" w:cs="Arial"/>
          <w:sz w:val="18"/>
          <w:szCs w:val="16"/>
        </w:rPr>
        <w:t> </w:t>
      </w:r>
      <w:r w:rsidRPr="00F266E0">
        <w:rPr>
          <w:rFonts w:ascii="Arial" w:hAnsi="Arial" w:cs="Arial"/>
          <w:sz w:val="18"/>
          <w:szCs w:val="16"/>
        </w:rPr>
        <w:t>obsah vzdělávání, přičemž obsah bývá přizpůsoben jejich individuálním potřebám. Do těchto jiných forem patří např.</w:t>
      </w:r>
      <w:r>
        <w:rPr>
          <w:rFonts w:ascii="Arial" w:hAnsi="Arial" w:cs="Arial"/>
          <w:sz w:val="18"/>
          <w:szCs w:val="16"/>
        </w:rPr>
        <w:t> </w:t>
      </w:r>
      <w:r w:rsidRPr="00F266E0">
        <w:rPr>
          <w:rFonts w:ascii="Arial" w:hAnsi="Arial" w:cs="Arial"/>
          <w:b/>
          <w:sz w:val="18"/>
          <w:szCs w:val="16"/>
        </w:rPr>
        <w:t xml:space="preserve">zaškolování či instruktáž orientovaná na konkrétní pracovní činnost, účast na konferencích či veletrzích či samostudium, </w:t>
      </w:r>
      <w:r w:rsidRPr="00F266E0">
        <w:rPr>
          <w:rFonts w:ascii="Arial" w:hAnsi="Arial" w:cs="Arial"/>
          <w:sz w:val="18"/>
          <w:szCs w:val="16"/>
        </w:rPr>
        <w:t>pokud splňuje výše zmíněné podmínky definice.</w:t>
      </w:r>
    </w:p>
  </w:footnote>
  <w:footnote w:id="4">
    <w:p w:rsidR="00F603BA" w:rsidRPr="00F266E0" w:rsidRDefault="00F603BA" w:rsidP="007B64CD">
      <w:pPr>
        <w:pStyle w:val="Textpoznpodarou"/>
        <w:rPr>
          <w:rFonts w:ascii="Arial" w:hAnsi="Arial" w:cs="Arial"/>
        </w:rPr>
      </w:pPr>
      <w:r w:rsidRPr="00F266E0">
        <w:rPr>
          <w:rStyle w:val="Znakapoznpodarou"/>
          <w:rFonts w:ascii="Arial" w:hAnsi="Arial" w:cs="Arial"/>
          <w:sz w:val="18"/>
        </w:rPr>
        <w:footnoteRef/>
      </w:r>
      <w:r w:rsidRPr="00F266E0">
        <w:rPr>
          <w:rFonts w:ascii="Arial" w:hAnsi="Arial" w:cs="Arial"/>
          <w:sz w:val="18"/>
        </w:rPr>
        <w:t xml:space="preserve"> Za CTVS 2 (1999) nejsou k této otázce data k dispozici.</w:t>
      </w:r>
    </w:p>
  </w:footnote>
  <w:footnote w:id="5">
    <w:p w:rsidR="00F603BA" w:rsidRPr="00F266E0" w:rsidRDefault="00F603BA" w:rsidP="00C162CA">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w:t>
      </w:r>
      <w:r w:rsidRPr="00F266E0">
        <w:rPr>
          <w:rFonts w:ascii="Arial" w:hAnsi="Arial" w:cs="Arial"/>
          <w:b/>
          <w:sz w:val="18"/>
          <w:szCs w:val="18"/>
        </w:rPr>
        <w:t xml:space="preserve">Interní kurzy/školení </w:t>
      </w:r>
      <w:r w:rsidRPr="00F266E0">
        <w:rPr>
          <w:rFonts w:ascii="Arial" w:hAnsi="Arial" w:cs="Arial"/>
          <w:sz w:val="18"/>
          <w:szCs w:val="18"/>
        </w:rPr>
        <w:t xml:space="preserve">z podstatné části plánuje a řídí sama firma, která má též odpovědnost za jeho obsah. Naopak </w:t>
      </w:r>
      <w:r w:rsidRPr="00F266E0">
        <w:rPr>
          <w:rFonts w:ascii="Arial" w:hAnsi="Arial" w:cs="Arial"/>
          <w:b/>
          <w:sz w:val="18"/>
          <w:szCs w:val="18"/>
        </w:rPr>
        <w:t xml:space="preserve">externí kurzy/školení </w:t>
      </w:r>
      <w:r w:rsidRPr="00F266E0">
        <w:rPr>
          <w:rFonts w:ascii="Arial" w:hAnsi="Arial" w:cs="Arial"/>
          <w:sz w:val="18"/>
          <w:szCs w:val="18"/>
        </w:rPr>
        <w:t>z podstatné části plánuje a řídí organizace, která není součástí firmy. V tomto případě firma nemá přímou odpovědnost za obsah kurzu, firma si pouze dané vzdělávání pro zaměstnance vybere a objedná/zaplatí. Místo konání kurzu není rozhodující.</w:t>
      </w:r>
    </w:p>
  </w:footnote>
  <w:footnote w:id="6">
    <w:p w:rsidR="00F603BA" w:rsidRPr="00F266E0" w:rsidRDefault="00F603BA">
      <w:pPr>
        <w:pStyle w:val="Textpoznpodarou"/>
        <w:rPr>
          <w:rFonts w:ascii="Arial" w:hAnsi="Arial" w:cs="Arial"/>
        </w:rPr>
      </w:pPr>
      <w:r w:rsidRPr="00F266E0">
        <w:rPr>
          <w:rStyle w:val="Znakapoznpodarou"/>
          <w:rFonts w:ascii="Arial" w:hAnsi="Arial" w:cs="Arial"/>
          <w:sz w:val="18"/>
        </w:rPr>
        <w:footnoteRef/>
      </w:r>
      <w:r w:rsidRPr="00F266E0">
        <w:rPr>
          <w:rFonts w:ascii="Arial" w:hAnsi="Arial" w:cs="Arial"/>
          <w:sz w:val="18"/>
        </w:rPr>
        <w:t xml:space="preserve"> Firmy mohly pro poskytování různých kurzů či školení volit oba druhy zajištění, proto se součet nerovná 100 %.</w:t>
      </w:r>
    </w:p>
  </w:footnote>
  <w:footnote w:id="7">
    <w:p w:rsidR="00F603BA" w:rsidRPr="00F266E0" w:rsidRDefault="00F603BA" w:rsidP="001646A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Termínem </w:t>
      </w:r>
      <w:r w:rsidRPr="00F266E0">
        <w:rPr>
          <w:rFonts w:ascii="Arial" w:hAnsi="Arial" w:cs="Arial"/>
          <w:b/>
          <w:sz w:val="18"/>
          <w:szCs w:val="18"/>
        </w:rPr>
        <w:t xml:space="preserve">povinné kurzy/školení </w:t>
      </w:r>
      <w:r w:rsidRPr="00F266E0">
        <w:rPr>
          <w:rFonts w:ascii="Arial" w:hAnsi="Arial" w:cs="Arial"/>
          <w:sz w:val="18"/>
          <w:szCs w:val="18"/>
        </w:rPr>
        <w:t xml:space="preserve">jsou v následujícím textu označovány ty formy vzdělávání, které jsou uskutečňovány v kurzech či školeních, vyplývají ze zákonných norem a zaměřují se na problematiku ochrany zdraví a bezpečnosti práce. Za jejich zajišťování je zodpovědný zaměstnavatel. Jde většinou o kurzy, které jsou ze zákona povinné </w:t>
      </w:r>
      <w:r w:rsidRPr="00F266E0">
        <w:rPr>
          <w:rFonts w:ascii="Arial" w:hAnsi="Arial" w:cs="Arial"/>
          <w:b/>
          <w:sz w:val="18"/>
          <w:szCs w:val="18"/>
        </w:rPr>
        <w:t>pro</w:t>
      </w:r>
      <w:r>
        <w:rPr>
          <w:rFonts w:ascii="Arial" w:hAnsi="Arial" w:cs="Arial"/>
          <w:b/>
          <w:sz w:val="18"/>
          <w:szCs w:val="18"/>
        </w:rPr>
        <w:t> </w:t>
      </w:r>
      <w:r w:rsidRPr="00F266E0">
        <w:rPr>
          <w:rFonts w:ascii="Arial" w:hAnsi="Arial" w:cs="Arial"/>
          <w:b/>
          <w:sz w:val="18"/>
          <w:szCs w:val="18"/>
        </w:rPr>
        <w:t xml:space="preserve">plnění některých (potenciálně) nebezpečných pracovních úkolů </w:t>
      </w:r>
      <w:r w:rsidRPr="00F266E0">
        <w:rPr>
          <w:rFonts w:ascii="Arial" w:hAnsi="Arial" w:cs="Arial"/>
          <w:sz w:val="18"/>
          <w:szCs w:val="18"/>
        </w:rPr>
        <w:t xml:space="preserve">(např. řízení vysokozdvižných vozíků) či kurzy </w:t>
      </w:r>
      <w:r w:rsidRPr="00F266E0">
        <w:rPr>
          <w:rFonts w:ascii="Arial" w:hAnsi="Arial" w:cs="Arial"/>
          <w:b/>
          <w:sz w:val="18"/>
          <w:szCs w:val="18"/>
        </w:rPr>
        <w:t xml:space="preserve">zaměřené na ochranu zaměstnanců a jejich okolí </w:t>
      </w:r>
      <w:r w:rsidRPr="00F266E0">
        <w:rPr>
          <w:rFonts w:ascii="Arial" w:hAnsi="Arial" w:cs="Arial"/>
          <w:sz w:val="18"/>
          <w:szCs w:val="18"/>
        </w:rPr>
        <w:t>(např. vstupní školení BOZP pro nové pracovníky).</w:t>
      </w:r>
    </w:p>
  </w:footnote>
  <w:footnote w:id="8">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Firmy mohly využít obě varianty.</w:t>
      </w:r>
    </w:p>
  </w:footnote>
  <w:footnote w:id="9">
    <w:p w:rsidR="00F603BA" w:rsidRPr="00F266E0" w:rsidRDefault="00F603BA" w:rsidP="001646A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Termínem </w:t>
      </w:r>
      <w:r w:rsidRPr="00F266E0">
        <w:rPr>
          <w:rFonts w:ascii="Arial" w:hAnsi="Arial" w:cs="Arial"/>
          <w:b/>
          <w:sz w:val="18"/>
          <w:szCs w:val="18"/>
        </w:rPr>
        <w:t xml:space="preserve">nepovinné kurzy/školení </w:t>
      </w:r>
      <w:r w:rsidRPr="00F266E0">
        <w:rPr>
          <w:rFonts w:ascii="Arial" w:hAnsi="Arial" w:cs="Arial"/>
          <w:sz w:val="18"/>
          <w:szCs w:val="18"/>
        </w:rPr>
        <w:t xml:space="preserve">jsou v rámci šetření CVTS označovány ty kurzy a školení, která nejsou povinná ze zákona. Patří sem např. </w:t>
      </w:r>
      <w:r w:rsidRPr="00F266E0">
        <w:rPr>
          <w:rFonts w:ascii="Arial" w:hAnsi="Arial" w:cs="Arial"/>
          <w:b/>
          <w:sz w:val="18"/>
          <w:szCs w:val="18"/>
        </w:rPr>
        <w:t xml:space="preserve">počítačové či jazykové kurzy, kurzy zaměřené na komunikační dovednosti, rekvalifikační kurzy, vzdělávání na VŠ, </w:t>
      </w:r>
      <w:r w:rsidRPr="00F266E0">
        <w:rPr>
          <w:rFonts w:ascii="Arial" w:hAnsi="Arial" w:cs="Arial"/>
          <w:sz w:val="18"/>
          <w:szCs w:val="18"/>
        </w:rPr>
        <w:t>příp. jiné jasně strukturované vzdělávání zvyšující kvalifikaci či rozšiřující dovednosti zaměstnanců určitého oboru.</w:t>
      </w:r>
    </w:p>
  </w:footnote>
  <w:footnote w:id="10">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Vážený průměr indexu 2,3 u firem z odvětví Peněžnictví a pojišťovnictví, resp. 2,59 u firem s více než 250</w:t>
      </w:r>
      <w:r>
        <w:rPr>
          <w:rFonts w:ascii="Arial" w:hAnsi="Arial" w:cs="Arial"/>
          <w:sz w:val="18"/>
          <w:szCs w:val="18"/>
        </w:rPr>
        <w:t> </w:t>
      </w:r>
      <w:r w:rsidRPr="00F266E0">
        <w:rPr>
          <w:rFonts w:ascii="Arial" w:hAnsi="Arial" w:cs="Arial"/>
          <w:sz w:val="18"/>
          <w:szCs w:val="18"/>
        </w:rPr>
        <w:t>zaměstnanci.</w:t>
      </w:r>
    </w:p>
  </w:footnote>
  <w:footnote w:id="11">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Definice viz kapitola 1, definice konkrétních forem v příloze č. 1.</w:t>
      </w:r>
    </w:p>
  </w:footnote>
  <w:footnote w:id="12">
    <w:p w:rsidR="00F603BA" w:rsidRPr="00F266E0" w:rsidRDefault="00F603BA">
      <w:pPr>
        <w:pStyle w:val="Textpoznpodarou"/>
        <w:rPr>
          <w:rFonts w:ascii="Arial" w:hAnsi="Arial" w:cs="Arial"/>
          <w:sz w:val="18"/>
        </w:rPr>
      </w:pPr>
      <w:r w:rsidRPr="00F266E0">
        <w:rPr>
          <w:rStyle w:val="Znakapoznpodarou"/>
          <w:rFonts w:ascii="Arial" w:hAnsi="Arial" w:cs="Arial"/>
          <w:sz w:val="18"/>
        </w:rPr>
        <w:footnoteRef/>
      </w:r>
      <w:r w:rsidRPr="00F266E0">
        <w:rPr>
          <w:rFonts w:ascii="Arial" w:hAnsi="Arial" w:cs="Arial"/>
          <w:sz w:val="18"/>
        </w:rPr>
        <w:t xml:space="preserve"> bez započtení časových nároků jiných forem vzdělávání než jsou kurzy/školení</w:t>
      </w:r>
    </w:p>
  </w:footnote>
  <w:footnote w:id="13">
    <w:p w:rsidR="00F603BA" w:rsidRPr="00F266E0" w:rsidRDefault="00F603BA" w:rsidP="00F266E0">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Např. v době ekonomické krize začínající v roce 2007 firmy výrazně snížily investice do firemního vzdělávání (Palán 2009).</w:t>
      </w:r>
      <w:r>
        <w:rPr>
          <w:rFonts w:ascii="Arial" w:hAnsi="Arial" w:cs="Arial"/>
          <w:sz w:val="18"/>
          <w:szCs w:val="18"/>
        </w:rPr>
        <w:t xml:space="preserve"> </w:t>
      </w:r>
      <w:r w:rsidRPr="00F266E0">
        <w:rPr>
          <w:rFonts w:ascii="Arial" w:hAnsi="Arial" w:cs="Arial"/>
          <w:sz w:val="18"/>
          <w:szCs w:val="18"/>
        </w:rPr>
        <w:t xml:space="preserve">PALÁN, Zdeněk: </w:t>
      </w:r>
      <w:r w:rsidRPr="00F266E0">
        <w:rPr>
          <w:rFonts w:ascii="Arial" w:hAnsi="Arial" w:cs="Arial"/>
          <w:i/>
          <w:sz w:val="18"/>
          <w:szCs w:val="18"/>
        </w:rPr>
        <w:t xml:space="preserve">Podnikové vzdělávání zasáhla </w:t>
      </w:r>
      <w:proofErr w:type="spellStart"/>
      <w:r w:rsidRPr="00F266E0">
        <w:rPr>
          <w:rFonts w:ascii="Arial" w:hAnsi="Arial" w:cs="Arial"/>
          <w:i/>
          <w:sz w:val="18"/>
          <w:szCs w:val="18"/>
        </w:rPr>
        <w:t>resece</w:t>
      </w:r>
      <w:proofErr w:type="spellEnd"/>
      <w:r w:rsidRPr="00F266E0">
        <w:rPr>
          <w:rFonts w:ascii="Arial" w:hAnsi="Arial" w:cs="Arial"/>
          <w:i/>
          <w:sz w:val="18"/>
          <w:szCs w:val="18"/>
        </w:rPr>
        <w:t xml:space="preserve">. </w:t>
      </w:r>
      <w:r w:rsidRPr="00F266E0">
        <w:rPr>
          <w:rFonts w:ascii="Arial" w:hAnsi="Arial" w:cs="Arial"/>
          <w:sz w:val="18"/>
          <w:szCs w:val="18"/>
        </w:rPr>
        <w:t>HR Strategie</w:t>
      </w:r>
      <w:r w:rsidRPr="00F266E0">
        <w:rPr>
          <w:rFonts w:ascii="Arial" w:hAnsi="Arial" w:cs="Arial"/>
          <w:sz w:val="18"/>
          <w:szCs w:val="18"/>
          <w:lang w:val="en-US"/>
        </w:rPr>
        <w:t>[online]</w:t>
      </w:r>
      <w:r w:rsidRPr="00F266E0">
        <w:rPr>
          <w:rFonts w:ascii="Arial" w:hAnsi="Arial" w:cs="Arial"/>
          <w:sz w:val="18"/>
          <w:szCs w:val="18"/>
        </w:rPr>
        <w:t xml:space="preserve">, 2009. Dostupné </w:t>
      </w:r>
      <w:proofErr w:type="gramStart"/>
      <w:r w:rsidRPr="00F266E0">
        <w:rPr>
          <w:rFonts w:ascii="Arial" w:hAnsi="Arial" w:cs="Arial"/>
          <w:sz w:val="18"/>
          <w:szCs w:val="18"/>
        </w:rPr>
        <w:t>na</w:t>
      </w:r>
      <w:proofErr w:type="gramEnd"/>
      <w:r w:rsidRPr="00F266E0">
        <w:rPr>
          <w:rFonts w:ascii="Arial" w:hAnsi="Arial" w:cs="Arial"/>
          <w:sz w:val="18"/>
          <w:szCs w:val="18"/>
        </w:rPr>
        <w:t xml:space="preserve">: </w:t>
      </w:r>
      <w:hyperlink r:id="rId2" w:history="1">
        <w:r w:rsidRPr="00F266E0">
          <w:rPr>
            <w:rStyle w:val="Hypertextovodkaz"/>
            <w:rFonts w:ascii="Arial" w:eastAsia="MS Gothic" w:hAnsi="Arial" w:cs="Arial"/>
            <w:sz w:val="18"/>
            <w:szCs w:val="18"/>
            <w:lang w:val="en-US"/>
          </w:rPr>
          <w:t>http://www.centrumandragogiky.cz/assets/Podnikov%C3%A9-vzd%C4%9Bl%C3%A1v%C3%A1n%C3%AD-zas%C3%A1hla-recese.pdf</w:t>
        </w:r>
      </w:hyperlink>
    </w:p>
  </w:footnote>
  <w:footnote w:id="14">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Měřeno indexem zájmu firem o uspokojování vzdělávacích potřeb zaměstnanců.</w:t>
      </w:r>
    </w:p>
  </w:footnote>
  <w:footnote w:id="15">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Příspěvky poskytnuté firmou na vzdělávání jsou myšleny výdaje firmy do kolektivních fondů obhospodařovaných vládou či zprostředkujícími společnostmi s hlavním záměrem přispět na vzdělávání zaměstnanců. </w:t>
      </w:r>
    </w:p>
  </w:footnote>
  <w:footnote w:id="16">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Z tohoto odvětví zajišťovalo nepovinné kurzy či jiné formy vzdělávání 15 % firem.</w:t>
      </w:r>
    </w:p>
  </w:footnote>
  <w:footnote w:id="17">
    <w:p w:rsidR="00F603BA" w:rsidRPr="00F266E0" w:rsidRDefault="00F603BA" w:rsidP="004C53BF">
      <w:pPr>
        <w:spacing w:after="0" w:line="240" w:lineRule="auto"/>
        <w:jc w:val="both"/>
        <w:rPr>
          <w:rFonts w:cs="Arial"/>
          <w:color w:val="000000"/>
          <w:sz w:val="18"/>
          <w:szCs w:val="18"/>
        </w:rPr>
      </w:pPr>
      <w:r w:rsidRPr="00F266E0">
        <w:rPr>
          <w:rStyle w:val="Znakapoznpodarou"/>
          <w:rFonts w:cs="Arial"/>
          <w:sz w:val="18"/>
          <w:szCs w:val="18"/>
        </w:rPr>
        <w:footnoteRef/>
      </w:r>
      <w:r w:rsidRPr="00F266E0">
        <w:rPr>
          <w:rFonts w:cs="Arial"/>
          <w:sz w:val="18"/>
          <w:szCs w:val="18"/>
        </w:rPr>
        <w:t xml:space="preserve"> </w:t>
      </w:r>
      <w:r w:rsidRPr="00F266E0">
        <w:rPr>
          <w:rFonts w:cs="Arial"/>
          <w:color w:val="000000"/>
          <w:sz w:val="18"/>
          <w:szCs w:val="18"/>
        </w:rPr>
        <w:t>Specifická HR strategie firmy zahrnuje upřednostňování přijímání nových zaměstnanců před vzděláváním stávajících a</w:t>
      </w:r>
      <w:r>
        <w:rPr>
          <w:rFonts w:cs="Arial"/>
          <w:color w:val="000000"/>
          <w:sz w:val="18"/>
          <w:szCs w:val="18"/>
        </w:rPr>
        <w:t> </w:t>
      </w:r>
      <w:r w:rsidRPr="00F266E0">
        <w:rPr>
          <w:rFonts w:cs="Arial"/>
          <w:color w:val="000000"/>
          <w:sz w:val="18"/>
          <w:szCs w:val="18"/>
        </w:rPr>
        <w:t>podporu počátečního vzdělávání na úkor dalšího (praxe pro studenty a učně).</w:t>
      </w:r>
    </w:p>
  </w:footnote>
  <w:footnote w:id="18">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Měřeno indexem zájmu firmy o uspokojování potřeb vzdělávání zaměstnanců. </w:t>
      </w:r>
    </w:p>
  </w:footnote>
  <w:footnote w:id="19">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Základ totiž zůstává podobný, jelikož valná většina firem vzdělávání poskytuje.</w:t>
      </w:r>
    </w:p>
  </w:footnote>
  <w:footnote w:id="20">
    <w:p w:rsidR="00F603BA" w:rsidRPr="00F266E0" w:rsidRDefault="00F603BA" w:rsidP="004C53BF">
      <w:pPr>
        <w:pStyle w:val="Textpoznpodarou"/>
        <w:jc w:val="both"/>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V roce 2015 mělo 60 % firem v této oblasti problém najít vhodného IT pracovníka. (Šetření o využívání ICT v podnikatelském sektoru, ČSÚ 2016)</w:t>
      </w:r>
    </w:p>
  </w:footnote>
  <w:footnote w:id="21">
    <w:p w:rsidR="00F603BA" w:rsidRPr="00F266E0" w:rsidRDefault="00F603BA" w:rsidP="00774838">
      <w:pPr>
        <w:pStyle w:val="Textpoznpodarou"/>
        <w:rPr>
          <w:rFonts w:ascii="Arial" w:hAnsi="Arial" w:cs="Arial"/>
        </w:rPr>
      </w:pPr>
      <w:r w:rsidRPr="00F266E0">
        <w:rPr>
          <w:rStyle w:val="Znakapoznpodarou"/>
          <w:rFonts w:ascii="Arial" w:hAnsi="Arial" w:cs="Arial"/>
          <w:sz w:val="18"/>
        </w:rPr>
        <w:footnoteRef/>
      </w:r>
      <w:r w:rsidRPr="00F266E0">
        <w:rPr>
          <w:rFonts w:ascii="Arial" w:hAnsi="Arial" w:cs="Arial"/>
          <w:sz w:val="18"/>
        </w:rPr>
        <w:t xml:space="preserve"> Bylo možné označit více odpovědí.</w:t>
      </w:r>
    </w:p>
  </w:footnote>
  <w:footnote w:id="22">
    <w:p w:rsidR="00F603BA" w:rsidRPr="00F266E0" w:rsidRDefault="00F603BA" w:rsidP="001E71EA">
      <w:pPr>
        <w:pStyle w:val="Textpoznpodarou"/>
        <w:rPr>
          <w:rFonts w:ascii="Arial" w:hAnsi="Arial" w:cs="Arial"/>
          <w:sz w:val="18"/>
          <w:szCs w:val="18"/>
        </w:rPr>
      </w:pPr>
      <w:r w:rsidRPr="00F266E0">
        <w:rPr>
          <w:rStyle w:val="Znakapoznpodarou"/>
          <w:rFonts w:ascii="Arial" w:hAnsi="Arial" w:cs="Arial"/>
          <w:sz w:val="18"/>
          <w:szCs w:val="18"/>
        </w:rPr>
        <w:footnoteRef/>
      </w:r>
      <w:r w:rsidRPr="00F266E0">
        <w:rPr>
          <w:rFonts w:ascii="Arial" w:hAnsi="Arial" w:cs="Arial"/>
          <w:sz w:val="18"/>
          <w:szCs w:val="18"/>
        </w:rPr>
        <w:t xml:space="preserve"> Definice viz kapitola 2 nebo příloha č.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BA" w:rsidRPr="006F5416" w:rsidRDefault="00F603BA" w:rsidP="00937AE2">
    <w:pPr>
      <w:pStyle w:val="Zhlav"/>
    </w:pPr>
    <w:r>
      <w:t>Vzdělávání zaměstnaných osob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3BA" w:rsidRPr="006F5416" w:rsidRDefault="00F603BA" w:rsidP="002F2E5D">
    <w:pPr>
      <w:pStyle w:val="Zhlav"/>
    </w:pPr>
    <w:r>
      <w:t>Vzdělávání zaměstnaných osob</w:t>
    </w:r>
  </w:p>
  <w:p w:rsidR="00F603BA" w:rsidRPr="002F2E5D" w:rsidRDefault="00F603BA" w:rsidP="002F2E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F12609B"/>
    <w:multiLevelType w:val="hybridMultilevel"/>
    <w:tmpl w:val="B0F65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1B036EF"/>
    <w:multiLevelType w:val="hybridMultilevel"/>
    <w:tmpl w:val="5F4EAC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3305293"/>
    <w:multiLevelType w:val="hybridMultilevel"/>
    <w:tmpl w:val="4BE863F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nsid w:val="13AB490F"/>
    <w:multiLevelType w:val="hybridMultilevel"/>
    <w:tmpl w:val="FD1CBF2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nsid w:val="151B65DD"/>
    <w:multiLevelType w:val="hybridMultilevel"/>
    <w:tmpl w:val="6EE6D2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C755E74"/>
    <w:multiLevelType w:val="hybridMultilevel"/>
    <w:tmpl w:val="A620C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D882EEC"/>
    <w:multiLevelType w:val="hybridMultilevel"/>
    <w:tmpl w:val="7A06C9F8"/>
    <w:lvl w:ilvl="0" w:tplc="4AAC0042">
      <w:start w:val="1"/>
      <w:numFmt w:val="bullet"/>
      <w:lvlText w:val=""/>
      <w:lvlJc w:val="left"/>
      <w:pPr>
        <w:ind w:left="567" w:hanging="207"/>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7">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260496"/>
    <w:multiLevelType w:val="hybridMultilevel"/>
    <w:tmpl w:val="60F03B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6A3C8B"/>
    <w:multiLevelType w:val="hybridMultilevel"/>
    <w:tmpl w:val="A44A5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B17918"/>
    <w:multiLevelType w:val="hybridMultilevel"/>
    <w:tmpl w:val="C100B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2FF764D"/>
    <w:multiLevelType w:val="hybridMultilevel"/>
    <w:tmpl w:val="6F0A3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7832A38"/>
    <w:multiLevelType w:val="hybridMultilevel"/>
    <w:tmpl w:val="A984B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6F0C7B"/>
    <w:multiLevelType w:val="hybridMultilevel"/>
    <w:tmpl w:val="08364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0471AE"/>
    <w:multiLevelType w:val="hybridMultilevel"/>
    <w:tmpl w:val="B04865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E045E86"/>
    <w:multiLevelType w:val="hybridMultilevel"/>
    <w:tmpl w:val="0096E9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76B608EB"/>
    <w:multiLevelType w:val="hybridMultilevel"/>
    <w:tmpl w:val="BE0C6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4D6413"/>
    <w:multiLevelType w:val="hybridMultilevel"/>
    <w:tmpl w:val="02E0B0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4"/>
  </w:num>
  <w:num w:numId="14">
    <w:abstractNumId w:val="16"/>
  </w:num>
  <w:num w:numId="15">
    <w:abstractNumId w:val="19"/>
  </w:num>
  <w:num w:numId="16">
    <w:abstractNumId w:val="18"/>
  </w:num>
  <w:num w:numId="17">
    <w:abstractNumId w:val="25"/>
  </w:num>
  <w:num w:numId="18">
    <w:abstractNumId w:val="10"/>
  </w:num>
  <w:num w:numId="19">
    <w:abstractNumId w:val="21"/>
  </w:num>
  <w:num w:numId="20">
    <w:abstractNumId w:val="29"/>
  </w:num>
  <w:num w:numId="21">
    <w:abstractNumId w:val="13"/>
  </w:num>
  <w:num w:numId="22">
    <w:abstractNumId w:val="12"/>
  </w:num>
  <w:num w:numId="23">
    <w:abstractNumId w:val="15"/>
  </w:num>
  <w:num w:numId="24">
    <w:abstractNumId w:val="22"/>
  </w:num>
  <w:num w:numId="25">
    <w:abstractNumId w:val="20"/>
  </w:num>
  <w:num w:numId="26">
    <w:abstractNumId w:val="28"/>
  </w:num>
  <w:num w:numId="27">
    <w:abstractNumId w:val="14"/>
  </w:num>
  <w:num w:numId="28">
    <w:abstractNumId w:val="26"/>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4780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DF"/>
    <w:rsid w:val="000018C3"/>
    <w:rsid w:val="0000209D"/>
    <w:rsid w:val="00002A65"/>
    <w:rsid w:val="00004D5A"/>
    <w:rsid w:val="000056D5"/>
    <w:rsid w:val="00006A92"/>
    <w:rsid w:val="00006CA4"/>
    <w:rsid w:val="0000767A"/>
    <w:rsid w:val="00010702"/>
    <w:rsid w:val="00012017"/>
    <w:rsid w:val="00013128"/>
    <w:rsid w:val="0001469F"/>
    <w:rsid w:val="00014ABD"/>
    <w:rsid w:val="00016992"/>
    <w:rsid w:val="00020F71"/>
    <w:rsid w:val="00021297"/>
    <w:rsid w:val="00022667"/>
    <w:rsid w:val="000234D6"/>
    <w:rsid w:val="000238C6"/>
    <w:rsid w:val="00023D29"/>
    <w:rsid w:val="00026389"/>
    <w:rsid w:val="00027D43"/>
    <w:rsid w:val="00030BA1"/>
    <w:rsid w:val="000310E8"/>
    <w:rsid w:val="00031AE0"/>
    <w:rsid w:val="000322EF"/>
    <w:rsid w:val="000332C4"/>
    <w:rsid w:val="00033FCD"/>
    <w:rsid w:val="000377E4"/>
    <w:rsid w:val="00041CEC"/>
    <w:rsid w:val="000440D5"/>
    <w:rsid w:val="0004415F"/>
    <w:rsid w:val="000449C6"/>
    <w:rsid w:val="00044BB6"/>
    <w:rsid w:val="00045C87"/>
    <w:rsid w:val="0004694F"/>
    <w:rsid w:val="000469F6"/>
    <w:rsid w:val="00050B7B"/>
    <w:rsid w:val="000510E6"/>
    <w:rsid w:val="000522E4"/>
    <w:rsid w:val="000529B3"/>
    <w:rsid w:val="00061007"/>
    <w:rsid w:val="000610E1"/>
    <w:rsid w:val="00061960"/>
    <w:rsid w:val="00061CD9"/>
    <w:rsid w:val="00062EC5"/>
    <w:rsid w:val="00062F22"/>
    <w:rsid w:val="0006332F"/>
    <w:rsid w:val="000673F4"/>
    <w:rsid w:val="000712B3"/>
    <w:rsid w:val="0007201B"/>
    <w:rsid w:val="000726AD"/>
    <w:rsid w:val="00072DF6"/>
    <w:rsid w:val="00076DDC"/>
    <w:rsid w:val="000825D2"/>
    <w:rsid w:val="0008263E"/>
    <w:rsid w:val="00082C19"/>
    <w:rsid w:val="000847CB"/>
    <w:rsid w:val="00085395"/>
    <w:rsid w:val="00087249"/>
    <w:rsid w:val="0008742A"/>
    <w:rsid w:val="00087634"/>
    <w:rsid w:val="00087A17"/>
    <w:rsid w:val="00087F2B"/>
    <w:rsid w:val="00092845"/>
    <w:rsid w:val="00093EEF"/>
    <w:rsid w:val="00094810"/>
    <w:rsid w:val="000954C7"/>
    <w:rsid w:val="00097088"/>
    <w:rsid w:val="000974D1"/>
    <w:rsid w:val="0009799E"/>
    <w:rsid w:val="000A1178"/>
    <w:rsid w:val="000A1183"/>
    <w:rsid w:val="000A131B"/>
    <w:rsid w:val="000A1A99"/>
    <w:rsid w:val="000A256D"/>
    <w:rsid w:val="000A3833"/>
    <w:rsid w:val="000A3A2C"/>
    <w:rsid w:val="000A5A34"/>
    <w:rsid w:val="000A7077"/>
    <w:rsid w:val="000A77AB"/>
    <w:rsid w:val="000A798E"/>
    <w:rsid w:val="000A7A9C"/>
    <w:rsid w:val="000B30FA"/>
    <w:rsid w:val="000B6FF8"/>
    <w:rsid w:val="000C192D"/>
    <w:rsid w:val="000C25C2"/>
    <w:rsid w:val="000C3408"/>
    <w:rsid w:val="000C4263"/>
    <w:rsid w:val="000C6AFD"/>
    <w:rsid w:val="000D4F04"/>
    <w:rsid w:val="000D5637"/>
    <w:rsid w:val="000D7509"/>
    <w:rsid w:val="000E2C4C"/>
    <w:rsid w:val="000E57D2"/>
    <w:rsid w:val="000E66D6"/>
    <w:rsid w:val="000E6FBD"/>
    <w:rsid w:val="000F4B71"/>
    <w:rsid w:val="000F7B2B"/>
    <w:rsid w:val="00100F5C"/>
    <w:rsid w:val="0010176F"/>
    <w:rsid w:val="001018E9"/>
    <w:rsid w:val="0010437D"/>
    <w:rsid w:val="00104C4C"/>
    <w:rsid w:val="001063A6"/>
    <w:rsid w:val="001068EE"/>
    <w:rsid w:val="001102A2"/>
    <w:rsid w:val="00110752"/>
    <w:rsid w:val="00111F62"/>
    <w:rsid w:val="00112EC1"/>
    <w:rsid w:val="00113925"/>
    <w:rsid w:val="00120E67"/>
    <w:rsid w:val="0012192F"/>
    <w:rsid w:val="00125C79"/>
    <w:rsid w:val="00125D69"/>
    <w:rsid w:val="001276F7"/>
    <w:rsid w:val="00127C9D"/>
    <w:rsid w:val="001302BB"/>
    <w:rsid w:val="00131636"/>
    <w:rsid w:val="001405FA"/>
    <w:rsid w:val="0014073C"/>
    <w:rsid w:val="001425C3"/>
    <w:rsid w:val="00143B45"/>
    <w:rsid w:val="00150952"/>
    <w:rsid w:val="00152969"/>
    <w:rsid w:val="00156839"/>
    <w:rsid w:val="00156CC6"/>
    <w:rsid w:val="00161C0B"/>
    <w:rsid w:val="0016256B"/>
    <w:rsid w:val="00163793"/>
    <w:rsid w:val="001646AF"/>
    <w:rsid w:val="00167C72"/>
    <w:rsid w:val="001706D6"/>
    <w:rsid w:val="00171223"/>
    <w:rsid w:val="001714F2"/>
    <w:rsid w:val="00171CAE"/>
    <w:rsid w:val="0017231D"/>
    <w:rsid w:val="0017233B"/>
    <w:rsid w:val="00173420"/>
    <w:rsid w:val="00173CB4"/>
    <w:rsid w:val="00174370"/>
    <w:rsid w:val="00180F75"/>
    <w:rsid w:val="00181829"/>
    <w:rsid w:val="001848C0"/>
    <w:rsid w:val="00184B08"/>
    <w:rsid w:val="00185010"/>
    <w:rsid w:val="001852B9"/>
    <w:rsid w:val="0018545B"/>
    <w:rsid w:val="00185BFD"/>
    <w:rsid w:val="001863F7"/>
    <w:rsid w:val="00187B7C"/>
    <w:rsid w:val="001907D7"/>
    <w:rsid w:val="00191AAE"/>
    <w:rsid w:val="00192EE6"/>
    <w:rsid w:val="001934A1"/>
    <w:rsid w:val="00195AC5"/>
    <w:rsid w:val="00195C7D"/>
    <w:rsid w:val="00197157"/>
    <w:rsid w:val="0019730B"/>
    <w:rsid w:val="001A41AF"/>
    <w:rsid w:val="001A4364"/>
    <w:rsid w:val="001A4421"/>
    <w:rsid w:val="001A552F"/>
    <w:rsid w:val="001A5A5B"/>
    <w:rsid w:val="001A7116"/>
    <w:rsid w:val="001B2CA9"/>
    <w:rsid w:val="001B3110"/>
    <w:rsid w:val="001B4670"/>
    <w:rsid w:val="001B4729"/>
    <w:rsid w:val="001B497C"/>
    <w:rsid w:val="001B6C09"/>
    <w:rsid w:val="001C05CD"/>
    <w:rsid w:val="001C1A1B"/>
    <w:rsid w:val="001C206D"/>
    <w:rsid w:val="001C2920"/>
    <w:rsid w:val="001C3BF5"/>
    <w:rsid w:val="001C4160"/>
    <w:rsid w:val="001C4E2A"/>
    <w:rsid w:val="001C72F5"/>
    <w:rsid w:val="001C7F7F"/>
    <w:rsid w:val="001D12DF"/>
    <w:rsid w:val="001D1633"/>
    <w:rsid w:val="001D1D6A"/>
    <w:rsid w:val="001D20C7"/>
    <w:rsid w:val="001D2A11"/>
    <w:rsid w:val="001D36C2"/>
    <w:rsid w:val="001D4A0A"/>
    <w:rsid w:val="001D68B2"/>
    <w:rsid w:val="001D6E9C"/>
    <w:rsid w:val="001E104A"/>
    <w:rsid w:val="001E3A70"/>
    <w:rsid w:val="001E4019"/>
    <w:rsid w:val="001E4CF4"/>
    <w:rsid w:val="001E6CC7"/>
    <w:rsid w:val="001E71EA"/>
    <w:rsid w:val="001E7423"/>
    <w:rsid w:val="001F1D95"/>
    <w:rsid w:val="001F1EF4"/>
    <w:rsid w:val="001F2D66"/>
    <w:rsid w:val="001F3BF5"/>
    <w:rsid w:val="001F4597"/>
    <w:rsid w:val="001F65AF"/>
    <w:rsid w:val="00201296"/>
    <w:rsid w:val="00201715"/>
    <w:rsid w:val="0020402B"/>
    <w:rsid w:val="002043A8"/>
    <w:rsid w:val="002052F1"/>
    <w:rsid w:val="00205F73"/>
    <w:rsid w:val="00206B44"/>
    <w:rsid w:val="00207B2D"/>
    <w:rsid w:val="002116DF"/>
    <w:rsid w:val="002118B9"/>
    <w:rsid w:val="00213EE9"/>
    <w:rsid w:val="00217C5B"/>
    <w:rsid w:val="002208F6"/>
    <w:rsid w:val="0022139E"/>
    <w:rsid w:val="00221E44"/>
    <w:rsid w:val="002227AF"/>
    <w:rsid w:val="002252E0"/>
    <w:rsid w:val="002255F6"/>
    <w:rsid w:val="002271B2"/>
    <w:rsid w:val="00227850"/>
    <w:rsid w:val="00227A53"/>
    <w:rsid w:val="00230C6E"/>
    <w:rsid w:val="00230FD3"/>
    <w:rsid w:val="002310CA"/>
    <w:rsid w:val="00233C31"/>
    <w:rsid w:val="00236443"/>
    <w:rsid w:val="00236AF1"/>
    <w:rsid w:val="0024041F"/>
    <w:rsid w:val="002436BA"/>
    <w:rsid w:val="00244A15"/>
    <w:rsid w:val="00245B03"/>
    <w:rsid w:val="00247319"/>
    <w:rsid w:val="0024799E"/>
    <w:rsid w:val="00247FB7"/>
    <w:rsid w:val="002501F0"/>
    <w:rsid w:val="00250799"/>
    <w:rsid w:val="002516FD"/>
    <w:rsid w:val="0025346A"/>
    <w:rsid w:val="002539B1"/>
    <w:rsid w:val="00253C0F"/>
    <w:rsid w:val="00253F55"/>
    <w:rsid w:val="00256BB0"/>
    <w:rsid w:val="00260C80"/>
    <w:rsid w:val="00260E7C"/>
    <w:rsid w:val="00262B3E"/>
    <w:rsid w:val="00271465"/>
    <w:rsid w:val="0027221F"/>
    <w:rsid w:val="00273BC8"/>
    <w:rsid w:val="00276534"/>
    <w:rsid w:val="00277713"/>
    <w:rsid w:val="00277A94"/>
    <w:rsid w:val="00280C5C"/>
    <w:rsid w:val="00281C00"/>
    <w:rsid w:val="00282489"/>
    <w:rsid w:val="00285412"/>
    <w:rsid w:val="0028591B"/>
    <w:rsid w:val="00290BD5"/>
    <w:rsid w:val="00290CAE"/>
    <w:rsid w:val="00291B11"/>
    <w:rsid w:val="00293819"/>
    <w:rsid w:val="00293F7E"/>
    <w:rsid w:val="00295586"/>
    <w:rsid w:val="002A00BE"/>
    <w:rsid w:val="002A05D5"/>
    <w:rsid w:val="002A16D4"/>
    <w:rsid w:val="002A182B"/>
    <w:rsid w:val="002A230C"/>
    <w:rsid w:val="002A5E10"/>
    <w:rsid w:val="002B3849"/>
    <w:rsid w:val="002B585E"/>
    <w:rsid w:val="002B5B39"/>
    <w:rsid w:val="002C19F8"/>
    <w:rsid w:val="002C270F"/>
    <w:rsid w:val="002C43BD"/>
    <w:rsid w:val="002C6512"/>
    <w:rsid w:val="002C7799"/>
    <w:rsid w:val="002D01EA"/>
    <w:rsid w:val="002D0246"/>
    <w:rsid w:val="002D0E14"/>
    <w:rsid w:val="002D0E59"/>
    <w:rsid w:val="002E02A1"/>
    <w:rsid w:val="002E06BA"/>
    <w:rsid w:val="002E3136"/>
    <w:rsid w:val="002E4E4C"/>
    <w:rsid w:val="002E6624"/>
    <w:rsid w:val="002F1697"/>
    <w:rsid w:val="002F1DB4"/>
    <w:rsid w:val="002F281A"/>
    <w:rsid w:val="002F2925"/>
    <w:rsid w:val="002F2E5D"/>
    <w:rsid w:val="002F4825"/>
    <w:rsid w:val="002F682A"/>
    <w:rsid w:val="00302391"/>
    <w:rsid w:val="00304771"/>
    <w:rsid w:val="00304FD2"/>
    <w:rsid w:val="003052D4"/>
    <w:rsid w:val="00306C5B"/>
    <w:rsid w:val="00312F53"/>
    <w:rsid w:val="0031434D"/>
    <w:rsid w:val="003160DE"/>
    <w:rsid w:val="0032003B"/>
    <w:rsid w:val="003205AD"/>
    <w:rsid w:val="003209D6"/>
    <w:rsid w:val="00321924"/>
    <w:rsid w:val="00325830"/>
    <w:rsid w:val="0032656E"/>
    <w:rsid w:val="0032771E"/>
    <w:rsid w:val="00332190"/>
    <w:rsid w:val="00335667"/>
    <w:rsid w:val="00340321"/>
    <w:rsid w:val="00344668"/>
    <w:rsid w:val="0034556C"/>
    <w:rsid w:val="003462D9"/>
    <w:rsid w:val="003476DF"/>
    <w:rsid w:val="00350C87"/>
    <w:rsid w:val="00351E16"/>
    <w:rsid w:val="00351EAC"/>
    <w:rsid w:val="00354505"/>
    <w:rsid w:val="003546AD"/>
    <w:rsid w:val="00360C86"/>
    <w:rsid w:val="00361627"/>
    <w:rsid w:val="003619B3"/>
    <w:rsid w:val="00361CB2"/>
    <w:rsid w:val="00362151"/>
    <w:rsid w:val="00364407"/>
    <w:rsid w:val="00364436"/>
    <w:rsid w:val="003657F3"/>
    <w:rsid w:val="00365D00"/>
    <w:rsid w:val="00366A5F"/>
    <w:rsid w:val="00366CC8"/>
    <w:rsid w:val="0036716B"/>
    <w:rsid w:val="00367778"/>
    <w:rsid w:val="0037096B"/>
    <w:rsid w:val="00373D6F"/>
    <w:rsid w:val="003752A4"/>
    <w:rsid w:val="003811E5"/>
    <w:rsid w:val="003818DC"/>
    <w:rsid w:val="00382A55"/>
    <w:rsid w:val="003830DE"/>
    <w:rsid w:val="00384327"/>
    <w:rsid w:val="00385D98"/>
    <w:rsid w:val="00392321"/>
    <w:rsid w:val="00393BDD"/>
    <w:rsid w:val="003948C6"/>
    <w:rsid w:val="00395886"/>
    <w:rsid w:val="0039762C"/>
    <w:rsid w:val="003A19EC"/>
    <w:rsid w:val="003A1C3F"/>
    <w:rsid w:val="003A1D51"/>
    <w:rsid w:val="003A2B4D"/>
    <w:rsid w:val="003A446E"/>
    <w:rsid w:val="003A478C"/>
    <w:rsid w:val="003A5525"/>
    <w:rsid w:val="003A6B38"/>
    <w:rsid w:val="003A7736"/>
    <w:rsid w:val="003A7C80"/>
    <w:rsid w:val="003B04BF"/>
    <w:rsid w:val="003B5A32"/>
    <w:rsid w:val="003B6F9A"/>
    <w:rsid w:val="003B793C"/>
    <w:rsid w:val="003B7CDF"/>
    <w:rsid w:val="003C2DA6"/>
    <w:rsid w:val="003C3490"/>
    <w:rsid w:val="003C3AFF"/>
    <w:rsid w:val="003D3E3A"/>
    <w:rsid w:val="003D6279"/>
    <w:rsid w:val="003D65FD"/>
    <w:rsid w:val="003D6920"/>
    <w:rsid w:val="003D6C1C"/>
    <w:rsid w:val="003E2DBD"/>
    <w:rsid w:val="003E356F"/>
    <w:rsid w:val="003E3881"/>
    <w:rsid w:val="003E4C91"/>
    <w:rsid w:val="003E6112"/>
    <w:rsid w:val="003E734C"/>
    <w:rsid w:val="003F107B"/>
    <w:rsid w:val="003F2623"/>
    <w:rsid w:val="003F313C"/>
    <w:rsid w:val="003F3C7B"/>
    <w:rsid w:val="003F3F6E"/>
    <w:rsid w:val="003F4B2C"/>
    <w:rsid w:val="003F551C"/>
    <w:rsid w:val="003F75E1"/>
    <w:rsid w:val="003F7D23"/>
    <w:rsid w:val="004013CA"/>
    <w:rsid w:val="00407C13"/>
    <w:rsid w:val="00410638"/>
    <w:rsid w:val="004116F0"/>
    <w:rsid w:val="00412A4F"/>
    <w:rsid w:val="004170C5"/>
    <w:rsid w:val="004246BF"/>
    <w:rsid w:val="00425275"/>
    <w:rsid w:val="0042610C"/>
    <w:rsid w:val="00426595"/>
    <w:rsid w:val="00426B93"/>
    <w:rsid w:val="004272F9"/>
    <w:rsid w:val="0042763D"/>
    <w:rsid w:val="00432A58"/>
    <w:rsid w:val="004334ED"/>
    <w:rsid w:val="00434617"/>
    <w:rsid w:val="004358CD"/>
    <w:rsid w:val="00436F1F"/>
    <w:rsid w:val="00440900"/>
    <w:rsid w:val="004416AE"/>
    <w:rsid w:val="00442DF3"/>
    <w:rsid w:val="00442EB1"/>
    <w:rsid w:val="004441A0"/>
    <w:rsid w:val="00444609"/>
    <w:rsid w:val="00447CFF"/>
    <w:rsid w:val="00451BDC"/>
    <w:rsid w:val="00456E0F"/>
    <w:rsid w:val="00460FB3"/>
    <w:rsid w:val="00463983"/>
    <w:rsid w:val="00464A75"/>
    <w:rsid w:val="00467830"/>
    <w:rsid w:val="00471807"/>
    <w:rsid w:val="0047295C"/>
    <w:rsid w:val="00475504"/>
    <w:rsid w:val="00476240"/>
    <w:rsid w:val="00476439"/>
    <w:rsid w:val="00476EBA"/>
    <w:rsid w:val="00476EDB"/>
    <w:rsid w:val="00477268"/>
    <w:rsid w:val="0047735C"/>
    <w:rsid w:val="004776BC"/>
    <w:rsid w:val="0048139F"/>
    <w:rsid w:val="00481540"/>
    <w:rsid w:val="00481E40"/>
    <w:rsid w:val="004833CC"/>
    <w:rsid w:val="00483454"/>
    <w:rsid w:val="004836F3"/>
    <w:rsid w:val="00484539"/>
    <w:rsid w:val="00484ECE"/>
    <w:rsid w:val="00485151"/>
    <w:rsid w:val="004874ED"/>
    <w:rsid w:val="00487511"/>
    <w:rsid w:val="004900FF"/>
    <w:rsid w:val="00490AE6"/>
    <w:rsid w:val="004915CB"/>
    <w:rsid w:val="004924DC"/>
    <w:rsid w:val="00492F74"/>
    <w:rsid w:val="0049401D"/>
    <w:rsid w:val="004A14E4"/>
    <w:rsid w:val="004A3212"/>
    <w:rsid w:val="004A61C5"/>
    <w:rsid w:val="004A77DF"/>
    <w:rsid w:val="004B1417"/>
    <w:rsid w:val="004B1865"/>
    <w:rsid w:val="004B1898"/>
    <w:rsid w:val="004B3009"/>
    <w:rsid w:val="004B55B7"/>
    <w:rsid w:val="004B5811"/>
    <w:rsid w:val="004B6468"/>
    <w:rsid w:val="004B66B6"/>
    <w:rsid w:val="004B6749"/>
    <w:rsid w:val="004B6FB1"/>
    <w:rsid w:val="004C0DB7"/>
    <w:rsid w:val="004C367A"/>
    <w:rsid w:val="004C384C"/>
    <w:rsid w:val="004C3867"/>
    <w:rsid w:val="004C4CD0"/>
    <w:rsid w:val="004C53BF"/>
    <w:rsid w:val="004C5665"/>
    <w:rsid w:val="004C5F81"/>
    <w:rsid w:val="004C6AA7"/>
    <w:rsid w:val="004C70DC"/>
    <w:rsid w:val="004C7CB9"/>
    <w:rsid w:val="004D0211"/>
    <w:rsid w:val="004D0794"/>
    <w:rsid w:val="004D40ED"/>
    <w:rsid w:val="004D424A"/>
    <w:rsid w:val="004D544F"/>
    <w:rsid w:val="004D65BB"/>
    <w:rsid w:val="004E1550"/>
    <w:rsid w:val="004E1A07"/>
    <w:rsid w:val="004E1DD3"/>
    <w:rsid w:val="004E2FED"/>
    <w:rsid w:val="004E765C"/>
    <w:rsid w:val="004E7E54"/>
    <w:rsid w:val="004F06F5"/>
    <w:rsid w:val="004F2E3C"/>
    <w:rsid w:val="004F33A0"/>
    <w:rsid w:val="004F3E76"/>
    <w:rsid w:val="004F4790"/>
    <w:rsid w:val="004F4A9A"/>
    <w:rsid w:val="00500A8A"/>
    <w:rsid w:val="00507476"/>
    <w:rsid w:val="005108C0"/>
    <w:rsid w:val="00511099"/>
    <w:rsid w:val="00511873"/>
    <w:rsid w:val="0051195F"/>
    <w:rsid w:val="0051220B"/>
    <w:rsid w:val="00512A2F"/>
    <w:rsid w:val="0051312B"/>
    <w:rsid w:val="00513B7E"/>
    <w:rsid w:val="00515C74"/>
    <w:rsid w:val="00516FE8"/>
    <w:rsid w:val="0051759A"/>
    <w:rsid w:val="0052007E"/>
    <w:rsid w:val="005227A7"/>
    <w:rsid w:val="0052337A"/>
    <w:rsid w:val="0052389A"/>
    <w:rsid w:val="00524C77"/>
    <w:rsid w:val="00525137"/>
    <w:rsid w:val="005251DD"/>
    <w:rsid w:val="0052744A"/>
    <w:rsid w:val="005310A5"/>
    <w:rsid w:val="00532CE7"/>
    <w:rsid w:val="0053324C"/>
    <w:rsid w:val="00534A28"/>
    <w:rsid w:val="00535608"/>
    <w:rsid w:val="00540939"/>
    <w:rsid w:val="00541130"/>
    <w:rsid w:val="005412F1"/>
    <w:rsid w:val="00541508"/>
    <w:rsid w:val="00541BFC"/>
    <w:rsid w:val="005444A4"/>
    <w:rsid w:val="00545BBF"/>
    <w:rsid w:val="005461FD"/>
    <w:rsid w:val="00551C2D"/>
    <w:rsid w:val="0055444F"/>
    <w:rsid w:val="00555035"/>
    <w:rsid w:val="0055599F"/>
    <w:rsid w:val="00555EE6"/>
    <w:rsid w:val="00556D68"/>
    <w:rsid w:val="0055720E"/>
    <w:rsid w:val="00561876"/>
    <w:rsid w:val="00562FFA"/>
    <w:rsid w:val="005634B8"/>
    <w:rsid w:val="00563CD7"/>
    <w:rsid w:val="005647BF"/>
    <w:rsid w:val="00565A8A"/>
    <w:rsid w:val="00567470"/>
    <w:rsid w:val="0056764C"/>
    <w:rsid w:val="00567D41"/>
    <w:rsid w:val="00567EAA"/>
    <w:rsid w:val="0057364B"/>
    <w:rsid w:val="00574773"/>
    <w:rsid w:val="00575493"/>
    <w:rsid w:val="00583C3D"/>
    <w:rsid w:val="00583FFD"/>
    <w:rsid w:val="0058420D"/>
    <w:rsid w:val="00590D37"/>
    <w:rsid w:val="005911BE"/>
    <w:rsid w:val="00593152"/>
    <w:rsid w:val="00594EBD"/>
    <w:rsid w:val="00597244"/>
    <w:rsid w:val="005A10F2"/>
    <w:rsid w:val="005A21E0"/>
    <w:rsid w:val="005A25D1"/>
    <w:rsid w:val="005A28FF"/>
    <w:rsid w:val="005A3DF8"/>
    <w:rsid w:val="005A5549"/>
    <w:rsid w:val="005A5896"/>
    <w:rsid w:val="005B027D"/>
    <w:rsid w:val="005B121D"/>
    <w:rsid w:val="005B1F7F"/>
    <w:rsid w:val="005B4D8E"/>
    <w:rsid w:val="005B50BC"/>
    <w:rsid w:val="005C06ED"/>
    <w:rsid w:val="005C2BD9"/>
    <w:rsid w:val="005C7A1C"/>
    <w:rsid w:val="005C7D5B"/>
    <w:rsid w:val="005D0C56"/>
    <w:rsid w:val="005D463B"/>
    <w:rsid w:val="005D4AD4"/>
    <w:rsid w:val="005D5802"/>
    <w:rsid w:val="005D6845"/>
    <w:rsid w:val="005D6CDB"/>
    <w:rsid w:val="005D7890"/>
    <w:rsid w:val="005E1C2B"/>
    <w:rsid w:val="005E5EB3"/>
    <w:rsid w:val="005E69E8"/>
    <w:rsid w:val="005E7C78"/>
    <w:rsid w:val="005F0609"/>
    <w:rsid w:val="005F2B87"/>
    <w:rsid w:val="005F3EB1"/>
    <w:rsid w:val="005F5469"/>
    <w:rsid w:val="005F6291"/>
    <w:rsid w:val="0060063E"/>
    <w:rsid w:val="006018EF"/>
    <w:rsid w:val="00604307"/>
    <w:rsid w:val="0060487F"/>
    <w:rsid w:val="00604EAD"/>
    <w:rsid w:val="00607834"/>
    <w:rsid w:val="006104FB"/>
    <w:rsid w:val="006109A9"/>
    <w:rsid w:val="006122D1"/>
    <w:rsid w:val="00612A2F"/>
    <w:rsid w:val="00613A2E"/>
    <w:rsid w:val="006155C2"/>
    <w:rsid w:val="00616E05"/>
    <w:rsid w:val="00616E17"/>
    <w:rsid w:val="00617078"/>
    <w:rsid w:val="00622B4C"/>
    <w:rsid w:val="00624093"/>
    <w:rsid w:val="00626353"/>
    <w:rsid w:val="0062791F"/>
    <w:rsid w:val="00631E7C"/>
    <w:rsid w:val="0063536A"/>
    <w:rsid w:val="006404A7"/>
    <w:rsid w:val="006451E4"/>
    <w:rsid w:val="00645819"/>
    <w:rsid w:val="00645B33"/>
    <w:rsid w:val="00650275"/>
    <w:rsid w:val="00650925"/>
    <w:rsid w:val="006516CB"/>
    <w:rsid w:val="00656C52"/>
    <w:rsid w:val="00656C87"/>
    <w:rsid w:val="00657E87"/>
    <w:rsid w:val="00661BE4"/>
    <w:rsid w:val="00661DB2"/>
    <w:rsid w:val="00662030"/>
    <w:rsid w:val="00664803"/>
    <w:rsid w:val="0066549C"/>
    <w:rsid w:val="00665BA4"/>
    <w:rsid w:val="00666A57"/>
    <w:rsid w:val="006677B8"/>
    <w:rsid w:val="00667AF2"/>
    <w:rsid w:val="0067093E"/>
    <w:rsid w:val="006710C9"/>
    <w:rsid w:val="006727A6"/>
    <w:rsid w:val="00674D89"/>
    <w:rsid w:val="006750CA"/>
    <w:rsid w:val="00675E37"/>
    <w:rsid w:val="0067655D"/>
    <w:rsid w:val="0068062C"/>
    <w:rsid w:val="0068174E"/>
    <w:rsid w:val="00681DCE"/>
    <w:rsid w:val="0068260E"/>
    <w:rsid w:val="00685BEC"/>
    <w:rsid w:val="00690683"/>
    <w:rsid w:val="00693C2B"/>
    <w:rsid w:val="00693F4F"/>
    <w:rsid w:val="00695BEF"/>
    <w:rsid w:val="00697435"/>
    <w:rsid w:val="006977F6"/>
    <w:rsid w:val="00697A13"/>
    <w:rsid w:val="006A109C"/>
    <w:rsid w:val="006A47B0"/>
    <w:rsid w:val="006B03DF"/>
    <w:rsid w:val="006B22DF"/>
    <w:rsid w:val="006B344A"/>
    <w:rsid w:val="006B78D8"/>
    <w:rsid w:val="006C113F"/>
    <w:rsid w:val="006C123E"/>
    <w:rsid w:val="006C128B"/>
    <w:rsid w:val="006C516C"/>
    <w:rsid w:val="006C56D4"/>
    <w:rsid w:val="006C5B3C"/>
    <w:rsid w:val="006C6924"/>
    <w:rsid w:val="006C6BE8"/>
    <w:rsid w:val="006C78D3"/>
    <w:rsid w:val="006C7CA6"/>
    <w:rsid w:val="006D3E8A"/>
    <w:rsid w:val="006D4064"/>
    <w:rsid w:val="006D61DD"/>
    <w:rsid w:val="006D61F6"/>
    <w:rsid w:val="006E05FE"/>
    <w:rsid w:val="006E279A"/>
    <w:rsid w:val="006E313B"/>
    <w:rsid w:val="006E48A4"/>
    <w:rsid w:val="006E79F3"/>
    <w:rsid w:val="006F2029"/>
    <w:rsid w:val="006F5416"/>
    <w:rsid w:val="006F7137"/>
    <w:rsid w:val="00700A9E"/>
    <w:rsid w:val="00701B50"/>
    <w:rsid w:val="00701DB8"/>
    <w:rsid w:val="00704C3F"/>
    <w:rsid w:val="00706AD4"/>
    <w:rsid w:val="00710DF7"/>
    <w:rsid w:val="00713836"/>
    <w:rsid w:val="007140BE"/>
    <w:rsid w:val="0072018E"/>
    <w:rsid w:val="007211F5"/>
    <w:rsid w:val="00722359"/>
    <w:rsid w:val="00722A19"/>
    <w:rsid w:val="00725BB5"/>
    <w:rsid w:val="00726388"/>
    <w:rsid w:val="00730AE8"/>
    <w:rsid w:val="00731E2F"/>
    <w:rsid w:val="0073214E"/>
    <w:rsid w:val="0073256F"/>
    <w:rsid w:val="00735191"/>
    <w:rsid w:val="00737EA5"/>
    <w:rsid w:val="00740CD1"/>
    <w:rsid w:val="00741493"/>
    <w:rsid w:val="0074219B"/>
    <w:rsid w:val="00742868"/>
    <w:rsid w:val="00742F45"/>
    <w:rsid w:val="0074665D"/>
    <w:rsid w:val="00747095"/>
    <w:rsid w:val="00750FA5"/>
    <w:rsid w:val="00752180"/>
    <w:rsid w:val="007549BB"/>
    <w:rsid w:val="00755202"/>
    <w:rsid w:val="007554F9"/>
    <w:rsid w:val="00755D3A"/>
    <w:rsid w:val="007578D3"/>
    <w:rsid w:val="00757925"/>
    <w:rsid w:val="0076003C"/>
    <w:rsid w:val="007609C6"/>
    <w:rsid w:val="0076175D"/>
    <w:rsid w:val="0076287E"/>
    <w:rsid w:val="00764811"/>
    <w:rsid w:val="00764E54"/>
    <w:rsid w:val="0076521E"/>
    <w:rsid w:val="007661E9"/>
    <w:rsid w:val="007714C7"/>
    <w:rsid w:val="00771F07"/>
    <w:rsid w:val="00774838"/>
    <w:rsid w:val="00776161"/>
    <w:rsid w:val="00776169"/>
    <w:rsid w:val="00776527"/>
    <w:rsid w:val="00776667"/>
    <w:rsid w:val="0077709B"/>
    <w:rsid w:val="00780EF1"/>
    <w:rsid w:val="00786A10"/>
    <w:rsid w:val="00787171"/>
    <w:rsid w:val="007874C5"/>
    <w:rsid w:val="00790764"/>
    <w:rsid w:val="0079402D"/>
    <w:rsid w:val="0079453C"/>
    <w:rsid w:val="00794677"/>
    <w:rsid w:val="0079472D"/>
    <w:rsid w:val="00794844"/>
    <w:rsid w:val="007956A3"/>
    <w:rsid w:val="00795F2F"/>
    <w:rsid w:val="007970A5"/>
    <w:rsid w:val="007A5179"/>
    <w:rsid w:val="007A5589"/>
    <w:rsid w:val="007B08AF"/>
    <w:rsid w:val="007B3FF0"/>
    <w:rsid w:val="007B41B2"/>
    <w:rsid w:val="007B64CD"/>
    <w:rsid w:val="007B6689"/>
    <w:rsid w:val="007B6EAA"/>
    <w:rsid w:val="007B7672"/>
    <w:rsid w:val="007C1883"/>
    <w:rsid w:val="007C23DF"/>
    <w:rsid w:val="007C2728"/>
    <w:rsid w:val="007C2FCB"/>
    <w:rsid w:val="007C3A3E"/>
    <w:rsid w:val="007C52E4"/>
    <w:rsid w:val="007C7DD2"/>
    <w:rsid w:val="007C7E1E"/>
    <w:rsid w:val="007D03B0"/>
    <w:rsid w:val="007D3922"/>
    <w:rsid w:val="007D40DF"/>
    <w:rsid w:val="007D40F8"/>
    <w:rsid w:val="007D43B5"/>
    <w:rsid w:val="007D4EE6"/>
    <w:rsid w:val="007D612B"/>
    <w:rsid w:val="007D705F"/>
    <w:rsid w:val="007D717B"/>
    <w:rsid w:val="007D76CA"/>
    <w:rsid w:val="007E4BCF"/>
    <w:rsid w:val="007E6FD4"/>
    <w:rsid w:val="007E7E61"/>
    <w:rsid w:val="007F0845"/>
    <w:rsid w:val="007F3B2B"/>
    <w:rsid w:val="007F3E34"/>
    <w:rsid w:val="007F4377"/>
    <w:rsid w:val="007F45E0"/>
    <w:rsid w:val="00800493"/>
    <w:rsid w:val="00803A87"/>
    <w:rsid w:val="00807C82"/>
    <w:rsid w:val="00810A9E"/>
    <w:rsid w:val="00813696"/>
    <w:rsid w:val="00813C9F"/>
    <w:rsid w:val="00813DDE"/>
    <w:rsid w:val="0081642E"/>
    <w:rsid w:val="00816905"/>
    <w:rsid w:val="00817729"/>
    <w:rsid w:val="00821CE5"/>
    <w:rsid w:val="00821FF6"/>
    <w:rsid w:val="00822763"/>
    <w:rsid w:val="00824D60"/>
    <w:rsid w:val="00825C4D"/>
    <w:rsid w:val="0082731F"/>
    <w:rsid w:val="0083143E"/>
    <w:rsid w:val="00831CDE"/>
    <w:rsid w:val="00833502"/>
    <w:rsid w:val="00834304"/>
    <w:rsid w:val="008347AF"/>
    <w:rsid w:val="00834FAA"/>
    <w:rsid w:val="00834FC9"/>
    <w:rsid w:val="00836086"/>
    <w:rsid w:val="0084162C"/>
    <w:rsid w:val="008429A9"/>
    <w:rsid w:val="0084708F"/>
    <w:rsid w:val="008477C8"/>
    <w:rsid w:val="00847A9B"/>
    <w:rsid w:val="00847D1C"/>
    <w:rsid w:val="0085114D"/>
    <w:rsid w:val="00852217"/>
    <w:rsid w:val="00852429"/>
    <w:rsid w:val="00855275"/>
    <w:rsid w:val="00855408"/>
    <w:rsid w:val="0085641C"/>
    <w:rsid w:val="00856D65"/>
    <w:rsid w:val="008601F1"/>
    <w:rsid w:val="00860AE7"/>
    <w:rsid w:val="00861B41"/>
    <w:rsid w:val="00863434"/>
    <w:rsid w:val="0086548A"/>
    <w:rsid w:val="00865E4C"/>
    <w:rsid w:val="00866E27"/>
    <w:rsid w:val="008701E4"/>
    <w:rsid w:val="00870338"/>
    <w:rsid w:val="0087440E"/>
    <w:rsid w:val="00874B81"/>
    <w:rsid w:val="00874EC6"/>
    <w:rsid w:val="00875A32"/>
    <w:rsid w:val="00876086"/>
    <w:rsid w:val="00880EAE"/>
    <w:rsid w:val="00882FC9"/>
    <w:rsid w:val="00882FCF"/>
    <w:rsid w:val="00885D9B"/>
    <w:rsid w:val="00886785"/>
    <w:rsid w:val="008873D4"/>
    <w:rsid w:val="008928E9"/>
    <w:rsid w:val="00893447"/>
    <w:rsid w:val="00893E85"/>
    <w:rsid w:val="00894031"/>
    <w:rsid w:val="008941D8"/>
    <w:rsid w:val="0089767A"/>
    <w:rsid w:val="008978D6"/>
    <w:rsid w:val="008B2A95"/>
    <w:rsid w:val="008B54C8"/>
    <w:rsid w:val="008B7C02"/>
    <w:rsid w:val="008B7D2B"/>
    <w:rsid w:val="008C0049"/>
    <w:rsid w:val="008C0E88"/>
    <w:rsid w:val="008C3EDC"/>
    <w:rsid w:val="008C4159"/>
    <w:rsid w:val="008C78A2"/>
    <w:rsid w:val="008D0172"/>
    <w:rsid w:val="008D05B7"/>
    <w:rsid w:val="008D0BFA"/>
    <w:rsid w:val="008D16C0"/>
    <w:rsid w:val="008D1E6A"/>
    <w:rsid w:val="008D22AA"/>
    <w:rsid w:val="008D2A16"/>
    <w:rsid w:val="008D4C37"/>
    <w:rsid w:val="008D5CCF"/>
    <w:rsid w:val="008D7148"/>
    <w:rsid w:val="008E2C57"/>
    <w:rsid w:val="008E31FF"/>
    <w:rsid w:val="008E5065"/>
    <w:rsid w:val="008E51CD"/>
    <w:rsid w:val="008E6F06"/>
    <w:rsid w:val="008E7CC7"/>
    <w:rsid w:val="008F029B"/>
    <w:rsid w:val="008F3B67"/>
    <w:rsid w:val="008F3FC9"/>
    <w:rsid w:val="008F585B"/>
    <w:rsid w:val="00900193"/>
    <w:rsid w:val="009003A8"/>
    <w:rsid w:val="0090158A"/>
    <w:rsid w:val="00902500"/>
    <w:rsid w:val="00902EFF"/>
    <w:rsid w:val="00904A8C"/>
    <w:rsid w:val="00904D33"/>
    <w:rsid w:val="00904D80"/>
    <w:rsid w:val="00906401"/>
    <w:rsid w:val="00907881"/>
    <w:rsid w:val="0091022B"/>
    <w:rsid w:val="00910D55"/>
    <w:rsid w:val="0091155E"/>
    <w:rsid w:val="00911661"/>
    <w:rsid w:val="00912A92"/>
    <w:rsid w:val="00915C23"/>
    <w:rsid w:val="00916F73"/>
    <w:rsid w:val="009170AB"/>
    <w:rsid w:val="0091728D"/>
    <w:rsid w:val="00917291"/>
    <w:rsid w:val="00921510"/>
    <w:rsid w:val="0092180B"/>
    <w:rsid w:val="00921F14"/>
    <w:rsid w:val="00924AC8"/>
    <w:rsid w:val="009258B2"/>
    <w:rsid w:val="0092597A"/>
    <w:rsid w:val="00926272"/>
    <w:rsid w:val="0093187F"/>
    <w:rsid w:val="00932443"/>
    <w:rsid w:val="009330C3"/>
    <w:rsid w:val="009347F2"/>
    <w:rsid w:val="00937621"/>
    <w:rsid w:val="00937AE2"/>
    <w:rsid w:val="00941062"/>
    <w:rsid w:val="00943C36"/>
    <w:rsid w:val="0094427A"/>
    <w:rsid w:val="009445EA"/>
    <w:rsid w:val="00955870"/>
    <w:rsid w:val="00967D95"/>
    <w:rsid w:val="0097044A"/>
    <w:rsid w:val="00971FEA"/>
    <w:rsid w:val="00973C4B"/>
    <w:rsid w:val="00974923"/>
    <w:rsid w:val="00977A39"/>
    <w:rsid w:val="00980D3D"/>
    <w:rsid w:val="0098198C"/>
    <w:rsid w:val="00983719"/>
    <w:rsid w:val="00987A30"/>
    <w:rsid w:val="00990A60"/>
    <w:rsid w:val="00992CF3"/>
    <w:rsid w:val="00995566"/>
    <w:rsid w:val="009968D6"/>
    <w:rsid w:val="0099745E"/>
    <w:rsid w:val="0099769C"/>
    <w:rsid w:val="009A0348"/>
    <w:rsid w:val="009A0491"/>
    <w:rsid w:val="009A1CAB"/>
    <w:rsid w:val="009A2378"/>
    <w:rsid w:val="009A25E7"/>
    <w:rsid w:val="009A4C68"/>
    <w:rsid w:val="009A60D1"/>
    <w:rsid w:val="009A6749"/>
    <w:rsid w:val="009B11D8"/>
    <w:rsid w:val="009B13E0"/>
    <w:rsid w:val="009B25C4"/>
    <w:rsid w:val="009B4AFE"/>
    <w:rsid w:val="009B6DD0"/>
    <w:rsid w:val="009B6FD3"/>
    <w:rsid w:val="009C048A"/>
    <w:rsid w:val="009C1750"/>
    <w:rsid w:val="009C1F9C"/>
    <w:rsid w:val="009C2ADE"/>
    <w:rsid w:val="009C2E29"/>
    <w:rsid w:val="009C554B"/>
    <w:rsid w:val="009C64F2"/>
    <w:rsid w:val="009C719E"/>
    <w:rsid w:val="009D3ACD"/>
    <w:rsid w:val="009D58EA"/>
    <w:rsid w:val="009E2CE9"/>
    <w:rsid w:val="009E5273"/>
    <w:rsid w:val="009E58CB"/>
    <w:rsid w:val="009E5DCB"/>
    <w:rsid w:val="009E5DDB"/>
    <w:rsid w:val="009F231B"/>
    <w:rsid w:val="009F425B"/>
    <w:rsid w:val="009F4CA7"/>
    <w:rsid w:val="009F5852"/>
    <w:rsid w:val="009F5F22"/>
    <w:rsid w:val="009F6820"/>
    <w:rsid w:val="00A0194A"/>
    <w:rsid w:val="00A06517"/>
    <w:rsid w:val="00A07D55"/>
    <w:rsid w:val="00A10D66"/>
    <w:rsid w:val="00A12F0F"/>
    <w:rsid w:val="00A14114"/>
    <w:rsid w:val="00A1463C"/>
    <w:rsid w:val="00A14F3A"/>
    <w:rsid w:val="00A16169"/>
    <w:rsid w:val="00A16413"/>
    <w:rsid w:val="00A21B43"/>
    <w:rsid w:val="00A23E43"/>
    <w:rsid w:val="00A24446"/>
    <w:rsid w:val="00A30344"/>
    <w:rsid w:val="00A30F65"/>
    <w:rsid w:val="00A3239A"/>
    <w:rsid w:val="00A36A90"/>
    <w:rsid w:val="00A36D79"/>
    <w:rsid w:val="00A418BC"/>
    <w:rsid w:val="00A440CF"/>
    <w:rsid w:val="00A46DE0"/>
    <w:rsid w:val="00A478D8"/>
    <w:rsid w:val="00A502F0"/>
    <w:rsid w:val="00A50D73"/>
    <w:rsid w:val="00A51FD5"/>
    <w:rsid w:val="00A52989"/>
    <w:rsid w:val="00A52CAD"/>
    <w:rsid w:val="00A53FC7"/>
    <w:rsid w:val="00A554CF"/>
    <w:rsid w:val="00A56C94"/>
    <w:rsid w:val="00A5735A"/>
    <w:rsid w:val="00A60EAA"/>
    <w:rsid w:val="00A62CE1"/>
    <w:rsid w:val="00A65A2E"/>
    <w:rsid w:val="00A66C4A"/>
    <w:rsid w:val="00A66E49"/>
    <w:rsid w:val="00A6741E"/>
    <w:rsid w:val="00A70AC6"/>
    <w:rsid w:val="00A711A1"/>
    <w:rsid w:val="00A7131B"/>
    <w:rsid w:val="00A716F3"/>
    <w:rsid w:val="00A75035"/>
    <w:rsid w:val="00A7547C"/>
    <w:rsid w:val="00A75E40"/>
    <w:rsid w:val="00A77D1D"/>
    <w:rsid w:val="00A84B8A"/>
    <w:rsid w:val="00A85714"/>
    <w:rsid w:val="00A857C0"/>
    <w:rsid w:val="00A86F27"/>
    <w:rsid w:val="00A90657"/>
    <w:rsid w:val="00A95D95"/>
    <w:rsid w:val="00A96524"/>
    <w:rsid w:val="00A9746A"/>
    <w:rsid w:val="00AA16FF"/>
    <w:rsid w:val="00AA186E"/>
    <w:rsid w:val="00AA2996"/>
    <w:rsid w:val="00AA402B"/>
    <w:rsid w:val="00AA4904"/>
    <w:rsid w:val="00AA52BF"/>
    <w:rsid w:val="00AA559A"/>
    <w:rsid w:val="00AA7325"/>
    <w:rsid w:val="00AA7DA6"/>
    <w:rsid w:val="00AB07A3"/>
    <w:rsid w:val="00AB117D"/>
    <w:rsid w:val="00AB20E9"/>
    <w:rsid w:val="00AB2AF1"/>
    <w:rsid w:val="00AB2EEA"/>
    <w:rsid w:val="00AB4DCD"/>
    <w:rsid w:val="00AB7339"/>
    <w:rsid w:val="00AC12CC"/>
    <w:rsid w:val="00AC148B"/>
    <w:rsid w:val="00AC1514"/>
    <w:rsid w:val="00AC1720"/>
    <w:rsid w:val="00AC20A3"/>
    <w:rsid w:val="00AC376D"/>
    <w:rsid w:val="00AC39F4"/>
    <w:rsid w:val="00AC746A"/>
    <w:rsid w:val="00AD02E2"/>
    <w:rsid w:val="00AD185B"/>
    <w:rsid w:val="00AD2FC5"/>
    <w:rsid w:val="00AD306C"/>
    <w:rsid w:val="00AD45C6"/>
    <w:rsid w:val="00AD56A9"/>
    <w:rsid w:val="00AE01E8"/>
    <w:rsid w:val="00AE0492"/>
    <w:rsid w:val="00AE09B3"/>
    <w:rsid w:val="00AE1A83"/>
    <w:rsid w:val="00AE2962"/>
    <w:rsid w:val="00AE29CE"/>
    <w:rsid w:val="00AE5CE1"/>
    <w:rsid w:val="00AE640A"/>
    <w:rsid w:val="00AF2689"/>
    <w:rsid w:val="00AF2AA7"/>
    <w:rsid w:val="00AF7C99"/>
    <w:rsid w:val="00AF7DE4"/>
    <w:rsid w:val="00B00913"/>
    <w:rsid w:val="00B01273"/>
    <w:rsid w:val="00B01593"/>
    <w:rsid w:val="00B05FCB"/>
    <w:rsid w:val="00B10A4D"/>
    <w:rsid w:val="00B13BB9"/>
    <w:rsid w:val="00B14939"/>
    <w:rsid w:val="00B1747B"/>
    <w:rsid w:val="00B17E71"/>
    <w:rsid w:val="00B17FDE"/>
    <w:rsid w:val="00B2379C"/>
    <w:rsid w:val="00B2687D"/>
    <w:rsid w:val="00B32DDB"/>
    <w:rsid w:val="00B34528"/>
    <w:rsid w:val="00B34C59"/>
    <w:rsid w:val="00B36212"/>
    <w:rsid w:val="00B36D22"/>
    <w:rsid w:val="00B378BD"/>
    <w:rsid w:val="00B37EED"/>
    <w:rsid w:val="00B402FC"/>
    <w:rsid w:val="00B41A00"/>
    <w:rsid w:val="00B43352"/>
    <w:rsid w:val="00B446C3"/>
    <w:rsid w:val="00B45AAB"/>
    <w:rsid w:val="00B46604"/>
    <w:rsid w:val="00B47690"/>
    <w:rsid w:val="00B47E59"/>
    <w:rsid w:val="00B5037B"/>
    <w:rsid w:val="00B52A85"/>
    <w:rsid w:val="00B530CD"/>
    <w:rsid w:val="00B544E2"/>
    <w:rsid w:val="00B550AF"/>
    <w:rsid w:val="00B55F5E"/>
    <w:rsid w:val="00B560B3"/>
    <w:rsid w:val="00B56222"/>
    <w:rsid w:val="00B5752E"/>
    <w:rsid w:val="00B57A8F"/>
    <w:rsid w:val="00B600D3"/>
    <w:rsid w:val="00B6283F"/>
    <w:rsid w:val="00B63A11"/>
    <w:rsid w:val="00B64C24"/>
    <w:rsid w:val="00B6608F"/>
    <w:rsid w:val="00B67966"/>
    <w:rsid w:val="00B679FB"/>
    <w:rsid w:val="00B70148"/>
    <w:rsid w:val="00B71824"/>
    <w:rsid w:val="00B72AEC"/>
    <w:rsid w:val="00B75684"/>
    <w:rsid w:val="00B757DB"/>
    <w:rsid w:val="00B76D1E"/>
    <w:rsid w:val="00B80EC6"/>
    <w:rsid w:val="00B81E1D"/>
    <w:rsid w:val="00B82BCE"/>
    <w:rsid w:val="00B83928"/>
    <w:rsid w:val="00B92D1D"/>
    <w:rsid w:val="00B938C5"/>
    <w:rsid w:val="00B95940"/>
    <w:rsid w:val="00BA0440"/>
    <w:rsid w:val="00BA56A3"/>
    <w:rsid w:val="00BA6804"/>
    <w:rsid w:val="00BA7247"/>
    <w:rsid w:val="00BA7EF7"/>
    <w:rsid w:val="00BB46F3"/>
    <w:rsid w:val="00BB4CB1"/>
    <w:rsid w:val="00BB4F98"/>
    <w:rsid w:val="00BB511F"/>
    <w:rsid w:val="00BB7D52"/>
    <w:rsid w:val="00BC2D96"/>
    <w:rsid w:val="00BC33C6"/>
    <w:rsid w:val="00BC669A"/>
    <w:rsid w:val="00BC7154"/>
    <w:rsid w:val="00BC7244"/>
    <w:rsid w:val="00BD0A8D"/>
    <w:rsid w:val="00BD20CD"/>
    <w:rsid w:val="00BD2998"/>
    <w:rsid w:val="00BD366B"/>
    <w:rsid w:val="00BD5B70"/>
    <w:rsid w:val="00BD6D50"/>
    <w:rsid w:val="00BE18B9"/>
    <w:rsid w:val="00BE1CEB"/>
    <w:rsid w:val="00BE1DF8"/>
    <w:rsid w:val="00BE2495"/>
    <w:rsid w:val="00BE3497"/>
    <w:rsid w:val="00BE4E34"/>
    <w:rsid w:val="00BE5EB7"/>
    <w:rsid w:val="00BE6212"/>
    <w:rsid w:val="00BE7B7D"/>
    <w:rsid w:val="00BF1578"/>
    <w:rsid w:val="00BF1731"/>
    <w:rsid w:val="00BF46F9"/>
    <w:rsid w:val="00C101FE"/>
    <w:rsid w:val="00C1214F"/>
    <w:rsid w:val="00C14339"/>
    <w:rsid w:val="00C15BCD"/>
    <w:rsid w:val="00C162CA"/>
    <w:rsid w:val="00C174A4"/>
    <w:rsid w:val="00C21F94"/>
    <w:rsid w:val="00C22AD7"/>
    <w:rsid w:val="00C2397A"/>
    <w:rsid w:val="00C25DAB"/>
    <w:rsid w:val="00C27913"/>
    <w:rsid w:val="00C27ECC"/>
    <w:rsid w:val="00C33B68"/>
    <w:rsid w:val="00C35689"/>
    <w:rsid w:val="00C364F0"/>
    <w:rsid w:val="00C36A79"/>
    <w:rsid w:val="00C405D4"/>
    <w:rsid w:val="00C40B10"/>
    <w:rsid w:val="00C40B6C"/>
    <w:rsid w:val="00C4513B"/>
    <w:rsid w:val="00C466F4"/>
    <w:rsid w:val="00C54697"/>
    <w:rsid w:val="00C54833"/>
    <w:rsid w:val="00C548C6"/>
    <w:rsid w:val="00C57ABA"/>
    <w:rsid w:val="00C60F49"/>
    <w:rsid w:val="00C6103F"/>
    <w:rsid w:val="00C61702"/>
    <w:rsid w:val="00C63B52"/>
    <w:rsid w:val="00C63D65"/>
    <w:rsid w:val="00C64E57"/>
    <w:rsid w:val="00C717FD"/>
    <w:rsid w:val="00C7280E"/>
    <w:rsid w:val="00C73885"/>
    <w:rsid w:val="00C747B1"/>
    <w:rsid w:val="00C7500E"/>
    <w:rsid w:val="00C75F18"/>
    <w:rsid w:val="00C812D3"/>
    <w:rsid w:val="00C819B2"/>
    <w:rsid w:val="00C82191"/>
    <w:rsid w:val="00C829FD"/>
    <w:rsid w:val="00C84608"/>
    <w:rsid w:val="00C87196"/>
    <w:rsid w:val="00C872DC"/>
    <w:rsid w:val="00C87FDD"/>
    <w:rsid w:val="00C90CF4"/>
    <w:rsid w:val="00C91C87"/>
    <w:rsid w:val="00C92EB6"/>
    <w:rsid w:val="00C93389"/>
    <w:rsid w:val="00C9573E"/>
    <w:rsid w:val="00C961EB"/>
    <w:rsid w:val="00CA0BCA"/>
    <w:rsid w:val="00CA0FFC"/>
    <w:rsid w:val="00CA349A"/>
    <w:rsid w:val="00CA6516"/>
    <w:rsid w:val="00CB0299"/>
    <w:rsid w:val="00CB3139"/>
    <w:rsid w:val="00CB4930"/>
    <w:rsid w:val="00CB698F"/>
    <w:rsid w:val="00CC11E6"/>
    <w:rsid w:val="00CC2E7D"/>
    <w:rsid w:val="00CC5E5F"/>
    <w:rsid w:val="00CD10A5"/>
    <w:rsid w:val="00CD2076"/>
    <w:rsid w:val="00CD2412"/>
    <w:rsid w:val="00CD3DFD"/>
    <w:rsid w:val="00CD601F"/>
    <w:rsid w:val="00CD6AB5"/>
    <w:rsid w:val="00CD6E59"/>
    <w:rsid w:val="00CD7869"/>
    <w:rsid w:val="00CE146C"/>
    <w:rsid w:val="00CE4C89"/>
    <w:rsid w:val="00CE5D87"/>
    <w:rsid w:val="00CE670B"/>
    <w:rsid w:val="00CF1455"/>
    <w:rsid w:val="00CF3D42"/>
    <w:rsid w:val="00CF51EC"/>
    <w:rsid w:val="00CF5881"/>
    <w:rsid w:val="00CF724F"/>
    <w:rsid w:val="00CF73AE"/>
    <w:rsid w:val="00D00192"/>
    <w:rsid w:val="00D025FA"/>
    <w:rsid w:val="00D03393"/>
    <w:rsid w:val="00D040DD"/>
    <w:rsid w:val="00D045AE"/>
    <w:rsid w:val="00D04C9C"/>
    <w:rsid w:val="00D06F2A"/>
    <w:rsid w:val="00D13986"/>
    <w:rsid w:val="00D14A92"/>
    <w:rsid w:val="00D201D8"/>
    <w:rsid w:val="00D20DE6"/>
    <w:rsid w:val="00D235B7"/>
    <w:rsid w:val="00D23CB2"/>
    <w:rsid w:val="00D25F28"/>
    <w:rsid w:val="00D27973"/>
    <w:rsid w:val="00D27F7B"/>
    <w:rsid w:val="00D3352B"/>
    <w:rsid w:val="00D428B5"/>
    <w:rsid w:val="00D47031"/>
    <w:rsid w:val="00D50F46"/>
    <w:rsid w:val="00D51501"/>
    <w:rsid w:val="00D53CB5"/>
    <w:rsid w:val="00D565F4"/>
    <w:rsid w:val="00D61365"/>
    <w:rsid w:val="00D63619"/>
    <w:rsid w:val="00D65CC8"/>
    <w:rsid w:val="00D66223"/>
    <w:rsid w:val="00D73AB5"/>
    <w:rsid w:val="00D742B4"/>
    <w:rsid w:val="00D7703B"/>
    <w:rsid w:val="00D8084C"/>
    <w:rsid w:val="00D836D2"/>
    <w:rsid w:val="00D85B8F"/>
    <w:rsid w:val="00D90069"/>
    <w:rsid w:val="00D92A63"/>
    <w:rsid w:val="00DA0AFE"/>
    <w:rsid w:val="00DA0D5C"/>
    <w:rsid w:val="00DA283D"/>
    <w:rsid w:val="00DA6969"/>
    <w:rsid w:val="00DA7C0C"/>
    <w:rsid w:val="00DB0F28"/>
    <w:rsid w:val="00DB1D90"/>
    <w:rsid w:val="00DB2410"/>
    <w:rsid w:val="00DB25B0"/>
    <w:rsid w:val="00DB2EC8"/>
    <w:rsid w:val="00DB332F"/>
    <w:rsid w:val="00DB4701"/>
    <w:rsid w:val="00DC35E8"/>
    <w:rsid w:val="00DC5B3B"/>
    <w:rsid w:val="00DC615A"/>
    <w:rsid w:val="00DD091D"/>
    <w:rsid w:val="00DD129F"/>
    <w:rsid w:val="00DD130E"/>
    <w:rsid w:val="00DD25AA"/>
    <w:rsid w:val="00DD4549"/>
    <w:rsid w:val="00DE0BA0"/>
    <w:rsid w:val="00DE1E7E"/>
    <w:rsid w:val="00DE2D95"/>
    <w:rsid w:val="00DE37AF"/>
    <w:rsid w:val="00DE39F5"/>
    <w:rsid w:val="00DE44B4"/>
    <w:rsid w:val="00DE4F3B"/>
    <w:rsid w:val="00DE4FDB"/>
    <w:rsid w:val="00DF15F9"/>
    <w:rsid w:val="00DF42FF"/>
    <w:rsid w:val="00DF44CF"/>
    <w:rsid w:val="00DF6A75"/>
    <w:rsid w:val="00DF723C"/>
    <w:rsid w:val="00DF74FB"/>
    <w:rsid w:val="00E00286"/>
    <w:rsid w:val="00E008AC"/>
    <w:rsid w:val="00E01C0E"/>
    <w:rsid w:val="00E027EE"/>
    <w:rsid w:val="00E03F9A"/>
    <w:rsid w:val="00E04694"/>
    <w:rsid w:val="00E04C53"/>
    <w:rsid w:val="00E061E1"/>
    <w:rsid w:val="00E12B1E"/>
    <w:rsid w:val="00E13170"/>
    <w:rsid w:val="00E1469A"/>
    <w:rsid w:val="00E160F1"/>
    <w:rsid w:val="00E17223"/>
    <w:rsid w:val="00E17262"/>
    <w:rsid w:val="00E17F51"/>
    <w:rsid w:val="00E230A5"/>
    <w:rsid w:val="00E232A2"/>
    <w:rsid w:val="00E2381A"/>
    <w:rsid w:val="00E253A2"/>
    <w:rsid w:val="00E27A5C"/>
    <w:rsid w:val="00E3026F"/>
    <w:rsid w:val="00E30557"/>
    <w:rsid w:val="00E31308"/>
    <w:rsid w:val="00E3309D"/>
    <w:rsid w:val="00E3470D"/>
    <w:rsid w:val="00E50156"/>
    <w:rsid w:val="00E5324E"/>
    <w:rsid w:val="00E53470"/>
    <w:rsid w:val="00E539F6"/>
    <w:rsid w:val="00E53EA5"/>
    <w:rsid w:val="00E54374"/>
    <w:rsid w:val="00E55C96"/>
    <w:rsid w:val="00E64490"/>
    <w:rsid w:val="00E6519D"/>
    <w:rsid w:val="00E67696"/>
    <w:rsid w:val="00E70B29"/>
    <w:rsid w:val="00E71A58"/>
    <w:rsid w:val="00E72A7A"/>
    <w:rsid w:val="00E72AA3"/>
    <w:rsid w:val="00E75C94"/>
    <w:rsid w:val="00E7631E"/>
    <w:rsid w:val="00E80CB9"/>
    <w:rsid w:val="00E8447B"/>
    <w:rsid w:val="00E875F2"/>
    <w:rsid w:val="00E90253"/>
    <w:rsid w:val="00E917FA"/>
    <w:rsid w:val="00E93820"/>
    <w:rsid w:val="00E93B24"/>
    <w:rsid w:val="00E961F6"/>
    <w:rsid w:val="00E96A62"/>
    <w:rsid w:val="00E97145"/>
    <w:rsid w:val="00E9798D"/>
    <w:rsid w:val="00EA0C68"/>
    <w:rsid w:val="00EA11B1"/>
    <w:rsid w:val="00EA1457"/>
    <w:rsid w:val="00EA1A3E"/>
    <w:rsid w:val="00EA32BC"/>
    <w:rsid w:val="00EA34CA"/>
    <w:rsid w:val="00EA4230"/>
    <w:rsid w:val="00EA4DB0"/>
    <w:rsid w:val="00EA4E07"/>
    <w:rsid w:val="00EA5A16"/>
    <w:rsid w:val="00EB0C94"/>
    <w:rsid w:val="00EB0F55"/>
    <w:rsid w:val="00EB420F"/>
    <w:rsid w:val="00EB4511"/>
    <w:rsid w:val="00EB6363"/>
    <w:rsid w:val="00EB6698"/>
    <w:rsid w:val="00EC03D7"/>
    <w:rsid w:val="00EC53DF"/>
    <w:rsid w:val="00EC561A"/>
    <w:rsid w:val="00ED1116"/>
    <w:rsid w:val="00ED16E1"/>
    <w:rsid w:val="00ED2D52"/>
    <w:rsid w:val="00ED311E"/>
    <w:rsid w:val="00ED4F06"/>
    <w:rsid w:val="00ED5CB2"/>
    <w:rsid w:val="00ED62C6"/>
    <w:rsid w:val="00ED64C1"/>
    <w:rsid w:val="00ED7370"/>
    <w:rsid w:val="00EE2522"/>
    <w:rsid w:val="00EE3446"/>
    <w:rsid w:val="00EE3B97"/>
    <w:rsid w:val="00EE3E78"/>
    <w:rsid w:val="00EE4B1B"/>
    <w:rsid w:val="00EF0277"/>
    <w:rsid w:val="00EF1161"/>
    <w:rsid w:val="00EF150D"/>
    <w:rsid w:val="00EF1F5A"/>
    <w:rsid w:val="00EF3181"/>
    <w:rsid w:val="00EF32A0"/>
    <w:rsid w:val="00EF3498"/>
    <w:rsid w:val="00EF47BF"/>
    <w:rsid w:val="00EF4FF1"/>
    <w:rsid w:val="00EF7010"/>
    <w:rsid w:val="00F003C9"/>
    <w:rsid w:val="00F02E34"/>
    <w:rsid w:val="00F04811"/>
    <w:rsid w:val="00F0488C"/>
    <w:rsid w:val="00F05F5E"/>
    <w:rsid w:val="00F06530"/>
    <w:rsid w:val="00F10F11"/>
    <w:rsid w:val="00F12CE1"/>
    <w:rsid w:val="00F15AAA"/>
    <w:rsid w:val="00F15BEF"/>
    <w:rsid w:val="00F15F27"/>
    <w:rsid w:val="00F16114"/>
    <w:rsid w:val="00F17EC5"/>
    <w:rsid w:val="00F2050B"/>
    <w:rsid w:val="00F23B1D"/>
    <w:rsid w:val="00F24407"/>
    <w:rsid w:val="00F24FAA"/>
    <w:rsid w:val="00F266E0"/>
    <w:rsid w:val="00F30F3B"/>
    <w:rsid w:val="00F32027"/>
    <w:rsid w:val="00F33242"/>
    <w:rsid w:val="00F33643"/>
    <w:rsid w:val="00F3364D"/>
    <w:rsid w:val="00F3511B"/>
    <w:rsid w:val="00F3627B"/>
    <w:rsid w:val="00F41177"/>
    <w:rsid w:val="00F437CC"/>
    <w:rsid w:val="00F44C52"/>
    <w:rsid w:val="00F45A2B"/>
    <w:rsid w:val="00F47067"/>
    <w:rsid w:val="00F525EB"/>
    <w:rsid w:val="00F5284A"/>
    <w:rsid w:val="00F545B2"/>
    <w:rsid w:val="00F547ED"/>
    <w:rsid w:val="00F55ED6"/>
    <w:rsid w:val="00F603BA"/>
    <w:rsid w:val="00F63DDE"/>
    <w:rsid w:val="00F63FB7"/>
    <w:rsid w:val="00F64483"/>
    <w:rsid w:val="00F649D2"/>
    <w:rsid w:val="00F6602B"/>
    <w:rsid w:val="00F71DA5"/>
    <w:rsid w:val="00F7260E"/>
    <w:rsid w:val="00F72CB2"/>
    <w:rsid w:val="00F72FDA"/>
    <w:rsid w:val="00F73A0C"/>
    <w:rsid w:val="00F73F2B"/>
    <w:rsid w:val="00F74112"/>
    <w:rsid w:val="00F756DB"/>
    <w:rsid w:val="00F7648F"/>
    <w:rsid w:val="00F81A89"/>
    <w:rsid w:val="00F82C16"/>
    <w:rsid w:val="00F85066"/>
    <w:rsid w:val="00F851D5"/>
    <w:rsid w:val="00F9137F"/>
    <w:rsid w:val="00FA065F"/>
    <w:rsid w:val="00FA5138"/>
    <w:rsid w:val="00FA5D4D"/>
    <w:rsid w:val="00FA7411"/>
    <w:rsid w:val="00FB03BD"/>
    <w:rsid w:val="00FB0EE2"/>
    <w:rsid w:val="00FB252E"/>
    <w:rsid w:val="00FB2845"/>
    <w:rsid w:val="00FB45DD"/>
    <w:rsid w:val="00FB542E"/>
    <w:rsid w:val="00FB6CE2"/>
    <w:rsid w:val="00FC0E5F"/>
    <w:rsid w:val="00FC1A95"/>
    <w:rsid w:val="00FC56DE"/>
    <w:rsid w:val="00FC684B"/>
    <w:rsid w:val="00FC6E1A"/>
    <w:rsid w:val="00FD2D7B"/>
    <w:rsid w:val="00FD306F"/>
    <w:rsid w:val="00FD3265"/>
    <w:rsid w:val="00FD3AA0"/>
    <w:rsid w:val="00FD43CA"/>
    <w:rsid w:val="00FD4F5A"/>
    <w:rsid w:val="00FD6D4F"/>
    <w:rsid w:val="00FD7D90"/>
    <w:rsid w:val="00FE2F78"/>
    <w:rsid w:val="00FE328F"/>
    <w:rsid w:val="00FE3AF0"/>
    <w:rsid w:val="00FE65BF"/>
    <w:rsid w:val="00FF3E79"/>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780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uiPriority w:val="99"/>
    <w:semiHidden/>
    <w:unhideWhenUsed/>
    <w:rsid w:val="004F4A9A"/>
    <w:rPr>
      <w:sz w:val="16"/>
      <w:szCs w:val="16"/>
    </w:rPr>
  </w:style>
  <w:style w:type="paragraph" w:styleId="Textkomente">
    <w:name w:val="annotation text"/>
    <w:basedOn w:val="Normln"/>
    <w:link w:val="TextkomenteChar"/>
    <w:uiPriority w:val="99"/>
    <w:semiHidden/>
    <w:unhideWhenUsed/>
    <w:rsid w:val="004F4A9A"/>
    <w:pPr>
      <w:spacing w:after="200" w:line="240" w:lineRule="auto"/>
    </w:pPr>
    <w:rPr>
      <w:rFonts w:ascii="Calibri" w:eastAsia="Calibri" w:hAnsi="Calibri"/>
      <w:szCs w:val="20"/>
      <w:lang w:eastAsia="en-US"/>
    </w:rPr>
  </w:style>
  <w:style w:type="character" w:customStyle="1" w:styleId="TextkomenteChar">
    <w:name w:val="Text komentáře Char"/>
    <w:basedOn w:val="Standardnpsmoodstavce"/>
    <w:link w:val="Textkomente"/>
    <w:uiPriority w:val="99"/>
    <w:semiHidden/>
    <w:rsid w:val="004F4A9A"/>
  </w:style>
  <w:style w:type="paragraph" w:styleId="Pedmtkomente">
    <w:name w:val="annotation subject"/>
    <w:basedOn w:val="Textkomente"/>
    <w:next w:val="Textkomente"/>
    <w:link w:val="PedmtkomenteChar"/>
    <w:uiPriority w:val="99"/>
    <w:semiHidden/>
    <w:unhideWhenUsed/>
    <w:rsid w:val="002043A8"/>
    <w:pPr>
      <w:spacing w:after="240"/>
    </w:pPr>
    <w:rPr>
      <w:rFonts w:ascii="Arial" w:eastAsia="Times New Roman" w:hAnsi="Arial"/>
      <w:b/>
      <w:bCs/>
      <w:lang w:eastAsia="cs-CZ"/>
    </w:rPr>
  </w:style>
  <w:style w:type="character" w:customStyle="1" w:styleId="PedmtkomenteChar">
    <w:name w:val="Předmět komentáře Char"/>
    <w:basedOn w:val="TextkomenteChar"/>
    <w:link w:val="Pedmtkomente"/>
    <w:uiPriority w:val="99"/>
    <w:semiHidden/>
    <w:rsid w:val="002043A8"/>
    <w:rPr>
      <w:rFonts w:ascii="Arial" w:eastAsia="Times New Roman" w:hAnsi="Arial"/>
      <w:b/>
      <w:bCs/>
      <w:lang w:eastAsia="cs-CZ"/>
    </w:rPr>
  </w:style>
  <w:style w:type="paragraph" w:styleId="Odstavecseseznamem">
    <w:name w:val="List Paragraph"/>
    <w:basedOn w:val="Normln"/>
    <w:uiPriority w:val="34"/>
    <w:qFormat/>
    <w:rsid w:val="006C5B3C"/>
    <w:pPr>
      <w:ind w:left="720"/>
      <w:contextualSpacing/>
    </w:pPr>
  </w:style>
  <w:style w:type="paragraph" w:styleId="Textpoznpodarou">
    <w:name w:val="footnote text"/>
    <w:basedOn w:val="Normln"/>
    <w:link w:val="TextpoznpodarouChar"/>
    <w:uiPriority w:val="99"/>
    <w:semiHidden/>
    <w:unhideWhenUsed/>
    <w:rsid w:val="006C5B3C"/>
    <w:pPr>
      <w:spacing w:after="0" w:line="240" w:lineRule="auto"/>
    </w:pPr>
    <w:rPr>
      <w:rFonts w:ascii="Calibri" w:eastAsia="Calibri" w:hAnsi="Calibri"/>
      <w:szCs w:val="20"/>
      <w:lang w:eastAsia="en-US"/>
    </w:rPr>
  </w:style>
  <w:style w:type="character" w:customStyle="1" w:styleId="TextpoznpodarouChar">
    <w:name w:val="Text pozn. pod čarou Char"/>
    <w:basedOn w:val="Standardnpsmoodstavce"/>
    <w:link w:val="Textpoznpodarou"/>
    <w:uiPriority w:val="99"/>
    <w:semiHidden/>
    <w:rsid w:val="006C5B3C"/>
  </w:style>
  <w:style w:type="character" w:styleId="Znakapoznpodarou">
    <w:name w:val="footnote reference"/>
    <w:uiPriority w:val="99"/>
    <w:semiHidden/>
    <w:unhideWhenUsed/>
    <w:rsid w:val="006C5B3C"/>
    <w:rPr>
      <w:vertAlign w:val="superscript"/>
    </w:rPr>
  </w:style>
  <w:style w:type="paragraph" w:styleId="Titulek">
    <w:name w:val="caption"/>
    <w:basedOn w:val="Normln"/>
    <w:next w:val="Normln"/>
    <w:uiPriority w:val="35"/>
    <w:unhideWhenUsed/>
    <w:qFormat/>
    <w:rsid w:val="004246BF"/>
    <w:rPr>
      <w:b/>
      <w:bCs/>
      <w:szCs w:val="20"/>
    </w:rPr>
  </w:style>
  <w:style w:type="paragraph" w:styleId="Seznamobrzk">
    <w:name w:val="table of figures"/>
    <w:basedOn w:val="Normln"/>
    <w:next w:val="Normln"/>
    <w:uiPriority w:val="99"/>
    <w:unhideWhenUsed/>
    <w:rsid w:val="00362151"/>
    <w:pPr>
      <w:spacing w:after="0"/>
    </w:pPr>
  </w:style>
  <w:style w:type="paragraph" w:customStyle="1" w:styleId="Normln1">
    <w:name w:val="Normální1"/>
    <w:basedOn w:val="Normln"/>
    <w:link w:val="normalChar"/>
    <w:qFormat/>
    <w:rsid w:val="001E71EA"/>
    <w:pPr>
      <w:spacing w:after="160" w:line="259" w:lineRule="auto"/>
      <w:ind w:firstLine="360"/>
      <w:jc w:val="both"/>
    </w:pPr>
    <w:rPr>
      <w:rFonts w:ascii="Calibri" w:eastAsia="Calibri" w:hAnsi="Calibri"/>
      <w:sz w:val="22"/>
      <w:szCs w:val="22"/>
      <w:lang w:eastAsia="en-US"/>
    </w:rPr>
  </w:style>
  <w:style w:type="character" w:customStyle="1" w:styleId="normalChar">
    <w:name w:val="normal Char"/>
    <w:link w:val="Normln1"/>
    <w:rsid w:val="001E71EA"/>
    <w:rPr>
      <w:sz w:val="22"/>
      <w:szCs w:val="22"/>
    </w:rPr>
  </w:style>
  <w:style w:type="character" w:styleId="Sledovanodkaz">
    <w:name w:val="FollowedHyperlink"/>
    <w:basedOn w:val="Standardnpsmoodstavce"/>
    <w:uiPriority w:val="99"/>
    <w:semiHidden/>
    <w:unhideWhenUsed/>
    <w:rsid w:val="002227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uiPriority w:val="99"/>
    <w:semiHidden/>
    <w:unhideWhenUsed/>
    <w:rsid w:val="004F4A9A"/>
    <w:rPr>
      <w:sz w:val="16"/>
      <w:szCs w:val="16"/>
    </w:rPr>
  </w:style>
  <w:style w:type="paragraph" w:styleId="Textkomente">
    <w:name w:val="annotation text"/>
    <w:basedOn w:val="Normln"/>
    <w:link w:val="TextkomenteChar"/>
    <w:uiPriority w:val="99"/>
    <w:semiHidden/>
    <w:unhideWhenUsed/>
    <w:rsid w:val="004F4A9A"/>
    <w:pPr>
      <w:spacing w:after="200" w:line="240" w:lineRule="auto"/>
    </w:pPr>
    <w:rPr>
      <w:rFonts w:ascii="Calibri" w:eastAsia="Calibri" w:hAnsi="Calibri"/>
      <w:szCs w:val="20"/>
      <w:lang w:eastAsia="en-US"/>
    </w:rPr>
  </w:style>
  <w:style w:type="character" w:customStyle="1" w:styleId="TextkomenteChar">
    <w:name w:val="Text komentáře Char"/>
    <w:basedOn w:val="Standardnpsmoodstavce"/>
    <w:link w:val="Textkomente"/>
    <w:uiPriority w:val="99"/>
    <w:semiHidden/>
    <w:rsid w:val="004F4A9A"/>
  </w:style>
  <w:style w:type="paragraph" w:styleId="Pedmtkomente">
    <w:name w:val="annotation subject"/>
    <w:basedOn w:val="Textkomente"/>
    <w:next w:val="Textkomente"/>
    <w:link w:val="PedmtkomenteChar"/>
    <w:uiPriority w:val="99"/>
    <w:semiHidden/>
    <w:unhideWhenUsed/>
    <w:rsid w:val="002043A8"/>
    <w:pPr>
      <w:spacing w:after="240"/>
    </w:pPr>
    <w:rPr>
      <w:rFonts w:ascii="Arial" w:eastAsia="Times New Roman" w:hAnsi="Arial"/>
      <w:b/>
      <w:bCs/>
      <w:lang w:eastAsia="cs-CZ"/>
    </w:rPr>
  </w:style>
  <w:style w:type="character" w:customStyle="1" w:styleId="PedmtkomenteChar">
    <w:name w:val="Předmět komentáře Char"/>
    <w:basedOn w:val="TextkomenteChar"/>
    <w:link w:val="Pedmtkomente"/>
    <w:uiPriority w:val="99"/>
    <w:semiHidden/>
    <w:rsid w:val="002043A8"/>
    <w:rPr>
      <w:rFonts w:ascii="Arial" w:eastAsia="Times New Roman" w:hAnsi="Arial"/>
      <w:b/>
      <w:bCs/>
      <w:lang w:eastAsia="cs-CZ"/>
    </w:rPr>
  </w:style>
  <w:style w:type="paragraph" w:styleId="Odstavecseseznamem">
    <w:name w:val="List Paragraph"/>
    <w:basedOn w:val="Normln"/>
    <w:uiPriority w:val="34"/>
    <w:qFormat/>
    <w:rsid w:val="006C5B3C"/>
    <w:pPr>
      <w:ind w:left="720"/>
      <w:contextualSpacing/>
    </w:pPr>
  </w:style>
  <w:style w:type="paragraph" w:styleId="Textpoznpodarou">
    <w:name w:val="footnote text"/>
    <w:basedOn w:val="Normln"/>
    <w:link w:val="TextpoznpodarouChar"/>
    <w:uiPriority w:val="99"/>
    <w:semiHidden/>
    <w:unhideWhenUsed/>
    <w:rsid w:val="006C5B3C"/>
    <w:pPr>
      <w:spacing w:after="0" w:line="240" w:lineRule="auto"/>
    </w:pPr>
    <w:rPr>
      <w:rFonts w:ascii="Calibri" w:eastAsia="Calibri" w:hAnsi="Calibri"/>
      <w:szCs w:val="20"/>
      <w:lang w:eastAsia="en-US"/>
    </w:rPr>
  </w:style>
  <w:style w:type="character" w:customStyle="1" w:styleId="TextpoznpodarouChar">
    <w:name w:val="Text pozn. pod čarou Char"/>
    <w:basedOn w:val="Standardnpsmoodstavce"/>
    <w:link w:val="Textpoznpodarou"/>
    <w:uiPriority w:val="99"/>
    <w:semiHidden/>
    <w:rsid w:val="006C5B3C"/>
  </w:style>
  <w:style w:type="character" w:styleId="Znakapoznpodarou">
    <w:name w:val="footnote reference"/>
    <w:uiPriority w:val="99"/>
    <w:semiHidden/>
    <w:unhideWhenUsed/>
    <w:rsid w:val="006C5B3C"/>
    <w:rPr>
      <w:vertAlign w:val="superscript"/>
    </w:rPr>
  </w:style>
  <w:style w:type="paragraph" w:styleId="Titulek">
    <w:name w:val="caption"/>
    <w:basedOn w:val="Normln"/>
    <w:next w:val="Normln"/>
    <w:uiPriority w:val="35"/>
    <w:unhideWhenUsed/>
    <w:qFormat/>
    <w:rsid w:val="004246BF"/>
    <w:rPr>
      <w:b/>
      <w:bCs/>
      <w:szCs w:val="20"/>
    </w:rPr>
  </w:style>
  <w:style w:type="paragraph" w:styleId="Seznamobrzk">
    <w:name w:val="table of figures"/>
    <w:basedOn w:val="Normln"/>
    <w:next w:val="Normln"/>
    <w:uiPriority w:val="99"/>
    <w:unhideWhenUsed/>
    <w:rsid w:val="00362151"/>
    <w:pPr>
      <w:spacing w:after="0"/>
    </w:pPr>
  </w:style>
  <w:style w:type="paragraph" w:customStyle="1" w:styleId="Normln1">
    <w:name w:val="Normální1"/>
    <w:basedOn w:val="Normln"/>
    <w:link w:val="normalChar"/>
    <w:qFormat/>
    <w:rsid w:val="001E71EA"/>
    <w:pPr>
      <w:spacing w:after="160" w:line="259" w:lineRule="auto"/>
      <w:ind w:firstLine="360"/>
      <w:jc w:val="both"/>
    </w:pPr>
    <w:rPr>
      <w:rFonts w:ascii="Calibri" w:eastAsia="Calibri" w:hAnsi="Calibri"/>
      <w:sz w:val="22"/>
      <w:szCs w:val="22"/>
      <w:lang w:eastAsia="en-US"/>
    </w:rPr>
  </w:style>
  <w:style w:type="character" w:customStyle="1" w:styleId="normalChar">
    <w:name w:val="normal Char"/>
    <w:link w:val="Normln1"/>
    <w:rsid w:val="001E71EA"/>
    <w:rPr>
      <w:sz w:val="22"/>
      <w:szCs w:val="22"/>
    </w:rPr>
  </w:style>
  <w:style w:type="character" w:styleId="Sledovanodkaz">
    <w:name w:val="FollowedHyperlink"/>
    <w:basedOn w:val="Standardnpsmoodstavce"/>
    <w:uiPriority w:val="99"/>
    <w:semiHidden/>
    <w:unhideWhenUsed/>
    <w:rsid w:val="002227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87504692">
      <w:bodyDiv w:val="1"/>
      <w:marLeft w:val="0"/>
      <w:marRight w:val="0"/>
      <w:marTop w:val="0"/>
      <w:marBottom w:val="0"/>
      <w:divBdr>
        <w:top w:val="none" w:sz="0" w:space="0" w:color="auto"/>
        <w:left w:val="none" w:sz="0" w:space="0" w:color="auto"/>
        <w:bottom w:val="none" w:sz="0" w:space="0" w:color="auto"/>
        <w:right w:val="none" w:sz="0" w:space="0" w:color="auto"/>
      </w:divBdr>
    </w:div>
    <w:div w:id="91365154">
      <w:bodyDiv w:val="1"/>
      <w:marLeft w:val="0"/>
      <w:marRight w:val="0"/>
      <w:marTop w:val="0"/>
      <w:marBottom w:val="0"/>
      <w:divBdr>
        <w:top w:val="none" w:sz="0" w:space="0" w:color="auto"/>
        <w:left w:val="none" w:sz="0" w:space="0" w:color="auto"/>
        <w:bottom w:val="none" w:sz="0" w:space="0" w:color="auto"/>
        <w:right w:val="none" w:sz="0" w:space="0" w:color="auto"/>
      </w:divBdr>
    </w:div>
    <w:div w:id="182213148">
      <w:bodyDiv w:val="1"/>
      <w:marLeft w:val="0"/>
      <w:marRight w:val="0"/>
      <w:marTop w:val="0"/>
      <w:marBottom w:val="0"/>
      <w:divBdr>
        <w:top w:val="none" w:sz="0" w:space="0" w:color="auto"/>
        <w:left w:val="none" w:sz="0" w:space="0" w:color="auto"/>
        <w:bottom w:val="none" w:sz="0" w:space="0" w:color="auto"/>
        <w:right w:val="none" w:sz="0" w:space="0" w:color="auto"/>
      </w:divBdr>
    </w:div>
    <w:div w:id="190804904">
      <w:bodyDiv w:val="1"/>
      <w:marLeft w:val="0"/>
      <w:marRight w:val="0"/>
      <w:marTop w:val="0"/>
      <w:marBottom w:val="0"/>
      <w:divBdr>
        <w:top w:val="none" w:sz="0" w:space="0" w:color="auto"/>
        <w:left w:val="none" w:sz="0" w:space="0" w:color="auto"/>
        <w:bottom w:val="none" w:sz="0" w:space="0" w:color="auto"/>
        <w:right w:val="none" w:sz="0" w:space="0" w:color="auto"/>
      </w:divBdr>
    </w:div>
    <w:div w:id="198708523">
      <w:bodyDiv w:val="1"/>
      <w:marLeft w:val="0"/>
      <w:marRight w:val="0"/>
      <w:marTop w:val="0"/>
      <w:marBottom w:val="0"/>
      <w:divBdr>
        <w:top w:val="none" w:sz="0" w:space="0" w:color="auto"/>
        <w:left w:val="none" w:sz="0" w:space="0" w:color="auto"/>
        <w:bottom w:val="none" w:sz="0" w:space="0" w:color="auto"/>
        <w:right w:val="none" w:sz="0" w:space="0" w:color="auto"/>
      </w:divBdr>
    </w:div>
    <w:div w:id="210386444">
      <w:bodyDiv w:val="1"/>
      <w:marLeft w:val="0"/>
      <w:marRight w:val="0"/>
      <w:marTop w:val="0"/>
      <w:marBottom w:val="0"/>
      <w:divBdr>
        <w:top w:val="none" w:sz="0" w:space="0" w:color="auto"/>
        <w:left w:val="none" w:sz="0" w:space="0" w:color="auto"/>
        <w:bottom w:val="none" w:sz="0" w:space="0" w:color="auto"/>
        <w:right w:val="none" w:sz="0" w:space="0" w:color="auto"/>
      </w:divBdr>
    </w:div>
    <w:div w:id="223882039">
      <w:bodyDiv w:val="1"/>
      <w:marLeft w:val="0"/>
      <w:marRight w:val="0"/>
      <w:marTop w:val="0"/>
      <w:marBottom w:val="0"/>
      <w:divBdr>
        <w:top w:val="none" w:sz="0" w:space="0" w:color="auto"/>
        <w:left w:val="none" w:sz="0" w:space="0" w:color="auto"/>
        <w:bottom w:val="none" w:sz="0" w:space="0" w:color="auto"/>
        <w:right w:val="none" w:sz="0" w:space="0" w:color="auto"/>
      </w:divBdr>
    </w:div>
    <w:div w:id="23189144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69168120">
      <w:bodyDiv w:val="1"/>
      <w:marLeft w:val="0"/>
      <w:marRight w:val="0"/>
      <w:marTop w:val="0"/>
      <w:marBottom w:val="0"/>
      <w:divBdr>
        <w:top w:val="none" w:sz="0" w:space="0" w:color="auto"/>
        <w:left w:val="none" w:sz="0" w:space="0" w:color="auto"/>
        <w:bottom w:val="none" w:sz="0" w:space="0" w:color="auto"/>
        <w:right w:val="none" w:sz="0" w:space="0" w:color="auto"/>
      </w:divBdr>
    </w:div>
    <w:div w:id="284119825">
      <w:bodyDiv w:val="1"/>
      <w:marLeft w:val="0"/>
      <w:marRight w:val="0"/>
      <w:marTop w:val="0"/>
      <w:marBottom w:val="0"/>
      <w:divBdr>
        <w:top w:val="none" w:sz="0" w:space="0" w:color="auto"/>
        <w:left w:val="none" w:sz="0" w:space="0" w:color="auto"/>
        <w:bottom w:val="none" w:sz="0" w:space="0" w:color="auto"/>
        <w:right w:val="none" w:sz="0" w:space="0" w:color="auto"/>
      </w:divBdr>
    </w:div>
    <w:div w:id="344594015">
      <w:bodyDiv w:val="1"/>
      <w:marLeft w:val="0"/>
      <w:marRight w:val="0"/>
      <w:marTop w:val="0"/>
      <w:marBottom w:val="0"/>
      <w:divBdr>
        <w:top w:val="none" w:sz="0" w:space="0" w:color="auto"/>
        <w:left w:val="none" w:sz="0" w:space="0" w:color="auto"/>
        <w:bottom w:val="none" w:sz="0" w:space="0" w:color="auto"/>
        <w:right w:val="none" w:sz="0" w:space="0" w:color="auto"/>
      </w:divBdr>
    </w:div>
    <w:div w:id="392393154">
      <w:bodyDiv w:val="1"/>
      <w:marLeft w:val="0"/>
      <w:marRight w:val="0"/>
      <w:marTop w:val="0"/>
      <w:marBottom w:val="0"/>
      <w:divBdr>
        <w:top w:val="none" w:sz="0" w:space="0" w:color="auto"/>
        <w:left w:val="none" w:sz="0" w:space="0" w:color="auto"/>
        <w:bottom w:val="none" w:sz="0" w:space="0" w:color="auto"/>
        <w:right w:val="none" w:sz="0" w:space="0" w:color="auto"/>
      </w:divBdr>
    </w:div>
    <w:div w:id="40830557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04964191">
      <w:bodyDiv w:val="1"/>
      <w:marLeft w:val="0"/>
      <w:marRight w:val="0"/>
      <w:marTop w:val="0"/>
      <w:marBottom w:val="0"/>
      <w:divBdr>
        <w:top w:val="none" w:sz="0" w:space="0" w:color="auto"/>
        <w:left w:val="none" w:sz="0" w:space="0" w:color="auto"/>
        <w:bottom w:val="none" w:sz="0" w:space="0" w:color="auto"/>
        <w:right w:val="none" w:sz="0" w:space="0" w:color="auto"/>
      </w:divBdr>
    </w:div>
    <w:div w:id="644437320">
      <w:bodyDiv w:val="1"/>
      <w:marLeft w:val="0"/>
      <w:marRight w:val="0"/>
      <w:marTop w:val="0"/>
      <w:marBottom w:val="0"/>
      <w:divBdr>
        <w:top w:val="none" w:sz="0" w:space="0" w:color="auto"/>
        <w:left w:val="none" w:sz="0" w:space="0" w:color="auto"/>
        <w:bottom w:val="none" w:sz="0" w:space="0" w:color="auto"/>
        <w:right w:val="none" w:sz="0" w:space="0" w:color="auto"/>
      </w:divBdr>
    </w:div>
    <w:div w:id="67287825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801194790">
      <w:bodyDiv w:val="1"/>
      <w:marLeft w:val="0"/>
      <w:marRight w:val="0"/>
      <w:marTop w:val="0"/>
      <w:marBottom w:val="0"/>
      <w:divBdr>
        <w:top w:val="none" w:sz="0" w:space="0" w:color="auto"/>
        <w:left w:val="none" w:sz="0" w:space="0" w:color="auto"/>
        <w:bottom w:val="none" w:sz="0" w:space="0" w:color="auto"/>
        <w:right w:val="none" w:sz="0" w:space="0" w:color="auto"/>
      </w:divBdr>
    </w:div>
    <w:div w:id="869340026">
      <w:bodyDiv w:val="1"/>
      <w:marLeft w:val="0"/>
      <w:marRight w:val="0"/>
      <w:marTop w:val="0"/>
      <w:marBottom w:val="0"/>
      <w:divBdr>
        <w:top w:val="none" w:sz="0" w:space="0" w:color="auto"/>
        <w:left w:val="none" w:sz="0" w:space="0" w:color="auto"/>
        <w:bottom w:val="none" w:sz="0" w:space="0" w:color="auto"/>
        <w:right w:val="none" w:sz="0" w:space="0" w:color="auto"/>
      </w:divBdr>
    </w:div>
    <w:div w:id="886451275">
      <w:bodyDiv w:val="1"/>
      <w:marLeft w:val="0"/>
      <w:marRight w:val="0"/>
      <w:marTop w:val="0"/>
      <w:marBottom w:val="0"/>
      <w:divBdr>
        <w:top w:val="none" w:sz="0" w:space="0" w:color="auto"/>
        <w:left w:val="none" w:sz="0" w:space="0" w:color="auto"/>
        <w:bottom w:val="none" w:sz="0" w:space="0" w:color="auto"/>
        <w:right w:val="none" w:sz="0" w:space="0" w:color="auto"/>
      </w:divBdr>
    </w:div>
    <w:div w:id="899706849">
      <w:bodyDiv w:val="1"/>
      <w:marLeft w:val="0"/>
      <w:marRight w:val="0"/>
      <w:marTop w:val="0"/>
      <w:marBottom w:val="0"/>
      <w:divBdr>
        <w:top w:val="none" w:sz="0" w:space="0" w:color="auto"/>
        <w:left w:val="none" w:sz="0" w:space="0" w:color="auto"/>
        <w:bottom w:val="none" w:sz="0" w:space="0" w:color="auto"/>
        <w:right w:val="none" w:sz="0" w:space="0" w:color="auto"/>
      </w:divBdr>
    </w:div>
    <w:div w:id="927233226">
      <w:bodyDiv w:val="1"/>
      <w:marLeft w:val="0"/>
      <w:marRight w:val="0"/>
      <w:marTop w:val="0"/>
      <w:marBottom w:val="0"/>
      <w:divBdr>
        <w:top w:val="none" w:sz="0" w:space="0" w:color="auto"/>
        <w:left w:val="none" w:sz="0" w:space="0" w:color="auto"/>
        <w:bottom w:val="none" w:sz="0" w:space="0" w:color="auto"/>
        <w:right w:val="none" w:sz="0" w:space="0" w:color="auto"/>
      </w:divBdr>
    </w:div>
    <w:div w:id="932709568">
      <w:bodyDiv w:val="1"/>
      <w:marLeft w:val="0"/>
      <w:marRight w:val="0"/>
      <w:marTop w:val="0"/>
      <w:marBottom w:val="0"/>
      <w:divBdr>
        <w:top w:val="none" w:sz="0" w:space="0" w:color="auto"/>
        <w:left w:val="none" w:sz="0" w:space="0" w:color="auto"/>
        <w:bottom w:val="none" w:sz="0" w:space="0" w:color="auto"/>
        <w:right w:val="none" w:sz="0" w:space="0" w:color="auto"/>
      </w:divBdr>
    </w:div>
    <w:div w:id="1038554462">
      <w:bodyDiv w:val="1"/>
      <w:marLeft w:val="0"/>
      <w:marRight w:val="0"/>
      <w:marTop w:val="0"/>
      <w:marBottom w:val="0"/>
      <w:divBdr>
        <w:top w:val="none" w:sz="0" w:space="0" w:color="auto"/>
        <w:left w:val="none" w:sz="0" w:space="0" w:color="auto"/>
        <w:bottom w:val="none" w:sz="0" w:space="0" w:color="auto"/>
        <w:right w:val="none" w:sz="0" w:space="0" w:color="auto"/>
      </w:divBdr>
    </w:div>
    <w:div w:id="1107698164">
      <w:bodyDiv w:val="1"/>
      <w:marLeft w:val="0"/>
      <w:marRight w:val="0"/>
      <w:marTop w:val="0"/>
      <w:marBottom w:val="0"/>
      <w:divBdr>
        <w:top w:val="none" w:sz="0" w:space="0" w:color="auto"/>
        <w:left w:val="none" w:sz="0" w:space="0" w:color="auto"/>
        <w:bottom w:val="none" w:sz="0" w:space="0" w:color="auto"/>
        <w:right w:val="none" w:sz="0" w:space="0" w:color="auto"/>
      </w:divBdr>
    </w:div>
    <w:div w:id="1131747808">
      <w:bodyDiv w:val="1"/>
      <w:marLeft w:val="0"/>
      <w:marRight w:val="0"/>
      <w:marTop w:val="0"/>
      <w:marBottom w:val="0"/>
      <w:divBdr>
        <w:top w:val="none" w:sz="0" w:space="0" w:color="auto"/>
        <w:left w:val="none" w:sz="0" w:space="0" w:color="auto"/>
        <w:bottom w:val="none" w:sz="0" w:space="0" w:color="auto"/>
        <w:right w:val="none" w:sz="0" w:space="0" w:color="auto"/>
      </w:divBdr>
    </w:div>
    <w:div w:id="119055868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411955">
      <w:bodyDiv w:val="1"/>
      <w:marLeft w:val="0"/>
      <w:marRight w:val="0"/>
      <w:marTop w:val="0"/>
      <w:marBottom w:val="0"/>
      <w:divBdr>
        <w:top w:val="none" w:sz="0" w:space="0" w:color="auto"/>
        <w:left w:val="none" w:sz="0" w:space="0" w:color="auto"/>
        <w:bottom w:val="none" w:sz="0" w:space="0" w:color="auto"/>
        <w:right w:val="none" w:sz="0" w:space="0" w:color="auto"/>
      </w:divBdr>
    </w:div>
    <w:div w:id="1359967131">
      <w:bodyDiv w:val="1"/>
      <w:marLeft w:val="0"/>
      <w:marRight w:val="0"/>
      <w:marTop w:val="0"/>
      <w:marBottom w:val="0"/>
      <w:divBdr>
        <w:top w:val="none" w:sz="0" w:space="0" w:color="auto"/>
        <w:left w:val="none" w:sz="0" w:space="0" w:color="auto"/>
        <w:bottom w:val="none" w:sz="0" w:space="0" w:color="auto"/>
        <w:right w:val="none" w:sz="0" w:space="0" w:color="auto"/>
      </w:divBdr>
    </w:div>
    <w:div w:id="1381057349">
      <w:bodyDiv w:val="1"/>
      <w:marLeft w:val="0"/>
      <w:marRight w:val="0"/>
      <w:marTop w:val="0"/>
      <w:marBottom w:val="0"/>
      <w:divBdr>
        <w:top w:val="none" w:sz="0" w:space="0" w:color="auto"/>
        <w:left w:val="none" w:sz="0" w:space="0" w:color="auto"/>
        <w:bottom w:val="none" w:sz="0" w:space="0" w:color="auto"/>
        <w:right w:val="none" w:sz="0" w:space="0" w:color="auto"/>
      </w:divBdr>
    </w:div>
    <w:div w:id="140005315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96328195">
      <w:bodyDiv w:val="1"/>
      <w:marLeft w:val="0"/>
      <w:marRight w:val="0"/>
      <w:marTop w:val="0"/>
      <w:marBottom w:val="0"/>
      <w:divBdr>
        <w:top w:val="none" w:sz="0" w:space="0" w:color="auto"/>
        <w:left w:val="none" w:sz="0" w:space="0" w:color="auto"/>
        <w:bottom w:val="none" w:sz="0" w:space="0" w:color="auto"/>
        <w:right w:val="none" w:sz="0" w:space="0" w:color="auto"/>
      </w:divBdr>
    </w:div>
    <w:div w:id="1669670012">
      <w:bodyDiv w:val="1"/>
      <w:marLeft w:val="0"/>
      <w:marRight w:val="0"/>
      <w:marTop w:val="0"/>
      <w:marBottom w:val="0"/>
      <w:divBdr>
        <w:top w:val="none" w:sz="0" w:space="0" w:color="auto"/>
        <w:left w:val="none" w:sz="0" w:space="0" w:color="auto"/>
        <w:bottom w:val="none" w:sz="0" w:space="0" w:color="auto"/>
        <w:right w:val="none" w:sz="0" w:space="0" w:color="auto"/>
      </w:divBdr>
    </w:div>
    <w:div w:id="1706639986">
      <w:bodyDiv w:val="1"/>
      <w:marLeft w:val="0"/>
      <w:marRight w:val="0"/>
      <w:marTop w:val="0"/>
      <w:marBottom w:val="0"/>
      <w:divBdr>
        <w:top w:val="none" w:sz="0" w:space="0" w:color="auto"/>
        <w:left w:val="none" w:sz="0" w:space="0" w:color="auto"/>
        <w:bottom w:val="none" w:sz="0" w:space="0" w:color="auto"/>
        <w:right w:val="none" w:sz="0" w:space="0" w:color="auto"/>
      </w:divBdr>
    </w:div>
    <w:div w:id="1813520023">
      <w:bodyDiv w:val="1"/>
      <w:marLeft w:val="0"/>
      <w:marRight w:val="0"/>
      <w:marTop w:val="0"/>
      <w:marBottom w:val="0"/>
      <w:divBdr>
        <w:top w:val="none" w:sz="0" w:space="0" w:color="auto"/>
        <w:left w:val="none" w:sz="0" w:space="0" w:color="auto"/>
        <w:bottom w:val="none" w:sz="0" w:space="0" w:color="auto"/>
        <w:right w:val="none" w:sz="0" w:space="0" w:color="auto"/>
      </w:divBdr>
    </w:div>
    <w:div w:id="1838156674">
      <w:bodyDiv w:val="1"/>
      <w:marLeft w:val="0"/>
      <w:marRight w:val="0"/>
      <w:marTop w:val="0"/>
      <w:marBottom w:val="0"/>
      <w:divBdr>
        <w:top w:val="none" w:sz="0" w:space="0" w:color="auto"/>
        <w:left w:val="none" w:sz="0" w:space="0" w:color="auto"/>
        <w:bottom w:val="none" w:sz="0" w:space="0" w:color="auto"/>
        <w:right w:val="none" w:sz="0" w:space="0" w:color="auto"/>
      </w:divBdr>
    </w:div>
    <w:div w:id="1868563172">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87204846">
      <w:bodyDiv w:val="1"/>
      <w:marLeft w:val="0"/>
      <w:marRight w:val="0"/>
      <w:marTop w:val="0"/>
      <w:marBottom w:val="0"/>
      <w:divBdr>
        <w:top w:val="none" w:sz="0" w:space="0" w:color="auto"/>
        <w:left w:val="none" w:sz="0" w:space="0" w:color="auto"/>
        <w:bottom w:val="none" w:sz="0" w:space="0" w:color="auto"/>
        <w:right w:val="none" w:sz="0" w:space="0" w:color="auto"/>
      </w:divBdr>
    </w:div>
    <w:div w:id="206066684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image" Target="media/image12.emf"/><Relationship Id="rId68" Type="http://schemas.openxmlformats.org/officeDocument/2006/relationships/image" Target="media/image17.emf"/><Relationship Id="rId16" Type="http://schemas.openxmlformats.org/officeDocument/2006/relationships/chart" Target="charts/chart8.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3" Type="http://schemas.openxmlformats.org/officeDocument/2006/relationships/image" Target="media/image2.emf"/><Relationship Id="rId58" Type="http://schemas.openxmlformats.org/officeDocument/2006/relationships/image" Target="media/image7.emf"/><Relationship Id="rId66" Type="http://schemas.openxmlformats.org/officeDocument/2006/relationships/image" Target="media/image15.emf"/><Relationship Id="rId74"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10.emf"/><Relationship Id="rId19" Type="http://schemas.openxmlformats.org/officeDocument/2006/relationships/chart" Target="charts/chart1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image" Target="media/image5.emf"/><Relationship Id="rId64" Type="http://schemas.openxmlformats.org/officeDocument/2006/relationships/image" Target="media/image13.emf"/><Relationship Id="rId69" Type="http://schemas.openxmlformats.org/officeDocument/2006/relationships/image" Target="media/image18.e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3.xm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image" Target="media/image8.emf"/><Relationship Id="rId67" Type="http://schemas.openxmlformats.org/officeDocument/2006/relationships/image" Target="media/image16.emf"/><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image" Target="media/image3.emf"/><Relationship Id="rId62" Type="http://schemas.openxmlformats.org/officeDocument/2006/relationships/image" Target="media/image11.emf"/><Relationship Id="rId70" Type="http://schemas.openxmlformats.org/officeDocument/2006/relationships/chart" Target="charts/chart44.xm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image" Target="media/image6.emf"/><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image" Target="media/image1.emf"/><Relationship Id="rId60" Type="http://schemas.openxmlformats.org/officeDocument/2006/relationships/image" Target="media/image9.emf"/><Relationship Id="rId65" Type="http://schemas.openxmlformats.org/officeDocument/2006/relationships/image" Target="media/image14.emf"/><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image" Target="media/image4.e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chart" Target="charts/chart45.xml"/><Relationship Id="rId2" Type="http://schemas.openxmlformats.org/officeDocument/2006/relationships/numbering" Target="numbering.xml"/><Relationship Id="rId29" Type="http://schemas.openxmlformats.org/officeDocument/2006/relationships/chart" Target="charts/chart21.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footnotes.xml.rels><?xml version="1.0" encoding="UTF-8" standalone="yes"?>
<Relationships xmlns="http://schemas.openxmlformats.org/package/2006/relationships"><Relationship Id="rId2" Type="http://schemas.openxmlformats.org/officeDocument/2006/relationships/hyperlink" Target="http://www.centrumandragogiky.cz/assets/Podnikov%C3%A9-vzd%C4%9Bl%C3%A1v%C3%A1n%C3%AD-zas%C3%A1hla-recese.pdf" TargetMode="External"/><Relationship Id="rId1" Type="http://schemas.openxmlformats.org/officeDocument/2006/relationships/hyperlink" Target="http://ec.europa.eu/eurostat/data/data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RBA~1\AppData\Local\Temp\Publikace%20bar%20CZ_lide%20a%20spolecnost_2017-08-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2_CVTS_Ka&#353;parov&#225;\Publikace\CVTS_publikace\CVTS_aktu\grafyAK1_zaokrouh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3"/>
          <c:order val="0"/>
          <c:tx>
            <c:strRef>
              <c:f>'G1'!$E$1</c:f>
              <c:strCache>
                <c:ptCount val="1"/>
                <c:pt idx="0">
                  <c:v>jiné formy vzdělávání</c:v>
                </c:pt>
              </c:strCache>
            </c:strRef>
          </c:tx>
          <c:spPr>
            <a:solidFill>
              <a:schemeClr val="accent6">
                <a:lumMod val="60000"/>
                <a:lumOff val="40000"/>
              </a:schemeClr>
            </a:solidFill>
            <a:ln>
              <a:solidFill>
                <a:schemeClr val="accent6"/>
              </a:solidFill>
            </a:ln>
          </c:spPr>
          <c:invertIfNegative val="0"/>
          <c:dLbls>
            <c:dLbl>
              <c:idx val="3"/>
              <c:layout>
                <c:manualLayout>
                  <c:x val="-9.1472537224712935E-2"/>
                  <c:y val="0"/>
                </c:manualLayout>
              </c:layout>
              <c:dLblPos val="outEnd"/>
              <c:showLegendKey val="0"/>
              <c:showVal val="1"/>
              <c:showCatName val="0"/>
              <c:showSerName val="0"/>
              <c:showPercent val="0"/>
              <c:showBubbleSize val="0"/>
            </c:dLbl>
            <c:dLbl>
              <c:idx val="6"/>
              <c:layout/>
              <c:dLblPos val="outEnd"/>
              <c:showLegendKey val="0"/>
              <c:showVal val="1"/>
              <c:showCatName val="0"/>
              <c:showSerName val="0"/>
              <c:showPercent val="0"/>
              <c:showBubbleSize val="0"/>
            </c:dLbl>
            <c:txPr>
              <a:bodyPr rot="0" vert="horz"/>
              <a:lstStyle/>
              <a:p>
                <a:pPr>
                  <a:defRPr/>
                </a:pPr>
                <a:endParaRPr lang="cs-CZ"/>
              </a:p>
            </c:txPr>
            <c:dLblPos val="inEnd"/>
            <c:showLegendKey val="0"/>
            <c:showVal val="1"/>
            <c:showCatName val="0"/>
            <c:showSerName val="0"/>
            <c:showPercent val="0"/>
            <c:showBubbleSize val="0"/>
            <c:showLeaderLines val="0"/>
          </c:dLbls>
          <c:cat>
            <c:strRef>
              <c:f>'G1'!$A$2:$A$11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'G1'!$E$2:$E$11</c:f>
              <c:numCache>
                <c:formatCode>0%</c:formatCode>
                <c:ptCount val="10"/>
                <c:pt idx="0">
                  <c:v>0.44978469231837759</c:v>
                </c:pt>
                <c:pt idx="1">
                  <c:v>0.57999999999999996</c:v>
                </c:pt>
                <c:pt idx="2">
                  <c:v>0.61799999999999999</c:v>
                </c:pt>
                <c:pt idx="3">
                  <c:v>0.30299999999999999</c:v>
                </c:pt>
                <c:pt idx="4">
                  <c:v>0.26899999999999996</c:v>
                </c:pt>
                <c:pt idx="5">
                  <c:v>0.38500000000000001</c:v>
                </c:pt>
                <c:pt idx="6">
                  <c:v>0.252</c:v>
                </c:pt>
                <c:pt idx="7">
                  <c:v>0.39606126914660833</c:v>
                </c:pt>
                <c:pt idx="8">
                  <c:v>0.40820512820512816</c:v>
                </c:pt>
                <c:pt idx="9">
                  <c:v>0.38600000000000001</c:v>
                </c:pt>
              </c:numCache>
            </c:numRef>
          </c:val>
        </c:ser>
        <c:ser>
          <c:idx val="2"/>
          <c:order val="1"/>
          <c:tx>
            <c:strRef>
              <c:f>'G1'!$D$1</c:f>
              <c:strCache>
                <c:ptCount val="1"/>
                <c:pt idx="0">
                  <c:v>kurzy/školení nepovinné</c:v>
                </c:pt>
              </c:strCache>
            </c:strRef>
          </c:tx>
          <c:spPr>
            <a:ln>
              <a:solidFill>
                <a:schemeClr val="accent3">
                  <a:lumMod val="75000"/>
                </a:schemeClr>
              </a:solidFill>
            </a:ln>
          </c:spPr>
          <c:invertIfNegative val="0"/>
          <c:dLbls>
            <c:txPr>
              <a:bodyPr rot="0" vert="horz"/>
              <a:lstStyle/>
              <a:p>
                <a:pPr>
                  <a:defRPr/>
                </a:pPr>
                <a:endParaRPr lang="cs-CZ"/>
              </a:p>
            </c:txPr>
            <c:dLblPos val="inEnd"/>
            <c:showLegendKey val="0"/>
            <c:showVal val="1"/>
            <c:showCatName val="0"/>
            <c:showSerName val="0"/>
            <c:showPercent val="0"/>
            <c:showBubbleSize val="0"/>
            <c:showLeaderLines val="0"/>
          </c:dLbls>
          <c:cat>
            <c:strRef>
              <c:f>'G1'!$A$2:$A$11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'G1'!$D$2:$D$11</c:f>
              <c:numCache>
                <c:formatCode>0%</c:formatCode>
                <c:ptCount val="10"/>
                <c:pt idx="0">
                  <c:v>0.58146964856230032</c:v>
                </c:pt>
                <c:pt idx="1">
                  <c:v>0.8</c:v>
                </c:pt>
                <c:pt idx="2">
                  <c:v>0.76700000000000002</c:v>
                </c:pt>
                <c:pt idx="3">
                  <c:v>0.30499999999999999</c:v>
                </c:pt>
                <c:pt idx="4">
                  <c:v>0.43099999999999999</c:v>
                </c:pt>
                <c:pt idx="5">
                  <c:v>0.51900000000000002</c:v>
                </c:pt>
                <c:pt idx="6">
                  <c:v>0.51300000000000001</c:v>
                </c:pt>
                <c:pt idx="7">
                  <c:v>0.62472647702407003</c:v>
                </c:pt>
                <c:pt idx="8">
                  <c:v>0.54384615384615387</c:v>
                </c:pt>
                <c:pt idx="9">
                  <c:v>0.53200000000000003</c:v>
                </c:pt>
              </c:numCache>
            </c:numRef>
          </c:val>
        </c:ser>
        <c:ser>
          <c:idx val="1"/>
          <c:order val="2"/>
          <c:tx>
            <c:strRef>
              <c:f>'G1'!$C$1</c:f>
              <c:strCache>
                <c:ptCount val="1"/>
                <c:pt idx="0">
                  <c:v>kurzy/školení povinné</c:v>
                </c:pt>
              </c:strCache>
            </c:strRef>
          </c:tx>
          <c:spPr>
            <a:solidFill>
              <a:schemeClr val="accent2">
                <a:lumMod val="60000"/>
                <a:lumOff val="40000"/>
              </a:schemeClr>
            </a:solidFill>
            <a:ln>
              <a:solidFill>
                <a:schemeClr val="accent2"/>
              </a:solidFill>
            </a:ln>
          </c:spPr>
          <c:invertIfNegative val="0"/>
          <c:dLbls>
            <c:txPr>
              <a:bodyPr rot="0" vert="horz"/>
              <a:lstStyle/>
              <a:p>
                <a:pPr>
                  <a:defRPr/>
                </a:pPr>
                <a:endParaRPr lang="cs-CZ"/>
              </a:p>
            </c:txPr>
            <c:dLblPos val="inEnd"/>
            <c:showLegendKey val="0"/>
            <c:showVal val="1"/>
            <c:showCatName val="0"/>
            <c:showSerName val="0"/>
            <c:showPercent val="0"/>
            <c:showBubbleSize val="0"/>
            <c:showLeaderLines val="0"/>
          </c:dLbls>
          <c:cat>
            <c:strRef>
              <c:f>'G1'!$A$2:$A$11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'G1'!$C$2:$C$11</c:f>
              <c:numCache>
                <c:formatCode>0%</c:formatCode>
                <c:ptCount val="10"/>
                <c:pt idx="0">
                  <c:v>0.82125000000000004</c:v>
                </c:pt>
                <c:pt idx="1">
                  <c:v>0.87599999999999989</c:v>
                </c:pt>
                <c:pt idx="2">
                  <c:v>0.85400000000000009</c:v>
                </c:pt>
                <c:pt idx="3">
                  <c:v>0.78</c:v>
                </c:pt>
                <c:pt idx="4">
                  <c:v>0.90700000000000003</c:v>
                </c:pt>
                <c:pt idx="5">
                  <c:v>0.85699999999999998</c:v>
                </c:pt>
                <c:pt idx="6">
                  <c:v>0.90900000000000003</c:v>
                </c:pt>
                <c:pt idx="7">
                  <c:v>0.94523548740416219</c:v>
                </c:pt>
                <c:pt idx="8">
                  <c:v>0.89504273504273502</c:v>
                </c:pt>
                <c:pt idx="9">
                  <c:v>0.86799999999999999</c:v>
                </c:pt>
              </c:numCache>
            </c:numRef>
          </c:val>
        </c:ser>
        <c:ser>
          <c:idx val="0"/>
          <c:order val="3"/>
          <c:tx>
            <c:strRef>
              <c:f>'G1'!$B$1</c:f>
              <c:strCache>
                <c:ptCount val="1"/>
                <c:pt idx="0">
                  <c:v>kurzy/školení celkem</c:v>
                </c:pt>
              </c:strCache>
            </c:strRef>
          </c:tx>
          <c:spPr>
            <a:solidFill>
              <a:schemeClr val="accent1">
                <a:lumMod val="60000"/>
                <a:lumOff val="40000"/>
              </a:schemeClr>
            </a:solidFill>
            <a:ln>
              <a:solidFill>
                <a:schemeClr val="accent1"/>
              </a:solidFill>
            </a:ln>
          </c:spPr>
          <c:invertIfNegative val="0"/>
          <c:dPt>
            <c:idx val="0"/>
            <c:invertIfNegative val="0"/>
            <c:bubble3D val="0"/>
            <c:spPr>
              <a:solidFill>
                <a:schemeClr val="accent1">
                  <a:lumMod val="60000"/>
                  <a:lumOff val="40000"/>
                </a:schemeClr>
              </a:solidFill>
              <a:ln w="15875" cmpd="sng">
                <a:solidFill>
                  <a:schemeClr val="accent1"/>
                </a:solidFill>
              </a:ln>
            </c:spPr>
          </c:dPt>
          <c:dLbls>
            <c:txPr>
              <a:bodyPr rot="0" vert="horz"/>
              <a:lstStyle/>
              <a:p>
                <a:pPr>
                  <a:defRPr/>
                </a:pPr>
                <a:endParaRPr lang="cs-CZ"/>
              </a:p>
            </c:txPr>
            <c:dLblPos val="outEnd"/>
            <c:showLegendKey val="0"/>
            <c:showVal val="1"/>
            <c:showCatName val="0"/>
            <c:showSerName val="0"/>
            <c:showPercent val="0"/>
            <c:showBubbleSize val="0"/>
            <c:showLeaderLines val="0"/>
          </c:dLbls>
          <c:cat>
            <c:strRef>
              <c:f>'G1'!$A$2:$A$11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'G1'!$B$2:$B$11</c:f>
              <c:numCache>
                <c:formatCode>0%</c:formatCode>
                <c:ptCount val="10"/>
                <c:pt idx="0">
                  <c:v>0.87053757466314763</c:v>
                </c:pt>
                <c:pt idx="1">
                  <c:v>0.92700000000000005</c:v>
                </c:pt>
                <c:pt idx="2">
                  <c:v>0.94400000000000006</c:v>
                </c:pt>
                <c:pt idx="3">
                  <c:v>0.79500000000000004</c:v>
                </c:pt>
                <c:pt idx="4">
                  <c:v>0.93200000000000005</c:v>
                </c:pt>
                <c:pt idx="5">
                  <c:v>0.88300000000000001</c:v>
                </c:pt>
                <c:pt idx="6">
                  <c:v>0.92500000000000004</c:v>
                </c:pt>
                <c:pt idx="7">
                  <c:v>0.95404814004376359</c:v>
                </c:pt>
                <c:pt idx="8">
                  <c:v>0.90726495726495726</c:v>
                </c:pt>
                <c:pt idx="9">
                  <c:v>0.89400000000000002</c:v>
                </c:pt>
              </c:numCache>
            </c:numRef>
          </c:val>
        </c:ser>
        <c:dLbls>
          <c:showLegendKey val="0"/>
          <c:showVal val="0"/>
          <c:showCatName val="0"/>
          <c:showSerName val="0"/>
          <c:showPercent val="0"/>
          <c:showBubbleSize val="0"/>
        </c:dLbls>
        <c:gapWidth val="150"/>
        <c:axId val="100628480"/>
        <c:axId val="41633472"/>
      </c:barChart>
      <c:catAx>
        <c:axId val="100628480"/>
        <c:scaling>
          <c:orientation val="minMax"/>
        </c:scaling>
        <c:delete val="0"/>
        <c:axPos val="l"/>
        <c:majorTickMark val="out"/>
        <c:minorTickMark val="none"/>
        <c:tickLblPos val="nextTo"/>
        <c:txPr>
          <a:bodyPr rot="0" vert="horz"/>
          <a:lstStyle/>
          <a:p>
            <a:pPr>
              <a:defRPr/>
            </a:pPr>
            <a:endParaRPr lang="cs-CZ"/>
          </a:p>
        </c:txPr>
        <c:crossAx val="41633472"/>
        <c:crosses val="autoZero"/>
        <c:auto val="1"/>
        <c:lblAlgn val="ctr"/>
        <c:lblOffset val="100"/>
        <c:noMultiLvlLbl val="0"/>
      </c:catAx>
      <c:valAx>
        <c:axId val="41633472"/>
        <c:scaling>
          <c:orientation val="minMax"/>
          <c:max val="1.1000000000000001"/>
          <c:min val="0"/>
        </c:scaling>
        <c:delete val="1"/>
        <c:axPos val="b"/>
        <c:numFmt formatCode="0%" sourceLinked="1"/>
        <c:majorTickMark val="out"/>
        <c:minorTickMark val="none"/>
        <c:tickLblPos val="nextTo"/>
        <c:crossAx val="100628480"/>
        <c:crosses val="autoZero"/>
        <c:crossBetween val="between"/>
      </c:valAx>
      <c:spPr>
        <a:noFill/>
        <a:ln>
          <a:noFill/>
        </a:ln>
      </c:spPr>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'G10,G11'!$A$19</c:f>
              <c:strCache>
                <c:ptCount val="1"/>
                <c:pt idx="0">
                  <c:v>zástupci zaměstnanců zapojeni</c:v>
                </c:pt>
              </c:strCache>
            </c:strRef>
          </c:tx>
          <c:spPr>
            <a:solidFill>
              <a:schemeClr val="accent1">
                <a:lumMod val="60000"/>
                <a:lumOff val="40000"/>
              </a:schemeClr>
            </a:solidFill>
            <a:ln>
              <a:solidFill>
                <a:schemeClr val="accent1"/>
              </a:solidFill>
            </a:ln>
          </c:spPr>
          <c:invertIfNegative val="0"/>
          <c:dLbls>
            <c:numFmt formatCode="0%" sourceLinked="0"/>
            <c:showLegendKey val="0"/>
            <c:showVal val="1"/>
            <c:showCatName val="0"/>
            <c:showSerName val="0"/>
            <c:showPercent val="0"/>
            <c:showBubbleSize val="0"/>
            <c:showLeaderLines val="0"/>
          </c:dLbls>
          <c:cat>
            <c:strRef>
              <c:f>'G10,G11'!$B$16:$F$16</c:f>
              <c:strCache>
                <c:ptCount val="5"/>
                <c:pt idx="0">
                  <c:v>celkem</c:v>
                </c:pt>
                <c:pt idx="1">
                  <c:v>10–19 zaměstnanců</c:v>
                </c:pt>
                <c:pt idx="2">
                  <c:v>20–49 zaměstnanců</c:v>
                </c:pt>
                <c:pt idx="3">
                  <c:v>50–249 zaměstnanců</c:v>
                </c:pt>
                <c:pt idx="4">
                  <c:v>více než 250 zaměstnanců</c:v>
                </c:pt>
              </c:strCache>
            </c:strRef>
          </c:cat>
          <c:val>
            <c:numRef>
              <c:f>'G10,G11'!$B$19:$F$19</c:f>
              <c:numCache>
                <c:formatCode>####.0</c:formatCode>
                <c:ptCount val="5"/>
                <c:pt idx="0">
                  <c:v>6.3E-2</c:v>
                </c:pt>
                <c:pt idx="1">
                  <c:v>5.5E-2</c:v>
                </c:pt>
                <c:pt idx="2">
                  <c:v>6.2E-2</c:v>
                </c:pt>
                <c:pt idx="3">
                  <c:v>7.1999999999999995E-2</c:v>
                </c:pt>
                <c:pt idx="4">
                  <c:v>0.126</c:v>
                </c:pt>
              </c:numCache>
            </c:numRef>
          </c:val>
        </c:ser>
        <c:ser>
          <c:idx val="1"/>
          <c:order val="1"/>
          <c:tx>
            <c:strRef>
              <c:f>'G10,G11'!$A$18</c:f>
              <c:strCache>
                <c:ptCount val="1"/>
                <c:pt idx="0">
                  <c:v>zástupci zaměstnanců nezapojeni</c:v>
                </c:pt>
              </c:strCache>
            </c:strRef>
          </c:tx>
          <c:spPr>
            <a:solidFill>
              <a:schemeClr val="accent2">
                <a:lumMod val="60000"/>
                <a:lumOff val="40000"/>
              </a:schemeClr>
            </a:solidFill>
            <a:ln>
              <a:solidFill>
                <a:schemeClr val="accent2"/>
              </a:solidFill>
            </a:ln>
          </c:spPr>
          <c:invertIfNegative val="0"/>
          <c:dLbls>
            <c:numFmt formatCode="0%" sourceLinked="0"/>
            <c:txPr>
              <a:bodyPr/>
              <a:lstStyle/>
              <a:p>
                <a:pPr algn="ctr">
                  <a:defRPr/>
                </a:pPr>
                <a:endParaRPr lang="cs-CZ"/>
              </a:p>
            </c:txPr>
            <c:showLegendKey val="0"/>
            <c:showVal val="1"/>
            <c:showCatName val="0"/>
            <c:showSerName val="0"/>
            <c:showPercent val="0"/>
            <c:showBubbleSize val="0"/>
            <c:showLeaderLines val="0"/>
          </c:dLbls>
          <c:cat>
            <c:strRef>
              <c:f>'G10,G11'!$B$16:$F$16</c:f>
              <c:strCache>
                <c:ptCount val="5"/>
                <c:pt idx="0">
                  <c:v>celkem</c:v>
                </c:pt>
                <c:pt idx="1">
                  <c:v>10–19 zaměstnanců</c:v>
                </c:pt>
                <c:pt idx="2">
                  <c:v>20–49 zaměstnanců</c:v>
                </c:pt>
                <c:pt idx="3">
                  <c:v>50–249 zaměstnanců</c:v>
                </c:pt>
                <c:pt idx="4">
                  <c:v>více než 250 zaměstnanců</c:v>
                </c:pt>
              </c:strCache>
            </c:strRef>
          </c:cat>
          <c:val>
            <c:numRef>
              <c:f>'G10,G11'!$B$18:$F$18</c:f>
              <c:numCache>
                <c:formatCode>####.0</c:formatCode>
                <c:ptCount val="5"/>
                <c:pt idx="0">
                  <c:v>0.31900000000000001</c:v>
                </c:pt>
                <c:pt idx="1">
                  <c:v>0.28000000000000003</c:v>
                </c:pt>
                <c:pt idx="2">
                  <c:v>0.318</c:v>
                </c:pt>
                <c:pt idx="3">
                  <c:v>0.36299999999999999</c:v>
                </c:pt>
                <c:pt idx="4">
                  <c:v>0.55900000000000005</c:v>
                </c:pt>
              </c:numCache>
            </c:numRef>
          </c:val>
        </c:ser>
        <c:ser>
          <c:idx val="2"/>
          <c:order val="2"/>
          <c:tx>
            <c:strRef>
              <c:f>'G10,G11'!$A$17</c:f>
              <c:strCache>
                <c:ptCount val="1"/>
                <c:pt idx="0">
                  <c:v>podnik nemá určené zástupce zaměstnanců</c:v>
                </c:pt>
              </c:strCache>
            </c:strRef>
          </c:tx>
          <c:spPr>
            <a:solidFill>
              <a:schemeClr val="accent3"/>
            </a:solidFill>
            <a:ln>
              <a:solidFill>
                <a:schemeClr val="accent3">
                  <a:lumMod val="75000"/>
                </a:schemeClr>
              </a:solidFill>
            </a:ln>
          </c:spPr>
          <c:invertIfNegative val="0"/>
          <c:dLbls>
            <c:numFmt formatCode="0%" sourceLinked="0"/>
            <c:showLegendKey val="0"/>
            <c:showVal val="1"/>
            <c:showCatName val="0"/>
            <c:showSerName val="0"/>
            <c:showPercent val="0"/>
            <c:showBubbleSize val="0"/>
            <c:showLeaderLines val="0"/>
          </c:dLbls>
          <c:cat>
            <c:strRef>
              <c:f>'G10,G11'!$B$16:$F$16</c:f>
              <c:strCache>
                <c:ptCount val="5"/>
                <c:pt idx="0">
                  <c:v>celkem</c:v>
                </c:pt>
                <c:pt idx="1">
                  <c:v>10–19 zaměstnanců</c:v>
                </c:pt>
                <c:pt idx="2">
                  <c:v>20–49 zaměstnanců</c:v>
                </c:pt>
                <c:pt idx="3">
                  <c:v>50–249 zaměstnanců</c:v>
                </c:pt>
                <c:pt idx="4">
                  <c:v>více než 250 zaměstnanců</c:v>
                </c:pt>
              </c:strCache>
            </c:strRef>
          </c:cat>
          <c:val>
            <c:numRef>
              <c:f>'G10,G11'!$B$17:$F$17</c:f>
              <c:numCache>
                <c:formatCode>####.0</c:formatCode>
                <c:ptCount val="5"/>
                <c:pt idx="0">
                  <c:v>0.61799999999999999</c:v>
                </c:pt>
                <c:pt idx="1">
                  <c:v>0.66600000000000004</c:v>
                </c:pt>
                <c:pt idx="2">
                  <c:v>0.62</c:v>
                </c:pt>
                <c:pt idx="3">
                  <c:v>0.56499999999999995</c:v>
                </c:pt>
                <c:pt idx="4">
                  <c:v>0.315</c:v>
                </c:pt>
              </c:numCache>
            </c:numRef>
          </c:val>
        </c:ser>
        <c:dLbls>
          <c:showLegendKey val="0"/>
          <c:showVal val="0"/>
          <c:showCatName val="0"/>
          <c:showSerName val="0"/>
          <c:showPercent val="0"/>
          <c:showBubbleSize val="0"/>
        </c:dLbls>
        <c:gapWidth val="150"/>
        <c:overlap val="100"/>
        <c:axId val="135897088"/>
        <c:axId val="134670592"/>
      </c:barChart>
      <c:catAx>
        <c:axId val="135897088"/>
        <c:scaling>
          <c:orientation val="minMax"/>
        </c:scaling>
        <c:delete val="0"/>
        <c:axPos val="b"/>
        <c:majorTickMark val="out"/>
        <c:minorTickMark val="none"/>
        <c:tickLblPos val="nextTo"/>
        <c:crossAx val="134670592"/>
        <c:crosses val="autoZero"/>
        <c:auto val="1"/>
        <c:lblAlgn val="ctr"/>
        <c:lblOffset val="100"/>
        <c:noMultiLvlLbl val="0"/>
      </c:catAx>
      <c:valAx>
        <c:axId val="134670592"/>
        <c:scaling>
          <c:orientation val="minMax"/>
        </c:scaling>
        <c:delete val="1"/>
        <c:axPos val="l"/>
        <c:numFmt formatCode="0%" sourceLinked="1"/>
        <c:majorTickMark val="out"/>
        <c:minorTickMark val="none"/>
        <c:tickLblPos val="nextTo"/>
        <c:crossAx val="135897088"/>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'G10,G11'!$A$3</c:f>
              <c:strCache>
                <c:ptCount val="1"/>
                <c:pt idx="0">
                  <c:v>sestavování rozpočtu</c:v>
                </c:pt>
              </c:strCache>
            </c:strRef>
          </c:tx>
          <c:spPr>
            <a:solidFill>
              <a:schemeClr val="accent1">
                <a:lumMod val="60000"/>
                <a:lumOff val="40000"/>
              </a:schemeClr>
            </a:solidFill>
            <a:ln>
              <a:solidFill>
                <a:schemeClr val="accent1"/>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'G10,G11'!$B$3:$F$3</c:f>
              <c:numCache>
                <c:formatCode>0%</c:formatCode>
                <c:ptCount val="5"/>
                <c:pt idx="0">
                  <c:v>7.4728786043754989E-3</c:v>
                </c:pt>
                <c:pt idx="1">
                  <c:v>5.038496376811594E-3</c:v>
                </c:pt>
                <c:pt idx="2">
                  <c:v>7.3977725388179828E-3</c:v>
                </c:pt>
                <c:pt idx="3">
                  <c:v>1.0181311018131103E-2</c:v>
                </c:pt>
                <c:pt idx="4">
                  <c:v>2.2129186602870811E-2</c:v>
                </c:pt>
              </c:numCache>
            </c:numRef>
          </c:val>
        </c:ser>
        <c:ser>
          <c:idx val="1"/>
          <c:order val="1"/>
          <c:tx>
            <c:strRef>
              <c:f>'G10,G11'!$A$4</c:f>
              <c:strCache>
                <c:ptCount val="1"/>
                <c:pt idx="0">
                  <c:v>stanovení kritérií pro výběr účastníků </c:v>
                </c:pt>
              </c:strCache>
            </c:strRef>
          </c:tx>
          <c:spPr>
            <a:solidFill>
              <a:schemeClr val="accent2">
                <a:lumMod val="60000"/>
                <a:lumOff val="40000"/>
              </a:schemeClr>
            </a:solidFill>
            <a:ln>
              <a:solidFill>
                <a:schemeClr val="accent2"/>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'G10,G11'!$B$4:$F$4</c:f>
              <c:numCache>
                <c:formatCode>0%</c:formatCode>
                <c:ptCount val="5"/>
                <c:pt idx="0">
                  <c:v>1.5049219192908313E-2</c:v>
                </c:pt>
                <c:pt idx="1">
                  <c:v>1.2001811594202898E-2</c:v>
                </c:pt>
                <c:pt idx="2">
                  <c:v>1.5039427688805789E-2</c:v>
                </c:pt>
                <c:pt idx="3">
                  <c:v>1.6596931659693167E-2</c:v>
                </c:pt>
                <c:pt idx="4">
                  <c:v>4.0694195092758824E-2</c:v>
                </c:pt>
              </c:numCache>
            </c:numRef>
          </c:val>
        </c:ser>
        <c:ser>
          <c:idx val="2"/>
          <c:order val="2"/>
          <c:tx>
            <c:strRef>
              <c:f>'G10,G11'!$A$5</c:f>
              <c:strCache>
                <c:ptCount val="1"/>
                <c:pt idx="0">
                  <c:v>hodnocení/posouzení výsledků</c:v>
                </c:pt>
              </c:strCache>
            </c:strRef>
          </c:tx>
          <c:spPr>
            <a:solidFill>
              <a:schemeClr val="accent3"/>
            </a:solidFill>
            <a:ln>
              <a:solidFill>
                <a:schemeClr val="accent3">
                  <a:lumMod val="75000"/>
                </a:schemeClr>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'G10,G11'!$B$5:$F$5</c:f>
              <c:numCache>
                <c:formatCode>0%</c:formatCode>
                <c:ptCount val="5"/>
                <c:pt idx="0">
                  <c:v>1.4997294302574278E-2</c:v>
                </c:pt>
                <c:pt idx="1">
                  <c:v>1.1209239130434782E-2</c:v>
                </c:pt>
                <c:pt idx="2">
                  <c:v>1.382001463295667E-2</c:v>
                </c:pt>
                <c:pt idx="3">
                  <c:v>1.7294281729428172E-2</c:v>
                </c:pt>
                <c:pt idx="4">
                  <c:v>5.3827751196172252E-2</c:v>
                </c:pt>
              </c:numCache>
            </c:numRef>
          </c:val>
        </c:ser>
        <c:ser>
          <c:idx val="3"/>
          <c:order val="3"/>
          <c:tx>
            <c:strRef>
              <c:f>'G10,G11'!$A$6</c:f>
              <c:strCache>
                <c:ptCount val="1"/>
                <c:pt idx="0">
                  <c:v>výběr externích poskytovatelů</c:v>
                </c:pt>
              </c:strCache>
            </c:strRef>
          </c:tx>
          <c:spPr>
            <a:solidFill>
              <a:schemeClr val="accent6">
                <a:lumMod val="60000"/>
                <a:lumOff val="40000"/>
              </a:schemeClr>
            </a:solidFill>
            <a:ln>
              <a:solidFill>
                <a:schemeClr val="accent6"/>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'G10,G11'!$B$6:$F$6</c:f>
              <c:numCache>
                <c:formatCode>0%</c:formatCode>
                <c:ptCount val="5"/>
                <c:pt idx="0">
                  <c:v>1.8038447662732566E-2</c:v>
                </c:pt>
                <c:pt idx="1">
                  <c:v>1.539855072463768E-2</c:v>
                </c:pt>
                <c:pt idx="2">
                  <c:v>1.9266726282416064E-2</c:v>
                </c:pt>
                <c:pt idx="3">
                  <c:v>2.0083682008368201E-2</c:v>
                </c:pt>
                <c:pt idx="4">
                  <c:v>2.8126870137642132E-2</c:v>
                </c:pt>
              </c:numCache>
            </c:numRef>
          </c:val>
        </c:ser>
        <c:ser>
          <c:idx val="4"/>
          <c:order val="4"/>
          <c:tx>
            <c:strRef>
              <c:f>'G10,G11'!$A$7</c:f>
              <c:strCache>
                <c:ptCount val="1"/>
                <c:pt idx="0">
                  <c:v>stanovení cílů </c:v>
                </c:pt>
              </c:strCache>
            </c:strRef>
          </c:tx>
          <c:spPr>
            <a:solidFill>
              <a:schemeClr val="accent4">
                <a:lumMod val="60000"/>
                <a:lumOff val="40000"/>
              </a:schemeClr>
            </a:solidFill>
            <a:ln>
              <a:solidFill>
                <a:schemeClr val="accent4"/>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'G10,G11'!$B$7:$F$7</c:f>
              <c:numCache>
                <c:formatCode>0%</c:formatCode>
                <c:ptCount val="5"/>
                <c:pt idx="0">
                  <c:v>3.1849923982786611E-2</c:v>
                </c:pt>
                <c:pt idx="1">
                  <c:v>2.751358695652174E-2</c:v>
                </c:pt>
                <c:pt idx="2">
                  <c:v>3.2517681489309808E-2</c:v>
                </c:pt>
                <c:pt idx="3">
                  <c:v>3.2635983263598324E-2</c:v>
                </c:pt>
                <c:pt idx="4">
                  <c:v>6.9377990430622011E-2</c:v>
                </c:pt>
              </c:numCache>
            </c:numRef>
          </c:val>
        </c:ser>
        <c:ser>
          <c:idx val="5"/>
          <c:order val="5"/>
          <c:tx>
            <c:strRef>
              <c:f>'G10,G11'!$A$8</c:f>
              <c:strCache>
                <c:ptCount val="1"/>
                <c:pt idx="0">
                  <c:v>volba formy či druhu </c:v>
                </c:pt>
              </c:strCache>
            </c:strRef>
          </c:tx>
          <c:spPr>
            <a:solidFill>
              <a:schemeClr val="accent5">
                <a:lumMod val="60000"/>
                <a:lumOff val="40000"/>
              </a:schemeClr>
            </a:solidFill>
            <a:ln>
              <a:solidFill>
                <a:schemeClr val="accent5"/>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'G10,G11'!$B$8:$F$8</c:f>
              <c:numCache>
                <c:formatCode>0%</c:formatCode>
                <c:ptCount val="5"/>
                <c:pt idx="0">
                  <c:v>3.2184915092637927E-2</c:v>
                </c:pt>
                <c:pt idx="1">
                  <c:v>2.8928894927536232E-2</c:v>
                </c:pt>
                <c:pt idx="2">
                  <c:v>3.3818388748882204E-2</c:v>
                </c:pt>
                <c:pt idx="3">
                  <c:v>3.5006973500697348E-2</c:v>
                </c:pt>
                <c:pt idx="4">
                  <c:v>4.2464114832535885E-2</c:v>
                </c:pt>
              </c:numCache>
            </c:numRef>
          </c:val>
        </c:ser>
        <c:ser>
          <c:idx val="6"/>
          <c:order val="6"/>
          <c:tx>
            <c:strRef>
              <c:f>'G10,G11'!$A$9</c:f>
              <c:strCache>
                <c:ptCount val="1"/>
                <c:pt idx="0">
                  <c:v>volba obsahu </c:v>
                </c:pt>
              </c:strCache>
            </c:strRef>
          </c:tx>
          <c:spPr>
            <a:solidFill>
              <a:schemeClr val="bg2">
                <a:lumMod val="50000"/>
              </a:schemeClr>
            </a:solidFill>
            <a:ln>
              <a:solidFill>
                <a:schemeClr val="bg2">
                  <a:lumMod val="25000"/>
                </a:schemeClr>
              </a:solidFill>
            </a:ln>
          </c:spPr>
          <c:invertIfNegative val="0"/>
          <c:cat>
            <c:strRef>
              <c:f>'G10,G11'!$B$2:$F$2</c:f>
              <c:strCache>
                <c:ptCount val="5"/>
                <c:pt idx="0">
                  <c:v>celkem</c:v>
                </c:pt>
                <c:pt idx="1">
                  <c:v>10–19 zaměstnanců</c:v>
                </c:pt>
                <c:pt idx="2">
                  <c:v>20–49 zaměstnanců</c:v>
                </c:pt>
                <c:pt idx="3">
                  <c:v>50–249 zaměstnanců</c:v>
                </c:pt>
                <c:pt idx="4">
                  <c:v>více než 250 zaměstnanců</c:v>
                </c:pt>
              </c:strCache>
            </c:strRef>
          </c:cat>
          <c:val>
            <c:numRef>
              <c:f>'G10,G11'!$B$9:$F$9</c:f>
              <c:numCache>
                <c:formatCode>0%</c:formatCode>
                <c:ptCount val="5"/>
                <c:pt idx="0">
                  <c:v>3.1799206308302838E-2</c:v>
                </c:pt>
                <c:pt idx="1">
                  <c:v>2.5192481884057968E-2</c:v>
                </c:pt>
                <c:pt idx="2">
                  <c:v>3.2355093081863261E-2</c:v>
                </c:pt>
                <c:pt idx="3">
                  <c:v>3.7656903765690378E-2</c:v>
                </c:pt>
                <c:pt idx="4">
                  <c:v>7.2411729503291444E-2</c:v>
                </c:pt>
              </c:numCache>
            </c:numRef>
          </c:val>
        </c:ser>
        <c:dLbls>
          <c:showLegendKey val="0"/>
          <c:showVal val="0"/>
          <c:showCatName val="0"/>
          <c:showSerName val="0"/>
          <c:showPercent val="0"/>
          <c:showBubbleSize val="0"/>
        </c:dLbls>
        <c:gapWidth val="150"/>
        <c:axId val="135899648"/>
        <c:axId val="134671744"/>
      </c:barChart>
      <c:catAx>
        <c:axId val="135899648"/>
        <c:scaling>
          <c:orientation val="minMax"/>
        </c:scaling>
        <c:delete val="0"/>
        <c:axPos val="b"/>
        <c:majorTickMark val="out"/>
        <c:minorTickMark val="none"/>
        <c:tickLblPos val="nextTo"/>
        <c:crossAx val="134671744"/>
        <c:crosses val="autoZero"/>
        <c:auto val="1"/>
        <c:lblAlgn val="ctr"/>
        <c:lblOffset val="100"/>
        <c:noMultiLvlLbl val="0"/>
      </c:catAx>
      <c:valAx>
        <c:axId val="134671744"/>
        <c:scaling>
          <c:orientation val="minMax"/>
          <c:max val="8.0000000000000016E-2"/>
        </c:scaling>
        <c:delete val="0"/>
        <c:axPos val="l"/>
        <c:numFmt formatCode="0%" sourceLinked="0"/>
        <c:majorTickMark val="out"/>
        <c:minorTickMark val="none"/>
        <c:tickLblPos val="nextTo"/>
        <c:crossAx val="135899648"/>
        <c:crosses val="autoZero"/>
        <c:crossBetween val="between"/>
        <c:majorUnit val="1.0000000000000002E-2"/>
      </c:valAx>
    </c:plotArea>
    <c:legend>
      <c:legendPos val="b"/>
      <c:layout>
        <c:manualLayout>
          <c:xMode val="edge"/>
          <c:yMode val="edge"/>
          <c:x val="5.5119269397319023E-2"/>
          <c:y val="0.80365656995578261"/>
          <c:w val="0.88976129561091932"/>
          <c:h val="0.15630339000417739"/>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'G12'!$A$2</c:f>
              <c:strCache>
                <c:ptCount val="1"/>
                <c:pt idx="0">
                  <c:v>celkem</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numRef>
              <c:f>'G12'!$B$1:$E$1</c:f>
              <c:numCache>
                <c:formatCode>General</c:formatCode>
                <c:ptCount val="4"/>
                <c:pt idx="0">
                  <c:v>1999</c:v>
                </c:pt>
                <c:pt idx="1">
                  <c:v>2005</c:v>
                </c:pt>
                <c:pt idx="2">
                  <c:v>2010</c:v>
                </c:pt>
                <c:pt idx="3">
                  <c:v>2015</c:v>
                </c:pt>
              </c:numCache>
            </c:numRef>
          </c:cat>
          <c:val>
            <c:numRef>
              <c:f>'G12'!$B$2:$E$2</c:f>
              <c:numCache>
                <c:formatCode>####.0</c:formatCode>
                <c:ptCount val="4"/>
                <c:pt idx="0">
                  <c:v>0.16200000000000001</c:v>
                </c:pt>
                <c:pt idx="1">
                  <c:v>0.191</c:v>
                </c:pt>
                <c:pt idx="2">
                  <c:v>0.32600000000000001</c:v>
                </c:pt>
                <c:pt idx="3">
                  <c:v>0.42199999999999999</c:v>
                </c:pt>
              </c:numCache>
            </c:numRef>
          </c:val>
        </c:ser>
        <c:ser>
          <c:idx val="1"/>
          <c:order val="1"/>
          <c:tx>
            <c:strRef>
              <c:f>'G12'!$A$3</c:f>
              <c:strCache>
                <c:ptCount val="1"/>
                <c:pt idx="0">
                  <c:v>10–19 zaměstanců</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numRef>
              <c:f>'G12'!$B$1:$E$1</c:f>
              <c:numCache>
                <c:formatCode>General</c:formatCode>
                <c:ptCount val="4"/>
                <c:pt idx="0">
                  <c:v>1999</c:v>
                </c:pt>
                <c:pt idx="1">
                  <c:v>2005</c:v>
                </c:pt>
                <c:pt idx="2">
                  <c:v>2010</c:v>
                </c:pt>
                <c:pt idx="3">
                  <c:v>2015</c:v>
                </c:pt>
              </c:numCache>
            </c:numRef>
          </c:cat>
          <c:val>
            <c:numRef>
              <c:f>'G12'!$B$3:$E$3</c:f>
              <c:numCache>
                <c:formatCode>####.0</c:formatCode>
                <c:ptCount val="4"/>
                <c:pt idx="0">
                  <c:v>8.7999999999999995E-2</c:v>
                </c:pt>
                <c:pt idx="1">
                  <c:v>0.10199999999999999</c:v>
                </c:pt>
                <c:pt idx="2">
                  <c:v>0.21</c:v>
                </c:pt>
                <c:pt idx="3">
                  <c:v>0.32600000000000001</c:v>
                </c:pt>
              </c:numCache>
            </c:numRef>
          </c:val>
        </c:ser>
        <c:ser>
          <c:idx val="2"/>
          <c:order val="2"/>
          <c:tx>
            <c:strRef>
              <c:f>'G12'!$A$4</c:f>
              <c:strCache>
                <c:ptCount val="1"/>
                <c:pt idx="0">
                  <c:v>20–49 zaměstnanců</c:v>
                </c:pt>
              </c:strCache>
            </c:strRef>
          </c:tx>
          <c:spPr>
            <a:solidFill>
              <a:schemeClr val="accent3"/>
            </a:solidFill>
            <a:ln>
              <a:solidFill>
                <a:schemeClr val="accent3">
                  <a:lumMod val="50000"/>
                </a:schemeClr>
              </a:solidFill>
            </a:ln>
          </c:spPr>
          <c:invertIfNegative val="0"/>
          <c:dLbls>
            <c:numFmt formatCode="0%" sourceLinked="0"/>
            <c:dLblPos val="inEnd"/>
            <c:showLegendKey val="0"/>
            <c:showVal val="1"/>
            <c:showCatName val="0"/>
            <c:showSerName val="0"/>
            <c:showPercent val="0"/>
            <c:showBubbleSize val="0"/>
            <c:showLeaderLines val="0"/>
          </c:dLbls>
          <c:cat>
            <c:numRef>
              <c:f>'G12'!$B$1:$E$1</c:f>
              <c:numCache>
                <c:formatCode>General</c:formatCode>
                <c:ptCount val="4"/>
                <c:pt idx="0">
                  <c:v>1999</c:v>
                </c:pt>
                <c:pt idx="1">
                  <c:v>2005</c:v>
                </c:pt>
                <c:pt idx="2">
                  <c:v>2010</c:v>
                </c:pt>
                <c:pt idx="3">
                  <c:v>2015</c:v>
                </c:pt>
              </c:numCache>
            </c:numRef>
          </c:cat>
          <c:val>
            <c:numRef>
              <c:f>'G12'!$B$4:$E$4</c:f>
              <c:numCache>
                <c:formatCode>####.0</c:formatCode>
                <c:ptCount val="4"/>
                <c:pt idx="0">
                  <c:v>0.105</c:v>
                </c:pt>
                <c:pt idx="1">
                  <c:v>0.16400000000000001</c:v>
                </c:pt>
                <c:pt idx="2">
                  <c:v>0.33500000000000002</c:v>
                </c:pt>
                <c:pt idx="3">
                  <c:v>0.38</c:v>
                </c:pt>
              </c:numCache>
            </c:numRef>
          </c:val>
        </c:ser>
        <c:ser>
          <c:idx val="3"/>
          <c:order val="3"/>
          <c:tx>
            <c:strRef>
              <c:f>'G12'!$A$5</c:f>
              <c:strCache>
                <c:ptCount val="1"/>
                <c:pt idx="0">
                  <c:v>50–249 zaměstnanců</c:v>
                </c:pt>
              </c:strCache>
            </c:strRef>
          </c:tx>
          <c:spPr>
            <a:solidFill>
              <a:schemeClr val="accent6">
                <a:lumMod val="60000"/>
                <a:lumOff val="40000"/>
              </a:schemeClr>
            </a:solidFill>
            <a:ln>
              <a:solidFill>
                <a:schemeClr val="accent6"/>
              </a:solidFill>
            </a:ln>
          </c:spPr>
          <c:invertIfNegative val="0"/>
          <c:dLbls>
            <c:numFmt formatCode="0%" sourceLinked="0"/>
            <c:dLblPos val="inEnd"/>
            <c:showLegendKey val="0"/>
            <c:showVal val="1"/>
            <c:showCatName val="0"/>
            <c:showSerName val="0"/>
            <c:showPercent val="0"/>
            <c:showBubbleSize val="0"/>
            <c:showLeaderLines val="0"/>
          </c:dLbls>
          <c:cat>
            <c:numRef>
              <c:f>'G12'!$B$1:$E$1</c:f>
              <c:numCache>
                <c:formatCode>General</c:formatCode>
                <c:ptCount val="4"/>
                <c:pt idx="0">
                  <c:v>1999</c:v>
                </c:pt>
                <c:pt idx="1">
                  <c:v>2005</c:v>
                </c:pt>
                <c:pt idx="2">
                  <c:v>2010</c:v>
                </c:pt>
                <c:pt idx="3">
                  <c:v>2015</c:v>
                </c:pt>
              </c:numCache>
            </c:numRef>
          </c:cat>
          <c:val>
            <c:numRef>
              <c:f>'G12'!$B$5:$E$5</c:f>
              <c:numCache>
                <c:formatCode>####.0</c:formatCode>
                <c:ptCount val="4"/>
                <c:pt idx="0">
                  <c:v>0.254</c:v>
                </c:pt>
                <c:pt idx="1">
                  <c:v>0.36799999999999999</c:v>
                </c:pt>
                <c:pt idx="2">
                  <c:v>0.57599999999999996</c:v>
                </c:pt>
                <c:pt idx="3">
                  <c:v>0.625</c:v>
                </c:pt>
              </c:numCache>
            </c:numRef>
          </c:val>
        </c:ser>
        <c:ser>
          <c:idx val="4"/>
          <c:order val="4"/>
          <c:tx>
            <c:strRef>
              <c:f>'G12'!$A$6</c:f>
              <c:strCache>
                <c:ptCount val="1"/>
                <c:pt idx="0">
                  <c:v>250 a více zaměstnanců</c:v>
                </c:pt>
              </c:strCache>
            </c:strRef>
          </c:tx>
          <c:spPr>
            <a:solidFill>
              <a:schemeClr val="accent4">
                <a:lumMod val="60000"/>
                <a:lumOff val="40000"/>
              </a:schemeClr>
            </a:solidFill>
            <a:ln>
              <a:solidFill>
                <a:schemeClr val="accent4"/>
              </a:solidFill>
            </a:ln>
          </c:spPr>
          <c:invertIfNegative val="0"/>
          <c:dLbls>
            <c:numFmt formatCode="0%" sourceLinked="0"/>
            <c:dLblPos val="inEnd"/>
            <c:showLegendKey val="0"/>
            <c:showVal val="1"/>
            <c:showCatName val="0"/>
            <c:showSerName val="0"/>
            <c:showPercent val="0"/>
            <c:showBubbleSize val="0"/>
            <c:showLeaderLines val="0"/>
          </c:dLbls>
          <c:cat>
            <c:numRef>
              <c:f>'G12'!$B$1:$E$1</c:f>
              <c:numCache>
                <c:formatCode>General</c:formatCode>
                <c:ptCount val="4"/>
                <c:pt idx="0">
                  <c:v>1999</c:v>
                </c:pt>
                <c:pt idx="1">
                  <c:v>2005</c:v>
                </c:pt>
                <c:pt idx="2">
                  <c:v>2010</c:v>
                </c:pt>
                <c:pt idx="3">
                  <c:v>2015</c:v>
                </c:pt>
              </c:numCache>
            </c:numRef>
          </c:cat>
          <c:val>
            <c:numRef>
              <c:f>'G12'!$B$6:$E$6</c:f>
              <c:numCache>
                <c:formatCode>####.0</c:formatCode>
                <c:ptCount val="4"/>
                <c:pt idx="0">
                  <c:v>0.41799999999999998</c:v>
                </c:pt>
                <c:pt idx="1">
                  <c:v>0.48399999999999999</c:v>
                </c:pt>
                <c:pt idx="2">
                  <c:v>0.83799999999999997</c:v>
                </c:pt>
                <c:pt idx="3">
                  <c:v>0.88800000000000001</c:v>
                </c:pt>
              </c:numCache>
            </c:numRef>
          </c:val>
        </c:ser>
        <c:dLbls>
          <c:showLegendKey val="0"/>
          <c:showVal val="0"/>
          <c:showCatName val="0"/>
          <c:showSerName val="0"/>
          <c:showPercent val="0"/>
          <c:showBubbleSize val="0"/>
        </c:dLbls>
        <c:gapWidth val="150"/>
        <c:axId val="135898112"/>
        <c:axId val="134673472"/>
      </c:barChart>
      <c:catAx>
        <c:axId val="135898112"/>
        <c:scaling>
          <c:orientation val="minMax"/>
        </c:scaling>
        <c:delete val="0"/>
        <c:axPos val="b"/>
        <c:numFmt formatCode="General" sourceLinked="1"/>
        <c:majorTickMark val="out"/>
        <c:minorTickMark val="none"/>
        <c:tickLblPos val="nextTo"/>
        <c:crossAx val="134673472"/>
        <c:crosses val="autoZero"/>
        <c:auto val="1"/>
        <c:lblAlgn val="ctr"/>
        <c:lblOffset val="100"/>
        <c:noMultiLvlLbl val="0"/>
      </c:catAx>
      <c:valAx>
        <c:axId val="134673472"/>
        <c:scaling>
          <c:orientation val="minMax"/>
        </c:scaling>
        <c:delete val="1"/>
        <c:axPos val="l"/>
        <c:numFmt formatCode="0%" sourceLinked="0"/>
        <c:majorTickMark val="out"/>
        <c:minorTickMark val="none"/>
        <c:tickLblPos val="nextTo"/>
        <c:crossAx val="135898112"/>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0"/>
          <c:tx>
            <c:strRef>
              <c:f>'G13'!$A$6</c:f>
              <c:strCache>
                <c:ptCount val="1"/>
                <c:pt idx="0">
                  <c:v>celkem</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'G13'!$B$1:$D$1</c:f>
              <c:strCache>
                <c:ptCount val="3"/>
                <c:pt idx="0">
                  <c:v>plánování vzdělávání předem</c:v>
                </c:pt>
                <c:pt idx="1">
                  <c:v>vzdělávání součástí rozpočtu</c:v>
                </c:pt>
                <c:pt idx="2">
                  <c:v>vynakládání financí na vzdělávání</c:v>
                </c:pt>
              </c:strCache>
            </c:strRef>
          </c:cat>
          <c:val>
            <c:numRef>
              <c:f>'G13'!$B$6:$D$6</c:f>
              <c:numCache>
                <c:formatCode>0%</c:formatCode>
                <c:ptCount val="3"/>
                <c:pt idx="0">
                  <c:v>0.53100000000000003</c:v>
                </c:pt>
                <c:pt idx="1">
                  <c:v>0.42299999999999999</c:v>
                </c:pt>
                <c:pt idx="2">
                  <c:v>0.84200000000000008</c:v>
                </c:pt>
              </c:numCache>
            </c:numRef>
          </c:val>
        </c:ser>
        <c:ser>
          <c:idx val="3"/>
          <c:order val="1"/>
          <c:tx>
            <c:strRef>
              <c:f>'G13'!$A$5</c:f>
              <c:strCache>
                <c:ptCount val="1"/>
                <c:pt idx="0">
                  <c:v>10–19 zaměstanců</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'G13'!$B$1:$D$1</c:f>
              <c:strCache>
                <c:ptCount val="3"/>
                <c:pt idx="0">
                  <c:v>plánování vzdělávání předem</c:v>
                </c:pt>
                <c:pt idx="1">
                  <c:v>vzdělávání součástí rozpočtu</c:v>
                </c:pt>
                <c:pt idx="2">
                  <c:v>vynakládání financí na vzdělávání</c:v>
                </c:pt>
              </c:strCache>
            </c:strRef>
          </c:cat>
          <c:val>
            <c:numRef>
              <c:f>'G13'!$B$5:$D$5</c:f>
              <c:numCache>
                <c:formatCode>0%</c:formatCode>
                <c:ptCount val="3"/>
                <c:pt idx="0">
                  <c:v>0.45700000000000002</c:v>
                </c:pt>
                <c:pt idx="1">
                  <c:v>0.32600000000000001</c:v>
                </c:pt>
                <c:pt idx="2">
                  <c:v>0.78900000000000003</c:v>
                </c:pt>
              </c:numCache>
            </c:numRef>
          </c:val>
        </c:ser>
        <c:ser>
          <c:idx val="2"/>
          <c:order val="2"/>
          <c:tx>
            <c:strRef>
              <c:f>'G13'!$A$4</c:f>
              <c:strCache>
                <c:ptCount val="1"/>
                <c:pt idx="0">
                  <c:v>20–49 zaměstnanců</c:v>
                </c:pt>
              </c:strCache>
            </c:strRef>
          </c:tx>
          <c:spPr>
            <a:solidFill>
              <a:schemeClr val="accent3"/>
            </a:solidFill>
            <a:ln>
              <a:solidFill>
                <a:schemeClr val="accent3">
                  <a:lumMod val="50000"/>
                </a:schemeClr>
              </a:solidFill>
            </a:ln>
          </c:spPr>
          <c:invertIfNegative val="0"/>
          <c:dLbls>
            <c:dLblPos val="inEnd"/>
            <c:showLegendKey val="0"/>
            <c:showVal val="1"/>
            <c:showCatName val="0"/>
            <c:showSerName val="0"/>
            <c:showPercent val="0"/>
            <c:showBubbleSize val="0"/>
            <c:showLeaderLines val="0"/>
          </c:dLbls>
          <c:cat>
            <c:strRef>
              <c:f>'G13'!$B$1:$D$1</c:f>
              <c:strCache>
                <c:ptCount val="3"/>
                <c:pt idx="0">
                  <c:v>plánování vzdělávání předem</c:v>
                </c:pt>
                <c:pt idx="1">
                  <c:v>vzdělávání součástí rozpočtu</c:v>
                </c:pt>
                <c:pt idx="2">
                  <c:v>vynakládání financí na vzdělávání</c:v>
                </c:pt>
              </c:strCache>
            </c:strRef>
          </c:cat>
          <c:val>
            <c:numRef>
              <c:f>'G13'!$B$4:$D$4</c:f>
              <c:numCache>
                <c:formatCode>0%</c:formatCode>
                <c:ptCount val="3"/>
                <c:pt idx="0">
                  <c:v>0.49200000000000005</c:v>
                </c:pt>
                <c:pt idx="1">
                  <c:v>0.38</c:v>
                </c:pt>
                <c:pt idx="2">
                  <c:v>0.84400000000000008</c:v>
                </c:pt>
              </c:numCache>
            </c:numRef>
          </c:val>
        </c:ser>
        <c:ser>
          <c:idx val="1"/>
          <c:order val="3"/>
          <c:tx>
            <c:strRef>
              <c:f>'G13'!$A$3</c:f>
              <c:strCache>
                <c:ptCount val="1"/>
                <c:pt idx="0">
                  <c:v>50–249 zaměstnanců</c:v>
                </c:pt>
              </c:strCache>
            </c:strRef>
          </c:tx>
          <c:spPr>
            <a:solidFill>
              <a:schemeClr val="accent4">
                <a:lumMod val="60000"/>
                <a:lumOff val="40000"/>
              </a:schemeClr>
            </a:solidFill>
            <a:ln>
              <a:solidFill>
                <a:schemeClr val="accent4"/>
              </a:solidFill>
            </a:ln>
          </c:spPr>
          <c:invertIfNegative val="0"/>
          <c:dLbls>
            <c:dLblPos val="inEnd"/>
            <c:showLegendKey val="0"/>
            <c:showVal val="1"/>
            <c:showCatName val="0"/>
            <c:showSerName val="0"/>
            <c:showPercent val="0"/>
            <c:showBubbleSize val="0"/>
            <c:showLeaderLines val="0"/>
          </c:dLbls>
          <c:cat>
            <c:strRef>
              <c:f>'G13'!$B$1:$D$1</c:f>
              <c:strCache>
                <c:ptCount val="3"/>
                <c:pt idx="0">
                  <c:v>plánování vzdělávání předem</c:v>
                </c:pt>
                <c:pt idx="1">
                  <c:v>vzdělávání součástí rozpočtu</c:v>
                </c:pt>
                <c:pt idx="2">
                  <c:v>vynakládání financí na vzdělávání</c:v>
                </c:pt>
              </c:strCache>
            </c:strRef>
          </c:cat>
          <c:val>
            <c:numRef>
              <c:f>'G13'!$B$3:$D$3</c:f>
              <c:numCache>
                <c:formatCode>0%</c:formatCode>
                <c:ptCount val="3"/>
                <c:pt idx="0">
                  <c:v>0.69799999999999995</c:v>
                </c:pt>
                <c:pt idx="1">
                  <c:v>0.625</c:v>
                </c:pt>
                <c:pt idx="2">
                  <c:v>0.93400000000000005</c:v>
                </c:pt>
              </c:numCache>
            </c:numRef>
          </c:val>
        </c:ser>
        <c:ser>
          <c:idx val="0"/>
          <c:order val="4"/>
          <c:tx>
            <c:strRef>
              <c:f>'G13'!$A$2</c:f>
              <c:strCache>
                <c:ptCount val="1"/>
                <c:pt idx="0">
                  <c:v>250 a více zaměstnanců</c:v>
                </c:pt>
              </c:strCache>
            </c:strRef>
          </c:tx>
          <c:spPr>
            <a:solidFill>
              <a:schemeClr val="accent6">
                <a:lumMod val="60000"/>
                <a:lumOff val="40000"/>
              </a:schemeClr>
            </a:solidFill>
            <a:ln>
              <a:solidFill>
                <a:schemeClr val="accent6"/>
              </a:solidFill>
            </a:ln>
          </c:spPr>
          <c:invertIfNegative val="0"/>
          <c:dLbls>
            <c:dLblPos val="inEnd"/>
            <c:showLegendKey val="0"/>
            <c:showVal val="1"/>
            <c:showCatName val="0"/>
            <c:showSerName val="0"/>
            <c:showPercent val="0"/>
            <c:showBubbleSize val="0"/>
            <c:showLeaderLines val="0"/>
          </c:dLbls>
          <c:cat>
            <c:strRef>
              <c:f>'G13'!$B$1:$D$1</c:f>
              <c:strCache>
                <c:ptCount val="3"/>
                <c:pt idx="0">
                  <c:v>plánování vzdělávání předem</c:v>
                </c:pt>
                <c:pt idx="1">
                  <c:v>vzdělávání součástí rozpočtu</c:v>
                </c:pt>
                <c:pt idx="2">
                  <c:v>vynakládání financí na vzdělávání</c:v>
                </c:pt>
              </c:strCache>
            </c:strRef>
          </c:cat>
          <c:val>
            <c:numRef>
              <c:f>'G13'!$B$2:$D$2</c:f>
              <c:numCache>
                <c:formatCode>0%</c:formatCode>
                <c:ptCount val="3"/>
                <c:pt idx="0">
                  <c:v>0.88700000000000001</c:v>
                </c:pt>
                <c:pt idx="1">
                  <c:v>0.88700000000000001</c:v>
                </c:pt>
                <c:pt idx="2">
                  <c:v>0.9840000000000001</c:v>
                </c:pt>
              </c:numCache>
            </c:numRef>
          </c:val>
        </c:ser>
        <c:dLbls>
          <c:showLegendKey val="0"/>
          <c:showVal val="0"/>
          <c:showCatName val="0"/>
          <c:showSerName val="0"/>
          <c:showPercent val="0"/>
          <c:showBubbleSize val="0"/>
        </c:dLbls>
        <c:gapWidth val="150"/>
        <c:axId val="136348160"/>
        <c:axId val="134675200"/>
      </c:barChart>
      <c:catAx>
        <c:axId val="136348160"/>
        <c:scaling>
          <c:orientation val="minMax"/>
        </c:scaling>
        <c:delete val="0"/>
        <c:axPos val="b"/>
        <c:majorTickMark val="out"/>
        <c:minorTickMark val="none"/>
        <c:tickLblPos val="nextTo"/>
        <c:crossAx val="134675200"/>
        <c:crosses val="autoZero"/>
        <c:auto val="1"/>
        <c:lblAlgn val="ctr"/>
        <c:lblOffset val="100"/>
        <c:noMultiLvlLbl val="0"/>
      </c:catAx>
      <c:valAx>
        <c:axId val="134675200"/>
        <c:scaling>
          <c:orientation val="minMax"/>
          <c:max val="1"/>
        </c:scaling>
        <c:delete val="1"/>
        <c:axPos val="l"/>
        <c:numFmt formatCode="0%" sourceLinked="1"/>
        <c:majorTickMark val="out"/>
        <c:minorTickMark val="none"/>
        <c:tickLblPos val="nextTo"/>
        <c:crossAx val="136348160"/>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1393984132331"/>
          <c:y val="3.9268178327563505E-2"/>
          <c:w val="0.53053893598835733"/>
          <c:h val="0.87130156724162555"/>
        </c:manualLayout>
      </c:layout>
      <c:barChart>
        <c:barDir val="bar"/>
        <c:grouping val="clustered"/>
        <c:varyColors val="0"/>
        <c:ser>
          <c:idx val="0"/>
          <c:order val="0"/>
          <c:tx>
            <c:strRef>
              <c:f>'G14'!$B$1</c:f>
              <c:strCache>
                <c:ptCount val="1"/>
                <c:pt idx="0">
                  <c:v>podíl ze všech firem</c:v>
                </c:pt>
              </c:strCache>
            </c:strRef>
          </c:tx>
          <c:spPr>
            <a:solidFill>
              <a:schemeClr val="accent3"/>
            </a:solidFill>
            <a:ln>
              <a:solidFill>
                <a:schemeClr val="accent3">
                  <a:lumMod val="50000"/>
                </a:schemeClr>
              </a:solidFill>
            </a:ln>
          </c:spPr>
          <c:invertIfNegative val="0"/>
          <c:dLbls>
            <c:numFmt formatCode="0%" sourceLinked="0"/>
            <c:dLblPos val="inEnd"/>
            <c:showLegendKey val="0"/>
            <c:showVal val="1"/>
            <c:showCatName val="0"/>
            <c:showSerName val="0"/>
            <c:showPercent val="0"/>
            <c:showBubbleSize val="0"/>
            <c:showLeaderLines val="0"/>
          </c:dLbls>
          <c:cat>
            <c:strRef>
              <c:f>'G14'!$A$2:$A$6</c:f>
              <c:strCache>
                <c:ptCount val="5"/>
                <c:pt idx="0">
                  <c:v>(také) jiné metody hodnocení</c:v>
                </c:pt>
                <c:pt idx="1">
                  <c:v>vyhodnocení vlivu vzdělávání na práci</c:v>
                </c:pt>
                <c:pt idx="2">
                  <c:v>prověření míry nabytých znalostí</c:v>
                </c:pt>
                <c:pt idx="3">
                  <c:v>posuzování výkonu zaměstnanců
 vzhledem k cílům vzdělávání</c:v>
                </c:pt>
                <c:pt idx="4">
                  <c:v>zjišťování spokojenosti účastníků</c:v>
                </c:pt>
              </c:strCache>
            </c:strRef>
          </c:cat>
          <c:val>
            <c:numRef>
              <c:f>'G14'!$B$2:$B$6</c:f>
              <c:numCache>
                <c:formatCode>0.0%</c:formatCode>
                <c:ptCount val="5"/>
                <c:pt idx="0">
                  <c:v>7.0000000000000007E-2</c:v>
                </c:pt>
                <c:pt idx="1">
                  <c:v>0.10299999999999999</c:v>
                </c:pt>
                <c:pt idx="2">
                  <c:v>0.13500000000000001</c:v>
                </c:pt>
                <c:pt idx="3">
                  <c:v>0.17</c:v>
                </c:pt>
                <c:pt idx="4">
                  <c:v>0.20899999999999999</c:v>
                </c:pt>
              </c:numCache>
            </c:numRef>
          </c:val>
        </c:ser>
        <c:dLbls>
          <c:showLegendKey val="0"/>
          <c:showVal val="0"/>
          <c:showCatName val="0"/>
          <c:showSerName val="0"/>
          <c:showPercent val="0"/>
          <c:showBubbleSize val="0"/>
        </c:dLbls>
        <c:gapWidth val="150"/>
        <c:axId val="136347648"/>
        <c:axId val="136454144"/>
      </c:barChart>
      <c:catAx>
        <c:axId val="136347648"/>
        <c:scaling>
          <c:orientation val="minMax"/>
        </c:scaling>
        <c:delete val="0"/>
        <c:axPos val="l"/>
        <c:numFmt formatCode="General" sourceLinked="1"/>
        <c:majorTickMark val="out"/>
        <c:minorTickMark val="none"/>
        <c:tickLblPos val="nextTo"/>
        <c:crossAx val="136454144"/>
        <c:crosses val="autoZero"/>
        <c:auto val="1"/>
        <c:lblAlgn val="ctr"/>
        <c:lblOffset val="100"/>
        <c:noMultiLvlLbl val="0"/>
      </c:catAx>
      <c:valAx>
        <c:axId val="136454144"/>
        <c:scaling>
          <c:orientation val="minMax"/>
        </c:scaling>
        <c:delete val="1"/>
        <c:axPos val="b"/>
        <c:majorGridlines>
          <c:spPr>
            <a:ln>
              <a:noFill/>
            </a:ln>
          </c:spPr>
        </c:majorGridlines>
        <c:numFmt formatCode="0%" sourceLinked="0"/>
        <c:majorTickMark val="out"/>
        <c:minorTickMark val="none"/>
        <c:tickLblPos val="nextTo"/>
        <c:crossAx val="136347648"/>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1393984132331"/>
          <c:y val="3.9268178327563505E-2"/>
          <c:w val="0.57942782152230976"/>
          <c:h val="0.86032776629499308"/>
        </c:manualLayout>
      </c:layout>
      <c:barChart>
        <c:barDir val="bar"/>
        <c:grouping val="clustered"/>
        <c:varyColors val="0"/>
        <c:ser>
          <c:idx val="1"/>
          <c:order val="0"/>
          <c:tx>
            <c:strRef>
              <c:f>'G15'!$C$2</c:f>
              <c:strCache>
                <c:ptCount val="1"/>
                <c:pt idx="0">
                  <c:v>podíl firem poskytujících externí kurzy/školení</c:v>
                </c:pt>
              </c:strCache>
            </c:strRef>
          </c:tx>
          <c:spPr>
            <a:solidFill>
              <a:schemeClr val="accent2">
                <a:lumMod val="60000"/>
                <a:lumOff val="40000"/>
              </a:schemeClr>
            </a:solidFill>
            <a:ln>
              <a:solidFill>
                <a:schemeClr val="accent2"/>
              </a:solidFill>
            </a:ln>
          </c:spPr>
          <c:invertIfNegative val="0"/>
          <c:dLbls>
            <c:dLbl>
              <c:idx val="1"/>
              <c:layout>
                <c:manualLayout>
                  <c:x val="4.8986876640419947E-3"/>
                  <c:y val="0"/>
                </c:manualLayout>
              </c:layout>
              <c:dLblPos val="outEnd"/>
              <c:showLegendKey val="0"/>
              <c:showVal val="1"/>
              <c:showCatName val="0"/>
              <c:showSerName val="0"/>
              <c:showPercent val="0"/>
              <c:showBubbleSize val="0"/>
            </c:dLbl>
            <c:dLbl>
              <c:idx val="2"/>
              <c:layout>
                <c:manualLayout>
                  <c:x val="-1.6418197725284339E-3"/>
                  <c:y val="0"/>
                </c:manualLayout>
              </c:layout>
              <c:dLblPos val="outEnd"/>
              <c:showLegendKey val="0"/>
              <c:showVal val="1"/>
              <c:showCatName val="0"/>
              <c:showSerName val="0"/>
              <c:showPercent val="0"/>
              <c:showBubbleSize val="0"/>
            </c:dLbl>
            <c:dLbl>
              <c:idx val="3"/>
              <c:layout>
                <c:manualLayout>
                  <c:x val="-8.2607174103237098E-3"/>
                  <c:y val="3.6579773862109805E-3"/>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'G15'!$A$3:$A$9</c:f>
              <c:strCache>
                <c:ptCount val="7"/>
                <c:pt idx="0">
                  <c:v>jiní poskytovatelé vzdělávání</c:v>
                </c:pt>
                <c:pt idx="1">
                  <c:v>odborové organizace</c:v>
                </c:pt>
                <c:pt idx="2">
                  <c:v>veřejné instituce zaměřené 
na poskytování vzdělávání</c:v>
                </c:pt>
                <c:pt idx="3">
                  <c:v>instituce školního vzdělávání</c:v>
                </c:pt>
                <c:pt idx="4">
                  <c:v>svazy zaměstnavatelů, obchodní, 
hospodářské komory</c:v>
                </c:pt>
                <c:pt idx="5">
                  <c:v>soukromé komerční společnosti
 nezaměřené na vzdělávání</c:v>
                </c:pt>
                <c:pt idx="6">
                  <c:v>soukromé komerční společnosti 
zaměřené na vzdělávání</c:v>
                </c:pt>
              </c:strCache>
            </c:strRef>
          </c:cat>
          <c:val>
            <c:numRef>
              <c:f>'G15'!$C$3:$C$9</c:f>
              <c:numCache>
                <c:formatCode>0%</c:formatCode>
                <c:ptCount val="7"/>
                <c:pt idx="0">
                  <c:v>0.30299999999999999</c:v>
                </c:pt>
                <c:pt idx="1">
                  <c:v>1.7000000000000001E-2</c:v>
                </c:pt>
                <c:pt idx="2">
                  <c:v>2.4E-2</c:v>
                </c:pt>
                <c:pt idx="3">
                  <c:v>4.2000000000000003E-2</c:v>
                </c:pt>
                <c:pt idx="4">
                  <c:v>5.0999999999999997E-2</c:v>
                </c:pt>
                <c:pt idx="5">
                  <c:v>0.193</c:v>
                </c:pt>
                <c:pt idx="6">
                  <c:v>0.67</c:v>
                </c:pt>
              </c:numCache>
            </c:numRef>
          </c:val>
        </c:ser>
        <c:ser>
          <c:idx val="0"/>
          <c:order val="1"/>
          <c:tx>
            <c:strRef>
              <c:f>'G15'!$B$2</c:f>
              <c:strCache>
                <c:ptCount val="1"/>
                <c:pt idx="0">
                  <c:v>podíl všech firem</c:v>
                </c:pt>
              </c:strCache>
            </c:strRef>
          </c:tx>
          <c:spPr>
            <a:solidFill>
              <a:schemeClr val="accent1">
                <a:lumMod val="60000"/>
                <a:lumOff val="40000"/>
              </a:schemeClr>
            </a:solidFill>
            <a:ln>
              <a:solidFill>
                <a:schemeClr val="accent1"/>
              </a:solidFill>
            </a:ln>
          </c:spPr>
          <c:invertIfNegative val="0"/>
          <c:dLbls>
            <c:dLbl>
              <c:idx val="1"/>
              <c:layout>
                <c:manualLayout>
                  <c:x val="-4.2799650043744532E-4"/>
                  <c:y val="0"/>
                </c:manualLayout>
              </c:layout>
              <c:dLblPos val="outEnd"/>
              <c:showLegendKey val="0"/>
              <c:showVal val="1"/>
              <c:showCatName val="0"/>
              <c:showSerName val="0"/>
              <c:showPercent val="0"/>
              <c:showBubbleSize val="0"/>
            </c:dLbl>
            <c:dLbl>
              <c:idx val="2"/>
              <c:layout>
                <c:manualLayout>
                  <c:x val="-3.9013123359580054E-3"/>
                  <c:y val="-3.6579773862109805E-3"/>
                </c:manualLayout>
              </c:layout>
              <c:dLblPos val="outEnd"/>
              <c:showLegendKey val="0"/>
              <c:showVal val="1"/>
              <c:showCatName val="0"/>
              <c:showSerName val="0"/>
              <c:showPercent val="0"/>
              <c:showBubbleSize val="0"/>
            </c:dLbl>
            <c:dLbl>
              <c:idx val="3"/>
              <c:layout>
                <c:manualLayout>
                  <c:x val="3.6376202974628172E-3"/>
                  <c:y val="-6.7062144039590735E-17"/>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'G15'!$A$3:$A$9</c:f>
              <c:strCache>
                <c:ptCount val="7"/>
                <c:pt idx="0">
                  <c:v>jiní poskytovatelé vzdělávání</c:v>
                </c:pt>
                <c:pt idx="1">
                  <c:v>odborové organizace</c:v>
                </c:pt>
                <c:pt idx="2">
                  <c:v>veřejné instituce zaměřené 
na poskytování vzdělávání</c:v>
                </c:pt>
                <c:pt idx="3">
                  <c:v>instituce školního vzdělávání</c:v>
                </c:pt>
                <c:pt idx="4">
                  <c:v>svazy zaměstnavatelů, obchodní, 
hospodářské komory</c:v>
                </c:pt>
                <c:pt idx="5">
                  <c:v>soukromé komerční společnosti
 nezaměřené na vzdělávání</c:v>
                </c:pt>
                <c:pt idx="6">
                  <c:v>soukromé komerční společnosti 
zaměřené na vzdělávání</c:v>
                </c:pt>
              </c:strCache>
            </c:strRef>
          </c:cat>
          <c:val>
            <c:numRef>
              <c:f>'G15'!$B$3:$B$9</c:f>
              <c:numCache>
                <c:formatCode>0%</c:formatCode>
                <c:ptCount val="7"/>
                <c:pt idx="0">
                  <c:v>0.24099999999999999</c:v>
                </c:pt>
                <c:pt idx="1">
                  <c:v>1.2999999999999999E-2</c:v>
                </c:pt>
                <c:pt idx="2">
                  <c:v>1.9E-2</c:v>
                </c:pt>
                <c:pt idx="3">
                  <c:v>3.3000000000000002E-2</c:v>
                </c:pt>
                <c:pt idx="4">
                  <c:v>4.1000000000000002E-2</c:v>
                </c:pt>
                <c:pt idx="5">
                  <c:v>0.153</c:v>
                </c:pt>
                <c:pt idx="6">
                  <c:v>0.53200000000000003</c:v>
                </c:pt>
              </c:numCache>
            </c:numRef>
          </c:val>
        </c:ser>
        <c:dLbls>
          <c:showLegendKey val="0"/>
          <c:showVal val="0"/>
          <c:showCatName val="0"/>
          <c:showSerName val="0"/>
          <c:showPercent val="0"/>
          <c:showBubbleSize val="0"/>
        </c:dLbls>
        <c:gapWidth val="150"/>
        <c:axId val="136348672"/>
        <c:axId val="136455296"/>
      </c:barChart>
      <c:catAx>
        <c:axId val="136348672"/>
        <c:scaling>
          <c:orientation val="minMax"/>
        </c:scaling>
        <c:delete val="0"/>
        <c:axPos val="l"/>
        <c:numFmt formatCode="General" sourceLinked="1"/>
        <c:majorTickMark val="out"/>
        <c:minorTickMark val="none"/>
        <c:tickLblPos val="nextTo"/>
        <c:crossAx val="136455296"/>
        <c:crosses val="autoZero"/>
        <c:auto val="1"/>
        <c:lblAlgn val="ctr"/>
        <c:lblOffset val="100"/>
        <c:noMultiLvlLbl val="0"/>
      </c:catAx>
      <c:valAx>
        <c:axId val="136455296"/>
        <c:scaling>
          <c:orientation val="minMax"/>
        </c:scaling>
        <c:delete val="1"/>
        <c:axPos val="b"/>
        <c:majorGridlines>
          <c:spPr>
            <a:ln>
              <a:noFill/>
            </a:ln>
          </c:spPr>
        </c:majorGridlines>
        <c:numFmt formatCode="0%" sourceLinked="1"/>
        <c:majorTickMark val="out"/>
        <c:minorTickMark val="none"/>
        <c:tickLblPos val="nextTo"/>
        <c:crossAx val="136348672"/>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'G16,G17'!$B$4</c:f>
              <c:strCache>
                <c:ptCount val="1"/>
                <c:pt idx="0">
                  <c:v>podíl všech firem</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'G16,G17'!$A$5:$A$9</c:f>
              <c:strCache>
                <c:ptCount val="5"/>
                <c:pt idx="0">
                  <c:v>celkem</c:v>
                </c:pt>
                <c:pt idx="1">
                  <c:v>10–19 
zaměstnanců</c:v>
                </c:pt>
                <c:pt idx="2">
                  <c:v>20–49 
zaměstnanců</c:v>
                </c:pt>
                <c:pt idx="3">
                  <c:v>50–249 
zaměstnanců</c:v>
                </c:pt>
                <c:pt idx="4">
                  <c:v>250 a více 
zaměstnanců</c:v>
                </c:pt>
              </c:strCache>
            </c:strRef>
          </c:cat>
          <c:val>
            <c:numRef>
              <c:f>'G16,G17'!$B$5:$B$9</c:f>
              <c:numCache>
                <c:formatCode>0%</c:formatCode>
                <c:ptCount val="5"/>
                <c:pt idx="0">
                  <c:v>0.63700000000000001</c:v>
                </c:pt>
                <c:pt idx="1">
                  <c:v>0.59499999999999997</c:v>
                </c:pt>
                <c:pt idx="2">
                  <c:v>0.623</c:v>
                </c:pt>
                <c:pt idx="3">
                  <c:v>0.73199999999999998</c:v>
                </c:pt>
                <c:pt idx="4">
                  <c:v>0.78100000000000003</c:v>
                </c:pt>
              </c:numCache>
            </c:numRef>
          </c:val>
        </c:ser>
        <c:ser>
          <c:idx val="1"/>
          <c:order val="1"/>
          <c:tx>
            <c:strRef>
              <c:f>'G16,G17'!$C$4</c:f>
              <c:strCache>
                <c:ptCount val="1"/>
                <c:pt idx="0">
                  <c:v>podíl firem, které zajistily povinné kurzy/školení</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'G16,G17'!$A$5:$A$9</c:f>
              <c:strCache>
                <c:ptCount val="5"/>
                <c:pt idx="0">
                  <c:v>celkem</c:v>
                </c:pt>
                <c:pt idx="1">
                  <c:v>10–19 
zaměstnanců</c:v>
                </c:pt>
                <c:pt idx="2">
                  <c:v>20–49 
zaměstnanců</c:v>
                </c:pt>
                <c:pt idx="3">
                  <c:v>50–249 
zaměstnanců</c:v>
                </c:pt>
                <c:pt idx="4">
                  <c:v>250 a více 
zaměstnanců</c:v>
                </c:pt>
              </c:strCache>
            </c:strRef>
          </c:cat>
          <c:val>
            <c:numRef>
              <c:f>'G16,G17'!$C$5:$C$9</c:f>
              <c:numCache>
                <c:formatCode>0%</c:formatCode>
                <c:ptCount val="5"/>
                <c:pt idx="0">
                  <c:v>0.73399999999999999</c:v>
                </c:pt>
                <c:pt idx="1">
                  <c:v>0.71599999999999997</c:v>
                </c:pt>
                <c:pt idx="2">
                  <c:v>0.71899999999999997</c:v>
                </c:pt>
                <c:pt idx="3">
                  <c:v>0.78300000000000003</c:v>
                </c:pt>
                <c:pt idx="4">
                  <c:v>0.79100000000000004</c:v>
                </c:pt>
              </c:numCache>
            </c:numRef>
          </c:val>
        </c:ser>
        <c:dLbls>
          <c:showLegendKey val="0"/>
          <c:showVal val="0"/>
          <c:showCatName val="0"/>
          <c:showSerName val="0"/>
          <c:showPercent val="0"/>
          <c:showBubbleSize val="0"/>
        </c:dLbls>
        <c:gapWidth val="150"/>
        <c:axId val="136349184"/>
        <c:axId val="136457024"/>
      </c:barChart>
      <c:catAx>
        <c:axId val="136349184"/>
        <c:scaling>
          <c:orientation val="minMax"/>
        </c:scaling>
        <c:delete val="0"/>
        <c:axPos val="b"/>
        <c:majorTickMark val="out"/>
        <c:minorTickMark val="none"/>
        <c:tickLblPos val="nextTo"/>
        <c:crossAx val="136457024"/>
        <c:crosses val="autoZero"/>
        <c:auto val="1"/>
        <c:lblAlgn val="ctr"/>
        <c:lblOffset val="100"/>
        <c:noMultiLvlLbl val="0"/>
      </c:catAx>
      <c:valAx>
        <c:axId val="136457024"/>
        <c:scaling>
          <c:orientation val="minMax"/>
          <c:max val="0.8"/>
        </c:scaling>
        <c:delete val="1"/>
        <c:axPos val="l"/>
        <c:numFmt formatCode="0%" sourceLinked="1"/>
        <c:majorTickMark val="out"/>
        <c:minorTickMark val="none"/>
        <c:tickLblPos val="nextTo"/>
        <c:crossAx val="136349184"/>
        <c:crosses val="autoZero"/>
        <c:crossBetween val="between"/>
      </c:valAx>
    </c:plotArea>
    <c:legend>
      <c:legendPos val="b"/>
      <c:layout>
        <c:manualLayout>
          <c:xMode val="edge"/>
          <c:yMode val="edge"/>
          <c:x val="9.383136482939633E-2"/>
          <c:y val="0.88542249927092442"/>
          <c:w val="0.81233705161854763"/>
          <c:h val="9.6058982210557017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'G16,G17'!$P$5</c:f>
              <c:strCache>
                <c:ptCount val="1"/>
                <c:pt idx="0">
                  <c:v>podíl všech firem</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'G16,G17'!$O$6:$O$10</c:f>
              <c:strCache>
                <c:ptCount val="5"/>
                <c:pt idx="0">
                  <c:v>celkem</c:v>
                </c:pt>
                <c:pt idx="1">
                  <c:v>10–19 
zaměstnanců</c:v>
                </c:pt>
                <c:pt idx="2">
                  <c:v>20–49 
zaměstnanců</c:v>
                </c:pt>
                <c:pt idx="3">
                  <c:v>50–249 
zaměstnanců</c:v>
                </c:pt>
                <c:pt idx="4">
                  <c:v>250 a více 
zaměstnanců</c:v>
                </c:pt>
              </c:strCache>
            </c:strRef>
          </c:cat>
          <c:val>
            <c:numRef>
              <c:f>'G16,G17'!$P$6:$P$10</c:f>
              <c:numCache>
                <c:formatCode>0%</c:formatCode>
                <c:ptCount val="5"/>
                <c:pt idx="0">
                  <c:v>0.45300000000000001</c:v>
                </c:pt>
                <c:pt idx="1">
                  <c:v>0.40600000000000003</c:v>
                </c:pt>
                <c:pt idx="2">
                  <c:v>0.42899999999999999</c:v>
                </c:pt>
                <c:pt idx="3">
                  <c:v>0.54100000000000004</c:v>
                </c:pt>
                <c:pt idx="4">
                  <c:v>0.75600000000000001</c:v>
                </c:pt>
              </c:numCache>
            </c:numRef>
          </c:val>
        </c:ser>
        <c:ser>
          <c:idx val="1"/>
          <c:order val="1"/>
          <c:tx>
            <c:strRef>
              <c:f>'G16,G17'!$Q$5</c:f>
              <c:strCache>
                <c:ptCount val="1"/>
                <c:pt idx="0">
                  <c:v>podíl firem, které zajistily povinné kurzy/školení</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'G16,G17'!$O$6:$O$10</c:f>
              <c:strCache>
                <c:ptCount val="5"/>
                <c:pt idx="0">
                  <c:v>celkem</c:v>
                </c:pt>
                <c:pt idx="1">
                  <c:v>10–19 
zaměstnanců</c:v>
                </c:pt>
                <c:pt idx="2">
                  <c:v>20–49 
zaměstnanců</c:v>
                </c:pt>
                <c:pt idx="3">
                  <c:v>50–249 
zaměstnanců</c:v>
                </c:pt>
                <c:pt idx="4">
                  <c:v>250 a více 
zaměstnanců</c:v>
                </c:pt>
              </c:strCache>
            </c:strRef>
          </c:cat>
          <c:val>
            <c:numRef>
              <c:f>'G16,G17'!$Q$6:$Q$10</c:f>
              <c:numCache>
                <c:formatCode>0%</c:formatCode>
                <c:ptCount val="5"/>
                <c:pt idx="0">
                  <c:v>0.52200000000000002</c:v>
                </c:pt>
                <c:pt idx="1">
                  <c:v>0.48799999999999999</c:v>
                </c:pt>
                <c:pt idx="2">
                  <c:v>0.496</c:v>
                </c:pt>
                <c:pt idx="3">
                  <c:v>0.57799999999999996</c:v>
                </c:pt>
                <c:pt idx="4">
                  <c:v>0.76600000000000001</c:v>
                </c:pt>
              </c:numCache>
            </c:numRef>
          </c:val>
        </c:ser>
        <c:dLbls>
          <c:showLegendKey val="0"/>
          <c:showVal val="0"/>
          <c:showCatName val="0"/>
          <c:showSerName val="0"/>
          <c:showPercent val="0"/>
          <c:showBubbleSize val="0"/>
        </c:dLbls>
        <c:gapWidth val="150"/>
        <c:axId val="136349696"/>
        <c:axId val="136458752"/>
      </c:barChart>
      <c:catAx>
        <c:axId val="136349696"/>
        <c:scaling>
          <c:orientation val="minMax"/>
        </c:scaling>
        <c:delete val="0"/>
        <c:axPos val="b"/>
        <c:majorTickMark val="out"/>
        <c:minorTickMark val="none"/>
        <c:tickLblPos val="nextTo"/>
        <c:crossAx val="136458752"/>
        <c:crosses val="autoZero"/>
        <c:auto val="1"/>
        <c:lblAlgn val="ctr"/>
        <c:lblOffset val="100"/>
        <c:noMultiLvlLbl val="0"/>
      </c:catAx>
      <c:valAx>
        <c:axId val="136458752"/>
        <c:scaling>
          <c:orientation val="minMax"/>
          <c:max val="0.8"/>
        </c:scaling>
        <c:delete val="1"/>
        <c:axPos val="l"/>
        <c:numFmt formatCode="0%" sourceLinked="1"/>
        <c:majorTickMark val="out"/>
        <c:minorTickMark val="none"/>
        <c:tickLblPos val="nextTo"/>
        <c:crossAx val="136349696"/>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tx>
            <c:strRef>
              <c:f>'G18'!$C$2</c:f>
              <c:strCache>
                <c:ptCount val="1"/>
                <c:pt idx="0">
                  <c:v>zaměstnanci firem poskytujících nepovinné kurzy/školení</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strRef>
              <c:f>'G18'!$A$3:$A$12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'G18'!$C$3:$C$12</c:f>
              <c:numCache>
                <c:formatCode>General</c:formatCode>
                <c:ptCount val="10"/>
                <c:pt idx="0">
                  <c:v>0.379</c:v>
                </c:pt>
                <c:pt idx="1">
                  <c:v>0.76</c:v>
                </c:pt>
                <c:pt idx="2">
                  <c:v>0.55000000000000004</c:v>
                </c:pt>
                <c:pt idx="3">
                  <c:v>0.29799999999999999</c:v>
                </c:pt>
                <c:pt idx="4">
                  <c:v>0.49299999999999999</c:v>
                </c:pt>
                <c:pt idx="5">
                  <c:v>0.371</c:v>
                </c:pt>
                <c:pt idx="6">
                  <c:v>0.40899999999999997</c:v>
                </c:pt>
                <c:pt idx="7">
                  <c:v>0.40699999999999997</c:v>
                </c:pt>
                <c:pt idx="8">
                  <c:v>0.34100000000000003</c:v>
                </c:pt>
                <c:pt idx="9">
                  <c:v>0.39200000000000002</c:v>
                </c:pt>
              </c:numCache>
            </c:numRef>
          </c:val>
        </c:ser>
        <c:ser>
          <c:idx val="0"/>
          <c:order val="1"/>
          <c:tx>
            <c:strRef>
              <c:f>'G18'!$B$2</c:f>
              <c:strCache>
                <c:ptCount val="1"/>
                <c:pt idx="0">
                  <c:v>zaměstnanci všech firem</c:v>
                </c:pt>
              </c:strCache>
            </c:strRef>
          </c:tx>
          <c:spPr>
            <a:solidFill>
              <a:schemeClr val="accent1">
                <a:lumMod val="60000"/>
                <a:lumOff val="40000"/>
              </a:schemeClr>
            </a:solidFill>
            <a:ln>
              <a:solidFill>
                <a:schemeClr val="accent1"/>
              </a:solidFill>
            </a:ln>
          </c:spPr>
          <c:invertIfNegative val="0"/>
          <c:dLbls>
            <c:dLbl>
              <c:idx val="1"/>
              <c:layout>
                <c:manualLayout>
                  <c:x val="-7.0753948268166944E-2"/>
                  <c:y val="-8.2581628592562116E-17"/>
                </c:manualLayout>
              </c:layout>
              <c:dLblPos val="outEnd"/>
              <c:showLegendKey val="0"/>
              <c:showVal val="1"/>
              <c:showCatName val="0"/>
              <c:showSerName val="0"/>
              <c:showPercent val="0"/>
              <c:showBubbleSize val="0"/>
            </c:dLbl>
            <c:numFmt formatCode="0%" sourceLinked="0"/>
            <c:dLblPos val="inEnd"/>
            <c:showLegendKey val="0"/>
            <c:showVal val="1"/>
            <c:showCatName val="0"/>
            <c:showSerName val="0"/>
            <c:showPercent val="0"/>
            <c:showBubbleSize val="0"/>
            <c:showLeaderLines val="0"/>
          </c:dLbls>
          <c:cat>
            <c:strRef>
              <c:f>'G18'!$A$3:$A$12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'G18'!$B$3:$B$12</c:f>
              <c:numCache>
                <c:formatCode>General</c:formatCode>
                <c:ptCount val="10"/>
                <c:pt idx="0">
                  <c:v>0.25600000000000001</c:v>
                </c:pt>
                <c:pt idx="1">
                  <c:v>0.73099999999999998</c:v>
                </c:pt>
                <c:pt idx="2">
                  <c:v>0.49299999999999999</c:v>
                </c:pt>
                <c:pt idx="3">
                  <c:v>0.14399999999999999</c:v>
                </c:pt>
                <c:pt idx="4">
                  <c:v>0.39100000000000001</c:v>
                </c:pt>
                <c:pt idx="5">
                  <c:v>0.27200000000000002</c:v>
                </c:pt>
                <c:pt idx="6">
                  <c:v>0.27800000000000002</c:v>
                </c:pt>
                <c:pt idx="7">
                  <c:v>0.34399999999999997</c:v>
                </c:pt>
                <c:pt idx="8">
                  <c:v>0.28499999999999998</c:v>
                </c:pt>
                <c:pt idx="9">
                  <c:v>0.30399999999999999</c:v>
                </c:pt>
              </c:numCache>
            </c:numRef>
          </c:val>
        </c:ser>
        <c:dLbls>
          <c:showLegendKey val="0"/>
          <c:showVal val="0"/>
          <c:showCatName val="0"/>
          <c:showSerName val="0"/>
          <c:showPercent val="0"/>
          <c:showBubbleSize val="0"/>
        </c:dLbls>
        <c:gapWidth val="150"/>
        <c:axId val="136350208"/>
        <c:axId val="136461056"/>
      </c:barChart>
      <c:catAx>
        <c:axId val="136350208"/>
        <c:scaling>
          <c:orientation val="minMax"/>
        </c:scaling>
        <c:delete val="0"/>
        <c:axPos val="l"/>
        <c:majorTickMark val="out"/>
        <c:minorTickMark val="none"/>
        <c:tickLblPos val="nextTo"/>
        <c:crossAx val="136461056"/>
        <c:crosses val="autoZero"/>
        <c:auto val="1"/>
        <c:lblAlgn val="ctr"/>
        <c:lblOffset val="100"/>
        <c:noMultiLvlLbl val="0"/>
      </c:catAx>
      <c:valAx>
        <c:axId val="136461056"/>
        <c:scaling>
          <c:orientation val="minMax"/>
          <c:max val="0.8"/>
          <c:min val="0"/>
        </c:scaling>
        <c:delete val="1"/>
        <c:axPos val="b"/>
        <c:numFmt formatCode="General" sourceLinked="0"/>
        <c:majorTickMark val="out"/>
        <c:minorTickMark val="none"/>
        <c:tickLblPos val="nextTo"/>
        <c:crossAx val="136350208"/>
        <c:crosses val="autoZero"/>
        <c:crossBetween val="between"/>
      </c:valAx>
    </c:plotArea>
    <c:legend>
      <c:legendPos val="b"/>
      <c:layout>
        <c:manualLayout>
          <c:xMode val="edge"/>
          <c:yMode val="edge"/>
          <c:x val="2.573226291918989E-2"/>
          <c:y val="0.88491948641554941"/>
          <c:w val="0.95375379447432085"/>
          <c:h val="9.1341420160317793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391812865497075E-2"/>
          <c:y val="4.8726467331118496E-2"/>
          <c:w val="0.95959595959595956"/>
          <c:h val="0.67414305769918303"/>
        </c:manualLayout>
      </c:layout>
      <c:barChart>
        <c:barDir val="col"/>
        <c:grouping val="clustered"/>
        <c:varyColors val="0"/>
        <c:ser>
          <c:idx val="0"/>
          <c:order val="0"/>
          <c:tx>
            <c:strRef>
              <c:f>'G19,G20'!$B$4</c:f>
              <c:strCache>
                <c:ptCount val="1"/>
                <c:pt idx="0">
                  <c:v>podíl ze všech firem</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'G19,G20'!$A$5:$A$9</c:f>
              <c:strCache>
                <c:ptCount val="5"/>
                <c:pt idx="0">
                  <c:v>celkem</c:v>
                </c:pt>
                <c:pt idx="1">
                  <c:v>10–19 
zaměstnanců</c:v>
                </c:pt>
                <c:pt idx="2">
                  <c:v>20–49 
zaměstnanců</c:v>
                </c:pt>
                <c:pt idx="3">
                  <c:v>50–249 
zaměstnanců</c:v>
                </c:pt>
                <c:pt idx="4">
                  <c:v>250 a více 
zaměstnanců</c:v>
                </c:pt>
              </c:strCache>
            </c:strRef>
          </c:cat>
          <c:val>
            <c:numRef>
              <c:f>'G19,G20'!$B$5:$B$9</c:f>
              <c:numCache>
                <c:formatCode>0%</c:formatCode>
                <c:ptCount val="5"/>
                <c:pt idx="0">
                  <c:v>0.48399999999999999</c:v>
                </c:pt>
                <c:pt idx="1">
                  <c:v>0.38700000000000001</c:v>
                </c:pt>
                <c:pt idx="2">
                  <c:v>0.46200000000000002</c:v>
                </c:pt>
                <c:pt idx="3">
                  <c:v>0.67800000000000005</c:v>
                </c:pt>
                <c:pt idx="4">
                  <c:v>0.85299999999999998</c:v>
                </c:pt>
              </c:numCache>
            </c:numRef>
          </c:val>
        </c:ser>
        <c:ser>
          <c:idx val="1"/>
          <c:order val="1"/>
          <c:tx>
            <c:strRef>
              <c:f>'G19,G20'!$C$4</c:f>
              <c:strCache>
                <c:ptCount val="1"/>
                <c:pt idx="0">
                  <c:v>podíl firem, které zajistily nepovinné kurzy/školení</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'G19,G20'!$A$5:$A$9</c:f>
              <c:strCache>
                <c:ptCount val="5"/>
                <c:pt idx="0">
                  <c:v>celkem</c:v>
                </c:pt>
                <c:pt idx="1">
                  <c:v>10–19 
zaměstnanců</c:v>
                </c:pt>
                <c:pt idx="2">
                  <c:v>20–49 
zaměstnanců</c:v>
                </c:pt>
                <c:pt idx="3">
                  <c:v>50–249 
zaměstnanců</c:v>
                </c:pt>
                <c:pt idx="4">
                  <c:v>250 a více 
zaměstnanců</c:v>
                </c:pt>
              </c:strCache>
            </c:strRef>
          </c:cat>
          <c:val>
            <c:numRef>
              <c:f>'G19,G20'!$C$5:$C$9</c:f>
              <c:numCache>
                <c:formatCode>0%</c:formatCode>
                <c:ptCount val="5"/>
                <c:pt idx="0">
                  <c:v>0.91100000000000003</c:v>
                </c:pt>
                <c:pt idx="1">
                  <c:v>0.89400000000000002</c:v>
                </c:pt>
                <c:pt idx="2">
                  <c:v>0.90200000000000002</c:v>
                </c:pt>
                <c:pt idx="3">
                  <c:v>0.93500000000000005</c:v>
                </c:pt>
                <c:pt idx="4">
                  <c:v>0.95799999999999996</c:v>
                </c:pt>
              </c:numCache>
            </c:numRef>
          </c:val>
        </c:ser>
        <c:dLbls>
          <c:showLegendKey val="0"/>
          <c:showVal val="0"/>
          <c:showCatName val="0"/>
          <c:showSerName val="0"/>
          <c:showPercent val="0"/>
          <c:showBubbleSize val="0"/>
        </c:dLbls>
        <c:gapWidth val="150"/>
        <c:axId val="136350720"/>
        <c:axId val="136839744"/>
      </c:barChart>
      <c:catAx>
        <c:axId val="136350720"/>
        <c:scaling>
          <c:orientation val="minMax"/>
        </c:scaling>
        <c:delete val="0"/>
        <c:axPos val="b"/>
        <c:majorTickMark val="out"/>
        <c:minorTickMark val="none"/>
        <c:tickLblPos val="nextTo"/>
        <c:crossAx val="136839744"/>
        <c:crosses val="autoZero"/>
        <c:auto val="1"/>
        <c:lblAlgn val="ctr"/>
        <c:lblOffset val="100"/>
        <c:noMultiLvlLbl val="0"/>
      </c:catAx>
      <c:valAx>
        <c:axId val="136839744"/>
        <c:scaling>
          <c:orientation val="minMax"/>
          <c:max val="1"/>
        </c:scaling>
        <c:delete val="1"/>
        <c:axPos val="l"/>
        <c:numFmt formatCode="0%" sourceLinked="1"/>
        <c:majorTickMark val="out"/>
        <c:minorTickMark val="none"/>
        <c:tickLblPos val="nextTo"/>
        <c:crossAx val="136350720"/>
        <c:crosses val="autoZero"/>
        <c:crossBetween val="between"/>
      </c:valAx>
    </c:plotArea>
    <c:legend>
      <c:legendPos val="b"/>
      <c:layout>
        <c:manualLayout>
          <c:xMode val="edge"/>
          <c:yMode val="edge"/>
          <c:x val="0.27334965904381564"/>
          <c:y val="0.8777775743339461"/>
          <c:w val="0.46605968512309165"/>
          <c:h val="9.44444674139093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'G2'!$B$1</c:f>
              <c:strCache>
                <c:ptCount val="1"/>
                <c:pt idx="0">
                  <c:v>kurzy/školení celkem</c:v>
                </c:pt>
              </c:strCache>
            </c:strRef>
          </c:tx>
          <c:spPr>
            <a:solidFill>
              <a:schemeClr val="accent1">
                <a:lumMod val="60000"/>
                <a:lumOff val="40000"/>
              </a:schemeClr>
            </a:solidFill>
            <a:ln>
              <a:solidFill>
                <a:schemeClr val="accent1"/>
              </a:solidFill>
            </a:ln>
          </c:spPr>
          <c:invertIfNegative val="0"/>
          <c:dPt>
            <c:idx val="0"/>
            <c:invertIfNegative val="0"/>
            <c:bubble3D val="0"/>
            <c:spPr>
              <a:solidFill>
                <a:schemeClr val="accent1">
                  <a:lumMod val="60000"/>
                  <a:lumOff val="40000"/>
                </a:schemeClr>
              </a:solidFill>
              <a:ln w="9525" cmpd="sng">
                <a:solidFill>
                  <a:schemeClr val="accent1"/>
                </a:solidFill>
              </a:ln>
            </c:spPr>
          </c:dPt>
          <c:dLbls>
            <c:txPr>
              <a:bodyPr rot="-5400000" vert="horz"/>
              <a:lstStyle/>
              <a:p>
                <a:pPr>
                  <a:defRPr/>
                </a:pPr>
                <a:endParaRPr lang="cs-CZ"/>
              </a:p>
            </c:txPr>
            <c:dLblPos val="inEnd"/>
            <c:showLegendKey val="0"/>
            <c:showVal val="1"/>
            <c:showCatName val="0"/>
            <c:showSerName val="0"/>
            <c:showPercent val="0"/>
            <c:showBubbleSize val="0"/>
            <c:showLeaderLines val="0"/>
          </c:dLbls>
          <c:cat>
            <c:strRef>
              <c:f>'G2'!$A$2:$A$6</c:f>
              <c:strCache>
                <c:ptCount val="5"/>
                <c:pt idx="0">
                  <c:v>celkem</c:v>
                </c:pt>
                <c:pt idx="1">
                  <c:v>10–19 zaměstanců</c:v>
                </c:pt>
                <c:pt idx="2">
                  <c:v>20–49 zaměstnanců</c:v>
                </c:pt>
                <c:pt idx="3">
                  <c:v>50–249 zaměstnanců</c:v>
                </c:pt>
                <c:pt idx="4">
                  <c:v>250 a více zaměstnanců</c:v>
                </c:pt>
              </c:strCache>
            </c:strRef>
          </c:cat>
          <c:val>
            <c:numRef>
              <c:f>'G2'!$B$2:$B$6</c:f>
              <c:numCache>
                <c:formatCode>0%</c:formatCode>
                <c:ptCount val="5"/>
                <c:pt idx="0">
                  <c:v>0.89400000000000002</c:v>
                </c:pt>
                <c:pt idx="1">
                  <c:v>0.86599999999999999</c:v>
                </c:pt>
                <c:pt idx="2">
                  <c:v>0.89</c:v>
                </c:pt>
                <c:pt idx="3">
                  <c:v>0.94799999999999995</c:v>
                </c:pt>
                <c:pt idx="4">
                  <c:v>0.99199999999999999</c:v>
                </c:pt>
              </c:numCache>
            </c:numRef>
          </c:val>
        </c:ser>
        <c:ser>
          <c:idx val="1"/>
          <c:order val="1"/>
          <c:tx>
            <c:strRef>
              <c:f>'G2'!$C$1</c:f>
              <c:strCache>
                <c:ptCount val="1"/>
                <c:pt idx="0">
                  <c:v>kurzy/školení povinné</c:v>
                </c:pt>
              </c:strCache>
            </c:strRef>
          </c:tx>
          <c:spPr>
            <a:solidFill>
              <a:schemeClr val="accent2">
                <a:lumMod val="60000"/>
                <a:lumOff val="40000"/>
              </a:schemeClr>
            </a:solidFill>
            <a:ln>
              <a:solidFill>
                <a:schemeClr val="accent2"/>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'G2'!$A$2:$A$6</c:f>
              <c:strCache>
                <c:ptCount val="5"/>
                <c:pt idx="0">
                  <c:v>celkem</c:v>
                </c:pt>
                <c:pt idx="1">
                  <c:v>10–19 zaměstanců</c:v>
                </c:pt>
                <c:pt idx="2">
                  <c:v>20–49 zaměstnanců</c:v>
                </c:pt>
                <c:pt idx="3">
                  <c:v>50–249 zaměstnanců</c:v>
                </c:pt>
                <c:pt idx="4">
                  <c:v>250 a více zaměstnanců</c:v>
                </c:pt>
              </c:strCache>
            </c:strRef>
          </c:cat>
          <c:val>
            <c:numRef>
              <c:f>'G2'!$C$2:$C$6</c:f>
              <c:numCache>
                <c:formatCode>0%</c:formatCode>
                <c:ptCount val="5"/>
                <c:pt idx="0">
                  <c:v>0.86799999999999999</c:v>
                </c:pt>
                <c:pt idx="1">
                  <c:v>0.83099999999999996</c:v>
                </c:pt>
                <c:pt idx="2">
                  <c:v>0.86599999999999999</c:v>
                </c:pt>
                <c:pt idx="3">
                  <c:v>0.93500000000000005</c:v>
                </c:pt>
                <c:pt idx="4">
                  <c:v>0.98699999999999999</c:v>
                </c:pt>
              </c:numCache>
            </c:numRef>
          </c:val>
        </c:ser>
        <c:ser>
          <c:idx val="2"/>
          <c:order val="2"/>
          <c:tx>
            <c:strRef>
              <c:f>'G2'!$D$1</c:f>
              <c:strCache>
                <c:ptCount val="1"/>
                <c:pt idx="0">
                  <c:v>kurzy/školení nepovinné</c:v>
                </c:pt>
              </c:strCache>
            </c:strRef>
          </c:tx>
          <c:spPr>
            <a:solidFill>
              <a:schemeClr val="accent3"/>
            </a:solidFill>
            <a:ln>
              <a:solidFill>
                <a:schemeClr val="accent3">
                  <a:lumMod val="75000"/>
                </a:schemeClr>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'G2'!$A$2:$A$6</c:f>
              <c:strCache>
                <c:ptCount val="5"/>
                <c:pt idx="0">
                  <c:v>celkem</c:v>
                </c:pt>
                <c:pt idx="1">
                  <c:v>10–19 zaměstanců</c:v>
                </c:pt>
                <c:pt idx="2">
                  <c:v>20–49 zaměstnanců</c:v>
                </c:pt>
                <c:pt idx="3">
                  <c:v>50–249 zaměstnanců</c:v>
                </c:pt>
                <c:pt idx="4">
                  <c:v>250 a více zaměstnanců</c:v>
                </c:pt>
              </c:strCache>
            </c:strRef>
          </c:cat>
          <c:val>
            <c:numRef>
              <c:f>'G2'!$D$2:$D$6</c:f>
              <c:numCache>
                <c:formatCode>0%</c:formatCode>
                <c:ptCount val="5"/>
                <c:pt idx="0">
                  <c:v>0.53200000000000003</c:v>
                </c:pt>
                <c:pt idx="1">
                  <c:v>0.433</c:v>
                </c:pt>
                <c:pt idx="2">
                  <c:v>0.51200000000000001</c:v>
                </c:pt>
                <c:pt idx="3">
                  <c:v>0.72499999999999998</c:v>
                </c:pt>
                <c:pt idx="4">
                  <c:v>0.8909999999999999</c:v>
                </c:pt>
              </c:numCache>
            </c:numRef>
          </c:val>
        </c:ser>
        <c:ser>
          <c:idx val="3"/>
          <c:order val="3"/>
          <c:tx>
            <c:strRef>
              <c:f>'G2'!$E$1</c:f>
              <c:strCache>
                <c:ptCount val="1"/>
                <c:pt idx="0">
                  <c:v>jiné formy vzdělávání</c:v>
                </c:pt>
              </c:strCache>
            </c:strRef>
          </c:tx>
          <c:spPr>
            <a:solidFill>
              <a:schemeClr val="accent6">
                <a:lumMod val="60000"/>
                <a:lumOff val="40000"/>
              </a:schemeClr>
            </a:solidFill>
            <a:ln>
              <a:solidFill>
                <a:schemeClr val="accent6"/>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'G2'!$A$2:$A$6</c:f>
              <c:strCache>
                <c:ptCount val="5"/>
                <c:pt idx="0">
                  <c:v>celkem</c:v>
                </c:pt>
                <c:pt idx="1">
                  <c:v>10–19 zaměstanců</c:v>
                </c:pt>
                <c:pt idx="2">
                  <c:v>20–49 zaměstnanců</c:v>
                </c:pt>
                <c:pt idx="3">
                  <c:v>50–249 zaměstnanců</c:v>
                </c:pt>
                <c:pt idx="4">
                  <c:v>250 a více zaměstnanců</c:v>
                </c:pt>
              </c:strCache>
            </c:strRef>
          </c:cat>
          <c:val>
            <c:numRef>
              <c:f>'G2'!$E$2:$E$6</c:f>
              <c:numCache>
                <c:formatCode>0%</c:formatCode>
                <c:ptCount val="5"/>
                <c:pt idx="0">
                  <c:v>0.38600000000000001</c:v>
                </c:pt>
                <c:pt idx="1">
                  <c:v>0.317</c:v>
                </c:pt>
                <c:pt idx="2">
                  <c:v>0.35799999999999998</c:v>
                </c:pt>
                <c:pt idx="3">
                  <c:v>0.52200000000000002</c:v>
                </c:pt>
                <c:pt idx="4">
                  <c:v>0.74099999999999999</c:v>
                </c:pt>
              </c:numCache>
            </c:numRef>
          </c:val>
        </c:ser>
        <c:dLbls>
          <c:showLegendKey val="0"/>
          <c:showVal val="0"/>
          <c:showCatName val="0"/>
          <c:showSerName val="0"/>
          <c:showPercent val="0"/>
          <c:showBubbleSize val="0"/>
        </c:dLbls>
        <c:gapWidth val="150"/>
        <c:axId val="100626944"/>
        <c:axId val="41635776"/>
      </c:barChart>
      <c:catAx>
        <c:axId val="100626944"/>
        <c:scaling>
          <c:orientation val="minMax"/>
        </c:scaling>
        <c:delete val="0"/>
        <c:axPos val="b"/>
        <c:majorTickMark val="out"/>
        <c:minorTickMark val="none"/>
        <c:tickLblPos val="nextTo"/>
        <c:crossAx val="41635776"/>
        <c:crosses val="autoZero"/>
        <c:auto val="1"/>
        <c:lblAlgn val="ctr"/>
        <c:lblOffset val="100"/>
        <c:noMultiLvlLbl val="0"/>
      </c:catAx>
      <c:valAx>
        <c:axId val="41635776"/>
        <c:scaling>
          <c:orientation val="minMax"/>
          <c:max val="1"/>
          <c:min val="0"/>
        </c:scaling>
        <c:delete val="1"/>
        <c:axPos val="l"/>
        <c:numFmt formatCode="0%" sourceLinked="1"/>
        <c:majorTickMark val="out"/>
        <c:minorTickMark val="none"/>
        <c:tickLblPos val="nextTo"/>
        <c:crossAx val="100626944"/>
        <c:crosses val="autoZero"/>
        <c:crossBetween val="between"/>
      </c:valAx>
      <c:spPr>
        <a:noFill/>
        <a:ln>
          <a:noFill/>
        </a:ln>
      </c:spPr>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3391812865497075E-2"/>
          <c:y val="5.0749711649365627E-2"/>
          <c:w val="0.95534290271132372"/>
          <c:h val="0.64677183518150194"/>
        </c:manualLayout>
      </c:layout>
      <c:barChart>
        <c:barDir val="col"/>
        <c:grouping val="clustered"/>
        <c:varyColors val="0"/>
        <c:ser>
          <c:idx val="0"/>
          <c:order val="0"/>
          <c:tx>
            <c:strRef>
              <c:f>'G19,G20'!$K$4</c:f>
              <c:strCache>
                <c:ptCount val="1"/>
                <c:pt idx="0">
                  <c:v>podíl ze všech firem</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'G19,G20'!$J$5:$J$9</c:f>
              <c:strCache>
                <c:ptCount val="5"/>
                <c:pt idx="0">
                  <c:v>celkem</c:v>
                </c:pt>
                <c:pt idx="1">
                  <c:v>10–19 
zaměstnanců</c:v>
                </c:pt>
                <c:pt idx="2">
                  <c:v>20–49 
zaměstnanců</c:v>
                </c:pt>
                <c:pt idx="3">
                  <c:v>50–249 
zaměstnanců</c:v>
                </c:pt>
                <c:pt idx="4">
                  <c:v>250 a více 
zaměstnanců</c:v>
                </c:pt>
              </c:strCache>
            </c:strRef>
          </c:cat>
          <c:val>
            <c:numRef>
              <c:f>'G19,G20'!$K$5:$K$9</c:f>
              <c:numCache>
                <c:formatCode>0%</c:formatCode>
                <c:ptCount val="5"/>
                <c:pt idx="0">
                  <c:v>0.189</c:v>
                </c:pt>
                <c:pt idx="1">
                  <c:v>0.13200000000000001</c:v>
                </c:pt>
                <c:pt idx="2">
                  <c:v>0.17499999999999999</c:v>
                </c:pt>
                <c:pt idx="3">
                  <c:v>0.27300000000000002</c:v>
                </c:pt>
                <c:pt idx="4">
                  <c:v>0.54700000000000004</c:v>
                </c:pt>
              </c:numCache>
            </c:numRef>
          </c:val>
        </c:ser>
        <c:ser>
          <c:idx val="1"/>
          <c:order val="1"/>
          <c:tx>
            <c:strRef>
              <c:f>'G19,G20'!$L$4</c:f>
              <c:strCache>
                <c:ptCount val="1"/>
                <c:pt idx="0">
                  <c:v>podíl firem, které zajistily nepovinné kurzy/školení</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'G19,G20'!$J$5:$J$9</c:f>
              <c:strCache>
                <c:ptCount val="5"/>
                <c:pt idx="0">
                  <c:v>celkem</c:v>
                </c:pt>
                <c:pt idx="1">
                  <c:v>10–19 
zaměstnanců</c:v>
                </c:pt>
                <c:pt idx="2">
                  <c:v>20–49 
zaměstnanců</c:v>
                </c:pt>
                <c:pt idx="3">
                  <c:v>50–249 
zaměstnanců</c:v>
                </c:pt>
                <c:pt idx="4">
                  <c:v>250 a více 
zaměstnanců</c:v>
                </c:pt>
              </c:strCache>
            </c:strRef>
          </c:cat>
          <c:val>
            <c:numRef>
              <c:f>'G19,G20'!$L$5:$L$9</c:f>
              <c:numCache>
                <c:formatCode>0%</c:formatCode>
                <c:ptCount val="5"/>
                <c:pt idx="0">
                  <c:v>0.35599999999999998</c:v>
                </c:pt>
                <c:pt idx="1">
                  <c:v>0.30499999999999999</c:v>
                </c:pt>
                <c:pt idx="2">
                  <c:v>0.34200000000000003</c:v>
                </c:pt>
                <c:pt idx="3">
                  <c:v>0.376</c:v>
                </c:pt>
                <c:pt idx="4">
                  <c:v>0.61499999999999999</c:v>
                </c:pt>
              </c:numCache>
            </c:numRef>
          </c:val>
        </c:ser>
        <c:dLbls>
          <c:showLegendKey val="0"/>
          <c:showVal val="0"/>
          <c:showCatName val="0"/>
          <c:showSerName val="0"/>
          <c:showPercent val="0"/>
          <c:showBubbleSize val="0"/>
        </c:dLbls>
        <c:gapWidth val="150"/>
        <c:axId val="136351232"/>
        <c:axId val="136841472"/>
      </c:barChart>
      <c:catAx>
        <c:axId val="136351232"/>
        <c:scaling>
          <c:orientation val="minMax"/>
        </c:scaling>
        <c:delete val="0"/>
        <c:axPos val="b"/>
        <c:majorTickMark val="out"/>
        <c:minorTickMark val="none"/>
        <c:tickLblPos val="nextTo"/>
        <c:crossAx val="136841472"/>
        <c:crosses val="autoZero"/>
        <c:auto val="1"/>
        <c:lblAlgn val="ctr"/>
        <c:lblOffset val="100"/>
        <c:noMultiLvlLbl val="0"/>
      </c:catAx>
      <c:valAx>
        <c:axId val="136841472"/>
        <c:scaling>
          <c:orientation val="minMax"/>
          <c:max val="1"/>
        </c:scaling>
        <c:delete val="1"/>
        <c:axPos val="l"/>
        <c:numFmt formatCode="0%" sourceLinked="1"/>
        <c:majorTickMark val="out"/>
        <c:minorTickMark val="none"/>
        <c:tickLblPos val="nextTo"/>
        <c:crossAx val="136351232"/>
        <c:crosses val="autoZero"/>
        <c:crossBetween val="between"/>
      </c:valAx>
    </c:plotArea>
    <c:legend>
      <c:legendPos val="b"/>
      <c:layout>
        <c:manualLayout>
          <c:xMode val="edge"/>
          <c:yMode val="edge"/>
          <c:x val="0.30702365553588096"/>
          <c:y val="0.86426250351924006"/>
          <c:w val="0.44167995746943106"/>
          <c:h val="9.0347201409512384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'G21'!$B$2</c:f>
              <c:strCache>
                <c:ptCount val="1"/>
                <c:pt idx="0">
                  <c:v>podíl firem zajišťujících nepovinné kurzy/školení</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strRef>
              <c:f>'G21'!$A$3:$A$10</c:f>
              <c:strCache>
                <c:ptCount val="8"/>
                <c:pt idx="0">
                  <c:v>běžné užívání 
informačních technologií</c:v>
                </c:pt>
                <c:pt idx="1">
                  <c:v>odborná práce 
s informačními technologiemi</c:v>
                </c:pt>
                <c:pt idx="2">
                  <c:v>vedení administrativy</c:v>
                </c:pt>
                <c:pt idx="3">
                  <c:v>manažerské dovednosti</c:v>
                </c:pt>
                <c:pt idx="4">
                  <c:v>jednání se zákazníky</c:v>
                </c:pt>
                <c:pt idx="5">
                  <c:v>specifické technické 
a inženýrské dovednosti</c:v>
                </c:pt>
                <c:pt idx="6">
                  <c:v>znalost cizích jazyků</c:v>
                </c:pt>
                <c:pt idx="7">
                  <c:v>jiné specifické dovednosti 
v daném povolání</c:v>
                </c:pt>
              </c:strCache>
            </c:strRef>
          </c:cat>
          <c:val>
            <c:numRef>
              <c:f>'G21'!$B$3:$B$10</c:f>
              <c:numCache>
                <c:formatCode>0%</c:formatCode>
                <c:ptCount val="8"/>
                <c:pt idx="0">
                  <c:v>7.8E-2</c:v>
                </c:pt>
                <c:pt idx="1">
                  <c:v>9.6000000000000002E-2</c:v>
                </c:pt>
                <c:pt idx="2">
                  <c:v>0.108</c:v>
                </c:pt>
                <c:pt idx="3">
                  <c:v>0.122</c:v>
                </c:pt>
                <c:pt idx="4">
                  <c:v>0.123</c:v>
                </c:pt>
                <c:pt idx="5">
                  <c:v>0.255</c:v>
                </c:pt>
                <c:pt idx="6">
                  <c:v>0.27900000000000003</c:v>
                </c:pt>
                <c:pt idx="7">
                  <c:v>0.57499999999999996</c:v>
                </c:pt>
              </c:numCache>
            </c:numRef>
          </c:val>
        </c:ser>
        <c:ser>
          <c:idx val="1"/>
          <c:order val="1"/>
          <c:tx>
            <c:strRef>
              <c:f>'G21'!$C$2</c:f>
              <c:strCache>
                <c:ptCount val="1"/>
                <c:pt idx="0">
                  <c:v>podíl všech firem</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strRef>
              <c:f>'G21'!$A$3:$A$10</c:f>
              <c:strCache>
                <c:ptCount val="8"/>
                <c:pt idx="0">
                  <c:v>běžné užívání 
informačních technologií</c:v>
                </c:pt>
                <c:pt idx="1">
                  <c:v>odborná práce 
s informačními technologiemi</c:v>
                </c:pt>
                <c:pt idx="2">
                  <c:v>vedení administrativy</c:v>
                </c:pt>
                <c:pt idx="3">
                  <c:v>manažerské dovednosti</c:v>
                </c:pt>
                <c:pt idx="4">
                  <c:v>jednání se zákazníky</c:v>
                </c:pt>
                <c:pt idx="5">
                  <c:v>specifické technické 
a inženýrské dovednosti</c:v>
                </c:pt>
                <c:pt idx="6">
                  <c:v>znalost cizích jazyků</c:v>
                </c:pt>
                <c:pt idx="7">
                  <c:v>jiné specifické dovednosti 
v daném povolání</c:v>
                </c:pt>
              </c:strCache>
            </c:strRef>
          </c:cat>
          <c:val>
            <c:numRef>
              <c:f>'G21'!$C$3:$C$10</c:f>
              <c:numCache>
                <c:formatCode>0%</c:formatCode>
                <c:ptCount val="8"/>
                <c:pt idx="0">
                  <c:v>4.1000000000000002E-2</c:v>
                </c:pt>
                <c:pt idx="1">
                  <c:v>5.0999999999999997E-2</c:v>
                </c:pt>
                <c:pt idx="2">
                  <c:v>5.8000000000000003E-2</c:v>
                </c:pt>
                <c:pt idx="3">
                  <c:v>6.5000000000000002E-2</c:v>
                </c:pt>
                <c:pt idx="4">
                  <c:v>6.6000000000000003E-2</c:v>
                </c:pt>
                <c:pt idx="5">
                  <c:v>0.13500000000000001</c:v>
                </c:pt>
                <c:pt idx="6">
                  <c:v>0.14899999999999999</c:v>
                </c:pt>
                <c:pt idx="7">
                  <c:v>0.30599999999999999</c:v>
                </c:pt>
              </c:numCache>
            </c:numRef>
          </c:val>
        </c:ser>
        <c:dLbls>
          <c:showLegendKey val="0"/>
          <c:showVal val="0"/>
          <c:showCatName val="0"/>
          <c:showSerName val="0"/>
          <c:showPercent val="0"/>
          <c:showBubbleSize val="0"/>
        </c:dLbls>
        <c:gapWidth val="150"/>
        <c:axId val="136995840"/>
        <c:axId val="136843200"/>
      </c:barChart>
      <c:catAx>
        <c:axId val="136995840"/>
        <c:scaling>
          <c:orientation val="minMax"/>
        </c:scaling>
        <c:delete val="0"/>
        <c:axPos val="l"/>
        <c:majorTickMark val="out"/>
        <c:minorTickMark val="none"/>
        <c:tickLblPos val="nextTo"/>
        <c:crossAx val="136843200"/>
        <c:crosses val="autoZero"/>
        <c:auto val="1"/>
        <c:lblAlgn val="ctr"/>
        <c:lblOffset val="100"/>
        <c:noMultiLvlLbl val="0"/>
      </c:catAx>
      <c:valAx>
        <c:axId val="136843200"/>
        <c:scaling>
          <c:orientation val="minMax"/>
          <c:max val="0.60000000000000009"/>
        </c:scaling>
        <c:delete val="1"/>
        <c:axPos val="b"/>
        <c:numFmt formatCode="0%" sourceLinked="0"/>
        <c:majorTickMark val="out"/>
        <c:minorTickMark val="none"/>
        <c:tickLblPos val="nextTo"/>
        <c:crossAx val="136995840"/>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534680439003929"/>
          <c:y val="3.9586139240631868E-2"/>
          <c:w val="0.61058126929099676"/>
          <c:h val="0.82666018599526914"/>
        </c:manualLayout>
      </c:layout>
      <c:barChart>
        <c:barDir val="bar"/>
        <c:grouping val="clustered"/>
        <c:varyColors val="0"/>
        <c:ser>
          <c:idx val="2"/>
          <c:order val="0"/>
          <c:tx>
            <c:strRef>
              <c:f>'G22'!$B$1:$B$2</c:f>
              <c:strCache>
                <c:ptCount val="1"/>
                <c:pt idx="0">
                  <c:v>jiné specifické dovednosti v povolání</c:v>
                </c:pt>
              </c:strCache>
            </c:strRef>
          </c:tx>
          <c:spPr>
            <a:solidFill>
              <a:schemeClr val="accent3"/>
            </a:solidFill>
            <a:ln>
              <a:solidFill>
                <a:schemeClr val="accent3">
                  <a:lumMod val="50000"/>
                </a:schemeClr>
              </a:solidFill>
            </a:ln>
          </c:spPr>
          <c:invertIfNegative val="0"/>
          <c:dLbls>
            <c:numFmt formatCode="0%" sourceLinked="0"/>
            <c:dLblPos val="inEnd"/>
            <c:showLegendKey val="0"/>
            <c:showVal val="1"/>
            <c:showCatName val="0"/>
            <c:showSerName val="0"/>
            <c:showPercent val="0"/>
            <c:showBubbleSize val="0"/>
            <c:showLeaderLines val="0"/>
          </c:dLbls>
          <c:cat>
            <c:strRef>
              <c:f>'G22'!$A$3:$A$12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 Průmysl (BC)</c:v>
                </c:pt>
                <c:pt idx="9">
                  <c:v>celkem</c:v>
                </c:pt>
              </c:strCache>
            </c:strRef>
          </c:cat>
          <c:val>
            <c:numRef>
              <c:f>'G22'!$B$3:$B$12</c:f>
              <c:numCache>
                <c:formatCode>####.000</c:formatCode>
                <c:ptCount val="10"/>
                <c:pt idx="0">
                  <c:v>0.39400000000000002</c:v>
                </c:pt>
                <c:pt idx="1">
                  <c:v>0.442</c:v>
                </c:pt>
                <c:pt idx="2">
                  <c:v>0.30599999999999999</c:v>
                </c:pt>
                <c:pt idx="3">
                  <c:v>0.19900000000000001</c:v>
                </c:pt>
                <c:pt idx="4">
                  <c:v>0.29599999999999999</c:v>
                </c:pt>
                <c:pt idx="5">
                  <c:v>0.27</c:v>
                </c:pt>
                <c:pt idx="6">
                  <c:v>0.31</c:v>
                </c:pt>
                <c:pt idx="7">
                  <c:v>0.441</c:v>
                </c:pt>
                <c:pt idx="8">
                  <c:v>0.28399999999999997</c:v>
                </c:pt>
                <c:pt idx="9">
                  <c:v>0.30599999999999999</c:v>
                </c:pt>
              </c:numCache>
            </c:numRef>
          </c:val>
        </c:ser>
        <c:ser>
          <c:idx val="1"/>
          <c:order val="1"/>
          <c:tx>
            <c:strRef>
              <c:f>'G22'!$C$1:$C$2</c:f>
              <c:strCache>
                <c:ptCount val="1"/>
                <c:pt idx="0">
                  <c:v>cizí jazyky</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strRef>
              <c:f>'G22'!$A$3:$A$12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 Průmysl (BC)</c:v>
                </c:pt>
                <c:pt idx="9">
                  <c:v>celkem</c:v>
                </c:pt>
              </c:strCache>
            </c:strRef>
          </c:cat>
          <c:val>
            <c:numRef>
              <c:f>'G22'!$C$3:$C$12</c:f>
              <c:numCache>
                <c:formatCode>####.000</c:formatCode>
                <c:ptCount val="10"/>
                <c:pt idx="0">
                  <c:v>0.14599999999999999</c:v>
                </c:pt>
                <c:pt idx="1">
                  <c:v>0.27900000000000003</c:v>
                </c:pt>
                <c:pt idx="2">
                  <c:v>0.31900000000000001</c:v>
                </c:pt>
                <c:pt idx="3">
                  <c:v>5.2999999999999999E-2</c:v>
                </c:pt>
                <c:pt idx="4">
                  <c:v>9.6000000000000002E-2</c:v>
                </c:pt>
                <c:pt idx="5">
                  <c:v>0.14799999999999999</c:v>
                </c:pt>
                <c:pt idx="6">
                  <c:v>7.0999999999999994E-2</c:v>
                </c:pt>
                <c:pt idx="7">
                  <c:v>7.0999999999999994E-2</c:v>
                </c:pt>
                <c:pt idx="8">
                  <c:v>0.19400000000000001</c:v>
                </c:pt>
                <c:pt idx="9">
                  <c:v>0.14799999999999999</c:v>
                </c:pt>
              </c:numCache>
            </c:numRef>
          </c:val>
        </c:ser>
        <c:ser>
          <c:idx val="0"/>
          <c:order val="2"/>
          <c:tx>
            <c:strRef>
              <c:f>'G22'!$D$1:$D$2</c:f>
              <c:strCache>
                <c:ptCount val="1"/>
                <c:pt idx="0">
                  <c:v>specifické technické a inženýrské dovednosti</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strRef>
              <c:f>'G22'!$A$3:$A$12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 Průmysl (BC)</c:v>
                </c:pt>
                <c:pt idx="9">
                  <c:v>celkem</c:v>
                </c:pt>
              </c:strCache>
            </c:strRef>
          </c:cat>
          <c:val>
            <c:numRef>
              <c:f>'G22'!$D$3:$D$12</c:f>
              <c:numCache>
                <c:formatCode>####.000</c:formatCode>
                <c:ptCount val="10"/>
                <c:pt idx="0">
                  <c:v>0.11</c:v>
                </c:pt>
                <c:pt idx="1">
                  <c:v>3.1E-2</c:v>
                </c:pt>
                <c:pt idx="2">
                  <c:v>8.6999999999999994E-2</c:v>
                </c:pt>
                <c:pt idx="3">
                  <c:v>7.0000000000000001E-3</c:v>
                </c:pt>
                <c:pt idx="4">
                  <c:v>5.5E-2</c:v>
                </c:pt>
                <c:pt idx="5">
                  <c:v>9.0999999999999998E-2</c:v>
                </c:pt>
                <c:pt idx="6">
                  <c:v>0.19500000000000001</c:v>
                </c:pt>
                <c:pt idx="7">
                  <c:v>0.17899999999999999</c:v>
                </c:pt>
                <c:pt idx="8">
                  <c:v>0.20899999999999999</c:v>
                </c:pt>
                <c:pt idx="9">
                  <c:v>0.13500000000000001</c:v>
                </c:pt>
              </c:numCache>
            </c:numRef>
          </c:val>
        </c:ser>
        <c:dLbls>
          <c:showLegendKey val="0"/>
          <c:showVal val="0"/>
          <c:showCatName val="0"/>
          <c:showSerName val="0"/>
          <c:showPercent val="0"/>
          <c:showBubbleSize val="0"/>
        </c:dLbls>
        <c:gapWidth val="150"/>
        <c:axId val="136996864"/>
        <c:axId val="136844928"/>
      </c:barChart>
      <c:catAx>
        <c:axId val="136996864"/>
        <c:scaling>
          <c:orientation val="minMax"/>
        </c:scaling>
        <c:delete val="0"/>
        <c:axPos val="l"/>
        <c:majorTickMark val="out"/>
        <c:minorTickMark val="none"/>
        <c:tickLblPos val="nextTo"/>
        <c:crossAx val="136844928"/>
        <c:crosses val="autoZero"/>
        <c:auto val="1"/>
        <c:lblAlgn val="ctr"/>
        <c:lblOffset val="100"/>
        <c:noMultiLvlLbl val="0"/>
      </c:catAx>
      <c:valAx>
        <c:axId val="136844928"/>
        <c:scaling>
          <c:orientation val="minMax"/>
          <c:max val="0.45"/>
        </c:scaling>
        <c:delete val="1"/>
        <c:axPos val="b"/>
        <c:numFmt formatCode="0%" sourceLinked="0"/>
        <c:majorTickMark val="out"/>
        <c:minorTickMark val="none"/>
        <c:tickLblPos val="nextTo"/>
        <c:crossAx val="136996864"/>
        <c:crosses val="autoZero"/>
        <c:crossBetween val="between"/>
        <c:majorUnit val="5.000000000000001E-2"/>
      </c:valAx>
    </c:plotArea>
    <c:legend>
      <c:legendPos val="b"/>
      <c:layout>
        <c:manualLayout>
          <c:xMode val="edge"/>
          <c:yMode val="edge"/>
          <c:x val="3.3205038030936192E-3"/>
          <c:y val="0.89189518061992645"/>
          <c:w val="0.99248762432313509"/>
          <c:h val="8.3221224673677485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4527518172378E-2"/>
          <c:y val="4.0072859744990891E-2"/>
          <c:w val="0.95638629283489096"/>
          <c:h val="0.6810257734176669"/>
        </c:manualLayout>
      </c:layout>
      <c:barChart>
        <c:barDir val="col"/>
        <c:grouping val="clustered"/>
        <c:varyColors val="0"/>
        <c:ser>
          <c:idx val="0"/>
          <c:order val="0"/>
          <c:tx>
            <c:strRef>
              <c:f>'G23'!$B$2</c:f>
              <c:strCache>
                <c:ptCount val="1"/>
                <c:pt idx="0">
                  <c:v>zaškolování, instruktáž na pracovišti</c:v>
                </c:pt>
              </c:strCache>
            </c:strRef>
          </c:tx>
          <c:spPr>
            <a:solidFill>
              <a:schemeClr val="accent1">
                <a:lumMod val="60000"/>
                <a:lumOff val="40000"/>
              </a:schemeClr>
            </a:solidFill>
            <a:ln>
              <a:solidFill>
                <a:schemeClr val="accent1"/>
              </a:solidFill>
            </a:ln>
          </c:spPr>
          <c:invertIfNegative val="0"/>
          <c:dPt>
            <c:idx val="0"/>
            <c:invertIfNegative val="0"/>
            <c:bubble3D val="0"/>
            <c:spPr>
              <a:solidFill>
                <a:schemeClr val="accent1">
                  <a:lumMod val="60000"/>
                  <a:lumOff val="40000"/>
                </a:schemeClr>
              </a:solidFill>
              <a:ln w="9525" cmpd="sng">
                <a:solidFill>
                  <a:schemeClr val="accent1"/>
                </a:solidFill>
              </a:ln>
            </c:spPr>
          </c:dPt>
          <c:dLbls>
            <c:txPr>
              <a:bodyPr rot="-5400000" vert="horz"/>
              <a:lstStyle/>
              <a:p>
                <a:pPr>
                  <a:defRPr/>
                </a:pPr>
                <a:endParaRPr lang="cs-CZ"/>
              </a:p>
            </c:txPr>
            <c:dLblPos val="inEnd"/>
            <c:showLegendKey val="0"/>
            <c:showVal val="1"/>
            <c:showCatName val="0"/>
            <c:showSerName val="0"/>
            <c:showPercent val="0"/>
            <c:showBubbleSize val="0"/>
            <c:showLeaderLines val="0"/>
          </c:dLbls>
          <c:cat>
            <c:strRef>
              <c:f>'G23'!$A$3:$A$7</c:f>
              <c:strCache>
                <c:ptCount val="5"/>
                <c:pt idx="0">
                  <c:v>celkem</c:v>
                </c:pt>
                <c:pt idx="1">
                  <c:v>10–19 zaměstanců</c:v>
                </c:pt>
                <c:pt idx="2">
                  <c:v>20–49 zaměstnanců</c:v>
                </c:pt>
                <c:pt idx="3">
                  <c:v>50–249 zaměstnanců</c:v>
                </c:pt>
                <c:pt idx="4">
                  <c:v>250 a více zaměstnanců</c:v>
                </c:pt>
              </c:strCache>
            </c:strRef>
          </c:cat>
          <c:val>
            <c:numRef>
              <c:f>'G23'!$B$3:$B$7</c:f>
              <c:numCache>
                <c:formatCode>0%</c:formatCode>
                <c:ptCount val="5"/>
                <c:pt idx="0">
                  <c:v>0.26600000000000001</c:v>
                </c:pt>
                <c:pt idx="1">
                  <c:v>0.20499999999999999</c:v>
                </c:pt>
                <c:pt idx="2">
                  <c:v>0.245</c:v>
                </c:pt>
                <c:pt idx="3">
                  <c:v>0.38</c:v>
                </c:pt>
                <c:pt idx="4">
                  <c:v>0.58799999999999997</c:v>
                </c:pt>
              </c:numCache>
            </c:numRef>
          </c:val>
        </c:ser>
        <c:ser>
          <c:idx val="2"/>
          <c:order val="1"/>
          <c:tx>
            <c:strRef>
              <c:f>'G23'!$C$2</c:f>
              <c:strCache>
                <c:ptCount val="1"/>
                <c:pt idx="0">
                  <c:v>workshopy, semináře, konference, veletrhy</c:v>
                </c:pt>
              </c:strCache>
            </c:strRef>
          </c:tx>
          <c:spPr>
            <a:solidFill>
              <a:schemeClr val="accent2">
                <a:lumMod val="60000"/>
                <a:lumOff val="40000"/>
              </a:schemeClr>
            </a:solidFill>
            <a:ln>
              <a:solidFill>
                <a:schemeClr val="accent2"/>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'G23'!$A$3:$A$7</c:f>
              <c:strCache>
                <c:ptCount val="5"/>
                <c:pt idx="0">
                  <c:v>celkem</c:v>
                </c:pt>
                <c:pt idx="1">
                  <c:v>10–19 zaměstanců</c:v>
                </c:pt>
                <c:pt idx="2">
                  <c:v>20–49 zaměstnanců</c:v>
                </c:pt>
                <c:pt idx="3">
                  <c:v>50–249 zaměstnanců</c:v>
                </c:pt>
                <c:pt idx="4">
                  <c:v>250 a více zaměstnanců</c:v>
                </c:pt>
              </c:strCache>
            </c:strRef>
          </c:cat>
          <c:val>
            <c:numRef>
              <c:f>'G23'!$C$3:$C$7</c:f>
              <c:numCache>
                <c:formatCode>0%</c:formatCode>
                <c:ptCount val="5"/>
                <c:pt idx="0">
                  <c:v>0.215</c:v>
                </c:pt>
                <c:pt idx="1">
                  <c:v>0.154</c:v>
                </c:pt>
                <c:pt idx="2">
                  <c:v>0.185</c:v>
                </c:pt>
                <c:pt idx="3">
                  <c:v>0.33300000000000002</c:v>
                </c:pt>
                <c:pt idx="4">
                  <c:v>0.58699999999999997</c:v>
                </c:pt>
              </c:numCache>
            </c:numRef>
          </c:val>
        </c:ser>
        <c:ser>
          <c:idx val="4"/>
          <c:order val="2"/>
          <c:tx>
            <c:strRef>
              <c:f>'G23'!$D$2</c:f>
              <c:strCache>
                <c:ptCount val="1"/>
                <c:pt idx="0">
                  <c:v>samostudium, samostatný e-learning</c:v>
                </c:pt>
              </c:strCache>
            </c:strRef>
          </c:tx>
          <c:spPr>
            <a:solidFill>
              <a:schemeClr val="accent3"/>
            </a:solidFill>
            <a:ln>
              <a:solidFill>
                <a:schemeClr val="accent3">
                  <a:lumMod val="75000"/>
                </a:schemeClr>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'G23'!$A$3:$A$7</c:f>
              <c:strCache>
                <c:ptCount val="5"/>
                <c:pt idx="0">
                  <c:v>celkem</c:v>
                </c:pt>
                <c:pt idx="1">
                  <c:v>10–19 zaměstanců</c:v>
                </c:pt>
                <c:pt idx="2">
                  <c:v>20–49 zaměstnanců</c:v>
                </c:pt>
                <c:pt idx="3">
                  <c:v>50–249 zaměstnanců</c:v>
                </c:pt>
                <c:pt idx="4">
                  <c:v>250 a více zaměstnanců</c:v>
                </c:pt>
              </c:strCache>
            </c:strRef>
          </c:cat>
          <c:val>
            <c:numRef>
              <c:f>'G23'!$D$3:$D$7</c:f>
              <c:numCache>
                <c:formatCode>0%</c:formatCode>
                <c:ptCount val="5"/>
                <c:pt idx="0">
                  <c:v>0.11700000000000001</c:v>
                </c:pt>
                <c:pt idx="1">
                  <c:v>9.6000000000000002E-2</c:v>
                </c:pt>
                <c:pt idx="2">
                  <c:v>9.0999999999999998E-2</c:v>
                </c:pt>
                <c:pt idx="3">
                  <c:v>0.158</c:v>
                </c:pt>
                <c:pt idx="4">
                  <c:v>0.35199999999999998</c:v>
                </c:pt>
              </c:numCache>
            </c:numRef>
          </c:val>
        </c:ser>
        <c:ser>
          <c:idx val="1"/>
          <c:order val="3"/>
          <c:tx>
            <c:strRef>
              <c:f>'G23'!$E$2</c:f>
              <c:strCache>
                <c:ptCount val="1"/>
                <c:pt idx="0">
                  <c:v>rotace zaměstnanců na pracovních místech</c:v>
                </c:pt>
              </c:strCache>
            </c:strRef>
          </c:tx>
          <c:spPr>
            <a:solidFill>
              <a:schemeClr val="accent6">
                <a:lumMod val="60000"/>
                <a:lumOff val="40000"/>
              </a:schemeClr>
            </a:solidFill>
            <a:ln>
              <a:solidFill>
                <a:schemeClr val="accent6"/>
              </a:solidFill>
            </a:ln>
          </c:spPr>
          <c:invertIfNegative val="0"/>
          <c:dLbls>
            <c:dLbl>
              <c:idx val="0"/>
              <c:dLblPos val="outEnd"/>
              <c:showLegendKey val="0"/>
              <c:showVal val="1"/>
              <c:showCatName val="0"/>
              <c:showSerName val="0"/>
              <c:showPercent val="0"/>
              <c:showBubbleSize val="0"/>
            </c:dLbl>
            <c:dLbl>
              <c:idx val="1"/>
              <c:dLblPos val="outEnd"/>
              <c:showLegendKey val="0"/>
              <c:showVal val="1"/>
              <c:showCatName val="0"/>
              <c:showSerName val="0"/>
              <c:showPercent val="0"/>
              <c:showBubbleSize val="0"/>
            </c:dLbl>
            <c:dLbl>
              <c:idx val="2"/>
              <c:dLblPos val="outEnd"/>
              <c:showLegendKey val="0"/>
              <c:showVal val="1"/>
              <c:showCatName val="0"/>
              <c:showSerName val="0"/>
              <c:showPercent val="0"/>
              <c:showBubbleSize val="0"/>
            </c:dLbl>
            <c:txPr>
              <a:bodyPr rot="-5400000" vert="horz"/>
              <a:lstStyle/>
              <a:p>
                <a:pPr>
                  <a:defRPr/>
                </a:pPr>
                <a:endParaRPr lang="cs-CZ"/>
              </a:p>
            </c:txPr>
            <c:dLblPos val="inEnd"/>
            <c:showLegendKey val="0"/>
            <c:showVal val="1"/>
            <c:showCatName val="0"/>
            <c:showSerName val="0"/>
            <c:showPercent val="0"/>
            <c:showBubbleSize val="0"/>
            <c:showLeaderLines val="0"/>
          </c:dLbls>
          <c:cat>
            <c:strRef>
              <c:f>'G23'!$A$3:$A$7</c:f>
              <c:strCache>
                <c:ptCount val="5"/>
                <c:pt idx="0">
                  <c:v>celkem</c:v>
                </c:pt>
                <c:pt idx="1">
                  <c:v>10–19 zaměstanců</c:v>
                </c:pt>
                <c:pt idx="2">
                  <c:v>20–49 zaměstnanců</c:v>
                </c:pt>
                <c:pt idx="3">
                  <c:v>50–249 zaměstnanců</c:v>
                </c:pt>
                <c:pt idx="4">
                  <c:v>250 a více zaměstnanců</c:v>
                </c:pt>
              </c:strCache>
            </c:strRef>
          </c:cat>
          <c:val>
            <c:numRef>
              <c:f>'G23'!$E$3:$E$7</c:f>
              <c:numCache>
                <c:formatCode>0%</c:formatCode>
                <c:ptCount val="5"/>
                <c:pt idx="0">
                  <c:v>6.3E-2</c:v>
                </c:pt>
                <c:pt idx="1">
                  <c:v>3.9E-2</c:v>
                </c:pt>
                <c:pt idx="2">
                  <c:v>5.3999999999999999E-2</c:v>
                </c:pt>
                <c:pt idx="3">
                  <c:v>9.7000000000000003E-2</c:v>
                </c:pt>
                <c:pt idx="4">
                  <c:v>0.23699999999999999</c:v>
                </c:pt>
              </c:numCache>
            </c:numRef>
          </c:val>
        </c:ser>
        <c:ser>
          <c:idx val="3"/>
          <c:order val="4"/>
          <c:tx>
            <c:strRef>
              <c:f>'G23'!$F$2</c:f>
              <c:strCache>
                <c:ptCount val="1"/>
                <c:pt idx="0">
                  <c:v>kroužky kvality, vzdělávací kroužky (pracovní skupiny)</c:v>
                </c:pt>
              </c:strCache>
            </c:strRef>
          </c:tx>
          <c:spPr>
            <a:solidFill>
              <a:schemeClr val="accent4">
                <a:lumMod val="60000"/>
                <a:lumOff val="40000"/>
              </a:schemeClr>
            </a:solidFill>
            <a:ln>
              <a:solidFill>
                <a:schemeClr val="accent4"/>
              </a:solidFill>
            </a:ln>
          </c:spPr>
          <c:invertIfNegative val="0"/>
          <c:dLbls>
            <c:dLbl>
              <c:idx val="4"/>
              <c:dLblPos val="inEnd"/>
              <c:showLegendKey val="0"/>
              <c:showVal val="1"/>
              <c:showCatName val="0"/>
              <c:showSerName val="0"/>
              <c:showPercent val="0"/>
              <c:showBubbleSize val="0"/>
            </c:dLbl>
            <c:txPr>
              <a:bodyPr rot="-5400000" vert="horz"/>
              <a:lstStyle/>
              <a:p>
                <a:pPr>
                  <a:defRPr/>
                </a:pPr>
                <a:endParaRPr lang="cs-CZ"/>
              </a:p>
            </c:txPr>
            <c:dLblPos val="outEnd"/>
            <c:showLegendKey val="0"/>
            <c:showVal val="1"/>
            <c:showCatName val="0"/>
            <c:showSerName val="0"/>
            <c:showPercent val="0"/>
            <c:showBubbleSize val="0"/>
            <c:showLeaderLines val="0"/>
          </c:dLbls>
          <c:cat>
            <c:strRef>
              <c:f>'G23'!$A$3:$A$7</c:f>
              <c:strCache>
                <c:ptCount val="5"/>
                <c:pt idx="0">
                  <c:v>celkem</c:v>
                </c:pt>
                <c:pt idx="1">
                  <c:v>10–19 zaměstanců</c:v>
                </c:pt>
                <c:pt idx="2">
                  <c:v>20–49 zaměstnanců</c:v>
                </c:pt>
                <c:pt idx="3">
                  <c:v>50–249 zaměstnanců</c:v>
                </c:pt>
                <c:pt idx="4">
                  <c:v>250 a více zaměstnanců</c:v>
                </c:pt>
              </c:strCache>
            </c:strRef>
          </c:cat>
          <c:val>
            <c:numRef>
              <c:f>'G23'!$F$3:$F$7</c:f>
              <c:numCache>
                <c:formatCode>0%</c:formatCode>
                <c:ptCount val="5"/>
                <c:pt idx="0">
                  <c:v>3.5000000000000003E-2</c:v>
                </c:pt>
                <c:pt idx="1">
                  <c:v>0.02</c:v>
                </c:pt>
                <c:pt idx="2">
                  <c:v>2.3E-2</c:v>
                </c:pt>
                <c:pt idx="3">
                  <c:v>6.5000000000000002E-2</c:v>
                </c:pt>
                <c:pt idx="4">
                  <c:v>0.152</c:v>
                </c:pt>
              </c:numCache>
            </c:numRef>
          </c:val>
        </c:ser>
        <c:dLbls>
          <c:showLegendKey val="0"/>
          <c:showVal val="0"/>
          <c:showCatName val="0"/>
          <c:showSerName val="0"/>
          <c:showPercent val="0"/>
          <c:showBubbleSize val="0"/>
        </c:dLbls>
        <c:gapWidth val="150"/>
        <c:axId val="137114112"/>
        <c:axId val="136846656"/>
      </c:barChart>
      <c:catAx>
        <c:axId val="137114112"/>
        <c:scaling>
          <c:orientation val="minMax"/>
        </c:scaling>
        <c:delete val="0"/>
        <c:axPos val="b"/>
        <c:majorTickMark val="out"/>
        <c:minorTickMark val="none"/>
        <c:tickLblPos val="nextTo"/>
        <c:crossAx val="136846656"/>
        <c:crosses val="autoZero"/>
        <c:auto val="1"/>
        <c:lblAlgn val="ctr"/>
        <c:lblOffset val="100"/>
        <c:noMultiLvlLbl val="0"/>
      </c:catAx>
      <c:valAx>
        <c:axId val="136846656"/>
        <c:scaling>
          <c:orientation val="minMax"/>
        </c:scaling>
        <c:delete val="1"/>
        <c:axPos val="l"/>
        <c:majorGridlines>
          <c:spPr>
            <a:ln>
              <a:noFill/>
            </a:ln>
          </c:spPr>
        </c:majorGridlines>
        <c:numFmt formatCode="0%" sourceLinked="1"/>
        <c:majorTickMark val="out"/>
        <c:minorTickMark val="none"/>
        <c:tickLblPos val="nextTo"/>
        <c:crossAx val="137114112"/>
        <c:crosses val="autoZero"/>
        <c:crossBetween val="between"/>
      </c:valAx>
      <c:spPr>
        <a:noFill/>
        <a:ln>
          <a:noFill/>
        </a:ln>
      </c:spPr>
    </c:plotArea>
    <c:legend>
      <c:legendPos val="b"/>
      <c:layout>
        <c:manualLayout>
          <c:xMode val="edge"/>
          <c:yMode val="edge"/>
          <c:x val="0.15796011479873429"/>
          <c:y val="0.81265798795207911"/>
          <c:w val="0.75676928234437968"/>
          <c:h val="0.16441937594476908"/>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'G24,G25'!$B$2</c:f>
              <c:strCache>
                <c:ptCount val="1"/>
                <c:pt idx="0">
                  <c:v>na zaměstnance</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'G24,G25'!$A$3:$A$7</c:f>
              <c:strCache>
                <c:ptCount val="5"/>
                <c:pt idx="0">
                  <c:v>celkem</c:v>
                </c:pt>
                <c:pt idx="1">
                  <c:v>10–19 zaměstnanců</c:v>
                </c:pt>
                <c:pt idx="2">
                  <c:v>20–49 zaměstnanců</c:v>
                </c:pt>
                <c:pt idx="3">
                  <c:v>50–249 zaměstnanců</c:v>
                </c:pt>
                <c:pt idx="4">
                  <c:v>250 a více zaměstnanců</c:v>
                </c:pt>
              </c:strCache>
            </c:strRef>
          </c:cat>
          <c:val>
            <c:numRef>
              <c:f>'G24,G25'!$B$3:$B$7</c:f>
              <c:numCache>
                <c:formatCode>0.0</c:formatCode>
                <c:ptCount val="5"/>
                <c:pt idx="0">
                  <c:v>11.4</c:v>
                </c:pt>
                <c:pt idx="1">
                  <c:v>8.4</c:v>
                </c:pt>
                <c:pt idx="2">
                  <c:v>8.3000000000000007</c:v>
                </c:pt>
                <c:pt idx="3">
                  <c:v>11.3</c:v>
                </c:pt>
                <c:pt idx="4">
                  <c:v>12.9</c:v>
                </c:pt>
              </c:numCache>
            </c:numRef>
          </c:val>
        </c:ser>
        <c:ser>
          <c:idx val="1"/>
          <c:order val="1"/>
          <c:tx>
            <c:strRef>
              <c:f>'G24,G25'!$C$2</c:f>
              <c:strCache>
                <c:ptCount val="1"/>
                <c:pt idx="0">
                  <c:v>na účastníka kurzu/školení</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'G24,G25'!$A$3:$A$7</c:f>
              <c:strCache>
                <c:ptCount val="5"/>
                <c:pt idx="0">
                  <c:v>celkem</c:v>
                </c:pt>
                <c:pt idx="1">
                  <c:v>10–19 zaměstnanců</c:v>
                </c:pt>
                <c:pt idx="2">
                  <c:v>20–49 zaměstnanců</c:v>
                </c:pt>
                <c:pt idx="3">
                  <c:v>50–249 zaměstnanců</c:v>
                </c:pt>
                <c:pt idx="4">
                  <c:v>250 a více zaměstnanců</c:v>
                </c:pt>
              </c:strCache>
            </c:strRef>
          </c:cat>
          <c:val>
            <c:numRef>
              <c:f>'G24,G25'!$C$3:$C$7</c:f>
              <c:numCache>
                <c:formatCode>0.0</c:formatCode>
                <c:ptCount val="5"/>
                <c:pt idx="0">
                  <c:v>13.6</c:v>
                </c:pt>
                <c:pt idx="1">
                  <c:v>10.5</c:v>
                </c:pt>
                <c:pt idx="2">
                  <c:v>10.1</c:v>
                </c:pt>
                <c:pt idx="3">
                  <c:v>13.5</c:v>
                </c:pt>
                <c:pt idx="4">
                  <c:v>15.2</c:v>
                </c:pt>
              </c:numCache>
            </c:numRef>
          </c:val>
        </c:ser>
        <c:dLbls>
          <c:showLegendKey val="0"/>
          <c:showVal val="0"/>
          <c:showCatName val="0"/>
          <c:showSerName val="0"/>
          <c:showPercent val="0"/>
          <c:showBubbleSize val="0"/>
        </c:dLbls>
        <c:gapWidth val="150"/>
        <c:axId val="137115136"/>
        <c:axId val="137168000"/>
      </c:barChart>
      <c:catAx>
        <c:axId val="137115136"/>
        <c:scaling>
          <c:orientation val="minMax"/>
        </c:scaling>
        <c:delete val="0"/>
        <c:axPos val="b"/>
        <c:majorTickMark val="out"/>
        <c:minorTickMark val="none"/>
        <c:tickLblPos val="nextTo"/>
        <c:crossAx val="137168000"/>
        <c:crosses val="autoZero"/>
        <c:auto val="1"/>
        <c:lblAlgn val="ctr"/>
        <c:lblOffset val="100"/>
        <c:noMultiLvlLbl val="0"/>
      </c:catAx>
      <c:valAx>
        <c:axId val="137168000"/>
        <c:scaling>
          <c:orientation val="minMax"/>
        </c:scaling>
        <c:delete val="1"/>
        <c:axPos val="l"/>
        <c:numFmt formatCode="0.0" sourceLinked="1"/>
        <c:majorTickMark val="out"/>
        <c:minorTickMark val="none"/>
        <c:tickLblPos val="nextTo"/>
        <c:crossAx val="137115136"/>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1"/>
          <c:order val="0"/>
          <c:tx>
            <c:strRef>
              <c:f>'G24,G25'!$C$25</c:f>
              <c:strCache>
                <c:ptCount val="1"/>
                <c:pt idx="0">
                  <c:v>na účastníka kurzu/školení</c:v>
                </c:pt>
              </c:strCache>
            </c:strRef>
          </c:tx>
          <c:spPr>
            <a:solidFill>
              <a:schemeClr val="accent2">
                <a:lumMod val="60000"/>
                <a:lumOff val="40000"/>
              </a:schemeClr>
            </a:solidFill>
            <a:ln>
              <a:solidFill>
                <a:schemeClr val="accent2"/>
              </a:solidFill>
            </a:ln>
          </c:spPr>
          <c:invertIfNegative val="0"/>
          <c:dLbls>
            <c:numFmt formatCode="#,##0.0" sourceLinked="0"/>
            <c:dLblPos val="inEnd"/>
            <c:showLegendKey val="0"/>
            <c:showVal val="1"/>
            <c:showCatName val="0"/>
            <c:showSerName val="0"/>
            <c:showPercent val="0"/>
            <c:showBubbleSize val="0"/>
            <c:showLeaderLines val="0"/>
          </c:dLbls>
          <c:cat>
            <c:strRef>
              <c:f>'G24,G25'!$A$26:$A$35</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'G24,G25'!$C$26:$C$35</c:f>
              <c:numCache>
                <c:formatCode>0</c:formatCode>
                <c:ptCount val="10"/>
                <c:pt idx="0">
                  <c:v>12.7</c:v>
                </c:pt>
                <c:pt idx="1">
                  <c:v>35.6</c:v>
                </c:pt>
                <c:pt idx="2">
                  <c:v>22.7</c:v>
                </c:pt>
                <c:pt idx="3">
                  <c:v>6.6</c:v>
                </c:pt>
                <c:pt idx="4">
                  <c:v>13.2</c:v>
                </c:pt>
                <c:pt idx="5">
                  <c:v>11.3</c:v>
                </c:pt>
                <c:pt idx="6">
                  <c:v>15.7</c:v>
                </c:pt>
                <c:pt idx="7">
                  <c:v>12.9</c:v>
                </c:pt>
                <c:pt idx="8">
                  <c:v>12.6</c:v>
                </c:pt>
                <c:pt idx="9">
                  <c:v>13.6</c:v>
                </c:pt>
              </c:numCache>
            </c:numRef>
          </c:val>
        </c:ser>
        <c:ser>
          <c:idx val="0"/>
          <c:order val="1"/>
          <c:tx>
            <c:strRef>
              <c:f>'G24,G25'!$B$25</c:f>
              <c:strCache>
                <c:ptCount val="1"/>
                <c:pt idx="0">
                  <c:v>na zaměstnance</c:v>
                </c:pt>
              </c:strCache>
            </c:strRef>
          </c:tx>
          <c:spPr>
            <a:solidFill>
              <a:schemeClr val="accent1">
                <a:lumMod val="60000"/>
                <a:lumOff val="40000"/>
              </a:schemeClr>
            </a:solidFill>
            <a:ln>
              <a:solidFill>
                <a:schemeClr val="accent1"/>
              </a:solidFill>
            </a:ln>
          </c:spPr>
          <c:invertIfNegative val="0"/>
          <c:dLbls>
            <c:numFmt formatCode="#,##0.0" sourceLinked="0"/>
            <c:dLblPos val="inEnd"/>
            <c:showLegendKey val="0"/>
            <c:showVal val="1"/>
            <c:showCatName val="0"/>
            <c:showSerName val="0"/>
            <c:showPercent val="0"/>
            <c:showBubbleSize val="0"/>
            <c:showLeaderLines val="0"/>
          </c:dLbls>
          <c:cat>
            <c:strRef>
              <c:f>'G24,G25'!$A$26:$A$35</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'G24,G25'!$B$26:$B$35</c:f>
              <c:numCache>
                <c:formatCode>0</c:formatCode>
                <c:ptCount val="10"/>
                <c:pt idx="0">
                  <c:v>9.8000000000000007</c:v>
                </c:pt>
                <c:pt idx="1">
                  <c:v>32.700000000000003</c:v>
                </c:pt>
                <c:pt idx="2">
                  <c:v>18.7</c:v>
                </c:pt>
                <c:pt idx="3">
                  <c:v>5.2</c:v>
                </c:pt>
                <c:pt idx="4">
                  <c:v>11.6</c:v>
                </c:pt>
                <c:pt idx="5">
                  <c:v>8.8000000000000007</c:v>
                </c:pt>
                <c:pt idx="6">
                  <c:v>14.2</c:v>
                </c:pt>
                <c:pt idx="7">
                  <c:v>11.6</c:v>
                </c:pt>
                <c:pt idx="8">
                  <c:v>10.9</c:v>
                </c:pt>
                <c:pt idx="9">
                  <c:v>11.4</c:v>
                </c:pt>
              </c:numCache>
            </c:numRef>
          </c:val>
        </c:ser>
        <c:dLbls>
          <c:showLegendKey val="0"/>
          <c:showVal val="0"/>
          <c:showCatName val="0"/>
          <c:showSerName val="0"/>
          <c:showPercent val="0"/>
          <c:showBubbleSize val="0"/>
        </c:dLbls>
        <c:gapWidth val="150"/>
        <c:axId val="137115648"/>
        <c:axId val="137169728"/>
      </c:barChart>
      <c:catAx>
        <c:axId val="137115648"/>
        <c:scaling>
          <c:orientation val="minMax"/>
        </c:scaling>
        <c:delete val="0"/>
        <c:axPos val="l"/>
        <c:majorTickMark val="out"/>
        <c:minorTickMark val="none"/>
        <c:tickLblPos val="nextTo"/>
        <c:crossAx val="137169728"/>
        <c:crosses val="autoZero"/>
        <c:auto val="1"/>
        <c:lblAlgn val="ctr"/>
        <c:lblOffset val="100"/>
        <c:noMultiLvlLbl val="0"/>
      </c:catAx>
      <c:valAx>
        <c:axId val="137169728"/>
        <c:scaling>
          <c:orientation val="minMax"/>
        </c:scaling>
        <c:delete val="1"/>
        <c:axPos val="b"/>
        <c:numFmt formatCode="0" sourceLinked="1"/>
        <c:majorTickMark val="out"/>
        <c:minorTickMark val="none"/>
        <c:tickLblPos val="nextTo"/>
        <c:crossAx val="137115648"/>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'G26'!$D$40</c:f>
              <c:strCache>
                <c:ptCount val="1"/>
                <c:pt idx="0">
                  <c:v>povinné kurzy/školení</c:v>
                </c:pt>
              </c:strCache>
            </c:strRef>
          </c:tx>
          <c:spPr>
            <a:solidFill>
              <a:schemeClr val="accent1">
                <a:lumMod val="60000"/>
                <a:lumOff val="40000"/>
              </a:schemeClr>
            </a:solidFill>
            <a:ln>
              <a:solidFill>
                <a:schemeClr val="accent1"/>
              </a:solidFill>
            </a:ln>
          </c:spPr>
          <c:invertIfNegative val="0"/>
          <c:dLbls>
            <c:numFmt formatCode="#,##0.0" sourceLinked="0"/>
            <c:dLblPos val="inEnd"/>
            <c:showLegendKey val="0"/>
            <c:showVal val="1"/>
            <c:showCatName val="0"/>
            <c:showSerName val="0"/>
            <c:showPercent val="0"/>
            <c:showBubbleSize val="0"/>
            <c:showLeaderLines val="0"/>
          </c:dLbls>
          <c:cat>
            <c:strRef>
              <c:f>'G26'!$C$41:$C$45</c:f>
              <c:strCache>
                <c:ptCount val="5"/>
                <c:pt idx="0">
                  <c:v>celkem</c:v>
                </c:pt>
                <c:pt idx="1">
                  <c:v>10–19 zaměstanců</c:v>
                </c:pt>
                <c:pt idx="2">
                  <c:v>20–49 zaměstnanců</c:v>
                </c:pt>
                <c:pt idx="3">
                  <c:v>50–249 zaměstnanců</c:v>
                </c:pt>
                <c:pt idx="4">
                  <c:v>250 a více zaměstnanců</c:v>
                </c:pt>
              </c:strCache>
            </c:strRef>
          </c:cat>
          <c:val>
            <c:numRef>
              <c:f>'G26'!$D$41:$D$45</c:f>
              <c:numCache>
                <c:formatCode>General</c:formatCode>
                <c:ptCount val="5"/>
                <c:pt idx="0">
                  <c:v>4.4669999999999996</c:v>
                </c:pt>
                <c:pt idx="1">
                  <c:v>4.0599999999999996</c:v>
                </c:pt>
                <c:pt idx="2">
                  <c:v>4.1950000000000003</c:v>
                </c:pt>
                <c:pt idx="3">
                  <c:v>5.1470000000000002</c:v>
                </c:pt>
                <c:pt idx="4">
                  <c:v>4.2210000000000001</c:v>
                </c:pt>
              </c:numCache>
            </c:numRef>
          </c:val>
        </c:ser>
        <c:ser>
          <c:idx val="1"/>
          <c:order val="1"/>
          <c:tx>
            <c:strRef>
              <c:f>'G26'!$E$40</c:f>
              <c:strCache>
                <c:ptCount val="1"/>
                <c:pt idx="0">
                  <c:v>nepovinné kurzy/školení</c:v>
                </c:pt>
              </c:strCache>
            </c:strRef>
          </c:tx>
          <c:spPr>
            <a:solidFill>
              <a:schemeClr val="accent2">
                <a:lumMod val="60000"/>
                <a:lumOff val="40000"/>
              </a:schemeClr>
            </a:solidFill>
            <a:ln>
              <a:solidFill>
                <a:schemeClr val="accent2"/>
              </a:solidFill>
            </a:ln>
          </c:spPr>
          <c:invertIfNegative val="0"/>
          <c:dLbls>
            <c:numFmt formatCode="#,##0.0" sourceLinked="0"/>
            <c:dLblPos val="inEnd"/>
            <c:showLegendKey val="0"/>
            <c:showVal val="1"/>
            <c:showCatName val="0"/>
            <c:showSerName val="0"/>
            <c:showPercent val="0"/>
            <c:showBubbleSize val="0"/>
            <c:showLeaderLines val="0"/>
          </c:dLbls>
          <c:cat>
            <c:strRef>
              <c:f>'G26'!$C$41:$C$45</c:f>
              <c:strCache>
                <c:ptCount val="5"/>
                <c:pt idx="0">
                  <c:v>celkem</c:v>
                </c:pt>
                <c:pt idx="1">
                  <c:v>10–19 zaměstanců</c:v>
                </c:pt>
                <c:pt idx="2">
                  <c:v>20–49 zaměstnanců</c:v>
                </c:pt>
                <c:pt idx="3">
                  <c:v>50–249 zaměstnanců</c:v>
                </c:pt>
                <c:pt idx="4">
                  <c:v>250 a více zaměstnanců</c:v>
                </c:pt>
              </c:strCache>
            </c:strRef>
          </c:cat>
          <c:val>
            <c:numRef>
              <c:f>'G26'!$E$41:$E$45</c:f>
              <c:numCache>
                <c:formatCode>General</c:formatCode>
                <c:ptCount val="5"/>
                <c:pt idx="0">
                  <c:v>6.9020000000000001</c:v>
                </c:pt>
                <c:pt idx="1">
                  <c:v>4.2939999999999996</c:v>
                </c:pt>
                <c:pt idx="2">
                  <c:v>4.0730000000000004</c:v>
                </c:pt>
                <c:pt idx="3">
                  <c:v>6.1680000000000001</c:v>
                </c:pt>
                <c:pt idx="4">
                  <c:v>8.6940000000000008</c:v>
                </c:pt>
              </c:numCache>
            </c:numRef>
          </c:val>
        </c:ser>
        <c:dLbls>
          <c:showLegendKey val="0"/>
          <c:showVal val="0"/>
          <c:showCatName val="0"/>
          <c:showSerName val="0"/>
          <c:showPercent val="0"/>
          <c:showBubbleSize val="0"/>
        </c:dLbls>
        <c:gapWidth val="150"/>
        <c:axId val="137116160"/>
        <c:axId val="137171456"/>
      </c:barChart>
      <c:catAx>
        <c:axId val="137116160"/>
        <c:scaling>
          <c:orientation val="minMax"/>
        </c:scaling>
        <c:delete val="0"/>
        <c:axPos val="b"/>
        <c:majorTickMark val="out"/>
        <c:minorTickMark val="none"/>
        <c:tickLblPos val="nextTo"/>
        <c:crossAx val="137171456"/>
        <c:crosses val="autoZero"/>
        <c:auto val="1"/>
        <c:lblAlgn val="ctr"/>
        <c:lblOffset val="100"/>
        <c:noMultiLvlLbl val="0"/>
      </c:catAx>
      <c:valAx>
        <c:axId val="137171456"/>
        <c:scaling>
          <c:orientation val="minMax"/>
        </c:scaling>
        <c:delete val="1"/>
        <c:axPos val="l"/>
        <c:numFmt formatCode="General" sourceLinked="1"/>
        <c:majorTickMark val="out"/>
        <c:minorTickMark val="none"/>
        <c:tickLblPos val="nextTo"/>
        <c:crossAx val="137116160"/>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'G27'!$B$14</c:f>
              <c:strCache>
                <c:ptCount val="1"/>
                <c:pt idx="0">
                  <c:v>podíl celkových výdajů na vzdělávání na jednoho zaměstnance (Kč)</c:v>
                </c:pt>
              </c:strCache>
            </c:strRef>
          </c:tx>
          <c:spPr>
            <a:solidFill>
              <a:schemeClr val="accent1">
                <a:lumMod val="60000"/>
                <a:lumOff val="40000"/>
              </a:schemeClr>
            </a:solidFill>
            <a:ln>
              <a:solidFill>
                <a:schemeClr val="accent1"/>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'G27'!$A$15:$A$19</c:f>
              <c:strCache>
                <c:ptCount val="5"/>
                <c:pt idx="0">
                  <c:v>celkem</c:v>
                </c:pt>
                <c:pt idx="1">
                  <c:v>10–19 zaměstanců</c:v>
                </c:pt>
                <c:pt idx="2">
                  <c:v>20–49 zaměstnanců</c:v>
                </c:pt>
                <c:pt idx="3">
                  <c:v>50–249 zaměstnanců</c:v>
                </c:pt>
                <c:pt idx="4">
                  <c:v>250 a více zaměstnanců</c:v>
                </c:pt>
              </c:strCache>
            </c:strRef>
          </c:cat>
          <c:val>
            <c:numRef>
              <c:f>'G27'!$B$15:$B$19</c:f>
              <c:numCache>
                <c:formatCode>#,##0</c:formatCode>
                <c:ptCount val="5"/>
                <c:pt idx="0">
                  <c:v>3133.5</c:v>
                </c:pt>
                <c:pt idx="1">
                  <c:v>2193.6999999999998</c:v>
                </c:pt>
                <c:pt idx="2">
                  <c:v>2317</c:v>
                </c:pt>
                <c:pt idx="3">
                  <c:v>2983.8</c:v>
                </c:pt>
                <c:pt idx="4">
                  <c:v>3650.2</c:v>
                </c:pt>
              </c:numCache>
            </c:numRef>
          </c:val>
        </c:ser>
        <c:ser>
          <c:idx val="1"/>
          <c:order val="1"/>
          <c:tx>
            <c:strRef>
              <c:f>'G27'!$C$14</c:f>
              <c:strCache>
                <c:ptCount val="1"/>
                <c:pt idx="0">
                  <c:v>podíl výdajů na kurz/školení na jednoho účastníka (Kč)</c:v>
                </c:pt>
              </c:strCache>
            </c:strRef>
          </c:tx>
          <c:spPr>
            <a:solidFill>
              <a:schemeClr val="accent2">
                <a:lumMod val="60000"/>
                <a:lumOff val="40000"/>
              </a:schemeClr>
            </a:solidFill>
            <a:ln>
              <a:solidFill>
                <a:schemeClr val="accent2"/>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'G27'!$A$15:$A$19</c:f>
              <c:strCache>
                <c:ptCount val="5"/>
                <c:pt idx="0">
                  <c:v>celkem</c:v>
                </c:pt>
                <c:pt idx="1">
                  <c:v>10–19 zaměstanců</c:v>
                </c:pt>
                <c:pt idx="2">
                  <c:v>20–49 zaměstnanců</c:v>
                </c:pt>
                <c:pt idx="3">
                  <c:v>50–249 zaměstnanců</c:v>
                </c:pt>
                <c:pt idx="4">
                  <c:v>250 a více zaměstnanců</c:v>
                </c:pt>
              </c:strCache>
            </c:strRef>
          </c:cat>
          <c:val>
            <c:numRef>
              <c:f>'G27'!$C$15:$C$19</c:f>
              <c:numCache>
                <c:formatCode>#,##0</c:formatCode>
                <c:ptCount val="5"/>
                <c:pt idx="0">
                  <c:v>3470.4</c:v>
                </c:pt>
                <c:pt idx="1">
                  <c:v>2675.1</c:v>
                </c:pt>
                <c:pt idx="2">
                  <c:v>2784.2</c:v>
                </c:pt>
                <c:pt idx="3">
                  <c:v>3395.1</c:v>
                </c:pt>
                <c:pt idx="4">
                  <c:v>3857.6</c:v>
                </c:pt>
              </c:numCache>
            </c:numRef>
          </c:val>
        </c:ser>
        <c:ser>
          <c:idx val="2"/>
          <c:order val="2"/>
          <c:tx>
            <c:strRef>
              <c:f>'G27'!$D$14</c:f>
              <c:strCache>
                <c:ptCount val="1"/>
                <c:pt idx="0">
                  <c:v>podíl výdajů na jednu hodinu kurzu/školení (Kč)</c:v>
                </c:pt>
              </c:strCache>
            </c:strRef>
          </c:tx>
          <c:spPr>
            <a:solidFill>
              <a:schemeClr val="accent3"/>
            </a:solidFill>
            <a:ln>
              <a:solidFill>
                <a:schemeClr val="accent3">
                  <a:lumMod val="75000"/>
                </a:schemeClr>
              </a:solidFill>
            </a:ln>
          </c:spPr>
          <c:invertIfNegative val="0"/>
          <c:dLbls>
            <c:txPr>
              <a:bodyPr rot="-5400000" vert="horz"/>
              <a:lstStyle/>
              <a:p>
                <a:pPr>
                  <a:defRPr/>
                </a:pPr>
                <a:endParaRPr lang="cs-CZ"/>
              </a:p>
            </c:txPr>
            <c:showLegendKey val="0"/>
            <c:showVal val="1"/>
            <c:showCatName val="0"/>
            <c:showSerName val="0"/>
            <c:showPercent val="0"/>
            <c:showBubbleSize val="0"/>
            <c:showLeaderLines val="0"/>
          </c:dLbls>
          <c:cat>
            <c:strRef>
              <c:f>'G27'!$A$15:$A$19</c:f>
              <c:strCache>
                <c:ptCount val="5"/>
                <c:pt idx="0">
                  <c:v>celkem</c:v>
                </c:pt>
                <c:pt idx="1">
                  <c:v>10–19 zaměstanců</c:v>
                </c:pt>
                <c:pt idx="2">
                  <c:v>20–49 zaměstnanců</c:v>
                </c:pt>
                <c:pt idx="3">
                  <c:v>50–249 zaměstnanců</c:v>
                </c:pt>
                <c:pt idx="4">
                  <c:v>250 a více zaměstnanců</c:v>
                </c:pt>
              </c:strCache>
            </c:strRef>
          </c:cat>
          <c:val>
            <c:numRef>
              <c:f>'G27'!$D$15:$D$19</c:f>
              <c:numCache>
                <c:formatCode>#,##0</c:formatCode>
                <c:ptCount val="5"/>
                <c:pt idx="0">
                  <c:v>255.5</c:v>
                </c:pt>
                <c:pt idx="1">
                  <c:v>255.6</c:v>
                </c:pt>
                <c:pt idx="2">
                  <c:v>274.60000000000002</c:v>
                </c:pt>
                <c:pt idx="3">
                  <c:v>252.3</c:v>
                </c:pt>
                <c:pt idx="4">
                  <c:v>253.6</c:v>
                </c:pt>
              </c:numCache>
            </c:numRef>
          </c:val>
        </c:ser>
        <c:dLbls>
          <c:showLegendKey val="0"/>
          <c:showVal val="0"/>
          <c:showCatName val="0"/>
          <c:showSerName val="0"/>
          <c:showPercent val="0"/>
          <c:showBubbleSize val="0"/>
        </c:dLbls>
        <c:gapWidth val="150"/>
        <c:axId val="137114624"/>
        <c:axId val="137173760"/>
      </c:barChart>
      <c:catAx>
        <c:axId val="137114624"/>
        <c:scaling>
          <c:orientation val="minMax"/>
        </c:scaling>
        <c:delete val="0"/>
        <c:axPos val="b"/>
        <c:majorTickMark val="out"/>
        <c:minorTickMark val="none"/>
        <c:tickLblPos val="nextTo"/>
        <c:crossAx val="137173760"/>
        <c:crosses val="autoZero"/>
        <c:auto val="1"/>
        <c:lblAlgn val="ctr"/>
        <c:lblOffset val="100"/>
        <c:noMultiLvlLbl val="0"/>
      </c:catAx>
      <c:valAx>
        <c:axId val="137173760"/>
        <c:scaling>
          <c:orientation val="minMax"/>
        </c:scaling>
        <c:delete val="1"/>
        <c:axPos val="l"/>
        <c:numFmt formatCode="#,##0" sourceLinked="1"/>
        <c:majorTickMark val="out"/>
        <c:minorTickMark val="none"/>
        <c:tickLblPos val="nextTo"/>
        <c:crossAx val="137114624"/>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2"/>
          <c:order val="0"/>
          <c:tx>
            <c:strRef>
              <c:f>'G28'!$D$5</c:f>
              <c:strCache>
                <c:ptCount val="1"/>
                <c:pt idx="0">
                  <c:v>podíl výdajů na jednu hodinu kurzu/školení (Kč)</c:v>
                </c:pt>
              </c:strCache>
            </c:strRef>
          </c:tx>
          <c:spPr>
            <a:solidFill>
              <a:schemeClr val="accent3"/>
            </a:solidFill>
            <a:ln>
              <a:solidFill>
                <a:schemeClr val="accent3">
                  <a:lumMod val="75000"/>
                </a:schemeClr>
              </a:solidFill>
            </a:ln>
          </c:spPr>
          <c:invertIfNegative val="0"/>
          <c:dLbls>
            <c:showLegendKey val="0"/>
            <c:showVal val="1"/>
            <c:showCatName val="0"/>
            <c:showSerName val="0"/>
            <c:showPercent val="0"/>
            <c:showBubbleSize val="0"/>
            <c:showLeaderLines val="0"/>
          </c:dLbls>
          <c:cat>
            <c:strRef>
              <c:f>'G28'!$A$6:$A$15</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'G28'!$D$6:$D$15</c:f>
              <c:numCache>
                <c:formatCode>#,##0</c:formatCode>
                <c:ptCount val="10"/>
                <c:pt idx="0">
                  <c:v>304.7</c:v>
                </c:pt>
                <c:pt idx="1">
                  <c:v>237.7</c:v>
                </c:pt>
                <c:pt idx="2">
                  <c:v>433.6</c:v>
                </c:pt>
                <c:pt idx="3">
                  <c:v>174.9</c:v>
                </c:pt>
                <c:pt idx="4">
                  <c:v>192.3</c:v>
                </c:pt>
                <c:pt idx="5">
                  <c:v>292.3</c:v>
                </c:pt>
                <c:pt idx="6">
                  <c:v>190.8</c:v>
                </c:pt>
                <c:pt idx="7">
                  <c:v>292.2</c:v>
                </c:pt>
                <c:pt idx="8">
                  <c:v>232.2</c:v>
                </c:pt>
                <c:pt idx="9">
                  <c:v>255.5</c:v>
                </c:pt>
              </c:numCache>
            </c:numRef>
          </c:val>
        </c:ser>
        <c:ser>
          <c:idx val="1"/>
          <c:order val="1"/>
          <c:tx>
            <c:strRef>
              <c:f>'G28'!$C$5</c:f>
              <c:strCache>
                <c:ptCount val="1"/>
                <c:pt idx="0">
                  <c:v>podíl výdajů na kurz/školení na jednoho účastníka (Kč)</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'G28'!$A$6:$A$15</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'G28'!$C$6:$C$15</c:f>
              <c:numCache>
                <c:formatCode>#,##0</c:formatCode>
                <c:ptCount val="10"/>
                <c:pt idx="0">
                  <c:v>3875.6</c:v>
                </c:pt>
                <c:pt idx="1">
                  <c:v>8471.2000000000007</c:v>
                </c:pt>
                <c:pt idx="2">
                  <c:v>9823.5</c:v>
                </c:pt>
                <c:pt idx="3">
                  <c:v>1154.7</c:v>
                </c:pt>
                <c:pt idx="4">
                  <c:v>2531.5</c:v>
                </c:pt>
                <c:pt idx="5">
                  <c:v>3315.5</c:v>
                </c:pt>
                <c:pt idx="6">
                  <c:v>2999.1</c:v>
                </c:pt>
                <c:pt idx="7">
                  <c:v>3773.3</c:v>
                </c:pt>
                <c:pt idx="8">
                  <c:v>2930.5</c:v>
                </c:pt>
                <c:pt idx="9">
                  <c:v>3470.4</c:v>
                </c:pt>
              </c:numCache>
            </c:numRef>
          </c:val>
        </c:ser>
        <c:ser>
          <c:idx val="0"/>
          <c:order val="2"/>
          <c:tx>
            <c:strRef>
              <c:f>'G28'!$B$5</c:f>
              <c:strCache>
                <c:ptCount val="1"/>
                <c:pt idx="0">
                  <c:v>podíl celkových výdajů na vzdělávání na jednoho zaměstnance (Kč)</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'G28'!$A$6:$A$15</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'G28'!$B$6:$B$15</c:f>
              <c:numCache>
                <c:formatCode>#,##0</c:formatCode>
                <c:ptCount val="10"/>
                <c:pt idx="0">
                  <c:v>3127.3</c:v>
                </c:pt>
                <c:pt idx="1">
                  <c:v>8104.5</c:v>
                </c:pt>
                <c:pt idx="2">
                  <c:v>9011.4</c:v>
                </c:pt>
                <c:pt idx="3">
                  <c:v>922.1</c:v>
                </c:pt>
                <c:pt idx="4">
                  <c:v>2324</c:v>
                </c:pt>
                <c:pt idx="5">
                  <c:v>2685.3</c:v>
                </c:pt>
                <c:pt idx="6">
                  <c:v>2810.9</c:v>
                </c:pt>
                <c:pt idx="7">
                  <c:v>3541.6</c:v>
                </c:pt>
                <c:pt idx="8">
                  <c:v>2825.4</c:v>
                </c:pt>
                <c:pt idx="9">
                  <c:v>3133.5</c:v>
                </c:pt>
              </c:numCache>
            </c:numRef>
          </c:val>
        </c:ser>
        <c:dLbls>
          <c:showLegendKey val="0"/>
          <c:showVal val="0"/>
          <c:showCatName val="0"/>
          <c:showSerName val="0"/>
          <c:showPercent val="0"/>
          <c:showBubbleSize val="0"/>
        </c:dLbls>
        <c:gapWidth val="79"/>
        <c:axId val="137117184"/>
        <c:axId val="141632064"/>
      </c:barChart>
      <c:catAx>
        <c:axId val="137117184"/>
        <c:scaling>
          <c:orientation val="minMax"/>
        </c:scaling>
        <c:delete val="0"/>
        <c:axPos val="l"/>
        <c:majorTickMark val="out"/>
        <c:minorTickMark val="none"/>
        <c:tickLblPos val="nextTo"/>
        <c:crossAx val="141632064"/>
        <c:crosses val="autoZero"/>
        <c:auto val="1"/>
        <c:lblAlgn val="ctr"/>
        <c:lblOffset val="100"/>
        <c:noMultiLvlLbl val="0"/>
      </c:catAx>
      <c:valAx>
        <c:axId val="141632064"/>
        <c:scaling>
          <c:orientation val="minMax"/>
        </c:scaling>
        <c:delete val="1"/>
        <c:axPos val="b"/>
        <c:numFmt formatCode="#,##0" sourceLinked="1"/>
        <c:majorTickMark val="out"/>
        <c:minorTickMark val="none"/>
        <c:tickLblPos val="nextTo"/>
        <c:crossAx val="137117184"/>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21132040935724E-2"/>
          <c:y val="3.9126593936908656E-2"/>
          <c:w val="0.89398562497090139"/>
          <c:h val="0.77197699553223875"/>
        </c:manualLayout>
      </c:layout>
      <c:barChart>
        <c:barDir val="col"/>
        <c:grouping val="clustered"/>
        <c:varyColors val="0"/>
        <c:ser>
          <c:idx val="0"/>
          <c:order val="0"/>
          <c:tx>
            <c:strRef>
              <c:f>'G29'!$B$1</c:f>
              <c:strCache>
                <c:ptCount val="1"/>
                <c:pt idx="0">
                  <c:v>všechny firmy</c:v>
                </c:pt>
              </c:strCache>
            </c:strRef>
          </c:tx>
          <c:spPr>
            <a:solidFill>
              <a:schemeClr val="accent1">
                <a:lumMod val="60000"/>
                <a:lumOff val="40000"/>
              </a:schemeClr>
            </a:solidFill>
            <a:ln>
              <a:solidFill>
                <a:schemeClr val="accent1"/>
              </a:solidFill>
            </a:ln>
          </c:spPr>
          <c:invertIfNegative val="0"/>
          <c:dPt>
            <c:idx val="0"/>
            <c:invertIfNegative val="0"/>
            <c:bubble3D val="0"/>
            <c:spPr>
              <a:solidFill>
                <a:schemeClr val="accent1">
                  <a:lumMod val="60000"/>
                  <a:lumOff val="40000"/>
                </a:schemeClr>
              </a:solidFill>
              <a:ln w="9525" cmpd="sng">
                <a:solidFill>
                  <a:schemeClr val="accent1"/>
                </a:solidFill>
              </a:ln>
            </c:spPr>
          </c:dPt>
          <c:dLbls>
            <c:txPr>
              <a:bodyPr rot="-5400000" vert="horz"/>
              <a:lstStyle/>
              <a:p>
                <a:pPr>
                  <a:defRPr/>
                </a:pPr>
                <a:endParaRPr lang="cs-CZ"/>
              </a:p>
            </c:txPr>
            <c:dLblPos val="inEnd"/>
            <c:showLegendKey val="0"/>
            <c:showVal val="1"/>
            <c:showCatName val="0"/>
            <c:showSerName val="0"/>
            <c:showPercent val="0"/>
            <c:showBubbleSize val="0"/>
            <c:showLeaderLines val="0"/>
          </c:dLbls>
          <c:cat>
            <c:strRef>
              <c:f>'G29'!$A$2:$A$6</c:f>
              <c:strCache>
                <c:ptCount val="5"/>
                <c:pt idx="0">
                  <c:v>celkem</c:v>
                </c:pt>
                <c:pt idx="1">
                  <c:v>10–19 zaměstanců</c:v>
                </c:pt>
                <c:pt idx="2">
                  <c:v>20–49 zaměstnanců</c:v>
                </c:pt>
                <c:pt idx="3">
                  <c:v>50–249 zaměstnanců</c:v>
                </c:pt>
                <c:pt idx="4">
                  <c:v>250 a více zaměstnanců</c:v>
                </c:pt>
              </c:strCache>
            </c:strRef>
          </c:cat>
          <c:val>
            <c:numRef>
              <c:f>'G29'!$B$2:$B$6</c:f>
              <c:numCache>
                <c:formatCode>0%</c:formatCode>
                <c:ptCount val="5"/>
                <c:pt idx="0">
                  <c:v>7.1999999999999995E-2</c:v>
                </c:pt>
                <c:pt idx="1">
                  <c:v>3.1E-2</c:v>
                </c:pt>
                <c:pt idx="2">
                  <c:v>6.5000000000000002E-2</c:v>
                </c:pt>
                <c:pt idx="3">
                  <c:v>0.14399999999999999</c:v>
                </c:pt>
                <c:pt idx="4">
                  <c:v>0.249</c:v>
                </c:pt>
              </c:numCache>
            </c:numRef>
          </c:val>
        </c:ser>
        <c:ser>
          <c:idx val="1"/>
          <c:order val="1"/>
          <c:tx>
            <c:strRef>
              <c:f>'G29'!$C$1</c:f>
              <c:strCache>
                <c:ptCount val="1"/>
                <c:pt idx="0">
                  <c:v> firmy zajišťující nepovinné kurzy a školení</c:v>
                </c:pt>
              </c:strCache>
            </c:strRef>
          </c:tx>
          <c:spPr>
            <a:solidFill>
              <a:schemeClr val="accent2">
                <a:lumMod val="60000"/>
                <a:lumOff val="40000"/>
              </a:schemeClr>
            </a:solidFill>
            <a:ln>
              <a:solidFill>
                <a:schemeClr val="accent2"/>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'G29'!$A$2:$A$6</c:f>
              <c:strCache>
                <c:ptCount val="5"/>
                <c:pt idx="0">
                  <c:v>celkem</c:v>
                </c:pt>
                <c:pt idx="1">
                  <c:v>10–19 zaměstanců</c:v>
                </c:pt>
                <c:pt idx="2">
                  <c:v>20–49 zaměstnanců</c:v>
                </c:pt>
                <c:pt idx="3">
                  <c:v>50–249 zaměstnanců</c:v>
                </c:pt>
                <c:pt idx="4">
                  <c:v>250 a více zaměstnanců</c:v>
                </c:pt>
              </c:strCache>
            </c:strRef>
          </c:cat>
          <c:val>
            <c:numRef>
              <c:f>'G29'!$C$2:$C$6</c:f>
              <c:numCache>
                <c:formatCode>0%</c:formatCode>
                <c:ptCount val="5"/>
                <c:pt idx="0">
                  <c:v>0.128</c:v>
                </c:pt>
                <c:pt idx="1">
                  <c:v>6.5000000000000002E-2</c:v>
                </c:pt>
                <c:pt idx="2">
                  <c:v>0.11799999999999999</c:v>
                </c:pt>
                <c:pt idx="3">
                  <c:v>0.191</c:v>
                </c:pt>
                <c:pt idx="4">
                  <c:v>0.26800000000000002</c:v>
                </c:pt>
              </c:numCache>
            </c:numRef>
          </c:val>
        </c:ser>
        <c:ser>
          <c:idx val="2"/>
          <c:order val="2"/>
          <c:tx>
            <c:strRef>
              <c:f>'G29'!$D$1</c:f>
              <c:strCache>
                <c:ptCount val="1"/>
                <c:pt idx="0">
                  <c:v> firmy zajišťující jiné formy vzdělávání</c:v>
                </c:pt>
              </c:strCache>
            </c:strRef>
          </c:tx>
          <c:spPr>
            <a:solidFill>
              <a:schemeClr val="accent3"/>
            </a:solidFill>
            <a:ln>
              <a:solidFill>
                <a:schemeClr val="accent3">
                  <a:lumMod val="75000"/>
                </a:schemeClr>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'G29'!$A$2:$A$6</c:f>
              <c:strCache>
                <c:ptCount val="5"/>
                <c:pt idx="0">
                  <c:v>celkem</c:v>
                </c:pt>
                <c:pt idx="1">
                  <c:v>10–19 zaměstanců</c:v>
                </c:pt>
                <c:pt idx="2">
                  <c:v>20–49 zaměstnanců</c:v>
                </c:pt>
                <c:pt idx="3">
                  <c:v>50–249 zaměstnanců</c:v>
                </c:pt>
                <c:pt idx="4">
                  <c:v>250 a více zaměstnanců</c:v>
                </c:pt>
              </c:strCache>
            </c:strRef>
          </c:cat>
          <c:val>
            <c:numRef>
              <c:f>'G29'!$D$2:$D$6</c:f>
              <c:numCache>
                <c:formatCode>0%</c:formatCode>
                <c:ptCount val="5"/>
                <c:pt idx="0">
                  <c:v>0.107</c:v>
                </c:pt>
                <c:pt idx="1">
                  <c:v>4.1000000000000002E-2</c:v>
                </c:pt>
                <c:pt idx="2">
                  <c:v>0.09</c:v>
                </c:pt>
                <c:pt idx="3">
                  <c:v>0.17299999999999999</c:v>
                </c:pt>
                <c:pt idx="4">
                  <c:v>0.27200000000000002</c:v>
                </c:pt>
              </c:numCache>
            </c:numRef>
          </c:val>
        </c:ser>
        <c:dLbls>
          <c:showLegendKey val="0"/>
          <c:showVal val="0"/>
          <c:showCatName val="0"/>
          <c:showSerName val="0"/>
          <c:showPercent val="0"/>
          <c:showBubbleSize val="0"/>
        </c:dLbls>
        <c:gapWidth val="150"/>
        <c:axId val="141721600"/>
        <c:axId val="141633792"/>
      </c:barChart>
      <c:catAx>
        <c:axId val="141721600"/>
        <c:scaling>
          <c:orientation val="minMax"/>
        </c:scaling>
        <c:delete val="0"/>
        <c:axPos val="b"/>
        <c:majorTickMark val="out"/>
        <c:minorTickMark val="none"/>
        <c:tickLblPos val="nextTo"/>
        <c:crossAx val="141633792"/>
        <c:crosses val="autoZero"/>
        <c:auto val="1"/>
        <c:lblAlgn val="ctr"/>
        <c:lblOffset val="100"/>
        <c:noMultiLvlLbl val="0"/>
      </c:catAx>
      <c:valAx>
        <c:axId val="141633792"/>
        <c:scaling>
          <c:orientation val="minMax"/>
        </c:scaling>
        <c:delete val="1"/>
        <c:axPos val="l"/>
        <c:numFmt formatCode="0%" sourceLinked="0"/>
        <c:majorTickMark val="out"/>
        <c:minorTickMark val="none"/>
        <c:tickLblPos val="nextTo"/>
        <c:crossAx val="141721600"/>
        <c:crosses val="autoZero"/>
        <c:crossBetween val="between"/>
      </c:valAx>
      <c:spPr>
        <a:noFill/>
        <a:ln>
          <a:noFill/>
        </a:ln>
      </c:spPr>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'G3'!$O$2:$P$2</c:f>
              <c:strCache>
                <c:ptCount val="1"/>
                <c:pt idx="0">
                  <c:v>pravidelné hodnocení</c:v>
                </c:pt>
              </c:strCache>
            </c:strRef>
          </c:tx>
          <c:spPr>
            <a:solidFill>
              <a:schemeClr val="accent1">
                <a:lumMod val="60000"/>
                <a:lumOff val="40000"/>
              </a:schemeClr>
            </a:solidFill>
            <a:ln>
              <a:solidFill>
                <a:schemeClr val="accent1"/>
              </a:solidFill>
            </a:ln>
          </c:spPr>
          <c:invertIfNegative val="0"/>
          <c:dLbls>
            <c:numFmt formatCode="0%" sourceLinked="0"/>
            <c:showLegendKey val="0"/>
            <c:showVal val="1"/>
            <c:showCatName val="0"/>
            <c:showSerName val="0"/>
            <c:showPercent val="0"/>
            <c:showBubbleSize val="0"/>
            <c:showLeaderLines val="0"/>
          </c:dLbls>
          <c:cat>
            <c:strRef>
              <c:f>'G3'!$Q$1:$U$1</c:f>
              <c:strCache>
                <c:ptCount val="5"/>
                <c:pt idx="0">
                  <c:v>celkem</c:v>
                </c:pt>
                <c:pt idx="1">
                  <c:v>10–19 zaměstanců</c:v>
                </c:pt>
                <c:pt idx="2">
                  <c:v>20–49 zaměstnanců</c:v>
                </c:pt>
                <c:pt idx="3">
                  <c:v>50–249 zaměstnanců</c:v>
                </c:pt>
                <c:pt idx="4">
                  <c:v>250 a více zaměstnanců</c:v>
                </c:pt>
              </c:strCache>
            </c:strRef>
          </c:cat>
          <c:val>
            <c:numRef>
              <c:f>'G3'!$Q$2:$U$2</c:f>
              <c:numCache>
                <c:formatCode>####.0</c:formatCode>
                <c:ptCount val="5"/>
                <c:pt idx="0">
                  <c:v>0.24299999999999999</c:v>
                </c:pt>
                <c:pt idx="1">
                  <c:v>0.184</c:v>
                </c:pt>
                <c:pt idx="2">
                  <c:v>0.20699999999999999</c:v>
                </c:pt>
                <c:pt idx="3">
                  <c:v>0.34899999999999998</c:v>
                </c:pt>
                <c:pt idx="4">
                  <c:v>0.58799999999999997</c:v>
                </c:pt>
              </c:numCache>
            </c:numRef>
          </c:val>
        </c:ser>
        <c:ser>
          <c:idx val="1"/>
          <c:order val="1"/>
          <c:tx>
            <c:strRef>
              <c:f>'G3'!$O$3:$P$3</c:f>
              <c:strCache>
                <c:ptCount val="1"/>
                <c:pt idx="0">
                  <c:v>nepravidelné hodnocení</c:v>
                </c:pt>
              </c:strCache>
            </c:strRef>
          </c:tx>
          <c:spPr>
            <a:solidFill>
              <a:schemeClr val="accent2">
                <a:lumMod val="60000"/>
                <a:lumOff val="40000"/>
              </a:schemeClr>
            </a:solidFill>
            <a:ln>
              <a:solidFill>
                <a:schemeClr val="accent2"/>
              </a:solidFill>
            </a:ln>
          </c:spPr>
          <c:invertIfNegative val="0"/>
          <c:dLbls>
            <c:numFmt formatCode="0%" sourceLinked="0"/>
            <c:showLegendKey val="0"/>
            <c:showVal val="1"/>
            <c:showCatName val="0"/>
            <c:showSerName val="0"/>
            <c:showPercent val="0"/>
            <c:showBubbleSize val="0"/>
            <c:showLeaderLines val="0"/>
          </c:dLbls>
          <c:cat>
            <c:strRef>
              <c:f>'G3'!$Q$1:$U$1</c:f>
              <c:strCache>
                <c:ptCount val="5"/>
                <c:pt idx="0">
                  <c:v>celkem</c:v>
                </c:pt>
                <c:pt idx="1">
                  <c:v>10–19 zaměstanců</c:v>
                </c:pt>
                <c:pt idx="2">
                  <c:v>20–49 zaměstnanců</c:v>
                </c:pt>
                <c:pt idx="3">
                  <c:v>50–249 zaměstnanců</c:v>
                </c:pt>
                <c:pt idx="4">
                  <c:v>250 a více zaměstnanců</c:v>
                </c:pt>
              </c:strCache>
            </c:strRef>
          </c:cat>
          <c:val>
            <c:numRef>
              <c:f>'G3'!$Q$3:$U$3</c:f>
              <c:numCache>
                <c:formatCode>####.0</c:formatCode>
                <c:ptCount val="5"/>
                <c:pt idx="0">
                  <c:v>0.50900000000000001</c:v>
                </c:pt>
                <c:pt idx="1">
                  <c:v>0.53</c:v>
                </c:pt>
                <c:pt idx="2">
                  <c:v>0.52500000000000002</c:v>
                </c:pt>
                <c:pt idx="3">
                  <c:v>0.48299999999999998</c:v>
                </c:pt>
                <c:pt idx="4">
                  <c:v>0.32800000000000001</c:v>
                </c:pt>
              </c:numCache>
            </c:numRef>
          </c:val>
        </c:ser>
        <c:ser>
          <c:idx val="2"/>
          <c:order val="2"/>
          <c:tx>
            <c:strRef>
              <c:f>'G3'!$O$4:$P$4</c:f>
              <c:strCache>
                <c:ptCount val="1"/>
                <c:pt idx="0">
                  <c:v>firma hodnocení neprovádí</c:v>
                </c:pt>
              </c:strCache>
            </c:strRef>
          </c:tx>
          <c:spPr>
            <a:ln>
              <a:solidFill>
                <a:schemeClr val="accent3">
                  <a:lumMod val="75000"/>
                </a:schemeClr>
              </a:solidFill>
            </a:ln>
          </c:spPr>
          <c:invertIfNegative val="0"/>
          <c:dLbls>
            <c:numFmt formatCode="0%" sourceLinked="0"/>
            <c:showLegendKey val="0"/>
            <c:showVal val="1"/>
            <c:showCatName val="0"/>
            <c:showSerName val="0"/>
            <c:showPercent val="0"/>
            <c:showBubbleSize val="0"/>
            <c:showLeaderLines val="0"/>
          </c:dLbls>
          <c:cat>
            <c:strRef>
              <c:f>'G3'!$Q$1:$U$1</c:f>
              <c:strCache>
                <c:ptCount val="5"/>
                <c:pt idx="0">
                  <c:v>celkem</c:v>
                </c:pt>
                <c:pt idx="1">
                  <c:v>10–19 zaměstanců</c:v>
                </c:pt>
                <c:pt idx="2">
                  <c:v>20–49 zaměstnanců</c:v>
                </c:pt>
                <c:pt idx="3">
                  <c:v>50–249 zaměstnanců</c:v>
                </c:pt>
                <c:pt idx="4">
                  <c:v>250 a více zaměstnanců</c:v>
                </c:pt>
              </c:strCache>
            </c:strRef>
          </c:cat>
          <c:val>
            <c:numRef>
              <c:f>'G3'!$Q$4:$U$4</c:f>
              <c:numCache>
                <c:formatCode>####.0</c:formatCode>
                <c:ptCount val="5"/>
                <c:pt idx="0">
                  <c:v>0.248</c:v>
                </c:pt>
                <c:pt idx="1">
                  <c:v>0.28499999999999998</c:v>
                </c:pt>
                <c:pt idx="2">
                  <c:v>0.26900000000000002</c:v>
                </c:pt>
                <c:pt idx="3">
                  <c:v>0.16800000000000001</c:v>
                </c:pt>
                <c:pt idx="4">
                  <c:v>8.4000000000000005E-2</c:v>
                </c:pt>
              </c:numCache>
            </c:numRef>
          </c:val>
        </c:ser>
        <c:dLbls>
          <c:showLegendKey val="0"/>
          <c:showVal val="0"/>
          <c:showCatName val="0"/>
          <c:showSerName val="0"/>
          <c:showPercent val="0"/>
          <c:showBubbleSize val="0"/>
        </c:dLbls>
        <c:gapWidth val="150"/>
        <c:overlap val="100"/>
        <c:axId val="100629504"/>
        <c:axId val="41637504"/>
      </c:barChart>
      <c:catAx>
        <c:axId val="100629504"/>
        <c:scaling>
          <c:orientation val="minMax"/>
        </c:scaling>
        <c:delete val="0"/>
        <c:axPos val="b"/>
        <c:majorTickMark val="out"/>
        <c:minorTickMark val="none"/>
        <c:tickLblPos val="nextTo"/>
        <c:crossAx val="41637504"/>
        <c:crosses val="autoZero"/>
        <c:auto val="1"/>
        <c:lblAlgn val="ctr"/>
        <c:lblOffset val="100"/>
        <c:noMultiLvlLbl val="0"/>
      </c:catAx>
      <c:valAx>
        <c:axId val="41637504"/>
        <c:scaling>
          <c:orientation val="minMax"/>
        </c:scaling>
        <c:delete val="1"/>
        <c:axPos val="l"/>
        <c:numFmt formatCode="0%" sourceLinked="1"/>
        <c:majorTickMark val="out"/>
        <c:minorTickMark val="none"/>
        <c:tickLblPos val="nextTo"/>
        <c:crossAx val="100629504"/>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654094519974076"/>
          <c:y val="3.9268178327563505E-2"/>
          <c:w val="0.5712224153240294"/>
          <c:h val="0.80901552712867597"/>
        </c:manualLayout>
      </c:layout>
      <c:barChart>
        <c:barDir val="bar"/>
        <c:grouping val="clustered"/>
        <c:varyColors val="0"/>
        <c:ser>
          <c:idx val="0"/>
          <c:order val="0"/>
          <c:tx>
            <c:strRef>
              <c:f>'G30'!$B$1</c:f>
              <c:strCache>
                <c:ptCount val="1"/>
                <c:pt idx="0">
                  <c:v> firmy z odvětví Ubytování, stravování a pohostinství (sekce I)</c:v>
                </c:pt>
              </c:strCache>
            </c:strRef>
          </c:tx>
          <c:spPr>
            <a:solidFill>
              <a:schemeClr val="accent2">
                <a:lumMod val="60000"/>
                <a:lumOff val="40000"/>
              </a:schemeClr>
            </a:solidFill>
            <a:ln>
              <a:solidFill>
                <a:schemeClr val="accent2"/>
              </a:solidFill>
            </a:ln>
          </c:spPr>
          <c:invertIfNegative val="0"/>
          <c:dLbls>
            <c:dLbl>
              <c:idx val="1"/>
              <c:layout>
                <c:manualLayout>
                  <c:x val="-2.7913774255996027E-3"/>
                  <c:y val="0"/>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'G30'!$A$2:$A$10</c:f>
              <c:strCache>
                <c:ptCount val="9"/>
                <c:pt idx="0">
                  <c:v>jiné důvody</c:v>
                </c:pt>
                <c:pt idx="1">
                  <c:v>potíže s identifikací vzdělávacích potřeb</c:v>
                </c:pt>
                <c:pt idx="2">
                  <c:v>upřednostňování podpory POV* 
před vzděláváním zaměstnanců</c:v>
                </c:pt>
                <c:pt idx="3">
                  <c:v>důraz na vzdělávání kladen v dřívejších letech</c:v>
                </c:pt>
                <c:pt idx="4">
                  <c:v>nedostatek vhodných nabídek vzdělávání</c:v>
                </c:pt>
                <c:pt idx="5">
                  <c:v>vysoké náklady na vzdělávání</c:v>
                </c:pt>
                <c:pt idx="6">
                  <c:v>upřednostňování nových pracovníků
 před vzděláváním stávajících</c:v>
                </c:pt>
                <c:pt idx="7">
                  <c:v>vysoké pracovní zatížení 
a nedostatek času zaměstnanců</c:v>
                </c:pt>
                <c:pt idx="8">
                  <c:v>stávající kvalifikace či účast 
ve vzdělávání byly dostatečné</c:v>
                </c:pt>
              </c:strCache>
            </c:strRef>
          </c:cat>
          <c:val>
            <c:numRef>
              <c:f>'G30'!$B$2:$B$10</c:f>
              <c:numCache>
                <c:formatCode>0%</c:formatCode>
                <c:ptCount val="9"/>
                <c:pt idx="0">
                  <c:v>0.127</c:v>
                </c:pt>
                <c:pt idx="1">
                  <c:v>0.02</c:v>
                </c:pt>
                <c:pt idx="2">
                  <c:v>6.2E-2</c:v>
                </c:pt>
                <c:pt idx="3">
                  <c:v>3.7999999999999999E-2</c:v>
                </c:pt>
                <c:pt idx="4">
                  <c:v>4.5999999999999999E-2</c:v>
                </c:pt>
                <c:pt idx="5">
                  <c:v>9.0999999999999998E-2</c:v>
                </c:pt>
                <c:pt idx="6">
                  <c:v>0.20899999999999999</c:v>
                </c:pt>
                <c:pt idx="7">
                  <c:v>0.155</c:v>
                </c:pt>
                <c:pt idx="8">
                  <c:v>0.47799999999999998</c:v>
                </c:pt>
              </c:numCache>
            </c:numRef>
          </c:val>
        </c:ser>
        <c:ser>
          <c:idx val="1"/>
          <c:order val="1"/>
          <c:tx>
            <c:strRef>
              <c:f>'G30'!$C$1</c:f>
              <c:strCache>
                <c:ptCount val="1"/>
                <c:pt idx="0">
                  <c:v> všechny firmy</c:v>
                </c:pt>
              </c:strCache>
            </c:strRef>
          </c:tx>
          <c:spPr>
            <a:solidFill>
              <a:schemeClr val="accent1">
                <a:lumMod val="60000"/>
                <a:lumOff val="40000"/>
              </a:schemeClr>
            </a:solidFill>
            <a:ln>
              <a:solidFill>
                <a:schemeClr val="accent1"/>
              </a:solidFill>
            </a:ln>
          </c:spPr>
          <c:invertIfNegative val="0"/>
          <c:dLbls>
            <c:dLbl>
              <c:idx val="1"/>
              <c:layout>
                <c:manualLayout>
                  <c:x val="4.8698746679334661E-3"/>
                  <c:y val="0"/>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'G30'!$A$2:$A$10</c:f>
              <c:strCache>
                <c:ptCount val="9"/>
                <c:pt idx="0">
                  <c:v>jiné důvody</c:v>
                </c:pt>
                <c:pt idx="1">
                  <c:v>potíže s identifikací vzdělávacích potřeb</c:v>
                </c:pt>
                <c:pt idx="2">
                  <c:v>upřednostňování podpory POV* 
před vzděláváním zaměstnanců</c:v>
                </c:pt>
                <c:pt idx="3">
                  <c:v>důraz na vzdělávání kladen v dřívejších letech</c:v>
                </c:pt>
                <c:pt idx="4">
                  <c:v>nedostatek vhodných nabídek vzdělávání</c:v>
                </c:pt>
                <c:pt idx="5">
                  <c:v>vysoké náklady na vzdělávání</c:v>
                </c:pt>
                <c:pt idx="6">
                  <c:v>upřednostňování nových pracovníků
 před vzděláváním stávajících</c:v>
                </c:pt>
                <c:pt idx="7">
                  <c:v>vysoké pracovní zatížení 
a nedostatek času zaměstnanců</c:v>
                </c:pt>
                <c:pt idx="8">
                  <c:v>stávající kvalifikace či účast 
ve vzdělávání byly dostatečné</c:v>
                </c:pt>
              </c:strCache>
            </c:strRef>
          </c:cat>
          <c:val>
            <c:numRef>
              <c:f>'G30'!$C$2:$C$10</c:f>
              <c:numCache>
                <c:formatCode>0%</c:formatCode>
                <c:ptCount val="9"/>
                <c:pt idx="0">
                  <c:v>8.4000000000000005E-2</c:v>
                </c:pt>
                <c:pt idx="1">
                  <c:v>1.4E-2</c:v>
                </c:pt>
                <c:pt idx="2">
                  <c:v>2.9000000000000001E-2</c:v>
                </c:pt>
                <c:pt idx="3">
                  <c:v>4.9000000000000002E-2</c:v>
                </c:pt>
                <c:pt idx="4">
                  <c:v>5.8000000000000003E-2</c:v>
                </c:pt>
                <c:pt idx="5">
                  <c:v>9.5000000000000001E-2</c:v>
                </c:pt>
                <c:pt idx="6">
                  <c:v>0.123</c:v>
                </c:pt>
                <c:pt idx="7">
                  <c:v>0.14699999999999999</c:v>
                </c:pt>
                <c:pt idx="8">
                  <c:v>0.58099999999999996</c:v>
                </c:pt>
              </c:numCache>
            </c:numRef>
          </c:val>
        </c:ser>
        <c:dLbls>
          <c:showLegendKey val="0"/>
          <c:showVal val="0"/>
          <c:showCatName val="0"/>
          <c:showSerName val="0"/>
          <c:showPercent val="0"/>
          <c:showBubbleSize val="0"/>
        </c:dLbls>
        <c:gapWidth val="150"/>
        <c:axId val="141723136"/>
        <c:axId val="141635520"/>
      </c:barChart>
      <c:catAx>
        <c:axId val="141723136"/>
        <c:scaling>
          <c:orientation val="minMax"/>
        </c:scaling>
        <c:delete val="0"/>
        <c:axPos val="l"/>
        <c:numFmt formatCode="General" sourceLinked="1"/>
        <c:majorTickMark val="out"/>
        <c:minorTickMark val="none"/>
        <c:tickLblPos val="nextTo"/>
        <c:crossAx val="141635520"/>
        <c:crosses val="autoZero"/>
        <c:auto val="1"/>
        <c:lblAlgn val="ctr"/>
        <c:lblOffset val="100"/>
        <c:noMultiLvlLbl val="0"/>
      </c:catAx>
      <c:valAx>
        <c:axId val="141635520"/>
        <c:scaling>
          <c:orientation val="minMax"/>
        </c:scaling>
        <c:delete val="1"/>
        <c:axPos val="b"/>
        <c:numFmt formatCode="0%" sourceLinked="1"/>
        <c:majorTickMark val="out"/>
        <c:minorTickMark val="none"/>
        <c:tickLblPos val="nextTo"/>
        <c:crossAx val="141723136"/>
        <c:crosses val="autoZero"/>
        <c:crossBetween val="between"/>
      </c:valAx>
    </c:plotArea>
    <c:legend>
      <c:legendPos val="b"/>
      <c:layout>
        <c:manualLayout>
          <c:xMode val="edge"/>
          <c:yMode val="edge"/>
          <c:x val="0.14793156419570111"/>
          <c:y val="0.89766774567487873"/>
          <c:w val="0.70413669828494507"/>
          <c:h val="8.0913247964632215E-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598082381772036"/>
          <c:y val="3.9268178327563505E-2"/>
          <c:w val="0.50197060326857212"/>
          <c:h val="0.85399997874750322"/>
        </c:manualLayout>
      </c:layout>
      <c:barChart>
        <c:barDir val="bar"/>
        <c:grouping val="clustered"/>
        <c:varyColors val="0"/>
        <c:ser>
          <c:idx val="0"/>
          <c:order val="0"/>
          <c:tx>
            <c:strRef>
              <c:f>'G31'!$B$1</c:f>
              <c:strCache>
                <c:ptCount val="1"/>
                <c:pt idx="0">
                  <c:v>firmy poskytující vzdělávání s více než 250 zaměstnanci</c:v>
                </c:pt>
              </c:strCache>
            </c:strRef>
          </c:tx>
          <c:spPr>
            <a:solidFill>
              <a:schemeClr val="accent2">
                <a:lumMod val="60000"/>
                <a:lumOff val="40000"/>
              </a:schemeClr>
            </a:solidFill>
            <a:ln>
              <a:solidFill>
                <a:schemeClr val="accent2"/>
              </a:solidFill>
            </a:ln>
          </c:spPr>
          <c:invertIfNegative val="0"/>
          <c:dLbls>
            <c:dLbl>
              <c:idx val="1"/>
              <c:layout>
                <c:manualLayout>
                  <c:x val="-5.3045738950878362E-3"/>
                  <c:y val="-1.1752000992018454E-16"/>
                </c:manualLayout>
              </c:layout>
              <c:dLblPos val="outEnd"/>
              <c:showLegendKey val="0"/>
              <c:showVal val="1"/>
              <c:showCatName val="0"/>
              <c:showSerName val="0"/>
              <c:showPercent val="0"/>
              <c:showBubbleSize val="0"/>
            </c:dLbl>
            <c:dLbl>
              <c:idx val="2"/>
              <c:layout>
                <c:manualLayout>
                  <c:x val="-4.4679960028693871E-3"/>
                  <c:y val="0"/>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'G31'!$A$2:$A$10</c:f>
              <c:strCache>
                <c:ptCount val="9"/>
                <c:pt idx="0">
                  <c:v>jiné důvody</c:v>
                </c:pt>
                <c:pt idx="1">
                  <c:v>potíže s identifikací vzdělávacích potřeb</c:v>
                </c:pt>
                <c:pt idx="2">
                  <c:v>upřednostňování podpory POV* 
před vzděláváním zaměstnanců</c:v>
                </c:pt>
                <c:pt idx="3">
                  <c:v>důraz na vzdělávání kladen v dřívejších letech</c:v>
                </c:pt>
                <c:pt idx="4">
                  <c:v>nedostatek vhodných nabídek vzdělávání</c:v>
                </c:pt>
                <c:pt idx="5">
                  <c:v>vysoké náklady na vzdělávání</c:v>
                </c:pt>
                <c:pt idx="6">
                  <c:v>upřednostňování nových pracovníků
 před vzděláváním stávajících</c:v>
                </c:pt>
                <c:pt idx="7">
                  <c:v>vysoké pracovní zatížení 
a nedostatek času zaměstnanců</c:v>
                </c:pt>
                <c:pt idx="8">
                  <c:v>žádná omezení neevidována, 
účast na vzdělávání byla dostatečná</c:v>
                </c:pt>
              </c:strCache>
            </c:strRef>
          </c:cat>
          <c:val>
            <c:numRef>
              <c:f>'G31'!$B$2:$B$10</c:f>
              <c:numCache>
                <c:formatCode>0%</c:formatCode>
                <c:ptCount val="9"/>
                <c:pt idx="0">
                  <c:v>8.1000000000000003E-2</c:v>
                </c:pt>
                <c:pt idx="1">
                  <c:v>2.9000000000000001E-2</c:v>
                </c:pt>
                <c:pt idx="2">
                  <c:v>2.8000000000000001E-2</c:v>
                </c:pt>
                <c:pt idx="3">
                  <c:v>0.104</c:v>
                </c:pt>
                <c:pt idx="4">
                  <c:v>6.2E-2</c:v>
                </c:pt>
                <c:pt idx="5">
                  <c:v>0.19</c:v>
                </c:pt>
                <c:pt idx="6">
                  <c:v>9.2999999999999999E-2</c:v>
                </c:pt>
                <c:pt idx="7">
                  <c:v>0.28299999999999997</c:v>
                </c:pt>
                <c:pt idx="8">
                  <c:v>0.48299999999999998</c:v>
                </c:pt>
              </c:numCache>
            </c:numRef>
          </c:val>
        </c:ser>
        <c:ser>
          <c:idx val="1"/>
          <c:order val="1"/>
          <c:tx>
            <c:strRef>
              <c:f>'G31'!$C$1</c:f>
              <c:strCache>
                <c:ptCount val="1"/>
                <c:pt idx="0">
                  <c:v>firmy poskytující vzdělávání</c:v>
                </c:pt>
              </c:strCache>
            </c:strRef>
          </c:tx>
          <c:spPr>
            <a:solidFill>
              <a:schemeClr val="accent1">
                <a:lumMod val="60000"/>
                <a:lumOff val="40000"/>
              </a:schemeClr>
            </a:solidFill>
            <a:ln>
              <a:solidFill>
                <a:schemeClr val="accent1"/>
              </a:solidFill>
            </a:ln>
          </c:spPr>
          <c:invertIfNegative val="0"/>
          <c:dLbls>
            <c:dLbl>
              <c:idx val="1"/>
              <c:layout>
                <c:manualLayout>
                  <c:x val="-2.0174729343666164E-3"/>
                  <c:y val="0"/>
                </c:manualLayout>
              </c:layout>
              <c:dLblPos val="outEnd"/>
              <c:showLegendKey val="0"/>
              <c:showVal val="1"/>
              <c:showCatName val="0"/>
              <c:showSerName val="0"/>
              <c:showPercent val="0"/>
              <c:showBubbleSize val="0"/>
            </c:dLbl>
            <c:dLbl>
              <c:idx val="2"/>
              <c:layout>
                <c:manualLayout>
                  <c:x val="-6.9777296795247336E-3"/>
                  <c:y val="-1.1752000992018454E-16"/>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'G31'!$A$2:$A$10</c:f>
              <c:strCache>
                <c:ptCount val="9"/>
                <c:pt idx="0">
                  <c:v>jiné důvody</c:v>
                </c:pt>
                <c:pt idx="1">
                  <c:v>potíže s identifikací vzdělávacích potřeb</c:v>
                </c:pt>
                <c:pt idx="2">
                  <c:v>upřednostňování podpory POV* 
před vzděláváním zaměstnanců</c:v>
                </c:pt>
                <c:pt idx="3">
                  <c:v>důraz na vzdělávání kladen v dřívejších letech</c:v>
                </c:pt>
                <c:pt idx="4">
                  <c:v>nedostatek vhodných nabídek vzdělávání</c:v>
                </c:pt>
                <c:pt idx="5">
                  <c:v>vysoké náklady na vzdělávání</c:v>
                </c:pt>
                <c:pt idx="6">
                  <c:v>upřednostňování nových pracovníků
 před vzděláváním stávajících</c:v>
                </c:pt>
                <c:pt idx="7">
                  <c:v>vysoké pracovní zatížení 
a nedostatek času zaměstnanců</c:v>
                </c:pt>
                <c:pt idx="8">
                  <c:v>žádná omezení neevidována, 
účast na vzdělávání byla dostatečná</c:v>
                </c:pt>
              </c:strCache>
            </c:strRef>
          </c:cat>
          <c:val>
            <c:numRef>
              <c:f>'G31'!$C$2:$C$10</c:f>
              <c:numCache>
                <c:formatCode>0%</c:formatCode>
                <c:ptCount val="9"/>
                <c:pt idx="0">
                  <c:v>6.9000000000000006E-2</c:v>
                </c:pt>
                <c:pt idx="1">
                  <c:v>1.4999999999999999E-2</c:v>
                </c:pt>
                <c:pt idx="2">
                  <c:v>3.1E-2</c:v>
                </c:pt>
                <c:pt idx="3">
                  <c:v>5.2999999999999999E-2</c:v>
                </c:pt>
                <c:pt idx="4">
                  <c:v>6.0999999999999999E-2</c:v>
                </c:pt>
                <c:pt idx="5">
                  <c:v>9.9000000000000005E-2</c:v>
                </c:pt>
                <c:pt idx="6">
                  <c:v>0.13200000000000001</c:v>
                </c:pt>
                <c:pt idx="7">
                  <c:v>0.157</c:v>
                </c:pt>
                <c:pt idx="8">
                  <c:v>0.56999999999999995</c:v>
                </c:pt>
              </c:numCache>
            </c:numRef>
          </c:val>
        </c:ser>
        <c:dLbls>
          <c:showLegendKey val="0"/>
          <c:showVal val="0"/>
          <c:showCatName val="0"/>
          <c:showSerName val="0"/>
          <c:showPercent val="0"/>
          <c:showBubbleSize val="0"/>
        </c:dLbls>
        <c:gapWidth val="150"/>
        <c:axId val="141723648"/>
        <c:axId val="141636672"/>
      </c:barChart>
      <c:catAx>
        <c:axId val="141723648"/>
        <c:scaling>
          <c:orientation val="minMax"/>
        </c:scaling>
        <c:delete val="0"/>
        <c:axPos val="l"/>
        <c:numFmt formatCode="General" sourceLinked="1"/>
        <c:majorTickMark val="out"/>
        <c:minorTickMark val="none"/>
        <c:tickLblPos val="nextTo"/>
        <c:crossAx val="141636672"/>
        <c:crosses val="autoZero"/>
        <c:auto val="1"/>
        <c:lblAlgn val="ctr"/>
        <c:lblOffset val="100"/>
        <c:noMultiLvlLbl val="0"/>
      </c:catAx>
      <c:valAx>
        <c:axId val="141636672"/>
        <c:scaling>
          <c:orientation val="minMax"/>
        </c:scaling>
        <c:delete val="1"/>
        <c:axPos val="b"/>
        <c:numFmt formatCode="0%" sourceLinked="1"/>
        <c:majorTickMark val="out"/>
        <c:minorTickMark val="none"/>
        <c:tickLblPos val="nextTo"/>
        <c:crossAx val="141723648"/>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35976082993752"/>
          <c:y val="3.9268178327563505E-2"/>
          <c:w val="0.52178141149918134"/>
          <c:h val="0.87130156724162555"/>
        </c:manualLayout>
      </c:layout>
      <c:barChart>
        <c:barDir val="bar"/>
        <c:grouping val="clustered"/>
        <c:varyColors val="0"/>
        <c:ser>
          <c:idx val="0"/>
          <c:order val="0"/>
          <c:tx>
            <c:strRef>
              <c:f>'G32'!$B$1</c:f>
              <c:strCache>
                <c:ptCount val="1"/>
                <c:pt idx="0">
                  <c:v>důvody nezajišťování</c:v>
                </c:pt>
              </c:strCache>
            </c:strRef>
          </c:tx>
          <c:spPr>
            <a:solidFill>
              <a:schemeClr val="accent3"/>
            </a:solidFill>
            <a:ln>
              <a:solidFill>
                <a:schemeClr val="accent3">
                  <a:lumMod val="75000"/>
                </a:schemeClr>
              </a:solidFill>
            </a:ln>
          </c:spPr>
          <c:invertIfNegative val="0"/>
          <c:dLbls>
            <c:dLbl>
              <c:idx val="0"/>
              <c:dLblPos val="inEnd"/>
              <c:showLegendKey val="0"/>
              <c:showVal val="1"/>
              <c:showCatName val="0"/>
              <c:showSerName val="0"/>
              <c:showPercent val="0"/>
              <c:showBubbleSize val="0"/>
            </c:dLbl>
            <c:dLbl>
              <c:idx val="1"/>
              <c:numFmt formatCode="0.0%" sourceLinked="0"/>
              <c:spPr/>
              <c:txPr>
                <a:bodyPr/>
                <a:lstStyle/>
                <a:p>
                  <a:pPr>
                    <a:defRPr/>
                  </a:pPr>
                  <a:endParaRPr lang="cs-CZ"/>
                </a:p>
              </c:txPr>
              <c:dLblPos val="outEnd"/>
              <c:showLegendKey val="0"/>
              <c:showVal val="1"/>
              <c:showCatName val="0"/>
              <c:showSerName val="0"/>
              <c:showPercent val="0"/>
              <c:showBubbleSize val="0"/>
            </c:dLbl>
            <c:dLbl>
              <c:idx val="5"/>
              <c:layout>
                <c:manualLayout>
                  <c:x val="-4.1822997379519694E-2"/>
                  <c:y val="0"/>
                </c:manualLayout>
              </c:layout>
              <c:dLblPos val="outEnd"/>
              <c:showLegendKey val="0"/>
              <c:showVal val="1"/>
              <c:showCatName val="0"/>
              <c:showSerName val="0"/>
              <c:showPercent val="0"/>
              <c:showBubbleSize val="0"/>
            </c:dLbl>
            <c:dLbl>
              <c:idx val="6"/>
              <c:layout>
                <c:manualLayout>
                  <c:x val="-4.402420776791547E-2"/>
                  <c:y val="3.2723103919547403E-17"/>
                </c:manualLayout>
              </c:layout>
              <c:dLblPos val="outEnd"/>
              <c:showLegendKey val="0"/>
              <c:showVal val="1"/>
              <c:showCatName val="0"/>
              <c:showSerName val="0"/>
              <c:showPercent val="0"/>
              <c:showBubbleSize val="0"/>
            </c:dLbl>
            <c:dLbl>
              <c:idx val="7"/>
              <c:layout>
                <c:manualLayout>
                  <c:x val="-4.1822997379519694E-2"/>
                  <c:y val="0"/>
                </c:manualLayout>
              </c:layout>
              <c:dLblPos val="outEnd"/>
              <c:showLegendKey val="0"/>
              <c:showVal val="1"/>
              <c:showCatName val="0"/>
              <c:showSerName val="0"/>
              <c:showPercent val="0"/>
              <c:showBubbleSize val="0"/>
            </c:dLbl>
            <c:dLbl>
              <c:idx val="8"/>
              <c:dLblPos val="in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'G32'!$A$2:$A$10</c:f>
              <c:strCache>
                <c:ptCount val="9"/>
                <c:pt idx="0">
                  <c:v>jiné důvody</c:v>
                </c:pt>
                <c:pt idx="1">
                  <c:v>potíže s identifikací vzdělávacích potřeb</c:v>
                </c:pt>
                <c:pt idx="2">
                  <c:v>upřednostňování podpory POV* před vzděláváním zaměstnanců</c:v>
                </c:pt>
                <c:pt idx="3">
                  <c:v>důraz na vzdělávání kladen v dřívejších letech</c:v>
                </c:pt>
                <c:pt idx="4">
                  <c:v>nedostatek vhodných nabídek vzdělávání</c:v>
                </c:pt>
                <c:pt idx="5">
                  <c:v>upřednostňování nových pracovníků před vzděláváním stávajících</c:v>
                </c:pt>
                <c:pt idx="6">
                  <c:v>vysoké náklady na vzdělávání</c:v>
                </c:pt>
                <c:pt idx="7">
                  <c:v>vysoké pracovní zatížení a nedostatek času zaměstnanců</c:v>
                </c:pt>
                <c:pt idx="8">
                  <c:v>odpovídající stávající dovednosti zaměstnanců</c:v>
                </c:pt>
              </c:strCache>
            </c:strRef>
          </c:cat>
          <c:val>
            <c:numRef>
              <c:f>'G32'!$B$2:$B$10</c:f>
              <c:numCache>
                <c:formatCode>0%</c:formatCode>
                <c:ptCount val="9"/>
                <c:pt idx="0">
                  <c:v>0.23300000000000001</c:v>
                </c:pt>
                <c:pt idx="1">
                  <c:v>4.0000000000000001E-3</c:v>
                </c:pt>
                <c:pt idx="2">
                  <c:v>0.01</c:v>
                </c:pt>
                <c:pt idx="3">
                  <c:v>1.4E-2</c:v>
                </c:pt>
                <c:pt idx="4">
                  <c:v>2.3E-2</c:v>
                </c:pt>
                <c:pt idx="5">
                  <c:v>4.2999999999999997E-2</c:v>
                </c:pt>
                <c:pt idx="6">
                  <c:v>5.6000000000000001E-2</c:v>
                </c:pt>
                <c:pt idx="7">
                  <c:v>5.6000000000000001E-2</c:v>
                </c:pt>
                <c:pt idx="8">
                  <c:v>0.69099999999999995</c:v>
                </c:pt>
              </c:numCache>
            </c:numRef>
          </c:val>
        </c:ser>
        <c:dLbls>
          <c:showLegendKey val="0"/>
          <c:showVal val="0"/>
          <c:showCatName val="0"/>
          <c:showSerName val="0"/>
          <c:showPercent val="0"/>
          <c:showBubbleSize val="0"/>
        </c:dLbls>
        <c:gapWidth val="150"/>
        <c:axId val="137113600"/>
        <c:axId val="141638976"/>
      </c:barChart>
      <c:catAx>
        <c:axId val="137113600"/>
        <c:scaling>
          <c:orientation val="minMax"/>
        </c:scaling>
        <c:delete val="0"/>
        <c:axPos val="l"/>
        <c:numFmt formatCode="General" sourceLinked="1"/>
        <c:majorTickMark val="out"/>
        <c:minorTickMark val="none"/>
        <c:tickLblPos val="nextTo"/>
        <c:crossAx val="141638976"/>
        <c:crosses val="autoZero"/>
        <c:auto val="1"/>
        <c:lblAlgn val="ctr"/>
        <c:lblOffset val="100"/>
        <c:noMultiLvlLbl val="0"/>
      </c:catAx>
      <c:valAx>
        <c:axId val="141638976"/>
        <c:scaling>
          <c:orientation val="minMax"/>
        </c:scaling>
        <c:delete val="1"/>
        <c:axPos val="b"/>
        <c:numFmt formatCode="0%" sourceLinked="1"/>
        <c:majorTickMark val="out"/>
        <c:minorTickMark val="none"/>
        <c:tickLblPos val="nextTo"/>
        <c:crossAx val="137113600"/>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solidFill>
              <a:schemeClr val="accent1">
                <a:lumMod val="60000"/>
                <a:lumOff val="40000"/>
              </a:schemeClr>
            </a:solidFill>
          </c:spPr>
          <c:dPt>
            <c:idx val="0"/>
            <c:bubble3D val="0"/>
            <c:spPr>
              <a:solidFill>
                <a:schemeClr val="accent1">
                  <a:lumMod val="60000"/>
                  <a:lumOff val="40000"/>
                </a:schemeClr>
              </a:solidFill>
              <a:ln>
                <a:solidFill>
                  <a:schemeClr val="accent1"/>
                </a:solidFill>
              </a:ln>
            </c:spPr>
          </c:dPt>
          <c:dPt>
            <c:idx val="1"/>
            <c:bubble3D val="0"/>
            <c:spPr>
              <a:solidFill>
                <a:schemeClr val="accent2">
                  <a:lumMod val="60000"/>
                  <a:lumOff val="40000"/>
                </a:schemeClr>
              </a:solidFill>
              <a:ln>
                <a:solidFill>
                  <a:schemeClr val="accent2"/>
                </a:solidFill>
              </a:ln>
            </c:spPr>
          </c:dPt>
          <c:dPt>
            <c:idx val="2"/>
            <c:bubble3D val="0"/>
            <c:spPr>
              <a:solidFill>
                <a:schemeClr val="accent3"/>
              </a:solidFill>
              <a:ln>
                <a:solidFill>
                  <a:schemeClr val="accent3">
                    <a:lumMod val="75000"/>
                  </a:schemeClr>
                </a:solidFill>
              </a:ln>
            </c:spPr>
          </c:dPt>
          <c:dPt>
            <c:idx val="3"/>
            <c:bubble3D val="0"/>
            <c:spPr>
              <a:solidFill>
                <a:schemeClr val="accent6">
                  <a:lumMod val="60000"/>
                  <a:lumOff val="40000"/>
                </a:schemeClr>
              </a:solidFill>
              <a:ln>
                <a:solidFill>
                  <a:schemeClr val="accent6"/>
                </a:solidFill>
              </a:ln>
            </c:spPr>
          </c:dPt>
          <c:dLbls>
            <c:numFmt formatCode="0%" sourceLinked="0"/>
            <c:showLegendKey val="0"/>
            <c:showVal val="1"/>
            <c:showCatName val="0"/>
            <c:showSerName val="0"/>
            <c:showPercent val="0"/>
            <c:showBubbleSize val="0"/>
            <c:showLeaderLines val="1"/>
          </c:dLbls>
          <c:cat>
            <c:strRef>
              <c:f>'G33,G36'!$Q$2:$Q$5</c:f>
              <c:strCache>
                <c:ptCount val="4"/>
                <c:pt idx="0">
                  <c:v>pouze se SŠ/VOŠ</c:v>
                </c:pt>
                <c:pt idx="1">
                  <c:v>pouze s VŠ</c:v>
                </c:pt>
                <c:pt idx="2">
                  <c:v>se SŠ/VOŠ i VŠ</c:v>
                </c:pt>
                <c:pt idx="3">
                  <c:v>nespolupracuje s žádnou školou</c:v>
                </c:pt>
              </c:strCache>
            </c:strRef>
          </c:cat>
          <c:val>
            <c:numRef>
              <c:f>'G33,G36'!$R$2:$R$5</c:f>
              <c:numCache>
                <c:formatCode>General</c:formatCode>
                <c:ptCount val="4"/>
                <c:pt idx="0">
                  <c:v>0.13400000000000001</c:v>
                </c:pt>
                <c:pt idx="1">
                  <c:v>3.6999999999999998E-2</c:v>
                </c:pt>
                <c:pt idx="2">
                  <c:v>9.6000000000000002E-2</c:v>
                </c:pt>
                <c:pt idx="3">
                  <c:v>0.73199999999999998</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21132040935724E-2"/>
          <c:y val="3.3154216886167195E-2"/>
          <c:w val="0.9168758886459244"/>
          <c:h val="0.80482506931131681"/>
        </c:manualLayout>
      </c:layout>
      <c:barChart>
        <c:barDir val="col"/>
        <c:grouping val="clustered"/>
        <c:varyColors val="0"/>
        <c:ser>
          <c:idx val="0"/>
          <c:order val="0"/>
          <c:tx>
            <c:strRef>
              <c:f>'G34'!$B$1</c:f>
              <c:strCache>
                <c:ptCount val="1"/>
                <c:pt idx="0">
                  <c:v> spolupráce se školami obecně</c:v>
                </c:pt>
              </c:strCache>
            </c:strRef>
          </c:tx>
          <c:spPr>
            <a:solidFill>
              <a:schemeClr val="accent1">
                <a:lumMod val="60000"/>
                <a:lumOff val="40000"/>
              </a:schemeClr>
            </a:solidFill>
            <a:ln>
              <a:solidFill>
                <a:schemeClr val="accent1"/>
              </a:solidFill>
            </a:ln>
          </c:spPr>
          <c:invertIfNegative val="0"/>
          <c:dPt>
            <c:idx val="0"/>
            <c:invertIfNegative val="0"/>
            <c:bubble3D val="0"/>
            <c:spPr>
              <a:solidFill>
                <a:schemeClr val="accent1">
                  <a:lumMod val="60000"/>
                  <a:lumOff val="40000"/>
                </a:schemeClr>
              </a:solidFill>
              <a:ln w="9525" cmpd="sng">
                <a:solidFill>
                  <a:schemeClr val="accent1"/>
                </a:solidFill>
              </a:ln>
            </c:spPr>
          </c:dPt>
          <c:dLbls>
            <c:txPr>
              <a:bodyPr rot="-5400000" vert="horz"/>
              <a:lstStyle/>
              <a:p>
                <a:pPr>
                  <a:defRPr/>
                </a:pPr>
                <a:endParaRPr lang="cs-CZ"/>
              </a:p>
            </c:txPr>
            <c:dLblPos val="inEnd"/>
            <c:showLegendKey val="0"/>
            <c:showVal val="1"/>
            <c:showCatName val="0"/>
            <c:showSerName val="0"/>
            <c:showPercent val="0"/>
            <c:showBubbleSize val="0"/>
            <c:showLeaderLines val="0"/>
          </c:dLbls>
          <c:cat>
            <c:strRef>
              <c:f>'G34'!$A$2:$A$6</c:f>
              <c:strCache>
                <c:ptCount val="5"/>
                <c:pt idx="0">
                  <c:v>celkem</c:v>
                </c:pt>
                <c:pt idx="1">
                  <c:v>10–19 zaměstanců</c:v>
                </c:pt>
                <c:pt idx="2">
                  <c:v>20–49 zaměstnanců</c:v>
                </c:pt>
                <c:pt idx="3">
                  <c:v>50–249 zaměstnanců</c:v>
                </c:pt>
                <c:pt idx="4">
                  <c:v>250 a více zaměstnanců</c:v>
                </c:pt>
              </c:strCache>
            </c:strRef>
          </c:cat>
          <c:val>
            <c:numRef>
              <c:f>'G34'!$B$2:$B$6</c:f>
              <c:numCache>
                <c:formatCode>0%</c:formatCode>
                <c:ptCount val="5"/>
                <c:pt idx="0">
                  <c:v>0.26800000000000002</c:v>
                </c:pt>
                <c:pt idx="1">
                  <c:v>0.19900000000000001</c:v>
                </c:pt>
                <c:pt idx="2">
                  <c:v>0.222</c:v>
                </c:pt>
                <c:pt idx="3">
                  <c:v>0.41099999999999998</c:v>
                </c:pt>
                <c:pt idx="4">
                  <c:v>0.71699999999999997</c:v>
                </c:pt>
              </c:numCache>
            </c:numRef>
          </c:val>
        </c:ser>
        <c:ser>
          <c:idx val="1"/>
          <c:order val="1"/>
          <c:tx>
            <c:strRef>
              <c:f>'G34'!$C$1</c:f>
              <c:strCache>
                <c:ptCount val="1"/>
                <c:pt idx="0">
                  <c:v> spolupráce se SŠ/VOŠ</c:v>
                </c:pt>
              </c:strCache>
            </c:strRef>
          </c:tx>
          <c:spPr>
            <a:solidFill>
              <a:schemeClr val="accent2">
                <a:lumMod val="60000"/>
                <a:lumOff val="40000"/>
              </a:schemeClr>
            </a:solidFill>
            <a:ln>
              <a:solidFill>
                <a:schemeClr val="accent2"/>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'G34'!$A$2:$A$6</c:f>
              <c:strCache>
                <c:ptCount val="5"/>
                <c:pt idx="0">
                  <c:v>celkem</c:v>
                </c:pt>
                <c:pt idx="1">
                  <c:v>10–19 zaměstanců</c:v>
                </c:pt>
                <c:pt idx="2">
                  <c:v>20–49 zaměstnanců</c:v>
                </c:pt>
                <c:pt idx="3">
                  <c:v>50–249 zaměstnanců</c:v>
                </c:pt>
                <c:pt idx="4">
                  <c:v>250 a více zaměstnanců</c:v>
                </c:pt>
              </c:strCache>
            </c:strRef>
          </c:cat>
          <c:val>
            <c:numRef>
              <c:f>'G34'!$C$2:$C$6</c:f>
              <c:numCache>
                <c:formatCode>0%</c:formatCode>
                <c:ptCount val="5"/>
                <c:pt idx="0">
                  <c:v>0.22800000000000001</c:v>
                </c:pt>
                <c:pt idx="1">
                  <c:v>0.16600000000000001</c:v>
                </c:pt>
                <c:pt idx="2">
                  <c:v>0.192</c:v>
                </c:pt>
                <c:pt idx="3">
                  <c:v>0.34599999999999997</c:v>
                </c:pt>
                <c:pt idx="4">
                  <c:v>0.64300000000000002</c:v>
                </c:pt>
              </c:numCache>
            </c:numRef>
          </c:val>
        </c:ser>
        <c:ser>
          <c:idx val="2"/>
          <c:order val="2"/>
          <c:tx>
            <c:strRef>
              <c:f>'G34'!$D$1</c:f>
              <c:strCache>
                <c:ptCount val="1"/>
                <c:pt idx="0">
                  <c:v> spolupráce s VŠ</c:v>
                </c:pt>
              </c:strCache>
            </c:strRef>
          </c:tx>
          <c:spPr>
            <a:ln>
              <a:solidFill>
                <a:schemeClr val="accent3">
                  <a:lumMod val="75000"/>
                </a:schemeClr>
              </a:solidFill>
            </a:ln>
          </c:spPr>
          <c:invertIfNegative val="0"/>
          <c:dLbls>
            <c:txPr>
              <a:bodyPr rot="-5400000" vert="horz"/>
              <a:lstStyle/>
              <a:p>
                <a:pPr>
                  <a:defRPr/>
                </a:pPr>
                <a:endParaRPr lang="cs-CZ"/>
              </a:p>
            </c:txPr>
            <c:dLblPos val="inEnd"/>
            <c:showLegendKey val="0"/>
            <c:showVal val="1"/>
            <c:showCatName val="0"/>
            <c:showSerName val="0"/>
            <c:showPercent val="0"/>
            <c:showBubbleSize val="0"/>
            <c:showLeaderLines val="0"/>
          </c:dLbls>
          <c:cat>
            <c:strRef>
              <c:f>'G34'!$A$2:$A$6</c:f>
              <c:strCache>
                <c:ptCount val="5"/>
                <c:pt idx="0">
                  <c:v>celkem</c:v>
                </c:pt>
                <c:pt idx="1">
                  <c:v>10–19 zaměstanců</c:v>
                </c:pt>
                <c:pt idx="2">
                  <c:v>20–49 zaměstnanců</c:v>
                </c:pt>
                <c:pt idx="3">
                  <c:v>50–249 zaměstnanců</c:v>
                </c:pt>
                <c:pt idx="4">
                  <c:v>250 a více zaměstnanců</c:v>
                </c:pt>
              </c:strCache>
            </c:strRef>
          </c:cat>
          <c:val>
            <c:numRef>
              <c:f>'G34'!$D$2:$D$6</c:f>
              <c:numCache>
                <c:formatCode>0%</c:formatCode>
                <c:ptCount val="5"/>
                <c:pt idx="0">
                  <c:v>0.13300000000000001</c:v>
                </c:pt>
                <c:pt idx="1">
                  <c:v>8.6999999999999994E-2</c:v>
                </c:pt>
                <c:pt idx="2">
                  <c:v>9.6000000000000002E-2</c:v>
                </c:pt>
                <c:pt idx="3">
                  <c:v>0.215</c:v>
                </c:pt>
                <c:pt idx="4">
                  <c:v>0.55600000000000005</c:v>
                </c:pt>
              </c:numCache>
            </c:numRef>
          </c:val>
        </c:ser>
        <c:dLbls>
          <c:showLegendKey val="0"/>
          <c:showVal val="0"/>
          <c:showCatName val="0"/>
          <c:showSerName val="0"/>
          <c:showPercent val="0"/>
          <c:showBubbleSize val="0"/>
        </c:dLbls>
        <c:gapWidth val="150"/>
        <c:axId val="141724672"/>
        <c:axId val="141878976"/>
      </c:barChart>
      <c:catAx>
        <c:axId val="141724672"/>
        <c:scaling>
          <c:orientation val="minMax"/>
        </c:scaling>
        <c:delete val="0"/>
        <c:axPos val="b"/>
        <c:majorTickMark val="out"/>
        <c:minorTickMark val="none"/>
        <c:tickLblPos val="nextTo"/>
        <c:crossAx val="141878976"/>
        <c:crosses val="autoZero"/>
        <c:auto val="1"/>
        <c:lblAlgn val="ctr"/>
        <c:lblOffset val="100"/>
        <c:noMultiLvlLbl val="0"/>
      </c:catAx>
      <c:valAx>
        <c:axId val="141878976"/>
        <c:scaling>
          <c:orientation val="minMax"/>
        </c:scaling>
        <c:delete val="1"/>
        <c:axPos val="l"/>
        <c:numFmt formatCode="0%" sourceLinked="0"/>
        <c:majorTickMark val="out"/>
        <c:minorTickMark val="none"/>
        <c:tickLblPos val="nextTo"/>
        <c:crossAx val="141724672"/>
        <c:crosses val="autoZero"/>
        <c:crossBetween val="between"/>
      </c:valAx>
      <c:spPr>
        <a:noFill/>
        <a:ln>
          <a:noFill/>
        </a:ln>
      </c:spPr>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2"/>
          <c:order val="0"/>
          <c:tx>
            <c:strRef>
              <c:f>'G35'!$D$1</c:f>
              <c:strCache>
                <c:ptCount val="1"/>
                <c:pt idx="0">
                  <c:v> spolupráce s VŠ</c:v>
                </c:pt>
              </c:strCache>
            </c:strRef>
          </c:tx>
          <c:spPr>
            <a:solidFill>
              <a:schemeClr val="accent3"/>
            </a:solidFill>
            <a:ln>
              <a:solidFill>
                <a:schemeClr val="accent3">
                  <a:lumMod val="50000"/>
                </a:schemeClr>
              </a:solidFill>
            </a:ln>
          </c:spPr>
          <c:invertIfNegative val="0"/>
          <c:dLbls>
            <c:dLblPos val="inEnd"/>
            <c:showLegendKey val="0"/>
            <c:showVal val="1"/>
            <c:showCatName val="0"/>
            <c:showSerName val="0"/>
            <c:showPercent val="0"/>
            <c:showBubbleSize val="0"/>
            <c:showLeaderLines val="0"/>
          </c:dLbls>
          <c:cat>
            <c:strRef>
              <c:f>'G35'!$A$2:$A$11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'G35'!$D$2:$D$11</c:f>
              <c:numCache>
                <c:formatCode>0%</c:formatCode>
                <c:ptCount val="10"/>
                <c:pt idx="0">
                  <c:v>0.192</c:v>
                </c:pt>
                <c:pt idx="1">
                  <c:v>0.19700000000000001</c:v>
                </c:pt>
                <c:pt idx="2">
                  <c:v>0.29099999999999998</c:v>
                </c:pt>
                <c:pt idx="3">
                  <c:v>7.4999999999999997E-2</c:v>
                </c:pt>
                <c:pt idx="4">
                  <c:v>5.8999999999999997E-2</c:v>
                </c:pt>
                <c:pt idx="5">
                  <c:v>9.1999999999999998E-2</c:v>
                </c:pt>
                <c:pt idx="6">
                  <c:v>6.2E-2</c:v>
                </c:pt>
                <c:pt idx="7">
                  <c:v>0.14000000000000001</c:v>
                </c:pt>
                <c:pt idx="8">
                  <c:v>0.16</c:v>
                </c:pt>
                <c:pt idx="9">
                  <c:v>0.13400000000000001</c:v>
                </c:pt>
              </c:numCache>
            </c:numRef>
          </c:val>
        </c:ser>
        <c:ser>
          <c:idx val="1"/>
          <c:order val="1"/>
          <c:tx>
            <c:strRef>
              <c:f>'G35'!$C$1</c:f>
              <c:strCache>
                <c:ptCount val="1"/>
                <c:pt idx="0">
                  <c:v> spolupráce se SŠ/VOŠ</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'G35'!$A$2:$A$11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'G35'!$C$2:$C$11</c:f>
              <c:numCache>
                <c:formatCode>0%</c:formatCode>
                <c:ptCount val="10"/>
                <c:pt idx="0">
                  <c:v>0.23499999999999999</c:v>
                </c:pt>
                <c:pt idx="1">
                  <c:v>0.13900000000000001</c:v>
                </c:pt>
                <c:pt idx="2">
                  <c:v>0.186</c:v>
                </c:pt>
                <c:pt idx="3">
                  <c:v>0.311</c:v>
                </c:pt>
                <c:pt idx="4">
                  <c:v>0.14000000000000001</c:v>
                </c:pt>
                <c:pt idx="5">
                  <c:v>0.16</c:v>
                </c:pt>
                <c:pt idx="6">
                  <c:v>0.189</c:v>
                </c:pt>
                <c:pt idx="7">
                  <c:v>0.17899999999999999</c:v>
                </c:pt>
                <c:pt idx="8">
                  <c:v>0.29599999999999999</c:v>
                </c:pt>
                <c:pt idx="9">
                  <c:v>0.22800000000000001</c:v>
                </c:pt>
              </c:numCache>
            </c:numRef>
          </c:val>
        </c:ser>
        <c:ser>
          <c:idx val="0"/>
          <c:order val="2"/>
          <c:tx>
            <c:strRef>
              <c:f>'G35'!$B$1</c:f>
              <c:strCache>
                <c:ptCount val="1"/>
                <c:pt idx="0">
                  <c:v> spolupráce se školami obecně</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'G35'!$A$2:$A$11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'G35'!$B$2:$B$11</c:f>
              <c:numCache>
                <c:formatCode>0%</c:formatCode>
                <c:ptCount val="10"/>
                <c:pt idx="0">
                  <c:v>0.29199999999999998</c:v>
                </c:pt>
                <c:pt idx="1">
                  <c:v>0.248</c:v>
                </c:pt>
                <c:pt idx="2">
                  <c:v>0.34799999999999998</c:v>
                </c:pt>
                <c:pt idx="3">
                  <c:v>0.315</c:v>
                </c:pt>
                <c:pt idx="4">
                  <c:v>0.153</c:v>
                </c:pt>
                <c:pt idx="5">
                  <c:v>0.19800000000000001</c:v>
                </c:pt>
                <c:pt idx="6">
                  <c:v>0.20799999999999999</c:v>
                </c:pt>
                <c:pt idx="7">
                  <c:v>0.23499999999999999</c:v>
                </c:pt>
                <c:pt idx="8">
                  <c:v>0.33100000000000002</c:v>
                </c:pt>
                <c:pt idx="9">
                  <c:v>0.26800000000000002</c:v>
                </c:pt>
              </c:numCache>
            </c:numRef>
          </c:val>
        </c:ser>
        <c:dLbls>
          <c:showLegendKey val="0"/>
          <c:showVal val="0"/>
          <c:showCatName val="0"/>
          <c:showSerName val="0"/>
          <c:showPercent val="0"/>
          <c:showBubbleSize val="0"/>
        </c:dLbls>
        <c:gapWidth val="150"/>
        <c:axId val="141725184"/>
        <c:axId val="141880704"/>
      </c:barChart>
      <c:catAx>
        <c:axId val="141725184"/>
        <c:scaling>
          <c:orientation val="minMax"/>
        </c:scaling>
        <c:delete val="0"/>
        <c:axPos val="l"/>
        <c:majorTickMark val="out"/>
        <c:minorTickMark val="none"/>
        <c:tickLblPos val="nextTo"/>
        <c:crossAx val="141880704"/>
        <c:crosses val="autoZero"/>
        <c:auto val="1"/>
        <c:lblAlgn val="ctr"/>
        <c:lblOffset val="100"/>
        <c:noMultiLvlLbl val="0"/>
      </c:catAx>
      <c:valAx>
        <c:axId val="141880704"/>
        <c:scaling>
          <c:orientation val="minMax"/>
        </c:scaling>
        <c:delete val="1"/>
        <c:axPos val="b"/>
        <c:numFmt formatCode="0%" sourceLinked="1"/>
        <c:majorTickMark val="out"/>
        <c:minorTickMark val="none"/>
        <c:tickLblPos val="nextTo"/>
        <c:crossAx val="141725184"/>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35976082993752"/>
          <c:y val="3.9268178327563505E-2"/>
          <c:w val="0.54408296101127152"/>
          <c:h val="0.83912998810805495"/>
        </c:manualLayout>
      </c:layout>
      <c:barChart>
        <c:barDir val="bar"/>
        <c:grouping val="clustered"/>
        <c:varyColors val="0"/>
        <c:ser>
          <c:idx val="0"/>
          <c:order val="0"/>
          <c:tx>
            <c:strRef>
              <c:f>'G33,G36'!$B$1</c:f>
              <c:strCache>
                <c:ptCount val="1"/>
                <c:pt idx="0">
                  <c:v> spolupráce s VŠ</c:v>
                </c:pt>
              </c:strCache>
            </c:strRef>
          </c:tx>
          <c:spPr>
            <a:solidFill>
              <a:schemeClr val="accent3"/>
            </a:solidFill>
            <a:ln>
              <a:solidFill>
                <a:schemeClr val="accent3">
                  <a:lumMod val="50000"/>
                </a:schemeClr>
              </a:solidFill>
            </a:ln>
          </c:spPr>
          <c:invertIfNegative val="0"/>
          <c:dLbls>
            <c:dLbl>
              <c:idx val="1"/>
              <c:layout>
                <c:manualLayout>
                  <c:x val="-4.1256229035420942E-3"/>
                  <c:y val="-1.3089241567818961E-16"/>
                </c:manualLayout>
              </c:layout>
              <c:dLblPos val="outEnd"/>
              <c:showLegendKey val="0"/>
              <c:showVal val="1"/>
              <c:showCatName val="0"/>
              <c:showSerName val="0"/>
              <c:showPercent val="0"/>
              <c:showBubbleSize val="0"/>
            </c:dLbl>
            <c:dLbl>
              <c:idx val="2"/>
              <c:delete val="1"/>
            </c:dLbl>
            <c:dLbl>
              <c:idx val="3"/>
              <c:delete val="1"/>
            </c:dLbl>
            <c:dLbl>
              <c:idx val="4"/>
              <c:delete val="1"/>
            </c:dLbl>
            <c:dLbl>
              <c:idx val="5"/>
              <c:delete val="1"/>
            </c:dLbl>
            <c:dLbl>
              <c:idx val="7"/>
              <c:layout>
                <c:manualLayout>
                  <c:x val="-6.2127863285075984E-3"/>
                  <c:y val="0"/>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'G33,G36'!$A$2:$A$10</c:f>
              <c:strCache>
                <c:ptCount val="9"/>
                <c:pt idx="0">
                  <c:v>firma se školami na této 
úrovni nespolupracovala</c:v>
                </c:pt>
                <c:pt idx="1">
                  <c:v>jiný způsob</c:v>
                </c:pt>
                <c:pt idx="2">
                  <c:v>spolupráce při posuzování
 úrovně dovedností zaměstanců</c:v>
                </c:pt>
                <c:pt idx="3">
                  <c:v>spolupráce při určování
 obsahu odborného vzdělávání</c:v>
                </c:pt>
                <c:pt idx="4">
                  <c:v>přednášky, doškolení 
pro zaměstnance firmy od učitelů</c:v>
                </c:pt>
                <c:pt idx="5">
                  <c:v>spolupráce při vývoji nových 
nebo inovovaných produktů</c:v>
                </c:pt>
                <c:pt idx="6">
                  <c:v>spolupráce na výzkumu či vývoji</c:v>
                </c:pt>
                <c:pt idx="7">
                  <c:v>přednášky odborníků z firmy ve škole</c:v>
                </c:pt>
                <c:pt idx="8">
                  <c:v>zajišťování praxe, výcviku či stáže 
ve firmě pro studenty/učně</c:v>
                </c:pt>
              </c:strCache>
            </c:strRef>
          </c:cat>
          <c:val>
            <c:numRef>
              <c:f>'G33,G36'!$B$2:$B$10</c:f>
              <c:numCache>
                <c:formatCode>0%</c:formatCode>
                <c:ptCount val="9"/>
                <c:pt idx="0">
                  <c:v>0.86599999999999999</c:v>
                </c:pt>
                <c:pt idx="1">
                  <c:v>2.9000000000000001E-2</c:v>
                </c:pt>
                <c:pt idx="2">
                  <c:v>3.0000000000000001E-3</c:v>
                </c:pt>
                <c:pt idx="3">
                  <c:v>6.0000000000000001E-3</c:v>
                </c:pt>
                <c:pt idx="4">
                  <c:v>8.9999999999999993E-3</c:v>
                </c:pt>
                <c:pt idx="5">
                  <c:v>1.2999999999999999E-2</c:v>
                </c:pt>
                <c:pt idx="6">
                  <c:v>2.1000000000000001E-2</c:v>
                </c:pt>
                <c:pt idx="7">
                  <c:v>3.3000000000000002E-2</c:v>
                </c:pt>
                <c:pt idx="8">
                  <c:v>9.1999999999999998E-2</c:v>
                </c:pt>
              </c:numCache>
            </c:numRef>
          </c:val>
        </c:ser>
        <c:ser>
          <c:idx val="1"/>
          <c:order val="1"/>
          <c:tx>
            <c:strRef>
              <c:f>'G33,G36'!$C$1</c:f>
              <c:strCache>
                <c:ptCount val="1"/>
                <c:pt idx="0">
                  <c:v> spolupráce se SŠ a VOŠ</c:v>
                </c:pt>
              </c:strCache>
            </c:strRef>
          </c:tx>
          <c:spPr>
            <a:solidFill>
              <a:schemeClr val="accent2">
                <a:lumMod val="60000"/>
                <a:lumOff val="40000"/>
              </a:schemeClr>
            </a:solidFill>
            <a:ln>
              <a:solidFill>
                <a:schemeClr val="accent2"/>
              </a:solidFill>
            </a:ln>
          </c:spPr>
          <c:invertIfNegative val="0"/>
          <c:dLbls>
            <c:dLbl>
              <c:idx val="1"/>
              <c:layout>
                <c:manualLayout>
                  <c:x val="2.4376065182172692E-2"/>
                  <c:y val="0"/>
                </c:manualLayout>
              </c:layout>
              <c:dLblPos val="outEnd"/>
              <c:showLegendKey val="0"/>
              <c:showVal val="1"/>
              <c:showCatName val="0"/>
              <c:showSerName val="0"/>
              <c:showPercent val="0"/>
              <c:showBubbleSize val="0"/>
            </c:dLbl>
            <c:dLbl>
              <c:idx val="2"/>
              <c:delete val="1"/>
            </c:dLbl>
            <c:dLbl>
              <c:idx val="3"/>
              <c:delete val="1"/>
            </c:dLbl>
            <c:dLbl>
              <c:idx val="4"/>
              <c:delete val="1"/>
            </c:dLbl>
            <c:dLbl>
              <c:idx val="5"/>
              <c:delete val="1"/>
            </c:dLbl>
            <c:dLbl>
              <c:idx val="6"/>
              <c:delete val="1"/>
            </c:dLbl>
            <c:dLbl>
              <c:idx val="7"/>
              <c:layout>
                <c:manualLayout>
                  <c:x val="3.4974459893166769E-2"/>
                  <c:y val="0"/>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'G33,G36'!$A$2:$A$10</c:f>
              <c:strCache>
                <c:ptCount val="9"/>
                <c:pt idx="0">
                  <c:v>firma se školami na této 
úrovni nespolupracovala</c:v>
                </c:pt>
                <c:pt idx="1">
                  <c:v>jiný způsob</c:v>
                </c:pt>
                <c:pt idx="2">
                  <c:v>spolupráce při posuzování
 úrovně dovedností zaměstanců</c:v>
                </c:pt>
                <c:pt idx="3">
                  <c:v>spolupráce při určování
 obsahu odborného vzdělávání</c:v>
                </c:pt>
                <c:pt idx="4">
                  <c:v>přednášky, doškolení 
pro zaměstnance firmy od učitelů</c:v>
                </c:pt>
                <c:pt idx="5">
                  <c:v>spolupráce při vývoji nových 
nebo inovovaných produktů</c:v>
                </c:pt>
                <c:pt idx="6">
                  <c:v>spolupráce na výzkumu či vývoji</c:v>
                </c:pt>
                <c:pt idx="7">
                  <c:v>přednášky odborníků z firmy ve škole</c:v>
                </c:pt>
                <c:pt idx="8">
                  <c:v>zajišťování praxe, výcviku či stáže 
ve firmě pro studenty/učně</c:v>
                </c:pt>
              </c:strCache>
            </c:strRef>
          </c:cat>
          <c:val>
            <c:numRef>
              <c:f>'G33,G36'!$C$2:$C$10</c:f>
              <c:numCache>
                <c:formatCode>0%</c:formatCode>
                <c:ptCount val="9"/>
                <c:pt idx="0">
                  <c:v>0.76900000000000002</c:v>
                </c:pt>
                <c:pt idx="1">
                  <c:v>2.5000000000000001E-2</c:v>
                </c:pt>
                <c:pt idx="2">
                  <c:v>3.0000000000000001E-3</c:v>
                </c:pt>
                <c:pt idx="3">
                  <c:v>8.0000000000000002E-3</c:v>
                </c:pt>
                <c:pt idx="4">
                  <c:v>8.9999999999999993E-3</c:v>
                </c:pt>
                <c:pt idx="5">
                  <c:v>0</c:v>
                </c:pt>
                <c:pt idx="6">
                  <c:v>0</c:v>
                </c:pt>
                <c:pt idx="7">
                  <c:v>0.03</c:v>
                </c:pt>
                <c:pt idx="8">
                  <c:v>0.20799999999999999</c:v>
                </c:pt>
              </c:numCache>
            </c:numRef>
          </c:val>
        </c:ser>
        <c:ser>
          <c:idx val="2"/>
          <c:order val="2"/>
          <c:tx>
            <c:strRef>
              <c:f>'G33,G36'!$D$1</c:f>
              <c:strCache>
                <c:ptCount val="1"/>
                <c:pt idx="0">
                  <c:v>spolupráce se školami obecně</c:v>
                </c:pt>
              </c:strCache>
            </c:strRef>
          </c:tx>
          <c:spPr>
            <a:solidFill>
              <a:schemeClr val="accent1">
                <a:lumMod val="60000"/>
                <a:lumOff val="40000"/>
              </a:schemeClr>
            </a:solidFill>
            <a:ln>
              <a:solidFill>
                <a:schemeClr val="accent1"/>
              </a:solidFill>
            </a:ln>
          </c:spPr>
          <c:invertIfNegative val="0"/>
          <c:dLbls>
            <c:dLbl>
              <c:idx val="1"/>
              <c:layout>
                <c:manualLayout>
                  <c:x val="-8.7076069844578951E-3"/>
                  <c:y val="0"/>
                </c:manualLayout>
              </c:layout>
              <c:dLblPos val="outEnd"/>
              <c:showLegendKey val="0"/>
              <c:showVal val="1"/>
              <c:showCatName val="0"/>
              <c:showSerName val="0"/>
              <c:showPercent val="0"/>
              <c:showBubbleSize val="0"/>
            </c:dLbl>
            <c:dLbl>
              <c:idx val="2"/>
              <c:delete val="1"/>
            </c:dLbl>
            <c:dLbl>
              <c:idx val="3"/>
              <c:delete val="1"/>
            </c:dLbl>
            <c:dLbl>
              <c:idx val="4"/>
              <c:delete val="1"/>
            </c:dLbl>
            <c:dLbl>
              <c:idx val="5"/>
              <c:delete val="1"/>
            </c:dLbl>
            <c:dLbl>
              <c:idx val="7"/>
              <c:layout>
                <c:manualLayout>
                  <c:x val="-5.234547633066201E-3"/>
                  <c:y val="-2.8108932229976947E-7"/>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'G33,G36'!$A$2:$A$10</c:f>
              <c:strCache>
                <c:ptCount val="9"/>
                <c:pt idx="0">
                  <c:v>firma se školami na této 
úrovni nespolupracovala</c:v>
                </c:pt>
                <c:pt idx="1">
                  <c:v>jiný způsob</c:v>
                </c:pt>
                <c:pt idx="2">
                  <c:v>spolupráce při posuzování
 úrovně dovedností zaměstanců</c:v>
                </c:pt>
                <c:pt idx="3">
                  <c:v>spolupráce při určování
 obsahu odborného vzdělávání</c:v>
                </c:pt>
                <c:pt idx="4">
                  <c:v>přednášky, doškolení 
pro zaměstnance firmy od učitelů</c:v>
                </c:pt>
                <c:pt idx="5">
                  <c:v>spolupráce při vývoji nových 
nebo inovovaných produktů</c:v>
                </c:pt>
                <c:pt idx="6">
                  <c:v>spolupráce na výzkumu či vývoji</c:v>
                </c:pt>
                <c:pt idx="7">
                  <c:v>přednášky odborníků z firmy ve škole</c:v>
                </c:pt>
                <c:pt idx="8">
                  <c:v>zajišťování praxe, výcviku či stáže 
ve firmě pro studenty/učně</c:v>
                </c:pt>
              </c:strCache>
            </c:strRef>
          </c:cat>
          <c:val>
            <c:numRef>
              <c:f>'G33,G36'!$D$2:$D$10</c:f>
              <c:numCache>
                <c:formatCode>0%</c:formatCode>
                <c:ptCount val="9"/>
                <c:pt idx="0">
                  <c:v>0.90400000000000003</c:v>
                </c:pt>
                <c:pt idx="1">
                  <c:v>4.2000000000000003E-2</c:v>
                </c:pt>
                <c:pt idx="2">
                  <c:v>5.0000000000000001E-3</c:v>
                </c:pt>
                <c:pt idx="3">
                  <c:v>1.2E-2</c:v>
                </c:pt>
                <c:pt idx="4">
                  <c:v>1.4E-2</c:v>
                </c:pt>
                <c:pt idx="5">
                  <c:v>1.2999999999999999E-2</c:v>
                </c:pt>
                <c:pt idx="6">
                  <c:v>2.1000000000000001E-2</c:v>
                </c:pt>
                <c:pt idx="7">
                  <c:v>4.8000000000000001E-2</c:v>
                </c:pt>
                <c:pt idx="8">
                  <c:v>0.23300000000000001</c:v>
                </c:pt>
              </c:numCache>
            </c:numRef>
          </c:val>
        </c:ser>
        <c:dLbls>
          <c:showLegendKey val="0"/>
          <c:showVal val="0"/>
          <c:showCatName val="0"/>
          <c:showSerName val="0"/>
          <c:showPercent val="0"/>
          <c:showBubbleSize val="0"/>
        </c:dLbls>
        <c:gapWidth val="150"/>
        <c:axId val="142876672"/>
        <c:axId val="141882432"/>
      </c:barChart>
      <c:catAx>
        <c:axId val="142876672"/>
        <c:scaling>
          <c:orientation val="minMax"/>
        </c:scaling>
        <c:delete val="0"/>
        <c:axPos val="l"/>
        <c:numFmt formatCode="General" sourceLinked="1"/>
        <c:majorTickMark val="out"/>
        <c:minorTickMark val="none"/>
        <c:tickLblPos val="nextTo"/>
        <c:crossAx val="141882432"/>
        <c:crosses val="autoZero"/>
        <c:auto val="1"/>
        <c:lblAlgn val="ctr"/>
        <c:lblOffset val="100"/>
        <c:noMultiLvlLbl val="0"/>
      </c:catAx>
      <c:valAx>
        <c:axId val="141882432"/>
        <c:scaling>
          <c:orientation val="minMax"/>
        </c:scaling>
        <c:delete val="1"/>
        <c:axPos val="b"/>
        <c:numFmt formatCode="0%" sourceLinked="1"/>
        <c:majorTickMark val="out"/>
        <c:minorTickMark val="none"/>
        <c:tickLblPos val="nextTo"/>
        <c:crossAx val="142876672"/>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135976082993752"/>
          <c:y val="3.9268178327563505E-2"/>
          <c:w val="0.59001891654016936"/>
          <c:h val="0.81418421694698773"/>
        </c:manualLayout>
      </c:layout>
      <c:barChart>
        <c:barDir val="bar"/>
        <c:grouping val="clustered"/>
        <c:varyColors val="0"/>
        <c:ser>
          <c:idx val="1"/>
          <c:order val="0"/>
          <c:tx>
            <c:strRef>
              <c:f>'G37'!$D$1</c:f>
              <c:strCache>
                <c:ptCount val="1"/>
                <c:pt idx="0">
                  <c:v> firmy z odvětví Ubytování, stravování a pohostinství (I)</c:v>
                </c:pt>
              </c:strCache>
            </c:strRef>
          </c:tx>
          <c:spPr>
            <a:solidFill>
              <a:schemeClr val="accent3"/>
            </a:solidFill>
            <a:ln>
              <a:solidFill>
                <a:schemeClr val="accent3">
                  <a:lumMod val="75000"/>
                </a:schemeClr>
              </a:solidFill>
            </a:ln>
          </c:spPr>
          <c:invertIfNegative val="0"/>
          <c:dLbls>
            <c:dLbl>
              <c:idx val="5"/>
              <c:delete val="1"/>
            </c:dLbl>
            <c:dLbl>
              <c:idx val="6"/>
              <c:delete val="1"/>
            </c:dLbl>
            <c:dLblPos val="inEnd"/>
            <c:showLegendKey val="0"/>
            <c:showVal val="1"/>
            <c:showCatName val="0"/>
            <c:showSerName val="0"/>
            <c:showPercent val="0"/>
            <c:showBubbleSize val="0"/>
            <c:showLeaderLines val="0"/>
          </c:dLbls>
          <c:cat>
            <c:strRef>
              <c:f>'G37'!$A$2:$A$6</c:f>
              <c:strCache>
                <c:ptCount val="5"/>
                <c:pt idx="0">
                  <c:v>jiné důvody</c:v>
                </c:pt>
                <c:pt idx="1">
                  <c:v>snaha vyhnout se neshodě mezi dovednostmi nových pracovníků a potřebami firmy</c:v>
                </c:pt>
                <c:pt idx="2">
                  <c:v>využití kapacit studentů</c:v>
                </c:pt>
                <c:pt idx="3">
                  <c:v>možnost výběru nejlepších 
studentů do řad zaměstnanců</c:v>
                </c:pt>
                <c:pt idx="4">
                  <c:v>získání kvalifikovaných pracovníků</c:v>
                </c:pt>
              </c:strCache>
            </c:strRef>
          </c:cat>
          <c:val>
            <c:numRef>
              <c:f>'G37'!$D$2:$D$6</c:f>
              <c:numCache>
                <c:formatCode>0%</c:formatCode>
                <c:ptCount val="5"/>
                <c:pt idx="0">
                  <c:v>7.0000000000000007E-2</c:v>
                </c:pt>
                <c:pt idx="1">
                  <c:v>2.1999999999999999E-2</c:v>
                </c:pt>
                <c:pt idx="2">
                  <c:v>0.104</c:v>
                </c:pt>
                <c:pt idx="3">
                  <c:v>0.153</c:v>
                </c:pt>
                <c:pt idx="4">
                  <c:v>0.22500000000000001</c:v>
                </c:pt>
              </c:numCache>
            </c:numRef>
          </c:val>
        </c:ser>
        <c:ser>
          <c:idx val="0"/>
          <c:order val="1"/>
          <c:tx>
            <c:strRef>
              <c:f>'G37'!$C$1</c:f>
              <c:strCache>
                <c:ptCount val="1"/>
                <c:pt idx="0">
                  <c:v> firmy z odvětví Průmyslu (BC)</c:v>
                </c:pt>
              </c:strCache>
            </c:strRef>
          </c:tx>
          <c:spPr>
            <a:solidFill>
              <a:schemeClr val="accent2">
                <a:lumMod val="60000"/>
                <a:lumOff val="40000"/>
              </a:schemeClr>
            </a:solidFill>
            <a:ln>
              <a:solidFill>
                <a:schemeClr val="accent2"/>
              </a:solidFill>
            </a:ln>
          </c:spPr>
          <c:invertIfNegative val="0"/>
          <c:dLbls>
            <c:dLblPos val="inEnd"/>
            <c:showLegendKey val="0"/>
            <c:showVal val="1"/>
            <c:showCatName val="0"/>
            <c:showSerName val="0"/>
            <c:showPercent val="0"/>
            <c:showBubbleSize val="0"/>
            <c:showLeaderLines val="0"/>
          </c:dLbls>
          <c:cat>
            <c:strRef>
              <c:f>'G37'!$A$2:$A$6</c:f>
              <c:strCache>
                <c:ptCount val="5"/>
                <c:pt idx="0">
                  <c:v>jiné důvody</c:v>
                </c:pt>
                <c:pt idx="1">
                  <c:v>snaha vyhnout se neshodě mezi dovednostmi nových pracovníků a potřebami firmy</c:v>
                </c:pt>
                <c:pt idx="2">
                  <c:v>využití kapacit studentů</c:v>
                </c:pt>
                <c:pt idx="3">
                  <c:v>možnost výběru nejlepších 
studentů do řad zaměstnanců</c:v>
                </c:pt>
                <c:pt idx="4">
                  <c:v>získání kvalifikovaných pracovníků</c:v>
                </c:pt>
              </c:strCache>
            </c:strRef>
          </c:cat>
          <c:val>
            <c:numRef>
              <c:f>'G37'!$C$2:$C$6</c:f>
              <c:numCache>
                <c:formatCode>0%</c:formatCode>
                <c:ptCount val="5"/>
                <c:pt idx="0">
                  <c:v>9.9000000000000005E-2</c:v>
                </c:pt>
                <c:pt idx="1">
                  <c:v>3.9E-2</c:v>
                </c:pt>
                <c:pt idx="2">
                  <c:v>6.8000000000000005E-2</c:v>
                </c:pt>
                <c:pt idx="3">
                  <c:v>0.11899999999999999</c:v>
                </c:pt>
                <c:pt idx="4">
                  <c:v>0.21299999999999999</c:v>
                </c:pt>
              </c:numCache>
            </c:numRef>
          </c:val>
        </c:ser>
        <c:ser>
          <c:idx val="2"/>
          <c:order val="2"/>
          <c:tx>
            <c:strRef>
              <c:f>'G37'!$E$1</c:f>
              <c:strCache>
                <c:ptCount val="1"/>
                <c:pt idx="0">
                  <c:v> všechny firmy</c:v>
                </c:pt>
              </c:strCache>
            </c:strRef>
          </c:tx>
          <c:spPr>
            <a:solidFill>
              <a:schemeClr val="accent1">
                <a:lumMod val="60000"/>
                <a:lumOff val="40000"/>
              </a:schemeClr>
            </a:solidFill>
            <a:ln>
              <a:solidFill>
                <a:schemeClr val="accent1"/>
              </a:solidFill>
            </a:ln>
          </c:spPr>
          <c:invertIfNegative val="0"/>
          <c:dLbls>
            <c:dLblPos val="inEnd"/>
            <c:showLegendKey val="0"/>
            <c:showVal val="1"/>
            <c:showCatName val="0"/>
            <c:showSerName val="0"/>
            <c:showPercent val="0"/>
            <c:showBubbleSize val="0"/>
            <c:showLeaderLines val="0"/>
          </c:dLbls>
          <c:cat>
            <c:strRef>
              <c:f>'G37'!$A$2:$A$6</c:f>
              <c:strCache>
                <c:ptCount val="5"/>
                <c:pt idx="0">
                  <c:v>jiné důvody</c:v>
                </c:pt>
                <c:pt idx="1">
                  <c:v>snaha vyhnout se neshodě mezi dovednostmi nových pracovníků a potřebami firmy</c:v>
                </c:pt>
                <c:pt idx="2">
                  <c:v>využití kapacit studentů</c:v>
                </c:pt>
                <c:pt idx="3">
                  <c:v>možnost výběru nejlepších 
studentů do řad zaměstnanců</c:v>
                </c:pt>
                <c:pt idx="4">
                  <c:v>získání kvalifikovaných pracovníků</c:v>
                </c:pt>
              </c:strCache>
            </c:strRef>
          </c:cat>
          <c:val>
            <c:numRef>
              <c:f>'G37'!$E$2:$E$6</c:f>
              <c:numCache>
                <c:formatCode>0%</c:formatCode>
                <c:ptCount val="5"/>
                <c:pt idx="0">
                  <c:v>7.8E-2</c:v>
                </c:pt>
                <c:pt idx="1">
                  <c:v>2.1999999999999999E-2</c:v>
                </c:pt>
                <c:pt idx="2">
                  <c:v>5.6000000000000001E-2</c:v>
                </c:pt>
                <c:pt idx="3">
                  <c:v>8.5999999999999993E-2</c:v>
                </c:pt>
                <c:pt idx="4">
                  <c:v>0.15</c:v>
                </c:pt>
              </c:numCache>
            </c:numRef>
          </c:val>
        </c:ser>
        <c:dLbls>
          <c:showLegendKey val="0"/>
          <c:showVal val="0"/>
          <c:showCatName val="0"/>
          <c:showSerName val="0"/>
          <c:showPercent val="0"/>
          <c:showBubbleSize val="0"/>
        </c:dLbls>
        <c:gapWidth val="150"/>
        <c:axId val="142878208"/>
        <c:axId val="141884160"/>
      </c:barChart>
      <c:catAx>
        <c:axId val="142878208"/>
        <c:scaling>
          <c:orientation val="minMax"/>
        </c:scaling>
        <c:delete val="0"/>
        <c:axPos val="l"/>
        <c:numFmt formatCode="General" sourceLinked="1"/>
        <c:majorTickMark val="out"/>
        <c:minorTickMark val="none"/>
        <c:tickLblPos val="nextTo"/>
        <c:crossAx val="141884160"/>
        <c:crosses val="autoZero"/>
        <c:auto val="1"/>
        <c:lblAlgn val="ctr"/>
        <c:lblOffset val="100"/>
        <c:noMultiLvlLbl val="0"/>
      </c:catAx>
      <c:valAx>
        <c:axId val="141884160"/>
        <c:scaling>
          <c:orientation val="minMax"/>
        </c:scaling>
        <c:delete val="1"/>
        <c:axPos val="b"/>
        <c:numFmt formatCode="0%" sourceLinked="1"/>
        <c:majorTickMark val="out"/>
        <c:minorTickMark val="none"/>
        <c:tickLblPos val="nextTo"/>
        <c:crossAx val="142878208"/>
        <c:crosses val="autoZero"/>
        <c:crossBetween val="between"/>
      </c:valAx>
    </c:plotArea>
    <c:legend>
      <c:legendPos val="b"/>
      <c:layout>
        <c:manualLayout>
          <c:xMode val="edge"/>
          <c:yMode val="edge"/>
          <c:x val="5.4402472010834806E-2"/>
          <c:y val="0.86405030599383625"/>
          <c:w val="0.89999989600582642"/>
          <c:h val="0.11453068764567455"/>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'G38'!$B$1</c:f>
              <c:strCache>
                <c:ptCount val="1"/>
                <c:pt idx="0">
                  <c:v> více pracovních míst</c:v>
                </c:pt>
              </c:strCache>
            </c:strRef>
          </c:tx>
          <c:spPr>
            <a:solidFill>
              <a:schemeClr val="accent1">
                <a:lumMod val="60000"/>
                <a:lumOff val="40000"/>
              </a:schemeClr>
            </a:solidFill>
            <a:ln>
              <a:solidFill>
                <a:schemeClr val="accent1"/>
              </a:solidFill>
            </a:ln>
          </c:spPr>
          <c:invertIfNegative val="0"/>
          <c:dLbls>
            <c:showLegendKey val="0"/>
            <c:showVal val="1"/>
            <c:showCatName val="0"/>
            <c:showSerName val="0"/>
            <c:showPercent val="0"/>
            <c:showBubbleSize val="0"/>
            <c:showLeaderLines val="0"/>
          </c:dLbls>
          <c:cat>
            <c:strRef>
              <c:f>'G38'!$A$2:$A$6</c:f>
              <c:strCache>
                <c:ptCount val="5"/>
                <c:pt idx="0">
                  <c:v>celkem</c:v>
                </c:pt>
                <c:pt idx="1">
                  <c:v>10–19 zaměstanců</c:v>
                </c:pt>
                <c:pt idx="2">
                  <c:v>20–49 zaměstnanců</c:v>
                </c:pt>
                <c:pt idx="3">
                  <c:v>50–249 zaměstnanců</c:v>
                </c:pt>
                <c:pt idx="4">
                  <c:v>250 a více zaměstnanců</c:v>
                </c:pt>
              </c:strCache>
            </c:strRef>
          </c:cat>
          <c:val>
            <c:numRef>
              <c:f>'G38'!$B$2:$B$6</c:f>
              <c:numCache>
                <c:formatCode>0%</c:formatCode>
                <c:ptCount val="5"/>
                <c:pt idx="0">
                  <c:v>0.32700000000000001</c:v>
                </c:pt>
                <c:pt idx="1">
                  <c:v>0.23499999999999999</c:v>
                </c:pt>
                <c:pt idx="2">
                  <c:v>0.315</c:v>
                </c:pt>
                <c:pt idx="3">
                  <c:v>0.48199999999999998</c:v>
                </c:pt>
                <c:pt idx="4">
                  <c:v>0.71099999999999997</c:v>
                </c:pt>
              </c:numCache>
            </c:numRef>
          </c:val>
        </c:ser>
        <c:ser>
          <c:idx val="1"/>
          <c:order val="1"/>
          <c:tx>
            <c:strRef>
              <c:f>'G38'!$C$1</c:f>
              <c:strCache>
                <c:ptCount val="1"/>
                <c:pt idx="0">
                  <c:v> jedno pracovní místo</c:v>
                </c:pt>
              </c:strCache>
            </c:strRef>
          </c:tx>
          <c:spPr>
            <a:solidFill>
              <a:schemeClr val="accent2">
                <a:lumMod val="60000"/>
                <a:lumOff val="40000"/>
              </a:schemeClr>
            </a:solidFill>
            <a:ln>
              <a:solidFill>
                <a:schemeClr val="accent2"/>
              </a:solidFill>
            </a:ln>
          </c:spPr>
          <c:invertIfNegative val="0"/>
          <c:dLbls>
            <c:showLegendKey val="0"/>
            <c:showVal val="1"/>
            <c:showCatName val="0"/>
            <c:showSerName val="0"/>
            <c:showPercent val="0"/>
            <c:showBubbleSize val="0"/>
            <c:showLeaderLines val="0"/>
          </c:dLbls>
          <c:cat>
            <c:strRef>
              <c:f>'G38'!$A$2:$A$6</c:f>
              <c:strCache>
                <c:ptCount val="5"/>
                <c:pt idx="0">
                  <c:v>celkem</c:v>
                </c:pt>
                <c:pt idx="1">
                  <c:v>10–19 zaměstanců</c:v>
                </c:pt>
                <c:pt idx="2">
                  <c:v>20–49 zaměstnanců</c:v>
                </c:pt>
                <c:pt idx="3">
                  <c:v>50–249 zaměstnanců</c:v>
                </c:pt>
                <c:pt idx="4">
                  <c:v>250 a více zaměstnanců</c:v>
                </c:pt>
              </c:strCache>
            </c:strRef>
          </c:cat>
          <c:val>
            <c:numRef>
              <c:f>'G38'!$C$2:$C$6</c:f>
              <c:numCache>
                <c:formatCode>0%</c:formatCode>
                <c:ptCount val="5"/>
                <c:pt idx="0">
                  <c:v>0.13100000000000001</c:v>
                </c:pt>
                <c:pt idx="1">
                  <c:v>0.155</c:v>
                </c:pt>
                <c:pt idx="2">
                  <c:v>0.113</c:v>
                </c:pt>
                <c:pt idx="3">
                  <c:v>0.114</c:v>
                </c:pt>
                <c:pt idx="4">
                  <c:v>7.1999999999999995E-2</c:v>
                </c:pt>
              </c:numCache>
            </c:numRef>
          </c:val>
        </c:ser>
        <c:ser>
          <c:idx val="2"/>
          <c:order val="2"/>
          <c:tx>
            <c:strRef>
              <c:f>'G38'!$D$1</c:f>
              <c:strCache>
                <c:ptCount val="1"/>
                <c:pt idx="0">
                  <c:v> nebyl problém s obsazením volného pracovního místa</c:v>
                </c:pt>
              </c:strCache>
            </c:strRef>
          </c:tx>
          <c:spPr>
            <a:solidFill>
              <a:schemeClr val="accent3"/>
            </a:solidFill>
            <a:ln>
              <a:solidFill>
                <a:schemeClr val="accent3">
                  <a:lumMod val="75000"/>
                </a:schemeClr>
              </a:solidFill>
            </a:ln>
          </c:spPr>
          <c:invertIfNegative val="0"/>
          <c:dLbls>
            <c:showLegendKey val="0"/>
            <c:showVal val="1"/>
            <c:showCatName val="0"/>
            <c:showSerName val="0"/>
            <c:showPercent val="0"/>
            <c:showBubbleSize val="0"/>
            <c:showLeaderLines val="0"/>
          </c:dLbls>
          <c:cat>
            <c:strRef>
              <c:f>'G38'!$A$2:$A$6</c:f>
              <c:strCache>
                <c:ptCount val="5"/>
                <c:pt idx="0">
                  <c:v>celkem</c:v>
                </c:pt>
                <c:pt idx="1">
                  <c:v>10–19 zaměstanců</c:v>
                </c:pt>
                <c:pt idx="2">
                  <c:v>20–49 zaměstnanců</c:v>
                </c:pt>
                <c:pt idx="3">
                  <c:v>50–249 zaměstnanců</c:v>
                </c:pt>
                <c:pt idx="4">
                  <c:v>250 a více zaměstnanců</c:v>
                </c:pt>
              </c:strCache>
            </c:strRef>
          </c:cat>
          <c:val>
            <c:numRef>
              <c:f>'G38'!$D$2:$D$6</c:f>
              <c:numCache>
                <c:formatCode>0%</c:formatCode>
                <c:ptCount val="5"/>
                <c:pt idx="0">
                  <c:v>0.54300000000000004</c:v>
                </c:pt>
                <c:pt idx="1">
                  <c:v>0.61</c:v>
                </c:pt>
                <c:pt idx="2">
                  <c:v>0.57199999999999995</c:v>
                </c:pt>
                <c:pt idx="3">
                  <c:v>0.40400000000000003</c:v>
                </c:pt>
                <c:pt idx="4">
                  <c:v>0.216</c:v>
                </c:pt>
              </c:numCache>
            </c:numRef>
          </c:val>
        </c:ser>
        <c:dLbls>
          <c:showLegendKey val="0"/>
          <c:showVal val="0"/>
          <c:showCatName val="0"/>
          <c:showSerName val="0"/>
          <c:showPercent val="0"/>
          <c:showBubbleSize val="0"/>
        </c:dLbls>
        <c:gapWidth val="150"/>
        <c:overlap val="100"/>
        <c:axId val="142878720"/>
        <c:axId val="142942784"/>
      </c:barChart>
      <c:catAx>
        <c:axId val="142878720"/>
        <c:scaling>
          <c:orientation val="minMax"/>
        </c:scaling>
        <c:delete val="0"/>
        <c:axPos val="b"/>
        <c:majorTickMark val="out"/>
        <c:minorTickMark val="none"/>
        <c:tickLblPos val="nextTo"/>
        <c:crossAx val="142942784"/>
        <c:crosses val="autoZero"/>
        <c:auto val="1"/>
        <c:lblAlgn val="ctr"/>
        <c:lblOffset val="100"/>
        <c:noMultiLvlLbl val="0"/>
      </c:catAx>
      <c:valAx>
        <c:axId val="142942784"/>
        <c:scaling>
          <c:orientation val="minMax"/>
        </c:scaling>
        <c:delete val="1"/>
        <c:axPos val="l"/>
        <c:numFmt formatCode="0%" sourceLinked="1"/>
        <c:majorTickMark val="out"/>
        <c:minorTickMark val="none"/>
        <c:tickLblPos val="nextTo"/>
        <c:crossAx val="142878720"/>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415631658482881"/>
          <c:y val="3.3154216886167195E-2"/>
          <c:w val="0.62681384922578465"/>
          <c:h val="0.89416313639542599"/>
        </c:manualLayout>
      </c:layout>
      <c:barChart>
        <c:barDir val="bar"/>
        <c:grouping val="percentStacked"/>
        <c:varyColors val="0"/>
        <c:ser>
          <c:idx val="0"/>
          <c:order val="0"/>
          <c:tx>
            <c:strRef>
              <c:f>'G39'!$B$1</c:f>
              <c:strCache>
                <c:ptCount val="1"/>
                <c:pt idx="0">
                  <c:v> více pracovních míst</c:v>
                </c:pt>
              </c:strCache>
            </c:strRef>
          </c:tx>
          <c:spPr>
            <a:solidFill>
              <a:schemeClr val="accent1">
                <a:lumMod val="60000"/>
                <a:lumOff val="40000"/>
              </a:schemeClr>
            </a:solidFill>
            <a:ln>
              <a:solidFill>
                <a:schemeClr val="accent1"/>
              </a:solidFill>
            </a:ln>
          </c:spPr>
          <c:invertIfNegative val="0"/>
          <c:dPt>
            <c:idx val="0"/>
            <c:invertIfNegative val="0"/>
            <c:bubble3D val="0"/>
            <c:spPr>
              <a:solidFill>
                <a:schemeClr val="accent1">
                  <a:lumMod val="60000"/>
                  <a:lumOff val="40000"/>
                </a:schemeClr>
              </a:solidFill>
              <a:ln w="15875" cmpd="sng">
                <a:solidFill>
                  <a:schemeClr val="accent1"/>
                </a:solidFill>
              </a:ln>
            </c:spPr>
          </c:dPt>
          <c:dLbls>
            <c:txPr>
              <a:bodyPr rot="0" vert="horz"/>
              <a:lstStyle/>
              <a:p>
                <a:pPr>
                  <a:defRPr/>
                </a:pPr>
                <a:endParaRPr lang="cs-CZ"/>
              </a:p>
            </c:txPr>
            <c:dLblPos val="inEnd"/>
            <c:showLegendKey val="0"/>
            <c:showVal val="1"/>
            <c:showCatName val="0"/>
            <c:showSerName val="0"/>
            <c:showPercent val="0"/>
            <c:showBubbleSize val="0"/>
            <c:showLeaderLines val="0"/>
          </c:dLbls>
          <c:cat>
            <c:strRef>
              <c:f>'G39'!$A$2:$A$11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'G39'!$B$2:$B$11</c:f>
              <c:numCache>
                <c:formatCode>0%</c:formatCode>
                <c:ptCount val="10"/>
                <c:pt idx="0">
                  <c:v>0.254</c:v>
                </c:pt>
                <c:pt idx="1">
                  <c:v>0.29299999999999998</c:v>
                </c:pt>
                <c:pt idx="2">
                  <c:v>0.41299999999999998</c:v>
                </c:pt>
                <c:pt idx="3">
                  <c:v>0.36799999999999999</c:v>
                </c:pt>
                <c:pt idx="4">
                  <c:v>0.35399999999999998</c:v>
                </c:pt>
                <c:pt idx="5">
                  <c:v>0.26500000000000001</c:v>
                </c:pt>
                <c:pt idx="6">
                  <c:v>0.27100000000000002</c:v>
                </c:pt>
                <c:pt idx="7">
                  <c:v>0.214</c:v>
                </c:pt>
                <c:pt idx="8">
                  <c:v>0.41799999999999998</c:v>
                </c:pt>
                <c:pt idx="9">
                  <c:v>0.32700000000000001</c:v>
                </c:pt>
              </c:numCache>
            </c:numRef>
          </c:val>
        </c:ser>
        <c:ser>
          <c:idx val="1"/>
          <c:order val="1"/>
          <c:tx>
            <c:strRef>
              <c:f>'G39'!$C$1</c:f>
              <c:strCache>
                <c:ptCount val="1"/>
                <c:pt idx="0">
                  <c:v> jedno pracovní místo</c:v>
                </c:pt>
              </c:strCache>
            </c:strRef>
          </c:tx>
          <c:spPr>
            <a:solidFill>
              <a:schemeClr val="accent2">
                <a:lumMod val="60000"/>
                <a:lumOff val="40000"/>
              </a:schemeClr>
            </a:solidFill>
            <a:ln>
              <a:solidFill>
                <a:schemeClr val="accent2"/>
              </a:solidFill>
            </a:ln>
          </c:spPr>
          <c:invertIfNegative val="0"/>
          <c:dLbls>
            <c:txPr>
              <a:bodyPr rot="0" vert="horz"/>
              <a:lstStyle/>
              <a:p>
                <a:pPr>
                  <a:defRPr/>
                </a:pPr>
                <a:endParaRPr lang="cs-CZ"/>
              </a:p>
            </c:txPr>
            <c:dLblPos val="inEnd"/>
            <c:showLegendKey val="0"/>
            <c:showVal val="1"/>
            <c:showCatName val="0"/>
            <c:showSerName val="0"/>
            <c:showPercent val="0"/>
            <c:showBubbleSize val="0"/>
            <c:showLeaderLines val="0"/>
          </c:dLbls>
          <c:cat>
            <c:strRef>
              <c:f>'G39'!$A$2:$A$11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'G39'!$C$2:$C$11</c:f>
              <c:numCache>
                <c:formatCode>0%</c:formatCode>
                <c:ptCount val="10"/>
                <c:pt idx="0">
                  <c:v>0.11799999999999999</c:v>
                </c:pt>
                <c:pt idx="1">
                  <c:v>0.115</c:v>
                </c:pt>
                <c:pt idx="2">
                  <c:v>0.14799999999999999</c:v>
                </c:pt>
                <c:pt idx="3">
                  <c:v>0.11799999999999999</c:v>
                </c:pt>
                <c:pt idx="4">
                  <c:v>0.127</c:v>
                </c:pt>
                <c:pt idx="5">
                  <c:v>0.14099999999999999</c:v>
                </c:pt>
                <c:pt idx="6">
                  <c:v>0.13400000000000001</c:v>
                </c:pt>
                <c:pt idx="7">
                  <c:v>0.105</c:v>
                </c:pt>
                <c:pt idx="8">
                  <c:v>0.13400000000000001</c:v>
                </c:pt>
                <c:pt idx="9">
                  <c:v>0.13100000000000001</c:v>
                </c:pt>
              </c:numCache>
            </c:numRef>
          </c:val>
        </c:ser>
        <c:ser>
          <c:idx val="2"/>
          <c:order val="2"/>
          <c:tx>
            <c:strRef>
              <c:f>'G39'!$D$1</c:f>
              <c:strCache>
                <c:ptCount val="1"/>
                <c:pt idx="0">
                  <c:v> nebyl problém s obsazením volného pracovního místa</c:v>
                </c:pt>
              </c:strCache>
            </c:strRef>
          </c:tx>
          <c:spPr>
            <a:ln>
              <a:solidFill>
                <a:schemeClr val="accent3">
                  <a:lumMod val="75000"/>
                </a:schemeClr>
              </a:solidFill>
            </a:ln>
          </c:spPr>
          <c:invertIfNegative val="0"/>
          <c:dLbls>
            <c:txPr>
              <a:bodyPr rot="0" vert="horz"/>
              <a:lstStyle/>
              <a:p>
                <a:pPr>
                  <a:defRPr/>
                </a:pPr>
                <a:endParaRPr lang="cs-CZ"/>
              </a:p>
            </c:txPr>
            <c:dLblPos val="inEnd"/>
            <c:showLegendKey val="0"/>
            <c:showVal val="1"/>
            <c:showCatName val="0"/>
            <c:showSerName val="0"/>
            <c:showPercent val="0"/>
            <c:showBubbleSize val="0"/>
            <c:showLeaderLines val="0"/>
          </c:dLbls>
          <c:cat>
            <c:strRef>
              <c:f>'G39'!$A$2:$A$11</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'G39'!$D$2:$D$11</c:f>
              <c:numCache>
                <c:formatCode>0%</c:formatCode>
                <c:ptCount val="10"/>
                <c:pt idx="0">
                  <c:v>0.627</c:v>
                </c:pt>
                <c:pt idx="1">
                  <c:v>0.59199999999999997</c:v>
                </c:pt>
                <c:pt idx="2">
                  <c:v>0.439</c:v>
                </c:pt>
                <c:pt idx="3">
                  <c:v>0.51400000000000001</c:v>
                </c:pt>
                <c:pt idx="4">
                  <c:v>0.51900000000000002</c:v>
                </c:pt>
                <c:pt idx="5">
                  <c:v>0.59399999999999997</c:v>
                </c:pt>
                <c:pt idx="6">
                  <c:v>0.59499999999999997</c:v>
                </c:pt>
                <c:pt idx="7">
                  <c:v>0.68100000000000005</c:v>
                </c:pt>
                <c:pt idx="8">
                  <c:v>0.44800000000000001</c:v>
                </c:pt>
                <c:pt idx="9">
                  <c:v>0.54300000000000004</c:v>
                </c:pt>
              </c:numCache>
            </c:numRef>
          </c:val>
        </c:ser>
        <c:dLbls>
          <c:showLegendKey val="0"/>
          <c:showVal val="0"/>
          <c:showCatName val="0"/>
          <c:showSerName val="0"/>
          <c:showPercent val="0"/>
          <c:showBubbleSize val="0"/>
        </c:dLbls>
        <c:gapWidth val="150"/>
        <c:overlap val="100"/>
        <c:axId val="142741504"/>
        <c:axId val="142944512"/>
      </c:barChart>
      <c:catAx>
        <c:axId val="142741504"/>
        <c:scaling>
          <c:orientation val="minMax"/>
        </c:scaling>
        <c:delete val="0"/>
        <c:axPos val="l"/>
        <c:majorTickMark val="out"/>
        <c:minorTickMark val="none"/>
        <c:tickLblPos val="nextTo"/>
        <c:txPr>
          <a:bodyPr rot="0" vert="horz"/>
          <a:lstStyle/>
          <a:p>
            <a:pPr>
              <a:defRPr/>
            </a:pPr>
            <a:endParaRPr lang="cs-CZ"/>
          </a:p>
        </c:txPr>
        <c:crossAx val="142944512"/>
        <c:crosses val="autoZero"/>
        <c:auto val="1"/>
        <c:lblAlgn val="ctr"/>
        <c:lblOffset val="100"/>
        <c:noMultiLvlLbl val="0"/>
      </c:catAx>
      <c:valAx>
        <c:axId val="142944512"/>
        <c:scaling>
          <c:orientation val="minMax"/>
        </c:scaling>
        <c:delete val="1"/>
        <c:axPos val="b"/>
        <c:numFmt formatCode="0%" sourceLinked="0"/>
        <c:majorTickMark val="out"/>
        <c:minorTickMark val="none"/>
        <c:tickLblPos val="nextTo"/>
        <c:crossAx val="142741504"/>
        <c:crosses val="autoZero"/>
        <c:crossBetween val="between"/>
      </c:valAx>
      <c:spPr>
        <a:noFill/>
        <a:ln>
          <a:noFill/>
        </a:ln>
      </c:spPr>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9904086063316165E-2"/>
          <c:y val="7.0402710855172954E-2"/>
          <c:w val="0.92009591393668388"/>
          <c:h val="0.6299230443220093"/>
        </c:manualLayout>
      </c:layout>
      <c:barChart>
        <c:barDir val="col"/>
        <c:grouping val="percentStacked"/>
        <c:varyColors val="0"/>
        <c:ser>
          <c:idx val="0"/>
          <c:order val="0"/>
          <c:tx>
            <c:strRef>
              <c:f>'G4-G6'!$A$37</c:f>
              <c:strCache>
                <c:ptCount val="1"/>
                <c:pt idx="0">
                  <c:v>útvar zaměřený na vzdělávání</c:v>
                </c:pt>
              </c:strCache>
            </c:strRef>
          </c:tx>
          <c:spPr>
            <a:solidFill>
              <a:schemeClr val="accent1">
                <a:lumMod val="60000"/>
                <a:lumOff val="40000"/>
              </a:schemeClr>
            </a:solidFill>
            <a:ln>
              <a:solidFill>
                <a:schemeClr val="accent1"/>
              </a:solidFill>
            </a:ln>
          </c:spPr>
          <c:invertIfNegative val="0"/>
          <c:dLbls>
            <c:numFmt formatCode="0%" sourceLinked="0"/>
            <c:showLegendKey val="0"/>
            <c:showVal val="1"/>
            <c:showCatName val="0"/>
            <c:showSerName val="0"/>
            <c:showPercent val="0"/>
            <c:showBubbleSize val="0"/>
            <c:showLeaderLines val="0"/>
          </c:dLbls>
          <c:cat>
            <c:strRef>
              <c:f>'G4-G6'!$B$36:$F$36</c:f>
              <c:strCache>
                <c:ptCount val="5"/>
                <c:pt idx="0">
                  <c:v>celkem</c:v>
                </c:pt>
                <c:pt idx="1">
                  <c:v>10–19 zaměstnanců</c:v>
                </c:pt>
                <c:pt idx="2">
                  <c:v>20–49 zaměstnanců</c:v>
                </c:pt>
                <c:pt idx="3">
                  <c:v>50–249 zaměstnanců</c:v>
                </c:pt>
                <c:pt idx="4">
                  <c:v>více než 250 zaměstnanců</c:v>
                </c:pt>
              </c:strCache>
            </c:strRef>
          </c:cat>
          <c:val>
            <c:numRef>
              <c:f>'G4-G6'!$B$37:$F$37</c:f>
              <c:numCache>
                <c:formatCode>General</c:formatCode>
                <c:ptCount val="5"/>
                <c:pt idx="0">
                  <c:v>3.4779999999999998E-2</c:v>
                </c:pt>
                <c:pt idx="1">
                  <c:v>1.223E-2</c:v>
                </c:pt>
                <c:pt idx="2">
                  <c:v>2.0160000000000001E-2</c:v>
                </c:pt>
                <c:pt idx="3">
                  <c:v>6.8159999999999998E-2</c:v>
                </c:pt>
                <c:pt idx="4">
                  <c:v>0.23844000000000001</c:v>
                </c:pt>
              </c:numCache>
            </c:numRef>
          </c:val>
        </c:ser>
        <c:ser>
          <c:idx val="1"/>
          <c:order val="1"/>
          <c:tx>
            <c:strRef>
              <c:f>'G4-G6'!$A$38</c:f>
              <c:strCache>
                <c:ptCount val="1"/>
                <c:pt idx="0">
                  <c:v>zaměstnanec zodpovědný za vzdělávání (hlavní činnost)</c:v>
                </c:pt>
              </c:strCache>
            </c:strRef>
          </c:tx>
          <c:spPr>
            <a:solidFill>
              <a:schemeClr val="accent2">
                <a:lumMod val="60000"/>
                <a:lumOff val="40000"/>
              </a:schemeClr>
            </a:solidFill>
            <a:ln>
              <a:solidFill>
                <a:schemeClr val="accent2"/>
              </a:solidFill>
            </a:ln>
          </c:spPr>
          <c:invertIfNegative val="0"/>
          <c:dLbls>
            <c:dLbl>
              <c:idx val="0"/>
              <c:layout>
                <c:manualLayout>
                  <c:x val="6.1728395061728357E-2"/>
                  <c:y val="0"/>
                </c:manualLayout>
              </c:layout>
              <c:showLegendKey val="0"/>
              <c:showVal val="1"/>
              <c:showCatName val="0"/>
              <c:showSerName val="0"/>
              <c:showPercent val="0"/>
              <c:showBubbleSize val="0"/>
            </c:dLbl>
            <c:dLbl>
              <c:idx val="1"/>
              <c:layout>
                <c:manualLayout>
                  <c:x val="6.1728395061728392E-2"/>
                  <c:y val="-1.1331444759206799E-2"/>
                </c:manualLayout>
              </c:layout>
              <c:showLegendKey val="0"/>
              <c:showVal val="1"/>
              <c:showCatName val="0"/>
              <c:showSerName val="0"/>
              <c:showPercent val="0"/>
              <c:showBubbleSize val="0"/>
            </c:dLbl>
            <c:dLbl>
              <c:idx val="2"/>
              <c:layout>
                <c:manualLayout>
                  <c:x val="6.1728395061728392E-2"/>
                  <c:y val="-3.7771482530689331E-3"/>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'G4-G6'!$B$36:$F$36</c:f>
              <c:strCache>
                <c:ptCount val="5"/>
                <c:pt idx="0">
                  <c:v>celkem</c:v>
                </c:pt>
                <c:pt idx="1">
                  <c:v>10–19 zaměstnanců</c:v>
                </c:pt>
                <c:pt idx="2">
                  <c:v>20–49 zaměstnanců</c:v>
                </c:pt>
                <c:pt idx="3">
                  <c:v>50–249 zaměstnanců</c:v>
                </c:pt>
                <c:pt idx="4">
                  <c:v>více než 250 zaměstnanců</c:v>
                </c:pt>
              </c:strCache>
            </c:strRef>
          </c:cat>
          <c:val>
            <c:numRef>
              <c:f>'G4-G6'!$B$38:$F$38</c:f>
              <c:numCache>
                <c:formatCode>General</c:formatCode>
                <c:ptCount val="5"/>
                <c:pt idx="0">
                  <c:v>3.5630000000000002E-2</c:v>
                </c:pt>
                <c:pt idx="1">
                  <c:v>1.342E-2</c:v>
                </c:pt>
                <c:pt idx="2">
                  <c:v>2.5530000000000001E-2</c:v>
                </c:pt>
                <c:pt idx="3">
                  <c:v>6.3560000000000005E-2</c:v>
                </c:pt>
                <c:pt idx="4">
                  <c:v>0.22461999999999999</c:v>
                </c:pt>
              </c:numCache>
            </c:numRef>
          </c:val>
        </c:ser>
        <c:ser>
          <c:idx val="2"/>
          <c:order val="2"/>
          <c:tx>
            <c:strRef>
              <c:f>'G4-G6'!$A$39</c:f>
              <c:strCache>
                <c:ptCount val="1"/>
                <c:pt idx="0">
                  <c:v>zaměstnanec zodpovědný za vzdělávání (vedlejší činnost)</c:v>
                </c:pt>
              </c:strCache>
            </c:strRef>
          </c:tx>
          <c:spPr>
            <a:solidFill>
              <a:schemeClr val="accent3"/>
            </a:solidFill>
            <a:ln>
              <a:solidFill>
                <a:schemeClr val="accent3">
                  <a:lumMod val="75000"/>
                </a:schemeClr>
              </a:solidFill>
            </a:ln>
          </c:spPr>
          <c:invertIfNegative val="0"/>
          <c:dLbls>
            <c:numFmt formatCode="0%" sourceLinked="0"/>
            <c:showLegendKey val="0"/>
            <c:showVal val="1"/>
            <c:showCatName val="0"/>
            <c:showSerName val="0"/>
            <c:showPercent val="0"/>
            <c:showBubbleSize val="0"/>
            <c:showLeaderLines val="0"/>
          </c:dLbls>
          <c:cat>
            <c:strRef>
              <c:f>'G4-G6'!$B$36:$F$36</c:f>
              <c:strCache>
                <c:ptCount val="5"/>
                <c:pt idx="0">
                  <c:v>celkem</c:v>
                </c:pt>
                <c:pt idx="1">
                  <c:v>10–19 zaměstnanců</c:v>
                </c:pt>
                <c:pt idx="2">
                  <c:v>20–49 zaměstnanců</c:v>
                </c:pt>
                <c:pt idx="3">
                  <c:v>50–249 zaměstnanců</c:v>
                </c:pt>
                <c:pt idx="4">
                  <c:v>více než 250 zaměstnanců</c:v>
                </c:pt>
              </c:strCache>
            </c:strRef>
          </c:cat>
          <c:val>
            <c:numRef>
              <c:f>'G4-G6'!$B$39:$F$39</c:f>
              <c:numCache>
                <c:formatCode>General</c:formatCode>
                <c:ptCount val="5"/>
                <c:pt idx="0">
                  <c:v>0.30179</c:v>
                </c:pt>
                <c:pt idx="1">
                  <c:v>0.24898000000000001</c:v>
                </c:pt>
                <c:pt idx="2">
                  <c:v>0.28754000000000002</c:v>
                </c:pt>
                <c:pt idx="3">
                  <c:v>0.43686000000000003</c:v>
                </c:pt>
                <c:pt idx="4">
                  <c:v>0.38257999999999998</c:v>
                </c:pt>
              </c:numCache>
            </c:numRef>
          </c:val>
        </c:ser>
        <c:ser>
          <c:idx val="3"/>
          <c:order val="3"/>
          <c:tx>
            <c:strRef>
              <c:f>'G4-G6'!$A$40</c:f>
              <c:strCache>
                <c:ptCount val="1"/>
                <c:pt idx="0">
                  <c:v>bez pověřeného útvaru či osoby</c:v>
                </c:pt>
              </c:strCache>
            </c:strRef>
          </c:tx>
          <c:spPr>
            <a:solidFill>
              <a:schemeClr val="accent6">
                <a:lumMod val="60000"/>
                <a:lumOff val="40000"/>
              </a:schemeClr>
            </a:solidFill>
            <a:ln>
              <a:solidFill>
                <a:schemeClr val="accent6"/>
              </a:solidFill>
            </a:ln>
          </c:spPr>
          <c:invertIfNegative val="0"/>
          <c:dLbls>
            <c:numFmt formatCode="0%" sourceLinked="0"/>
            <c:showLegendKey val="0"/>
            <c:showVal val="1"/>
            <c:showCatName val="0"/>
            <c:showSerName val="0"/>
            <c:showPercent val="0"/>
            <c:showBubbleSize val="0"/>
            <c:showLeaderLines val="0"/>
          </c:dLbls>
          <c:cat>
            <c:strRef>
              <c:f>'G4-G6'!$B$36:$F$36</c:f>
              <c:strCache>
                <c:ptCount val="5"/>
                <c:pt idx="0">
                  <c:v>celkem</c:v>
                </c:pt>
                <c:pt idx="1">
                  <c:v>10–19 zaměstnanců</c:v>
                </c:pt>
                <c:pt idx="2">
                  <c:v>20–49 zaměstnanců</c:v>
                </c:pt>
                <c:pt idx="3">
                  <c:v>50–249 zaměstnanců</c:v>
                </c:pt>
                <c:pt idx="4">
                  <c:v>více než 250 zaměstnanců</c:v>
                </c:pt>
              </c:strCache>
            </c:strRef>
          </c:cat>
          <c:val>
            <c:numRef>
              <c:f>'G4-G6'!$B$40:$F$40</c:f>
              <c:numCache>
                <c:formatCode>General</c:formatCode>
                <c:ptCount val="5"/>
                <c:pt idx="0">
                  <c:v>0.62777000000000005</c:v>
                </c:pt>
                <c:pt idx="1">
                  <c:v>0.72531999999999996</c:v>
                </c:pt>
                <c:pt idx="2">
                  <c:v>0.66686000000000001</c:v>
                </c:pt>
                <c:pt idx="3">
                  <c:v>0.43114000000000002</c:v>
                </c:pt>
                <c:pt idx="4">
                  <c:v>0.15375</c:v>
                </c:pt>
              </c:numCache>
            </c:numRef>
          </c:val>
        </c:ser>
        <c:dLbls>
          <c:showLegendKey val="0"/>
          <c:showVal val="0"/>
          <c:showCatName val="0"/>
          <c:showSerName val="0"/>
          <c:showPercent val="0"/>
          <c:showBubbleSize val="0"/>
        </c:dLbls>
        <c:gapWidth val="150"/>
        <c:overlap val="100"/>
        <c:axId val="132589056"/>
        <c:axId val="93470016"/>
      </c:barChart>
      <c:catAx>
        <c:axId val="132589056"/>
        <c:scaling>
          <c:orientation val="minMax"/>
        </c:scaling>
        <c:delete val="0"/>
        <c:axPos val="b"/>
        <c:majorTickMark val="out"/>
        <c:minorTickMark val="none"/>
        <c:tickLblPos val="nextTo"/>
        <c:crossAx val="93470016"/>
        <c:crosses val="autoZero"/>
        <c:auto val="1"/>
        <c:lblAlgn val="ctr"/>
        <c:lblOffset val="100"/>
        <c:noMultiLvlLbl val="0"/>
      </c:catAx>
      <c:valAx>
        <c:axId val="93470016"/>
        <c:scaling>
          <c:orientation val="minMax"/>
        </c:scaling>
        <c:delete val="1"/>
        <c:axPos val="l"/>
        <c:numFmt formatCode="0%" sourceLinked="1"/>
        <c:majorTickMark val="out"/>
        <c:minorTickMark val="none"/>
        <c:tickLblPos val="nextTo"/>
        <c:crossAx val="132589056"/>
        <c:crosses val="autoZero"/>
        <c:crossBetween val="between"/>
      </c:valAx>
    </c:plotArea>
    <c:legend>
      <c:legendPos val="b"/>
      <c:layout>
        <c:manualLayout>
          <c:xMode val="edge"/>
          <c:yMode val="edge"/>
          <c:x val="0.31099672726094424"/>
          <c:y val="0.79793305116139757"/>
          <c:w val="0.48635129784515663"/>
          <c:h val="0.2020670416197975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a:solidFill>
                <a:schemeClr val="accent3">
                  <a:lumMod val="50000"/>
                </a:schemeClr>
              </a:solidFill>
            </a:ln>
          </c:spPr>
          <c:dPt>
            <c:idx val="0"/>
            <c:bubble3D val="0"/>
            <c:spPr>
              <a:solidFill>
                <a:schemeClr val="accent1">
                  <a:lumMod val="60000"/>
                  <a:lumOff val="40000"/>
                </a:schemeClr>
              </a:solidFill>
              <a:ln>
                <a:solidFill>
                  <a:schemeClr val="accent1"/>
                </a:solidFill>
              </a:ln>
            </c:spPr>
          </c:dPt>
          <c:dPt>
            <c:idx val="1"/>
            <c:bubble3D val="0"/>
            <c:spPr>
              <a:solidFill>
                <a:schemeClr val="accent2">
                  <a:lumMod val="60000"/>
                  <a:lumOff val="40000"/>
                </a:schemeClr>
              </a:solidFill>
              <a:ln>
                <a:solidFill>
                  <a:schemeClr val="accent2"/>
                </a:solidFill>
              </a:ln>
            </c:spPr>
          </c:dPt>
          <c:dPt>
            <c:idx val="2"/>
            <c:bubble3D val="0"/>
            <c:spPr>
              <a:solidFill>
                <a:schemeClr val="accent3"/>
              </a:solidFill>
              <a:ln>
                <a:solidFill>
                  <a:schemeClr val="accent3">
                    <a:lumMod val="75000"/>
                  </a:schemeClr>
                </a:solidFill>
              </a:ln>
            </c:spPr>
          </c:dPt>
          <c:dPt>
            <c:idx val="3"/>
            <c:bubble3D val="0"/>
            <c:spPr>
              <a:solidFill>
                <a:schemeClr val="accent6">
                  <a:lumMod val="60000"/>
                  <a:lumOff val="40000"/>
                </a:schemeClr>
              </a:solidFill>
              <a:ln>
                <a:solidFill>
                  <a:schemeClr val="accent6"/>
                </a:solidFill>
              </a:ln>
            </c:spPr>
          </c:dPt>
          <c:dLbls>
            <c:numFmt formatCode="0%" sourceLinked="0"/>
            <c:showLegendKey val="0"/>
            <c:showVal val="1"/>
            <c:showCatName val="0"/>
            <c:showSerName val="0"/>
            <c:showPercent val="0"/>
            <c:showBubbleSize val="0"/>
            <c:showLeaderLines val="1"/>
          </c:dLbls>
          <c:cat>
            <c:strRef>
              <c:f>'G40,G41'!$A$2:$A$5</c:f>
              <c:strCache>
                <c:ptCount val="4"/>
                <c:pt idx="0">
                  <c:v> větší důraz na praxi</c:v>
                </c:pt>
                <c:pt idx="1">
                  <c:v> větší důraz na vzdělání</c:v>
                </c:pt>
                <c:pt idx="2">
                  <c:v> přibližně stejný důraz</c:v>
                </c:pt>
                <c:pt idx="3">
                  <c:v> firma nepožadovala vzdělání ani praxi</c:v>
                </c:pt>
              </c:strCache>
            </c:strRef>
          </c:cat>
          <c:val>
            <c:numRef>
              <c:f>'G40,G41'!$B$2:$B$5</c:f>
              <c:numCache>
                <c:formatCode>0%</c:formatCode>
                <c:ptCount val="4"/>
                <c:pt idx="0" formatCode="0.00%">
                  <c:v>0.45800000000000002</c:v>
                </c:pt>
                <c:pt idx="1">
                  <c:v>6.3E-2</c:v>
                </c:pt>
                <c:pt idx="2" formatCode="0.00%">
                  <c:v>0.32800000000000001</c:v>
                </c:pt>
                <c:pt idx="3" formatCode="0.00%">
                  <c:v>0.151</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6638976377952754"/>
          <c:y val="0.19012688968555055"/>
          <c:w val="0.39370800524934385"/>
          <c:h val="0.63175126603379694"/>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141366170093176"/>
          <c:y val="3.9268178327563505E-2"/>
          <c:w val="0.42051926220420877"/>
          <c:h val="0.87130156724162555"/>
        </c:manualLayout>
      </c:layout>
      <c:barChart>
        <c:barDir val="bar"/>
        <c:grouping val="clustered"/>
        <c:varyColors val="0"/>
        <c:ser>
          <c:idx val="0"/>
          <c:order val="0"/>
          <c:spPr>
            <a:solidFill>
              <a:schemeClr val="accent3"/>
            </a:solidFill>
            <a:ln>
              <a:solidFill>
                <a:schemeClr val="accent3">
                  <a:lumMod val="75000"/>
                </a:schemeClr>
              </a:solidFill>
            </a:ln>
          </c:spPr>
          <c:invertIfNegative val="0"/>
          <c:dLbls>
            <c:numFmt formatCode="0%" sourceLinked="0"/>
            <c:dLblPos val="inEnd"/>
            <c:showLegendKey val="0"/>
            <c:showVal val="1"/>
            <c:showCatName val="0"/>
            <c:showSerName val="0"/>
            <c:showPercent val="0"/>
            <c:showBubbleSize val="0"/>
            <c:showLeaderLines val="0"/>
          </c:dLbls>
          <c:cat>
            <c:strRef>
              <c:f>'G40,G41'!$A$17:$A$25</c:f>
              <c:strCache>
                <c:ptCount val="9"/>
                <c:pt idx="0">
                  <c:v>žádný speciální požadavek</c:v>
                </c:pt>
                <c:pt idx="1">
                  <c:v>jiný obor</c:v>
                </c:pt>
                <c:pt idx="2">
                  <c:v>humanitní a společenské vědy</c:v>
                </c:pt>
                <c:pt idx="3">
                  <c:v>všeobecné vzdělání</c:v>
                </c:pt>
                <c:pt idx="4">
                  <c:v>přírodní vědy, matematika, statistika</c:v>
                </c:pt>
                <c:pt idx="5">
                  <c:v>ekonomie, řízení, správa a právo</c:v>
                </c:pt>
                <c:pt idx="6">
                  <c:v>informační a komunikační technologie</c:v>
                </c:pt>
                <c:pt idx="7">
                  <c:v>obchod a služby</c:v>
                </c:pt>
                <c:pt idx="8">
                  <c:v>technické vědy, výroba, výstavba</c:v>
                </c:pt>
              </c:strCache>
            </c:strRef>
          </c:cat>
          <c:val>
            <c:numRef>
              <c:f>'G40,G41'!$B$17:$B$25</c:f>
              <c:numCache>
                <c:formatCode>0%</c:formatCode>
                <c:ptCount val="9"/>
                <c:pt idx="0">
                  <c:v>5.6000000000000001E-2</c:v>
                </c:pt>
                <c:pt idx="1">
                  <c:v>0.121</c:v>
                </c:pt>
                <c:pt idx="2">
                  <c:v>1.2999999999999999E-2</c:v>
                </c:pt>
                <c:pt idx="3">
                  <c:v>1.2999999999999999E-2</c:v>
                </c:pt>
                <c:pt idx="4">
                  <c:v>1.7999999999999999E-2</c:v>
                </c:pt>
                <c:pt idx="5">
                  <c:v>9.7000000000000003E-2</c:v>
                </c:pt>
                <c:pt idx="6">
                  <c:v>0.113</c:v>
                </c:pt>
                <c:pt idx="7">
                  <c:v>0.17699999999999999</c:v>
                </c:pt>
                <c:pt idx="8">
                  <c:v>0.433</c:v>
                </c:pt>
              </c:numCache>
            </c:numRef>
          </c:val>
        </c:ser>
        <c:dLbls>
          <c:showLegendKey val="0"/>
          <c:showVal val="0"/>
          <c:showCatName val="0"/>
          <c:showSerName val="0"/>
          <c:showPercent val="0"/>
          <c:showBubbleSize val="0"/>
        </c:dLbls>
        <c:gapWidth val="150"/>
        <c:axId val="142742016"/>
        <c:axId val="142947392"/>
      </c:barChart>
      <c:catAx>
        <c:axId val="142742016"/>
        <c:scaling>
          <c:orientation val="minMax"/>
        </c:scaling>
        <c:delete val="0"/>
        <c:axPos val="l"/>
        <c:numFmt formatCode="General" sourceLinked="1"/>
        <c:majorTickMark val="out"/>
        <c:minorTickMark val="none"/>
        <c:tickLblPos val="nextTo"/>
        <c:crossAx val="142947392"/>
        <c:crosses val="autoZero"/>
        <c:auto val="1"/>
        <c:lblAlgn val="ctr"/>
        <c:lblOffset val="100"/>
        <c:noMultiLvlLbl val="0"/>
      </c:catAx>
      <c:valAx>
        <c:axId val="142947392"/>
        <c:scaling>
          <c:orientation val="minMax"/>
        </c:scaling>
        <c:delete val="1"/>
        <c:axPos val="b"/>
        <c:majorGridlines>
          <c:spPr>
            <a:ln>
              <a:noFill/>
            </a:ln>
          </c:spPr>
        </c:majorGridlines>
        <c:numFmt formatCode="0%" sourceLinked="0"/>
        <c:majorTickMark val="out"/>
        <c:minorTickMark val="none"/>
        <c:tickLblPos val="nextTo"/>
        <c:crossAx val="142742016"/>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a:solidFill>
                <a:schemeClr val="accent3">
                  <a:lumMod val="50000"/>
                </a:schemeClr>
              </a:solidFill>
            </a:ln>
          </c:spPr>
          <c:dPt>
            <c:idx val="0"/>
            <c:bubble3D val="0"/>
            <c:spPr>
              <a:solidFill>
                <a:schemeClr val="accent1">
                  <a:lumMod val="60000"/>
                  <a:lumOff val="40000"/>
                </a:schemeClr>
              </a:solidFill>
              <a:ln>
                <a:solidFill>
                  <a:schemeClr val="accent1"/>
                </a:solidFill>
              </a:ln>
            </c:spPr>
          </c:dPt>
          <c:dPt>
            <c:idx val="1"/>
            <c:bubble3D val="0"/>
            <c:spPr>
              <a:solidFill>
                <a:schemeClr val="accent2">
                  <a:lumMod val="60000"/>
                  <a:lumOff val="40000"/>
                </a:schemeClr>
              </a:solidFill>
              <a:ln>
                <a:solidFill>
                  <a:schemeClr val="accent2"/>
                </a:solidFill>
              </a:ln>
            </c:spPr>
          </c:dPt>
          <c:dPt>
            <c:idx val="2"/>
            <c:bubble3D val="0"/>
            <c:spPr>
              <a:solidFill>
                <a:schemeClr val="accent3"/>
              </a:solidFill>
              <a:ln>
                <a:solidFill>
                  <a:schemeClr val="accent3">
                    <a:lumMod val="75000"/>
                  </a:schemeClr>
                </a:solidFill>
              </a:ln>
            </c:spPr>
          </c:dPt>
          <c:dPt>
            <c:idx val="3"/>
            <c:bubble3D val="0"/>
            <c:spPr>
              <a:solidFill>
                <a:schemeClr val="accent6">
                  <a:lumMod val="60000"/>
                  <a:lumOff val="40000"/>
                </a:schemeClr>
              </a:solidFill>
              <a:ln>
                <a:solidFill>
                  <a:schemeClr val="accent6"/>
                </a:solidFill>
              </a:ln>
            </c:spPr>
          </c:dPt>
          <c:dLbls>
            <c:numFmt formatCode="0%" sourceLinked="0"/>
            <c:showLegendKey val="0"/>
            <c:showVal val="1"/>
            <c:showCatName val="0"/>
            <c:showSerName val="0"/>
            <c:showPercent val="0"/>
            <c:showBubbleSize val="0"/>
            <c:showLeaderLines val="1"/>
          </c:dLbls>
          <c:cat>
            <c:strRef>
              <c:f>'G42, G43'!$A$2:$A$5</c:f>
              <c:strCache>
                <c:ptCount val="4"/>
                <c:pt idx="0">
                  <c:v> absolventy nepřijímali</c:v>
                </c:pt>
                <c:pt idx="1">
                  <c:v> obsazení jedné pozice</c:v>
                </c:pt>
                <c:pt idx="2">
                  <c:v> obsazení více pozic</c:v>
                </c:pt>
                <c:pt idx="3">
                  <c:v> neví</c:v>
                </c:pt>
              </c:strCache>
            </c:strRef>
          </c:cat>
          <c:val>
            <c:numRef>
              <c:f>'G42, G43'!$B$2:$B$5</c:f>
              <c:numCache>
                <c:formatCode>0%</c:formatCode>
                <c:ptCount val="4"/>
                <c:pt idx="0" formatCode="0.00%">
                  <c:v>0.68300000000000005</c:v>
                </c:pt>
                <c:pt idx="1">
                  <c:v>0.13300000000000001</c:v>
                </c:pt>
                <c:pt idx="2" formatCode="0.00%">
                  <c:v>0.129</c:v>
                </c:pt>
                <c:pt idx="3" formatCode="0.00%">
                  <c:v>5.5E-2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59778687004783737"/>
          <c:y val="0.30636624268120333"/>
          <c:w val="0.27230563212565462"/>
          <c:h val="0.34457177468201089"/>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141366170093176"/>
          <c:y val="3.9268178327563505E-2"/>
          <c:w val="0.42051926220420877"/>
          <c:h val="0.87130156724162555"/>
        </c:manualLayout>
      </c:layout>
      <c:barChart>
        <c:barDir val="bar"/>
        <c:grouping val="clustered"/>
        <c:varyColors val="0"/>
        <c:ser>
          <c:idx val="0"/>
          <c:order val="0"/>
          <c:spPr>
            <a:solidFill>
              <a:schemeClr val="accent3"/>
            </a:solidFill>
            <a:ln>
              <a:solidFill>
                <a:schemeClr val="accent3">
                  <a:lumMod val="75000"/>
                </a:schemeClr>
              </a:solidFill>
            </a:ln>
          </c:spPr>
          <c:invertIfNegative val="0"/>
          <c:dLbls>
            <c:numFmt formatCode="0%" sourceLinked="0"/>
            <c:dLblPos val="inEnd"/>
            <c:showLegendKey val="0"/>
            <c:showVal val="1"/>
            <c:showCatName val="0"/>
            <c:showSerName val="0"/>
            <c:showPercent val="0"/>
            <c:showBubbleSize val="0"/>
            <c:showLeaderLines val="0"/>
          </c:dLbls>
          <c:cat>
            <c:strRef>
              <c:f>'G42, G43'!$A$18:$A$25</c:f>
              <c:strCache>
                <c:ptCount val="8"/>
                <c:pt idx="0">
                  <c:v>jiný obor</c:v>
                </c:pt>
                <c:pt idx="1">
                  <c:v>přírodní vědy, matematika, statistika</c:v>
                </c:pt>
                <c:pt idx="2">
                  <c:v>všeobecné vzdělání</c:v>
                </c:pt>
                <c:pt idx="3">
                  <c:v>humanitní a společenské vědy</c:v>
                </c:pt>
                <c:pt idx="4">
                  <c:v>informační a komunikační technologie</c:v>
                </c:pt>
                <c:pt idx="5">
                  <c:v>obchod a služby</c:v>
                </c:pt>
                <c:pt idx="6">
                  <c:v>ekonomie, řízení, správa a právo</c:v>
                </c:pt>
                <c:pt idx="7">
                  <c:v>technické vědy, výroba, výstavba</c:v>
                </c:pt>
              </c:strCache>
            </c:strRef>
          </c:cat>
          <c:val>
            <c:numRef>
              <c:f>'G42, G43'!$B$18:$B$25</c:f>
              <c:numCache>
                <c:formatCode>0%</c:formatCode>
                <c:ptCount val="8"/>
                <c:pt idx="0">
                  <c:v>0.13100000000000001</c:v>
                </c:pt>
                <c:pt idx="1">
                  <c:v>3.9E-2</c:v>
                </c:pt>
                <c:pt idx="2">
                  <c:v>6.4000000000000001E-2</c:v>
                </c:pt>
                <c:pt idx="3">
                  <c:v>6.5000000000000002E-2</c:v>
                </c:pt>
                <c:pt idx="4">
                  <c:v>0.112</c:v>
                </c:pt>
                <c:pt idx="5">
                  <c:v>0.16700000000000001</c:v>
                </c:pt>
                <c:pt idx="6">
                  <c:v>0.22700000000000001</c:v>
                </c:pt>
                <c:pt idx="7">
                  <c:v>0.44800000000000001</c:v>
                </c:pt>
              </c:numCache>
            </c:numRef>
          </c:val>
        </c:ser>
        <c:dLbls>
          <c:showLegendKey val="0"/>
          <c:showVal val="0"/>
          <c:showCatName val="0"/>
          <c:showSerName val="0"/>
          <c:showPercent val="0"/>
          <c:showBubbleSize val="0"/>
        </c:dLbls>
        <c:gapWidth val="150"/>
        <c:axId val="142880256"/>
        <c:axId val="142852096"/>
      </c:barChart>
      <c:catAx>
        <c:axId val="142880256"/>
        <c:scaling>
          <c:orientation val="minMax"/>
        </c:scaling>
        <c:delete val="0"/>
        <c:axPos val="l"/>
        <c:numFmt formatCode="General" sourceLinked="1"/>
        <c:majorTickMark val="out"/>
        <c:minorTickMark val="none"/>
        <c:tickLblPos val="nextTo"/>
        <c:crossAx val="142852096"/>
        <c:crosses val="autoZero"/>
        <c:auto val="1"/>
        <c:lblAlgn val="ctr"/>
        <c:lblOffset val="100"/>
        <c:noMultiLvlLbl val="0"/>
      </c:catAx>
      <c:valAx>
        <c:axId val="142852096"/>
        <c:scaling>
          <c:orientation val="minMax"/>
        </c:scaling>
        <c:delete val="1"/>
        <c:axPos val="b"/>
        <c:majorGridlines>
          <c:spPr>
            <a:ln>
              <a:noFill/>
            </a:ln>
          </c:spPr>
        </c:majorGridlines>
        <c:numFmt formatCode="0%" sourceLinked="0"/>
        <c:majorTickMark val="out"/>
        <c:minorTickMark val="none"/>
        <c:tickLblPos val="nextTo"/>
        <c:crossAx val="142880256"/>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'G44'!$J$5</c:f>
              <c:strCache>
                <c:ptCount val="1"/>
                <c:pt idx="0">
                  <c:v>firmy s největším zájmem o VZ</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strRef>
              <c:f>'G44'!$K$4:$O$4</c:f>
              <c:strCache>
                <c:ptCount val="5"/>
                <c:pt idx="0">
                  <c:v>celkem</c:v>
                </c:pt>
                <c:pt idx="1">
                  <c:v>10–19 zaměstanců</c:v>
                </c:pt>
                <c:pt idx="2">
                  <c:v>20–49 zaměstnanců</c:v>
                </c:pt>
                <c:pt idx="3">
                  <c:v>50–249 zaměstnanců</c:v>
                </c:pt>
                <c:pt idx="4">
                  <c:v>250 a více zaměstnanců</c:v>
                </c:pt>
              </c:strCache>
            </c:strRef>
          </c:cat>
          <c:val>
            <c:numRef>
              <c:f>'G44'!$K$5:$O$5</c:f>
              <c:numCache>
                <c:formatCode>####.0</c:formatCode>
                <c:ptCount val="5"/>
                <c:pt idx="0">
                  <c:v>0.21519313525910275</c:v>
                </c:pt>
                <c:pt idx="1">
                  <c:v>0.11708090358376268</c:v>
                </c:pt>
                <c:pt idx="2">
                  <c:v>0.1781156003576945</c:v>
                </c:pt>
                <c:pt idx="3">
                  <c:v>0.40990237099023707</c:v>
                </c:pt>
                <c:pt idx="4">
                  <c:v>0.68918111177525399</c:v>
                </c:pt>
              </c:numCache>
            </c:numRef>
          </c:val>
        </c:ser>
        <c:ser>
          <c:idx val="1"/>
          <c:order val="1"/>
          <c:tx>
            <c:strRef>
              <c:f>'G44'!$J$6</c:f>
              <c:strCache>
                <c:ptCount val="1"/>
                <c:pt idx="0">
                  <c:v>firmy se středním zájmem o VZ</c:v>
                </c:pt>
              </c:strCache>
            </c:strRef>
          </c:tx>
          <c:spPr>
            <a:solidFill>
              <a:schemeClr val="accent2">
                <a:lumMod val="60000"/>
                <a:lumOff val="40000"/>
              </a:schemeClr>
            </a:solidFill>
            <a:ln>
              <a:solidFill>
                <a:schemeClr val="accent2"/>
              </a:solidFill>
            </a:ln>
          </c:spPr>
          <c:invertIfNegative val="0"/>
          <c:dLbls>
            <c:dLbl>
              <c:idx val="4"/>
              <c:layout>
                <c:manualLayout>
                  <c:x val="2.0997375328083989E-3"/>
                  <c:y val="3.2731846019245898E-3"/>
                </c:manualLayout>
              </c:layout>
              <c:dLblPos val="outEnd"/>
              <c:showLegendKey val="0"/>
              <c:showVal val="1"/>
              <c:showCatName val="0"/>
              <c:showSerName val="0"/>
              <c:showPercent val="0"/>
              <c:showBubbleSize val="0"/>
            </c:dLbl>
            <c:numFmt formatCode="0%" sourceLinked="0"/>
            <c:dLblPos val="inEnd"/>
            <c:showLegendKey val="0"/>
            <c:showVal val="1"/>
            <c:showCatName val="0"/>
            <c:showSerName val="0"/>
            <c:showPercent val="0"/>
            <c:showBubbleSize val="0"/>
            <c:showLeaderLines val="0"/>
          </c:dLbls>
          <c:cat>
            <c:strRef>
              <c:f>'G44'!$K$4:$O$4</c:f>
              <c:strCache>
                <c:ptCount val="5"/>
                <c:pt idx="0">
                  <c:v>celkem</c:v>
                </c:pt>
                <c:pt idx="1">
                  <c:v>10–19 zaměstanců</c:v>
                </c:pt>
                <c:pt idx="2">
                  <c:v>20–49 zaměstnanců</c:v>
                </c:pt>
                <c:pt idx="3">
                  <c:v>50–249 zaměstnanců</c:v>
                </c:pt>
                <c:pt idx="4">
                  <c:v>250 a více zaměstnanců</c:v>
                </c:pt>
              </c:strCache>
            </c:strRef>
          </c:cat>
          <c:val>
            <c:numRef>
              <c:f>'G44'!$K$6:$O$6</c:f>
              <c:numCache>
                <c:formatCode>####.0</c:formatCode>
                <c:ptCount val="5"/>
                <c:pt idx="0">
                  <c:v>0.13358758954800803</c:v>
                </c:pt>
                <c:pt idx="1">
                  <c:v>0.13179347826086957</c:v>
                </c:pt>
                <c:pt idx="2">
                  <c:v>0.15544715447154472</c:v>
                </c:pt>
                <c:pt idx="3">
                  <c:v>0.12287308228730823</c:v>
                </c:pt>
                <c:pt idx="4">
                  <c:v>3.7679425837320576E-2</c:v>
                </c:pt>
              </c:numCache>
            </c:numRef>
          </c:val>
        </c:ser>
        <c:ser>
          <c:idx val="2"/>
          <c:order val="2"/>
          <c:tx>
            <c:strRef>
              <c:f>'G44'!$J$7</c:f>
              <c:strCache>
                <c:ptCount val="1"/>
                <c:pt idx="0">
                  <c:v>firmy s minimálním zájmem o VZ</c:v>
                </c:pt>
              </c:strCache>
            </c:strRef>
          </c:tx>
          <c:spPr>
            <a:solidFill>
              <a:schemeClr val="accent3"/>
            </a:solidFill>
            <a:ln>
              <a:solidFill>
                <a:schemeClr val="accent3">
                  <a:lumMod val="75000"/>
                </a:schemeClr>
              </a:solidFill>
            </a:ln>
          </c:spPr>
          <c:invertIfNegative val="0"/>
          <c:dLbls>
            <c:numFmt formatCode="0%" sourceLinked="0"/>
            <c:dLblPos val="inEnd"/>
            <c:showLegendKey val="0"/>
            <c:showVal val="1"/>
            <c:showCatName val="0"/>
            <c:showSerName val="0"/>
            <c:showPercent val="0"/>
            <c:showBubbleSize val="0"/>
            <c:showLeaderLines val="0"/>
          </c:dLbls>
          <c:cat>
            <c:strRef>
              <c:f>'G44'!$K$4:$O$4</c:f>
              <c:strCache>
                <c:ptCount val="5"/>
                <c:pt idx="0">
                  <c:v>celkem</c:v>
                </c:pt>
                <c:pt idx="1">
                  <c:v>10–19 zaměstanců</c:v>
                </c:pt>
                <c:pt idx="2">
                  <c:v>20–49 zaměstnanců</c:v>
                </c:pt>
                <c:pt idx="3">
                  <c:v>50–249 zaměstnanců</c:v>
                </c:pt>
                <c:pt idx="4">
                  <c:v>250 a více zaměstnanců</c:v>
                </c:pt>
              </c:strCache>
            </c:strRef>
          </c:cat>
          <c:val>
            <c:numRef>
              <c:f>'G44'!$K$7:$O$7</c:f>
              <c:numCache>
                <c:formatCode>####.0</c:formatCode>
                <c:ptCount val="5"/>
                <c:pt idx="0">
                  <c:v>0.23444828119362984</c:v>
                </c:pt>
                <c:pt idx="1">
                  <c:v>0.32972881164015172</c:v>
                </c:pt>
                <c:pt idx="2">
                  <c:v>0.21372246158848873</c:v>
                </c:pt>
                <c:pt idx="3">
                  <c:v>8.7029288702928864E-2</c:v>
                </c:pt>
                <c:pt idx="4">
                  <c:v>1.2559808612440191E-2</c:v>
                </c:pt>
              </c:numCache>
            </c:numRef>
          </c:val>
        </c:ser>
        <c:dLbls>
          <c:showLegendKey val="0"/>
          <c:showVal val="0"/>
          <c:showCatName val="0"/>
          <c:showSerName val="0"/>
          <c:showPercent val="0"/>
          <c:showBubbleSize val="0"/>
        </c:dLbls>
        <c:gapWidth val="150"/>
        <c:axId val="142743040"/>
        <c:axId val="142853248"/>
      </c:barChart>
      <c:catAx>
        <c:axId val="142743040"/>
        <c:scaling>
          <c:orientation val="minMax"/>
        </c:scaling>
        <c:delete val="0"/>
        <c:axPos val="b"/>
        <c:majorTickMark val="out"/>
        <c:minorTickMark val="none"/>
        <c:tickLblPos val="nextTo"/>
        <c:crossAx val="142853248"/>
        <c:crosses val="autoZero"/>
        <c:auto val="1"/>
        <c:lblAlgn val="ctr"/>
        <c:lblOffset val="100"/>
        <c:noMultiLvlLbl val="0"/>
      </c:catAx>
      <c:valAx>
        <c:axId val="142853248"/>
        <c:scaling>
          <c:orientation val="minMax"/>
        </c:scaling>
        <c:delete val="1"/>
        <c:axPos val="l"/>
        <c:numFmt formatCode="####.0" sourceLinked="1"/>
        <c:majorTickMark val="out"/>
        <c:minorTickMark val="none"/>
        <c:tickLblPos val="nextTo"/>
        <c:crossAx val="142743040"/>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'G45'!$J$3</c:f>
              <c:strCache>
                <c:ptCount val="1"/>
                <c:pt idx="0">
                  <c:v>ano</c:v>
                </c:pt>
              </c:strCache>
            </c:strRef>
          </c:tx>
          <c:spPr>
            <a:solidFill>
              <a:schemeClr val="accent1">
                <a:lumMod val="60000"/>
                <a:lumOff val="40000"/>
              </a:schemeClr>
            </a:solidFill>
            <a:ln>
              <a:solidFill>
                <a:schemeClr val="accent1"/>
              </a:solidFill>
            </a:ln>
          </c:spPr>
          <c:invertIfNegative val="0"/>
          <c:dLbls>
            <c:showLegendKey val="0"/>
            <c:showVal val="1"/>
            <c:showCatName val="0"/>
            <c:showSerName val="0"/>
            <c:showPercent val="0"/>
            <c:showBubbleSize val="0"/>
            <c:showLeaderLines val="0"/>
          </c:dLbls>
          <c:cat>
            <c:strRef>
              <c:f>'G45'!$I$4:$I$6</c:f>
              <c:strCache>
                <c:ptCount val="3"/>
                <c:pt idx="0">
                  <c:v>plánování vzdělávání předem</c:v>
                </c:pt>
                <c:pt idx="1">
                  <c:v>zpětné hodnocení efektivity vzdělávání</c:v>
                </c:pt>
                <c:pt idx="2">
                  <c:v>útvar či zaměstnanec odpovědný
 za vzdělávání</c:v>
                </c:pt>
              </c:strCache>
            </c:strRef>
          </c:cat>
          <c:val>
            <c:numRef>
              <c:f>'G45'!$J$4:$J$6</c:f>
              <c:numCache>
                <c:formatCode>0%</c:formatCode>
                <c:ptCount val="3"/>
                <c:pt idx="0">
                  <c:v>0.54657666345226619</c:v>
                </c:pt>
                <c:pt idx="1">
                  <c:v>0.40837191358024688</c:v>
                </c:pt>
                <c:pt idx="2">
                  <c:v>0.36728395061728392</c:v>
                </c:pt>
              </c:numCache>
            </c:numRef>
          </c:val>
        </c:ser>
        <c:ser>
          <c:idx val="1"/>
          <c:order val="1"/>
          <c:tx>
            <c:strRef>
              <c:f>'G45'!$K$3</c:f>
              <c:strCache>
                <c:ptCount val="1"/>
                <c:pt idx="0">
                  <c:v>ne</c:v>
                </c:pt>
              </c:strCache>
            </c:strRef>
          </c:tx>
          <c:spPr>
            <a:solidFill>
              <a:schemeClr val="accent2">
                <a:lumMod val="60000"/>
                <a:lumOff val="40000"/>
              </a:schemeClr>
            </a:solidFill>
            <a:ln>
              <a:solidFill>
                <a:schemeClr val="accent2"/>
              </a:solidFill>
            </a:ln>
          </c:spPr>
          <c:invertIfNegative val="0"/>
          <c:dLbls>
            <c:showLegendKey val="0"/>
            <c:showVal val="1"/>
            <c:showCatName val="0"/>
            <c:showSerName val="0"/>
            <c:showPercent val="0"/>
            <c:showBubbleSize val="0"/>
            <c:showLeaderLines val="0"/>
          </c:dLbls>
          <c:cat>
            <c:strRef>
              <c:f>'G45'!$I$4:$I$6</c:f>
              <c:strCache>
                <c:ptCount val="3"/>
                <c:pt idx="0">
                  <c:v>plánování vzdělávání předem</c:v>
                </c:pt>
                <c:pt idx="1">
                  <c:v>zpětné hodnocení efektivity vzdělávání</c:v>
                </c:pt>
                <c:pt idx="2">
                  <c:v>útvar či zaměstnanec odpovědný
 za vzdělávání</c:v>
                </c:pt>
              </c:strCache>
            </c:strRef>
          </c:cat>
          <c:val>
            <c:numRef>
              <c:f>'G45'!$K$4:$K$6</c:f>
              <c:numCache>
                <c:formatCode>0%</c:formatCode>
                <c:ptCount val="3"/>
                <c:pt idx="0">
                  <c:v>0.45342333654773381</c:v>
                </c:pt>
                <c:pt idx="1">
                  <c:v>0.59162808641975306</c:v>
                </c:pt>
                <c:pt idx="2">
                  <c:v>0.63271604938271608</c:v>
                </c:pt>
              </c:numCache>
            </c:numRef>
          </c:val>
        </c:ser>
        <c:dLbls>
          <c:showLegendKey val="0"/>
          <c:showVal val="0"/>
          <c:showCatName val="0"/>
          <c:showSerName val="0"/>
          <c:showPercent val="0"/>
          <c:showBubbleSize val="0"/>
        </c:dLbls>
        <c:gapWidth val="150"/>
        <c:overlap val="100"/>
        <c:axId val="142743552"/>
        <c:axId val="142854976"/>
      </c:barChart>
      <c:catAx>
        <c:axId val="142743552"/>
        <c:scaling>
          <c:orientation val="minMax"/>
        </c:scaling>
        <c:delete val="0"/>
        <c:axPos val="b"/>
        <c:majorTickMark val="out"/>
        <c:minorTickMark val="none"/>
        <c:tickLblPos val="nextTo"/>
        <c:crossAx val="142854976"/>
        <c:crosses val="autoZero"/>
        <c:auto val="1"/>
        <c:lblAlgn val="ctr"/>
        <c:lblOffset val="100"/>
        <c:noMultiLvlLbl val="0"/>
      </c:catAx>
      <c:valAx>
        <c:axId val="142854976"/>
        <c:scaling>
          <c:orientation val="minMax"/>
          <c:max val="1"/>
        </c:scaling>
        <c:delete val="1"/>
        <c:axPos val="l"/>
        <c:numFmt formatCode="0%" sourceLinked="1"/>
        <c:majorTickMark val="out"/>
        <c:minorTickMark val="none"/>
        <c:tickLblPos val="nextTo"/>
        <c:crossAx val="142743552"/>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832872684986141"/>
          <c:y val="3.9215686274509803E-2"/>
          <c:w val="0.67127085713349788"/>
          <c:h val="0.69383649878410869"/>
        </c:manualLayout>
      </c:layout>
      <c:barChart>
        <c:barDir val="bar"/>
        <c:grouping val="percentStacked"/>
        <c:varyColors val="0"/>
        <c:ser>
          <c:idx val="0"/>
          <c:order val="0"/>
          <c:tx>
            <c:strRef>
              <c:f>'G4-G6'!$A$53</c:f>
              <c:strCache>
                <c:ptCount val="1"/>
                <c:pt idx="0">
                  <c:v>útvar zaměřený na vzdělávání</c:v>
                </c:pt>
              </c:strCache>
            </c:strRef>
          </c:tx>
          <c:spPr>
            <a:solidFill>
              <a:schemeClr val="accent1">
                <a:lumMod val="60000"/>
                <a:lumOff val="40000"/>
              </a:schemeClr>
            </a:solidFill>
            <a:ln>
              <a:solidFill>
                <a:schemeClr val="accent1"/>
              </a:solidFill>
            </a:ln>
          </c:spPr>
          <c:invertIfNegative val="0"/>
          <c:dLbls>
            <c:dLbl>
              <c:idx val="3"/>
              <c:delete val="1"/>
            </c:dLbl>
            <c:dLbl>
              <c:idx val="5"/>
              <c:delete val="1"/>
            </c:dLbl>
            <c:dLbl>
              <c:idx val="6"/>
              <c:delete val="1"/>
            </c:dLbl>
            <c:numFmt formatCode="0%" sourceLinked="0"/>
            <c:showLegendKey val="0"/>
            <c:showVal val="1"/>
            <c:showCatName val="0"/>
            <c:showSerName val="0"/>
            <c:showPercent val="0"/>
            <c:showBubbleSize val="0"/>
            <c:showLeaderLines val="0"/>
          </c:dLbls>
          <c:cat>
            <c:strRef>
              <c:f>'G4-G6'!$B$52:$K$52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'G4-G6'!$B$53:$K$53</c:f>
              <c:numCache>
                <c:formatCode>General</c:formatCode>
                <c:ptCount val="10"/>
                <c:pt idx="0">
                  <c:v>3.3480000000000003E-2</c:v>
                </c:pt>
                <c:pt idx="1">
                  <c:v>0.14366000000000001</c:v>
                </c:pt>
                <c:pt idx="2">
                  <c:v>8.4059999999999996E-2</c:v>
                </c:pt>
                <c:pt idx="3">
                  <c:v>1.3350000000000001E-2</c:v>
                </c:pt>
                <c:pt idx="4">
                  <c:v>4.07E-2</c:v>
                </c:pt>
                <c:pt idx="5">
                  <c:v>2.4969999999999999E-2</c:v>
                </c:pt>
                <c:pt idx="6">
                  <c:v>1.55E-2</c:v>
                </c:pt>
                <c:pt idx="7">
                  <c:v>5.9150000000000001E-2</c:v>
                </c:pt>
                <c:pt idx="8">
                  <c:v>4.1880000000000001E-2</c:v>
                </c:pt>
                <c:pt idx="9">
                  <c:v>3.4779999999999998E-2</c:v>
                </c:pt>
              </c:numCache>
            </c:numRef>
          </c:val>
        </c:ser>
        <c:ser>
          <c:idx val="1"/>
          <c:order val="1"/>
          <c:tx>
            <c:strRef>
              <c:f>'G4-G6'!$A$54</c:f>
              <c:strCache>
                <c:ptCount val="1"/>
                <c:pt idx="0">
                  <c:v>zaměstnanec zodpovědný za vzdělávání (hlavní činnost)</c:v>
                </c:pt>
              </c:strCache>
            </c:strRef>
          </c:tx>
          <c:spPr>
            <a:solidFill>
              <a:schemeClr val="accent2">
                <a:lumMod val="60000"/>
                <a:lumOff val="40000"/>
              </a:schemeClr>
            </a:solidFill>
            <a:ln>
              <a:solidFill>
                <a:schemeClr val="accent2"/>
              </a:solidFill>
            </a:ln>
          </c:spPr>
          <c:invertIfNegative val="0"/>
          <c:dLbls>
            <c:dLbl>
              <c:idx val="0"/>
              <c:delete val="1"/>
            </c:dLbl>
            <c:numFmt formatCode="0%" sourceLinked="0"/>
            <c:showLegendKey val="0"/>
            <c:showVal val="1"/>
            <c:showCatName val="0"/>
            <c:showSerName val="0"/>
            <c:showPercent val="0"/>
            <c:showBubbleSize val="0"/>
            <c:showLeaderLines val="0"/>
          </c:dLbls>
          <c:cat>
            <c:strRef>
              <c:f>'G4-G6'!$B$52:$K$52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'G4-G6'!$B$54:$K$54</c:f>
              <c:numCache>
                <c:formatCode>General</c:formatCode>
                <c:ptCount val="10"/>
                <c:pt idx="0">
                  <c:v>1.847E-2</c:v>
                </c:pt>
                <c:pt idx="1">
                  <c:v>0.11831</c:v>
                </c:pt>
                <c:pt idx="2">
                  <c:v>4.4589999999999998E-2</c:v>
                </c:pt>
                <c:pt idx="3">
                  <c:v>4.122E-2</c:v>
                </c:pt>
                <c:pt idx="4">
                  <c:v>4.2299999999999997E-2</c:v>
                </c:pt>
                <c:pt idx="5">
                  <c:v>2.5999999999999999E-2</c:v>
                </c:pt>
                <c:pt idx="6">
                  <c:v>2.3810000000000001E-2</c:v>
                </c:pt>
                <c:pt idx="7">
                  <c:v>4.7100000000000003E-2</c:v>
                </c:pt>
                <c:pt idx="8">
                  <c:v>4.9910000000000003E-2</c:v>
                </c:pt>
                <c:pt idx="9">
                  <c:v>3.5630000000000002E-2</c:v>
                </c:pt>
              </c:numCache>
            </c:numRef>
          </c:val>
        </c:ser>
        <c:ser>
          <c:idx val="2"/>
          <c:order val="2"/>
          <c:tx>
            <c:strRef>
              <c:f>'G4-G6'!$A$55</c:f>
              <c:strCache>
                <c:ptCount val="1"/>
                <c:pt idx="0">
                  <c:v>zaměstnanec zodpovědný za vzdělávání (vedlejší činnost)</c:v>
                </c:pt>
              </c:strCache>
            </c:strRef>
          </c:tx>
          <c:spPr>
            <a:solidFill>
              <a:schemeClr val="accent3"/>
            </a:solidFill>
            <a:ln>
              <a:solidFill>
                <a:schemeClr val="accent3">
                  <a:lumMod val="75000"/>
                </a:schemeClr>
              </a:solidFill>
            </a:ln>
          </c:spPr>
          <c:invertIfNegative val="0"/>
          <c:dLbls>
            <c:numFmt formatCode="0%" sourceLinked="0"/>
            <c:showLegendKey val="0"/>
            <c:showVal val="1"/>
            <c:showCatName val="0"/>
            <c:showSerName val="0"/>
            <c:showPercent val="0"/>
            <c:showBubbleSize val="0"/>
            <c:showLeaderLines val="0"/>
          </c:dLbls>
          <c:cat>
            <c:strRef>
              <c:f>'G4-G6'!$B$52:$K$52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'G4-G6'!$B$55:$K$55</c:f>
              <c:numCache>
                <c:formatCode>General</c:formatCode>
                <c:ptCount val="10"/>
                <c:pt idx="0">
                  <c:v>0.3306</c:v>
                </c:pt>
                <c:pt idx="1">
                  <c:v>0.32957999999999998</c:v>
                </c:pt>
                <c:pt idx="2">
                  <c:v>0.36623</c:v>
                </c:pt>
                <c:pt idx="3">
                  <c:v>0.19395000000000001</c:v>
                </c:pt>
                <c:pt idx="4">
                  <c:v>0.22586000000000001</c:v>
                </c:pt>
                <c:pt idx="5">
                  <c:v>0.27310000000000001</c:v>
                </c:pt>
                <c:pt idx="6">
                  <c:v>0.31603999999999999</c:v>
                </c:pt>
                <c:pt idx="7">
                  <c:v>0.32749</c:v>
                </c:pt>
                <c:pt idx="8">
                  <c:v>0.32715</c:v>
                </c:pt>
                <c:pt idx="9">
                  <c:v>0.30179</c:v>
                </c:pt>
              </c:numCache>
            </c:numRef>
          </c:val>
        </c:ser>
        <c:ser>
          <c:idx val="3"/>
          <c:order val="3"/>
          <c:tx>
            <c:strRef>
              <c:f>'G4-G6'!$A$56</c:f>
              <c:strCache>
                <c:ptCount val="1"/>
                <c:pt idx="0">
                  <c:v>bez pověřeného útvaru či osoby</c:v>
                </c:pt>
              </c:strCache>
            </c:strRef>
          </c:tx>
          <c:spPr>
            <a:solidFill>
              <a:schemeClr val="accent6">
                <a:lumMod val="60000"/>
                <a:lumOff val="40000"/>
              </a:schemeClr>
            </a:solidFill>
            <a:ln>
              <a:solidFill>
                <a:schemeClr val="accent6"/>
              </a:solidFill>
            </a:ln>
          </c:spPr>
          <c:invertIfNegative val="0"/>
          <c:dLbls>
            <c:numFmt formatCode="0%" sourceLinked="0"/>
            <c:showLegendKey val="0"/>
            <c:showVal val="1"/>
            <c:showCatName val="0"/>
            <c:showSerName val="0"/>
            <c:showPercent val="0"/>
            <c:showBubbleSize val="0"/>
            <c:showLeaderLines val="0"/>
          </c:dLbls>
          <c:cat>
            <c:strRef>
              <c:f>'G4-G6'!$B$52:$K$52</c:f>
              <c:strCache>
                <c:ptCount val="10"/>
                <c:pt idx="0">
                  <c:v>Ostatní (LMNRS)</c:v>
                </c:pt>
                <c:pt idx="1">
                  <c:v>Peněžnictví a pojišťovnictví (K)</c:v>
                </c:pt>
                <c:pt idx="2">
                  <c:v>Informační a komunikační činnosti (J)</c:v>
                </c:pt>
                <c:pt idx="3">
                  <c:v>Ubytování, stravování, pohostinství (I)</c:v>
                </c:pt>
                <c:pt idx="4">
                  <c:v>Doprava a skladování (H)</c:v>
                </c:pt>
                <c:pt idx="5">
                  <c:v>Obchod (G)</c:v>
                </c:pt>
                <c:pt idx="6">
                  <c:v>Stavebnictví (F)</c:v>
                </c:pt>
                <c:pt idx="7">
                  <c:v>Výroba energie, plynu, vody, tepla (DE)</c:v>
                </c:pt>
                <c:pt idx="8">
                  <c:v>Průmysl (BC)</c:v>
                </c:pt>
                <c:pt idx="9">
                  <c:v>celkem</c:v>
                </c:pt>
              </c:strCache>
            </c:strRef>
          </c:cat>
          <c:val>
            <c:numRef>
              <c:f>'G4-G6'!$B$56:$K$56</c:f>
              <c:numCache>
                <c:formatCode>General</c:formatCode>
                <c:ptCount val="10"/>
                <c:pt idx="0">
                  <c:v>0.61745000000000005</c:v>
                </c:pt>
                <c:pt idx="1">
                  <c:v>0.40844999999999998</c:v>
                </c:pt>
                <c:pt idx="2">
                  <c:v>0.50512000000000001</c:v>
                </c:pt>
                <c:pt idx="3">
                  <c:v>0.75146999999999997</c:v>
                </c:pt>
                <c:pt idx="4">
                  <c:v>0.69113999999999998</c:v>
                </c:pt>
                <c:pt idx="5">
                  <c:v>0.67605999999999999</c:v>
                </c:pt>
                <c:pt idx="6">
                  <c:v>0.64464999999999995</c:v>
                </c:pt>
                <c:pt idx="7">
                  <c:v>0.56627000000000005</c:v>
                </c:pt>
                <c:pt idx="8">
                  <c:v>0.58089000000000002</c:v>
                </c:pt>
                <c:pt idx="9">
                  <c:v>0.62777000000000005</c:v>
                </c:pt>
              </c:numCache>
            </c:numRef>
          </c:val>
        </c:ser>
        <c:dLbls>
          <c:showLegendKey val="0"/>
          <c:showVal val="0"/>
          <c:showCatName val="0"/>
          <c:showSerName val="0"/>
          <c:showPercent val="0"/>
          <c:showBubbleSize val="0"/>
        </c:dLbls>
        <c:gapWidth val="150"/>
        <c:overlap val="100"/>
        <c:axId val="132589568"/>
        <c:axId val="134349952"/>
      </c:barChart>
      <c:catAx>
        <c:axId val="132589568"/>
        <c:scaling>
          <c:orientation val="minMax"/>
        </c:scaling>
        <c:delete val="0"/>
        <c:axPos val="l"/>
        <c:numFmt formatCode="General" sourceLinked="1"/>
        <c:majorTickMark val="out"/>
        <c:minorTickMark val="none"/>
        <c:tickLblPos val="nextTo"/>
        <c:crossAx val="134349952"/>
        <c:crosses val="autoZero"/>
        <c:auto val="1"/>
        <c:lblAlgn val="ctr"/>
        <c:lblOffset val="100"/>
        <c:noMultiLvlLbl val="0"/>
      </c:catAx>
      <c:valAx>
        <c:axId val="134349952"/>
        <c:scaling>
          <c:orientation val="minMax"/>
        </c:scaling>
        <c:delete val="1"/>
        <c:axPos val="b"/>
        <c:numFmt formatCode="0%" sourceLinked="1"/>
        <c:majorTickMark val="out"/>
        <c:minorTickMark val="none"/>
        <c:tickLblPos val="nextTo"/>
        <c:crossAx val="132589568"/>
        <c:crosses val="autoZero"/>
        <c:crossBetween val="between"/>
      </c:valAx>
    </c:plotArea>
    <c:legend>
      <c:legendPos val="b"/>
      <c:layout>
        <c:manualLayout>
          <c:xMode val="edge"/>
          <c:yMode val="edge"/>
          <c:x val="5.4004856257242419E-2"/>
          <c:y val="0.768571999366221"/>
          <c:w val="0.8919901236994362"/>
          <c:h val="0.15754431765548027"/>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2880915236609463E-2"/>
          <c:y val="5.0925925925925923E-2"/>
          <c:w val="0.95215808632345289"/>
          <c:h val="0.66457020997375316"/>
        </c:manualLayout>
      </c:layout>
      <c:barChart>
        <c:barDir val="col"/>
        <c:grouping val="percentStacked"/>
        <c:varyColors val="0"/>
        <c:ser>
          <c:idx val="2"/>
          <c:order val="0"/>
          <c:tx>
            <c:strRef>
              <c:f>'G4-G6'!$L$1</c:f>
              <c:strCache>
                <c:ptCount val="1"/>
                <c:pt idx="0">
                  <c:v>útvar zaměřený na vzdělávání</c:v>
                </c:pt>
              </c:strCache>
            </c:strRef>
          </c:tx>
          <c:spPr>
            <a:solidFill>
              <a:schemeClr val="accent1">
                <a:lumMod val="60000"/>
                <a:lumOff val="40000"/>
              </a:schemeClr>
            </a:solidFill>
            <a:ln>
              <a:solidFill>
                <a:schemeClr val="accent1"/>
              </a:solidFill>
            </a:ln>
          </c:spPr>
          <c:invertIfNegative val="0"/>
          <c:dLbls>
            <c:numFmt formatCode="0%" sourceLinked="0"/>
            <c:showLegendKey val="0"/>
            <c:showVal val="1"/>
            <c:showCatName val="0"/>
            <c:showSerName val="0"/>
            <c:showPercent val="0"/>
            <c:showBubbleSize val="0"/>
            <c:showLeaderLines val="0"/>
          </c:dLbls>
          <c:cat>
            <c:strRef>
              <c:f>'G4-G6'!$I$2:$I$5</c:f>
              <c:strCache>
                <c:ptCount val="4"/>
                <c:pt idx="0">
                  <c:v>firmy celkem</c:v>
                </c:pt>
                <c:pt idx="1">
                  <c:v>kurzy/školení povinné</c:v>
                </c:pt>
                <c:pt idx="2">
                  <c:v>kurzy/školení nepovinné</c:v>
                </c:pt>
                <c:pt idx="3">
                  <c:v>jiné formy vzdělávání</c:v>
                </c:pt>
              </c:strCache>
            </c:strRef>
          </c:cat>
          <c:val>
            <c:numRef>
              <c:f>'G4-G6'!$L$2:$L$5</c:f>
              <c:numCache>
                <c:formatCode>0%</c:formatCode>
                <c:ptCount val="4"/>
                <c:pt idx="0">
                  <c:v>3.4689999999999999E-2</c:v>
                </c:pt>
                <c:pt idx="1">
                  <c:v>3.9600000000000003E-2</c:v>
                </c:pt>
                <c:pt idx="2">
                  <c:v>5.6959999999999997E-2</c:v>
                </c:pt>
                <c:pt idx="3">
                  <c:v>7.034E-2</c:v>
                </c:pt>
              </c:numCache>
            </c:numRef>
          </c:val>
        </c:ser>
        <c:ser>
          <c:idx val="3"/>
          <c:order val="1"/>
          <c:tx>
            <c:strRef>
              <c:f>'G4-G6'!$M$1</c:f>
              <c:strCache>
                <c:ptCount val="1"/>
                <c:pt idx="0">
                  <c:v>zaměstnanec zodpovědný za vzdělávání (hlavní činnost)</c:v>
                </c:pt>
              </c:strCache>
            </c:strRef>
          </c:tx>
          <c:spPr>
            <a:solidFill>
              <a:schemeClr val="accent2">
                <a:lumMod val="60000"/>
                <a:lumOff val="40000"/>
              </a:schemeClr>
            </a:solidFill>
            <a:ln>
              <a:solidFill>
                <a:schemeClr val="accent2"/>
              </a:solidFill>
            </a:ln>
          </c:spPr>
          <c:invertIfNegative val="0"/>
          <c:dLbls>
            <c:numFmt formatCode="0%" sourceLinked="0"/>
            <c:showLegendKey val="0"/>
            <c:showVal val="1"/>
            <c:showCatName val="0"/>
            <c:showSerName val="0"/>
            <c:showPercent val="0"/>
            <c:showBubbleSize val="0"/>
            <c:showLeaderLines val="0"/>
          </c:dLbls>
          <c:cat>
            <c:strRef>
              <c:f>'G4-G6'!$I$2:$I$5</c:f>
              <c:strCache>
                <c:ptCount val="4"/>
                <c:pt idx="0">
                  <c:v>firmy celkem</c:v>
                </c:pt>
                <c:pt idx="1">
                  <c:v>kurzy/školení povinné</c:v>
                </c:pt>
                <c:pt idx="2">
                  <c:v>kurzy/školení nepovinné</c:v>
                </c:pt>
                <c:pt idx="3">
                  <c:v>jiné formy vzdělávání</c:v>
                </c:pt>
              </c:strCache>
            </c:strRef>
          </c:cat>
          <c:val>
            <c:numRef>
              <c:f>'G4-G6'!$M$2:$M$5</c:f>
              <c:numCache>
                <c:formatCode>0%</c:formatCode>
                <c:ptCount val="4"/>
                <c:pt idx="0">
                  <c:v>3.5610000000000003E-2</c:v>
                </c:pt>
                <c:pt idx="1">
                  <c:v>4.0309999999999999E-2</c:v>
                </c:pt>
                <c:pt idx="2">
                  <c:v>5.3370000000000001E-2</c:v>
                </c:pt>
                <c:pt idx="3">
                  <c:v>6.3200000000000006E-2</c:v>
                </c:pt>
              </c:numCache>
            </c:numRef>
          </c:val>
        </c:ser>
        <c:ser>
          <c:idx val="1"/>
          <c:order val="2"/>
          <c:tx>
            <c:strRef>
              <c:f>'G4-G6'!$K$1</c:f>
              <c:strCache>
                <c:ptCount val="1"/>
                <c:pt idx="0">
                  <c:v>zaměstnanec zodpovědný za vzdělávání (vedlejší činnost)</c:v>
                </c:pt>
              </c:strCache>
            </c:strRef>
          </c:tx>
          <c:spPr>
            <a:solidFill>
              <a:schemeClr val="accent3"/>
            </a:solidFill>
            <a:ln>
              <a:solidFill>
                <a:schemeClr val="accent3">
                  <a:lumMod val="75000"/>
                </a:schemeClr>
              </a:solidFill>
            </a:ln>
          </c:spPr>
          <c:invertIfNegative val="0"/>
          <c:dLbls>
            <c:numFmt formatCode="0%" sourceLinked="0"/>
            <c:dLblPos val="ctr"/>
            <c:showLegendKey val="0"/>
            <c:showVal val="1"/>
            <c:showCatName val="0"/>
            <c:showSerName val="0"/>
            <c:showPercent val="0"/>
            <c:showBubbleSize val="0"/>
            <c:showLeaderLines val="0"/>
          </c:dLbls>
          <c:cat>
            <c:strRef>
              <c:f>'G4-G6'!$I$2:$I$5</c:f>
              <c:strCache>
                <c:ptCount val="4"/>
                <c:pt idx="0">
                  <c:v>firmy celkem</c:v>
                </c:pt>
                <c:pt idx="1">
                  <c:v>kurzy/školení povinné</c:v>
                </c:pt>
                <c:pt idx="2">
                  <c:v>kurzy/školení nepovinné</c:v>
                </c:pt>
                <c:pt idx="3">
                  <c:v>jiné formy vzdělávání</c:v>
                </c:pt>
              </c:strCache>
            </c:strRef>
          </c:cat>
          <c:val>
            <c:numRef>
              <c:f>'G4-G6'!$K$2:$K$5</c:f>
              <c:numCache>
                <c:formatCode>0%</c:formatCode>
                <c:ptCount val="4"/>
                <c:pt idx="0">
                  <c:v>0.30181999999999998</c:v>
                </c:pt>
                <c:pt idx="1">
                  <c:v>0.33065</c:v>
                </c:pt>
                <c:pt idx="2">
                  <c:v>0.40927999999999998</c:v>
                </c:pt>
                <c:pt idx="3">
                  <c:v>0.41504000000000002</c:v>
                </c:pt>
              </c:numCache>
            </c:numRef>
          </c:val>
        </c:ser>
        <c:ser>
          <c:idx val="0"/>
          <c:order val="3"/>
          <c:tx>
            <c:strRef>
              <c:f>'G4-G6'!$J$1</c:f>
              <c:strCache>
                <c:ptCount val="1"/>
                <c:pt idx="0">
                  <c:v>bez pověřeného útvaru či osoby</c:v>
                </c:pt>
              </c:strCache>
            </c:strRef>
          </c:tx>
          <c:spPr>
            <a:solidFill>
              <a:schemeClr val="accent6">
                <a:lumMod val="60000"/>
                <a:lumOff val="40000"/>
              </a:schemeClr>
            </a:solidFill>
            <a:ln>
              <a:solidFill>
                <a:schemeClr val="accent6"/>
              </a:solidFill>
            </a:ln>
          </c:spPr>
          <c:invertIfNegative val="0"/>
          <c:dLbls>
            <c:numFmt formatCode="0%" sourceLinked="0"/>
            <c:dLblPos val="ctr"/>
            <c:showLegendKey val="0"/>
            <c:showVal val="1"/>
            <c:showCatName val="0"/>
            <c:showSerName val="0"/>
            <c:showPercent val="0"/>
            <c:showBubbleSize val="0"/>
            <c:showLeaderLines val="0"/>
          </c:dLbls>
          <c:cat>
            <c:strRef>
              <c:f>'G4-G6'!$I$2:$I$5</c:f>
              <c:strCache>
                <c:ptCount val="4"/>
                <c:pt idx="0">
                  <c:v>firmy celkem</c:v>
                </c:pt>
                <c:pt idx="1">
                  <c:v>kurzy/školení povinné</c:v>
                </c:pt>
                <c:pt idx="2">
                  <c:v>kurzy/školení nepovinné</c:v>
                </c:pt>
                <c:pt idx="3">
                  <c:v>jiné formy vzdělávání</c:v>
                </c:pt>
              </c:strCache>
            </c:strRef>
          </c:cat>
          <c:val>
            <c:numRef>
              <c:f>'G4-G6'!$J$2:$J$5</c:f>
              <c:numCache>
                <c:formatCode>0%</c:formatCode>
                <c:ptCount val="4"/>
                <c:pt idx="0">
                  <c:v>0.62785999999999997</c:v>
                </c:pt>
                <c:pt idx="1">
                  <c:v>0.58943999999999996</c:v>
                </c:pt>
                <c:pt idx="2">
                  <c:v>0.48038999999999998</c:v>
                </c:pt>
                <c:pt idx="3">
                  <c:v>0.45134999999999997</c:v>
                </c:pt>
              </c:numCache>
            </c:numRef>
          </c:val>
        </c:ser>
        <c:dLbls>
          <c:showLegendKey val="0"/>
          <c:showVal val="0"/>
          <c:showCatName val="0"/>
          <c:showSerName val="0"/>
          <c:showPercent val="0"/>
          <c:showBubbleSize val="0"/>
        </c:dLbls>
        <c:gapWidth val="150"/>
        <c:overlap val="100"/>
        <c:axId val="132591104"/>
        <c:axId val="134351680"/>
      </c:barChart>
      <c:catAx>
        <c:axId val="132591104"/>
        <c:scaling>
          <c:orientation val="minMax"/>
        </c:scaling>
        <c:delete val="0"/>
        <c:axPos val="b"/>
        <c:majorTickMark val="out"/>
        <c:minorTickMark val="none"/>
        <c:tickLblPos val="nextTo"/>
        <c:crossAx val="134351680"/>
        <c:crosses val="autoZero"/>
        <c:auto val="1"/>
        <c:lblAlgn val="ctr"/>
        <c:lblOffset val="100"/>
        <c:noMultiLvlLbl val="0"/>
      </c:catAx>
      <c:valAx>
        <c:axId val="134351680"/>
        <c:scaling>
          <c:orientation val="minMax"/>
        </c:scaling>
        <c:delete val="1"/>
        <c:axPos val="l"/>
        <c:numFmt formatCode="0%" sourceLinked="0"/>
        <c:majorTickMark val="out"/>
        <c:minorTickMark val="none"/>
        <c:tickLblPos val="nextTo"/>
        <c:crossAx val="132591104"/>
        <c:crosses val="autoZero"/>
        <c:crossBetween val="between"/>
      </c:valAx>
      <c:spPr>
        <a:ln>
          <a:noFill/>
        </a:ln>
      </c:spPr>
    </c:plotArea>
    <c:legend>
      <c:legendPos val="b"/>
      <c:layout>
        <c:manualLayout>
          <c:xMode val="edge"/>
          <c:yMode val="edge"/>
          <c:x val="5.4004856257242419E-2"/>
          <c:y val="0.8093000874890639"/>
          <c:w val="0.8919901236994362"/>
          <c:h val="0.1887284734569469"/>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4"/>
          <c:order val="0"/>
          <c:tx>
            <c:strRef>
              <c:f>'G7'!$A$3</c:f>
              <c:strCache>
                <c:ptCount val="1"/>
                <c:pt idx="0">
                  <c:v>celkem</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strRef>
              <c:f>'G7'!$B$2:$E$2</c:f>
              <c:strCache>
                <c:ptCount val="4"/>
                <c:pt idx="0">
                  <c:v>1999</c:v>
                </c:pt>
                <c:pt idx="1">
                  <c:v>2005</c:v>
                </c:pt>
                <c:pt idx="2">
                  <c:v>2010</c:v>
                </c:pt>
                <c:pt idx="3">
                  <c:v>2015</c:v>
                </c:pt>
              </c:strCache>
            </c:strRef>
          </c:cat>
          <c:val>
            <c:numRef>
              <c:f>'G7'!$B$3:$E$3</c:f>
              <c:numCache>
                <c:formatCode>0.00</c:formatCode>
                <c:ptCount val="4"/>
                <c:pt idx="0">
                  <c:v>0.61</c:v>
                </c:pt>
                <c:pt idx="1">
                  <c:v>0.63300000000000001</c:v>
                </c:pt>
                <c:pt idx="2">
                  <c:v>0.625</c:v>
                </c:pt>
                <c:pt idx="3">
                  <c:v>0.89400000000000002</c:v>
                </c:pt>
              </c:numCache>
            </c:numRef>
          </c:val>
        </c:ser>
        <c:ser>
          <c:idx val="0"/>
          <c:order val="1"/>
          <c:tx>
            <c:strRef>
              <c:f>'G7'!$A$4</c:f>
              <c:strCache>
                <c:ptCount val="1"/>
                <c:pt idx="0">
                  <c:v>10–19 zaměstnanců</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strRef>
              <c:f>'G7'!$B$2:$E$2</c:f>
              <c:strCache>
                <c:ptCount val="4"/>
                <c:pt idx="0">
                  <c:v>1999</c:v>
                </c:pt>
                <c:pt idx="1">
                  <c:v>2005</c:v>
                </c:pt>
                <c:pt idx="2">
                  <c:v>2010</c:v>
                </c:pt>
                <c:pt idx="3">
                  <c:v>2015</c:v>
                </c:pt>
              </c:strCache>
            </c:strRef>
          </c:cat>
          <c:val>
            <c:numRef>
              <c:f>'G7'!$B$4:$E$4</c:f>
              <c:numCache>
                <c:formatCode>0.00</c:formatCode>
                <c:ptCount val="4"/>
                <c:pt idx="0">
                  <c:v>0.47799999999999998</c:v>
                </c:pt>
                <c:pt idx="1">
                  <c:v>0.51500000000000001</c:v>
                </c:pt>
                <c:pt idx="2">
                  <c:v>0.52500000000000002</c:v>
                </c:pt>
                <c:pt idx="3">
                  <c:v>0.86599999999999999</c:v>
                </c:pt>
              </c:numCache>
            </c:numRef>
          </c:val>
        </c:ser>
        <c:ser>
          <c:idx val="1"/>
          <c:order val="2"/>
          <c:tx>
            <c:strRef>
              <c:f>'G7'!$A$5</c:f>
              <c:strCache>
                <c:ptCount val="1"/>
                <c:pt idx="0">
                  <c:v>20–49 zaměstnanců</c:v>
                </c:pt>
              </c:strCache>
            </c:strRef>
          </c:tx>
          <c:spPr>
            <a:solidFill>
              <a:schemeClr val="accent3"/>
            </a:solidFill>
            <a:ln>
              <a:solidFill>
                <a:schemeClr val="accent3">
                  <a:lumMod val="75000"/>
                </a:schemeClr>
              </a:solidFill>
            </a:ln>
          </c:spPr>
          <c:invertIfNegative val="0"/>
          <c:dLbls>
            <c:numFmt formatCode="0%" sourceLinked="0"/>
            <c:dLblPos val="inEnd"/>
            <c:showLegendKey val="0"/>
            <c:showVal val="1"/>
            <c:showCatName val="0"/>
            <c:showSerName val="0"/>
            <c:showPercent val="0"/>
            <c:showBubbleSize val="0"/>
            <c:showLeaderLines val="0"/>
          </c:dLbls>
          <c:cat>
            <c:strRef>
              <c:f>'G7'!$B$2:$E$2</c:f>
              <c:strCache>
                <c:ptCount val="4"/>
                <c:pt idx="0">
                  <c:v>1999</c:v>
                </c:pt>
                <c:pt idx="1">
                  <c:v>2005</c:v>
                </c:pt>
                <c:pt idx="2">
                  <c:v>2010</c:v>
                </c:pt>
                <c:pt idx="3">
                  <c:v>2015</c:v>
                </c:pt>
              </c:strCache>
            </c:strRef>
          </c:cat>
          <c:val>
            <c:numRef>
              <c:f>'G7'!$B$5:$E$5</c:f>
              <c:numCache>
                <c:formatCode>0.00</c:formatCode>
                <c:ptCount val="4"/>
                <c:pt idx="0">
                  <c:v>0.6</c:v>
                </c:pt>
                <c:pt idx="1">
                  <c:v>0.63200000000000001</c:v>
                </c:pt>
                <c:pt idx="2">
                  <c:v>0.65300000000000002</c:v>
                </c:pt>
                <c:pt idx="3">
                  <c:v>0.89</c:v>
                </c:pt>
              </c:numCache>
            </c:numRef>
          </c:val>
        </c:ser>
        <c:ser>
          <c:idx val="2"/>
          <c:order val="3"/>
          <c:tx>
            <c:strRef>
              <c:f>'G7'!$A$6</c:f>
              <c:strCache>
                <c:ptCount val="1"/>
                <c:pt idx="0">
                  <c:v>50–249 zaměstnanců</c:v>
                </c:pt>
              </c:strCache>
            </c:strRef>
          </c:tx>
          <c:spPr>
            <a:solidFill>
              <a:schemeClr val="accent6">
                <a:lumMod val="60000"/>
                <a:lumOff val="40000"/>
              </a:schemeClr>
            </a:solidFill>
            <a:ln>
              <a:solidFill>
                <a:schemeClr val="accent6"/>
              </a:solidFill>
            </a:ln>
          </c:spPr>
          <c:invertIfNegative val="0"/>
          <c:dLbls>
            <c:numFmt formatCode="0%" sourceLinked="0"/>
            <c:dLblPos val="inEnd"/>
            <c:showLegendKey val="0"/>
            <c:showVal val="1"/>
            <c:showCatName val="0"/>
            <c:showSerName val="0"/>
            <c:showPercent val="0"/>
            <c:showBubbleSize val="0"/>
            <c:showLeaderLines val="0"/>
          </c:dLbls>
          <c:cat>
            <c:strRef>
              <c:f>'G7'!$B$2:$E$2</c:f>
              <c:strCache>
                <c:ptCount val="4"/>
                <c:pt idx="0">
                  <c:v>1999</c:v>
                </c:pt>
                <c:pt idx="1">
                  <c:v>2005</c:v>
                </c:pt>
                <c:pt idx="2">
                  <c:v>2010</c:v>
                </c:pt>
                <c:pt idx="3">
                  <c:v>2015</c:v>
                </c:pt>
              </c:strCache>
            </c:strRef>
          </c:cat>
          <c:val>
            <c:numRef>
              <c:f>'G7'!$B$6:$E$6</c:f>
              <c:numCache>
                <c:formatCode>0.00</c:formatCode>
                <c:ptCount val="4"/>
                <c:pt idx="0">
                  <c:v>0.79</c:v>
                </c:pt>
                <c:pt idx="1">
                  <c:v>0.879</c:v>
                </c:pt>
                <c:pt idx="2">
                  <c:v>0.82299999999999995</c:v>
                </c:pt>
                <c:pt idx="3">
                  <c:v>0.94799999999999995</c:v>
                </c:pt>
              </c:numCache>
            </c:numRef>
          </c:val>
        </c:ser>
        <c:ser>
          <c:idx val="3"/>
          <c:order val="4"/>
          <c:tx>
            <c:strRef>
              <c:f>'G7'!$A$7</c:f>
              <c:strCache>
                <c:ptCount val="1"/>
                <c:pt idx="0">
                  <c:v>250 a více zaměstnanců</c:v>
                </c:pt>
              </c:strCache>
            </c:strRef>
          </c:tx>
          <c:spPr>
            <a:solidFill>
              <a:schemeClr val="accent4">
                <a:lumMod val="60000"/>
                <a:lumOff val="40000"/>
              </a:schemeClr>
            </a:solidFill>
            <a:ln>
              <a:solidFill>
                <a:schemeClr val="accent4"/>
              </a:solidFill>
            </a:ln>
          </c:spPr>
          <c:invertIfNegative val="0"/>
          <c:dLbls>
            <c:numFmt formatCode="0%" sourceLinked="0"/>
            <c:dLblPos val="inEnd"/>
            <c:showLegendKey val="0"/>
            <c:showVal val="1"/>
            <c:showCatName val="0"/>
            <c:showSerName val="0"/>
            <c:showPercent val="0"/>
            <c:showBubbleSize val="0"/>
            <c:showLeaderLines val="0"/>
          </c:dLbls>
          <c:cat>
            <c:strRef>
              <c:f>'G7'!$B$2:$E$2</c:f>
              <c:strCache>
                <c:ptCount val="4"/>
                <c:pt idx="0">
                  <c:v>1999</c:v>
                </c:pt>
                <c:pt idx="1">
                  <c:v>2005</c:v>
                </c:pt>
                <c:pt idx="2">
                  <c:v>2010</c:v>
                </c:pt>
                <c:pt idx="3">
                  <c:v>2015</c:v>
                </c:pt>
              </c:strCache>
            </c:strRef>
          </c:cat>
          <c:val>
            <c:numRef>
              <c:f>'G7'!$B$7:$E$7</c:f>
              <c:numCache>
                <c:formatCode>0.00</c:formatCode>
                <c:ptCount val="4"/>
                <c:pt idx="0">
                  <c:v>0.95199999999999996</c:v>
                </c:pt>
                <c:pt idx="1">
                  <c:v>0.997</c:v>
                </c:pt>
                <c:pt idx="2">
                  <c:v>0.95599999999999996</c:v>
                </c:pt>
                <c:pt idx="3">
                  <c:v>0.99199999999999999</c:v>
                </c:pt>
              </c:numCache>
            </c:numRef>
          </c:val>
        </c:ser>
        <c:dLbls>
          <c:showLegendKey val="0"/>
          <c:showVal val="0"/>
          <c:showCatName val="0"/>
          <c:showSerName val="0"/>
          <c:showPercent val="0"/>
          <c:showBubbleSize val="0"/>
        </c:dLbls>
        <c:gapWidth val="150"/>
        <c:axId val="134439936"/>
        <c:axId val="134353408"/>
      </c:barChart>
      <c:catAx>
        <c:axId val="134439936"/>
        <c:scaling>
          <c:orientation val="minMax"/>
        </c:scaling>
        <c:delete val="0"/>
        <c:axPos val="b"/>
        <c:majorTickMark val="out"/>
        <c:minorTickMark val="none"/>
        <c:tickLblPos val="nextTo"/>
        <c:crossAx val="134353408"/>
        <c:crosses val="autoZero"/>
        <c:auto val="1"/>
        <c:lblAlgn val="ctr"/>
        <c:lblOffset val="100"/>
        <c:noMultiLvlLbl val="0"/>
      </c:catAx>
      <c:valAx>
        <c:axId val="134353408"/>
        <c:scaling>
          <c:orientation val="minMax"/>
          <c:max val="1"/>
        </c:scaling>
        <c:delete val="1"/>
        <c:axPos val="l"/>
        <c:numFmt formatCode="0%" sourceLinked="0"/>
        <c:majorTickMark val="out"/>
        <c:minorTickMark val="none"/>
        <c:tickLblPos val="nextTo"/>
        <c:crossAx val="134439936"/>
        <c:crosses val="autoZero"/>
        <c:crossBetween val="between"/>
        <c:majorUnit val="0.2"/>
      </c:valAx>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'G8'!$A$2</c:f>
              <c:strCache>
                <c:ptCount val="1"/>
                <c:pt idx="0">
                  <c:v>celkem</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numRef>
              <c:f>'G8'!$B$1:$D$1</c:f>
              <c:numCache>
                <c:formatCode>General</c:formatCode>
                <c:ptCount val="3"/>
                <c:pt idx="0">
                  <c:v>2005</c:v>
                </c:pt>
                <c:pt idx="1">
                  <c:v>2010</c:v>
                </c:pt>
                <c:pt idx="2">
                  <c:v>2015</c:v>
                </c:pt>
              </c:numCache>
            </c:numRef>
          </c:cat>
          <c:val>
            <c:numRef>
              <c:f>'G8'!$B$2:$D$2</c:f>
              <c:numCache>
                <c:formatCode>####.0</c:formatCode>
                <c:ptCount val="3"/>
                <c:pt idx="0">
                  <c:v>0.316</c:v>
                </c:pt>
                <c:pt idx="1">
                  <c:v>0.29499999999999998</c:v>
                </c:pt>
                <c:pt idx="2">
                  <c:v>0.372</c:v>
                </c:pt>
              </c:numCache>
            </c:numRef>
          </c:val>
        </c:ser>
        <c:ser>
          <c:idx val="1"/>
          <c:order val="1"/>
          <c:tx>
            <c:strRef>
              <c:f>'G8'!$A$3</c:f>
              <c:strCache>
                <c:ptCount val="1"/>
                <c:pt idx="0">
                  <c:v>10–19 zaměstanců</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numRef>
              <c:f>'G8'!$B$1:$D$1</c:f>
              <c:numCache>
                <c:formatCode>General</c:formatCode>
                <c:ptCount val="3"/>
                <c:pt idx="0">
                  <c:v>2005</c:v>
                </c:pt>
                <c:pt idx="1">
                  <c:v>2010</c:v>
                </c:pt>
                <c:pt idx="2">
                  <c:v>2015</c:v>
                </c:pt>
              </c:numCache>
            </c:numRef>
          </c:cat>
          <c:val>
            <c:numRef>
              <c:f>'G8'!$B$3:$D$3</c:f>
              <c:numCache>
                <c:formatCode>####.0</c:formatCode>
                <c:ptCount val="3"/>
                <c:pt idx="0">
                  <c:v>0.214</c:v>
                </c:pt>
                <c:pt idx="1">
                  <c:v>0.20399999999999999</c:v>
                </c:pt>
                <c:pt idx="2">
                  <c:v>0.27500000000000002</c:v>
                </c:pt>
              </c:numCache>
            </c:numRef>
          </c:val>
        </c:ser>
        <c:ser>
          <c:idx val="2"/>
          <c:order val="2"/>
          <c:tx>
            <c:strRef>
              <c:f>'G8'!$A$4</c:f>
              <c:strCache>
                <c:ptCount val="1"/>
                <c:pt idx="0">
                  <c:v>20–49 zaměstnanců</c:v>
                </c:pt>
              </c:strCache>
            </c:strRef>
          </c:tx>
          <c:spPr>
            <a:solidFill>
              <a:schemeClr val="accent3"/>
            </a:solidFill>
            <a:ln>
              <a:solidFill>
                <a:schemeClr val="accent3">
                  <a:lumMod val="75000"/>
                </a:schemeClr>
              </a:solidFill>
            </a:ln>
          </c:spPr>
          <c:invertIfNegative val="0"/>
          <c:dLbls>
            <c:numFmt formatCode="0%" sourceLinked="0"/>
            <c:dLblPos val="inEnd"/>
            <c:showLegendKey val="0"/>
            <c:showVal val="1"/>
            <c:showCatName val="0"/>
            <c:showSerName val="0"/>
            <c:showPercent val="0"/>
            <c:showBubbleSize val="0"/>
            <c:showLeaderLines val="0"/>
          </c:dLbls>
          <c:cat>
            <c:numRef>
              <c:f>'G8'!$B$1:$D$1</c:f>
              <c:numCache>
                <c:formatCode>General</c:formatCode>
                <c:ptCount val="3"/>
                <c:pt idx="0">
                  <c:v>2005</c:v>
                </c:pt>
                <c:pt idx="1">
                  <c:v>2010</c:v>
                </c:pt>
                <c:pt idx="2">
                  <c:v>2015</c:v>
                </c:pt>
              </c:numCache>
            </c:numRef>
          </c:cat>
          <c:val>
            <c:numRef>
              <c:f>'G8'!$B$4:$D$4</c:f>
              <c:numCache>
                <c:formatCode>####.0</c:formatCode>
                <c:ptCount val="3"/>
                <c:pt idx="0">
                  <c:v>0.29199999999999998</c:v>
                </c:pt>
                <c:pt idx="1">
                  <c:v>0.27900000000000003</c:v>
                </c:pt>
                <c:pt idx="2">
                  <c:v>0.33300000000000002</c:v>
                </c:pt>
              </c:numCache>
            </c:numRef>
          </c:val>
        </c:ser>
        <c:ser>
          <c:idx val="3"/>
          <c:order val="3"/>
          <c:tx>
            <c:strRef>
              <c:f>'G8'!$A$5</c:f>
              <c:strCache>
                <c:ptCount val="1"/>
                <c:pt idx="0">
                  <c:v>50–249 zaměstnanců</c:v>
                </c:pt>
              </c:strCache>
            </c:strRef>
          </c:tx>
          <c:spPr>
            <a:solidFill>
              <a:schemeClr val="accent4">
                <a:lumMod val="60000"/>
                <a:lumOff val="40000"/>
              </a:schemeClr>
            </a:solidFill>
            <a:ln>
              <a:solidFill>
                <a:schemeClr val="accent4"/>
              </a:solidFill>
            </a:ln>
          </c:spPr>
          <c:invertIfNegative val="0"/>
          <c:dLbls>
            <c:numFmt formatCode="0%" sourceLinked="0"/>
            <c:dLblPos val="inEnd"/>
            <c:showLegendKey val="0"/>
            <c:showVal val="1"/>
            <c:showCatName val="0"/>
            <c:showSerName val="0"/>
            <c:showPercent val="0"/>
            <c:showBubbleSize val="0"/>
            <c:showLeaderLines val="0"/>
          </c:dLbls>
          <c:cat>
            <c:numRef>
              <c:f>'G8'!$B$1:$D$1</c:f>
              <c:numCache>
                <c:formatCode>General</c:formatCode>
                <c:ptCount val="3"/>
                <c:pt idx="0">
                  <c:v>2005</c:v>
                </c:pt>
                <c:pt idx="1">
                  <c:v>2010</c:v>
                </c:pt>
                <c:pt idx="2">
                  <c:v>2015</c:v>
                </c:pt>
              </c:numCache>
            </c:numRef>
          </c:cat>
          <c:val>
            <c:numRef>
              <c:f>'G8'!$B$5:$D$5</c:f>
              <c:numCache>
                <c:formatCode>####.0</c:formatCode>
                <c:ptCount val="3"/>
                <c:pt idx="0">
                  <c:v>0.51600000000000001</c:v>
                </c:pt>
                <c:pt idx="1">
                  <c:v>0.51300000000000001</c:v>
                </c:pt>
                <c:pt idx="2">
                  <c:v>0.56899999999999995</c:v>
                </c:pt>
              </c:numCache>
            </c:numRef>
          </c:val>
        </c:ser>
        <c:ser>
          <c:idx val="4"/>
          <c:order val="4"/>
          <c:tx>
            <c:strRef>
              <c:f>'G8'!$A$6</c:f>
              <c:strCache>
                <c:ptCount val="1"/>
                <c:pt idx="0">
                  <c:v>250 a více zaměstnanců</c:v>
                </c:pt>
              </c:strCache>
            </c:strRef>
          </c:tx>
          <c:spPr>
            <a:solidFill>
              <a:schemeClr val="accent6">
                <a:lumMod val="60000"/>
                <a:lumOff val="40000"/>
              </a:schemeClr>
            </a:solidFill>
            <a:ln>
              <a:solidFill>
                <a:schemeClr val="accent6"/>
              </a:solidFill>
            </a:ln>
          </c:spPr>
          <c:invertIfNegative val="0"/>
          <c:dLbls>
            <c:numFmt formatCode="0%" sourceLinked="0"/>
            <c:dLblPos val="inEnd"/>
            <c:showLegendKey val="0"/>
            <c:showVal val="1"/>
            <c:showCatName val="0"/>
            <c:showSerName val="0"/>
            <c:showPercent val="0"/>
            <c:showBubbleSize val="0"/>
            <c:showLeaderLines val="0"/>
          </c:dLbls>
          <c:cat>
            <c:numRef>
              <c:f>'G8'!$B$1:$D$1</c:f>
              <c:numCache>
                <c:formatCode>General</c:formatCode>
                <c:ptCount val="3"/>
                <c:pt idx="0">
                  <c:v>2005</c:v>
                </c:pt>
                <c:pt idx="1">
                  <c:v>2010</c:v>
                </c:pt>
                <c:pt idx="2">
                  <c:v>2015</c:v>
                </c:pt>
              </c:numCache>
            </c:numRef>
          </c:cat>
          <c:val>
            <c:numRef>
              <c:f>'G8'!$B$6:$D$6</c:f>
              <c:numCache>
                <c:formatCode>####.0</c:formatCode>
                <c:ptCount val="3"/>
                <c:pt idx="0">
                  <c:v>0.622</c:v>
                </c:pt>
                <c:pt idx="1">
                  <c:v>0.78100000000000003</c:v>
                </c:pt>
                <c:pt idx="2">
                  <c:v>0.84599999999999997</c:v>
                </c:pt>
              </c:numCache>
            </c:numRef>
          </c:val>
        </c:ser>
        <c:dLbls>
          <c:showLegendKey val="0"/>
          <c:showVal val="0"/>
          <c:showCatName val="0"/>
          <c:showSerName val="0"/>
          <c:showPercent val="0"/>
          <c:showBubbleSize val="0"/>
        </c:dLbls>
        <c:gapWidth val="150"/>
        <c:axId val="132590592"/>
        <c:axId val="134355136"/>
      </c:barChart>
      <c:catAx>
        <c:axId val="132590592"/>
        <c:scaling>
          <c:orientation val="minMax"/>
        </c:scaling>
        <c:delete val="0"/>
        <c:axPos val="b"/>
        <c:numFmt formatCode="General" sourceLinked="1"/>
        <c:majorTickMark val="out"/>
        <c:minorTickMark val="none"/>
        <c:tickLblPos val="nextTo"/>
        <c:crossAx val="134355136"/>
        <c:crosses val="autoZero"/>
        <c:auto val="1"/>
        <c:lblAlgn val="ctr"/>
        <c:lblOffset val="100"/>
        <c:noMultiLvlLbl val="0"/>
      </c:catAx>
      <c:valAx>
        <c:axId val="134355136"/>
        <c:scaling>
          <c:orientation val="minMax"/>
        </c:scaling>
        <c:delete val="1"/>
        <c:axPos val="l"/>
        <c:numFmt formatCode="0%" sourceLinked="0"/>
        <c:majorTickMark val="out"/>
        <c:minorTickMark val="none"/>
        <c:tickLblPos val="nextTo"/>
        <c:crossAx val="132590592"/>
        <c:crosses val="autoZero"/>
        <c:crossBetween val="between"/>
      </c:valAx>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'G9'!$A$2</c:f>
              <c:strCache>
                <c:ptCount val="1"/>
                <c:pt idx="0">
                  <c:v>celkem</c:v>
                </c:pt>
              </c:strCache>
            </c:strRef>
          </c:tx>
          <c:spPr>
            <a:solidFill>
              <a:schemeClr val="accent1">
                <a:lumMod val="60000"/>
                <a:lumOff val="40000"/>
              </a:schemeClr>
            </a:solidFill>
            <a:ln>
              <a:solidFill>
                <a:schemeClr val="accent1"/>
              </a:solidFill>
            </a:ln>
          </c:spPr>
          <c:invertIfNegative val="0"/>
          <c:dLbls>
            <c:numFmt formatCode="0%" sourceLinked="0"/>
            <c:dLblPos val="inEnd"/>
            <c:showLegendKey val="0"/>
            <c:showVal val="1"/>
            <c:showCatName val="0"/>
            <c:showSerName val="0"/>
            <c:showPercent val="0"/>
            <c:showBubbleSize val="0"/>
            <c:showLeaderLines val="0"/>
          </c:dLbls>
          <c:cat>
            <c:numRef>
              <c:f>'G9'!$B$1:$E$1</c:f>
              <c:numCache>
                <c:formatCode>General</c:formatCode>
                <c:ptCount val="4"/>
                <c:pt idx="0">
                  <c:v>1999</c:v>
                </c:pt>
                <c:pt idx="1">
                  <c:v>2005</c:v>
                </c:pt>
                <c:pt idx="2">
                  <c:v>2010</c:v>
                </c:pt>
                <c:pt idx="3">
                  <c:v>2015</c:v>
                </c:pt>
              </c:numCache>
            </c:numRef>
          </c:cat>
          <c:val>
            <c:numRef>
              <c:f>'G9'!$B$2:$E$2</c:f>
              <c:numCache>
                <c:formatCode>####.0</c:formatCode>
                <c:ptCount val="4"/>
                <c:pt idx="0">
                  <c:v>0.23499999999999999</c:v>
                </c:pt>
                <c:pt idx="1">
                  <c:v>0.189</c:v>
                </c:pt>
                <c:pt idx="2">
                  <c:v>0.20499999999999999</c:v>
                </c:pt>
                <c:pt idx="3">
                  <c:v>0.214</c:v>
                </c:pt>
              </c:numCache>
            </c:numRef>
          </c:val>
        </c:ser>
        <c:ser>
          <c:idx val="1"/>
          <c:order val="1"/>
          <c:tx>
            <c:strRef>
              <c:f>'G9'!$A$3</c:f>
              <c:strCache>
                <c:ptCount val="1"/>
                <c:pt idx="0">
                  <c:v>10–19 zaměstanců</c:v>
                </c:pt>
              </c:strCache>
            </c:strRef>
          </c:tx>
          <c:spPr>
            <a:solidFill>
              <a:schemeClr val="accent2">
                <a:lumMod val="60000"/>
                <a:lumOff val="40000"/>
              </a:schemeClr>
            </a:solidFill>
            <a:ln>
              <a:solidFill>
                <a:schemeClr val="accent2"/>
              </a:solidFill>
            </a:ln>
          </c:spPr>
          <c:invertIfNegative val="0"/>
          <c:dLbls>
            <c:numFmt formatCode="0%" sourceLinked="0"/>
            <c:dLblPos val="inEnd"/>
            <c:showLegendKey val="0"/>
            <c:showVal val="1"/>
            <c:showCatName val="0"/>
            <c:showSerName val="0"/>
            <c:showPercent val="0"/>
            <c:showBubbleSize val="0"/>
            <c:showLeaderLines val="0"/>
          </c:dLbls>
          <c:cat>
            <c:numRef>
              <c:f>'G9'!$B$1:$E$1</c:f>
              <c:numCache>
                <c:formatCode>General</c:formatCode>
                <c:ptCount val="4"/>
                <c:pt idx="0">
                  <c:v>1999</c:v>
                </c:pt>
                <c:pt idx="1">
                  <c:v>2005</c:v>
                </c:pt>
                <c:pt idx="2">
                  <c:v>2010</c:v>
                </c:pt>
                <c:pt idx="3">
                  <c:v>2015</c:v>
                </c:pt>
              </c:numCache>
            </c:numRef>
          </c:cat>
          <c:val>
            <c:numRef>
              <c:f>'G9'!$B$3:$E$3</c:f>
              <c:numCache>
                <c:formatCode>####.0</c:formatCode>
                <c:ptCount val="4"/>
                <c:pt idx="0">
                  <c:v>0.107</c:v>
                </c:pt>
                <c:pt idx="1">
                  <c:v>9.6000000000000002E-2</c:v>
                </c:pt>
                <c:pt idx="2">
                  <c:v>0.113</c:v>
                </c:pt>
                <c:pt idx="3">
                  <c:v>0.11899999999999999</c:v>
                </c:pt>
              </c:numCache>
            </c:numRef>
          </c:val>
        </c:ser>
        <c:ser>
          <c:idx val="2"/>
          <c:order val="2"/>
          <c:tx>
            <c:strRef>
              <c:f>'G9'!$A$4</c:f>
              <c:strCache>
                <c:ptCount val="1"/>
                <c:pt idx="0">
                  <c:v>20–49 zaměstnanců</c:v>
                </c:pt>
              </c:strCache>
            </c:strRef>
          </c:tx>
          <c:spPr>
            <a:solidFill>
              <a:schemeClr val="accent3"/>
            </a:solidFill>
            <a:ln>
              <a:solidFill>
                <a:schemeClr val="accent3">
                  <a:lumMod val="75000"/>
                </a:schemeClr>
              </a:solidFill>
            </a:ln>
          </c:spPr>
          <c:invertIfNegative val="0"/>
          <c:dLbls>
            <c:numFmt formatCode="0%" sourceLinked="0"/>
            <c:dLblPos val="inEnd"/>
            <c:showLegendKey val="0"/>
            <c:showVal val="1"/>
            <c:showCatName val="0"/>
            <c:showSerName val="0"/>
            <c:showPercent val="0"/>
            <c:showBubbleSize val="0"/>
            <c:showLeaderLines val="0"/>
          </c:dLbls>
          <c:cat>
            <c:numRef>
              <c:f>'G9'!$B$1:$E$1</c:f>
              <c:numCache>
                <c:formatCode>General</c:formatCode>
                <c:ptCount val="4"/>
                <c:pt idx="0">
                  <c:v>1999</c:v>
                </c:pt>
                <c:pt idx="1">
                  <c:v>2005</c:v>
                </c:pt>
                <c:pt idx="2">
                  <c:v>2010</c:v>
                </c:pt>
                <c:pt idx="3">
                  <c:v>2015</c:v>
                </c:pt>
              </c:numCache>
            </c:numRef>
          </c:cat>
          <c:val>
            <c:numRef>
              <c:f>'G9'!$B$4:$E$4</c:f>
              <c:numCache>
                <c:formatCode>####.0</c:formatCode>
                <c:ptCount val="4"/>
                <c:pt idx="0">
                  <c:v>0.17899999999999999</c:v>
                </c:pt>
                <c:pt idx="1">
                  <c:v>0.17499999999999999</c:v>
                </c:pt>
                <c:pt idx="2">
                  <c:v>0.2</c:v>
                </c:pt>
                <c:pt idx="3">
                  <c:v>0.159</c:v>
                </c:pt>
              </c:numCache>
            </c:numRef>
          </c:val>
        </c:ser>
        <c:ser>
          <c:idx val="3"/>
          <c:order val="3"/>
          <c:tx>
            <c:strRef>
              <c:f>'G9'!$A$5</c:f>
              <c:strCache>
                <c:ptCount val="1"/>
                <c:pt idx="0">
                  <c:v>50–249 zaměstnanců</c:v>
                </c:pt>
              </c:strCache>
            </c:strRef>
          </c:tx>
          <c:spPr>
            <a:solidFill>
              <a:schemeClr val="accent4">
                <a:lumMod val="60000"/>
                <a:lumOff val="40000"/>
              </a:schemeClr>
            </a:solidFill>
            <a:ln>
              <a:solidFill>
                <a:schemeClr val="accent4"/>
              </a:solidFill>
            </a:ln>
          </c:spPr>
          <c:invertIfNegative val="0"/>
          <c:dLbls>
            <c:numFmt formatCode="0%" sourceLinked="0"/>
            <c:dLblPos val="inEnd"/>
            <c:showLegendKey val="0"/>
            <c:showVal val="1"/>
            <c:showCatName val="0"/>
            <c:showSerName val="0"/>
            <c:showPercent val="0"/>
            <c:showBubbleSize val="0"/>
            <c:showLeaderLines val="0"/>
          </c:dLbls>
          <c:cat>
            <c:numRef>
              <c:f>'G9'!$B$1:$E$1</c:f>
              <c:numCache>
                <c:formatCode>General</c:formatCode>
                <c:ptCount val="4"/>
                <c:pt idx="0">
                  <c:v>1999</c:v>
                </c:pt>
                <c:pt idx="1">
                  <c:v>2005</c:v>
                </c:pt>
                <c:pt idx="2">
                  <c:v>2010</c:v>
                </c:pt>
                <c:pt idx="3">
                  <c:v>2015</c:v>
                </c:pt>
              </c:numCache>
            </c:numRef>
          </c:cat>
          <c:val>
            <c:numRef>
              <c:f>'G9'!$B$5:$E$5</c:f>
              <c:numCache>
                <c:formatCode>####.0</c:formatCode>
                <c:ptCount val="4"/>
                <c:pt idx="0">
                  <c:v>0.40799999999999997</c:v>
                </c:pt>
                <c:pt idx="1">
                  <c:v>0.38100000000000001</c:v>
                </c:pt>
                <c:pt idx="2">
                  <c:v>0.41499999999999998</c:v>
                </c:pt>
                <c:pt idx="3">
                  <c:v>0.41599999999999998</c:v>
                </c:pt>
              </c:numCache>
            </c:numRef>
          </c:val>
        </c:ser>
        <c:ser>
          <c:idx val="4"/>
          <c:order val="4"/>
          <c:tx>
            <c:strRef>
              <c:f>'G9'!$A$6</c:f>
              <c:strCache>
                <c:ptCount val="1"/>
                <c:pt idx="0">
                  <c:v>250 a více zaměstnanců</c:v>
                </c:pt>
              </c:strCache>
            </c:strRef>
          </c:tx>
          <c:spPr>
            <a:solidFill>
              <a:schemeClr val="accent6">
                <a:lumMod val="60000"/>
                <a:lumOff val="40000"/>
              </a:schemeClr>
            </a:solidFill>
            <a:ln>
              <a:solidFill>
                <a:schemeClr val="accent6"/>
              </a:solidFill>
            </a:ln>
          </c:spPr>
          <c:invertIfNegative val="0"/>
          <c:dLbls>
            <c:numFmt formatCode="0%" sourceLinked="0"/>
            <c:dLblPos val="inEnd"/>
            <c:showLegendKey val="0"/>
            <c:showVal val="1"/>
            <c:showCatName val="0"/>
            <c:showSerName val="0"/>
            <c:showPercent val="0"/>
            <c:showBubbleSize val="0"/>
            <c:showLeaderLines val="0"/>
          </c:dLbls>
          <c:cat>
            <c:numRef>
              <c:f>'G9'!$B$1:$E$1</c:f>
              <c:numCache>
                <c:formatCode>General</c:formatCode>
                <c:ptCount val="4"/>
                <c:pt idx="0">
                  <c:v>1999</c:v>
                </c:pt>
                <c:pt idx="1">
                  <c:v>2005</c:v>
                </c:pt>
                <c:pt idx="2">
                  <c:v>2010</c:v>
                </c:pt>
                <c:pt idx="3">
                  <c:v>2015</c:v>
                </c:pt>
              </c:numCache>
            </c:numRef>
          </c:cat>
          <c:val>
            <c:numRef>
              <c:f>'G9'!$B$6:$E$6</c:f>
              <c:numCache>
                <c:formatCode>####.0</c:formatCode>
                <c:ptCount val="4"/>
                <c:pt idx="0">
                  <c:v>0.49199999999999999</c:v>
                </c:pt>
                <c:pt idx="1">
                  <c:v>0.48699999999999999</c:v>
                </c:pt>
                <c:pt idx="2">
                  <c:v>0.66200000000000003</c:v>
                </c:pt>
                <c:pt idx="3">
                  <c:v>0.751</c:v>
                </c:pt>
              </c:numCache>
            </c:numRef>
          </c:val>
        </c:ser>
        <c:dLbls>
          <c:showLegendKey val="0"/>
          <c:showVal val="0"/>
          <c:showCatName val="0"/>
          <c:showSerName val="0"/>
          <c:showPercent val="0"/>
          <c:showBubbleSize val="0"/>
        </c:dLbls>
        <c:gapWidth val="150"/>
        <c:axId val="135897600"/>
        <c:axId val="134668288"/>
      </c:barChart>
      <c:catAx>
        <c:axId val="135897600"/>
        <c:scaling>
          <c:orientation val="minMax"/>
        </c:scaling>
        <c:delete val="0"/>
        <c:axPos val="b"/>
        <c:numFmt formatCode="General" sourceLinked="1"/>
        <c:majorTickMark val="out"/>
        <c:minorTickMark val="none"/>
        <c:tickLblPos val="nextTo"/>
        <c:crossAx val="134668288"/>
        <c:crosses val="autoZero"/>
        <c:auto val="1"/>
        <c:lblAlgn val="ctr"/>
        <c:lblOffset val="100"/>
        <c:noMultiLvlLbl val="0"/>
      </c:catAx>
      <c:valAx>
        <c:axId val="134668288"/>
        <c:scaling>
          <c:orientation val="minMax"/>
        </c:scaling>
        <c:delete val="1"/>
        <c:axPos val="l"/>
        <c:numFmt formatCode="0%" sourceLinked="0"/>
        <c:majorTickMark val="out"/>
        <c:minorTickMark val="none"/>
        <c:tickLblPos val="nextTo"/>
        <c:crossAx val="135897600"/>
        <c:crosses val="autoZero"/>
        <c:crossBetween val="between"/>
      </c:valAx>
      <c:spPr>
        <a:ln>
          <a:noFill/>
        </a:ln>
      </c:spPr>
    </c:plotArea>
    <c:legend>
      <c:legendPos val="b"/>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0.73975</cdr:x>
      <cdr:y>0.06149</cdr:y>
    </cdr:from>
    <cdr:to>
      <cdr:x>0.73992</cdr:x>
      <cdr:y>0.82167</cdr:y>
    </cdr:to>
    <cdr:cxnSp macro="">
      <cdr:nvCxnSpPr>
        <cdr:cNvPr id="2" name="Přímá spojnice 1"/>
        <cdr:cNvCxnSpPr/>
      </cdr:nvCxnSpPr>
      <cdr:spPr>
        <a:xfrm xmlns:a="http://schemas.openxmlformats.org/drawingml/2006/main" flipH="1" flipV="1">
          <a:off x="4467225" y="180975"/>
          <a:ext cx="1021" cy="2237386"/>
        </a:xfrm>
        <a:prstGeom xmlns:a="http://schemas.openxmlformats.org/drawingml/2006/main" prst="line">
          <a:avLst/>
        </a:prstGeom>
        <a:ln xmlns:a="http://schemas.openxmlformats.org/drawingml/2006/main" w="47625" cmpd="sng">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B305-245B-4C01-8512-1C1A236F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762</TotalTime>
  <Pages>83</Pages>
  <Words>21643</Words>
  <Characters>127698</Characters>
  <Application>Microsoft Office Word</Application>
  <DocSecurity>0</DocSecurity>
  <Lines>1064</Lines>
  <Paragraphs>298</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149043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Kotrbatá</dc:creator>
  <cp:lastModifiedBy>Alena Kotrbatá</cp:lastModifiedBy>
  <cp:revision>78</cp:revision>
  <cp:lastPrinted>2017-12-21T11:55:00Z</cp:lastPrinted>
  <dcterms:created xsi:type="dcterms:W3CDTF">2017-12-15T07:32:00Z</dcterms:created>
  <dcterms:modified xsi:type="dcterms:W3CDTF">2018-01-03T11:08:00Z</dcterms:modified>
</cp:coreProperties>
</file>