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58E1A" w14:textId="77777777" w:rsidR="00B74A71" w:rsidRPr="004E308B" w:rsidRDefault="00B74A71" w:rsidP="00174541">
      <w:pPr>
        <w:pStyle w:val="Zkladntext"/>
        <w:spacing w:after="240"/>
        <w:rPr>
          <w:rFonts w:ascii="Arial" w:hAnsi="Arial" w:cs="Arial"/>
          <w:b/>
          <w:bCs/>
          <w:i/>
          <w:sz w:val="32"/>
          <w:szCs w:val="32"/>
        </w:rPr>
      </w:pPr>
      <w:r w:rsidRPr="004E308B">
        <w:rPr>
          <w:rFonts w:ascii="Arial" w:hAnsi="Arial" w:cs="Arial"/>
          <w:b/>
          <w:bCs/>
          <w:i/>
          <w:sz w:val="32"/>
          <w:szCs w:val="32"/>
        </w:rPr>
        <w:t>Methodology</w:t>
      </w:r>
    </w:p>
    <w:p w14:paraId="46595D60" w14:textId="77777777" w:rsidR="00745E2E" w:rsidRPr="004E308B" w:rsidRDefault="00745E2E" w:rsidP="003F7EAD">
      <w:pPr>
        <w:pStyle w:val="Zkladntext"/>
        <w:spacing w:after="120"/>
        <w:ind w:firstLine="708"/>
        <w:rPr>
          <w:rFonts w:ascii="Arial" w:hAnsi="Arial" w:cs="Arial"/>
          <w:i/>
          <w:sz w:val="20"/>
          <w:szCs w:val="20"/>
        </w:rPr>
      </w:pPr>
      <w:r w:rsidRPr="004E308B">
        <w:rPr>
          <w:rFonts w:ascii="Arial" w:hAnsi="Arial" w:cs="Arial"/>
          <w:i/>
          <w:sz w:val="20"/>
          <w:szCs w:val="20"/>
        </w:rPr>
        <w:t>Household Budget Survey (</w:t>
      </w:r>
      <w:proofErr w:type="spellStart"/>
      <w:r w:rsidRPr="004E308B">
        <w:rPr>
          <w:rFonts w:ascii="Arial" w:hAnsi="Arial" w:cs="Arial"/>
          <w:i/>
          <w:sz w:val="20"/>
          <w:szCs w:val="20"/>
        </w:rPr>
        <w:t>HBS</w:t>
      </w:r>
      <w:proofErr w:type="spellEnd"/>
      <w:r w:rsidRPr="004E308B">
        <w:rPr>
          <w:rFonts w:ascii="Arial" w:hAnsi="Arial" w:cs="Arial"/>
          <w:i/>
          <w:sz w:val="20"/>
          <w:szCs w:val="20"/>
        </w:rPr>
        <w:t xml:space="preserve">) </w:t>
      </w:r>
      <w:r w:rsidR="006D3CAB" w:rsidRPr="004E308B">
        <w:rPr>
          <w:rFonts w:ascii="Arial" w:hAnsi="Arial" w:cs="Arial"/>
          <w:i/>
          <w:sz w:val="20"/>
          <w:szCs w:val="20"/>
        </w:rPr>
        <w:t xml:space="preserve">monitors </w:t>
      </w:r>
      <w:r w:rsidR="00014C88" w:rsidRPr="004E308B">
        <w:rPr>
          <w:rFonts w:ascii="Arial" w:hAnsi="Arial" w:cs="Arial"/>
          <w:i/>
          <w:sz w:val="20"/>
          <w:szCs w:val="20"/>
        </w:rPr>
        <w:t xml:space="preserve">expenditure </w:t>
      </w:r>
      <w:r w:rsidR="006D3CAB" w:rsidRPr="004E308B">
        <w:rPr>
          <w:rFonts w:ascii="Arial" w:hAnsi="Arial" w:cs="Arial"/>
          <w:i/>
          <w:sz w:val="20"/>
          <w:szCs w:val="20"/>
        </w:rPr>
        <w:t xml:space="preserve">and </w:t>
      </w:r>
      <w:r w:rsidRPr="004E308B">
        <w:rPr>
          <w:rFonts w:ascii="Arial" w:hAnsi="Arial" w:cs="Arial"/>
          <w:i/>
          <w:sz w:val="20"/>
          <w:szCs w:val="20"/>
        </w:rPr>
        <w:t xml:space="preserve">provides information on </w:t>
      </w:r>
      <w:r w:rsidR="00014C88" w:rsidRPr="004E308B">
        <w:rPr>
          <w:rFonts w:ascii="Arial" w:hAnsi="Arial" w:cs="Arial"/>
          <w:i/>
          <w:sz w:val="20"/>
          <w:szCs w:val="20"/>
        </w:rPr>
        <w:t>its value</w:t>
      </w:r>
      <w:r w:rsidRPr="004E308B">
        <w:rPr>
          <w:rFonts w:ascii="Arial" w:hAnsi="Arial" w:cs="Arial"/>
          <w:i/>
          <w:sz w:val="20"/>
          <w:szCs w:val="20"/>
        </w:rPr>
        <w:t xml:space="preserve"> and </w:t>
      </w:r>
      <w:r w:rsidR="006D3CAB" w:rsidRPr="004E308B">
        <w:rPr>
          <w:rFonts w:ascii="Arial" w:hAnsi="Arial" w:cs="Arial"/>
          <w:i/>
          <w:sz w:val="20"/>
          <w:szCs w:val="20"/>
        </w:rPr>
        <w:t xml:space="preserve">structure of </w:t>
      </w:r>
      <w:r w:rsidRPr="004E308B">
        <w:rPr>
          <w:rFonts w:ascii="Arial" w:hAnsi="Arial" w:cs="Arial"/>
          <w:i/>
          <w:sz w:val="20"/>
          <w:szCs w:val="20"/>
        </w:rPr>
        <w:t xml:space="preserve">consumption </w:t>
      </w:r>
      <w:r w:rsidR="006D3CAB" w:rsidRPr="004E308B">
        <w:rPr>
          <w:rFonts w:ascii="Arial" w:hAnsi="Arial" w:cs="Arial"/>
          <w:i/>
          <w:sz w:val="20"/>
          <w:szCs w:val="20"/>
        </w:rPr>
        <w:t>expenditure</w:t>
      </w:r>
      <w:r w:rsidRPr="004E308B">
        <w:rPr>
          <w:rFonts w:ascii="Arial" w:hAnsi="Arial" w:cs="Arial"/>
          <w:i/>
          <w:sz w:val="20"/>
          <w:szCs w:val="20"/>
        </w:rPr>
        <w:t xml:space="preserve"> of private households</w:t>
      </w:r>
      <w:r w:rsidR="00366E35" w:rsidRPr="004E308B">
        <w:rPr>
          <w:rFonts w:ascii="Arial" w:hAnsi="Arial" w:cs="Arial"/>
          <w:i/>
          <w:sz w:val="20"/>
          <w:szCs w:val="20"/>
        </w:rPr>
        <w:t>. Data on</w:t>
      </w:r>
      <w:r w:rsidRPr="004E308B">
        <w:rPr>
          <w:rFonts w:ascii="Arial" w:hAnsi="Arial" w:cs="Arial"/>
          <w:i/>
          <w:sz w:val="20"/>
          <w:szCs w:val="20"/>
        </w:rPr>
        <w:t xml:space="preserve"> </w:t>
      </w:r>
      <w:r w:rsidR="00FD7B3B" w:rsidRPr="004E308B">
        <w:rPr>
          <w:rFonts w:ascii="Arial" w:hAnsi="Arial" w:cs="Arial"/>
          <w:i/>
          <w:sz w:val="20"/>
          <w:szCs w:val="20"/>
        </w:rPr>
        <w:t>variations</w:t>
      </w:r>
      <w:r w:rsidRPr="004E308B">
        <w:rPr>
          <w:rFonts w:ascii="Arial" w:hAnsi="Arial" w:cs="Arial"/>
          <w:i/>
          <w:sz w:val="20"/>
          <w:szCs w:val="20"/>
        </w:rPr>
        <w:t xml:space="preserve"> in consumption </w:t>
      </w:r>
      <w:r w:rsidR="006D3CAB" w:rsidRPr="004E308B">
        <w:rPr>
          <w:rFonts w:ascii="Arial" w:hAnsi="Arial" w:cs="Arial"/>
          <w:i/>
          <w:sz w:val="20"/>
          <w:szCs w:val="20"/>
        </w:rPr>
        <w:t xml:space="preserve">expenditure </w:t>
      </w:r>
      <w:r w:rsidRPr="004E308B">
        <w:rPr>
          <w:rFonts w:ascii="Arial" w:hAnsi="Arial" w:cs="Arial"/>
          <w:i/>
          <w:sz w:val="20"/>
          <w:szCs w:val="20"/>
        </w:rPr>
        <w:t xml:space="preserve">patterns of households classified by </w:t>
      </w:r>
      <w:r w:rsidR="00FD7B3B" w:rsidRPr="004E308B">
        <w:rPr>
          <w:rFonts w:ascii="Arial" w:hAnsi="Arial" w:cs="Arial"/>
          <w:i/>
          <w:sz w:val="20"/>
          <w:szCs w:val="20"/>
        </w:rPr>
        <w:t>numerous</w:t>
      </w:r>
      <w:r w:rsidRPr="004E308B">
        <w:rPr>
          <w:rFonts w:ascii="Arial" w:hAnsi="Arial" w:cs="Arial"/>
          <w:i/>
          <w:sz w:val="20"/>
          <w:szCs w:val="20"/>
        </w:rPr>
        <w:t xml:space="preserve"> aspects</w:t>
      </w:r>
      <w:r w:rsidR="00366E35" w:rsidRPr="004E308B">
        <w:rPr>
          <w:rFonts w:ascii="Arial" w:hAnsi="Arial" w:cs="Arial"/>
          <w:i/>
          <w:sz w:val="20"/>
          <w:szCs w:val="20"/>
        </w:rPr>
        <w:t xml:space="preserve"> </w:t>
      </w:r>
      <w:proofErr w:type="gramStart"/>
      <w:r w:rsidR="00366E35" w:rsidRPr="004E308B">
        <w:rPr>
          <w:rFonts w:ascii="Arial" w:hAnsi="Arial" w:cs="Arial"/>
          <w:i/>
          <w:sz w:val="20"/>
          <w:szCs w:val="20"/>
        </w:rPr>
        <w:t>cannot be obtained</w:t>
      </w:r>
      <w:proofErr w:type="gramEnd"/>
      <w:r w:rsidR="00366E35" w:rsidRPr="004E308B">
        <w:rPr>
          <w:rFonts w:ascii="Arial" w:hAnsi="Arial" w:cs="Arial"/>
          <w:i/>
          <w:sz w:val="20"/>
          <w:szCs w:val="20"/>
        </w:rPr>
        <w:t xml:space="preserve"> from other sources. </w:t>
      </w:r>
      <w:r w:rsidR="00FF2449" w:rsidRPr="004E308B">
        <w:rPr>
          <w:rFonts w:ascii="Arial" w:hAnsi="Arial" w:cs="Arial"/>
          <w:i/>
          <w:sz w:val="20"/>
          <w:szCs w:val="20"/>
        </w:rPr>
        <w:t>The survey is also useful for measuring impact of various market factors (</w:t>
      </w:r>
      <w:r w:rsidR="00037CEB" w:rsidRPr="004E308B">
        <w:rPr>
          <w:rFonts w:ascii="Arial" w:hAnsi="Arial" w:cs="Arial"/>
          <w:i/>
          <w:sz w:val="20"/>
          <w:szCs w:val="20"/>
        </w:rPr>
        <w:t xml:space="preserve">e.g. </w:t>
      </w:r>
      <w:r w:rsidR="00FF2449" w:rsidRPr="004E308B">
        <w:rPr>
          <w:rFonts w:ascii="Arial" w:hAnsi="Arial" w:cs="Arial"/>
          <w:i/>
          <w:sz w:val="20"/>
          <w:szCs w:val="20"/>
        </w:rPr>
        <w:t xml:space="preserve">supply and demand, </w:t>
      </w:r>
      <w:r w:rsidR="00D761FE" w:rsidRPr="004E308B">
        <w:rPr>
          <w:rFonts w:ascii="Arial" w:hAnsi="Arial" w:cs="Arial"/>
          <w:i/>
          <w:sz w:val="20"/>
          <w:szCs w:val="20"/>
        </w:rPr>
        <w:t>price change) on expenditure structure and consumption habits of households.</w:t>
      </w:r>
    </w:p>
    <w:p w14:paraId="6D60154C" w14:textId="77777777" w:rsidR="00D761FE" w:rsidRPr="004E308B" w:rsidRDefault="00D761FE" w:rsidP="003F7EAD">
      <w:pPr>
        <w:pStyle w:val="Zkladntext"/>
        <w:spacing w:after="120"/>
        <w:ind w:firstLine="708"/>
        <w:rPr>
          <w:rFonts w:ascii="Arial" w:hAnsi="Arial" w:cs="Arial"/>
          <w:i/>
          <w:sz w:val="20"/>
          <w:szCs w:val="20"/>
        </w:rPr>
      </w:pPr>
      <w:r w:rsidRPr="004E308B">
        <w:rPr>
          <w:rFonts w:ascii="Arial" w:hAnsi="Arial" w:cs="Arial"/>
          <w:i/>
          <w:sz w:val="20"/>
          <w:szCs w:val="20"/>
        </w:rPr>
        <w:t xml:space="preserve">Primarily, the results of </w:t>
      </w:r>
      <w:proofErr w:type="spellStart"/>
      <w:r w:rsidRPr="004E308B">
        <w:rPr>
          <w:rFonts w:ascii="Arial" w:hAnsi="Arial" w:cs="Arial"/>
          <w:i/>
          <w:sz w:val="20"/>
          <w:szCs w:val="20"/>
        </w:rPr>
        <w:t>HBS</w:t>
      </w:r>
      <w:proofErr w:type="spellEnd"/>
      <w:r w:rsidRPr="004E308B">
        <w:rPr>
          <w:rFonts w:ascii="Arial" w:hAnsi="Arial" w:cs="Arial"/>
          <w:i/>
          <w:sz w:val="20"/>
          <w:szCs w:val="20"/>
        </w:rPr>
        <w:t xml:space="preserve"> serve as a basis </w:t>
      </w:r>
      <w:r w:rsidR="00DA1177" w:rsidRPr="004E308B">
        <w:rPr>
          <w:rFonts w:ascii="Arial" w:hAnsi="Arial" w:cs="Arial"/>
          <w:i/>
          <w:sz w:val="20"/>
          <w:szCs w:val="20"/>
        </w:rPr>
        <w:t xml:space="preserve">for assessing social and economic situation in the Czech Republic. The </w:t>
      </w:r>
      <w:proofErr w:type="spellStart"/>
      <w:r w:rsidR="00DA1177" w:rsidRPr="004E308B">
        <w:rPr>
          <w:rFonts w:ascii="Arial" w:hAnsi="Arial" w:cs="Arial"/>
          <w:i/>
          <w:sz w:val="20"/>
          <w:szCs w:val="20"/>
        </w:rPr>
        <w:t>CZSO</w:t>
      </w:r>
      <w:proofErr w:type="spellEnd"/>
      <w:r w:rsidR="00DA1177" w:rsidRPr="004E308B">
        <w:rPr>
          <w:rFonts w:ascii="Arial" w:hAnsi="Arial" w:cs="Arial"/>
          <w:i/>
          <w:sz w:val="20"/>
          <w:szCs w:val="20"/>
        </w:rPr>
        <w:t xml:space="preserve"> utilizes them internally (construction of the consumer basket during periodical consumer price index revisions, an auxiliary data source for </w:t>
      </w:r>
      <w:r w:rsidR="00FD7B3B" w:rsidRPr="004E308B">
        <w:rPr>
          <w:rFonts w:ascii="Arial" w:hAnsi="Arial" w:cs="Arial"/>
          <w:i/>
          <w:sz w:val="20"/>
          <w:szCs w:val="20"/>
        </w:rPr>
        <w:t>the household sector of</w:t>
      </w:r>
      <w:r w:rsidR="00DA1177" w:rsidRPr="004E308B">
        <w:rPr>
          <w:rFonts w:ascii="Arial" w:hAnsi="Arial" w:cs="Arial"/>
          <w:i/>
          <w:sz w:val="20"/>
          <w:szCs w:val="20"/>
        </w:rPr>
        <w:t xml:space="preserve"> national accounts statistics</w:t>
      </w:r>
      <w:r w:rsidR="0057086E" w:rsidRPr="004E308B">
        <w:rPr>
          <w:rFonts w:ascii="Arial" w:hAnsi="Arial" w:cs="Arial"/>
          <w:i/>
          <w:sz w:val="20"/>
          <w:szCs w:val="20"/>
        </w:rPr>
        <w:t>, etc.</w:t>
      </w:r>
      <w:r w:rsidR="00DA1177" w:rsidRPr="004E308B">
        <w:rPr>
          <w:rFonts w:ascii="Arial" w:hAnsi="Arial" w:cs="Arial"/>
          <w:i/>
          <w:sz w:val="20"/>
          <w:szCs w:val="20"/>
        </w:rPr>
        <w:t>)</w:t>
      </w:r>
      <w:r w:rsidR="000C27C4" w:rsidRPr="004E308B">
        <w:rPr>
          <w:rFonts w:ascii="Arial" w:hAnsi="Arial" w:cs="Arial"/>
          <w:i/>
          <w:sz w:val="20"/>
          <w:szCs w:val="20"/>
        </w:rPr>
        <w:t xml:space="preserve"> and </w:t>
      </w:r>
      <w:r w:rsidR="00FD7B3B" w:rsidRPr="004E308B">
        <w:rPr>
          <w:rFonts w:ascii="Arial" w:hAnsi="Arial" w:cs="Arial"/>
          <w:i/>
          <w:sz w:val="20"/>
          <w:szCs w:val="20"/>
        </w:rPr>
        <w:t xml:space="preserve">for </w:t>
      </w:r>
      <w:r w:rsidR="000C27C4" w:rsidRPr="004E308B">
        <w:rPr>
          <w:rFonts w:ascii="Arial" w:hAnsi="Arial" w:cs="Arial"/>
          <w:i/>
          <w:sz w:val="20"/>
          <w:szCs w:val="20"/>
        </w:rPr>
        <w:t>international comparisons.</w:t>
      </w:r>
    </w:p>
    <w:p w14:paraId="1A1DF441" w14:textId="009F5412" w:rsidR="00B6198D" w:rsidRDefault="00B6198D" w:rsidP="00B6198D">
      <w:pPr>
        <w:pStyle w:val="Zkladntext"/>
        <w:spacing w:after="120"/>
        <w:ind w:firstLine="709"/>
        <w:rPr>
          <w:rFonts w:ascii="Arial" w:hAnsi="Arial" w:cs="Arial"/>
          <w:i/>
          <w:color w:val="000000"/>
          <w:sz w:val="20"/>
          <w:szCs w:val="20"/>
        </w:rPr>
      </w:pPr>
      <w:r w:rsidRPr="00000EDA">
        <w:rPr>
          <w:rFonts w:ascii="Arial" w:hAnsi="Arial" w:cs="Arial"/>
          <w:i/>
          <w:color w:val="000000"/>
          <w:sz w:val="20"/>
          <w:szCs w:val="20"/>
        </w:rPr>
        <w:t xml:space="preserve">The </w:t>
      </w:r>
      <w:proofErr w:type="spellStart"/>
      <w:r w:rsidRPr="00000EDA">
        <w:rPr>
          <w:rFonts w:ascii="Arial" w:hAnsi="Arial" w:cs="Arial"/>
          <w:i/>
          <w:color w:val="000000"/>
          <w:sz w:val="20"/>
          <w:szCs w:val="20"/>
        </w:rPr>
        <w:t>HBS</w:t>
      </w:r>
      <w:proofErr w:type="spellEnd"/>
      <w:r w:rsidRPr="00000EDA">
        <w:rPr>
          <w:rFonts w:ascii="Arial" w:hAnsi="Arial" w:cs="Arial"/>
          <w:i/>
          <w:color w:val="000000"/>
          <w:sz w:val="20"/>
          <w:szCs w:val="20"/>
        </w:rPr>
        <w:t xml:space="preserve"> survey </w:t>
      </w:r>
      <w:proofErr w:type="gramStart"/>
      <w:r w:rsidRPr="00000EDA">
        <w:rPr>
          <w:rFonts w:ascii="Arial" w:hAnsi="Arial" w:cs="Arial"/>
          <w:i/>
          <w:color w:val="000000"/>
          <w:sz w:val="20"/>
          <w:szCs w:val="20"/>
        </w:rPr>
        <w:t>has been carried</w:t>
      </w:r>
      <w:proofErr w:type="gramEnd"/>
      <w:r w:rsidRPr="00000EDA">
        <w:rPr>
          <w:rFonts w:ascii="Arial" w:hAnsi="Arial" w:cs="Arial"/>
          <w:i/>
          <w:color w:val="000000"/>
          <w:sz w:val="20"/>
          <w:szCs w:val="20"/>
        </w:rPr>
        <w:t xml:space="preserve"> out utilizing a </w:t>
      </w:r>
      <w:r w:rsidRPr="00000EDA">
        <w:rPr>
          <w:rFonts w:ascii="Arial" w:hAnsi="Arial" w:cs="Arial"/>
          <w:i/>
          <w:color w:val="000000"/>
          <w:sz w:val="20"/>
          <w:szCs w:val="20"/>
          <w:u w:val="single"/>
        </w:rPr>
        <w:t>new survey design</w:t>
      </w:r>
      <w:r w:rsidRPr="00000EDA">
        <w:rPr>
          <w:rFonts w:ascii="Arial" w:hAnsi="Arial" w:cs="Arial"/>
          <w:i/>
          <w:color w:val="000000"/>
          <w:sz w:val="20"/>
          <w:szCs w:val="20"/>
        </w:rPr>
        <w:t xml:space="preserve"> since 2017. </w:t>
      </w:r>
      <w:proofErr w:type="spellStart"/>
      <w:r w:rsidRPr="00000EDA">
        <w:rPr>
          <w:rFonts w:ascii="Arial" w:hAnsi="Arial" w:cs="Arial"/>
          <w:i/>
          <w:color w:val="000000"/>
          <w:sz w:val="20"/>
          <w:szCs w:val="20"/>
        </w:rPr>
        <w:t>HBS</w:t>
      </w:r>
      <w:proofErr w:type="spellEnd"/>
      <w:r w:rsidRPr="00000EDA">
        <w:rPr>
          <w:rFonts w:ascii="Arial" w:hAnsi="Arial" w:cs="Arial"/>
          <w:i/>
          <w:color w:val="000000"/>
          <w:sz w:val="20"/>
          <w:szCs w:val="20"/>
        </w:rPr>
        <w:t xml:space="preserve"> has been integrated into European Union – Statistics on Income and Living Conditions (</w:t>
      </w:r>
      <w:proofErr w:type="spellStart"/>
      <w:r w:rsidRPr="00000EDA">
        <w:rPr>
          <w:rFonts w:ascii="Arial" w:hAnsi="Arial" w:cs="Arial"/>
          <w:i/>
          <w:color w:val="000000"/>
          <w:sz w:val="20"/>
          <w:szCs w:val="20"/>
        </w:rPr>
        <w:t>SILC</w:t>
      </w:r>
      <w:proofErr w:type="spellEnd"/>
      <w:r w:rsidRPr="00000EDA">
        <w:rPr>
          <w:rFonts w:ascii="Arial" w:hAnsi="Arial" w:cs="Arial"/>
          <w:i/>
          <w:color w:val="000000"/>
          <w:sz w:val="20"/>
          <w:szCs w:val="20"/>
        </w:rPr>
        <w:t xml:space="preserve">) using a </w:t>
      </w:r>
      <w:proofErr w:type="spellStart"/>
      <w:r w:rsidRPr="00000EDA">
        <w:rPr>
          <w:rFonts w:ascii="Arial" w:hAnsi="Arial" w:cs="Arial"/>
          <w:i/>
          <w:color w:val="000000"/>
          <w:sz w:val="20"/>
          <w:szCs w:val="20"/>
        </w:rPr>
        <w:t>subfile</w:t>
      </w:r>
      <w:proofErr w:type="spellEnd"/>
      <w:r w:rsidRPr="00000EDA">
        <w:rPr>
          <w:rFonts w:ascii="Arial" w:hAnsi="Arial" w:cs="Arial"/>
          <w:i/>
          <w:color w:val="000000"/>
          <w:sz w:val="20"/>
          <w:szCs w:val="20"/>
        </w:rPr>
        <w:t xml:space="preserve"> of households randomly selected from </w:t>
      </w:r>
      <w:proofErr w:type="spellStart"/>
      <w:r w:rsidRPr="00000EDA">
        <w:rPr>
          <w:rFonts w:ascii="Arial" w:hAnsi="Arial" w:cs="Arial"/>
          <w:i/>
          <w:color w:val="000000"/>
          <w:sz w:val="20"/>
          <w:szCs w:val="20"/>
        </w:rPr>
        <w:t>SILC</w:t>
      </w:r>
      <w:proofErr w:type="spellEnd"/>
      <w:r w:rsidRPr="00000EDA">
        <w:rPr>
          <w:rFonts w:ascii="Arial" w:hAnsi="Arial" w:cs="Arial"/>
          <w:i/>
          <w:color w:val="000000"/>
          <w:sz w:val="20"/>
          <w:szCs w:val="20"/>
        </w:rPr>
        <w:t xml:space="preserve"> (</w:t>
      </w:r>
      <w:proofErr w:type="gramStart"/>
      <w:r w:rsidRPr="00000EDA">
        <w:rPr>
          <w:rFonts w:ascii="Arial" w:hAnsi="Arial" w:cs="Arial"/>
          <w:i/>
          <w:color w:val="000000"/>
          <w:sz w:val="20"/>
          <w:szCs w:val="20"/>
        </w:rPr>
        <w:t>till</w:t>
      </w:r>
      <w:proofErr w:type="gramEnd"/>
      <w:r w:rsidRPr="00000EDA">
        <w:rPr>
          <w:rFonts w:ascii="Arial" w:hAnsi="Arial" w:cs="Arial"/>
          <w:i/>
          <w:color w:val="000000"/>
          <w:sz w:val="20"/>
          <w:szCs w:val="20"/>
        </w:rPr>
        <w:t> 2016, the survey had been based on quota sampling).</w:t>
      </w:r>
    </w:p>
    <w:p w14:paraId="7B68F4F3" w14:textId="0C3DCF29" w:rsidR="00F269F7" w:rsidRPr="00000EDA" w:rsidRDefault="00F269F7" w:rsidP="00B6198D">
      <w:pPr>
        <w:pStyle w:val="Zkladntext"/>
        <w:spacing w:after="120"/>
        <w:ind w:firstLine="709"/>
        <w:rPr>
          <w:rFonts w:ascii="Arial" w:hAnsi="Arial" w:cs="Arial"/>
          <w:color w:val="000000"/>
          <w:sz w:val="20"/>
          <w:szCs w:val="20"/>
        </w:rPr>
      </w:pPr>
      <w:r w:rsidRPr="00DD2691">
        <w:rPr>
          <w:rFonts w:ascii="Arial" w:hAnsi="Arial" w:cs="Arial"/>
          <w:i/>
          <w:sz w:val="20"/>
          <w:szCs w:val="20"/>
        </w:rPr>
        <w:t xml:space="preserve">Since </w:t>
      </w:r>
      <w:proofErr w:type="gramStart"/>
      <w:r w:rsidRPr="00DD2691">
        <w:rPr>
          <w:rFonts w:ascii="Arial" w:hAnsi="Arial" w:cs="Arial"/>
          <w:i/>
          <w:sz w:val="20"/>
          <w:szCs w:val="20"/>
        </w:rPr>
        <w:t>2023</w:t>
      </w:r>
      <w:proofErr w:type="gramEnd"/>
      <w:r w:rsidRPr="00DD2691">
        <w:rPr>
          <w:rFonts w:ascii="Arial" w:hAnsi="Arial" w:cs="Arial"/>
          <w:i/>
          <w:sz w:val="20"/>
          <w:szCs w:val="20"/>
        </w:rPr>
        <w:t xml:space="preserve"> the </w:t>
      </w:r>
      <w:proofErr w:type="spellStart"/>
      <w:r w:rsidRPr="00DD2691">
        <w:rPr>
          <w:rFonts w:ascii="Arial" w:hAnsi="Arial" w:cs="Arial"/>
          <w:i/>
          <w:sz w:val="20"/>
          <w:szCs w:val="20"/>
        </w:rPr>
        <w:t>HBS</w:t>
      </w:r>
      <w:proofErr w:type="spellEnd"/>
      <w:r w:rsidRPr="00DD2691">
        <w:rPr>
          <w:rFonts w:ascii="Arial" w:hAnsi="Arial" w:cs="Arial"/>
          <w:i/>
          <w:sz w:val="20"/>
          <w:szCs w:val="20"/>
        </w:rPr>
        <w:t xml:space="preserve"> expenditures have been classified according to the revised </w:t>
      </w:r>
      <w:proofErr w:type="spellStart"/>
      <w:r w:rsidRPr="00DD2691">
        <w:rPr>
          <w:rFonts w:ascii="Arial" w:hAnsi="Arial" w:cs="Arial"/>
          <w:i/>
          <w:sz w:val="20"/>
          <w:szCs w:val="20"/>
        </w:rPr>
        <w:t>COICOP</w:t>
      </w:r>
      <w:proofErr w:type="spellEnd"/>
      <w:r w:rsidRPr="00DD2691">
        <w:rPr>
          <w:rFonts w:ascii="Arial" w:hAnsi="Arial" w:cs="Arial"/>
          <w:i/>
          <w:sz w:val="20"/>
          <w:szCs w:val="20"/>
        </w:rPr>
        <w:t>, which, more or less, broke the time series</w:t>
      </w:r>
      <w:r w:rsidR="00AB2C4B" w:rsidRPr="00DD2691">
        <w:rPr>
          <w:rFonts w:ascii="Arial" w:hAnsi="Arial" w:cs="Arial"/>
          <w:i/>
          <w:sz w:val="20"/>
          <w:szCs w:val="20"/>
        </w:rPr>
        <w:t xml:space="preserve"> </w:t>
      </w:r>
      <w:r w:rsidR="008549E5" w:rsidRPr="00DD2691">
        <w:rPr>
          <w:rFonts w:ascii="Arial" w:hAnsi="Arial" w:cs="Arial"/>
          <w:i/>
          <w:sz w:val="20"/>
          <w:szCs w:val="20"/>
        </w:rPr>
        <w:t xml:space="preserve">(there is only limited comparability of the 2023-2024 data with previous </w:t>
      </w:r>
      <w:r w:rsidR="00AB2C4B" w:rsidRPr="00DD2691">
        <w:rPr>
          <w:rFonts w:ascii="Arial" w:hAnsi="Arial" w:cs="Arial"/>
          <w:i/>
          <w:sz w:val="20"/>
          <w:szCs w:val="20"/>
        </w:rPr>
        <w:t xml:space="preserve">years’ </w:t>
      </w:r>
      <w:r w:rsidR="008549E5" w:rsidRPr="00DD2691">
        <w:rPr>
          <w:rFonts w:ascii="Arial" w:hAnsi="Arial" w:cs="Arial"/>
          <w:i/>
          <w:sz w:val="20"/>
          <w:szCs w:val="20"/>
        </w:rPr>
        <w:t>results).</w:t>
      </w:r>
    </w:p>
    <w:p w14:paraId="5967382C" w14:textId="77777777" w:rsidR="00F269F7" w:rsidRPr="0048495C" w:rsidRDefault="00F269F7" w:rsidP="00F269F7">
      <w:pPr>
        <w:tabs>
          <w:tab w:val="left" w:pos="0"/>
          <w:tab w:val="left" w:pos="708"/>
          <w:tab w:val="left" w:pos="101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360"/>
        <w:jc w:val="both"/>
        <w:rPr>
          <w:rFonts w:ascii="Arial" w:hAnsi="Arial" w:cs="Arial"/>
          <w:sz w:val="20"/>
          <w:szCs w:val="20"/>
        </w:rPr>
      </w:pPr>
    </w:p>
    <w:p w14:paraId="07A16AA3" w14:textId="77777777" w:rsidR="00B74A71" w:rsidRPr="00000EDA" w:rsidRDefault="00B74A71" w:rsidP="00174541">
      <w:pPr>
        <w:spacing w:after="240"/>
        <w:jc w:val="both"/>
        <w:rPr>
          <w:rFonts w:ascii="Arial" w:hAnsi="Arial" w:cs="Arial"/>
          <w:b/>
          <w:bCs/>
          <w:i/>
          <w:sz w:val="28"/>
          <w:szCs w:val="28"/>
        </w:rPr>
      </w:pPr>
      <w:r w:rsidRPr="00000EDA">
        <w:rPr>
          <w:rFonts w:ascii="Arial" w:hAnsi="Arial" w:cs="Arial"/>
          <w:b/>
          <w:bCs/>
          <w:i/>
          <w:sz w:val="28"/>
          <w:szCs w:val="28"/>
        </w:rPr>
        <w:t>1. Organization of the survey</w:t>
      </w:r>
    </w:p>
    <w:p w14:paraId="5684A071" w14:textId="77777777" w:rsidR="00B74A71" w:rsidRPr="00000EDA" w:rsidRDefault="00B74A71" w:rsidP="00174541">
      <w:pPr>
        <w:spacing w:after="240"/>
        <w:jc w:val="both"/>
        <w:rPr>
          <w:rFonts w:ascii="Arial" w:hAnsi="Arial" w:cs="Arial"/>
          <w:i/>
        </w:rPr>
      </w:pPr>
      <w:r w:rsidRPr="00000EDA">
        <w:rPr>
          <w:rFonts w:ascii="Arial" w:hAnsi="Arial" w:cs="Arial"/>
          <w:b/>
          <w:bCs/>
          <w:i/>
        </w:rPr>
        <w:t>1.1 Sampling</w:t>
      </w:r>
    </w:p>
    <w:p w14:paraId="390BF5DA" w14:textId="77777777" w:rsidR="003014CA" w:rsidRPr="00000EDA" w:rsidRDefault="003014CA">
      <w:pPr>
        <w:spacing w:after="120"/>
        <w:ind w:firstLine="708"/>
        <w:jc w:val="both"/>
        <w:rPr>
          <w:rFonts w:ascii="Arial" w:hAnsi="Arial" w:cs="Arial"/>
          <w:i/>
          <w:sz w:val="20"/>
          <w:szCs w:val="20"/>
        </w:rPr>
      </w:pPr>
      <w:r w:rsidRPr="00000EDA">
        <w:rPr>
          <w:rFonts w:ascii="Arial" w:hAnsi="Arial" w:cs="Arial"/>
          <w:i/>
          <w:sz w:val="20"/>
          <w:szCs w:val="20"/>
        </w:rPr>
        <w:t xml:space="preserve">The sample of </w:t>
      </w:r>
      <w:proofErr w:type="spellStart"/>
      <w:r w:rsidRPr="00000EDA">
        <w:rPr>
          <w:rFonts w:ascii="Arial" w:hAnsi="Arial" w:cs="Arial"/>
          <w:i/>
          <w:sz w:val="20"/>
          <w:szCs w:val="20"/>
        </w:rPr>
        <w:t>HBS</w:t>
      </w:r>
      <w:proofErr w:type="spellEnd"/>
      <w:r w:rsidRPr="00000EDA">
        <w:rPr>
          <w:rFonts w:ascii="Arial" w:hAnsi="Arial" w:cs="Arial"/>
          <w:i/>
          <w:sz w:val="20"/>
          <w:szCs w:val="20"/>
        </w:rPr>
        <w:t xml:space="preserve"> </w:t>
      </w:r>
      <w:proofErr w:type="gramStart"/>
      <w:r w:rsidRPr="00000EDA">
        <w:rPr>
          <w:rFonts w:ascii="Arial" w:hAnsi="Arial" w:cs="Arial"/>
          <w:i/>
          <w:sz w:val="20"/>
          <w:szCs w:val="20"/>
        </w:rPr>
        <w:t>is derived</w:t>
      </w:r>
      <w:proofErr w:type="gramEnd"/>
      <w:r w:rsidRPr="00000EDA">
        <w:rPr>
          <w:rFonts w:ascii="Arial" w:hAnsi="Arial" w:cs="Arial"/>
          <w:i/>
          <w:sz w:val="20"/>
          <w:szCs w:val="20"/>
        </w:rPr>
        <w:t xml:space="preserve"> from </w:t>
      </w:r>
      <w:r w:rsidR="00A709CE" w:rsidRPr="00000EDA">
        <w:rPr>
          <w:rFonts w:ascii="Arial" w:hAnsi="Arial" w:cs="Arial"/>
          <w:i/>
          <w:sz w:val="20"/>
          <w:szCs w:val="20"/>
        </w:rPr>
        <w:t xml:space="preserve">the </w:t>
      </w:r>
      <w:r w:rsidRPr="00000EDA">
        <w:rPr>
          <w:rFonts w:ascii="Arial" w:hAnsi="Arial" w:cs="Arial"/>
          <w:i/>
          <w:sz w:val="20"/>
          <w:szCs w:val="20"/>
        </w:rPr>
        <w:t>four</w:t>
      </w:r>
      <w:r w:rsidR="00A709CE" w:rsidRPr="00000EDA">
        <w:rPr>
          <w:rFonts w:ascii="Arial" w:hAnsi="Arial" w:cs="Arial"/>
          <w:i/>
          <w:sz w:val="20"/>
          <w:szCs w:val="20"/>
        </w:rPr>
        <w:t>-</w:t>
      </w:r>
      <w:r w:rsidRPr="00000EDA">
        <w:rPr>
          <w:rFonts w:ascii="Arial" w:hAnsi="Arial" w:cs="Arial"/>
          <w:i/>
          <w:sz w:val="20"/>
          <w:szCs w:val="20"/>
        </w:rPr>
        <w:t xml:space="preserve">year panel survey </w:t>
      </w:r>
      <w:proofErr w:type="spellStart"/>
      <w:r w:rsidRPr="00000EDA">
        <w:rPr>
          <w:rFonts w:ascii="Arial" w:hAnsi="Arial" w:cs="Arial"/>
          <w:i/>
          <w:sz w:val="20"/>
          <w:szCs w:val="20"/>
        </w:rPr>
        <w:t>SILC</w:t>
      </w:r>
      <w:proofErr w:type="spellEnd"/>
      <w:r w:rsidRPr="00000EDA">
        <w:rPr>
          <w:rFonts w:ascii="Arial" w:hAnsi="Arial" w:cs="Arial"/>
          <w:i/>
          <w:sz w:val="20"/>
          <w:szCs w:val="20"/>
        </w:rPr>
        <w:t xml:space="preserve">. </w:t>
      </w:r>
      <w:r w:rsidR="00896452" w:rsidRPr="00000EDA">
        <w:rPr>
          <w:rFonts w:ascii="Arial" w:hAnsi="Arial" w:cs="Arial"/>
          <w:i/>
          <w:sz w:val="20"/>
          <w:szCs w:val="20"/>
        </w:rPr>
        <w:t>The sampling unit is a dwelling.</w:t>
      </w:r>
    </w:p>
    <w:p w14:paraId="1AE38E21" w14:textId="77777777" w:rsidR="00896452" w:rsidRPr="00000EDA" w:rsidRDefault="00896452">
      <w:pPr>
        <w:spacing w:after="120"/>
        <w:ind w:firstLine="708"/>
        <w:jc w:val="both"/>
        <w:rPr>
          <w:rFonts w:ascii="Arial" w:hAnsi="Arial" w:cs="Arial"/>
          <w:i/>
          <w:sz w:val="20"/>
          <w:szCs w:val="20"/>
        </w:rPr>
      </w:pPr>
      <w:r w:rsidRPr="00000EDA">
        <w:rPr>
          <w:rFonts w:ascii="Arial" w:hAnsi="Arial" w:cs="Arial"/>
          <w:i/>
          <w:sz w:val="20"/>
          <w:szCs w:val="20"/>
        </w:rPr>
        <w:t xml:space="preserve">During the first-wave </w:t>
      </w:r>
      <w:proofErr w:type="gramStart"/>
      <w:r w:rsidRPr="00000EDA">
        <w:rPr>
          <w:rFonts w:ascii="Arial" w:hAnsi="Arial" w:cs="Arial"/>
          <w:i/>
          <w:sz w:val="20"/>
          <w:szCs w:val="20"/>
        </w:rPr>
        <w:t>visit</w:t>
      </w:r>
      <w:proofErr w:type="gramEnd"/>
      <w:r w:rsidRPr="00000EDA">
        <w:rPr>
          <w:rFonts w:ascii="Arial" w:hAnsi="Arial" w:cs="Arial"/>
          <w:i/>
          <w:sz w:val="20"/>
          <w:szCs w:val="20"/>
        </w:rPr>
        <w:t xml:space="preserve"> all households and all the persons who have the dwelling as their main place of residence are surveyed. During the waves 2-4 only those households are surveyed which include a panel person (</w:t>
      </w:r>
      <w:r w:rsidR="00541E88" w:rsidRPr="00000EDA">
        <w:rPr>
          <w:rFonts w:ascii="Arial" w:hAnsi="Arial" w:cs="Arial"/>
          <w:i/>
          <w:sz w:val="20"/>
          <w:szCs w:val="20"/>
        </w:rPr>
        <w:t>the persons interviewed</w:t>
      </w:r>
      <w:r w:rsidRPr="00000EDA">
        <w:rPr>
          <w:rFonts w:ascii="Arial" w:hAnsi="Arial" w:cs="Arial"/>
          <w:i/>
          <w:sz w:val="20"/>
          <w:szCs w:val="20"/>
        </w:rPr>
        <w:t xml:space="preserve"> in the </w:t>
      </w:r>
      <w:proofErr w:type="gramStart"/>
      <w:r w:rsidRPr="00000EDA">
        <w:rPr>
          <w:rFonts w:ascii="Arial" w:hAnsi="Arial" w:cs="Arial"/>
          <w:i/>
          <w:sz w:val="20"/>
          <w:szCs w:val="20"/>
        </w:rPr>
        <w:t>1st</w:t>
      </w:r>
      <w:proofErr w:type="gramEnd"/>
      <w:r w:rsidRPr="00000EDA">
        <w:rPr>
          <w:rFonts w:ascii="Arial" w:hAnsi="Arial" w:cs="Arial"/>
          <w:i/>
          <w:sz w:val="20"/>
          <w:szCs w:val="20"/>
        </w:rPr>
        <w:t xml:space="preserve"> wave).</w:t>
      </w:r>
    </w:p>
    <w:p w14:paraId="26D04AFA" w14:textId="77777777" w:rsidR="00800850" w:rsidRPr="00000EDA" w:rsidRDefault="00896452">
      <w:pPr>
        <w:spacing w:after="120"/>
        <w:ind w:firstLine="708"/>
        <w:jc w:val="both"/>
        <w:rPr>
          <w:rFonts w:ascii="Arial" w:hAnsi="Arial" w:cs="Arial"/>
          <w:i/>
          <w:sz w:val="20"/>
          <w:szCs w:val="20"/>
        </w:rPr>
      </w:pPr>
      <w:r w:rsidRPr="00000EDA">
        <w:rPr>
          <w:rFonts w:ascii="Arial" w:hAnsi="Arial" w:cs="Arial"/>
          <w:i/>
          <w:sz w:val="20"/>
          <w:szCs w:val="20"/>
          <w:u w:val="single"/>
        </w:rPr>
        <w:t>Household Budget Survey</w:t>
      </w:r>
      <w:r w:rsidRPr="00000EDA">
        <w:rPr>
          <w:rFonts w:ascii="Arial" w:hAnsi="Arial" w:cs="Arial"/>
          <w:i/>
          <w:sz w:val="20"/>
          <w:szCs w:val="20"/>
        </w:rPr>
        <w:t xml:space="preserve"> (</w:t>
      </w:r>
      <w:proofErr w:type="spellStart"/>
      <w:r w:rsidRPr="00000EDA">
        <w:rPr>
          <w:rFonts w:ascii="Arial" w:hAnsi="Arial" w:cs="Arial"/>
          <w:i/>
          <w:sz w:val="20"/>
          <w:szCs w:val="20"/>
        </w:rPr>
        <w:t>HBS</w:t>
      </w:r>
      <w:proofErr w:type="spellEnd"/>
      <w:r w:rsidRPr="00000EDA">
        <w:rPr>
          <w:rFonts w:ascii="Arial" w:hAnsi="Arial" w:cs="Arial"/>
          <w:i/>
          <w:sz w:val="20"/>
          <w:szCs w:val="20"/>
        </w:rPr>
        <w:t>)</w:t>
      </w:r>
      <w:r w:rsidR="00B74A71" w:rsidRPr="00000EDA">
        <w:rPr>
          <w:rFonts w:ascii="Arial" w:hAnsi="Arial" w:cs="Arial"/>
          <w:i/>
          <w:sz w:val="20"/>
          <w:szCs w:val="20"/>
        </w:rPr>
        <w:t xml:space="preserve"> </w:t>
      </w:r>
      <w:proofErr w:type="gramStart"/>
      <w:r w:rsidRPr="00000EDA">
        <w:rPr>
          <w:rFonts w:ascii="Arial" w:hAnsi="Arial" w:cs="Arial"/>
          <w:i/>
          <w:sz w:val="20"/>
          <w:szCs w:val="20"/>
        </w:rPr>
        <w:t>is</w:t>
      </w:r>
      <w:r w:rsidR="00B74A71" w:rsidRPr="00000EDA">
        <w:rPr>
          <w:rFonts w:ascii="Arial" w:hAnsi="Arial" w:cs="Arial"/>
          <w:i/>
          <w:sz w:val="20"/>
          <w:szCs w:val="20"/>
        </w:rPr>
        <w:t xml:space="preserve"> carried out</w:t>
      </w:r>
      <w:proofErr w:type="gramEnd"/>
      <w:r w:rsidR="00B74A71" w:rsidRPr="00000EDA">
        <w:rPr>
          <w:rFonts w:ascii="Arial" w:hAnsi="Arial" w:cs="Arial"/>
          <w:i/>
          <w:sz w:val="20"/>
          <w:szCs w:val="20"/>
        </w:rPr>
        <w:t xml:space="preserve"> in all regions of the Czech Republic</w:t>
      </w:r>
      <w:r w:rsidRPr="00000EDA">
        <w:rPr>
          <w:rFonts w:ascii="Arial" w:hAnsi="Arial" w:cs="Arial"/>
          <w:i/>
          <w:sz w:val="20"/>
          <w:szCs w:val="20"/>
        </w:rPr>
        <w:t xml:space="preserve"> over the whole year</w:t>
      </w:r>
      <w:r w:rsidR="00B74A71" w:rsidRPr="00000EDA">
        <w:rPr>
          <w:rFonts w:ascii="Arial" w:hAnsi="Arial" w:cs="Arial"/>
          <w:i/>
          <w:sz w:val="20"/>
          <w:szCs w:val="20"/>
        </w:rPr>
        <w:t xml:space="preserve">. </w:t>
      </w:r>
      <w:r w:rsidR="009B5EC5" w:rsidRPr="00000EDA">
        <w:rPr>
          <w:rFonts w:ascii="Arial" w:hAnsi="Arial" w:cs="Arial"/>
          <w:i/>
          <w:sz w:val="20"/>
          <w:szCs w:val="20"/>
        </w:rPr>
        <w:t xml:space="preserve">The sampling unit is a </w:t>
      </w:r>
      <w:proofErr w:type="gramStart"/>
      <w:r w:rsidR="009B5EC5" w:rsidRPr="00000EDA">
        <w:rPr>
          <w:rFonts w:ascii="Arial" w:hAnsi="Arial" w:cs="Arial"/>
          <w:i/>
          <w:sz w:val="20"/>
          <w:szCs w:val="20"/>
        </w:rPr>
        <w:t>household which</w:t>
      </w:r>
      <w:proofErr w:type="gramEnd"/>
      <w:r w:rsidR="009B5EC5" w:rsidRPr="00000EDA">
        <w:rPr>
          <w:rFonts w:ascii="Arial" w:hAnsi="Arial" w:cs="Arial"/>
          <w:i/>
          <w:sz w:val="20"/>
          <w:szCs w:val="20"/>
        </w:rPr>
        <w:t xml:space="preserve"> was successfully interviewed in </w:t>
      </w:r>
      <w:proofErr w:type="spellStart"/>
      <w:r w:rsidR="00F845DE" w:rsidRPr="00000EDA">
        <w:rPr>
          <w:rFonts w:ascii="Arial" w:hAnsi="Arial" w:cs="Arial"/>
          <w:i/>
          <w:sz w:val="20"/>
          <w:szCs w:val="20"/>
        </w:rPr>
        <w:t>SILC</w:t>
      </w:r>
      <w:proofErr w:type="spellEnd"/>
      <w:r w:rsidR="009B5EC5" w:rsidRPr="00000EDA">
        <w:rPr>
          <w:rFonts w:ascii="Arial" w:hAnsi="Arial" w:cs="Arial"/>
          <w:i/>
          <w:sz w:val="20"/>
          <w:szCs w:val="20"/>
        </w:rPr>
        <w:t xml:space="preserve">. </w:t>
      </w:r>
      <w:r w:rsidR="00800850" w:rsidRPr="00000EDA">
        <w:rPr>
          <w:rFonts w:ascii="Arial" w:hAnsi="Arial" w:cs="Arial"/>
          <w:i/>
          <w:sz w:val="20"/>
          <w:szCs w:val="20"/>
        </w:rPr>
        <w:t xml:space="preserve">If </w:t>
      </w:r>
      <w:proofErr w:type="gramStart"/>
      <w:r w:rsidR="00800850" w:rsidRPr="00000EDA">
        <w:rPr>
          <w:rFonts w:ascii="Arial" w:hAnsi="Arial" w:cs="Arial"/>
          <w:i/>
          <w:sz w:val="20"/>
          <w:szCs w:val="20"/>
        </w:rPr>
        <w:t>a flat was occupied by more than one household in</w:t>
      </w:r>
      <w:r w:rsidR="00F845DE" w:rsidRPr="00000EDA">
        <w:rPr>
          <w:rFonts w:ascii="Arial" w:hAnsi="Arial" w:cs="Arial"/>
          <w:i/>
          <w:sz w:val="20"/>
          <w:szCs w:val="20"/>
        </w:rPr>
        <w:t xml:space="preserve"> </w:t>
      </w:r>
      <w:proofErr w:type="spellStart"/>
      <w:r w:rsidR="00F845DE" w:rsidRPr="00000EDA">
        <w:rPr>
          <w:rFonts w:ascii="Arial" w:hAnsi="Arial" w:cs="Arial"/>
          <w:i/>
          <w:sz w:val="20"/>
          <w:szCs w:val="20"/>
        </w:rPr>
        <w:t>SILC</w:t>
      </w:r>
      <w:proofErr w:type="spellEnd"/>
      <w:proofErr w:type="gramEnd"/>
      <w:r w:rsidR="00800850" w:rsidRPr="00000EDA">
        <w:rPr>
          <w:rFonts w:ascii="Arial" w:hAnsi="Arial" w:cs="Arial"/>
          <w:i/>
          <w:sz w:val="20"/>
          <w:szCs w:val="20"/>
        </w:rPr>
        <w:t xml:space="preserve">, </w:t>
      </w:r>
      <w:r w:rsidR="00D90BE0" w:rsidRPr="00000EDA">
        <w:rPr>
          <w:rFonts w:ascii="Arial" w:hAnsi="Arial" w:cs="Arial"/>
          <w:i/>
          <w:sz w:val="20"/>
          <w:szCs w:val="20"/>
        </w:rPr>
        <w:t>each of the households</w:t>
      </w:r>
      <w:r w:rsidR="00800850" w:rsidRPr="00000EDA">
        <w:rPr>
          <w:rFonts w:ascii="Arial" w:hAnsi="Arial" w:cs="Arial"/>
          <w:i/>
          <w:sz w:val="20"/>
          <w:szCs w:val="20"/>
        </w:rPr>
        <w:t xml:space="preserve"> is surveyed separately</w:t>
      </w:r>
      <w:r w:rsidR="00D90BE0" w:rsidRPr="00000EDA">
        <w:rPr>
          <w:rFonts w:ascii="Arial" w:hAnsi="Arial" w:cs="Arial"/>
          <w:i/>
          <w:sz w:val="20"/>
          <w:szCs w:val="20"/>
        </w:rPr>
        <w:t xml:space="preserve"> in </w:t>
      </w:r>
      <w:proofErr w:type="spellStart"/>
      <w:r w:rsidR="00D90BE0" w:rsidRPr="00000EDA">
        <w:rPr>
          <w:rFonts w:ascii="Arial" w:hAnsi="Arial" w:cs="Arial"/>
          <w:i/>
          <w:sz w:val="20"/>
          <w:szCs w:val="20"/>
        </w:rPr>
        <w:t>HBS</w:t>
      </w:r>
      <w:proofErr w:type="spellEnd"/>
      <w:r w:rsidR="00800850" w:rsidRPr="00000EDA">
        <w:rPr>
          <w:rFonts w:ascii="Arial" w:hAnsi="Arial" w:cs="Arial"/>
          <w:i/>
          <w:sz w:val="20"/>
          <w:szCs w:val="20"/>
        </w:rPr>
        <w:t>.</w:t>
      </w:r>
      <w:r w:rsidR="00E47815" w:rsidRPr="00000EDA">
        <w:rPr>
          <w:rFonts w:ascii="Arial" w:hAnsi="Arial" w:cs="Arial"/>
          <w:i/>
          <w:sz w:val="20"/>
          <w:szCs w:val="20"/>
        </w:rPr>
        <w:t xml:space="preserve"> All households from the </w:t>
      </w:r>
      <w:proofErr w:type="gramStart"/>
      <w:r w:rsidR="00E47815" w:rsidRPr="00000EDA">
        <w:rPr>
          <w:rFonts w:ascii="Arial" w:hAnsi="Arial" w:cs="Arial"/>
          <w:i/>
          <w:sz w:val="20"/>
          <w:szCs w:val="20"/>
        </w:rPr>
        <w:t>3rd</w:t>
      </w:r>
      <w:proofErr w:type="gramEnd"/>
      <w:r w:rsidR="00E47815" w:rsidRPr="00000EDA">
        <w:rPr>
          <w:rFonts w:ascii="Arial" w:hAnsi="Arial" w:cs="Arial"/>
          <w:i/>
          <w:sz w:val="20"/>
          <w:szCs w:val="20"/>
        </w:rPr>
        <w:t xml:space="preserve"> wave of </w:t>
      </w:r>
      <w:proofErr w:type="spellStart"/>
      <w:r w:rsidR="00F845DE" w:rsidRPr="00000EDA">
        <w:rPr>
          <w:rFonts w:ascii="Arial" w:hAnsi="Arial" w:cs="Arial"/>
          <w:i/>
          <w:sz w:val="20"/>
          <w:szCs w:val="20"/>
        </w:rPr>
        <w:t>SILC</w:t>
      </w:r>
      <w:proofErr w:type="spellEnd"/>
      <w:r w:rsidR="00E47815" w:rsidRPr="00000EDA">
        <w:rPr>
          <w:rFonts w:ascii="Arial" w:hAnsi="Arial" w:cs="Arial"/>
          <w:i/>
          <w:sz w:val="20"/>
          <w:szCs w:val="20"/>
        </w:rPr>
        <w:t xml:space="preserve"> were </w:t>
      </w:r>
      <w:r w:rsidR="00D90BE0" w:rsidRPr="00000EDA">
        <w:rPr>
          <w:rFonts w:ascii="Arial" w:hAnsi="Arial" w:cs="Arial"/>
          <w:i/>
          <w:sz w:val="20"/>
          <w:szCs w:val="20"/>
        </w:rPr>
        <w:t>interviewed in</w:t>
      </w:r>
      <w:r w:rsidR="00E47815" w:rsidRPr="00000EDA">
        <w:rPr>
          <w:rFonts w:ascii="Arial" w:hAnsi="Arial" w:cs="Arial"/>
          <w:i/>
          <w:sz w:val="20"/>
          <w:szCs w:val="20"/>
        </w:rPr>
        <w:t xml:space="preserve"> the 1st wave of </w:t>
      </w:r>
      <w:proofErr w:type="spellStart"/>
      <w:r w:rsidR="00E47815" w:rsidRPr="00000EDA">
        <w:rPr>
          <w:rFonts w:ascii="Arial" w:hAnsi="Arial" w:cs="Arial"/>
          <w:i/>
          <w:sz w:val="20"/>
          <w:szCs w:val="20"/>
        </w:rPr>
        <w:t>HBS</w:t>
      </w:r>
      <w:proofErr w:type="spellEnd"/>
      <w:r w:rsidR="00E47815" w:rsidRPr="00000EDA">
        <w:rPr>
          <w:rFonts w:ascii="Arial" w:hAnsi="Arial" w:cs="Arial"/>
          <w:i/>
          <w:sz w:val="20"/>
          <w:szCs w:val="20"/>
        </w:rPr>
        <w:t>.</w:t>
      </w:r>
      <w:r w:rsidR="009C2FFC" w:rsidRPr="00000EDA">
        <w:rPr>
          <w:rFonts w:ascii="Arial" w:hAnsi="Arial" w:cs="Arial"/>
          <w:i/>
          <w:sz w:val="20"/>
          <w:szCs w:val="20"/>
        </w:rPr>
        <w:t xml:space="preserve"> </w:t>
      </w:r>
      <w:proofErr w:type="gramStart"/>
      <w:r w:rsidR="009C2FFC" w:rsidRPr="00000EDA">
        <w:rPr>
          <w:rFonts w:ascii="Arial" w:hAnsi="Arial" w:cs="Arial"/>
          <w:i/>
          <w:sz w:val="20"/>
          <w:szCs w:val="20"/>
        </w:rPr>
        <w:t xml:space="preserve">Households which </w:t>
      </w:r>
      <w:r w:rsidR="002D39CA" w:rsidRPr="00000EDA">
        <w:rPr>
          <w:rFonts w:ascii="Arial" w:hAnsi="Arial" w:cs="Arial"/>
          <w:i/>
          <w:sz w:val="20"/>
          <w:szCs w:val="20"/>
        </w:rPr>
        <w:t xml:space="preserve">had </w:t>
      </w:r>
      <w:r w:rsidR="009C2FFC" w:rsidRPr="00000EDA">
        <w:rPr>
          <w:rFonts w:ascii="Arial" w:hAnsi="Arial" w:cs="Arial"/>
          <w:i/>
          <w:sz w:val="20"/>
          <w:szCs w:val="20"/>
        </w:rPr>
        <w:t>not refuse</w:t>
      </w:r>
      <w:r w:rsidR="002D39CA" w:rsidRPr="00000EDA">
        <w:rPr>
          <w:rFonts w:ascii="Arial" w:hAnsi="Arial" w:cs="Arial"/>
          <w:i/>
          <w:sz w:val="20"/>
          <w:szCs w:val="20"/>
        </w:rPr>
        <w:t>d</w:t>
      </w:r>
      <w:r w:rsidR="009C2FFC" w:rsidRPr="00000EDA">
        <w:rPr>
          <w:rFonts w:ascii="Arial" w:hAnsi="Arial" w:cs="Arial"/>
          <w:i/>
          <w:sz w:val="20"/>
          <w:szCs w:val="20"/>
        </w:rPr>
        <w:t xml:space="preserve"> to participate in </w:t>
      </w:r>
      <w:proofErr w:type="spellStart"/>
      <w:r w:rsidR="009C2FFC" w:rsidRPr="00000EDA">
        <w:rPr>
          <w:rFonts w:ascii="Arial" w:hAnsi="Arial" w:cs="Arial"/>
          <w:i/>
          <w:sz w:val="20"/>
          <w:szCs w:val="20"/>
        </w:rPr>
        <w:t>HBS</w:t>
      </w:r>
      <w:proofErr w:type="spellEnd"/>
      <w:proofErr w:type="gramEnd"/>
      <w:r w:rsidR="009C2FFC" w:rsidRPr="00000EDA">
        <w:rPr>
          <w:rFonts w:ascii="Arial" w:hAnsi="Arial" w:cs="Arial"/>
          <w:i/>
          <w:sz w:val="20"/>
          <w:szCs w:val="20"/>
        </w:rPr>
        <w:t xml:space="preserve"> were </w:t>
      </w:r>
      <w:proofErr w:type="spellStart"/>
      <w:r w:rsidR="002D39CA" w:rsidRPr="00000EDA">
        <w:rPr>
          <w:rFonts w:ascii="Arial" w:hAnsi="Arial" w:cs="Arial"/>
          <w:i/>
          <w:sz w:val="20"/>
          <w:szCs w:val="20"/>
        </w:rPr>
        <w:t>re</w:t>
      </w:r>
      <w:r w:rsidR="00D90BE0" w:rsidRPr="00000EDA">
        <w:rPr>
          <w:rFonts w:ascii="Arial" w:hAnsi="Arial" w:cs="Arial"/>
          <w:i/>
          <w:sz w:val="20"/>
          <w:szCs w:val="20"/>
        </w:rPr>
        <w:t>interviewed</w:t>
      </w:r>
      <w:proofErr w:type="spellEnd"/>
      <w:r w:rsidR="00D90BE0" w:rsidRPr="00000EDA">
        <w:rPr>
          <w:rFonts w:ascii="Arial" w:hAnsi="Arial" w:cs="Arial"/>
          <w:i/>
          <w:sz w:val="20"/>
          <w:szCs w:val="20"/>
        </w:rPr>
        <w:t xml:space="preserve"> </w:t>
      </w:r>
      <w:r w:rsidR="009C2FFC" w:rsidRPr="00000EDA">
        <w:rPr>
          <w:rFonts w:ascii="Arial" w:hAnsi="Arial" w:cs="Arial"/>
          <w:i/>
          <w:sz w:val="20"/>
          <w:szCs w:val="20"/>
        </w:rPr>
        <w:t xml:space="preserve">in the following year (2nd </w:t>
      </w:r>
      <w:r w:rsidR="00350C63" w:rsidRPr="00000EDA">
        <w:rPr>
          <w:rFonts w:ascii="Arial" w:hAnsi="Arial" w:cs="Arial"/>
          <w:i/>
          <w:sz w:val="20"/>
          <w:szCs w:val="20"/>
        </w:rPr>
        <w:t xml:space="preserve">wave of </w:t>
      </w:r>
      <w:proofErr w:type="spellStart"/>
      <w:r w:rsidR="00350C63" w:rsidRPr="00000EDA">
        <w:rPr>
          <w:rFonts w:ascii="Arial" w:hAnsi="Arial" w:cs="Arial"/>
          <w:i/>
          <w:sz w:val="20"/>
          <w:szCs w:val="20"/>
        </w:rPr>
        <w:t>HBS</w:t>
      </w:r>
      <w:proofErr w:type="spellEnd"/>
      <w:r w:rsidR="00350C63" w:rsidRPr="00000EDA">
        <w:rPr>
          <w:rFonts w:ascii="Arial" w:hAnsi="Arial" w:cs="Arial"/>
          <w:i/>
          <w:sz w:val="20"/>
          <w:szCs w:val="20"/>
        </w:rPr>
        <w:t xml:space="preserve">) in </w:t>
      </w:r>
      <w:r w:rsidR="00D90BE0" w:rsidRPr="00000EDA">
        <w:rPr>
          <w:rFonts w:ascii="Arial" w:hAnsi="Arial" w:cs="Arial"/>
          <w:i/>
          <w:sz w:val="20"/>
          <w:szCs w:val="20"/>
        </w:rPr>
        <w:t>an</w:t>
      </w:r>
      <w:r w:rsidR="00350C63" w:rsidRPr="00000EDA">
        <w:rPr>
          <w:rFonts w:ascii="Arial" w:hAnsi="Arial" w:cs="Arial"/>
          <w:i/>
          <w:sz w:val="20"/>
          <w:szCs w:val="20"/>
        </w:rPr>
        <w:t>other</w:t>
      </w:r>
      <w:r w:rsidR="009C2FFC" w:rsidRPr="00000EDA">
        <w:rPr>
          <w:rFonts w:ascii="Arial" w:hAnsi="Arial" w:cs="Arial"/>
          <w:i/>
          <w:sz w:val="20"/>
          <w:szCs w:val="20"/>
        </w:rPr>
        <w:t xml:space="preserve"> reference period.</w:t>
      </w:r>
    </w:p>
    <w:p w14:paraId="1FD91B22" w14:textId="77777777" w:rsidR="00896452" w:rsidRPr="00000EDA" w:rsidRDefault="00896452" w:rsidP="00896452">
      <w:pPr>
        <w:pStyle w:val="Zkladntext"/>
        <w:rPr>
          <w:rFonts w:ascii="Arial" w:hAnsi="Arial" w:cs="Arial"/>
          <w:b/>
          <w:bCs/>
          <w:sz w:val="20"/>
          <w:szCs w:val="20"/>
        </w:rPr>
      </w:pPr>
    </w:p>
    <w:p w14:paraId="66F2B7AC" w14:textId="77777777" w:rsidR="00B74A71" w:rsidRPr="00000EDA" w:rsidRDefault="00B74A71" w:rsidP="00174541">
      <w:pPr>
        <w:spacing w:after="240"/>
        <w:jc w:val="both"/>
        <w:rPr>
          <w:rFonts w:ascii="Arial" w:hAnsi="Arial" w:cs="Arial"/>
          <w:b/>
          <w:bCs/>
          <w:i/>
        </w:rPr>
      </w:pPr>
      <w:r w:rsidRPr="00000EDA">
        <w:rPr>
          <w:rFonts w:ascii="Arial" w:hAnsi="Arial" w:cs="Arial"/>
          <w:b/>
          <w:bCs/>
          <w:i/>
        </w:rPr>
        <w:t>1.2 Fieldwork</w:t>
      </w:r>
      <w:r w:rsidR="00CD3B45" w:rsidRPr="00000EDA">
        <w:rPr>
          <w:rFonts w:ascii="Arial" w:hAnsi="Arial" w:cs="Arial"/>
          <w:b/>
          <w:bCs/>
          <w:i/>
        </w:rPr>
        <w:t xml:space="preserve">, </w:t>
      </w:r>
      <w:r w:rsidR="005914B2" w:rsidRPr="00000EDA">
        <w:rPr>
          <w:rFonts w:ascii="Arial" w:hAnsi="Arial" w:cs="Arial"/>
          <w:b/>
          <w:bCs/>
          <w:i/>
        </w:rPr>
        <w:t>data entering</w:t>
      </w:r>
    </w:p>
    <w:p w14:paraId="087D36E7" w14:textId="77777777" w:rsidR="00CF69F1" w:rsidRPr="00000EDA" w:rsidRDefault="005914B2" w:rsidP="00896452">
      <w:pPr>
        <w:pStyle w:val="Zkladntext"/>
        <w:spacing w:after="120"/>
        <w:ind w:firstLine="709"/>
        <w:rPr>
          <w:rFonts w:ascii="Arial" w:hAnsi="Arial" w:cs="Arial"/>
          <w:i/>
          <w:color w:val="000000"/>
          <w:sz w:val="20"/>
          <w:szCs w:val="20"/>
        </w:rPr>
      </w:pPr>
      <w:r w:rsidRPr="00000EDA">
        <w:rPr>
          <w:rFonts w:ascii="Arial" w:hAnsi="Arial" w:cs="Arial"/>
          <w:i/>
          <w:color w:val="000000"/>
          <w:sz w:val="20"/>
          <w:szCs w:val="20"/>
        </w:rPr>
        <w:t>As a preliminary step, each household was assigned an 8-week reference period (two 4-week diaries) by setting the date on which to start the first diary (the day has to be Monday</w:t>
      </w:r>
      <w:r w:rsidR="0045143D" w:rsidRPr="00000EDA">
        <w:rPr>
          <w:rFonts w:ascii="Arial" w:hAnsi="Arial" w:cs="Arial"/>
          <w:i/>
          <w:color w:val="000000"/>
          <w:sz w:val="20"/>
          <w:szCs w:val="20"/>
        </w:rPr>
        <w:t>).</w:t>
      </w:r>
      <w:r w:rsidR="0077659E" w:rsidRPr="00000EDA">
        <w:rPr>
          <w:rFonts w:ascii="Arial" w:hAnsi="Arial" w:cs="Arial"/>
          <w:i/>
          <w:color w:val="000000"/>
          <w:sz w:val="20"/>
          <w:szCs w:val="20"/>
        </w:rPr>
        <w:t>This rotation scheme</w:t>
      </w:r>
      <w:r w:rsidR="00A06F0B" w:rsidRPr="00000EDA">
        <w:rPr>
          <w:rFonts w:ascii="Arial" w:hAnsi="Arial" w:cs="Arial"/>
          <w:i/>
          <w:color w:val="000000"/>
          <w:sz w:val="20"/>
          <w:szCs w:val="20"/>
        </w:rPr>
        <w:t xml:space="preserve"> was designed </w:t>
      </w:r>
      <w:r w:rsidR="00BF41D7" w:rsidRPr="00000EDA">
        <w:rPr>
          <w:rFonts w:ascii="Arial" w:hAnsi="Arial" w:cs="Arial"/>
          <w:i/>
          <w:color w:val="000000"/>
          <w:sz w:val="20"/>
          <w:szCs w:val="20"/>
        </w:rPr>
        <w:t xml:space="preserve">to </w:t>
      </w:r>
      <w:r w:rsidR="0045143D" w:rsidRPr="00000EDA">
        <w:rPr>
          <w:rFonts w:ascii="Arial" w:hAnsi="Arial" w:cs="Arial"/>
          <w:i/>
          <w:color w:val="000000"/>
          <w:sz w:val="20"/>
          <w:szCs w:val="20"/>
        </w:rPr>
        <w:t xml:space="preserve">distribute </w:t>
      </w:r>
      <w:r w:rsidR="00F17D5E" w:rsidRPr="00000EDA">
        <w:rPr>
          <w:rFonts w:ascii="Arial" w:hAnsi="Arial" w:cs="Arial"/>
          <w:i/>
          <w:color w:val="000000"/>
          <w:sz w:val="20"/>
          <w:szCs w:val="20"/>
        </w:rPr>
        <w:t>the given types of household</w:t>
      </w:r>
      <w:r w:rsidR="0045143D" w:rsidRPr="00000EDA">
        <w:rPr>
          <w:rFonts w:ascii="Arial" w:hAnsi="Arial" w:cs="Arial"/>
          <w:i/>
          <w:color w:val="000000"/>
          <w:sz w:val="20"/>
          <w:szCs w:val="20"/>
        </w:rPr>
        <w:t xml:space="preserve"> evenly throughout the course of a year</w:t>
      </w:r>
      <w:r w:rsidR="00F17D5E" w:rsidRPr="00000EDA">
        <w:rPr>
          <w:rFonts w:ascii="Arial" w:hAnsi="Arial" w:cs="Arial"/>
          <w:i/>
          <w:color w:val="000000"/>
          <w:sz w:val="20"/>
          <w:szCs w:val="20"/>
        </w:rPr>
        <w:t>.</w:t>
      </w:r>
    </w:p>
    <w:p w14:paraId="46AFE13B" w14:textId="77777777" w:rsidR="006B5A17" w:rsidRPr="00000EDA" w:rsidRDefault="00BC4B91" w:rsidP="00143141">
      <w:pPr>
        <w:pStyle w:val="Zkladntext"/>
        <w:spacing w:after="120"/>
        <w:ind w:firstLine="709"/>
        <w:rPr>
          <w:rFonts w:ascii="Arial" w:hAnsi="Arial" w:cs="Arial"/>
          <w:i/>
          <w:color w:val="000000"/>
          <w:sz w:val="20"/>
          <w:szCs w:val="20"/>
        </w:rPr>
      </w:pPr>
      <w:r w:rsidRPr="00000EDA">
        <w:rPr>
          <w:rFonts w:ascii="Arial" w:hAnsi="Arial" w:cs="Arial"/>
          <w:i/>
          <w:color w:val="000000"/>
          <w:sz w:val="20"/>
          <w:szCs w:val="20"/>
        </w:rPr>
        <w:t xml:space="preserve">The </w:t>
      </w:r>
      <w:r w:rsidR="00791A9B" w:rsidRPr="00000EDA">
        <w:rPr>
          <w:rFonts w:ascii="Arial" w:hAnsi="Arial" w:cs="Arial"/>
          <w:i/>
          <w:color w:val="000000"/>
          <w:sz w:val="20"/>
          <w:szCs w:val="20"/>
        </w:rPr>
        <w:t xml:space="preserve">aim </w:t>
      </w:r>
      <w:r w:rsidRPr="00000EDA">
        <w:rPr>
          <w:rFonts w:ascii="Arial" w:hAnsi="Arial" w:cs="Arial"/>
          <w:i/>
          <w:color w:val="000000"/>
          <w:sz w:val="20"/>
          <w:szCs w:val="20"/>
        </w:rPr>
        <w:t xml:space="preserve">of </w:t>
      </w:r>
      <w:r w:rsidR="00791A9B" w:rsidRPr="00000EDA">
        <w:rPr>
          <w:rFonts w:ascii="Arial" w:hAnsi="Arial" w:cs="Arial"/>
          <w:i/>
          <w:color w:val="000000"/>
          <w:sz w:val="20"/>
          <w:szCs w:val="20"/>
        </w:rPr>
        <w:t xml:space="preserve">the </w:t>
      </w:r>
      <w:r w:rsidRPr="00000EDA">
        <w:rPr>
          <w:rFonts w:ascii="Arial" w:hAnsi="Arial" w:cs="Arial"/>
          <w:i/>
          <w:color w:val="000000"/>
          <w:sz w:val="20"/>
          <w:szCs w:val="20"/>
        </w:rPr>
        <w:t xml:space="preserve">survey </w:t>
      </w:r>
      <w:r w:rsidR="00791A9B" w:rsidRPr="00000EDA">
        <w:rPr>
          <w:rFonts w:ascii="Arial" w:hAnsi="Arial" w:cs="Arial"/>
          <w:i/>
          <w:color w:val="000000"/>
          <w:sz w:val="20"/>
          <w:szCs w:val="20"/>
        </w:rPr>
        <w:t xml:space="preserve">was to get information on </w:t>
      </w:r>
      <w:r w:rsidRPr="00000EDA">
        <w:rPr>
          <w:rFonts w:ascii="Arial" w:hAnsi="Arial" w:cs="Arial"/>
          <w:i/>
          <w:color w:val="000000"/>
          <w:sz w:val="20"/>
          <w:szCs w:val="20"/>
          <w:u w:val="single"/>
        </w:rPr>
        <w:t>expen</w:t>
      </w:r>
      <w:r w:rsidR="002F2FDB" w:rsidRPr="00000EDA">
        <w:rPr>
          <w:rFonts w:ascii="Arial" w:hAnsi="Arial" w:cs="Arial"/>
          <w:i/>
          <w:color w:val="000000"/>
          <w:sz w:val="20"/>
          <w:szCs w:val="20"/>
          <w:u w:val="single"/>
        </w:rPr>
        <w:t>ditures</w:t>
      </w:r>
      <w:r w:rsidRPr="00000EDA">
        <w:rPr>
          <w:rFonts w:ascii="Arial" w:hAnsi="Arial" w:cs="Arial"/>
          <w:i/>
          <w:color w:val="000000"/>
          <w:sz w:val="20"/>
          <w:szCs w:val="20"/>
          <w:u w:val="single"/>
        </w:rPr>
        <w:t xml:space="preserve"> of all household members</w:t>
      </w:r>
      <w:r w:rsidRPr="00000EDA">
        <w:rPr>
          <w:rFonts w:ascii="Arial" w:hAnsi="Arial" w:cs="Arial"/>
          <w:i/>
          <w:color w:val="000000"/>
          <w:sz w:val="20"/>
          <w:szCs w:val="20"/>
        </w:rPr>
        <w:t xml:space="preserve"> </w:t>
      </w:r>
      <w:r w:rsidR="00791A9B" w:rsidRPr="00000EDA">
        <w:rPr>
          <w:rFonts w:ascii="Arial" w:hAnsi="Arial" w:cs="Arial"/>
          <w:i/>
          <w:color w:val="000000"/>
          <w:sz w:val="20"/>
          <w:szCs w:val="20"/>
        </w:rPr>
        <w:t xml:space="preserve">of each </w:t>
      </w:r>
      <w:r w:rsidRPr="00000EDA">
        <w:rPr>
          <w:rFonts w:ascii="Arial" w:hAnsi="Arial" w:cs="Arial"/>
          <w:i/>
          <w:color w:val="000000"/>
          <w:sz w:val="20"/>
          <w:szCs w:val="20"/>
        </w:rPr>
        <w:t>selected household</w:t>
      </w:r>
      <w:r w:rsidR="00791A9B" w:rsidRPr="00000EDA">
        <w:rPr>
          <w:rFonts w:ascii="Arial" w:hAnsi="Arial" w:cs="Arial"/>
          <w:i/>
          <w:color w:val="000000"/>
          <w:sz w:val="20"/>
          <w:szCs w:val="20"/>
        </w:rPr>
        <w:t>, supplemented by data on household composition, durables</w:t>
      </w:r>
      <w:r w:rsidR="007A2490" w:rsidRPr="00000EDA">
        <w:rPr>
          <w:rFonts w:ascii="Arial" w:hAnsi="Arial" w:cs="Arial"/>
          <w:i/>
          <w:color w:val="000000"/>
          <w:sz w:val="20"/>
          <w:szCs w:val="20"/>
        </w:rPr>
        <w:t xml:space="preserve"> and other household characteristics.</w:t>
      </w:r>
      <w:r w:rsidR="004B2CCC" w:rsidRPr="00000EDA">
        <w:rPr>
          <w:rFonts w:ascii="Arial" w:hAnsi="Arial" w:cs="Arial"/>
          <w:i/>
          <w:color w:val="000000"/>
          <w:sz w:val="20"/>
          <w:szCs w:val="20"/>
        </w:rPr>
        <w:t xml:space="preserve"> </w:t>
      </w:r>
      <w:r w:rsidR="007A2490" w:rsidRPr="00000EDA">
        <w:rPr>
          <w:rFonts w:ascii="Arial" w:hAnsi="Arial" w:cs="Arial"/>
          <w:i/>
          <w:color w:val="000000"/>
          <w:sz w:val="20"/>
          <w:szCs w:val="20"/>
        </w:rPr>
        <w:t xml:space="preserve">During the personal interview on the first </w:t>
      </w:r>
      <w:proofErr w:type="gramStart"/>
      <w:r w:rsidR="007A2490" w:rsidRPr="00000EDA">
        <w:rPr>
          <w:rFonts w:ascii="Arial" w:hAnsi="Arial" w:cs="Arial"/>
          <w:i/>
          <w:color w:val="000000"/>
          <w:sz w:val="20"/>
          <w:szCs w:val="20"/>
        </w:rPr>
        <w:t>visit</w:t>
      </w:r>
      <w:proofErr w:type="gramEnd"/>
      <w:r w:rsidR="007A2490" w:rsidRPr="00000EDA">
        <w:rPr>
          <w:rFonts w:ascii="Arial" w:hAnsi="Arial" w:cs="Arial"/>
          <w:i/>
          <w:color w:val="000000"/>
          <w:sz w:val="20"/>
          <w:szCs w:val="20"/>
        </w:rPr>
        <w:t xml:space="preserve"> the </w:t>
      </w:r>
      <w:proofErr w:type="spellStart"/>
      <w:r w:rsidR="007A2490" w:rsidRPr="00000EDA">
        <w:rPr>
          <w:rFonts w:ascii="Arial" w:hAnsi="Arial" w:cs="Arial"/>
          <w:i/>
          <w:color w:val="000000"/>
          <w:sz w:val="20"/>
          <w:szCs w:val="20"/>
        </w:rPr>
        <w:t>CZSO</w:t>
      </w:r>
      <w:proofErr w:type="spellEnd"/>
      <w:r w:rsidR="007A2490" w:rsidRPr="00000EDA">
        <w:rPr>
          <w:rFonts w:ascii="Arial" w:hAnsi="Arial" w:cs="Arial"/>
          <w:i/>
          <w:color w:val="000000"/>
          <w:sz w:val="20"/>
          <w:szCs w:val="20"/>
        </w:rPr>
        <w:t xml:space="preserve"> interviewer fill</w:t>
      </w:r>
      <w:r w:rsidR="00A06117" w:rsidRPr="00000EDA">
        <w:rPr>
          <w:rFonts w:ascii="Arial" w:hAnsi="Arial" w:cs="Arial"/>
          <w:i/>
          <w:color w:val="000000"/>
          <w:sz w:val="20"/>
          <w:szCs w:val="20"/>
        </w:rPr>
        <w:t>ed</w:t>
      </w:r>
      <w:r w:rsidR="007A2490" w:rsidRPr="00000EDA">
        <w:rPr>
          <w:rFonts w:ascii="Arial" w:hAnsi="Arial" w:cs="Arial"/>
          <w:i/>
          <w:color w:val="000000"/>
          <w:sz w:val="20"/>
          <w:szCs w:val="20"/>
        </w:rPr>
        <w:t xml:space="preserve"> out the opening questionnaire.</w:t>
      </w:r>
      <w:r w:rsidR="004B2CCC" w:rsidRPr="00000EDA">
        <w:rPr>
          <w:rFonts w:ascii="Arial" w:hAnsi="Arial" w:cs="Arial"/>
          <w:i/>
          <w:color w:val="000000"/>
          <w:sz w:val="20"/>
          <w:szCs w:val="20"/>
        </w:rPr>
        <w:t xml:space="preserve"> </w:t>
      </w:r>
      <w:r w:rsidR="00EA23EC" w:rsidRPr="00000EDA">
        <w:rPr>
          <w:rFonts w:ascii="Arial" w:hAnsi="Arial" w:cs="Arial"/>
          <w:i/>
          <w:color w:val="000000"/>
          <w:sz w:val="20"/>
          <w:szCs w:val="20"/>
        </w:rPr>
        <w:t xml:space="preserve">He </w:t>
      </w:r>
      <w:r w:rsidR="00A06117" w:rsidRPr="00000EDA">
        <w:rPr>
          <w:rFonts w:ascii="Arial" w:hAnsi="Arial" w:cs="Arial"/>
          <w:i/>
          <w:color w:val="000000"/>
          <w:sz w:val="20"/>
          <w:szCs w:val="20"/>
        </w:rPr>
        <w:t xml:space="preserve">updated </w:t>
      </w:r>
      <w:r w:rsidR="00EA23EC" w:rsidRPr="00000EDA">
        <w:rPr>
          <w:rFonts w:ascii="Arial" w:hAnsi="Arial" w:cs="Arial"/>
          <w:i/>
          <w:color w:val="000000"/>
          <w:sz w:val="20"/>
          <w:szCs w:val="20"/>
        </w:rPr>
        <w:t xml:space="preserve">specific information </w:t>
      </w:r>
      <w:r w:rsidR="00A06117" w:rsidRPr="00000EDA">
        <w:rPr>
          <w:rFonts w:ascii="Arial" w:hAnsi="Arial" w:cs="Arial"/>
          <w:i/>
          <w:color w:val="000000"/>
          <w:sz w:val="20"/>
          <w:szCs w:val="20"/>
        </w:rPr>
        <w:t xml:space="preserve">obtained </w:t>
      </w:r>
      <w:r w:rsidR="0045143D" w:rsidRPr="00000EDA">
        <w:rPr>
          <w:rFonts w:ascii="Arial" w:hAnsi="Arial" w:cs="Arial"/>
          <w:i/>
          <w:color w:val="000000"/>
          <w:sz w:val="20"/>
          <w:szCs w:val="20"/>
        </w:rPr>
        <w:t>from</w:t>
      </w:r>
      <w:r w:rsidR="00EA23EC" w:rsidRPr="00000EDA">
        <w:rPr>
          <w:rFonts w:ascii="Arial" w:hAnsi="Arial" w:cs="Arial"/>
          <w:i/>
          <w:color w:val="000000"/>
          <w:sz w:val="20"/>
          <w:szCs w:val="20"/>
        </w:rPr>
        <w:t xml:space="preserve"> </w:t>
      </w:r>
      <w:proofErr w:type="spellStart"/>
      <w:r w:rsidR="00F845DE" w:rsidRPr="00000EDA">
        <w:rPr>
          <w:rFonts w:ascii="Arial" w:hAnsi="Arial" w:cs="Arial"/>
          <w:i/>
          <w:color w:val="000000"/>
          <w:sz w:val="20"/>
          <w:szCs w:val="20"/>
        </w:rPr>
        <w:t>SILC</w:t>
      </w:r>
      <w:proofErr w:type="spellEnd"/>
      <w:r w:rsidR="0062609F" w:rsidRPr="00000EDA">
        <w:rPr>
          <w:rFonts w:ascii="Arial" w:hAnsi="Arial" w:cs="Arial"/>
          <w:i/>
          <w:color w:val="000000"/>
          <w:sz w:val="20"/>
          <w:szCs w:val="20"/>
        </w:rPr>
        <w:t xml:space="preserve"> and </w:t>
      </w:r>
      <w:r w:rsidR="00A06117" w:rsidRPr="00000EDA">
        <w:rPr>
          <w:rFonts w:ascii="Arial" w:hAnsi="Arial" w:cs="Arial"/>
          <w:i/>
          <w:color w:val="000000"/>
          <w:sz w:val="20"/>
          <w:szCs w:val="20"/>
        </w:rPr>
        <w:t xml:space="preserve">added </w:t>
      </w:r>
      <w:r w:rsidR="0062609F" w:rsidRPr="00000EDA">
        <w:rPr>
          <w:rFonts w:ascii="Arial" w:hAnsi="Arial" w:cs="Arial"/>
          <w:i/>
          <w:color w:val="000000"/>
          <w:sz w:val="20"/>
          <w:szCs w:val="20"/>
        </w:rPr>
        <w:t xml:space="preserve">further </w:t>
      </w:r>
      <w:r w:rsidR="00A06117" w:rsidRPr="00000EDA">
        <w:rPr>
          <w:rFonts w:ascii="Arial" w:hAnsi="Arial" w:cs="Arial"/>
          <w:i/>
          <w:color w:val="000000"/>
          <w:sz w:val="20"/>
          <w:szCs w:val="20"/>
        </w:rPr>
        <w:t xml:space="preserve">data </w:t>
      </w:r>
      <w:r w:rsidR="0062609F" w:rsidRPr="00000EDA">
        <w:rPr>
          <w:rFonts w:ascii="Arial" w:hAnsi="Arial" w:cs="Arial"/>
          <w:i/>
          <w:color w:val="000000"/>
          <w:sz w:val="20"/>
          <w:szCs w:val="20"/>
        </w:rPr>
        <w:t xml:space="preserve">about </w:t>
      </w:r>
      <w:r w:rsidR="00A06117" w:rsidRPr="00000EDA">
        <w:rPr>
          <w:rFonts w:ascii="Arial" w:hAnsi="Arial" w:cs="Arial"/>
          <w:i/>
          <w:color w:val="000000"/>
          <w:sz w:val="20"/>
          <w:szCs w:val="20"/>
        </w:rPr>
        <w:t xml:space="preserve">the </w:t>
      </w:r>
      <w:r w:rsidR="0062609F" w:rsidRPr="00000EDA">
        <w:rPr>
          <w:rFonts w:ascii="Arial" w:hAnsi="Arial" w:cs="Arial"/>
          <w:i/>
          <w:color w:val="000000"/>
          <w:sz w:val="20"/>
          <w:szCs w:val="20"/>
        </w:rPr>
        <w:t>household.</w:t>
      </w:r>
      <w:r w:rsidR="000B425C" w:rsidRPr="00000EDA">
        <w:rPr>
          <w:rFonts w:ascii="Arial" w:hAnsi="Arial" w:cs="Arial"/>
          <w:i/>
          <w:color w:val="000000"/>
          <w:sz w:val="20"/>
          <w:szCs w:val="20"/>
        </w:rPr>
        <w:t xml:space="preserve"> Each household</w:t>
      </w:r>
      <w:r w:rsidR="001159B8" w:rsidRPr="00000EDA">
        <w:rPr>
          <w:rFonts w:ascii="Arial" w:hAnsi="Arial" w:cs="Arial"/>
          <w:i/>
          <w:color w:val="000000"/>
          <w:sz w:val="20"/>
          <w:szCs w:val="20"/>
          <w:lang w:val="en-US"/>
        </w:rPr>
        <w:t xml:space="preserve"> </w:t>
      </w:r>
      <w:r w:rsidR="00A06117" w:rsidRPr="00000EDA">
        <w:rPr>
          <w:rFonts w:ascii="Arial" w:hAnsi="Arial" w:cs="Arial"/>
          <w:i/>
          <w:color w:val="000000"/>
          <w:sz w:val="20"/>
          <w:szCs w:val="20"/>
          <w:lang w:val="en-US"/>
        </w:rPr>
        <w:t xml:space="preserve">collected </w:t>
      </w:r>
      <w:r w:rsidR="007B6BE8" w:rsidRPr="00000EDA">
        <w:rPr>
          <w:rFonts w:ascii="Arial" w:hAnsi="Arial" w:cs="Arial"/>
          <w:i/>
          <w:color w:val="000000"/>
          <w:sz w:val="20"/>
          <w:szCs w:val="20"/>
          <w:lang w:val="en-US"/>
        </w:rPr>
        <w:t xml:space="preserve">receipts </w:t>
      </w:r>
      <w:r w:rsidR="00A06117" w:rsidRPr="00000EDA">
        <w:rPr>
          <w:rFonts w:ascii="Arial" w:hAnsi="Arial" w:cs="Arial"/>
          <w:i/>
          <w:color w:val="000000"/>
          <w:sz w:val="20"/>
          <w:szCs w:val="20"/>
          <w:lang w:val="en-US"/>
        </w:rPr>
        <w:t xml:space="preserve">of </w:t>
      </w:r>
      <w:r w:rsidR="007B6BE8" w:rsidRPr="00000EDA">
        <w:rPr>
          <w:rFonts w:ascii="Arial" w:hAnsi="Arial" w:cs="Arial"/>
          <w:i/>
          <w:color w:val="000000"/>
          <w:sz w:val="20"/>
          <w:szCs w:val="20"/>
          <w:lang w:val="en-US"/>
        </w:rPr>
        <w:t>their expen</w:t>
      </w:r>
      <w:r w:rsidR="00BF4D41" w:rsidRPr="00000EDA">
        <w:rPr>
          <w:rFonts w:ascii="Arial" w:hAnsi="Arial" w:cs="Arial"/>
          <w:i/>
          <w:color w:val="000000"/>
          <w:sz w:val="20"/>
          <w:szCs w:val="20"/>
          <w:lang w:val="en-US"/>
        </w:rPr>
        <w:t>ditures</w:t>
      </w:r>
      <w:r w:rsidR="001D2856" w:rsidRPr="00000EDA">
        <w:rPr>
          <w:rFonts w:ascii="Arial" w:hAnsi="Arial" w:cs="Arial"/>
          <w:i/>
          <w:color w:val="000000"/>
          <w:sz w:val="20"/>
          <w:szCs w:val="20"/>
          <w:lang w:val="en-US"/>
        </w:rPr>
        <w:t xml:space="preserve">, </w:t>
      </w:r>
      <w:r w:rsidR="007B6BE8" w:rsidRPr="00000EDA">
        <w:rPr>
          <w:rFonts w:ascii="Arial" w:hAnsi="Arial" w:cs="Arial"/>
          <w:i/>
          <w:color w:val="000000"/>
          <w:sz w:val="20"/>
          <w:szCs w:val="20"/>
          <w:lang w:val="en-US"/>
        </w:rPr>
        <w:t>bus tickets, theatre tickets</w:t>
      </w:r>
      <w:r w:rsidR="0057086E">
        <w:rPr>
          <w:rFonts w:ascii="Arial" w:hAnsi="Arial" w:cs="Arial"/>
          <w:i/>
          <w:color w:val="000000"/>
          <w:sz w:val="20"/>
          <w:szCs w:val="20"/>
          <w:lang w:val="en-US"/>
        </w:rPr>
        <w:t>,</w:t>
      </w:r>
      <w:r w:rsidR="007B6BE8" w:rsidRPr="00000EDA">
        <w:rPr>
          <w:rFonts w:ascii="Arial" w:hAnsi="Arial" w:cs="Arial"/>
          <w:i/>
          <w:color w:val="000000"/>
          <w:sz w:val="20"/>
          <w:szCs w:val="20"/>
          <w:lang w:val="en-US"/>
        </w:rPr>
        <w:t xml:space="preserve"> etc. for a period of </w:t>
      </w:r>
      <w:proofErr w:type="gramStart"/>
      <w:r w:rsidR="007B6BE8" w:rsidRPr="00000EDA">
        <w:rPr>
          <w:rFonts w:ascii="Arial" w:hAnsi="Arial" w:cs="Arial"/>
          <w:i/>
          <w:color w:val="000000"/>
          <w:sz w:val="20"/>
          <w:szCs w:val="20"/>
          <w:lang w:val="en-US"/>
        </w:rPr>
        <w:t>8</w:t>
      </w:r>
      <w:proofErr w:type="gramEnd"/>
      <w:r w:rsidR="007B6BE8" w:rsidRPr="00000EDA">
        <w:rPr>
          <w:rFonts w:ascii="Arial" w:hAnsi="Arial" w:cs="Arial"/>
          <w:i/>
          <w:color w:val="000000"/>
          <w:sz w:val="20"/>
          <w:szCs w:val="20"/>
          <w:lang w:val="en-US"/>
        </w:rPr>
        <w:t xml:space="preserve"> consecutive calendar weeks. </w:t>
      </w:r>
      <w:r w:rsidR="00A06117" w:rsidRPr="00000EDA">
        <w:rPr>
          <w:rFonts w:ascii="Arial" w:hAnsi="Arial" w:cs="Arial"/>
          <w:i/>
          <w:color w:val="000000"/>
          <w:sz w:val="20"/>
          <w:szCs w:val="20"/>
          <w:lang w:val="en-US"/>
        </w:rPr>
        <w:t>As an alternative, households could</w:t>
      </w:r>
      <w:r w:rsidR="007B6BE8" w:rsidRPr="00000EDA">
        <w:rPr>
          <w:rFonts w:ascii="Arial" w:hAnsi="Arial" w:cs="Arial"/>
          <w:i/>
          <w:color w:val="000000"/>
          <w:sz w:val="20"/>
          <w:szCs w:val="20"/>
          <w:lang w:val="en-US"/>
        </w:rPr>
        <w:t xml:space="preserve"> </w:t>
      </w:r>
      <w:r w:rsidR="001159B8" w:rsidRPr="00000EDA">
        <w:rPr>
          <w:rFonts w:ascii="Arial" w:hAnsi="Arial" w:cs="Arial"/>
          <w:i/>
          <w:color w:val="000000"/>
          <w:sz w:val="20"/>
          <w:szCs w:val="20"/>
          <w:lang w:val="en-US"/>
        </w:rPr>
        <w:t>wr</w:t>
      </w:r>
      <w:r w:rsidR="007B6BE8" w:rsidRPr="00000EDA">
        <w:rPr>
          <w:rFonts w:ascii="Arial" w:hAnsi="Arial" w:cs="Arial"/>
          <w:i/>
          <w:color w:val="000000"/>
          <w:sz w:val="20"/>
          <w:szCs w:val="20"/>
          <w:lang w:val="en-US"/>
        </w:rPr>
        <w:t xml:space="preserve">ite down purchased items in a </w:t>
      </w:r>
      <w:r w:rsidR="00A06117" w:rsidRPr="00000EDA">
        <w:rPr>
          <w:rFonts w:ascii="Arial" w:hAnsi="Arial" w:cs="Arial"/>
          <w:i/>
          <w:color w:val="000000"/>
          <w:sz w:val="20"/>
          <w:szCs w:val="20"/>
          <w:lang w:val="en-US"/>
        </w:rPr>
        <w:t xml:space="preserve">paper </w:t>
      </w:r>
      <w:r w:rsidR="006942BA" w:rsidRPr="00000EDA">
        <w:rPr>
          <w:rFonts w:ascii="Arial" w:hAnsi="Arial" w:cs="Arial"/>
          <w:i/>
          <w:color w:val="000000"/>
          <w:sz w:val="20"/>
          <w:szCs w:val="20"/>
          <w:lang w:val="en-US"/>
        </w:rPr>
        <w:t>D</w:t>
      </w:r>
      <w:r w:rsidR="007B6BE8" w:rsidRPr="00000EDA">
        <w:rPr>
          <w:rFonts w:ascii="Arial" w:hAnsi="Arial" w:cs="Arial"/>
          <w:i/>
          <w:color w:val="000000"/>
          <w:sz w:val="20"/>
          <w:szCs w:val="20"/>
          <w:lang w:val="en-US"/>
        </w:rPr>
        <w:t>iary.</w:t>
      </w:r>
      <w:r w:rsidR="00D47BE1" w:rsidRPr="00000EDA">
        <w:rPr>
          <w:rFonts w:ascii="Arial" w:hAnsi="Arial" w:cs="Arial"/>
          <w:i/>
          <w:color w:val="000000"/>
          <w:sz w:val="20"/>
          <w:szCs w:val="20"/>
          <w:lang w:val="en-US"/>
        </w:rPr>
        <w:t xml:space="preserve"> </w:t>
      </w:r>
      <w:r w:rsidR="005056AA" w:rsidRPr="00000EDA">
        <w:rPr>
          <w:rFonts w:ascii="Arial" w:hAnsi="Arial" w:cs="Arial"/>
          <w:i/>
          <w:color w:val="000000"/>
          <w:sz w:val="20"/>
          <w:szCs w:val="20"/>
          <w:lang w:val="en-US"/>
        </w:rPr>
        <w:t xml:space="preserve">The </w:t>
      </w:r>
      <w:proofErr w:type="spellStart"/>
      <w:r w:rsidR="005056AA" w:rsidRPr="00000EDA">
        <w:rPr>
          <w:rFonts w:ascii="Arial" w:hAnsi="Arial" w:cs="Arial"/>
          <w:i/>
          <w:color w:val="000000"/>
          <w:sz w:val="20"/>
          <w:szCs w:val="20"/>
          <w:lang w:val="en-US"/>
        </w:rPr>
        <w:t>i</w:t>
      </w:r>
      <w:r w:rsidR="00D47BE1" w:rsidRPr="00000EDA">
        <w:rPr>
          <w:rFonts w:ascii="Arial" w:hAnsi="Arial" w:cs="Arial"/>
          <w:i/>
          <w:color w:val="000000"/>
          <w:sz w:val="20"/>
          <w:szCs w:val="20"/>
        </w:rPr>
        <w:t>nterviewer</w:t>
      </w:r>
      <w:proofErr w:type="spellEnd"/>
      <w:r w:rsidR="00D47BE1" w:rsidRPr="00000EDA">
        <w:rPr>
          <w:rFonts w:ascii="Arial" w:hAnsi="Arial" w:cs="Arial"/>
          <w:i/>
          <w:color w:val="000000"/>
          <w:sz w:val="20"/>
          <w:szCs w:val="20"/>
        </w:rPr>
        <w:t xml:space="preserve"> </w:t>
      </w:r>
      <w:r w:rsidR="005056AA" w:rsidRPr="00000EDA">
        <w:rPr>
          <w:rFonts w:ascii="Arial" w:hAnsi="Arial" w:cs="Arial"/>
          <w:i/>
          <w:color w:val="000000"/>
          <w:sz w:val="20"/>
          <w:szCs w:val="20"/>
        </w:rPr>
        <w:t xml:space="preserve">visited </w:t>
      </w:r>
      <w:r w:rsidR="00D47BE1" w:rsidRPr="00000EDA">
        <w:rPr>
          <w:rFonts w:ascii="Arial" w:hAnsi="Arial" w:cs="Arial"/>
          <w:i/>
          <w:color w:val="000000"/>
          <w:sz w:val="20"/>
          <w:szCs w:val="20"/>
        </w:rPr>
        <w:t xml:space="preserve">the household </w:t>
      </w:r>
      <w:r w:rsidR="006942BA" w:rsidRPr="00000EDA">
        <w:rPr>
          <w:rFonts w:ascii="Arial" w:hAnsi="Arial" w:cs="Arial"/>
          <w:i/>
          <w:color w:val="000000"/>
          <w:sz w:val="20"/>
          <w:szCs w:val="20"/>
        </w:rPr>
        <w:t xml:space="preserve">again </w:t>
      </w:r>
      <w:r w:rsidR="005056AA" w:rsidRPr="00000EDA">
        <w:rPr>
          <w:rFonts w:ascii="Arial" w:hAnsi="Arial" w:cs="Arial"/>
          <w:i/>
          <w:color w:val="000000"/>
          <w:sz w:val="20"/>
          <w:szCs w:val="20"/>
        </w:rPr>
        <w:t xml:space="preserve">after roughly a month </w:t>
      </w:r>
      <w:r w:rsidR="00D47BE1" w:rsidRPr="00000EDA">
        <w:rPr>
          <w:rFonts w:ascii="Arial" w:hAnsi="Arial" w:cs="Arial"/>
          <w:i/>
          <w:color w:val="000000"/>
          <w:sz w:val="20"/>
          <w:szCs w:val="20"/>
        </w:rPr>
        <w:t>(2nd and 3rd visit)</w:t>
      </w:r>
      <w:r w:rsidR="005056AA" w:rsidRPr="00000EDA">
        <w:rPr>
          <w:rFonts w:ascii="Arial" w:hAnsi="Arial" w:cs="Arial"/>
          <w:i/>
          <w:color w:val="000000"/>
          <w:sz w:val="20"/>
          <w:szCs w:val="20"/>
        </w:rPr>
        <w:t>. H</w:t>
      </w:r>
      <w:r w:rsidR="00D47BE1" w:rsidRPr="00000EDA">
        <w:rPr>
          <w:rFonts w:ascii="Arial" w:hAnsi="Arial" w:cs="Arial"/>
          <w:i/>
          <w:color w:val="000000"/>
          <w:sz w:val="20"/>
          <w:szCs w:val="20"/>
        </w:rPr>
        <w:t xml:space="preserve">e </w:t>
      </w:r>
      <w:r w:rsidR="005056AA" w:rsidRPr="00000EDA">
        <w:rPr>
          <w:rFonts w:ascii="Arial" w:hAnsi="Arial" w:cs="Arial"/>
          <w:i/>
          <w:color w:val="000000"/>
          <w:sz w:val="20"/>
          <w:szCs w:val="20"/>
        </w:rPr>
        <w:t xml:space="preserve">picked </w:t>
      </w:r>
      <w:r w:rsidR="004B6E40" w:rsidRPr="00000EDA">
        <w:rPr>
          <w:rFonts w:ascii="Arial" w:hAnsi="Arial" w:cs="Arial"/>
          <w:i/>
          <w:color w:val="000000"/>
          <w:sz w:val="20"/>
          <w:szCs w:val="20"/>
        </w:rPr>
        <w:t>up</w:t>
      </w:r>
      <w:r w:rsidR="00D47BE1" w:rsidRPr="00000EDA">
        <w:rPr>
          <w:rFonts w:ascii="Arial" w:hAnsi="Arial" w:cs="Arial"/>
          <w:i/>
          <w:color w:val="000000"/>
          <w:sz w:val="20"/>
          <w:szCs w:val="20"/>
        </w:rPr>
        <w:t xml:space="preserve"> </w:t>
      </w:r>
      <w:r w:rsidR="005056AA" w:rsidRPr="00000EDA">
        <w:rPr>
          <w:rFonts w:ascii="Arial" w:hAnsi="Arial" w:cs="Arial"/>
          <w:i/>
          <w:color w:val="000000"/>
          <w:sz w:val="20"/>
          <w:szCs w:val="20"/>
        </w:rPr>
        <w:t xml:space="preserve">the </w:t>
      </w:r>
      <w:r w:rsidR="00D47BE1" w:rsidRPr="00000EDA">
        <w:rPr>
          <w:rFonts w:ascii="Arial" w:hAnsi="Arial" w:cs="Arial"/>
          <w:i/>
          <w:color w:val="000000"/>
          <w:sz w:val="20"/>
          <w:szCs w:val="20"/>
        </w:rPr>
        <w:t>completed Diary with receipts</w:t>
      </w:r>
      <w:r w:rsidR="005056AA" w:rsidRPr="00000EDA">
        <w:rPr>
          <w:rFonts w:ascii="Arial" w:hAnsi="Arial" w:cs="Arial"/>
          <w:i/>
          <w:color w:val="000000"/>
          <w:sz w:val="20"/>
          <w:szCs w:val="20"/>
        </w:rPr>
        <w:t xml:space="preserve"> and resolved </w:t>
      </w:r>
      <w:r w:rsidR="00D47BE1" w:rsidRPr="00000EDA">
        <w:rPr>
          <w:rFonts w:ascii="Arial" w:hAnsi="Arial" w:cs="Arial"/>
          <w:i/>
          <w:color w:val="000000"/>
          <w:sz w:val="20"/>
          <w:szCs w:val="20"/>
        </w:rPr>
        <w:t>ambiguities</w:t>
      </w:r>
      <w:r w:rsidR="005056AA" w:rsidRPr="00000EDA">
        <w:rPr>
          <w:rFonts w:ascii="Arial" w:hAnsi="Arial" w:cs="Arial"/>
          <w:i/>
          <w:color w:val="000000"/>
          <w:sz w:val="20"/>
          <w:szCs w:val="20"/>
        </w:rPr>
        <w:t xml:space="preserve">, if </w:t>
      </w:r>
      <w:r w:rsidR="006942BA" w:rsidRPr="00000EDA">
        <w:rPr>
          <w:rFonts w:ascii="Arial" w:hAnsi="Arial" w:cs="Arial"/>
          <w:i/>
          <w:color w:val="000000"/>
          <w:sz w:val="20"/>
          <w:szCs w:val="20"/>
        </w:rPr>
        <w:t xml:space="preserve">there were </w:t>
      </w:r>
      <w:r w:rsidR="005056AA" w:rsidRPr="00000EDA">
        <w:rPr>
          <w:rFonts w:ascii="Arial" w:hAnsi="Arial" w:cs="Arial"/>
          <w:i/>
          <w:color w:val="000000"/>
          <w:sz w:val="20"/>
          <w:szCs w:val="20"/>
        </w:rPr>
        <w:t>any</w:t>
      </w:r>
      <w:r w:rsidR="00D47BE1" w:rsidRPr="00000EDA">
        <w:rPr>
          <w:rFonts w:ascii="Arial" w:hAnsi="Arial" w:cs="Arial"/>
          <w:i/>
          <w:color w:val="000000"/>
          <w:sz w:val="20"/>
          <w:szCs w:val="20"/>
        </w:rPr>
        <w:t>.</w:t>
      </w:r>
    </w:p>
    <w:p w14:paraId="64607FCE" w14:textId="7A00A902" w:rsidR="00341C76" w:rsidRDefault="00341C76" w:rsidP="00896452">
      <w:pPr>
        <w:pStyle w:val="Zkladntext"/>
        <w:spacing w:after="240"/>
        <w:ind w:firstLine="708"/>
        <w:rPr>
          <w:rFonts w:ascii="Arial" w:hAnsi="Arial" w:cs="Arial"/>
          <w:i/>
          <w:color w:val="000000"/>
          <w:sz w:val="20"/>
          <w:szCs w:val="20"/>
        </w:rPr>
      </w:pPr>
      <w:r w:rsidRPr="003501FE">
        <w:rPr>
          <w:rFonts w:ascii="Arial" w:hAnsi="Arial" w:cs="Arial"/>
          <w:i/>
          <w:color w:val="000000"/>
          <w:sz w:val="20"/>
          <w:szCs w:val="20"/>
          <w:lang w:val="en-US"/>
        </w:rPr>
        <w:t>T</w:t>
      </w:r>
      <w:r w:rsidR="008F7578" w:rsidRPr="003501FE">
        <w:rPr>
          <w:rFonts w:ascii="Arial" w:hAnsi="Arial" w:cs="Arial"/>
          <w:i/>
          <w:color w:val="000000"/>
          <w:sz w:val="20"/>
          <w:szCs w:val="20"/>
          <w:lang w:val="en-US"/>
        </w:rPr>
        <w:t>he</w:t>
      </w:r>
      <w:r w:rsidR="00D722E2" w:rsidRPr="003501FE">
        <w:rPr>
          <w:rFonts w:ascii="Arial" w:hAnsi="Arial" w:cs="Arial"/>
          <w:i/>
          <w:color w:val="000000"/>
          <w:sz w:val="20"/>
          <w:szCs w:val="20"/>
          <w:lang w:val="en-US"/>
        </w:rPr>
        <w:t xml:space="preserve"> opening </w:t>
      </w:r>
      <w:proofErr w:type="spellStart"/>
      <w:r w:rsidR="00A76632" w:rsidRPr="003501FE">
        <w:rPr>
          <w:rFonts w:ascii="Arial" w:hAnsi="Arial" w:cs="Arial"/>
          <w:i/>
          <w:color w:val="000000"/>
          <w:sz w:val="20"/>
          <w:szCs w:val="20"/>
          <w:lang w:val="en-US"/>
        </w:rPr>
        <w:t>HBS</w:t>
      </w:r>
      <w:proofErr w:type="spellEnd"/>
      <w:r w:rsidR="00A76632" w:rsidRPr="003501FE">
        <w:rPr>
          <w:rFonts w:ascii="Arial" w:hAnsi="Arial" w:cs="Arial"/>
          <w:i/>
          <w:color w:val="000000"/>
          <w:sz w:val="20"/>
          <w:szCs w:val="20"/>
          <w:lang w:val="en-US"/>
        </w:rPr>
        <w:t xml:space="preserve"> </w:t>
      </w:r>
      <w:r w:rsidR="00D722E2" w:rsidRPr="003501FE">
        <w:rPr>
          <w:rFonts w:ascii="Arial" w:hAnsi="Arial" w:cs="Arial"/>
          <w:i/>
          <w:color w:val="000000"/>
          <w:sz w:val="20"/>
          <w:szCs w:val="20"/>
          <w:lang w:val="en-US"/>
        </w:rPr>
        <w:t>interview</w:t>
      </w:r>
      <w:r w:rsidR="008F7578" w:rsidRPr="003501FE">
        <w:rPr>
          <w:rFonts w:ascii="Arial" w:hAnsi="Arial" w:cs="Arial"/>
          <w:i/>
          <w:color w:val="000000"/>
          <w:sz w:val="20"/>
          <w:szCs w:val="20"/>
          <w:lang w:val="en-US"/>
        </w:rPr>
        <w:t xml:space="preserve"> </w:t>
      </w:r>
      <w:proofErr w:type="gramStart"/>
      <w:r w:rsidR="00A76632" w:rsidRPr="003501FE">
        <w:rPr>
          <w:rFonts w:ascii="Arial" w:hAnsi="Arial" w:cs="Arial"/>
          <w:i/>
          <w:color w:val="000000"/>
          <w:sz w:val="20"/>
          <w:szCs w:val="20"/>
          <w:lang w:val="en-US"/>
        </w:rPr>
        <w:t xml:space="preserve">was </w:t>
      </w:r>
      <w:r w:rsidR="00F9581B" w:rsidRPr="003501FE">
        <w:rPr>
          <w:rFonts w:ascii="Arial" w:hAnsi="Arial" w:cs="Arial"/>
          <w:i/>
          <w:color w:val="000000"/>
          <w:sz w:val="20"/>
          <w:szCs w:val="20"/>
          <w:lang w:val="en-US"/>
        </w:rPr>
        <w:t>conducted</w:t>
      </w:r>
      <w:proofErr w:type="gramEnd"/>
      <w:r w:rsidR="00F9581B" w:rsidRPr="003501FE">
        <w:rPr>
          <w:rFonts w:ascii="Arial" w:hAnsi="Arial" w:cs="Arial"/>
          <w:i/>
          <w:color w:val="000000"/>
          <w:sz w:val="20"/>
          <w:szCs w:val="20"/>
          <w:lang w:val="en-US"/>
        </w:rPr>
        <w:t xml:space="preserve"> as a face-to-face interview between the interviewer and the respondent, using either an</w:t>
      </w:r>
      <w:r w:rsidR="00BB472B" w:rsidRPr="003501FE">
        <w:rPr>
          <w:rFonts w:ascii="Arial" w:hAnsi="Arial" w:cs="Arial"/>
          <w:i/>
          <w:color w:val="000000"/>
          <w:sz w:val="20"/>
          <w:szCs w:val="20"/>
          <w:lang w:val="en-US"/>
        </w:rPr>
        <w:t xml:space="preserve"> electronic questionnaire in a tablet</w:t>
      </w:r>
      <w:r w:rsidR="00F9581B" w:rsidRPr="003501FE">
        <w:rPr>
          <w:rFonts w:ascii="Arial" w:hAnsi="Arial" w:cs="Arial"/>
          <w:i/>
          <w:color w:val="000000"/>
          <w:sz w:val="20"/>
          <w:szCs w:val="20"/>
          <w:lang w:val="en-US"/>
        </w:rPr>
        <w:t xml:space="preserve">, or a paper questionnaire, which was then </w:t>
      </w:r>
      <w:r w:rsidR="00BB472B" w:rsidRPr="003501FE">
        <w:rPr>
          <w:rFonts w:ascii="Arial" w:hAnsi="Arial" w:cs="Arial"/>
          <w:i/>
          <w:color w:val="000000"/>
          <w:sz w:val="20"/>
          <w:szCs w:val="20"/>
          <w:lang w:val="en-US"/>
        </w:rPr>
        <w:t>typed</w:t>
      </w:r>
      <w:r w:rsidR="00F9581B" w:rsidRPr="003501FE">
        <w:rPr>
          <w:rFonts w:ascii="Arial" w:hAnsi="Arial" w:cs="Arial"/>
          <w:i/>
          <w:color w:val="000000"/>
          <w:sz w:val="20"/>
          <w:szCs w:val="20"/>
          <w:lang w:val="en-US"/>
        </w:rPr>
        <w:t xml:space="preserve"> into an electronic version.</w:t>
      </w:r>
      <w:r w:rsidR="00F11134" w:rsidRPr="003501FE">
        <w:rPr>
          <w:rFonts w:ascii="Arial" w:hAnsi="Arial" w:cs="Arial"/>
          <w:i/>
          <w:color w:val="000000"/>
          <w:sz w:val="20"/>
          <w:szCs w:val="20"/>
          <w:lang w:val="en-US"/>
        </w:rPr>
        <w:t xml:space="preserve"> </w:t>
      </w:r>
      <w:r w:rsidR="0094269C" w:rsidRPr="003501FE">
        <w:rPr>
          <w:rFonts w:ascii="Arial" w:hAnsi="Arial" w:cs="Arial"/>
          <w:i/>
          <w:color w:val="000000"/>
          <w:sz w:val="20"/>
          <w:szCs w:val="20"/>
          <w:lang w:val="en-US"/>
        </w:rPr>
        <w:t>Specialized staff then</w:t>
      </w:r>
      <w:r w:rsidR="00512486" w:rsidRPr="003501FE">
        <w:rPr>
          <w:rFonts w:ascii="Arial" w:hAnsi="Arial" w:cs="Arial"/>
          <w:i/>
          <w:color w:val="000000"/>
          <w:sz w:val="20"/>
          <w:szCs w:val="20"/>
          <w:lang w:val="en-US"/>
        </w:rPr>
        <w:t xml:space="preserve"> went on to process</w:t>
      </w:r>
      <w:r w:rsidR="0094269C" w:rsidRPr="003501FE">
        <w:rPr>
          <w:rFonts w:ascii="Arial" w:hAnsi="Arial" w:cs="Arial"/>
          <w:i/>
          <w:color w:val="000000"/>
          <w:sz w:val="20"/>
          <w:szCs w:val="20"/>
          <w:lang w:val="en-US"/>
        </w:rPr>
        <w:t xml:space="preserve"> </w:t>
      </w:r>
      <w:r w:rsidR="00512486" w:rsidRPr="003501FE">
        <w:rPr>
          <w:rFonts w:ascii="Arial" w:hAnsi="Arial" w:cs="Arial"/>
          <w:i/>
          <w:color w:val="000000"/>
          <w:sz w:val="20"/>
          <w:szCs w:val="20"/>
          <w:lang w:val="en-US"/>
        </w:rPr>
        <w:t xml:space="preserve">the household’s expenditures. They </w:t>
      </w:r>
      <w:r w:rsidR="0094269C" w:rsidRPr="003501FE">
        <w:rPr>
          <w:rFonts w:ascii="Arial" w:hAnsi="Arial" w:cs="Arial"/>
          <w:i/>
          <w:color w:val="000000"/>
          <w:sz w:val="20"/>
          <w:szCs w:val="20"/>
          <w:lang w:val="en-US"/>
        </w:rPr>
        <w:t>entered individual</w:t>
      </w:r>
      <w:r w:rsidR="00F11134" w:rsidRPr="003501FE">
        <w:rPr>
          <w:rFonts w:ascii="Arial" w:hAnsi="Arial" w:cs="Arial"/>
          <w:i/>
          <w:color w:val="000000"/>
          <w:sz w:val="20"/>
          <w:szCs w:val="20"/>
          <w:lang w:val="en-US"/>
        </w:rPr>
        <w:t xml:space="preserve"> items</w:t>
      </w:r>
      <w:r w:rsidR="00400CB5" w:rsidRPr="003501FE">
        <w:rPr>
          <w:rFonts w:ascii="Arial" w:hAnsi="Arial" w:cs="Arial"/>
          <w:i/>
          <w:color w:val="000000"/>
          <w:sz w:val="20"/>
          <w:szCs w:val="20"/>
          <w:lang w:val="en-US"/>
        </w:rPr>
        <w:t xml:space="preserve"> from receipts and Diaries</w:t>
      </w:r>
      <w:r w:rsidR="00F11134" w:rsidRPr="003501FE">
        <w:rPr>
          <w:rFonts w:ascii="Arial" w:hAnsi="Arial" w:cs="Arial"/>
          <w:i/>
          <w:color w:val="000000"/>
          <w:sz w:val="20"/>
          <w:szCs w:val="20"/>
          <w:lang w:val="en-US"/>
        </w:rPr>
        <w:t xml:space="preserve"> into </w:t>
      </w:r>
      <w:r w:rsidR="0094269C" w:rsidRPr="003501FE">
        <w:rPr>
          <w:rFonts w:ascii="Arial" w:hAnsi="Arial" w:cs="Arial"/>
          <w:i/>
          <w:color w:val="000000"/>
          <w:sz w:val="20"/>
          <w:szCs w:val="20"/>
          <w:lang w:val="en-US"/>
        </w:rPr>
        <w:t xml:space="preserve">the </w:t>
      </w:r>
      <w:r w:rsidR="00F11134" w:rsidRPr="003501FE">
        <w:rPr>
          <w:rFonts w:ascii="Arial" w:hAnsi="Arial" w:cs="Arial"/>
          <w:i/>
          <w:color w:val="000000"/>
          <w:sz w:val="20"/>
          <w:szCs w:val="20"/>
          <w:lang w:val="en-US"/>
        </w:rPr>
        <w:t>com</w:t>
      </w:r>
      <w:r w:rsidR="005305E5" w:rsidRPr="003501FE">
        <w:rPr>
          <w:rFonts w:ascii="Arial" w:hAnsi="Arial" w:cs="Arial"/>
          <w:i/>
          <w:color w:val="000000"/>
          <w:sz w:val="20"/>
          <w:szCs w:val="20"/>
          <w:lang w:val="en-US"/>
        </w:rPr>
        <w:t xml:space="preserve">puter and </w:t>
      </w:r>
      <w:r w:rsidR="0094269C" w:rsidRPr="003501FE">
        <w:rPr>
          <w:rFonts w:ascii="Arial" w:hAnsi="Arial" w:cs="Arial"/>
          <w:i/>
          <w:color w:val="000000"/>
          <w:sz w:val="20"/>
          <w:szCs w:val="20"/>
          <w:lang w:val="en-US"/>
        </w:rPr>
        <w:t xml:space="preserve">every item of expenditure obtained </w:t>
      </w:r>
      <w:r w:rsidR="00382E65" w:rsidRPr="003501FE">
        <w:rPr>
          <w:rFonts w:ascii="Arial" w:hAnsi="Arial" w:cs="Arial"/>
          <w:i/>
          <w:color w:val="000000"/>
          <w:sz w:val="20"/>
          <w:szCs w:val="20"/>
          <w:lang w:val="en-US"/>
        </w:rPr>
        <w:t xml:space="preserve">its </w:t>
      </w:r>
      <w:proofErr w:type="spellStart"/>
      <w:r w:rsidR="00382E65" w:rsidRPr="003501FE">
        <w:rPr>
          <w:rFonts w:ascii="Arial" w:hAnsi="Arial" w:cs="Arial"/>
          <w:i/>
          <w:color w:val="000000"/>
          <w:sz w:val="20"/>
          <w:szCs w:val="20"/>
          <w:lang w:val="en-US"/>
        </w:rPr>
        <w:t>COICOP</w:t>
      </w:r>
      <w:proofErr w:type="spellEnd"/>
      <w:r w:rsidR="00382E65" w:rsidRPr="003501FE">
        <w:rPr>
          <w:rFonts w:ascii="Arial" w:hAnsi="Arial" w:cs="Arial"/>
          <w:i/>
          <w:color w:val="000000"/>
          <w:sz w:val="20"/>
          <w:szCs w:val="20"/>
          <w:lang w:val="en-US"/>
        </w:rPr>
        <w:t xml:space="preserve"> code</w:t>
      </w:r>
      <w:r w:rsidR="005305E5" w:rsidRPr="003501FE">
        <w:rPr>
          <w:rFonts w:ascii="Arial" w:hAnsi="Arial" w:cs="Arial"/>
          <w:i/>
          <w:color w:val="000000"/>
          <w:sz w:val="20"/>
          <w:szCs w:val="20"/>
          <w:lang w:val="en-US"/>
        </w:rPr>
        <w:t xml:space="preserve">. </w:t>
      </w:r>
      <w:r w:rsidR="00382E65" w:rsidRPr="003501FE">
        <w:rPr>
          <w:rFonts w:ascii="Arial" w:hAnsi="Arial" w:cs="Arial"/>
          <w:i/>
          <w:color w:val="000000"/>
          <w:sz w:val="20"/>
          <w:szCs w:val="20"/>
        </w:rPr>
        <w:t>Regional d</w:t>
      </w:r>
      <w:r w:rsidR="002902FC" w:rsidRPr="003501FE">
        <w:rPr>
          <w:rFonts w:ascii="Arial" w:hAnsi="Arial" w:cs="Arial"/>
          <w:i/>
          <w:color w:val="000000"/>
          <w:sz w:val="20"/>
          <w:szCs w:val="20"/>
        </w:rPr>
        <w:t xml:space="preserve">ata from </w:t>
      </w:r>
      <w:r w:rsidR="002902FC" w:rsidRPr="003501FE">
        <w:rPr>
          <w:rFonts w:ascii="Arial" w:hAnsi="Arial" w:cs="Arial"/>
          <w:i/>
          <w:color w:val="000000"/>
          <w:sz w:val="20"/>
          <w:szCs w:val="20"/>
          <w:lang w:val="en-US"/>
        </w:rPr>
        <w:t>questionnaires</w:t>
      </w:r>
      <w:r w:rsidR="002902FC" w:rsidRPr="003501FE">
        <w:rPr>
          <w:rFonts w:ascii="Arial" w:hAnsi="Arial" w:cs="Arial"/>
          <w:i/>
          <w:color w:val="000000"/>
          <w:sz w:val="20"/>
          <w:szCs w:val="20"/>
        </w:rPr>
        <w:t xml:space="preserve"> </w:t>
      </w:r>
      <w:r w:rsidR="0039171A" w:rsidRPr="003501FE">
        <w:rPr>
          <w:rFonts w:ascii="Arial" w:hAnsi="Arial" w:cs="Arial"/>
          <w:i/>
          <w:color w:val="000000"/>
          <w:sz w:val="20"/>
          <w:szCs w:val="20"/>
        </w:rPr>
        <w:t xml:space="preserve">and Diaries </w:t>
      </w:r>
      <w:proofErr w:type="gramStart"/>
      <w:r w:rsidR="00382E65" w:rsidRPr="003501FE">
        <w:rPr>
          <w:rFonts w:ascii="Arial" w:hAnsi="Arial" w:cs="Arial"/>
          <w:i/>
          <w:color w:val="000000"/>
          <w:sz w:val="20"/>
          <w:szCs w:val="20"/>
        </w:rPr>
        <w:t xml:space="preserve">were </w:t>
      </w:r>
      <w:r w:rsidR="006942BA" w:rsidRPr="003501FE">
        <w:rPr>
          <w:rFonts w:ascii="Arial" w:hAnsi="Arial" w:cs="Arial"/>
          <w:i/>
          <w:color w:val="000000"/>
          <w:sz w:val="20"/>
          <w:szCs w:val="20"/>
        </w:rPr>
        <w:t>merg</w:t>
      </w:r>
      <w:r w:rsidR="00382E65" w:rsidRPr="003501FE">
        <w:rPr>
          <w:rFonts w:ascii="Arial" w:hAnsi="Arial" w:cs="Arial"/>
          <w:i/>
          <w:color w:val="000000"/>
          <w:sz w:val="20"/>
          <w:szCs w:val="20"/>
        </w:rPr>
        <w:t>ed</w:t>
      </w:r>
      <w:proofErr w:type="gramEnd"/>
      <w:r w:rsidR="0039171A" w:rsidRPr="003501FE">
        <w:rPr>
          <w:rFonts w:ascii="Arial" w:hAnsi="Arial" w:cs="Arial"/>
          <w:i/>
          <w:color w:val="000000"/>
          <w:sz w:val="20"/>
          <w:szCs w:val="20"/>
        </w:rPr>
        <w:t xml:space="preserve"> at the headquarters, </w:t>
      </w:r>
      <w:r w:rsidR="006942BA" w:rsidRPr="003501FE">
        <w:rPr>
          <w:rFonts w:ascii="Arial" w:hAnsi="Arial" w:cs="Arial"/>
          <w:i/>
          <w:color w:val="000000"/>
          <w:sz w:val="20"/>
          <w:szCs w:val="20"/>
        </w:rPr>
        <w:t xml:space="preserve">and </w:t>
      </w:r>
      <w:r w:rsidR="0039171A" w:rsidRPr="003501FE">
        <w:rPr>
          <w:rFonts w:ascii="Arial" w:hAnsi="Arial" w:cs="Arial"/>
          <w:i/>
          <w:color w:val="000000"/>
          <w:sz w:val="20"/>
          <w:szCs w:val="20"/>
        </w:rPr>
        <w:t xml:space="preserve">final checks and calculations </w:t>
      </w:r>
      <w:r w:rsidR="00382E65" w:rsidRPr="003501FE">
        <w:rPr>
          <w:rFonts w:ascii="Arial" w:hAnsi="Arial" w:cs="Arial"/>
          <w:i/>
          <w:color w:val="000000"/>
          <w:sz w:val="20"/>
          <w:szCs w:val="20"/>
        </w:rPr>
        <w:t>followed</w:t>
      </w:r>
      <w:r w:rsidR="0039171A" w:rsidRPr="003501FE">
        <w:rPr>
          <w:rFonts w:ascii="Arial" w:hAnsi="Arial" w:cs="Arial"/>
          <w:i/>
          <w:color w:val="000000"/>
          <w:sz w:val="20"/>
          <w:szCs w:val="20"/>
        </w:rPr>
        <w:t>.</w:t>
      </w:r>
    </w:p>
    <w:p w14:paraId="478B9A40" w14:textId="77777777" w:rsidR="00896452" w:rsidRPr="00000EDA" w:rsidRDefault="00896452" w:rsidP="00896452">
      <w:pPr>
        <w:pStyle w:val="Zkladntext"/>
        <w:rPr>
          <w:rFonts w:ascii="Arial" w:hAnsi="Arial" w:cs="Arial"/>
          <w:b/>
          <w:bCs/>
          <w:sz w:val="20"/>
          <w:szCs w:val="20"/>
        </w:rPr>
      </w:pPr>
    </w:p>
    <w:p w14:paraId="0154619D" w14:textId="77777777" w:rsidR="00F269F7" w:rsidRDefault="00F269F7">
      <w:pPr>
        <w:rPr>
          <w:rFonts w:ascii="Arial" w:hAnsi="Arial" w:cs="Arial"/>
          <w:b/>
          <w:bCs/>
          <w:i/>
        </w:rPr>
      </w:pPr>
      <w:r>
        <w:rPr>
          <w:rFonts w:ascii="Arial" w:hAnsi="Arial" w:cs="Arial"/>
          <w:b/>
          <w:bCs/>
          <w:i/>
        </w:rPr>
        <w:br w:type="page"/>
      </w:r>
    </w:p>
    <w:p w14:paraId="51A9626A" w14:textId="67E2C2B4" w:rsidR="00B74A71" w:rsidRPr="00000EDA" w:rsidRDefault="00B74A71" w:rsidP="00174541">
      <w:pPr>
        <w:spacing w:after="240"/>
        <w:jc w:val="both"/>
        <w:rPr>
          <w:rFonts w:ascii="Arial" w:hAnsi="Arial" w:cs="Arial"/>
          <w:i/>
        </w:rPr>
      </w:pPr>
      <w:r w:rsidRPr="00000EDA">
        <w:rPr>
          <w:rFonts w:ascii="Arial" w:hAnsi="Arial" w:cs="Arial"/>
          <w:b/>
          <w:bCs/>
          <w:i/>
        </w:rPr>
        <w:lastRenderedPageBreak/>
        <w:t xml:space="preserve">1.3 </w:t>
      </w:r>
      <w:r w:rsidR="00350B16" w:rsidRPr="00000EDA">
        <w:rPr>
          <w:rFonts w:ascii="Arial" w:hAnsi="Arial" w:cs="Arial"/>
          <w:b/>
          <w:bCs/>
          <w:i/>
        </w:rPr>
        <w:t xml:space="preserve">Number of households in </w:t>
      </w:r>
      <w:proofErr w:type="spellStart"/>
      <w:r w:rsidR="00350B16" w:rsidRPr="00000EDA">
        <w:rPr>
          <w:rFonts w:ascii="Arial" w:hAnsi="Arial" w:cs="Arial"/>
          <w:b/>
          <w:bCs/>
          <w:i/>
        </w:rPr>
        <w:t>HBS</w:t>
      </w:r>
      <w:proofErr w:type="spellEnd"/>
    </w:p>
    <w:p w14:paraId="02AA9BEC" w14:textId="4BD2B48C" w:rsidR="003435A9" w:rsidRDefault="003F6948" w:rsidP="00350B16">
      <w:pPr>
        <w:pStyle w:val="Zkladntext"/>
        <w:spacing w:after="120"/>
        <w:ind w:firstLine="709"/>
        <w:rPr>
          <w:rFonts w:ascii="Arial" w:hAnsi="Arial" w:cs="Arial"/>
          <w:i/>
          <w:sz w:val="20"/>
          <w:szCs w:val="20"/>
        </w:rPr>
      </w:pPr>
      <w:r w:rsidRPr="00F269F7">
        <w:rPr>
          <w:rFonts w:ascii="Arial" w:hAnsi="Arial" w:cs="Arial"/>
          <w:i/>
          <w:sz w:val="20"/>
          <w:szCs w:val="20"/>
        </w:rPr>
        <w:t>To obtain a more representative numbers for all subsequent breakdowns, the p</w:t>
      </w:r>
      <w:r w:rsidR="003435A9" w:rsidRPr="00F269F7">
        <w:rPr>
          <w:rFonts w:ascii="Arial" w:hAnsi="Arial" w:cs="Arial"/>
          <w:i/>
          <w:sz w:val="20"/>
          <w:szCs w:val="20"/>
        </w:rPr>
        <w:t xml:space="preserve">ublished </w:t>
      </w:r>
      <w:r w:rsidR="00382E65" w:rsidRPr="00F269F7">
        <w:rPr>
          <w:rFonts w:ascii="Arial" w:hAnsi="Arial" w:cs="Arial"/>
          <w:i/>
          <w:sz w:val="20"/>
          <w:szCs w:val="20"/>
        </w:rPr>
        <w:t xml:space="preserve">results </w:t>
      </w:r>
      <w:r w:rsidR="003435A9" w:rsidRPr="00F269F7">
        <w:rPr>
          <w:rFonts w:ascii="Arial" w:hAnsi="Arial" w:cs="Arial"/>
          <w:i/>
          <w:sz w:val="20"/>
          <w:szCs w:val="20"/>
        </w:rPr>
        <w:t xml:space="preserve">are calculated </w:t>
      </w:r>
      <w:r w:rsidR="008E3594" w:rsidRPr="00F269F7">
        <w:rPr>
          <w:rFonts w:ascii="Arial" w:hAnsi="Arial" w:cs="Arial"/>
          <w:i/>
          <w:sz w:val="20"/>
          <w:szCs w:val="20"/>
        </w:rPr>
        <w:t>based on</w:t>
      </w:r>
      <w:r w:rsidR="003435A9" w:rsidRPr="00F269F7">
        <w:rPr>
          <w:rFonts w:ascii="Arial" w:hAnsi="Arial" w:cs="Arial"/>
          <w:i/>
          <w:sz w:val="20"/>
          <w:szCs w:val="20"/>
        </w:rPr>
        <w:t xml:space="preserve"> the total number of </w:t>
      </w:r>
      <w:r w:rsidR="00EA11D8" w:rsidRPr="00EA11D8">
        <w:rPr>
          <w:rFonts w:ascii="Arial" w:hAnsi="Arial" w:cs="Arial"/>
          <w:i/>
          <w:sz w:val="20"/>
          <w:szCs w:val="20"/>
        </w:rPr>
        <w:t>3</w:t>
      </w:r>
      <w:r w:rsidR="00EA11D8">
        <w:rPr>
          <w:rFonts w:ascii="Arial" w:hAnsi="Arial" w:cs="Arial"/>
          <w:i/>
          <w:sz w:val="20"/>
          <w:szCs w:val="20"/>
        </w:rPr>
        <w:t> </w:t>
      </w:r>
      <w:r w:rsidR="00EA11D8" w:rsidRPr="00EA11D8">
        <w:rPr>
          <w:rFonts w:ascii="Arial" w:hAnsi="Arial" w:cs="Arial"/>
          <w:i/>
          <w:sz w:val="20"/>
          <w:szCs w:val="20"/>
        </w:rPr>
        <w:t>2</w:t>
      </w:r>
      <w:r w:rsidR="00054362">
        <w:rPr>
          <w:rFonts w:ascii="Arial" w:hAnsi="Arial" w:cs="Arial"/>
          <w:i/>
          <w:sz w:val="20"/>
          <w:szCs w:val="20"/>
        </w:rPr>
        <w:t>3</w:t>
      </w:r>
      <w:bookmarkStart w:id="0" w:name="_GoBack"/>
      <w:bookmarkEnd w:id="0"/>
      <w:r w:rsidR="00EA11D8" w:rsidRPr="00EA11D8">
        <w:rPr>
          <w:rFonts w:ascii="Arial" w:hAnsi="Arial" w:cs="Arial"/>
          <w:i/>
          <w:sz w:val="20"/>
          <w:szCs w:val="20"/>
        </w:rPr>
        <w:t>3</w:t>
      </w:r>
      <w:r w:rsidR="00EA11D8">
        <w:rPr>
          <w:rFonts w:ascii="Arial" w:hAnsi="Arial" w:cs="Arial"/>
          <w:i/>
          <w:sz w:val="20"/>
          <w:szCs w:val="20"/>
        </w:rPr>
        <w:t xml:space="preserve"> </w:t>
      </w:r>
      <w:r w:rsidR="003435A9" w:rsidRPr="00F269F7">
        <w:rPr>
          <w:rFonts w:ascii="Arial" w:hAnsi="Arial" w:cs="Arial"/>
          <w:i/>
          <w:sz w:val="20"/>
          <w:szCs w:val="20"/>
        </w:rPr>
        <w:t>households which were successfully interviewed in 20</w:t>
      </w:r>
      <w:r w:rsidR="00A712B0" w:rsidRPr="00F269F7">
        <w:rPr>
          <w:rFonts w:ascii="Arial" w:hAnsi="Arial" w:cs="Arial"/>
          <w:i/>
          <w:sz w:val="20"/>
          <w:szCs w:val="20"/>
        </w:rPr>
        <w:t>2</w:t>
      </w:r>
      <w:r w:rsidR="00FA3146">
        <w:rPr>
          <w:rFonts w:ascii="Arial" w:hAnsi="Arial" w:cs="Arial"/>
          <w:i/>
          <w:sz w:val="20"/>
          <w:szCs w:val="20"/>
        </w:rPr>
        <w:t>3</w:t>
      </w:r>
      <w:r w:rsidR="003435A9" w:rsidRPr="00F269F7">
        <w:rPr>
          <w:rFonts w:ascii="Arial" w:hAnsi="Arial" w:cs="Arial"/>
          <w:i/>
          <w:sz w:val="20"/>
          <w:szCs w:val="20"/>
        </w:rPr>
        <w:t xml:space="preserve"> and 20</w:t>
      </w:r>
      <w:r w:rsidR="00681D6F" w:rsidRPr="00F269F7">
        <w:rPr>
          <w:rFonts w:ascii="Arial" w:hAnsi="Arial" w:cs="Arial"/>
          <w:i/>
          <w:sz w:val="20"/>
          <w:szCs w:val="20"/>
        </w:rPr>
        <w:t>2</w:t>
      </w:r>
      <w:r w:rsidR="00FA3146">
        <w:rPr>
          <w:rFonts w:ascii="Arial" w:hAnsi="Arial" w:cs="Arial"/>
          <w:i/>
          <w:sz w:val="20"/>
          <w:szCs w:val="20"/>
        </w:rPr>
        <w:t>4</w:t>
      </w:r>
      <w:r w:rsidR="003435A9" w:rsidRPr="00F269F7">
        <w:rPr>
          <w:rFonts w:ascii="Arial" w:hAnsi="Arial" w:cs="Arial"/>
          <w:i/>
          <w:sz w:val="20"/>
          <w:szCs w:val="20"/>
        </w:rPr>
        <w:t>.</w:t>
      </w:r>
      <w:r w:rsidR="00364911" w:rsidRPr="00F269F7">
        <w:rPr>
          <w:rFonts w:ascii="Arial" w:hAnsi="Arial" w:cs="Arial"/>
          <w:i/>
          <w:sz w:val="20"/>
          <w:szCs w:val="20"/>
        </w:rPr>
        <w:t xml:space="preserve"> </w:t>
      </w:r>
      <w:r w:rsidR="008E3594" w:rsidRPr="00F269F7">
        <w:rPr>
          <w:rFonts w:ascii="Arial" w:hAnsi="Arial" w:cs="Arial"/>
          <w:i/>
          <w:sz w:val="20"/>
          <w:szCs w:val="20"/>
        </w:rPr>
        <w:t xml:space="preserve">The response </w:t>
      </w:r>
      <w:proofErr w:type="gramStart"/>
      <w:r w:rsidR="006942BA" w:rsidRPr="00F269F7">
        <w:rPr>
          <w:rFonts w:ascii="Arial" w:hAnsi="Arial" w:cs="Arial"/>
          <w:i/>
          <w:sz w:val="20"/>
          <w:szCs w:val="20"/>
        </w:rPr>
        <w:t>can be found</w:t>
      </w:r>
      <w:proofErr w:type="gramEnd"/>
      <w:r w:rsidR="00364911" w:rsidRPr="00F269F7">
        <w:rPr>
          <w:rFonts w:ascii="Arial" w:hAnsi="Arial" w:cs="Arial"/>
          <w:i/>
          <w:sz w:val="20"/>
          <w:szCs w:val="20"/>
        </w:rPr>
        <w:t xml:space="preserve"> in </w:t>
      </w:r>
      <w:r w:rsidR="008E3594" w:rsidRPr="00F269F7">
        <w:rPr>
          <w:rFonts w:ascii="Arial" w:hAnsi="Arial" w:cs="Arial"/>
          <w:i/>
          <w:sz w:val="20"/>
          <w:szCs w:val="20"/>
        </w:rPr>
        <w:t xml:space="preserve">the following </w:t>
      </w:r>
      <w:r w:rsidR="00364911" w:rsidRPr="00F269F7">
        <w:rPr>
          <w:rFonts w:ascii="Arial" w:hAnsi="Arial" w:cs="Arial"/>
          <w:i/>
          <w:sz w:val="20"/>
          <w:szCs w:val="20"/>
        </w:rPr>
        <w:t>table:</w:t>
      </w:r>
    </w:p>
    <w:tbl>
      <w:tblPr>
        <w:tblW w:w="9581"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113" w:type="dxa"/>
        </w:tblCellMar>
        <w:tblLook w:val="0000" w:firstRow="0" w:lastRow="0" w:firstColumn="0" w:lastColumn="0" w:noHBand="0" w:noVBand="0"/>
      </w:tblPr>
      <w:tblGrid>
        <w:gridCol w:w="3119"/>
        <w:gridCol w:w="1077"/>
        <w:gridCol w:w="1077"/>
        <w:gridCol w:w="1077"/>
        <w:gridCol w:w="1077"/>
        <w:gridCol w:w="1077"/>
        <w:gridCol w:w="1077"/>
      </w:tblGrid>
      <w:tr w:rsidR="00415D32" w:rsidRPr="00000EDA" w14:paraId="448B1C66" w14:textId="77777777" w:rsidTr="00A712B0">
        <w:trPr>
          <w:cantSplit/>
          <w:trHeight w:val="283"/>
        </w:trPr>
        <w:tc>
          <w:tcPr>
            <w:tcW w:w="3119" w:type="dxa"/>
            <w:vMerge w:val="restart"/>
            <w:shd w:val="clear" w:color="auto" w:fill="D9D9D9"/>
            <w:vAlign w:val="center"/>
          </w:tcPr>
          <w:p w14:paraId="662C5139" w14:textId="77777777" w:rsidR="00415D32" w:rsidRPr="00000EDA" w:rsidRDefault="00415D32" w:rsidP="0044727A">
            <w:pPr>
              <w:pStyle w:val="Zkladntext"/>
              <w:rPr>
                <w:rFonts w:ascii="Arial" w:hAnsi="Arial" w:cs="Arial"/>
                <w:i/>
                <w:sz w:val="20"/>
                <w:szCs w:val="20"/>
              </w:rPr>
            </w:pPr>
          </w:p>
        </w:tc>
        <w:tc>
          <w:tcPr>
            <w:tcW w:w="3231" w:type="dxa"/>
            <w:gridSpan w:val="3"/>
            <w:tcBorders>
              <w:right w:val="single" w:sz="12" w:space="0" w:color="auto"/>
            </w:tcBorders>
            <w:shd w:val="clear" w:color="auto" w:fill="D9D9D9"/>
            <w:vAlign w:val="center"/>
          </w:tcPr>
          <w:p w14:paraId="4D34E328" w14:textId="4283A7A0" w:rsidR="00415D32" w:rsidRPr="00000EDA" w:rsidRDefault="00415D32" w:rsidP="006E523B">
            <w:pPr>
              <w:pStyle w:val="Zkladntext"/>
              <w:jc w:val="center"/>
              <w:rPr>
                <w:rFonts w:ascii="Arial" w:hAnsi="Arial" w:cs="Arial"/>
                <w:b/>
                <w:bCs/>
                <w:i/>
                <w:sz w:val="16"/>
                <w:szCs w:val="16"/>
              </w:rPr>
            </w:pPr>
            <w:r w:rsidRPr="00000EDA">
              <w:rPr>
                <w:rFonts w:ascii="Arial" w:hAnsi="Arial" w:cs="Arial"/>
                <w:b/>
                <w:bCs/>
                <w:i/>
                <w:sz w:val="16"/>
                <w:szCs w:val="16"/>
              </w:rPr>
              <w:t>20</w:t>
            </w:r>
            <w:r w:rsidR="00A712B0">
              <w:rPr>
                <w:rFonts w:ascii="Arial" w:hAnsi="Arial" w:cs="Arial"/>
                <w:b/>
                <w:bCs/>
                <w:i/>
                <w:sz w:val="16"/>
                <w:szCs w:val="16"/>
              </w:rPr>
              <w:t>2</w:t>
            </w:r>
            <w:r w:rsidR="006E523B">
              <w:rPr>
                <w:rFonts w:ascii="Arial" w:hAnsi="Arial" w:cs="Arial"/>
                <w:b/>
                <w:bCs/>
                <w:i/>
                <w:sz w:val="16"/>
                <w:szCs w:val="16"/>
              </w:rPr>
              <w:t>3</w:t>
            </w:r>
          </w:p>
        </w:tc>
        <w:tc>
          <w:tcPr>
            <w:tcW w:w="3231" w:type="dxa"/>
            <w:gridSpan w:val="3"/>
            <w:shd w:val="clear" w:color="auto" w:fill="D9D9D9"/>
            <w:vAlign w:val="center"/>
          </w:tcPr>
          <w:p w14:paraId="00FB5226" w14:textId="75C6C1CB" w:rsidR="00415D32" w:rsidRPr="00000EDA" w:rsidRDefault="00415D32" w:rsidP="006E523B">
            <w:pPr>
              <w:pStyle w:val="Zkladntext"/>
              <w:jc w:val="center"/>
              <w:rPr>
                <w:rFonts w:ascii="Arial" w:hAnsi="Arial" w:cs="Arial"/>
                <w:b/>
                <w:bCs/>
                <w:i/>
                <w:sz w:val="16"/>
                <w:szCs w:val="16"/>
              </w:rPr>
            </w:pPr>
            <w:r w:rsidRPr="00000EDA">
              <w:rPr>
                <w:rFonts w:ascii="Arial" w:hAnsi="Arial" w:cs="Arial"/>
                <w:b/>
                <w:bCs/>
                <w:i/>
                <w:sz w:val="16"/>
                <w:szCs w:val="16"/>
              </w:rPr>
              <w:t>20</w:t>
            </w:r>
            <w:r w:rsidR="00681D6F">
              <w:rPr>
                <w:rFonts w:ascii="Arial" w:hAnsi="Arial" w:cs="Arial"/>
                <w:b/>
                <w:bCs/>
                <w:i/>
                <w:sz w:val="16"/>
                <w:szCs w:val="16"/>
              </w:rPr>
              <w:t>2</w:t>
            </w:r>
            <w:r w:rsidR="006E523B">
              <w:rPr>
                <w:rFonts w:ascii="Arial" w:hAnsi="Arial" w:cs="Arial"/>
                <w:b/>
                <w:bCs/>
                <w:i/>
                <w:sz w:val="16"/>
                <w:szCs w:val="16"/>
              </w:rPr>
              <w:t>4</w:t>
            </w:r>
          </w:p>
        </w:tc>
      </w:tr>
      <w:tr w:rsidR="00415D32" w:rsidRPr="00000EDA" w14:paraId="3574E349" w14:textId="77777777" w:rsidTr="00A712B0">
        <w:trPr>
          <w:cantSplit/>
          <w:trHeight w:val="284"/>
        </w:trPr>
        <w:tc>
          <w:tcPr>
            <w:tcW w:w="3119" w:type="dxa"/>
            <w:vMerge/>
            <w:tcBorders>
              <w:bottom w:val="single" w:sz="12" w:space="0" w:color="auto"/>
            </w:tcBorders>
            <w:shd w:val="clear" w:color="auto" w:fill="D9D9D9"/>
            <w:vAlign w:val="bottom"/>
          </w:tcPr>
          <w:p w14:paraId="27CD4F6C" w14:textId="77777777" w:rsidR="00415D32" w:rsidRPr="00000EDA" w:rsidRDefault="00415D32" w:rsidP="00415D32">
            <w:pPr>
              <w:pStyle w:val="Zkladntext"/>
              <w:rPr>
                <w:rFonts w:ascii="Arial" w:hAnsi="Arial" w:cs="Arial"/>
                <w:i/>
                <w:sz w:val="20"/>
                <w:szCs w:val="20"/>
              </w:rPr>
            </w:pPr>
          </w:p>
        </w:tc>
        <w:tc>
          <w:tcPr>
            <w:tcW w:w="1077" w:type="dxa"/>
            <w:tcBorders>
              <w:bottom w:val="single" w:sz="12" w:space="0" w:color="auto"/>
            </w:tcBorders>
            <w:shd w:val="clear" w:color="auto" w:fill="D9D9D9"/>
            <w:vAlign w:val="center"/>
          </w:tcPr>
          <w:p w14:paraId="0A6CA36D" w14:textId="77777777" w:rsidR="00415D32" w:rsidRPr="00000EDA" w:rsidRDefault="00415D32" w:rsidP="00415D32">
            <w:pPr>
              <w:pStyle w:val="Zkladntext"/>
              <w:jc w:val="center"/>
              <w:rPr>
                <w:rFonts w:ascii="Arial" w:hAnsi="Arial" w:cs="Arial"/>
                <w:b/>
                <w:i/>
                <w:sz w:val="16"/>
                <w:szCs w:val="16"/>
              </w:rPr>
            </w:pPr>
            <w:r w:rsidRPr="00000EDA">
              <w:rPr>
                <w:rFonts w:ascii="Arial" w:hAnsi="Arial" w:cs="Arial"/>
                <w:b/>
                <w:i/>
                <w:sz w:val="16"/>
                <w:szCs w:val="16"/>
              </w:rPr>
              <w:t>Total</w:t>
            </w:r>
          </w:p>
        </w:tc>
        <w:tc>
          <w:tcPr>
            <w:tcW w:w="1077" w:type="dxa"/>
            <w:tcBorders>
              <w:top w:val="single" w:sz="4" w:space="0" w:color="auto"/>
              <w:bottom w:val="single" w:sz="12" w:space="0" w:color="auto"/>
            </w:tcBorders>
            <w:shd w:val="clear" w:color="auto" w:fill="D9D9D9"/>
            <w:vAlign w:val="center"/>
          </w:tcPr>
          <w:p w14:paraId="04C64120" w14:textId="77777777" w:rsidR="00415D32" w:rsidRPr="00000EDA" w:rsidRDefault="00415D32" w:rsidP="00AA48F7">
            <w:pPr>
              <w:pStyle w:val="Zkladntext"/>
              <w:jc w:val="center"/>
              <w:rPr>
                <w:rFonts w:ascii="Arial" w:hAnsi="Arial" w:cs="Arial"/>
                <w:b/>
                <w:i/>
                <w:sz w:val="16"/>
                <w:szCs w:val="16"/>
              </w:rPr>
            </w:pPr>
            <w:proofErr w:type="spellStart"/>
            <w:r w:rsidRPr="00000EDA">
              <w:rPr>
                <w:rFonts w:ascii="Arial" w:hAnsi="Arial" w:cs="Arial"/>
                <w:b/>
                <w:i/>
                <w:sz w:val="16"/>
                <w:szCs w:val="16"/>
              </w:rPr>
              <w:t>HBS</w:t>
            </w:r>
            <w:proofErr w:type="spellEnd"/>
            <w:r w:rsidRPr="00000EDA">
              <w:rPr>
                <w:rFonts w:ascii="Arial" w:hAnsi="Arial" w:cs="Arial"/>
                <w:b/>
                <w:i/>
                <w:sz w:val="16"/>
                <w:szCs w:val="16"/>
              </w:rPr>
              <w:t xml:space="preserve"> </w:t>
            </w:r>
            <w:r w:rsidR="00C73E0A">
              <w:rPr>
                <w:rFonts w:ascii="Arial" w:hAnsi="Arial" w:cs="Arial"/>
                <w:b/>
                <w:i/>
                <w:sz w:val="16"/>
                <w:szCs w:val="16"/>
              </w:rPr>
              <w:br/>
            </w:r>
            <w:r w:rsidRPr="00000EDA">
              <w:rPr>
                <w:rFonts w:ascii="Arial" w:hAnsi="Arial" w:cs="Arial"/>
                <w:b/>
                <w:i/>
                <w:sz w:val="16"/>
                <w:szCs w:val="16"/>
              </w:rPr>
              <w:t>1</w:t>
            </w:r>
            <w:r w:rsidR="00AA48F7" w:rsidRPr="00000EDA">
              <w:rPr>
                <w:rFonts w:ascii="Arial" w:hAnsi="Arial" w:cs="Arial"/>
                <w:b/>
                <w:i/>
                <w:sz w:val="16"/>
                <w:szCs w:val="16"/>
              </w:rPr>
              <w:t>st</w:t>
            </w:r>
            <w:r w:rsidRPr="00000EDA">
              <w:rPr>
                <w:rFonts w:ascii="Arial" w:hAnsi="Arial" w:cs="Arial"/>
                <w:b/>
                <w:i/>
                <w:sz w:val="16"/>
                <w:szCs w:val="16"/>
              </w:rPr>
              <w:t xml:space="preserve"> wave</w:t>
            </w:r>
          </w:p>
        </w:tc>
        <w:tc>
          <w:tcPr>
            <w:tcW w:w="1077" w:type="dxa"/>
            <w:tcBorders>
              <w:top w:val="single" w:sz="4" w:space="0" w:color="auto"/>
              <w:bottom w:val="single" w:sz="12" w:space="0" w:color="auto"/>
              <w:right w:val="single" w:sz="12" w:space="0" w:color="auto"/>
            </w:tcBorders>
            <w:shd w:val="clear" w:color="auto" w:fill="D9D9D9"/>
            <w:vAlign w:val="center"/>
          </w:tcPr>
          <w:p w14:paraId="44BD28C3" w14:textId="77777777" w:rsidR="00415D32" w:rsidRPr="00000EDA" w:rsidRDefault="00415D32" w:rsidP="00AA48F7">
            <w:pPr>
              <w:pStyle w:val="Zkladntext"/>
              <w:jc w:val="center"/>
              <w:rPr>
                <w:rFonts w:ascii="Arial" w:hAnsi="Arial" w:cs="Arial"/>
                <w:b/>
                <w:i/>
                <w:sz w:val="16"/>
                <w:szCs w:val="16"/>
              </w:rPr>
            </w:pPr>
            <w:proofErr w:type="spellStart"/>
            <w:r w:rsidRPr="00000EDA">
              <w:rPr>
                <w:rFonts w:ascii="Arial" w:hAnsi="Arial" w:cs="Arial"/>
                <w:b/>
                <w:i/>
                <w:sz w:val="16"/>
                <w:szCs w:val="16"/>
              </w:rPr>
              <w:t>HBS</w:t>
            </w:r>
            <w:proofErr w:type="spellEnd"/>
            <w:r w:rsidRPr="00000EDA">
              <w:rPr>
                <w:rFonts w:ascii="Arial" w:hAnsi="Arial" w:cs="Arial"/>
                <w:b/>
                <w:i/>
                <w:sz w:val="16"/>
                <w:szCs w:val="16"/>
              </w:rPr>
              <w:t xml:space="preserve"> </w:t>
            </w:r>
            <w:r w:rsidR="00C73E0A">
              <w:rPr>
                <w:rFonts w:ascii="Arial" w:hAnsi="Arial" w:cs="Arial"/>
                <w:b/>
                <w:i/>
                <w:sz w:val="16"/>
                <w:szCs w:val="16"/>
              </w:rPr>
              <w:br/>
            </w:r>
            <w:r w:rsidRPr="00000EDA">
              <w:rPr>
                <w:rFonts w:ascii="Arial" w:hAnsi="Arial" w:cs="Arial"/>
                <w:b/>
                <w:i/>
                <w:sz w:val="16"/>
                <w:szCs w:val="16"/>
              </w:rPr>
              <w:t>2</w:t>
            </w:r>
            <w:r w:rsidR="00AA48F7" w:rsidRPr="00000EDA">
              <w:rPr>
                <w:rFonts w:ascii="Arial" w:hAnsi="Arial" w:cs="Arial"/>
                <w:b/>
                <w:i/>
                <w:sz w:val="16"/>
                <w:szCs w:val="16"/>
              </w:rPr>
              <w:t>nd</w:t>
            </w:r>
            <w:r w:rsidRPr="00000EDA">
              <w:rPr>
                <w:rFonts w:ascii="Arial" w:hAnsi="Arial" w:cs="Arial"/>
                <w:b/>
                <w:i/>
                <w:sz w:val="16"/>
                <w:szCs w:val="16"/>
              </w:rPr>
              <w:t xml:space="preserve"> wave</w:t>
            </w:r>
          </w:p>
        </w:tc>
        <w:tc>
          <w:tcPr>
            <w:tcW w:w="1077" w:type="dxa"/>
            <w:tcBorders>
              <w:bottom w:val="single" w:sz="12" w:space="0" w:color="auto"/>
            </w:tcBorders>
            <w:shd w:val="clear" w:color="auto" w:fill="D9D9D9"/>
            <w:vAlign w:val="center"/>
          </w:tcPr>
          <w:p w14:paraId="27D1AD43" w14:textId="77777777" w:rsidR="00415D32" w:rsidRPr="00000EDA" w:rsidRDefault="00415D32" w:rsidP="00415D32">
            <w:pPr>
              <w:pStyle w:val="Zkladntext"/>
              <w:jc w:val="center"/>
              <w:rPr>
                <w:rFonts w:ascii="Arial" w:hAnsi="Arial" w:cs="Arial"/>
                <w:b/>
                <w:i/>
                <w:sz w:val="16"/>
                <w:szCs w:val="16"/>
              </w:rPr>
            </w:pPr>
            <w:r w:rsidRPr="00000EDA">
              <w:rPr>
                <w:rFonts w:ascii="Arial" w:hAnsi="Arial" w:cs="Arial"/>
                <w:b/>
                <w:i/>
                <w:sz w:val="16"/>
                <w:szCs w:val="16"/>
              </w:rPr>
              <w:t>Total</w:t>
            </w:r>
          </w:p>
        </w:tc>
        <w:tc>
          <w:tcPr>
            <w:tcW w:w="1077" w:type="dxa"/>
            <w:tcBorders>
              <w:bottom w:val="single" w:sz="12" w:space="0" w:color="auto"/>
            </w:tcBorders>
            <w:shd w:val="clear" w:color="auto" w:fill="D9D9D9"/>
            <w:vAlign w:val="center"/>
          </w:tcPr>
          <w:p w14:paraId="31F0B6D0" w14:textId="77777777" w:rsidR="00415D32" w:rsidRPr="00000EDA" w:rsidRDefault="00415D32" w:rsidP="00AA48F7">
            <w:pPr>
              <w:pStyle w:val="Zkladntext"/>
              <w:jc w:val="center"/>
              <w:rPr>
                <w:rFonts w:ascii="Arial" w:hAnsi="Arial" w:cs="Arial"/>
                <w:b/>
                <w:i/>
                <w:sz w:val="16"/>
                <w:szCs w:val="16"/>
              </w:rPr>
            </w:pPr>
            <w:proofErr w:type="spellStart"/>
            <w:r w:rsidRPr="00000EDA">
              <w:rPr>
                <w:rFonts w:ascii="Arial" w:hAnsi="Arial" w:cs="Arial"/>
                <w:b/>
                <w:i/>
                <w:sz w:val="16"/>
                <w:szCs w:val="16"/>
              </w:rPr>
              <w:t>HBS</w:t>
            </w:r>
            <w:proofErr w:type="spellEnd"/>
            <w:r w:rsidRPr="00000EDA">
              <w:rPr>
                <w:rFonts w:ascii="Arial" w:hAnsi="Arial" w:cs="Arial"/>
                <w:b/>
                <w:i/>
                <w:sz w:val="16"/>
                <w:szCs w:val="16"/>
              </w:rPr>
              <w:t xml:space="preserve"> </w:t>
            </w:r>
            <w:r w:rsidR="00C73E0A">
              <w:rPr>
                <w:rFonts w:ascii="Arial" w:hAnsi="Arial" w:cs="Arial"/>
                <w:b/>
                <w:i/>
                <w:sz w:val="16"/>
                <w:szCs w:val="16"/>
              </w:rPr>
              <w:br/>
            </w:r>
            <w:r w:rsidRPr="00000EDA">
              <w:rPr>
                <w:rFonts w:ascii="Arial" w:hAnsi="Arial" w:cs="Arial"/>
                <w:b/>
                <w:i/>
                <w:sz w:val="16"/>
                <w:szCs w:val="16"/>
              </w:rPr>
              <w:t>1</w:t>
            </w:r>
            <w:r w:rsidR="00AA48F7" w:rsidRPr="00000EDA">
              <w:rPr>
                <w:rFonts w:ascii="Arial" w:hAnsi="Arial" w:cs="Arial"/>
                <w:b/>
                <w:i/>
                <w:sz w:val="16"/>
                <w:szCs w:val="16"/>
              </w:rPr>
              <w:t>st</w:t>
            </w:r>
            <w:r w:rsidRPr="00000EDA">
              <w:rPr>
                <w:rFonts w:ascii="Arial" w:hAnsi="Arial" w:cs="Arial"/>
                <w:b/>
                <w:i/>
                <w:sz w:val="16"/>
                <w:szCs w:val="16"/>
              </w:rPr>
              <w:t xml:space="preserve"> wave</w:t>
            </w:r>
          </w:p>
        </w:tc>
        <w:tc>
          <w:tcPr>
            <w:tcW w:w="1077" w:type="dxa"/>
            <w:tcBorders>
              <w:bottom w:val="single" w:sz="12" w:space="0" w:color="auto"/>
            </w:tcBorders>
            <w:shd w:val="clear" w:color="auto" w:fill="D9D9D9"/>
            <w:vAlign w:val="center"/>
          </w:tcPr>
          <w:p w14:paraId="7AA20A5F" w14:textId="77777777" w:rsidR="00415D32" w:rsidRPr="00000EDA" w:rsidRDefault="00415D32" w:rsidP="00AA48F7">
            <w:pPr>
              <w:pStyle w:val="Zkladntext"/>
              <w:jc w:val="center"/>
              <w:rPr>
                <w:rFonts w:ascii="Arial" w:hAnsi="Arial" w:cs="Arial"/>
                <w:b/>
                <w:i/>
                <w:sz w:val="16"/>
                <w:szCs w:val="16"/>
              </w:rPr>
            </w:pPr>
            <w:proofErr w:type="spellStart"/>
            <w:r w:rsidRPr="00000EDA">
              <w:rPr>
                <w:rFonts w:ascii="Arial" w:hAnsi="Arial" w:cs="Arial"/>
                <w:b/>
                <w:i/>
                <w:sz w:val="16"/>
                <w:szCs w:val="16"/>
              </w:rPr>
              <w:t>HBS</w:t>
            </w:r>
            <w:proofErr w:type="spellEnd"/>
            <w:r w:rsidRPr="00000EDA">
              <w:rPr>
                <w:rFonts w:ascii="Arial" w:hAnsi="Arial" w:cs="Arial"/>
                <w:b/>
                <w:i/>
                <w:sz w:val="16"/>
                <w:szCs w:val="16"/>
              </w:rPr>
              <w:t xml:space="preserve"> </w:t>
            </w:r>
            <w:r w:rsidR="00C73E0A">
              <w:rPr>
                <w:rFonts w:ascii="Arial" w:hAnsi="Arial" w:cs="Arial"/>
                <w:b/>
                <w:i/>
                <w:sz w:val="16"/>
                <w:szCs w:val="16"/>
              </w:rPr>
              <w:br/>
            </w:r>
            <w:r w:rsidRPr="00000EDA">
              <w:rPr>
                <w:rFonts w:ascii="Arial" w:hAnsi="Arial" w:cs="Arial"/>
                <w:b/>
                <w:i/>
                <w:sz w:val="16"/>
                <w:szCs w:val="16"/>
              </w:rPr>
              <w:t>2</w:t>
            </w:r>
            <w:r w:rsidR="00AA48F7" w:rsidRPr="00000EDA">
              <w:rPr>
                <w:rFonts w:ascii="Arial" w:hAnsi="Arial" w:cs="Arial"/>
                <w:b/>
                <w:i/>
                <w:sz w:val="16"/>
                <w:szCs w:val="16"/>
              </w:rPr>
              <w:t>nd</w:t>
            </w:r>
            <w:r w:rsidRPr="00000EDA">
              <w:rPr>
                <w:rFonts w:ascii="Arial" w:hAnsi="Arial" w:cs="Arial"/>
                <w:b/>
                <w:i/>
                <w:sz w:val="16"/>
                <w:szCs w:val="16"/>
              </w:rPr>
              <w:t xml:space="preserve"> wave</w:t>
            </w:r>
          </w:p>
        </w:tc>
      </w:tr>
      <w:tr w:rsidR="00EA11D8" w:rsidRPr="00000EDA" w14:paraId="0D36FF2F" w14:textId="77777777" w:rsidTr="00A712B0">
        <w:trPr>
          <w:trHeight w:val="340"/>
        </w:trPr>
        <w:tc>
          <w:tcPr>
            <w:tcW w:w="3119" w:type="dxa"/>
            <w:tcBorders>
              <w:top w:val="single" w:sz="12" w:space="0" w:color="auto"/>
              <w:bottom w:val="single" w:sz="4" w:space="0" w:color="auto"/>
            </w:tcBorders>
            <w:vAlign w:val="center"/>
          </w:tcPr>
          <w:p w14:paraId="60403C43" w14:textId="77777777" w:rsidR="00EA11D8" w:rsidRPr="00000EDA" w:rsidRDefault="00EA11D8" w:rsidP="00EA11D8">
            <w:pPr>
              <w:pStyle w:val="Zkladntext"/>
              <w:jc w:val="left"/>
              <w:rPr>
                <w:rFonts w:ascii="Arial" w:hAnsi="Arial" w:cs="Arial"/>
                <w:b/>
                <w:bCs/>
                <w:i/>
                <w:sz w:val="16"/>
                <w:szCs w:val="16"/>
              </w:rPr>
            </w:pPr>
            <w:r w:rsidRPr="00000EDA">
              <w:rPr>
                <w:rFonts w:ascii="Arial" w:hAnsi="Arial" w:cs="Arial"/>
                <w:b/>
                <w:bCs/>
                <w:i/>
                <w:sz w:val="16"/>
                <w:szCs w:val="16"/>
              </w:rPr>
              <w:t>Number of successfully interviewed households</w:t>
            </w:r>
          </w:p>
        </w:tc>
        <w:tc>
          <w:tcPr>
            <w:tcW w:w="1077" w:type="dxa"/>
            <w:tcBorders>
              <w:top w:val="single" w:sz="12" w:space="0" w:color="auto"/>
              <w:bottom w:val="single" w:sz="4" w:space="0" w:color="auto"/>
            </w:tcBorders>
            <w:vAlign w:val="center"/>
          </w:tcPr>
          <w:p w14:paraId="1B54C0E4" w14:textId="615228F1" w:rsidR="00EA11D8" w:rsidRPr="0057419A" w:rsidRDefault="00EA11D8" w:rsidP="00EA11D8">
            <w:pPr>
              <w:jc w:val="right"/>
              <w:rPr>
                <w:rFonts w:ascii="Arial" w:hAnsi="Arial" w:cs="Arial"/>
                <w:i/>
                <w:sz w:val="16"/>
                <w:szCs w:val="16"/>
              </w:rPr>
            </w:pPr>
            <w:r w:rsidRPr="0057419A">
              <w:rPr>
                <w:rFonts w:ascii="Arial" w:hAnsi="Arial" w:cs="Arial"/>
                <w:i/>
                <w:sz w:val="16"/>
                <w:szCs w:val="16"/>
              </w:rPr>
              <w:t>1 661</w:t>
            </w:r>
          </w:p>
        </w:tc>
        <w:tc>
          <w:tcPr>
            <w:tcW w:w="1077" w:type="dxa"/>
            <w:tcBorders>
              <w:top w:val="single" w:sz="12" w:space="0" w:color="auto"/>
              <w:bottom w:val="single" w:sz="4" w:space="0" w:color="auto"/>
            </w:tcBorders>
            <w:vAlign w:val="center"/>
          </w:tcPr>
          <w:p w14:paraId="1D78A98C" w14:textId="2B9B79DA" w:rsidR="00EA11D8" w:rsidRPr="0057419A" w:rsidRDefault="00EA11D8" w:rsidP="00EA11D8">
            <w:pPr>
              <w:jc w:val="right"/>
              <w:rPr>
                <w:rFonts w:ascii="Arial" w:hAnsi="Arial" w:cs="Arial"/>
                <w:i/>
                <w:sz w:val="16"/>
                <w:szCs w:val="16"/>
              </w:rPr>
            </w:pPr>
            <w:r w:rsidRPr="0057419A">
              <w:rPr>
                <w:rFonts w:ascii="Arial" w:hAnsi="Arial" w:cs="Arial"/>
                <w:i/>
                <w:sz w:val="16"/>
                <w:szCs w:val="16"/>
              </w:rPr>
              <w:t>858</w:t>
            </w:r>
          </w:p>
        </w:tc>
        <w:tc>
          <w:tcPr>
            <w:tcW w:w="1077" w:type="dxa"/>
            <w:tcBorders>
              <w:top w:val="single" w:sz="12" w:space="0" w:color="auto"/>
              <w:bottom w:val="single" w:sz="4" w:space="0" w:color="auto"/>
              <w:right w:val="single" w:sz="12" w:space="0" w:color="auto"/>
            </w:tcBorders>
            <w:vAlign w:val="center"/>
          </w:tcPr>
          <w:p w14:paraId="390D149C" w14:textId="075AECDA" w:rsidR="00EA11D8" w:rsidRPr="0057419A" w:rsidRDefault="00EA11D8" w:rsidP="00EA11D8">
            <w:pPr>
              <w:jc w:val="right"/>
              <w:rPr>
                <w:rFonts w:ascii="Arial" w:hAnsi="Arial" w:cs="Arial"/>
                <w:i/>
                <w:sz w:val="16"/>
                <w:szCs w:val="16"/>
              </w:rPr>
            </w:pPr>
            <w:r w:rsidRPr="0057419A">
              <w:rPr>
                <w:rFonts w:ascii="Arial" w:hAnsi="Arial" w:cs="Arial"/>
                <w:i/>
                <w:sz w:val="16"/>
                <w:szCs w:val="16"/>
              </w:rPr>
              <w:t>803</w:t>
            </w:r>
          </w:p>
        </w:tc>
        <w:tc>
          <w:tcPr>
            <w:tcW w:w="1077" w:type="dxa"/>
            <w:tcBorders>
              <w:top w:val="single" w:sz="12" w:space="0" w:color="auto"/>
              <w:bottom w:val="single" w:sz="4" w:space="0" w:color="auto"/>
            </w:tcBorders>
            <w:vAlign w:val="center"/>
          </w:tcPr>
          <w:p w14:paraId="45DC79B7" w14:textId="56BFB90C" w:rsidR="00EA11D8" w:rsidRPr="00EA11D8" w:rsidRDefault="00EA11D8" w:rsidP="00EA11D8">
            <w:pPr>
              <w:jc w:val="right"/>
              <w:rPr>
                <w:rFonts w:ascii="Arial" w:hAnsi="Arial" w:cs="Arial"/>
                <w:i/>
                <w:sz w:val="16"/>
                <w:szCs w:val="16"/>
              </w:rPr>
            </w:pPr>
            <w:r w:rsidRPr="00EA11D8">
              <w:rPr>
                <w:rFonts w:ascii="Arial" w:hAnsi="Arial" w:cs="Arial"/>
                <w:i/>
                <w:sz w:val="16"/>
                <w:szCs w:val="16"/>
              </w:rPr>
              <w:t>1 572</w:t>
            </w:r>
          </w:p>
        </w:tc>
        <w:tc>
          <w:tcPr>
            <w:tcW w:w="1077" w:type="dxa"/>
            <w:tcBorders>
              <w:top w:val="single" w:sz="12" w:space="0" w:color="auto"/>
              <w:bottom w:val="single" w:sz="4" w:space="0" w:color="auto"/>
            </w:tcBorders>
            <w:vAlign w:val="center"/>
          </w:tcPr>
          <w:p w14:paraId="3636418A" w14:textId="4B47A3C7" w:rsidR="00EA11D8" w:rsidRPr="00EA11D8" w:rsidRDefault="00EA11D8" w:rsidP="00EA11D8">
            <w:pPr>
              <w:jc w:val="right"/>
              <w:rPr>
                <w:rFonts w:ascii="Arial" w:hAnsi="Arial" w:cs="Arial"/>
                <w:i/>
                <w:sz w:val="16"/>
                <w:szCs w:val="16"/>
              </w:rPr>
            </w:pPr>
            <w:r w:rsidRPr="00EA11D8">
              <w:rPr>
                <w:rFonts w:ascii="Arial" w:hAnsi="Arial" w:cs="Arial"/>
                <w:i/>
                <w:sz w:val="16"/>
                <w:szCs w:val="16"/>
              </w:rPr>
              <w:t>809</w:t>
            </w:r>
          </w:p>
        </w:tc>
        <w:tc>
          <w:tcPr>
            <w:tcW w:w="1077" w:type="dxa"/>
            <w:tcBorders>
              <w:top w:val="single" w:sz="12" w:space="0" w:color="auto"/>
              <w:bottom w:val="single" w:sz="4" w:space="0" w:color="auto"/>
            </w:tcBorders>
            <w:vAlign w:val="center"/>
          </w:tcPr>
          <w:p w14:paraId="5A7D1FBA" w14:textId="6993CDD3" w:rsidR="00EA11D8" w:rsidRPr="00EA11D8" w:rsidRDefault="00EA11D8" w:rsidP="00EA11D8">
            <w:pPr>
              <w:jc w:val="right"/>
              <w:rPr>
                <w:rFonts w:ascii="Arial" w:hAnsi="Arial" w:cs="Arial"/>
                <w:i/>
                <w:sz w:val="16"/>
                <w:szCs w:val="16"/>
              </w:rPr>
            </w:pPr>
            <w:r w:rsidRPr="00EA11D8">
              <w:rPr>
                <w:rFonts w:ascii="Arial" w:hAnsi="Arial" w:cs="Arial"/>
                <w:i/>
                <w:sz w:val="16"/>
                <w:szCs w:val="16"/>
              </w:rPr>
              <w:t>763</w:t>
            </w:r>
          </w:p>
        </w:tc>
      </w:tr>
      <w:tr w:rsidR="00EA11D8" w:rsidRPr="00000EDA" w14:paraId="1F8650FB" w14:textId="77777777" w:rsidTr="00A712B0">
        <w:trPr>
          <w:trHeight w:val="284"/>
        </w:trPr>
        <w:tc>
          <w:tcPr>
            <w:tcW w:w="3119" w:type="dxa"/>
            <w:tcBorders>
              <w:top w:val="single" w:sz="4" w:space="0" w:color="auto"/>
              <w:bottom w:val="single" w:sz="12" w:space="0" w:color="auto"/>
            </w:tcBorders>
            <w:vAlign w:val="center"/>
          </w:tcPr>
          <w:p w14:paraId="11E87509" w14:textId="77777777" w:rsidR="00EA11D8" w:rsidRPr="00000EDA" w:rsidRDefault="00EA11D8" w:rsidP="00EA11D8">
            <w:pPr>
              <w:pStyle w:val="Zkladntext"/>
              <w:jc w:val="left"/>
              <w:rPr>
                <w:rFonts w:ascii="Arial" w:hAnsi="Arial" w:cs="Arial"/>
                <w:i/>
                <w:sz w:val="16"/>
                <w:szCs w:val="16"/>
              </w:rPr>
            </w:pPr>
            <w:r w:rsidRPr="00000EDA">
              <w:rPr>
                <w:rFonts w:ascii="Arial" w:hAnsi="Arial" w:cs="Arial"/>
                <w:b/>
                <w:bCs/>
                <w:i/>
                <w:sz w:val="16"/>
                <w:szCs w:val="16"/>
              </w:rPr>
              <w:t>Share of successfully interviewed households (%)</w:t>
            </w:r>
          </w:p>
        </w:tc>
        <w:tc>
          <w:tcPr>
            <w:tcW w:w="1077" w:type="dxa"/>
            <w:tcBorders>
              <w:top w:val="single" w:sz="4" w:space="0" w:color="auto"/>
              <w:bottom w:val="single" w:sz="12" w:space="0" w:color="auto"/>
            </w:tcBorders>
            <w:vAlign w:val="center"/>
          </w:tcPr>
          <w:p w14:paraId="1DDE8E46" w14:textId="325D1CD6" w:rsidR="00EA11D8" w:rsidRPr="0057419A" w:rsidRDefault="00EA11D8" w:rsidP="00EA11D8">
            <w:pPr>
              <w:jc w:val="right"/>
              <w:rPr>
                <w:rFonts w:ascii="Arial" w:hAnsi="Arial" w:cs="Arial"/>
                <w:i/>
                <w:sz w:val="16"/>
                <w:szCs w:val="16"/>
              </w:rPr>
            </w:pPr>
            <w:r w:rsidRPr="0057419A">
              <w:rPr>
                <w:rFonts w:ascii="Arial" w:hAnsi="Arial" w:cs="Arial"/>
                <w:i/>
                <w:sz w:val="16"/>
                <w:szCs w:val="16"/>
              </w:rPr>
              <w:t>53,5</w:t>
            </w:r>
          </w:p>
        </w:tc>
        <w:tc>
          <w:tcPr>
            <w:tcW w:w="1077" w:type="dxa"/>
            <w:tcBorders>
              <w:top w:val="single" w:sz="4" w:space="0" w:color="auto"/>
              <w:bottom w:val="single" w:sz="12" w:space="0" w:color="auto"/>
            </w:tcBorders>
            <w:vAlign w:val="center"/>
          </w:tcPr>
          <w:p w14:paraId="7E04C926" w14:textId="51AD65D8" w:rsidR="00EA11D8" w:rsidRPr="0057419A" w:rsidRDefault="00EA11D8" w:rsidP="00EA11D8">
            <w:pPr>
              <w:jc w:val="right"/>
              <w:rPr>
                <w:rFonts w:ascii="Arial" w:hAnsi="Arial" w:cs="Arial"/>
                <w:i/>
                <w:sz w:val="16"/>
                <w:szCs w:val="16"/>
              </w:rPr>
            </w:pPr>
            <w:r w:rsidRPr="0057419A">
              <w:rPr>
                <w:rFonts w:ascii="Arial" w:hAnsi="Arial" w:cs="Arial"/>
                <w:i/>
                <w:sz w:val="16"/>
                <w:szCs w:val="16"/>
              </w:rPr>
              <w:t>39,1</w:t>
            </w:r>
          </w:p>
        </w:tc>
        <w:tc>
          <w:tcPr>
            <w:tcW w:w="1077" w:type="dxa"/>
            <w:tcBorders>
              <w:top w:val="single" w:sz="4" w:space="0" w:color="auto"/>
              <w:bottom w:val="single" w:sz="12" w:space="0" w:color="auto"/>
              <w:right w:val="single" w:sz="12" w:space="0" w:color="auto"/>
            </w:tcBorders>
            <w:vAlign w:val="center"/>
          </w:tcPr>
          <w:p w14:paraId="18A5C013" w14:textId="3190E19B" w:rsidR="00EA11D8" w:rsidRPr="0057419A" w:rsidRDefault="00EA11D8" w:rsidP="00EA11D8">
            <w:pPr>
              <w:jc w:val="right"/>
              <w:rPr>
                <w:rFonts w:ascii="Arial" w:hAnsi="Arial" w:cs="Arial"/>
                <w:i/>
                <w:sz w:val="16"/>
                <w:szCs w:val="16"/>
              </w:rPr>
            </w:pPr>
            <w:r w:rsidRPr="0057419A">
              <w:rPr>
                <w:rFonts w:ascii="Arial" w:hAnsi="Arial" w:cs="Arial"/>
                <w:i/>
                <w:sz w:val="16"/>
                <w:szCs w:val="16"/>
              </w:rPr>
              <w:t>88,3</w:t>
            </w:r>
          </w:p>
        </w:tc>
        <w:tc>
          <w:tcPr>
            <w:tcW w:w="1077" w:type="dxa"/>
            <w:tcBorders>
              <w:top w:val="single" w:sz="4" w:space="0" w:color="auto"/>
              <w:bottom w:val="single" w:sz="12" w:space="0" w:color="auto"/>
            </w:tcBorders>
            <w:vAlign w:val="center"/>
          </w:tcPr>
          <w:p w14:paraId="29C669C0" w14:textId="0E113732" w:rsidR="00EA11D8" w:rsidRPr="00EA11D8" w:rsidRDefault="00EA11D8" w:rsidP="00EA11D8">
            <w:pPr>
              <w:jc w:val="right"/>
              <w:rPr>
                <w:rFonts w:ascii="Arial" w:hAnsi="Arial" w:cs="Arial"/>
                <w:i/>
                <w:sz w:val="16"/>
                <w:szCs w:val="16"/>
              </w:rPr>
            </w:pPr>
            <w:r w:rsidRPr="00EA11D8">
              <w:rPr>
                <w:rFonts w:ascii="Arial" w:hAnsi="Arial" w:cs="Arial"/>
                <w:i/>
                <w:sz w:val="16"/>
                <w:szCs w:val="16"/>
              </w:rPr>
              <w:t>52,0</w:t>
            </w:r>
          </w:p>
        </w:tc>
        <w:tc>
          <w:tcPr>
            <w:tcW w:w="1077" w:type="dxa"/>
            <w:tcBorders>
              <w:top w:val="single" w:sz="4" w:space="0" w:color="auto"/>
              <w:bottom w:val="single" w:sz="12" w:space="0" w:color="auto"/>
            </w:tcBorders>
            <w:vAlign w:val="center"/>
          </w:tcPr>
          <w:p w14:paraId="3BD3C437" w14:textId="394553BF" w:rsidR="00EA11D8" w:rsidRPr="00EA11D8" w:rsidRDefault="00EA11D8" w:rsidP="00EA11D8">
            <w:pPr>
              <w:jc w:val="right"/>
              <w:rPr>
                <w:rFonts w:ascii="Arial" w:hAnsi="Arial" w:cs="Arial"/>
                <w:i/>
                <w:sz w:val="16"/>
                <w:szCs w:val="16"/>
              </w:rPr>
            </w:pPr>
            <w:r w:rsidRPr="00EA11D8">
              <w:rPr>
                <w:rFonts w:ascii="Arial" w:hAnsi="Arial" w:cs="Arial"/>
                <w:i/>
                <w:sz w:val="16"/>
                <w:szCs w:val="16"/>
              </w:rPr>
              <w:t>37,6</w:t>
            </w:r>
          </w:p>
        </w:tc>
        <w:tc>
          <w:tcPr>
            <w:tcW w:w="1077" w:type="dxa"/>
            <w:tcBorders>
              <w:top w:val="single" w:sz="4" w:space="0" w:color="auto"/>
              <w:bottom w:val="single" w:sz="12" w:space="0" w:color="auto"/>
            </w:tcBorders>
            <w:vAlign w:val="center"/>
          </w:tcPr>
          <w:p w14:paraId="461B472D" w14:textId="30146DCF" w:rsidR="00EA11D8" w:rsidRPr="00EA11D8" w:rsidRDefault="00EA11D8" w:rsidP="00EA11D8">
            <w:pPr>
              <w:jc w:val="right"/>
              <w:rPr>
                <w:rFonts w:ascii="Arial" w:hAnsi="Arial" w:cs="Arial"/>
                <w:i/>
                <w:sz w:val="16"/>
                <w:szCs w:val="16"/>
              </w:rPr>
            </w:pPr>
            <w:r w:rsidRPr="00EA11D8">
              <w:rPr>
                <w:rFonts w:ascii="Arial" w:hAnsi="Arial" w:cs="Arial"/>
                <w:i/>
                <w:sz w:val="16"/>
                <w:szCs w:val="16"/>
              </w:rPr>
              <w:t>87,7</w:t>
            </w:r>
          </w:p>
        </w:tc>
      </w:tr>
    </w:tbl>
    <w:p w14:paraId="7EDD7988" w14:textId="77777777" w:rsidR="00415D32" w:rsidRPr="00000EDA" w:rsidRDefault="008D5B22" w:rsidP="00415D32">
      <w:pPr>
        <w:pStyle w:val="Zkladntext"/>
        <w:tabs>
          <w:tab w:val="left" w:pos="720"/>
          <w:tab w:val="left" w:pos="1080"/>
          <w:tab w:val="left" w:pos="1800"/>
          <w:tab w:val="right" w:pos="7080"/>
          <w:tab w:val="right" w:pos="8760"/>
        </w:tabs>
        <w:spacing w:after="120"/>
        <w:rPr>
          <w:rFonts w:ascii="Arial" w:hAnsi="Arial" w:cs="Arial"/>
          <w:i/>
          <w:sz w:val="14"/>
          <w:szCs w:val="14"/>
        </w:rPr>
      </w:pPr>
      <w:r w:rsidRPr="00000EDA">
        <w:rPr>
          <w:rFonts w:ascii="Arial" w:hAnsi="Arial" w:cs="Arial"/>
          <w:i/>
          <w:sz w:val="14"/>
          <w:szCs w:val="14"/>
        </w:rPr>
        <w:t xml:space="preserve">Source: </w:t>
      </w:r>
      <w:proofErr w:type="spellStart"/>
      <w:r w:rsidRPr="00000EDA">
        <w:rPr>
          <w:rFonts w:ascii="Arial" w:hAnsi="Arial" w:cs="Arial"/>
          <w:i/>
          <w:sz w:val="14"/>
          <w:szCs w:val="14"/>
        </w:rPr>
        <w:t>CZSO</w:t>
      </w:r>
      <w:proofErr w:type="spellEnd"/>
    </w:p>
    <w:p w14:paraId="118C5A22" w14:textId="77777777" w:rsidR="00E94687" w:rsidRPr="00000EDA" w:rsidRDefault="00E94687" w:rsidP="00350B16">
      <w:pPr>
        <w:pStyle w:val="Zkladntext"/>
        <w:spacing w:after="120"/>
        <w:ind w:firstLine="709"/>
        <w:rPr>
          <w:rFonts w:ascii="Arial" w:hAnsi="Arial" w:cs="Arial"/>
          <w:i/>
          <w:sz w:val="20"/>
          <w:szCs w:val="20"/>
        </w:rPr>
      </w:pPr>
      <w:r w:rsidRPr="00000EDA">
        <w:rPr>
          <w:rFonts w:ascii="Arial" w:hAnsi="Arial" w:cs="Arial"/>
          <w:i/>
          <w:sz w:val="20"/>
          <w:szCs w:val="20"/>
        </w:rPr>
        <w:t xml:space="preserve">The length of reference period for </w:t>
      </w:r>
      <w:r w:rsidR="00574F6B" w:rsidRPr="00000EDA">
        <w:rPr>
          <w:rFonts w:ascii="Arial" w:hAnsi="Arial" w:cs="Arial"/>
          <w:i/>
          <w:sz w:val="20"/>
          <w:szCs w:val="20"/>
        </w:rPr>
        <w:t>data collection of</w:t>
      </w:r>
      <w:r w:rsidR="00BF4D41" w:rsidRPr="00000EDA">
        <w:rPr>
          <w:rFonts w:ascii="Arial" w:hAnsi="Arial" w:cs="Arial"/>
          <w:i/>
          <w:sz w:val="20"/>
          <w:szCs w:val="20"/>
        </w:rPr>
        <w:t xml:space="preserve"> expenditures</w:t>
      </w:r>
      <w:r w:rsidRPr="00000EDA">
        <w:rPr>
          <w:rFonts w:ascii="Arial" w:hAnsi="Arial" w:cs="Arial"/>
          <w:i/>
          <w:sz w:val="20"/>
          <w:szCs w:val="20"/>
        </w:rPr>
        <w:t xml:space="preserve"> in each household </w:t>
      </w:r>
      <w:r w:rsidR="000157D4" w:rsidRPr="00000EDA">
        <w:rPr>
          <w:rFonts w:ascii="Arial" w:hAnsi="Arial" w:cs="Arial"/>
          <w:i/>
          <w:sz w:val="20"/>
          <w:szCs w:val="20"/>
        </w:rPr>
        <w:t xml:space="preserve">has been </w:t>
      </w:r>
      <w:proofErr w:type="gramStart"/>
      <w:r w:rsidRPr="00000EDA">
        <w:rPr>
          <w:rFonts w:ascii="Arial" w:hAnsi="Arial" w:cs="Arial"/>
          <w:i/>
          <w:sz w:val="20"/>
          <w:szCs w:val="20"/>
          <w:lang w:val="en-US"/>
        </w:rPr>
        <w:t>8</w:t>
      </w:r>
      <w:proofErr w:type="gramEnd"/>
      <w:r w:rsidR="00CA6F46" w:rsidRPr="00000EDA">
        <w:rPr>
          <w:rFonts w:ascii="Arial" w:hAnsi="Arial" w:cs="Arial"/>
          <w:i/>
          <w:sz w:val="20"/>
          <w:szCs w:val="20"/>
          <w:lang w:val="en-US"/>
        </w:rPr>
        <w:t> </w:t>
      </w:r>
      <w:r w:rsidRPr="00000EDA">
        <w:rPr>
          <w:rFonts w:ascii="Arial" w:hAnsi="Arial" w:cs="Arial"/>
          <w:i/>
          <w:sz w:val="20"/>
          <w:szCs w:val="20"/>
          <w:lang w:val="en-US"/>
        </w:rPr>
        <w:t xml:space="preserve">consecutive calendar weeks </w:t>
      </w:r>
      <w:r w:rsidR="000157D4" w:rsidRPr="00000EDA">
        <w:rPr>
          <w:rFonts w:ascii="Arial" w:hAnsi="Arial" w:cs="Arial"/>
          <w:i/>
          <w:sz w:val="20"/>
          <w:szCs w:val="20"/>
          <w:lang w:val="en-US"/>
        </w:rPr>
        <w:t xml:space="preserve">since </w:t>
      </w:r>
      <w:r w:rsidRPr="00000EDA">
        <w:rPr>
          <w:rFonts w:ascii="Arial" w:hAnsi="Arial" w:cs="Arial"/>
          <w:i/>
          <w:sz w:val="20"/>
          <w:szCs w:val="20"/>
          <w:lang w:val="en-US"/>
        </w:rPr>
        <w:t>2017.</w:t>
      </w:r>
      <w:r w:rsidR="00621975" w:rsidRPr="00000EDA">
        <w:rPr>
          <w:rFonts w:ascii="Arial" w:hAnsi="Arial" w:cs="Arial"/>
          <w:i/>
          <w:sz w:val="20"/>
          <w:szCs w:val="20"/>
          <w:lang w:val="en-US"/>
        </w:rPr>
        <w:t xml:space="preserve"> </w:t>
      </w:r>
      <w:r w:rsidR="000157D4" w:rsidRPr="00000EDA">
        <w:rPr>
          <w:rFonts w:ascii="Arial" w:hAnsi="Arial" w:cs="Arial"/>
          <w:i/>
          <w:sz w:val="20"/>
          <w:szCs w:val="20"/>
          <w:lang w:val="en-US"/>
        </w:rPr>
        <w:t xml:space="preserve">As successfully </w:t>
      </w:r>
      <w:r w:rsidR="00621975" w:rsidRPr="00000EDA">
        <w:rPr>
          <w:rFonts w:ascii="Arial" w:hAnsi="Arial" w:cs="Arial"/>
          <w:i/>
          <w:sz w:val="20"/>
          <w:szCs w:val="20"/>
          <w:lang w:val="en-US"/>
        </w:rPr>
        <w:t xml:space="preserve">interviewed </w:t>
      </w:r>
      <w:r w:rsidR="000157D4" w:rsidRPr="00000EDA">
        <w:rPr>
          <w:rFonts w:ascii="Arial" w:hAnsi="Arial" w:cs="Arial"/>
          <w:i/>
          <w:sz w:val="20"/>
          <w:szCs w:val="20"/>
          <w:lang w:val="en-US"/>
        </w:rPr>
        <w:t xml:space="preserve">a </w:t>
      </w:r>
      <w:r w:rsidR="00621975" w:rsidRPr="00000EDA">
        <w:rPr>
          <w:rFonts w:ascii="Arial" w:hAnsi="Arial" w:cs="Arial"/>
          <w:i/>
          <w:sz w:val="20"/>
          <w:szCs w:val="20"/>
          <w:lang w:val="en-US"/>
        </w:rPr>
        <w:t xml:space="preserve">household was </w:t>
      </w:r>
      <w:r w:rsidR="00D9078D" w:rsidRPr="00000EDA">
        <w:rPr>
          <w:rFonts w:ascii="Arial" w:hAnsi="Arial" w:cs="Arial"/>
          <w:i/>
          <w:sz w:val="20"/>
          <w:szCs w:val="20"/>
          <w:lang w:val="en-US"/>
        </w:rPr>
        <w:t xml:space="preserve">regarded </w:t>
      </w:r>
      <w:r w:rsidR="00621975" w:rsidRPr="00000EDA">
        <w:rPr>
          <w:rFonts w:ascii="Arial" w:hAnsi="Arial" w:cs="Arial"/>
          <w:i/>
          <w:sz w:val="20"/>
          <w:szCs w:val="20"/>
          <w:lang w:val="en-US"/>
        </w:rPr>
        <w:t xml:space="preserve">which </w:t>
      </w:r>
      <w:r w:rsidR="003571ED" w:rsidRPr="00000EDA">
        <w:rPr>
          <w:rFonts w:ascii="Arial" w:hAnsi="Arial" w:cs="Arial"/>
          <w:i/>
          <w:sz w:val="20"/>
          <w:szCs w:val="20"/>
          <w:lang w:val="en-US"/>
        </w:rPr>
        <w:t xml:space="preserve">submitted at least one </w:t>
      </w:r>
      <w:r w:rsidR="000157D4" w:rsidRPr="00000EDA">
        <w:rPr>
          <w:rFonts w:ascii="Arial" w:hAnsi="Arial" w:cs="Arial"/>
          <w:i/>
          <w:sz w:val="20"/>
          <w:szCs w:val="20"/>
          <w:lang w:val="en-US"/>
        </w:rPr>
        <w:t xml:space="preserve">completed </w:t>
      </w:r>
      <w:r w:rsidR="003571ED" w:rsidRPr="00000EDA">
        <w:rPr>
          <w:rFonts w:ascii="Arial" w:hAnsi="Arial" w:cs="Arial"/>
          <w:i/>
          <w:sz w:val="20"/>
          <w:szCs w:val="20"/>
          <w:lang w:val="en-US"/>
        </w:rPr>
        <w:t>Diary for the period of 4</w:t>
      </w:r>
      <w:r w:rsidR="00CA6F46" w:rsidRPr="00000EDA">
        <w:rPr>
          <w:rFonts w:ascii="Arial" w:hAnsi="Arial" w:cs="Arial"/>
          <w:i/>
          <w:sz w:val="20"/>
          <w:szCs w:val="20"/>
          <w:lang w:val="en-US"/>
        </w:rPr>
        <w:t> </w:t>
      </w:r>
      <w:r w:rsidR="003571ED" w:rsidRPr="00000EDA">
        <w:rPr>
          <w:rFonts w:ascii="Arial" w:hAnsi="Arial" w:cs="Arial"/>
          <w:i/>
          <w:sz w:val="20"/>
          <w:szCs w:val="20"/>
          <w:lang w:val="en-US"/>
        </w:rPr>
        <w:t>weeks.</w:t>
      </w:r>
      <w:r w:rsidR="0083541A" w:rsidRPr="00000EDA">
        <w:rPr>
          <w:rFonts w:ascii="Arial" w:hAnsi="Arial" w:cs="Arial"/>
          <w:i/>
          <w:sz w:val="20"/>
          <w:szCs w:val="20"/>
          <w:lang w:val="en-US"/>
        </w:rPr>
        <w:t xml:space="preserve"> The significant </w:t>
      </w:r>
      <w:r w:rsidR="00486086" w:rsidRPr="00000EDA">
        <w:rPr>
          <w:rFonts w:ascii="Arial" w:hAnsi="Arial" w:cs="Arial"/>
          <w:i/>
          <w:sz w:val="20"/>
          <w:szCs w:val="20"/>
          <w:lang w:val="en-US"/>
        </w:rPr>
        <w:t>shortening of reference period (from former 12</w:t>
      </w:r>
      <w:r w:rsidR="00CA6F46" w:rsidRPr="00000EDA">
        <w:rPr>
          <w:rFonts w:ascii="Arial" w:hAnsi="Arial" w:cs="Arial"/>
          <w:i/>
          <w:sz w:val="20"/>
          <w:szCs w:val="20"/>
          <w:lang w:val="en-US"/>
        </w:rPr>
        <w:t> </w:t>
      </w:r>
      <w:r w:rsidR="00486086" w:rsidRPr="00000EDA">
        <w:rPr>
          <w:rFonts w:ascii="Arial" w:hAnsi="Arial" w:cs="Arial"/>
          <w:i/>
          <w:sz w:val="20"/>
          <w:szCs w:val="20"/>
          <w:lang w:val="en-US"/>
        </w:rPr>
        <w:t xml:space="preserve">months to </w:t>
      </w:r>
      <w:r w:rsidR="00752CCC" w:rsidRPr="00000EDA">
        <w:rPr>
          <w:rFonts w:ascii="Arial" w:hAnsi="Arial" w:cs="Arial"/>
          <w:i/>
          <w:sz w:val="20"/>
          <w:szCs w:val="20"/>
          <w:lang w:val="en-US"/>
        </w:rPr>
        <w:t xml:space="preserve">current </w:t>
      </w:r>
      <w:r w:rsidR="00486086" w:rsidRPr="00000EDA">
        <w:rPr>
          <w:rFonts w:ascii="Arial" w:hAnsi="Arial" w:cs="Arial"/>
          <w:i/>
          <w:sz w:val="20"/>
          <w:szCs w:val="20"/>
          <w:lang w:val="en-US"/>
        </w:rPr>
        <w:t>8</w:t>
      </w:r>
      <w:r w:rsidR="00CA6F46" w:rsidRPr="00000EDA">
        <w:rPr>
          <w:rFonts w:ascii="Arial" w:hAnsi="Arial" w:cs="Arial"/>
          <w:i/>
          <w:sz w:val="20"/>
          <w:szCs w:val="20"/>
          <w:lang w:val="en-US"/>
        </w:rPr>
        <w:t> </w:t>
      </w:r>
      <w:r w:rsidR="00486086" w:rsidRPr="00000EDA">
        <w:rPr>
          <w:rFonts w:ascii="Arial" w:hAnsi="Arial" w:cs="Arial"/>
          <w:i/>
          <w:sz w:val="20"/>
          <w:szCs w:val="20"/>
          <w:lang w:val="en-US"/>
        </w:rPr>
        <w:t xml:space="preserve">weeks) has to be taken into account for comparisons of </w:t>
      </w:r>
      <w:r w:rsidR="000157D4" w:rsidRPr="00000EDA">
        <w:rPr>
          <w:rFonts w:ascii="Arial" w:hAnsi="Arial" w:cs="Arial"/>
          <w:i/>
          <w:sz w:val="20"/>
          <w:szCs w:val="20"/>
          <w:lang w:val="en-US"/>
        </w:rPr>
        <w:t xml:space="preserve">counts </w:t>
      </w:r>
      <w:r w:rsidR="00486086" w:rsidRPr="00000EDA">
        <w:rPr>
          <w:rFonts w:ascii="Arial" w:hAnsi="Arial" w:cs="Arial"/>
          <w:i/>
          <w:sz w:val="20"/>
          <w:szCs w:val="20"/>
          <w:lang w:val="en-US"/>
        </w:rPr>
        <w:t xml:space="preserve">of currently selected households with the numbers of households interviewed </w:t>
      </w:r>
      <w:proofErr w:type="gramStart"/>
      <w:r w:rsidR="00486086" w:rsidRPr="00000EDA">
        <w:rPr>
          <w:rFonts w:ascii="Arial" w:hAnsi="Arial" w:cs="Arial"/>
          <w:i/>
          <w:sz w:val="20"/>
          <w:szCs w:val="20"/>
          <w:lang w:val="en-US"/>
        </w:rPr>
        <w:t>till</w:t>
      </w:r>
      <w:proofErr w:type="gramEnd"/>
      <w:r w:rsidR="00486086" w:rsidRPr="00000EDA">
        <w:rPr>
          <w:rFonts w:ascii="Arial" w:hAnsi="Arial" w:cs="Arial"/>
          <w:i/>
          <w:sz w:val="20"/>
          <w:szCs w:val="20"/>
          <w:lang w:val="en-US"/>
        </w:rPr>
        <w:t xml:space="preserve"> 2016.</w:t>
      </w:r>
    </w:p>
    <w:p w14:paraId="506A8A6A" w14:textId="77777777" w:rsidR="00B74A71" w:rsidRPr="00000EDA" w:rsidRDefault="00B74A71">
      <w:pPr>
        <w:jc w:val="both"/>
        <w:rPr>
          <w:rFonts w:ascii="Arial" w:hAnsi="Arial" w:cs="Arial"/>
          <w:i/>
          <w:sz w:val="20"/>
          <w:szCs w:val="20"/>
        </w:rPr>
      </w:pPr>
    </w:p>
    <w:p w14:paraId="224CE9F6" w14:textId="77777777" w:rsidR="00B74A71" w:rsidRPr="00000EDA" w:rsidRDefault="00B74A71" w:rsidP="009B2541">
      <w:pPr>
        <w:spacing w:after="240"/>
        <w:jc w:val="both"/>
        <w:rPr>
          <w:rFonts w:ascii="Arial" w:hAnsi="Arial" w:cs="Arial"/>
          <w:b/>
          <w:bCs/>
          <w:i/>
        </w:rPr>
      </w:pPr>
      <w:r w:rsidRPr="00000EDA">
        <w:rPr>
          <w:rFonts w:ascii="Arial" w:hAnsi="Arial" w:cs="Arial"/>
          <w:b/>
          <w:bCs/>
          <w:i/>
        </w:rPr>
        <w:t>1.</w:t>
      </w:r>
      <w:r w:rsidR="00350B16" w:rsidRPr="00000EDA">
        <w:rPr>
          <w:rFonts w:ascii="Arial" w:hAnsi="Arial" w:cs="Arial"/>
          <w:b/>
          <w:bCs/>
          <w:i/>
        </w:rPr>
        <w:t>4</w:t>
      </w:r>
      <w:r w:rsidRPr="00000EDA">
        <w:rPr>
          <w:rFonts w:ascii="Arial" w:hAnsi="Arial" w:cs="Arial"/>
          <w:b/>
          <w:bCs/>
          <w:i/>
        </w:rPr>
        <w:t xml:space="preserve"> Grossing up and weighting</w:t>
      </w:r>
    </w:p>
    <w:p w14:paraId="7BB859F4" w14:textId="77777777" w:rsidR="00A712B0" w:rsidRDefault="001372D7" w:rsidP="00350B16">
      <w:pPr>
        <w:pStyle w:val="Zkladntext"/>
        <w:spacing w:after="120"/>
        <w:ind w:firstLine="709"/>
        <w:rPr>
          <w:rStyle w:val="tlid-translation"/>
          <w:rFonts w:ascii="Arial" w:hAnsi="Arial" w:cs="Arial"/>
          <w:i/>
          <w:sz w:val="20"/>
          <w:szCs w:val="20"/>
          <w:lang w:val="en"/>
        </w:rPr>
      </w:pPr>
      <w:r w:rsidRPr="00000EDA">
        <w:rPr>
          <w:rStyle w:val="tlid-translation"/>
          <w:rFonts w:ascii="Arial" w:hAnsi="Arial" w:cs="Arial"/>
          <w:i/>
          <w:sz w:val="20"/>
          <w:szCs w:val="20"/>
          <w:lang w:val="en"/>
        </w:rPr>
        <w:t xml:space="preserve">The </w:t>
      </w:r>
      <w:proofErr w:type="spellStart"/>
      <w:r w:rsidRPr="00000EDA">
        <w:rPr>
          <w:rStyle w:val="tlid-translation"/>
          <w:rFonts w:ascii="Arial" w:hAnsi="Arial" w:cs="Arial"/>
          <w:i/>
          <w:sz w:val="20"/>
          <w:szCs w:val="20"/>
          <w:lang w:val="en"/>
        </w:rPr>
        <w:t>HBS</w:t>
      </w:r>
      <w:proofErr w:type="spellEnd"/>
      <w:r w:rsidRPr="00000EDA">
        <w:rPr>
          <w:rStyle w:val="tlid-translation"/>
          <w:rFonts w:ascii="Arial" w:hAnsi="Arial" w:cs="Arial"/>
          <w:i/>
          <w:sz w:val="20"/>
          <w:szCs w:val="20"/>
          <w:lang w:val="en"/>
        </w:rPr>
        <w:t xml:space="preserve"> </w:t>
      </w:r>
      <w:r w:rsidR="00A37965" w:rsidRPr="00000EDA">
        <w:rPr>
          <w:rStyle w:val="tlid-translation"/>
          <w:rFonts w:ascii="Arial" w:hAnsi="Arial" w:cs="Arial"/>
          <w:i/>
          <w:sz w:val="20"/>
          <w:szCs w:val="20"/>
          <w:lang w:val="en"/>
        </w:rPr>
        <w:t xml:space="preserve">sample </w:t>
      </w:r>
      <w:r w:rsidRPr="00000EDA">
        <w:rPr>
          <w:rStyle w:val="tlid-translation"/>
          <w:rFonts w:ascii="Arial" w:hAnsi="Arial" w:cs="Arial"/>
          <w:i/>
          <w:sz w:val="20"/>
          <w:szCs w:val="20"/>
          <w:lang w:val="en"/>
        </w:rPr>
        <w:t xml:space="preserve">was a sub-sample of households from </w:t>
      </w:r>
      <w:proofErr w:type="spellStart"/>
      <w:r w:rsidRPr="00000EDA">
        <w:rPr>
          <w:rStyle w:val="tlid-translation"/>
          <w:rFonts w:ascii="Arial" w:hAnsi="Arial" w:cs="Arial"/>
          <w:i/>
          <w:sz w:val="20"/>
          <w:szCs w:val="20"/>
          <w:lang w:val="en"/>
        </w:rPr>
        <w:t>SILC</w:t>
      </w:r>
      <w:proofErr w:type="spellEnd"/>
      <w:r w:rsidR="00F641E7" w:rsidRPr="00000EDA">
        <w:rPr>
          <w:rStyle w:val="tlid-translation"/>
          <w:rFonts w:ascii="Arial" w:hAnsi="Arial" w:cs="Arial"/>
          <w:i/>
          <w:sz w:val="20"/>
          <w:szCs w:val="20"/>
          <w:lang w:val="en"/>
        </w:rPr>
        <w:t>, thus</w:t>
      </w:r>
      <w:r w:rsidRPr="00000EDA">
        <w:rPr>
          <w:rStyle w:val="tlid-translation"/>
          <w:rFonts w:ascii="Arial" w:hAnsi="Arial" w:cs="Arial"/>
          <w:i/>
          <w:sz w:val="20"/>
          <w:szCs w:val="20"/>
          <w:lang w:val="en"/>
        </w:rPr>
        <w:t xml:space="preserve"> the </w:t>
      </w:r>
      <w:proofErr w:type="spellStart"/>
      <w:r w:rsidR="00D9078D" w:rsidRPr="00000EDA">
        <w:rPr>
          <w:rStyle w:val="tlid-translation"/>
          <w:rFonts w:ascii="Arial" w:hAnsi="Arial" w:cs="Arial"/>
          <w:i/>
          <w:sz w:val="20"/>
          <w:szCs w:val="20"/>
          <w:lang w:val="en"/>
        </w:rPr>
        <w:t>SILC</w:t>
      </w:r>
      <w:proofErr w:type="spellEnd"/>
      <w:r w:rsidR="00D9078D" w:rsidRPr="00000EDA">
        <w:rPr>
          <w:rStyle w:val="tlid-translation"/>
          <w:rFonts w:ascii="Arial" w:hAnsi="Arial" w:cs="Arial"/>
          <w:i/>
          <w:sz w:val="20"/>
          <w:szCs w:val="20"/>
          <w:lang w:val="en"/>
        </w:rPr>
        <w:t xml:space="preserve"> data </w:t>
      </w:r>
      <w:proofErr w:type="gramStart"/>
      <w:r w:rsidRPr="00000EDA">
        <w:rPr>
          <w:rStyle w:val="tlid-translation"/>
          <w:rFonts w:ascii="Arial" w:hAnsi="Arial" w:cs="Arial"/>
          <w:i/>
          <w:sz w:val="20"/>
          <w:szCs w:val="20"/>
          <w:lang w:val="en"/>
        </w:rPr>
        <w:t>were used</w:t>
      </w:r>
      <w:proofErr w:type="gramEnd"/>
      <w:r w:rsidRPr="00000EDA">
        <w:rPr>
          <w:rStyle w:val="tlid-translation"/>
          <w:rFonts w:ascii="Arial" w:hAnsi="Arial" w:cs="Arial"/>
          <w:i/>
          <w:sz w:val="20"/>
          <w:szCs w:val="20"/>
          <w:lang w:val="en"/>
        </w:rPr>
        <w:t xml:space="preserve"> as a </w:t>
      </w:r>
      <w:r w:rsidR="00D9078D" w:rsidRPr="00000EDA">
        <w:rPr>
          <w:rStyle w:val="tlid-translation"/>
          <w:rFonts w:ascii="Arial" w:hAnsi="Arial" w:cs="Arial"/>
          <w:i/>
          <w:sz w:val="20"/>
          <w:szCs w:val="20"/>
          <w:lang w:val="en"/>
        </w:rPr>
        <w:t xml:space="preserve">basis </w:t>
      </w:r>
      <w:r w:rsidRPr="00000EDA">
        <w:rPr>
          <w:rStyle w:val="tlid-translation"/>
          <w:rFonts w:ascii="Arial" w:hAnsi="Arial" w:cs="Arial"/>
          <w:i/>
          <w:sz w:val="20"/>
          <w:szCs w:val="20"/>
          <w:lang w:val="en"/>
        </w:rPr>
        <w:t xml:space="preserve">for </w:t>
      </w:r>
      <w:r w:rsidR="00D9078D" w:rsidRPr="00000EDA">
        <w:rPr>
          <w:rStyle w:val="tlid-translation"/>
          <w:rFonts w:ascii="Arial" w:hAnsi="Arial" w:cs="Arial"/>
          <w:i/>
          <w:sz w:val="20"/>
          <w:szCs w:val="20"/>
          <w:lang w:val="en"/>
        </w:rPr>
        <w:t>grossing-up</w:t>
      </w:r>
      <w:r w:rsidRPr="00000EDA">
        <w:rPr>
          <w:rStyle w:val="tlid-translation"/>
          <w:rFonts w:ascii="Arial" w:hAnsi="Arial" w:cs="Arial"/>
          <w:i/>
          <w:sz w:val="20"/>
          <w:szCs w:val="20"/>
          <w:lang w:val="en"/>
        </w:rPr>
        <w:t>. The significant non-r</w:t>
      </w:r>
      <w:r w:rsidR="00A821D7" w:rsidRPr="00000EDA">
        <w:rPr>
          <w:rStyle w:val="tlid-translation"/>
          <w:rFonts w:ascii="Arial" w:hAnsi="Arial" w:cs="Arial"/>
          <w:i/>
          <w:sz w:val="20"/>
          <w:szCs w:val="20"/>
          <w:lang w:val="en"/>
        </w:rPr>
        <w:t xml:space="preserve">esponse rate on the </w:t>
      </w:r>
      <w:proofErr w:type="gramStart"/>
      <w:r w:rsidR="00A821D7" w:rsidRPr="00000EDA">
        <w:rPr>
          <w:rStyle w:val="tlid-translation"/>
          <w:rFonts w:ascii="Arial" w:hAnsi="Arial" w:cs="Arial"/>
          <w:i/>
          <w:sz w:val="20"/>
          <w:szCs w:val="20"/>
          <w:lang w:val="en"/>
        </w:rPr>
        <w:t>1st</w:t>
      </w:r>
      <w:proofErr w:type="gramEnd"/>
      <w:r w:rsidR="00A821D7" w:rsidRPr="00000EDA">
        <w:rPr>
          <w:rStyle w:val="tlid-translation"/>
          <w:rFonts w:ascii="Arial" w:hAnsi="Arial" w:cs="Arial"/>
          <w:i/>
          <w:sz w:val="20"/>
          <w:szCs w:val="20"/>
          <w:lang w:val="en"/>
        </w:rPr>
        <w:t xml:space="preserve"> wave of</w:t>
      </w:r>
      <w:r w:rsidRPr="00000EDA">
        <w:rPr>
          <w:rStyle w:val="tlid-translation"/>
          <w:rFonts w:ascii="Arial" w:hAnsi="Arial" w:cs="Arial"/>
          <w:i/>
          <w:sz w:val="20"/>
          <w:szCs w:val="20"/>
          <w:lang w:val="en"/>
        </w:rPr>
        <w:t xml:space="preserve"> </w:t>
      </w:r>
      <w:proofErr w:type="spellStart"/>
      <w:r w:rsidRPr="00000EDA">
        <w:rPr>
          <w:rStyle w:val="tlid-translation"/>
          <w:rFonts w:ascii="Arial" w:hAnsi="Arial" w:cs="Arial"/>
          <w:i/>
          <w:sz w:val="20"/>
          <w:szCs w:val="20"/>
          <w:lang w:val="en"/>
        </w:rPr>
        <w:t>HBS</w:t>
      </w:r>
      <w:proofErr w:type="spellEnd"/>
      <w:r w:rsidRPr="00000EDA">
        <w:rPr>
          <w:rStyle w:val="tlid-translation"/>
          <w:rFonts w:ascii="Arial" w:hAnsi="Arial" w:cs="Arial"/>
          <w:i/>
          <w:sz w:val="20"/>
          <w:szCs w:val="20"/>
          <w:lang w:val="en"/>
        </w:rPr>
        <w:t xml:space="preserve">, influenced </w:t>
      </w:r>
      <w:r w:rsidR="007C0F6B" w:rsidRPr="00000EDA">
        <w:rPr>
          <w:rStyle w:val="tlid-translation"/>
          <w:rFonts w:ascii="Arial" w:hAnsi="Arial" w:cs="Arial"/>
          <w:i/>
          <w:sz w:val="20"/>
          <w:szCs w:val="20"/>
          <w:lang w:val="en"/>
        </w:rPr>
        <w:t xml:space="preserve">additionally </w:t>
      </w:r>
      <w:r w:rsidRPr="00000EDA">
        <w:rPr>
          <w:rStyle w:val="tlid-translation"/>
          <w:rFonts w:ascii="Arial" w:hAnsi="Arial" w:cs="Arial"/>
          <w:i/>
          <w:sz w:val="20"/>
          <w:szCs w:val="20"/>
          <w:lang w:val="en"/>
        </w:rPr>
        <w:t xml:space="preserve">by </w:t>
      </w:r>
      <w:r w:rsidR="00371E19" w:rsidRPr="00000EDA">
        <w:rPr>
          <w:rStyle w:val="tlid-translation"/>
          <w:rFonts w:ascii="Arial" w:hAnsi="Arial" w:cs="Arial"/>
          <w:i/>
          <w:sz w:val="20"/>
          <w:szCs w:val="20"/>
          <w:lang w:val="en"/>
        </w:rPr>
        <w:t xml:space="preserve">the </w:t>
      </w:r>
      <w:proofErr w:type="spellStart"/>
      <w:r w:rsidRPr="00000EDA">
        <w:rPr>
          <w:rStyle w:val="tlid-translation"/>
          <w:rFonts w:ascii="Arial" w:hAnsi="Arial" w:cs="Arial"/>
          <w:i/>
          <w:sz w:val="20"/>
          <w:szCs w:val="20"/>
          <w:lang w:val="en"/>
        </w:rPr>
        <w:t>SILC</w:t>
      </w:r>
      <w:proofErr w:type="spellEnd"/>
      <w:r w:rsidRPr="00000EDA">
        <w:rPr>
          <w:rStyle w:val="tlid-translation"/>
          <w:rFonts w:ascii="Arial" w:hAnsi="Arial" w:cs="Arial"/>
          <w:i/>
          <w:sz w:val="20"/>
          <w:szCs w:val="20"/>
          <w:lang w:val="en"/>
        </w:rPr>
        <w:t xml:space="preserve"> </w:t>
      </w:r>
      <w:r w:rsidR="007470EC" w:rsidRPr="00000EDA">
        <w:rPr>
          <w:rStyle w:val="tlid-translation"/>
          <w:rFonts w:ascii="Arial" w:hAnsi="Arial" w:cs="Arial"/>
          <w:i/>
          <w:sz w:val="20"/>
          <w:szCs w:val="20"/>
          <w:lang w:val="en"/>
        </w:rPr>
        <w:t xml:space="preserve">non-response during the </w:t>
      </w:r>
      <w:r w:rsidRPr="00000EDA">
        <w:rPr>
          <w:rStyle w:val="tlid-translation"/>
          <w:rFonts w:ascii="Arial" w:hAnsi="Arial" w:cs="Arial"/>
          <w:i/>
          <w:sz w:val="20"/>
          <w:szCs w:val="20"/>
          <w:lang w:val="en"/>
        </w:rPr>
        <w:t xml:space="preserve">previous years, disrupted the composition of </w:t>
      </w:r>
      <w:r w:rsidR="00A821D7" w:rsidRPr="00000EDA">
        <w:rPr>
          <w:rStyle w:val="tlid-translation"/>
          <w:rFonts w:ascii="Arial" w:hAnsi="Arial" w:cs="Arial"/>
          <w:i/>
          <w:sz w:val="20"/>
          <w:szCs w:val="20"/>
          <w:lang w:val="en"/>
        </w:rPr>
        <w:t>the final dataset from which</w:t>
      </w:r>
      <w:r w:rsidRPr="00000EDA">
        <w:rPr>
          <w:rStyle w:val="tlid-translation"/>
          <w:rFonts w:ascii="Arial" w:hAnsi="Arial" w:cs="Arial"/>
          <w:i/>
          <w:sz w:val="20"/>
          <w:szCs w:val="20"/>
          <w:lang w:val="en"/>
        </w:rPr>
        <w:t xml:space="preserve"> </w:t>
      </w:r>
      <w:proofErr w:type="spellStart"/>
      <w:r w:rsidRPr="00000EDA">
        <w:rPr>
          <w:rStyle w:val="tlid-translation"/>
          <w:rFonts w:ascii="Arial" w:hAnsi="Arial" w:cs="Arial"/>
          <w:i/>
          <w:sz w:val="20"/>
          <w:szCs w:val="20"/>
          <w:lang w:val="en"/>
        </w:rPr>
        <w:t>HBS</w:t>
      </w:r>
      <w:proofErr w:type="spellEnd"/>
      <w:r w:rsidRPr="00000EDA">
        <w:rPr>
          <w:rStyle w:val="tlid-translation"/>
          <w:rFonts w:ascii="Arial" w:hAnsi="Arial" w:cs="Arial"/>
          <w:i/>
          <w:sz w:val="20"/>
          <w:szCs w:val="20"/>
          <w:lang w:val="en"/>
        </w:rPr>
        <w:t xml:space="preserve"> results were </w:t>
      </w:r>
      <w:r w:rsidR="007470EC" w:rsidRPr="00000EDA">
        <w:rPr>
          <w:rStyle w:val="tlid-translation"/>
          <w:rFonts w:ascii="Arial" w:hAnsi="Arial" w:cs="Arial"/>
          <w:i/>
          <w:sz w:val="20"/>
          <w:szCs w:val="20"/>
          <w:lang w:val="en"/>
        </w:rPr>
        <w:t>calculated</w:t>
      </w:r>
      <w:r w:rsidRPr="00000EDA">
        <w:rPr>
          <w:rStyle w:val="tlid-translation"/>
          <w:rFonts w:ascii="Arial" w:hAnsi="Arial" w:cs="Arial"/>
          <w:i/>
          <w:sz w:val="20"/>
          <w:szCs w:val="20"/>
          <w:lang w:val="en"/>
        </w:rPr>
        <w:t>.</w:t>
      </w:r>
    </w:p>
    <w:p w14:paraId="6A5FF2CE" w14:textId="77777777" w:rsidR="001372D7" w:rsidRPr="00000EDA" w:rsidRDefault="001372D7" w:rsidP="00350B16">
      <w:pPr>
        <w:pStyle w:val="Zkladntext"/>
        <w:spacing w:after="120"/>
        <w:ind w:firstLine="709"/>
        <w:rPr>
          <w:rFonts w:ascii="Arial" w:hAnsi="Arial" w:cs="Arial"/>
          <w:i/>
          <w:sz w:val="20"/>
          <w:szCs w:val="20"/>
        </w:rPr>
      </w:pPr>
      <w:r w:rsidRPr="00000EDA">
        <w:rPr>
          <w:rStyle w:val="tlid-translation"/>
          <w:rFonts w:ascii="Arial" w:hAnsi="Arial" w:cs="Arial"/>
          <w:i/>
          <w:sz w:val="20"/>
          <w:szCs w:val="20"/>
          <w:lang w:val="en"/>
        </w:rPr>
        <w:t xml:space="preserve">The limiting factor </w:t>
      </w:r>
      <w:r w:rsidR="00A821D7" w:rsidRPr="00000EDA">
        <w:rPr>
          <w:rStyle w:val="tlid-translation"/>
          <w:rFonts w:ascii="Arial" w:hAnsi="Arial" w:cs="Arial"/>
          <w:i/>
          <w:sz w:val="20"/>
          <w:szCs w:val="20"/>
          <w:lang w:val="en"/>
        </w:rPr>
        <w:t xml:space="preserve">for the method of </w:t>
      </w:r>
      <w:r w:rsidR="007470EC" w:rsidRPr="00000EDA">
        <w:rPr>
          <w:rStyle w:val="tlid-translation"/>
          <w:rFonts w:ascii="Arial" w:hAnsi="Arial" w:cs="Arial"/>
          <w:i/>
          <w:sz w:val="20"/>
          <w:szCs w:val="20"/>
          <w:lang w:val="en"/>
        </w:rPr>
        <w:t xml:space="preserve">grossing-up </w:t>
      </w:r>
      <w:r w:rsidR="00A821D7" w:rsidRPr="00000EDA">
        <w:rPr>
          <w:rStyle w:val="tlid-translation"/>
          <w:rFonts w:ascii="Arial" w:hAnsi="Arial" w:cs="Arial"/>
          <w:i/>
          <w:sz w:val="20"/>
          <w:szCs w:val="20"/>
          <w:lang w:val="en"/>
        </w:rPr>
        <w:t>(</w:t>
      </w:r>
      <w:r w:rsidR="007470EC" w:rsidRPr="00000EDA">
        <w:rPr>
          <w:rStyle w:val="tlid-translation"/>
          <w:rFonts w:ascii="Arial" w:hAnsi="Arial" w:cs="Arial"/>
          <w:i/>
          <w:sz w:val="20"/>
          <w:szCs w:val="20"/>
          <w:lang w:val="en"/>
        </w:rPr>
        <w:t>or</w:t>
      </w:r>
      <w:r w:rsidR="00E87D0F" w:rsidRPr="00000EDA">
        <w:rPr>
          <w:rStyle w:val="tlid-translation"/>
          <w:rFonts w:ascii="Arial" w:hAnsi="Arial" w:cs="Arial"/>
          <w:i/>
          <w:sz w:val="20"/>
          <w:szCs w:val="20"/>
          <w:lang w:val="en"/>
        </w:rPr>
        <w:t>, rather,</w:t>
      </w:r>
      <w:r w:rsidR="007470EC" w:rsidRPr="00000EDA">
        <w:rPr>
          <w:rStyle w:val="tlid-translation"/>
          <w:rFonts w:ascii="Arial" w:hAnsi="Arial" w:cs="Arial"/>
          <w:i/>
          <w:sz w:val="20"/>
          <w:szCs w:val="20"/>
          <w:lang w:val="en"/>
        </w:rPr>
        <w:t xml:space="preserve"> calculation of weights</w:t>
      </w:r>
      <w:r w:rsidR="00504BF8" w:rsidRPr="00000EDA">
        <w:rPr>
          <w:rStyle w:val="tlid-translation"/>
          <w:rFonts w:ascii="Arial" w:hAnsi="Arial" w:cs="Arial"/>
          <w:i/>
          <w:sz w:val="20"/>
          <w:szCs w:val="20"/>
          <w:lang w:val="en"/>
        </w:rPr>
        <w:t xml:space="preserve"> </w:t>
      </w:r>
      <w:r w:rsidR="00A821D7" w:rsidRPr="00000EDA">
        <w:rPr>
          <w:rStyle w:val="tlid-translation"/>
          <w:rFonts w:ascii="Arial" w:hAnsi="Arial" w:cs="Arial"/>
          <w:i/>
          <w:sz w:val="20"/>
          <w:szCs w:val="20"/>
          <w:lang w:val="en"/>
        </w:rPr>
        <w:t>coefficients)</w:t>
      </w:r>
      <w:r w:rsidRPr="00000EDA">
        <w:rPr>
          <w:rStyle w:val="tlid-translation"/>
          <w:rFonts w:ascii="Arial" w:hAnsi="Arial" w:cs="Arial"/>
          <w:i/>
          <w:sz w:val="20"/>
          <w:szCs w:val="20"/>
          <w:lang w:val="en"/>
        </w:rPr>
        <w:t xml:space="preserve"> </w:t>
      </w:r>
      <w:r w:rsidR="00A821D7" w:rsidRPr="00000EDA">
        <w:rPr>
          <w:rStyle w:val="tlid-translation"/>
          <w:rFonts w:ascii="Arial" w:hAnsi="Arial" w:cs="Arial"/>
          <w:i/>
          <w:sz w:val="20"/>
          <w:szCs w:val="20"/>
          <w:lang w:val="en"/>
        </w:rPr>
        <w:t xml:space="preserve">was </w:t>
      </w:r>
      <w:r w:rsidRPr="00000EDA">
        <w:rPr>
          <w:rStyle w:val="tlid-translation"/>
          <w:rFonts w:ascii="Arial" w:hAnsi="Arial" w:cs="Arial"/>
          <w:i/>
          <w:sz w:val="20"/>
          <w:szCs w:val="20"/>
          <w:lang w:val="en"/>
        </w:rPr>
        <w:t xml:space="preserve">the </w:t>
      </w:r>
      <w:r w:rsidR="00E87D0F" w:rsidRPr="00000EDA">
        <w:rPr>
          <w:rStyle w:val="tlid-translation"/>
          <w:rFonts w:ascii="Arial" w:hAnsi="Arial" w:cs="Arial"/>
          <w:i/>
          <w:sz w:val="20"/>
          <w:szCs w:val="20"/>
          <w:lang w:val="en"/>
        </w:rPr>
        <w:t xml:space="preserve">relatively small size of the sample when combined with </w:t>
      </w:r>
      <w:r w:rsidRPr="00000EDA">
        <w:rPr>
          <w:rStyle w:val="tlid-translation"/>
          <w:rFonts w:ascii="Arial" w:hAnsi="Arial" w:cs="Arial"/>
          <w:i/>
          <w:sz w:val="20"/>
          <w:szCs w:val="20"/>
          <w:lang w:val="en"/>
        </w:rPr>
        <w:t xml:space="preserve">the </w:t>
      </w:r>
      <w:r w:rsidR="00E87D0F" w:rsidRPr="00000EDA">
        <w:rPr>
          <w:rStyle w:val="tlid-translation"/>
          <w:rFonts w:ascii="Arial" w:hAnsi="Arial" w:cs="Arial"/>
          <w:i/>
          <w:sz w:val="20"/>
          <w:szCs w:val="20"/>
          <w:lang w:val="en"/>
        </w:rPr>
        <w:t xml:space="preserve">lowered </w:t>
      </w:r>
      <w:r w:rsidRPr="00000EDA">
        <w:rPr>
          <w:rStyle w:val="tlid-translation"/>
          <w:rFonts w:ascii="Arial" w:hAnsi="Arial" w:cs="Arial"/>
          <w:i/>
          <w:sz w:val="20"/>
          <w:szCs w:val="20"/>
          <w:lang w:val="en"/>
        </w:rPr>
        <w:t xml:space="preserve">length of the reference period for </w:t>
      </w:r>
      <w:r w:rsidR="0041655B" w:rsidRPr="00000EDA">
        <w:rPr>
          <w:rStyle w:val="tlid-translation"/>
          <w:rFonts w:ascii="Arial" w:hAnsi="Arial" w:cs="Arial"/>
          <w:i/>
          <w:sz w:val="20"/>
          <w:szCs w:val="20"/>
          <w:lang w:val="en"/>
        </w:rPr>
        <w:t>collecting</w:t>
      </w:r>
      <w:r w:rsidR="00A821D7" w:rsidRPr="00000EDA">
        <w:rPr>
          <w:rStyle w:val="tlid-translation"/>
          <w:rFonts w:ascii="Arial" w:hAnsi="Arial" w:cs="Arial"/>
          <w:i/>
          <w:sz w:val="20"/>
          <w:szCs w:val="20"/>
          <w:lang w:val="en"/>
        </w:rPr>
        <w:t xml:space="preserve"> expenditure data</w:t>
      </w:r>
      <w:r w:rsidRPr="00000EDA">
        <w:rPr>
          <w:rStyle w:val="tlid-translation"/>
          <w:rFonts w:ascii="Arial" w:hAnsi="Arial" w:cs="Arial"/>
          <w:i/>
          <w:sz w:val="20"/>
          <w:szCs w:val="20"/>
          <w:lang w:val="en"/>
        </w:rPr>
        <w:t>.</w:t>
      </w:r>
    </w:p>
    <w:p w14:paraId="7DF2AAC4" w14:textId="77777777" w:rsidR="006C49BA" w:rsidRPr="00000EDA" w:rsidRDefault="006C49BA" w:rsidP="00350B16">
      <w:pPr>
        <w:pStyle w:val="Zkladntext"/>
        <w:spacing w:after="120"/>
        <w:rPr>
          <w:rFonts w:ascii="Arial" w:hAnsi="Arial" w:cs="Arial"/>
          <w:i/>
          <w:sz w:val="20"/>
          <w:szCs w:val="20"/>
        </w:rPr>
      </w:pPr>
      <w:r w:rsidRPr="00000EDA">
        <w:rPr>
          <w:rFonts w:ascii="Arial" w:hAnsi="Arial" w:cs="Arial"/>
          <w:i/>
          <w:sz w:val="20"/>
          <w:szCs w:val="20"/>
        </w:rPr>
        <w:t xml:space="preserve">The </w:t>
      </w:r>
      <w:r w:rsidR="0041655B" w:rsidRPr="00000EDA">
        <w:rPr>
          <w:rFonts w:ascii="Arial" w:hAnsi="Arial" w:cs="Arial"/>
          <w:i/>
          <w:sz w:val="20"/>
          <w:szCs w:val="20"/>
        </w:rPr>
        <w:t xml:space="preserve">grossing-up </w:t>
      </w:r>
      <w:r w:rsidRPr="00000EDA">
        <w:rPr>
          <w:rFonts w:ascii="Arial" w:hAnsi="Arial" w:cs="Arial"/>
          <w:i/>
          <w:sz w:val="20"/>
          <w:szCs w:val="20"/>
        </w:rPr>
        <w:t>included:</w:t>
      </w:r>
    </w:p>
    <w:p w14:paraId="618E0A8D" w14:textId="77777777" w:rsidR="0066178E" w:rsidRPr="004B5007" w:rsidRDefault="009B2541" w:rsidP="0066178E">
      <w:pPr>
        <w:pStyle w:val="Zkladntext"/>
        <w:numPr>
          <w:ilvl w:val="0"/>
          <w:numId w:val="21"/>
        </w:numPr>
        <w:tabs>
          <w:tab w:val="left" w:pos="0"/>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left="284" w:hanging="284"/>
        <w:rPr>
          <w:rStyle w:val="tlid-translation"/>
          <w:rFonts w:ascii="Arial" w:hAnsi="Arial" w:cs="Arial"/>
          <w:i/>
          <w:sz w:val="20"/>
          <w:szCs w:val="20"/>
        </w:rPr>
      </w:pPr>
      <w:r w:rsidRPr="004B5007">
        <w:rPr>
          <w:rStyle w:val="tlid-translation"/>
          <w:rFonts w:ascii="Arial" w:hAnsi="Arial" w:cs="Arial"/>
          <w:i/>
          <w:sz w:val="20"/>
          <w:szCs w:val="20"/>
          <w:u w:val="single"/>
          <w:lang w:val="en"/>
        </w:rPr>
        <w:t>Elimination of complete non-response</w:t>
      </w:r>
      <w:r w:rsidRPr="004B5007">
        <w:rPr>
          <w:rStyle w:val="tlid-translation"/>
          <w:rFonts w:ascii="Arial" w:hAnsi="Arial" w:cs="Arial"/>
          <w:i/>
          <w:sz w:val="20"/>
          <w:szCs w:val="20"/>
          <w:lang w:val="en"/>
        </w:rPr>
        <w:t xml:space="preserve">, </w:t>
      </w:r>
      <w:proofErr w:type="spellStart"/>
      <w:r w:rsidRPr="004B5007">
        <w:rPr>
          <w:rStyle w:val="tlid-translation"/>
          <w:rFonts w:ascii="Arial" w:hAnsi="Arial" w:cs="Arial"/>
          <w:i/>
          <w:sz w:val="20"/>
          <w:szCs w:val="20"/>
          <w:lang w:val="en"/>
        </w:rPr>
        <w:t>ie</w:t>
      </w:r>
      <w:proofErr w:type="spellEnd"/>
      <w:r w:rsidRPr="004B5007">
        <w:rPr>
          <w:rStyle w:val="tlid-translation"/>
          <w:rFonts w:ascii="Arial" w:hAnsi="Arial" w:cs="Arial"/>
          <w:i/>
          <w:sz w:val="20"/>
          <w:szCs w:val="20"/>
          <w:lang w:val="en"/>
        </w:rPr>
        <w:t xml:space="preserve"> assignment of correction coefficients </w:t>
      </w:r>
      <w:r w:rsidR="0041655B" w:rsidRPr="004B5007">
        <w:rPr>
          <w:rStyle w:val="tlid-translation"/>
          <w:rFonts w:ascii="Arial" w:hAnsi="Arial" w:cs="Arial"/>
          <w:i/>
          <w:sz w:val="20"/>
          <w:szCs w:val="20"/>
          <w:lang w:val="en"/>
        </w:rPr>
        <w:t xml:space="preserve">to </w:t>
      </w:r>
      <w:r w:rsidRPr="004B5007">
        <w:rPr>
          <w:rStyle w:val="tlid-translation"/>
          <w:rFonts w:ascii="Arial" w:hAnsi="Arial" w:cs="Arial"/>
          <w:i/>
          <w:sz w:val="20"/>
          <w:szCs w:val="20"/>
          <w:lang w:val="en"/>
        </w:rPr>
        <w:t xml:space="preserve">individual households </w:t>
      </w:r>
      <w:r w:rsidR="0041655B" w:rsidRPr="004B5007">
        <w:rPr>
          <w:rStyle w:val="tlid-translation"/>
          <w:rFonts w:ascii="Arial" w:hAnsi="Arial" w:cs="Arial"/>
          <w:i/>
          <w:sz w:val="20"/>
          <w:szCs w:val="20"/>
          <w:lang w:val="en"/>
        </w:rPr>
        <w:t>reflecting</w:t>
      </w:r>
      <w:r w:rsidRPr="004B5007">
        <w:rPr>
          <w:rStyle w:val="tlid-translation"/>
          <w:rFonts w:ascii="Arial" w:hAnsi="Arial" w:cs="Arial"/>
          <w:i/>
          <w:sz w:val="20"/>
          <w:szCs w:val="20"/>
          <w:lang w:val="en"/>
        </w:rPr>
        <w:t xml:space="preserve"> their </w:t>
      </w:r>
      <w:r w:rsidR="0041655B" w:rsidRPr="004B5007">
        <w:rPr>
          <w:rStyle w:val="tlid-translation"/>
          <w:rFonts w:ascii="Arial" w:hAnsi="Arial" w:cs="Arial"/>
          <w:i/>
          <w:sz w:val="20"/>
          <w:szCs w:val="20"/>
          <w:lang w:val="en"/>
        </w:rPr>
        <w:t xml:space="preserve">occurrence </w:t>
      </w:r>
      <w:r w:rsidRPr="004B5007">
        <w:rPr>
          <w:rStyle w:val="tlid-translation"/>
          <w:rFonts w:ascii="Arial" w:hAnsi="Arial" w:cs="Arial"/>
          <w:i/>
          <w:sz w:val="20"/>
          <w:szCs w:val="20"/>
          <w:lang w:val="en"/>
        </w:rPr>
        <w:t xml:space="preserve">in the </w:t>
      </w:r>
      <w:proofErr w:type="spellStart"/>
      <w:r w:rsidR="0041655B" w:rsidRPr="004B5007">
        <w:rPr>
          <w:rStyle w:val="tlid-translation"/>
          <w:rFonts w:ascii="Arial" w:hAnsi="Arial" w:cs="Arial"/>
          <w:i/>
          <w:sz w:val="20"/>
          <w:szCs w:val="20"/>
          <w:lang w:val="en"/>
        </w:rPr>
        <w:t>HBS</w:t>
      </w:r>
      <w:proofErr w:type="spellEnd"/>
      <w:r w:rsidR="0041655B" w:rsidRPr="004B5007">
        <w:rPr>
          <w:rStyle w:val="tlid-translation"/>
          <w:rFonts w:ascii="Arial" w:hAnsi="Arial" w:cs="Arial"/>
          <w:i/>
          <w:sz w:val="20"/>
          <w:szCs w:val="20"/>
          <w:lang w:val="en"/>
        </w:rPr>
        <w:t xml:space="preserve"> </w:t>
      </w:r>
      <w:r w:rsidRPr="004B5007">
        <w:rPr>
          <w:rStyle w:val="tlid-translation"/>
          <w:rFonts w:ascii="Arial" w:hAnsi="Arial" w:cs="Arial"/>
          <w:i/>
          <w:sz w:val="20"/>
          <w:szCs w:val="20"/>
          <w:lang w:val="en"/>
        </w:rPr>
        <w:t xml:space="preserve">sample in relation to population estimates </w:t>
      </w:r>
      <w:r w:rsidR="0041655B" w:rsidRPr="004B5007">
        <w:rPr>
          <w:rStyle w:val="tlid-translation"/>
          <w:rFonts w:ascii="Arial" w:hAnsi="Arial" w:cs="Arial"/>
          <w:i/>
          <w:sz w:val="20"/>
          <w:szCs w:val="20"/>
          <w:lang w:val="en"/>
        </w:rPr>
        <w:t xml:space="preserve">obtained </w:t>
      </w:r>
      <w:r w:rsidRPr="004B5007">
        <w:rPr>
          <w:rStyle w:val="tlid-translation"/>
          <w:rFonts w:ascii="Arial" w:hAnsi="Arial" w:cs="Arial"/>
          <w:i/>
          <w:sz w:val="20"/>
          <w:szCs w:val="20"/>
          <w:lang w:val="en"/>
        </w:rPr>
        <w:t xml:space="preserve">from </w:t>
      </w:r>
      <w:proofErr w:type="spellStart"/>
      <w:r w:rsidRPr="004B5007">
        <w:rPr>
          <w:rStyle w:val="tlid-translation"/>
          <w:rFonts w:ascii="Arial" w:hAnsi="Arial" w:cs="Arial"/>
          <w:i/>
          <w:sz w:val="20"/>
          <w:szCs w:val="20"/>
          <w:lang w:val="en"/>
        </w:rPr>
        <w:t>SILC</w:t>
      </w:r>
      <w:proofErr w:type="spellEnd"/>
      <w:r w:rsidRPr="004B5007">
        <w:rPr>
          <w:rStyle w:val="tlid-translation"/>
          <w:rFonts w:ascii="Arial" w:hAnsi="Arial" w:cs="Arial"/>
          <w:i/>
          <w:sz w:val="20"/>
          <w:szCs w:val="20"/>
          <w:lang w:val="en"/>
        </w:rPr>
        <w:t xml:space="preserve">. </w:t>
      </w:r>
      <w:r w:rsidR="00011DB8" w:rsidRPr="004B5007">
        <w:rPr>
          <w:rStyle w:val="tlid-translation"/>
          <w:rFonts w:ascii="Arial" w:hAnsi="Arial" w:cs="Arial"/>
          <w:i/>
          <w:sz w:val="20"/>
          <w:szCs w:val="20"/>
          <w:lang w:val="en"/>
        </w:rPr>
        <w:t xml:space="preserve">Weights were calculated using weight calibration iteration method with basic </w:t>
      </w:r>
      <w:proofErr w:type="spellStart"/>
      <w:r w:rsidR="00011DB8" w:rsidRPr="004B5007">
        <w:rPr>
          <w:rStyle w:val="tlid-translation"/>
          <w:rFonts w:ascii="Arial" w:hAnsi="Arial" w:cs="Arial"/>
          <w:i/>
          <w:sz w:val="20"/>
          <w:szCs w:val="20"/>
          <w:lang w:val="en"/>
        </w:rPr>
        <w:t>SILC</w:t>
      </w:r>
      <w:proofErr w:type="spellEnd"/>
      <w:r w:rsidR="00011DB8" w:rsidRPr="004B5007">
        <w:rPr>
          <w:rStyle w:val="tlid-translation"/>
          <w:rFonts w:ascii="Arial" w:hAnsi="Arial" w:cs="Arial"/>
          <w:i/>
          <w:sz w:val="20"/>
          <w:szCs w:val="20"/>
          <w:lang w:val="en"/>
        </w:rPr>
        <w:t xml:space="preserve"> population totals estimates as benchmarks </w:t>
      </w:r>
      <w:r w:rsidR="0066178E" w:rsidRPr="004B5007">
        <w:rPr>
          <w:rFonts w:ascii="Arial" w:hAnsi="Arial" w:cs="Arial"/>
          <w:i/>
          <w:sz w:val="20"/>
          <w:szCs w:val="20"/>
        </w:rPr>
        <w:t>(</w:t>
      </w:r>
      <w:r w:rsidR="00E26F37" w:rsidRPr="004B5007">
        <w:rPr>
          <w:rFonts w:ascii="Arial" w:hAnsi="Arial" w:cs="Arial"/>
          <w:i/>
          <w:sz w:val="20"/>
          <w:szCs w:val="20"/>
        </w:rPr>
        <w:t>number of households</w:t>
      </w:r>
      <w:r w:rsidR="0066178E" w:rsidRPr="004B5007">
        <w:rPr>
          <w:rFonts w:ascii="Arial" w:hAnsi="Arial" w:cs="Arial"/>
          <w:i/>
          <w:sz w:val="20"/>
          <w:szCs w:val="20"/>
        </w:rPr>
        <w:t xml:space="preserve">, </w:t>
      </w:r>
      <w:r w:rsidR="00011DB8" w:rsidRPr="004B5007">
        <w:rPr>
          <w:rFonts w:ascii="Arial" w:hAnsi="Arial" w:cs="Arial"/>
          <w:i/>
          <w:sz w:val="20"/>
          <w:szCs w:val="20"/>
        </w:rPr>
        <w:t>persons total</w:t>
      </w:r>
      <w:r w:rsidR="0066178E" w:rsidRPr="004B5007">
        <w:rPr>
          <w:rFonts w:ascii="Arial" w:hAnsi="Arial" w:cs="Arial"/>
          <w:i/>
          <w:sz w:val="20"/>
          <w:szCs w:val="20"/>
        </w:rPr>
        <w:t xml:space="preserve">, </w:t>
      </w:r>
      <w:r w:rsidR="00E26F37" w:rsidRPr="004B5007">
        <w:rPr>
          <w:rFonts w:ascii="Arial" w:hAnsi="Arial" w:cs="Arial"/>
          <w:i/>
          <w:sz w:val="20"/>
          <w:szCs w:val="20"/>
        </w:rPr>
        <w:t>working persons</w:t>
      </w:r>
      <w:r w:rsidR="0066178E" w:rsidRPr="004B5007">
        <w:rPr>
          <w:rFonts w:ascii="Arial" w:hAnsi="Arial" w:cs="Arial"/>
          <w:i/>
          <w:sz w:val="20"/>
          <w:szCs w:val="20"/>
        </w:rPr>
        <w:t xml:space="preserve">, </w:t>
      </w:r>
      <w:r w:rsidR="00E26F37" w:rsidRPr="004B5007">
        <w:rPr>
          <w:rStyle w:val="tlid-translation"/>
          <w:rFonts w:ascii="Arial" w:hAnsi="Arial" w:cs="Arial"/>
          <w:i/>
          <w:sz w:val="20"/>
          <w:szCs w:val="20"/>
          <w:lang w:val="en"/>
        </w:rPr>
        <w:t>dependent children</w:t>
      </w:r>
      <w:r w:rsidR="0066178E" w:rsidRPr="004B5007">
        <w:rPr>
          <w:rFonts w:ascii="Arial" w:hAnsi="Arial" w:cs="Arial"/>
          <w:i/>
          <w:sz w:val="20"/>
          <w:szCs w:val="20"/>
        </w:rPr>
        <w:t xml:space="preserve">, </w:t>
      </w:r>
      <w:r w:rsidR="00E26F37" w:rsidRPr="004B5007">
        <w:rPr>
          <w:rFonts w:ascii="Arial" w:hAnsi="Arial" w:cs="Arial"/>
          <w:i/>
          <w:sz w:val="20"/>
          <w:szCs w:val="20"/>
        </w:rPr>
        <w:t>non-working pensioners</w:t>
      </w:r>
      <w:r w:rsidR="0066178E" w:rsidRPr="004B5007">
        <w:rPr>
          <w:rFonts w:ascii="Arial" w:hAnsi="Arial" w:cs="Arial"/>
          <w:i/>
          <w:sz w:val="20"/>
          <w:szCs w:val="20"/>
        </w:rPr>
        <w:t xml:space="preserve"> a</w:t>
      </w:r>
      <w:r w:rsidR="00011DB8" w:rsidRPr="004B5007">
        <w:rPr>
          <w:rFonts w:ascii="Arial" w:hAnsi="Arial" w:cs="Arial"/>
          <w:i/>
          <w:sz w:val="20"/>
          <w:szCs w:val="20"/>
        </w:rPr>
        <w:t>nd</w:t>
      </w:r>
      <w:r w:rsidR="0066178E" w:rsidRPr="004B5007">
        <w:rPr>
          <w:rFonts w:ascii="Arial" w:hAnsi="Arial" w:cs="Arial"/>
          <w:i/>
          <w:sz w:val="20"/>
          <w:szCs w:val="20"/>
        </w:rPr>
        <w:t xml:space="preserve"> </w:t>
      </w:r>
      <w:r w:rsidR="00E26F37" w:rsidRPr="004B5007">
        <w:rPr>
          <w:rFonts w:ascii="Arial" w:hAnsi="Arial" w:cs="Arial"/>
          <w:i/>
          <w:sz w:val="20"/>
          <w:szCs w:val="20"/>
        </w:rPr>
        <w:t>unemployed persons</w:t>
      </w:r>
      <w:r w:rsidR="0066178E" w:rsidRPr="004B5007">
        <w:rPr>
          <w:rFonts w:ascii="Arial" w:hAnsi="Arial" w:cs="Arial"/>
          <w:i/>
          <w:sz w:val="20"/>
          <w:szCs w:val="20"/>
        </w:rPr>
        <w:t xml:space="preserve">), </w:t>
      </w:r>
      <w:r w:rsidR="00011DB8" w:rsidRPr="004B5007">
        <w:rPr>
          <w:rFonts w:ascii="Arial" w:hAnsi="Arial" w:cs="Arial"/>
          <w:i/>
          <w:sz w:val="20"/>
          <w:szCs w:val="20"/>
        </w:rPr>
        <w:t xml:space="preserve">including selected characteristics utilized </w:t>
      </w:r>
      <w:r w:rsidR="00363026" w:rsidRPr="004B5007">
        <w:rPr>
          <w:rFonts w:ascii="Arial" w:hAnsi="Arial" w:cs="Arial"/>
          <w:i/>
          <w:sz w:val="20"/>
          <w:szCs w:val="20"/>
        </w:rPr>
        <w:t>to classify households</w:t>
      </w:r>
      <w:r w:rsidR="00011DB8" w:rsidRPr="004B5007">
        <w:rPr>
          <w:rFonts w:ascii="Arial" w:hAnsi="Arial" w:cs="Arial"/>
          <w:i/>
          <w:sz w:val="20"/>
          <w:szCs w:val="20"/>
        </w:rPr>
        <w:t xml:space="preserve"> </w:t>
      </w:r>
      <w:r w:rsidR="00F34596" w:rsidRPr="004B5007">
        <w:rPr>
          <w:rFonts w:ascii="Arial" w:hAnsi="Arial" w:cs="Arial"/>
          <w:i/>
          <w:sz w:val="20"/>
          <w:szCs w:val="20"/>
        </w:rPr>
        <w:t>in publications</w:t>
      </w:r>
      <w:r w:rsidR="0066178E" w:rsidRPr="004B5007">
        <w:rPr>
          <w:rFonts w:ascii="Arial" w:hAnsi="Arial" w:cs="Arial"/>
          <w:i/>
          <w:sz w:val="20"/>
          <w:szCs w:val="20"/>
        </w:rPr>
        <w:t>:</w:t>
      </w:r>
    </w:p>
    <w:p w14:paraId="2137AC0D" w14:textId="77777777" w:rsidR="0091705A" w:rsidRPr="004B5007" w:rsidRDefault="0091705A" w:rsidP="001F63D8">
      <w:pPr>
        <w:numPr>
          <w:ilvl w:val="0"/>
          <w:numId w:val="20"/>
        </w:numPr>
        <w:tabs>
          <w:tab w:val="left" w:pos="101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Style w:val="tlid-translation"/>
          <w:rFonts w:ascii="Arial" w:hAnsi="Arial" w:cs="Arial"/>
          <w:i/>
          <w:sz w:val="20"/>
          <w:szCs w:val="20"/>
        </w:rPr>
      </w:pPr>
      <w:r w:rsidRPr="004B5007">
        <w:rPr>
          <w:rStyle w:val="tlid-translation"/>
          <w:rFonts w:ascii="Arial" w:hAnsi="Arial" w:cs="Arial"/>
          <w:i/>
          <w:sz w:val="20"/>
          <w:szCs w:val="20"/>
          <w:lang w:val="en"/>
        </w:rPr>
        <w:t>4 groups of households by activity status of the head of household (</w:t>
      </w:r>
      <w:r w:rsidR="001F63D8" w:rsidRPr="004B5007">
        <w:rPr>
          <w:rFonts w:ascii="Arial" w:hAnsi="Arial" w:cs="Arial"/>
          <w:i/>
          <w:iCs/>
          <w:sz w:val="20"/>
          <w:szCs w:val="20"/>
        </w:rPr>
        <w:t>employees with lower / upper education, self-employed, pensioners</w:t>
      </w:r>
      <w:r w:rsidRPr="004B5007">
        <w:rPr>
          <w:rStyle w:val="tlid-translation"/>
          <w:rFonts w:ascii="Arial" w:hAnsi="Arial" w:cs="Arial"/>
          <w:i/>
          <w:sz w:val="20"/>
          <w:szCs w:val="20"/>
          <w:lang w:val="en"/>
        </w:rPr>
        <w:t>);</w:t>
      </w:r>
    </w:p>
    <w:p w14:paraId="6FD0269E" w14:textId="77777777" w:rsidR="001F63D8" w:rsidRPr="004B5007" w:rsidRDefault="0011728A" w:rsidP="001F63D8">
      <w:pPr>
        <w:numPr>
          <w:ilvl w:val="0"/>
          <w:numId w:val="20"/>
        </w:numPr>
        <w:tabs>
          <w:tab w:val="left" w:pos="101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Style w:val="tlid-translation"/>
          <w:rFonts w:ascii="Arial" w:hAnsi="Arial" w:cs="Arial"/>
          <w:i/>
          <w:sz w:val="20"/>
          <w:szCs w:val="20"/>
        </w:rPr>
      </w:pPr>
      <w:r w:rsidRPr="004B5007">
        <w:rPr>
          <w:rStyle w:val="tlid-translation"/>
          <w:rFonts w:ascii="Arial" w:hAnsi="Arial" w:cs="Arial"/>
          <w:i/>
          <w:sz w:val="20"/>
          <w:szCs w:val="20"/>
          <w:lang w:val="en"/>
        </w:rPr>
        <w:t>4</w:t>
      </w:r>
      <w:r w:rsidR="001F63D8" w:rsidRPr="004B5007">
        <w:rPr>
          <w:rStyle w:val="tlid-translation"/>
          <w:rFonts w:ascii="Arial" w:hAnsi="Arial" w:cs="Arial"/>
          <w:i/>
          <w:sz w:val="20"/>
          <w:szCs w:val="20"/>
          <w:lang w:val="en"/>
        </w:rPr>
        <w:t xml:space="preserve"> groups of households by </w:t>
      </w:r>
      <w:r w:rsidRPr="004B5007">
        <w:rPr>
          <w:rStyle w:val="tlid-translation"/>
          <w:rFonts w:ascii="Arial" w:hAnsi="Arial" w:cs="Arial"/>
          <w:i/>
          <w:sz w:val="20"/>
          <w:szCs w:val="20"/>
          <w:lang w:val="en"/>
        </w:rPr>
        <w:t>tenure of dwelling</w:t>
      </w:r>
      <w:r w:rsidR="001F63D8" w:rsidRPr="004B5007">
        <w:rPr>
          <w:rStyle w:val="tlid-translation"/>
          <w:rFonts w:ascii="Arial" w:hAnsi="Arial" w:cs="Arial"/>
          <w:i/>
          <w:sz w:val="20"/>
          <w:szCs w:val="20"/>
          <w:lang w:val="en"/>
        </w:rPr>
        <w:t xml:space="preserve"> (own house, owner-occupier flat, co-operative flat, rented flat);</w:t>
      </w:r>
    </w:p>
    <w:p w14:paraId="1F666892" w14:textId="77777777" w:rsidR="001F63D8" w:rsidRPr="004B5007" w:rsidRDefault="001F63D8" w:rsidP="001F63D8">
      <w:pPr>
        <w:numPr>
          <w:ilvl w:val="0"/>
          <w:numId w:val="20"/>
        </w:numPr>
        <w:tabs>
          <w:tab w:val="left" w:pos="101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Style w:val="tlid-translation"/>
          <w:rFonts w:ascii="Arial" w:hAnsi="Arial" w:cs="Arial"/>
          <w:i/>
          <w:sz w:val="20"/>
          <w:szCs w:val="20"/>
        </w:rPr>
      </w:pPr>
      <w:r w:rsidRPr="004B5007">
        <w:rPr>
          <w:rStyle w:val="tlid-translation"/>
          <w:rFonts w:ascii="Arial" w:hAnsi="Arial" w:cs="Arial"/>
          <w:i/>
          <w:sz w:val="20"/>
          <w:szCs w:val="20"/>
          <w:lang w:val="en"/>
        </w:rPr>
        <w:t xml:space="preserve">2 groups of households by number of </w:t>
      </w:r>
      <w:r w:rsidR="0011728A" w:rsidRPr="004B5007">
        <w:rPr>
          <w:rStyle w:val="tlid-translation"/>
          <w:rFonts w:ascii="Arial" w:hAnsi="Arial" w:cs="Arial"/>
          <w:i/>
          <w:sz w:val="20"/>
          <w:szCs w:val="20"/>
          <w:lang w:val="en"/>
        </w:rPr>
        <w:t xml:space="preserve">dependent </w:t>
      </w:r>
      <w:r w:rsidRPr="004B5007">
        <w:rPr>
          <w:rStyle w:val="tlid-translation"/>
          <w:rFonts w:ascii="Arial" w:hAnsi="Arial" w:cs="Arial"/>
          <w:i/>
          <w:sz w:val="20"/>
          <w:szCs w:val="20"/>
          <w:lang w:val="en"/>
        </w:rPr>
        <w:t>children (without children or with children);</w:t>
      </w:r>
    </w:p>
    <w:p w14:paraId="36C6758B" w14:textId="77777777" w:rsidR="00350B16" w:rsidRPr="004B5007" w:rsidRDefault="00681D6F" w:rsidP="00350B16">
      <w:pPr>
        <w:pStyle w:val="Odstavecseseznamem"/>
        <w:numPr>
          <w:ilvl w:val="0"/>
          <w:numId w:val="20"/>
        </w:numPr>
        <w:spacing w:after="0" w:line="240" w:lineRule="auto"/>
        <w:ind w:left="714" w:hanging="357"/>
        <w:jc w:val="both"/>
        <w:rPr>
          <w:rStyle w:val="tlid-translation"/>
          <w:rFonts w:ascii="Arial" w:hAnsi="Arial" w:cs="Arial"/>
          <w:i/>
          <w:sz w:val="20"/>
          <w:szCs w:val="20"/>
          <w:lang w:val="cs-CZ"/>
        </w:rPr>
      </w:pPr>
      <w:r w:rsidRPr="004B5007">
        <w:rPr>
          <w:rStyle w:val="tlid-translation"/>
          <w:rFonts w:ascii="Arial" w:hAnsi="Arial" w:cs="Arial"/>
          <w:i/>
          <w:sz w:val="20"/>
          <w:szCs w:val="20"/>
          <w:lang w:val="en"/>
        </w:rPr>
        <w:t>5</w:t>
      </w:r>
      <w:r w:rsidR="009B2541" w:rsidRPr="004B5007">
        <w:rPr>
          <w:rStyle w:val="tlid-translation"/>
          <w:rFonts w:ascii="Arial" w:hAnsi="Arial" w:cs="Arial"/>
          <w:i/>
          <w:sz w:val="20"/>
          <w:szCs w:val="20"/>
          <w:lang w:val="en"/>
        </w:rPr>
        <w:t xml:space="preserve"> groups of households by </w:t>
      </w:r>
      <w:r w:rsidR="001F63D8" w:rsidRPr="004B5007">
        <w:rPr>
          <w:rStyle w:val="tlid-translation"/>
          <w:rFonts w:ascii="Arial" w:hAnsi="Arial" w:cs="Arial"/>
          <w:i/>
          <w:sz w:val="20"/>
          <w:szCs w:val="20"/>
          <w:lang w:val="en"/>
        </w:rPr>
        <w:t>municipality size</w:t>
      </w:r>
      <w:r w:rsidR="009B2541" w:rsidRPr="004B5007">
        <w:rPr>
          <w:rStyle w:val="tlid-translation"/>
          <w:rFonts w:ascii="Arial" w:hAnsi="Arial" w:cs="Arial"/>
          <w:i/>
          <w:sz w:val="20"/>
          <w:szCs w:val="20"/>
          <w:lang w:val="en"/>
        </w:rPr>
        <w:t>;</w:t>
      </w:r>
    </w:p>
    <w:p w14:paraId="76981A6D" w14:textId="77777777" w:rsidR="001F63D8" w:rsidRPr="004B5007" w:rsidRDefault="001F63D8" w:rsidP="00CE6700">
      <w:pPr>
        <w:pStyle w:val="Odstavecseseznamem"/>
        <w:numPr>
          <w:ilvl w:val="0"/>
          <w:numId w:val="20"/>
        </w:numPr>
        <w:spacing w:after="0" w:line="240" w:lineRule="auto"/>
        <w:ind w:left="714" w:hanging="357"/>
        <w:jc w:val="both"/>
        <w:rPr>
          <w:rFonts w:ascii="Arial" w:hAnsi="Arial" w:cs="Arial"/>
          <w:i/>
          <w:sz w:val="20"/>
          <w:szCs w:val="20"/>
        </w:rPr>
      </w:pPr>
      <w:proofErr w:type="gramStart"/>
      <w:r w:rsidRPr="004B5007">
        <w:rPr>
          <w:rFonts w:ascii="Arial" w:hAnsi="Arial" w:cs="Arial"/>
          <w:i/>
          <w:sz w:val="20"/>
          <w:szCs w:val="20"/>
        </w:rPr>
        <w:t>5</w:t>
      </w:r>
      <w:proofErr w:type="gramEnd"/>
      <w:r w:rsidRPr="004B5007">
        <w:rPr>
          <w:rFonts w:ascii="Arial" w:hAnsi="Arial" w:cs="Arial"/>
          <w:i/>
          <w:sz w:val="20"/>
          <w:szCs w:val="20"/>
        </w:rPr>
        <w:t xml:space="preserve"> groups of households by net money income per </w:t>
      </w:r>
      <w:r w:rsidR="005A2195">
        <w:rPr>
          <w:rFonts w:ascii="Arial" w:hAnsi="Arial" w:cs="Arial"/>
          <w:i/>
          <w:sz w:val="20"/>
          <w:szCs w:val="20"/>
        </w:rPr>
        <w:t>capita</w:t>
      </w:r>
      <w:r w:rsidRPr="004B5007">
        <w:rPr>
          <w:rFonts w:ascii="Arial" w:hAnsi="Arial" w:cs="Arial"/>
          <w:i/>
          <w:sz w:val="20"/>
          <w:szCs w:val="20"/>
        </w:rPr>
        <w:t xml:space="preserve"> (quintiles).</w:t>
      </w:r>
    </w:p>
    <w:p w14:paraId="443ACBFF" w14:textId="77777777" w:rsidR="001F63D8" w:rsidRPr="004B5007" w:rsidRDefault="005F7BBA" w:rsidP="00920C04">
      <w:pPr>
        <w:pStyle w:val="Zkladntext"/>
        <w:spacing w:after="120"/>
        <w:ind w:left="284"/>
        <w:rPr>
          <w:rFonts w:ascii="Arial" w:hAnsi="Arial" w:cs="Arial"/>
          <w:i/>
          <w:sz w:val="20"/>
          <w:szCs w:val="20"/>
        </w:rPr>
      </w:pPr>
      <w:proofErr w:type="gramStart"/>
      <w:r w:rsidRPr="004B5007">
        <w:rPr>
          <w:rFonts w:ascii="Arial" w:hAnsi="Arial" w:cs="Arial"/>
          <w:i/>
          <w:sz w:val="20"/>
          <w:szCs w:val="20"/>
        </w:rPr>
        <w:t>First of all</w:t>
      </w:r>
      <w:proofErr w:type="gramEnd"/>
      <w:r w:rsidRPr="004B5007">
        <w:rPr>
          <w:rFonts w:ascii="Arial" w:hAnsi="Arial" w:cs="Arial"/>
          <w:i/>
          <w:sz w:val="20"/>
          <w:szCs w:val="20"/>
        </w:rPr>
        <w:t>,</w:t>
      </w:r>
      <w:r w:rsidR="004B5007">
        <w:rPr>
          <w:rFonts w:ascii="Arial" w:hAnsi="Arial" w:cs="Arial"/>
          <w:i/>
          <w:sz w:val="20"/>
          <w:szCs w:val="20"/>
        </w:rPr>
        <w:t xml:space="preserve"> </w:t>
      </w:r>
      <w:r w:rsidRPr="004B5007">
        <w:rPr>
          <w:rFonts w:ascii="Arial" w:hAnsi="Arial" w:cs="Arial"/>
          <w:i/>
          <w:sz w:val="20"/>
          <w:szCs w:val="20"/>
        </w:rPr>
        <w:t>t</w:t>
      </w:r>
      <w:r w:rsidR="00F34596" w:rsidRPr="004B5007">
        <w:rPr>
          <w:rFonts w:ascii="Arial" w:hAnsi="Arial" w:cs="Arial"/>
          <w:i/>
          <w:sz w:val="20"/>
          <w:szCs w:val="20"/>
        </w:rPr>
        <w:t>his procedure corrects bias in social structure of households</w:t>
      </w:r>
      <w:r w:rsidRPr="004B5007">
        <w:rPr>
          <w:rFonts w:ascii="Arial" w:hAnsi="Arial" w:cs="Arial"/>
          <w:i/>
          <w:sz w:val="20"/>
          <w:szCs w:val="20"/>
        </w:rPr>
        <w:t xml:space="preserve">. </w:t>
      </w:r>
      <w:r w:rsidR="00B92BBF" w:rsidRPr="004B5007">
        <w:rPr>
          <w:rFonts w:ascii="Arial" w:hAnsi="Arial" w:cs="Arial"/>
          <w:i/>
          <w:sz w:val="20"/>
          <w:szCs w:val="20"/>
        </w:rPr>
        <w:t>Additionally</w:t>
      </w:r>
      <w:r w:rsidR="00F34596" w:rsidRPr="004B5007">
        <w:rPr>
          <w:rFonts w:ascii="Arial" w:hAnsi="Arial" w:cs="Arial"/>
          <w:i/>
          <w:sz w:val="20"/>
          <w:szCs w:val="20"/>
        </w:rPr>
        <w:t xml:space="preserve">, </w:t>
      </w:r>
      <w:r w:rsidRPr="004B5007">
        <w:rPr>
          <w:rFonts w:ascii="Arial" w:hAnsi="Arial" w:cs="Arial"/>
          <w:i/>
          <w:sz w:val="20"/>
          <w:szCs w:val="20"/>
        </w:rPr>
        <w:t xml:space="preserve">it </w:t>
      </w:r>
      <w:r w:rsidR="00363026" w:rsidRPr="004B5007">
        <w:rPr>
          <w:rFonts w:ascii="Arial" w:hAnsi="Arial" w:cs="Arial"/>
          <w:i/>
          <w:sz w:val="20"/>
          <w:szCs w:val="20"/>
        </w:rPr>
        <w:t>also</w:t>
      </w:r>
      <w:r w:rsidRPr="004B5007">
        <w:rPr>
          <w:rFonts w:ascii="Arial" w:hAnsi="Arial" w:cs="Arial"/>
          <w:i/>
          <w:sz w:val="20"/>
          <w:szCs w:val="20"/>
        </w:rPr>
        <w:t xml:space="preserve"> eliminates deformations in income distribution and consumption expenditures structures.</w:t>
      </w:r>
    </w:p>
    <w:p w14:paraId="1EB0CDFB" w14:textId="77777777" w:rsidR="00350B16" w:rsidRPr="00000EDA" w:rsidRDefault="009B2541" w:rsidP="00350B16">
      <w:pPr>
        <w:pStyle w:val="Zkladntext"/>
        <w:numPr>
          <w:ilvl w:val="0"/>
          <w:numId w:val="21"/>
        </w:numPr>
        <w:tabs>
          <w:tab w:val="left" w:pos="0"/>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120"/>
        <w:ind w:left="284" w:hanging="284"/>
        <w:rPr>
          <w:rFonts w:ascii="Arial" w:hAnsi="Arial" w:cs="Arial"/>
          <w:i/>
          <w:sz w:val="20"/>
          <w:szCs w:val="20"/>
        </w:rPr>
      </w:pPr>
      <w:r w:rsidRPr="00000EDA">
        <w:rPr>
          <w:rStyle w:val="tlid-translation"/>
          <w:rFonts w:ascii="Arial" w:hAnsi="Arial" w:cs="Arial"/>
          <w:i/>
          <w:sz w:val="20"/>
          <w:szCs w:val="20"/>
          <w:u w:val="single"/>
          <w:lang w:val="en"/>
        </w:rPr>
        <w:t>Elimination of partial non-response</w:t>
      </w:r>
      <w:r w:rsidRPr="00000EDA">
        <w:rPr>
          <w:rStyle w:val="tlid-translation"/>
          <w:rFonts w:ascii="Arial" w:hAnsi="Arial" w:cs="Arial"/>
          <w:i/>
          <w:sz w:val="20"/>
          <w:szCs w:val="20"/>
          <w:lang w:val="en"/>
        </w:rPr>
        <w:t xml:space="preserve"> </w:t>
      </w:r>
      <w:r w:rsidR="002F2FDB" w:rsidRPr="00000EDA">
        <w:rPr>
          <w:rStyle w:val="tlid-translation"/>
          <w:rFonts w:ascii="Arial" w:hAnsi="Arial" w:cs="Arial"/>
          <w:i/>
          <w:sz w:val="20"/>
          <w:szCs w:val="20"/>
          <w:lang w:val="en"/>
        </w:rPr>
        <w:t>–</w:t>
      </w:r>
      <w:r w:rsidRPr="00000EDA">
        <w:rPr>
          <w:rStyle w:val="tlid-translation"/>
          <w:rFonts w:ascii="Arial" w:hAnsi="Arial" w:cs="Arial"/>
          <w:i/>
          <w:sz w:val="20"/>
          <w:szCs w:val="20"/>
          <w:lang w:val="en"/>
        </w:rPr>
        <w:t xml:space="preserve"> insufficient description of selected expenditure items (especially housing expen</w:t>
      </w:r>
      <w:r w:rsidR="00BF4D41" w:rsidRPr="00000EDA">
        <w:rPr>
          <w:rStyle w:val="tlid-translation"/>
          <w:rFonts w:ascii="Arial" w:hAnsi="Arial" w:cs="Arial"/>
          <w:i/>
          <w:sz w:val="20"/>
          <w:szCs w:val="20"/>
          <w:lang w:val="en"/>
        </w:rPr>
        <w:t>diture</w:t>
      </w:r>
      <w:r w:rsidRPr="00000EDA">
        <w:rPr>
          <w:rStyle w:val="tlid-translation"/>
          <w:rFonts w:ascii="Arial" w:hAnsi="Arial" w:cs="Arial"/>
          <w:i/>
          <w:sz w:val="20"/>
          <w:szCs w:val="20"/>
          <w:lang w:val="en"/>
        </w:rPr>
        <w:t xml:space="preserve">s) did not allow their exact </w:t>
      </w:r>
      <w:r w:rsidR="00FA7DC7" w:rsidRPr="00000EDA">
        <w:rPr>
          <w:rStyle w:val="tlid-translation"/>
          <w:rFonts w:ascii="Arial" w:hAnsi="Arial" w:cs="Arial"/>
          <w:i/>
          <w:sz w:val="20"/>
          <w:szCs w:val="20"/>
          <w:lang w:val="en"/>
        </w:rPr>
        <w:t>coding using</w:t>
      </w:r>
      <w:r w:rsidRPr="00000EDA">
        <w:rPr>
          <w:rStyle w:val="tlid-translation"/>
          <w:rFonts w:ascii="Arial" w:hAnsi="Arial" w:cs="Arial"/>
          <w:i/>
          <w:sz w:val="20"/>
          <w:szCs w:val="20"/>
          <w:lang w:val="en"/>
        </w:rPr>
        <w:t xml:space="preserve"> the most detailed level of </w:t>
      </w:r>
      <w:proofErr w:type="spellStart"/>
      <w:r w:rsidRPr="00000EDA">
        <w:rPr>
          <w:rStyle w:val="tlid-translation"/>
          <w:rFonts w:ascii="Arial" w:hAnsi="Arial" w:cs="Arial"/>
          <w:i/>
          <w:sz w:val="20"/>
          <w:szCs w:val="20"/>
          <w:lang w:val="en"/>
        </w:rPr>
        <w:t>COICOP</w:t>
      </w:r>
      <w:proofErr w:type="spellEnd"/>
      <w:r w:rsidRPr="00000EDA">
        <w:rPr>
          <w:rStyle w:val="tlid-translation"/>
          <w:rFonts w:ascii="Arial" w:hAnsi="Arial" w:cs="Arial"/>
          <w:i/>
          <w:sz w:val="20"/>
          <w:szCs w:val="20"/>
          <w:lang w:val="en"/>
        </w:rPr>
        <w:t xml:space="preserve"> classification. The known structure of the relevant expenditure group </w:t>
      </w:r>
      <w:r w:rsidR="00C9255A" w:rsidRPr="00000EDA">
        <w:rPr>
          <w:rStyle w:val="tlid-translation"/>
          <w:rFonts w:ascii="Arial" w:hAnsi="Arial" w:cs="Arial"/>
          <w:i/>
          <w:sz w:val="20"/>
          <w:szCs w:val="20"/>
          <w:lang w:val="en"/>
        </w:rPr>
        <w:t>by</w:t>
      </w:r>
      <w:r w:rsidRPr="00000EDA">
        <w:rPr>
          <w:rStyle w:val="tlid-translation"/>
          <w:rFonts w:ascii="Arial" w:hAnsi="Arial" w:cs="Arial"/>
          <w:i/>
          <w:sz w:val="20"/>
          <w:szCs w:val="20"/>
          <w:lang w:val="en"/>
        </w:rPr>
        <w:t xml:space="preserve"> the selected types of households </w:t>
      </w:r>
      <w:proofErr w:type="gramStart"/>
      <w:r w:rsidRPr="00000EDA">
        <w:rPr>
          <w:rStyle w:val="tlid-translation"/>
          <w:rFonts w:ascii="Arial" w:hAnsi="Arial" w:cs="Arial"/>
          <w:i/>
          <w:sz w:val="20"/>
          <w:szCs w:val="20"/>
          <w:lang w:val="en"/>
        </w:rPr>
        <w:t>was used</w:t>
      </w:r>
      <w:proofErr w:type="gramEnd"/>
      <w:r w:rsidRPr="00000EDA">
        <w:rPr>
          <w:rStyle w:val="tlid-translation"/>
          <w:rFonts w:ascii="Arial" w:hAnsi="Arial" w:cs="Arial"/>
          <w:i/>
          <w:sz w:val="20"/>
          <w:szCs w:val="20"/>
          <w:lang w:val="en"/>
        </w:rPr>
        <w:t xml:space="preserve"> in these rare cases.</w:t>
      </w:r>
    </w:p>
    <w:p w14:paraId="7FDACF93" w14:textId="3CA31EF7" w:rsidR="00513F05" w:rsidRDefault="009B6389" w:rsidP="00350B16">
      <w:pPr>
        <w:pStyle w:val="Zkladntext"/>
        <w:spacing w:after="120"/>
        <w:ind w:firstLine="709"/>
        <w:rPr>
          <w:rStyle w:val="tlid-translation"/>
          <w:rFonts w:ascii="Arial" w:hAnsi="Arial" w:cs="Arial"/>
          <w:i/>
          <w:sz w:val="20"/>
          <w:szCs w:val="20"/>
          <w:lang w:val="en"/>
        </w:rPr>
      </w:pPr>
      <w:r w:rsidRPr="009B6389">
        <w:rPr>
          <w:rStyle w:val="tlid-translation"/>
          <w:rFonts w:ascii="Arial" w:hAnsi="Arial" w:cs="Arial"/>
          <w:i/>
          <w:sz w:val="20"/>
          <w:szCs w:val="20"/>
          <w:lang w:val="en"/>
        </w:rPr>
        <w:t>Results for 202</w:t>
      </w:r>
      <w:r w:rsidR="00FA3146">
        <w:rPr>
          <w:rStyle w:val="tlid-translation"/>
          <w:rFonts w:ascii="Arial" w:hAnsi="Arial" w:cs="Arial"/>
          <w:i/>
          <w:sz w:val="20"/>
          <w:szCs w:val="20"/>
          <w:lang w:val="en"/>
        </w:rPr>
        <w:t>4</w:t>
      </w:r>
      <w:r w:rsidRPr="009B6389">
        <w:rPr>
          <w:rStyle w:val="tlid-translation"/>
          <w:rFonts w:ascii="Arial" w:hAnsi="Arial" w:cs="Arial"/>
          <w:i/>
          <w:sz w:val="20"/>
          <w:szCs w:val="20"/>
          <w:lang w:val="en"/>
        </w:rPr>
        <w:t xml:space="preserve"> were based </w:t>
      </w:r>
      <w:proofErr w:type="gramStart"/>
      <w:r w:rsidRPr="009B6389">
        <w:rPr>
          <w:rStyle w:val="tlid-translation"/>
          <w:rFonts w:ascii="Arial" w:hAnsi="Arial" w:cs="Arial"/>
          <w:i/>
          <w:sz w:val="20"/>
          <w:szCs w:val="20"/>
          <w:lang w:val="en"/>
        </w:rPr>
        <w:t>not only on the 202</w:t>
      </w:r>
      <w:r w:rsidR="00FA3146">
        <w:rPr>
          <w:rStyle w:val="tlid-translation"/>
          <w:rFonts w:ascii="Arial" w:hAnsi="Arial" w:cs="Arial"/>
          <w:i/>
          <w:sz w:val="20"/>
          <w:szCs w:val="20"/>
          <w:lang w:val="en"/>
        </w:rPr>
        <w:t>4</w:t>
      </w:r>
      <w:r w:rsidRPr="009B6389">
        <w:rPr>
          <w:rStyle w:val="tlid-translation"/>
          <w:rFonts w:ascii="Arial" w:hAnsi="Arial" w:cs="Arial"/>
          <w:i/>
          <w:sz w:val="20"/>
          <w:szCs w:val="20"/>
          <w:lang w:val="en"/>
        </w:rPr>
        <w:t xml:space="preserve"> survey but also</w:t>
      </w:r>
      <w:proofErr w:type="gramEnd"/>
      <w:r w:rsidRPr="009B6389">
        <w:rPr>
          <w:rStyle w:val="tlid-translation"/>
          <w:rFonts w:ascii="Arial" w:hAnsi="Arial" w:cs="Arial"/>
          <w:i/>
          <w:sz w:val="20"/>
          <w:szCs w:val="20"/>
          <w:lang w:val="en"/>
        </w:rPr>
        <w:t xml:space="preserve"> included data of households in the 202</w:t>
      </w:r>
      <w:r w:rsidR="00FA3146">
        <w:rPr>
          <w:rStyle w:val="tlid-translation"/>
          <w:rFonts w:ascii="Arial" w:hAnsi="Arial" w:cs="Arial"/>
          <w:i/>
          <w:sz w:val="20"/>
          <w:szCs w:val="20"/>
          <w:lang w:val="en"/>
        </w:rPr>
        <w:t>3</w:t>
      </w:r>
      <w:r w:rsidRPr="009B6389">
        <w:rPr>
          <w:rStyle w:val="tlid-translation"/>
          <w:rFonts w:ascii="Arial" w:hAnsi="Arial" w:cs="Arial"/>
          <w:i/>
          <w:sz w:val="20"/>
          <w:szCs w:val="20"/>
          <w:lang w:val="en"/>
        </w:rPr>
        <w:t xml:space="preserve"> sample.</w:t>
      </w:r>
      <w:r w:rsidR="00513F05" w:rsidRPr="00F269F7">
        <w:rPr>
          <w:rStyle w:val="tlid-translation"/>
          <w:rFonts w:ascii="Arial" w:hAnsi="Arial" w:cs="Arial"/>
          <w:i/>
          <w:sz w:val="20"/>
          <w:szCs w:val="20"/>
          <w:lang w:val="en"/>
        </w:rPr>
        <w:t xml:space="preserve"> Expenditures of these households </w:t>
      </w:r>
      <w:proofErr w:type="gramStart"/>
      <w:r w:rsidR="00513F05" w:rsidRPr="00F269F7">
        <w:rPr>
          <w:rStyle w:val="tlid-translation"/>
          <w:rFonts w:ascii="Arial" w:hAnsi="Arial" w:cs="Arial"/>
          <w:i/>
          <w:sz w:val="20"/>
          <w:szCs w:val="20"/>
          <w:lang w:val="en"/>
        </w:rPr>
        <w:t xml:space="preserve">were correspondingly </w:t>
      </w:r>
      <w:r w:rsidR="003F6948" w:rsidRPr="00F269F7">
        <w:rPr>
          <w:rStyle w:val="tlid-translation"/>
          <w:rFonts w:ascii="Arial" w:hAnsi="Arial" w:cs="Arial"/>
          <w:i/>
          <w:sz w:val="20"/>
          <w:szCs w:val="20"/>
          <w:lang w:val="en"/>
        </w:rPr>
        <w:t>recalculated</w:t>
      </w:r>
      <w:proofErr w:type="gramEnd"/>
      <w:r w:rsidR="003F6948" w:rsidRPr="00F269F7">
        <w:rPr>
          <w:rStyle w:val="tlid-translation"/>
          <w:rFonts w:ascii="Arial" w:hAnsi="Arial" w:cs="Arial"/>
          <w:i/>
          <w:sz w:val="20"/>
          <w:szCs w:val="20"/>
          <w:lang w:val="en"/>
        </w:rPr>
        <w:t xml:space="preserve"> </w:t>
      </w:r>
      <w:r w:rsidR="00372D90" w:rsidRPr="00F269F7">
        <w:rPr>
          <w:rStyle w:val="tlid-translation"/>
          <w:rFonts w:ascii="Arial" w:hAnsi="Arial" w:cs="Arial"/>
          <w:i/>
          <w:sz w:val="20"/>
          <w:szCs w:val="20"/>
          <w:lang w:val="en"/>
        </w:rPr>
        <w:t xml:space="preserve">according to the new </w:t>
      </w:r>
      <w:proofErr w:type="spellStart"/>
      <w:r w:rsidR="00372D90" w:rsidRPr="00F269F7">
        <w:rPr>
          <w:rStyle w:val="tlid-translation"/>
          <w:rFonts w:ascii="Arial" w:hAnsi="Arial" w:cs="Arial"/>
          <w:i/>
          <w:sz w:val="20"/>
          <w:szCs w:val="20"/>
          <w:lang w:val="en"/>
        </w:rPr>
        <w:t>COICOP</w:t>
      </w:r>
      <w:proofErr w:type="spellEnd"/>
      <w:r w:rsidR="00372D90" w:rsidRPr="00F269F7">
        <w:rPr>
          <w:rStyle w:val="tlid-translation"/>
          <w:rFonts w:ascii="Arial" w:hAnsi="Arial" w:cs="Arial"/>
          <w:i/>
          <w:sz w:val="20"/>
          <w:szCs w:val="20"/>
          <w:lang w:val="en"/>
        </w:rPr>
        <w:t xml:space="preserve"> 2018</w:t>
      </w:r>
      <w:r w:rsidR="00513F05" w:rsidRPr="00F269F7">
        <w:rPr>
          <w:rStyle w:val="tlid-translation"/>
          <w:rFonts w:ascii="Arial" w:hAnsi="Arial" w:cs="Arial"/>
          <w:i/>
          <w:sz w:val="20"/>
          <w:szCs w:val="20"/>
          <w:lang w:val="en"/>
        </w:rPr>
        <w:t xml:space="preserve"> using average (moving) year-on-year consumer price indices.</w:t>
      </w:r>
    </w:p>
    <w:p w14:paraId="69D9D3CA" w14:textId="74203DB2" w:rsidR="00B6198D" w:rsidRPr="00CA4C5F" w:rsidRDefault="00B6198D" w:rsidP="00350B16">
      <w:pPr>
        <w:pStyle w:val="Zkladntext"/>
        <w:spacing w:after="120"/>
        <w:ind w:firstLine="709"/>
        <w:rPr>
          <w:rFonts w:ascii="Arial" w:hAnsi="Arial" w:cs="Arial"/>
          <w:i/>
          <w:sz w:val="20"/>
          <w:szCs w:val="20"/>
        </w:rPr>
      </w:pPr>
      <w:r w:rsidRPr="00000EDA">
        <w:rPr>
          <w:rFonts w:ascii="Arial" w:hAnsi="Arial" w:cs="Arial"/>
          <w:i/>
          <w:sz w:val="20"/>
          <w:szCs w:val="20"/>
        </w:rPr>
        <w:t xml:space="preserve">Net money income from </w:t>
      </w:r>
      <w:proofErr w:type="spellStart"/>
      <w:r w:rsidRPr="00000EDA">
        <w:rPr>
          <w:rFonts w:ascii="Arial" w:hAnsi="Arial" w:cs="Arial"/>
          <w:i/>
          <w:sz w:val="20"/>
          <w:szCs w:val="20"/>
        </w:rPr>
        <w:t>SILC</w:t>
      </w:r>
      <w:proofErr w:type="spellEnd"/>
      <w:r w:rsidRPr="00000EDA">
        <w:rPr>
          <w:rFonts w:ascii="Arial" w:hAnsi="Arial" w:cs="Arial"/>
          <w:i/>
          <w:sz w:val="20"/>
          <w:szCs w:val="20"/>
        </w:rPr>
        <w:t xml:space="preserve"> </w:t>
      </w:r>
      <w:proofErr w:type="gramStart"/>
      <w:r w:rsidRPr="00000EDA">
        <w:rPr>
          <w:rFonts w:ascii="Arial" w:hAnsi="Arial" w:cs="Arial"/>
          <w:i/>
          <w:sz w:val="20"/>
          <w:szCs w:val="20"/>
        </w:rPr>
        <w:t>was assigned</w:t>
      </w:r>
      <w:proofErr w:type="gramEnd"/>
      <w:r w:rsidRPr="00000EDA">
        <w:rPr>
          <w:rFonts w:ascii="Arial" w:hAnsi="Arial" w:cs="Arial"/>
          <w:i/>
          <w:sz w:val="20"/>
          <w:szCs w:val="20"/>
        </w:rPr>
        <w:t xml:space="preserve"> to every household for classification of households by income level. Net money income from </w:t>
      </w:r>
      <w:proofErr w:type="spellStart"/>
      <w:r w:rsidRPr="00000EDA">
        <w:rPr>
          <w:rFonts w:ascii="Arial" w:hAnsi="Arial" w:cs="Arial"/>
          <w:i/>
          <w:sz w:val="20"/>
          <w:szCs w:val="20"/>
        </w:rPr>
        <w:t>SILC</w:t>
      </w:r>
      <w:proofErr w:type="spellEnd"/>
      <w:r w:rsidRPr="00000EDA">
        <w:rPr>
          <w:rFonts w:ascii="Arial" w:hAnsi="Arial" w:cs="Arial"/>
          <w:i/>
          <w:sz w:val="20"/>
          <w:szCs w:val="20"/>
        </w:rPr>
        <w:t xml:space="preserve"> related to the previous year and </w:t>
      </w:r>
      <w:proofErr w:type="gramStart"/>
      <w:r w:rsidRPr="00000EDA">
        <w:rPr>
          <w:rFonts w:ascii="Arial" w:hAnsi="Arial" w:cs="Arial"/>
          <w:i/>
          <w:sz w:val="20"/>
          <w:szCs w:val="20"/>
        </w:rPr>
        <w:t xml:space="preserve">was </w:t>
      </w:r>
      <w:r w:rsidRPr="00000EDA">
        <w:rPr>
          <w:rStyle w:val="tlid-translation"/>
          <w:rFonts w:ascii="Arial" w:hAnsi="Arial" w:cs="Arial"/>
          <w:i/>
          <w:sz w:val="20"/>
          <w:szCs w:val="20"/>
          <w:lang w:val="en"/>
        </w:rPr>
        <w:t>adjusted</w:t>
      </w:r>
      <w:proofErr w:type="gramEnd"/>
      <w:r w:rsidRPr="00000EDA">
        <w:rPr>
          <w:rStyle w:val="tlid-translation"/>
          <w:rFonts w:ascii="Arial" w:hAnsi="Arial" w:cs="Arial"/>
          <w:i/>
          <w:sz w:val="20"/>
          <w:szCs w:val="20"/>
          <w:lang w:val="en"/>
        </w:rPr>
        <w:t xml:space="preserve"> by the year-on-year consumer price index.</w:t>
      </w:r>
    </w:p>
    <w:p w14:paraId="649ED0B6" w14:textId="77777777" w:rsidR="00350B16" w:rsidRPr="0048495C" w:rsidRDefault="00350B16" w:rsidP="00350B16">
      <w:pPr>
        <w:tabs>
          <w:tab w:val="left" w:pos="0"/>
          <w:tab w:val="left" w:pos="708"/>
          <w:tab w:val="left" w:pos="101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360"/>
        <w:jc w:val="both"/>
        <w:rPr>
          <w:rFonts w:ascii="Arial" w:hAnsi="Arial" w:cs="Arial"/>
          <w:sz w:val="20"/>
          <w:szCs w:val="20"/>
        </w:rPr>
      </w:pPr>
    </w:p>
    <w:p w14:paraId="3BB9B846" w14:textId="77777777" w:rsidR="00B74A71" w:rsidRPr="00CE6F8C" w:rsidRDefault="00D650B1" w:rsidP="00174541">
      <w:pPr>
        <w:spacing w:after="240"/>
        <w:jc w:val="both"/>
        <w:rPr>
          <w:rFonts w:ascii="Arial" w:hAnsi="Arial" w:cs="Arial"/>
          <w:b/>
          <w:bCs/>
          <w:i/>
          <w:sz w:val="28"/>
          <w:szCs w:val="28"/>
        </w:rPr>
      </w:pPr>
      <w:r>
        <w:rPr>
          <w:rFonts w:ascii="Arial" w:hAnsi="Arial" w:cs="Arial"/>
          <w:b/>
          <w:bCs/>
          <w:i/>
          <w:sz w:val="28"/>
          <w:szCs w:val="28"/>
        </w:rPr>
        <w:br w:type="page"/>
      </w:r>
      <w:r w:rsidR="00B74A71" w:rsidRPr="00CE6F8C">
        <w:rPr>
          <w:rFonts w:ascii="Arial" w:hAnsi="Arial" w:cs="Arial"/>
          <w:b/>
          <w:bCs/>
          <w:i/>
          <w:sz w:val="28"/>
          <w:szCs w:val="28"/>
        </w:rPr>
        <w:lastRenderedPageBreak/>
        <w:t xml:space="preserve">2. Methodological notes </w:t>
      </w:r>
      <w:r w:rsidR="00DE3F83">
        <w:rPr>
          <w:rFonts w:ascii="Arial" w:hAnsi="Arial" w:cs="Arial"/>
          <w:b/>
          <w:bCs/>
          <w:i/>
          <w:sz w:val="28"/>
          <w:szCs w:val="28"/>
        </w:rPr>
        <w:t>on</w:t>
      </w:r>
      <w:r w:rsidR="00DE3F83" w:rsidRPr="00CE6F8C">
        <w:rPr>
          <w:rFonts w:ascii="Arial" w:hAnsi="Arial" w:cs="Arial"/>
          <w:b/>
          <w:bCs/>
          <w:i/>
          <w:sz w:val="28"/>
          <w:szCs w:val="28"/>
        </w:rPr>
        <w:t xml:space="preserve"> </w:t>
      </w:r>
      <w:r w:rsidR="00B74A71" w:rsidRPr="00CE6F8C">
        <w:rPr>
          <w:rFonts w:ascii="Arial" w:hAnsi="Arial" w:cs="Arial"/>
          <w:b/>
          <w:bCs/>
          <w:i/>
          <w:sz w:val="28"/>
          <w:szCs w:val="28"/>
        </w:rPr>
        <w:t>published tables</w:t>
      </w:r>
    </w:p>
    <w:p w14:paraId="5EDF2D52" w14:textId="77777777" w:rsidR="00B74A71" w:rsidRPr="00000EDA" w:rsidRDefault="00B74A71">
      <w:pPr>
        <w:pStyle w:val="Zkladntextodsazen2"/>
        <w:rPr>
          <w:rFonts w:ascii="Arial" w:hAnsi="Arial" w:cs="Arial"/>
          <w:i/>
          <w:sz w:val="20"/>
          <w:szCs w:val="20"/>
        </w:rPr>
      </w:pPr>
      <w:r w:rsidRPr="002442A9">
        <w:rPr>
          <w:rFonts w:ascii="Arial" w:hAnsi="Arial" w:cs="Arial"/>
          <w:i/>
          <w:sz w:val="20"/>
          <w:szCs w:val="20"/>
        </w:rPr>
        <w:t xml:space="preserve">The publication contains the results for </w:t>
      </w:r>
      <w:r w:rsidRPr="002F2FDB">
        <w:rPr>
          <w:rFonts w:ascii="Arial" w:hAnsi="Arial" w:cs="Arial"/>
          <w:i/>
          <w:sz w:val="20"/>
          <w:szCs w:val="20"/>
          <w:u w:val="single"/>
        </w:rPr>
        <w:t>households</w:t>
      </w:r>
      <w:r w:rsidRPr="002442A9">
        <w:rPr>
          <w:rFonts w:ascii="Arial" w:hAnsi="Arial" w:cs="Arial"/>
          <w:i/>
          <w:sz w:val="20"/>
          <w:szCs w:val="20"/>
        </w:rPr>
        <w:t xml:space="preserve">. The definition of household is based on the sharing of expenditures concept, </w:t>
      </w:r>
      <w:r w:rsidR="00DE3F83" w:rsidRPr="002442A9">
        <w:rPr>
          <w:rFonts w:ascii="Arial" w:hAnsi="Arial" w:cs="Arial"/>
          <w:i/>
          <w:sz w:val="20"/>
          <w:szCs w:val="20"/>
        </w:rPr>
        <w:t xml:space="preserve">which is </w:t>
      </w:r>
      <w:proofErr w:type="gramStart"/>
      <w:r w:rsidR="00DE3F83" w:rsidRPr="002442A9">
        <w:rPr>
          <w:rFonts w:ascii="Arial" w:hAnsi="Arial" w:cs="Arial"/>
          <w:i/>
          <w:sz w:val="20"/>
          <w:szCs w:val="20"/>
        </w:rPr>
        <w:t>further</w:t>
      </w:r>
      <w:proofErr w:type="gramEnd"/>
      <w:r w:rsidR="00DE3F83" w:rsidRPr="002442A9">
        <w:rPr>
          <w:rFonts w:ascii="Arial" w:hAnsi="Arial" w:cs="Arial"/>
          <w:i/>
          <w:sz w:val="20"/>
          <w:szCs w:val="20"/>
        </w:rPr>
        <w:t xml:space="preserve"> </w:t>
      </w:r>
      <w:r w:rsidRPr="002442A9">
        <w:rPr>
          <w:rFonts w:ascii="Arial" w:hAnsi="Arial" w:cs="Arial"/>
          <w:i/>
          <w:sz w:val="20"/>
          <w:szCs w:val="20"/>
        </w:rPr>
        <w:t xml:space="preserve">based on the declaration of the persons in the dwelling that </w:t>
      </w:r>
      <w:r w:rsidRPr="00000EDA">
        <w:rPr>
          <w:rFonts w:ascii="Arial" w:hAnsi="Arial" w:cs="Arial"/>
          <w:i/>
          <w:sz w:val="20"/>
          <w:szCs w:val="20"/>
        </w:rPr>
        <w:t>they permanently live together and pool their finances to cover their needs.</w:t>
      </w:r>
    </w:p>
    <w:p w14:paraId="32DA7F1A" w14:textId="77777777" w:rsidR="00B6198D" w:rsidRPr="00000EDA" w:rsidRDefault="00B6198D" w:rsidP="00B6198D">
      <w:pPr>
        <w:pStyle w:val="Zkladntextodsazen2"/>
        <w:rPr>
          <w:rFonts w:ascii="Arial" w:hAnsi="Arial" w:cs="Arial"/>
          <w:i/>
          <w:sz w:val="20"/>
          <w:szCs w:val="20"/>
        </w:rPr>
      </w:pPr>
      <w:r w:rsidRPr="00000EDA">
        <w:rPr>
          <w:rFonts w:ascii="Arial" w:hAnsi="Arial" w:cs="Arial"/>
          <w:i/>
          <w:sz w:val="20"/>
          <w:szCs w:val="20"/>
        </w:rPr>
        <w:t xml:space="preserve">Demographic variables (marital status, education) and economic activity </w:t>
      </w:r>
      <w:proofErr w:type="gramStart"/>
      <w:r w:rsidRPr="00000EDA">
        <w:rPr>
          <w:rFonts w:ascii="Arial" w:hAnsi="Arial" w:cs="Arial"/>
          <w:i/>
          <w:sz w:val="20"/>
          <w:szCs w:val="20"/>
        </w:rPr>
        <w:t>were collected</w:t>
      </w:r>
      <w:proofErr w:type="gramEnd"/>
      <w:r w:rsidRPr="00000EDA">
        <w:rPr>
          <w:rFonts w:ascii="Arial" w:hAnsi="Arial" w:cs="Arial"/>
          <w:i/>
          <w:sz w:val="20"/>
          <w:szCs w:val="20"/>
        </w:rPr>
        <w:t xml:space="preserve"> as to the date of the </w:t>
      </w:r>
      <w:r w:rsidRPr="00000EDA">
        <w:rPr>
          <w:rFonts w:ascii="Arial" w:hAnsi="Arial" w:cs="Arial"/>
          <w:i/>
          <w:sz w:val="20"/>
          <w:szCs w:val="20"/>
          <w:lang w:val="en-US"/>
        </w:rPr>
        <w:t>opening interview</w:t>
      </w:r>
      <w:r w:rsidRPr="00000EDA">
        <w:rPr>
          <w:rFonts w:ascii="Arial" w:hAnsi="Arial" w:cs="Arial"/>
          <w:i/>
          <w:sz w:val="20"/>
          <w:szCs w:val="20"/>
        </w:rPr>
        <w:t>. Household expenditures</w:t>
      </w:r>
      <w:r w:rsidRPr="00000EDA">
        <w:rPr>
          <w:rFonts w:ascii="Arial" w:hAnsi="Arial" w:cs="Arial"/>
          <w:i/>
          <w:sz w:val="20"/>
          <w:szCs w:val="20"/>
          <w:lang w:val="en-US"/>
        </w:rPr>
        <w:t xml:space="preserve"> were reported for a period of </w:t>
      </w:r>
      <w:proofErr w:type="gramStart"/>
      <w:r w:rsidRPr="00000EDA">
        <w:rPr>
          <w:rFonts w:ascii="Arial" w:hAnsi="Arial" w:cs="Arial"/>
          <w:i/>
          <w:sz w:val="20"/>
          <w:szCs w:val="20"/>
          <w:lang w:val="en-US"/>
        </w:rPr>
        <w:t>8</w:t>
      </w:r>
      <w:proofErr w:type="gramEnd"/>
      <w:r w:rsidRPr="00000EDA">
        <w:rPr>
          <w:rFonts w:ascii="Arial" w:hAnsi="Arial" w:cs="Arial"/>
          <w:i/>
          <w:sz w:val="20"/>
          <w:szCs w:val="20"/>
          <w:lang w:val="en-US"/>
        </w:rPr>
        <w:t xml:space="preserve"> consecutive calendar weeks.</w:t>
      </w:r>
    </w:p>
    <w:p w14:paraId="034AD9E5" w14:textId="77777777" w:rsidR="007C6755" w:rsidRPr="00000EDA" w:rsidRDefault="00BC6EAD" w:rsidP="00D116FD">
      <w:pPr>
        <w:pStyle w:val="Zkladntext"/>
        <w:spacing w:after="120"/>
        <w:ind w:firstLine="709"/>
        <w:rPr>
          <w:rFonts w:ascii="Arial" w:hAnsi="Arial" w:cs="Arial"/>
          <w:i/>
          <w:sz w:val="20"/>
          <w:szCs w:val="20"/>
        </w:rPr>
      </w:pPr>
      <w:r w:rsidRPr="00000EDA">
        <w:rPr>
          <w:rFonts w:ascii="Arial" w:hAnsi="Arial" w:cs="Arial"/>
          <w:i/>
          <w:sz w:val="20"/>
          <w:szCs w:val="20"/>
          <w:u w:val="single"/>
        </w:rPr>
        <w:t>Characteristics of households</w:t>
      </w:r>
      <w:r w:rsidRPr="00000EDA">
        <w:rPr>
          <w:rFonts w:ascii="Arial" w:hAnsi="Arial" w:cs="Arial"/>
          <w:i/>
          <w:sz w:val="20"/>
          <w:szCs w:val="20"/>
        </w:rPr>
        <w:t xml:space="preserve"> </w:t>
      </w:r>
      <w:r w:rsidR="00DE3F83" w:rsidRPr="00000EDA">
        <w:rPr>
          <w:rFonts w:ascii="Arial" w:hAnsi="Arial" w:cs="Arial"/>
          <w:i/>
          <w:sz w:val="20"/>
          <w:szCs w:val="20"/>
        </w:rPr>
        <w:t>present</w:t>
      </w:r>
      <w:r w:rsidR="00E46D82" w:rsidRPr="00000EDA">
        <w:rPr>
          <w:rFonts w:ascii="Arial" w:hAnsi="Arial" w:cs="Arial"/>
          <w:i/>
          <w:sz w:val="20"/>
          <w:szCs w:val="20"/>
        </w:rPr>
        <w:t xml:space="preserve"> </w:t>
      </w:r>
      <w:r w:rsidRPr="00000EDA">
        <w:rPr>
          <w:rFonts w:ascii="Arial" w:hAnsi="Arial" w:cs="Arial"/>
          <w:i/>
          <w:sz w:val="20"/>
          <w:szCs w:val="20"/>
        </w:rPr>
        <w:t xml:space="preserve">their structure according to the various classification criteria and </w:t>
      </w:r>
      <w:r w:rsidR="00E46D82" w:rsidRPr="00000EDA">
        <w:rPr>
          <w:rFonts w:ascii="Arial" w:hAnsi="Arial" w:cs="Arial"/>
          <w:i/>
          <w:sz w:val="20"/>
          <w:szCs w:val="20"/>
        </w:rPr>
        <w:t xml:space="preserve">thus </w:t>
      </w:r>
      <w:r w:rsidRPr="00000EDA">
        <w:rPr>
          <w:rFonts w:ascii="Arial" w:hAnsi="Arial" w:cs="Arial"/>
          <w:i/>
          <w:sz w:val="20"/>
          <w:szCs w:val="20"/>
        </w:rPr>
        <w:t>supplement or explain data on expenditure</w:t>
      </w:r>
      <w:r w:rsidR="00D722E2" w:rsidRPr="00000EDA">
        <w:rPr>
          <w:rFonts w:ascii="Arial" w:hAnsi="Arial" w:cs="Arial"/>
          <w:i/>
          <w:sz w:val="20"/>
          <w:szCs w:val="20"/>
        </w:rPr>
        <w:t>s</w:t>
      </w:r>
      <w:r w:rsidRPr="00000EDA">
        <w:rPr>
          <w:rFonts w:ascii="Arial" w:hAnsi="Arial" w:cs="Arial"/>
          <w:i/>
          <w:sz w:val="20"/>
          <w:szCs w:val="20"/>
        </w:rPr>
        <w:t>.</w:t>
      </w:r>
    </w:p>
    <w:p w14:paraId="6995EAAC" w14:textId="77777777" w:rsidR="00987EE3" w:rsidRPr="00000EDA" w:rsidRDefault="00987EE3" w:rsidP="00987EE3">
      <w:pPr>
        <w:pStyle w:val="Zkladntextodsazen"/>
        <w:rPr>
          <w:rFonts w:ascii="Arial" w:hAnsi="Arial" w:cs="Arial"/>
          <w:i/>
          <w:sz w:val="20"/>
          <w:szCs w:val="20"/>
        </w:rPr>
      </w:pPr>
      <w:r w:rsidRPr="00000EDA">
        <w:rPr>
          <w:rFonts w:ascii="Arial" w:hAnsi="Arial" w:cs="Arial"/>
          <w:i/>
          <w:sz w:val="20"/>
          <w:szCs w:val="20"/>
        </w:rPr>
        <w:t xml:space="preserve">Values in the tables </w:t>
      </w:r>
      <w:proofErr w:type="gramStart"/>
      <w:r w:rsidRPr="00000EDA">
        <w:rPr>
          <w:rFonts w:ascii="Arial" w:hAnsi="Arial" w:cs="Arial"/>
          <w:i/>
          <w:sz w:val="20"/>
          <w:szCs w:val="20"/>
        </w:rPr>
        <w:t>were calculated from the weighted microdata and rounded</w:t>
      </w:r>
      <w:proofErr w:type="gramEnd"/>
      <w:r w:rsidRPr="00000EDA">
        <w:rPr>
          <w:rFonts w:ascii="Arial" w:hAnsi="Arial" w:cs="Arial"/>
          <w:i/>
          <w:sz w:val="20"/>
          <w:szCs w:val="20"/>
        </w:rPr>
        <w:t>. The total counts of households or persons may therefore not always exactly correspond to the sum of the counts for a given breakdown. For the same reason, the sum of percentages may not always be equal to 100.</w:t>
      </w:r>
    </w:p>
    <w:p w14:paraId="3758C970" w14:textId="77777777" w:rsidR="00987EE3" w:rsidRPr="00000EDA" w:rsidRDefault="00987EE3" w:rsidP="00987EE3">
      <w:pPr>
        <w:pStyle w:val="Zkladntextodsazen"/>
        <w:rPr>
          <w:rFonts w:ascii="Arial" w:hAnsi="Arial" w:cs="Arial"/>
          <w:i/>
          <w:sz w:val="20"/>
          <w:szCs w:val="20"/>
        </w:rPr>
      </w:pPr>
      <w:r w:rsidRPr="00000EDA">
        <w:rPr>
          <w:rFonts w:ascii="Arial" w:hAnsi="Arial" w:cs="Arial"/>
          <w:i/>
          <w:sz w:val="20"/>
          <w:szCs w:val="20"/>
        </w:rPr>
        <w:t xml:space="preserve">The use of tags in tables has established rules. Zero (0) </w:t>
      </w:r>
      <w:proofErr w:type="gramStart"/>
      <w:r w:rsidRPr="00000EDA">
        <w:rPr>
          <w:rFonts w:ascii="Arial" w:hAnsi="Arial" w:cs="Arial"/>
          <w:i/>
          <w:sz w:val="20"/>
          <w:szCs w:val="20"/>
        </w:rPr>
        <w:t>is used</w:t>
      </w:r>
      <w:proofErr w:type="gramEnd"/>
      <w:r w:rsidRPr="00000EDA">
        <w:rPr>
          <w:rFonts w:ascii="Arial" w:hAnsi="Arial" w:cs="Arial"/>
          <w:i/>
          <w:sz w:val="20"/>
          <w:szCs w:val="20"/>
        </w:rPr>
        <w:t xml:space="preserve"> to indicate figures smaller than half of the selected unit of measure, a dash (-) is used if the event did not occur. The dot (.) means that the data is not available, and a cross (x) shows that the entry is not possible for logical reasons.</w:t>
      </w:r>
    </w:p>
    <w:p w14:paraId="6434AF51" w14:textId="77777777" w:rsidR="00B6198D" w:rsidRPr="00CA4C5F" w:rsidRDefault="00987EE3" w:rsidP="00987EE3">
      <w:pPr>
        <w:spacing w:after="120"/>
        <w:ind w:firstLine="708"/>
        <w:jc w:val="both"/>
        <w:rPr>
          <w:rFonts w:ascii="Arial" w:hAnsi="Arial" w:cs="Arial"/>
          <w:i/>
          <w:sz w:val="20"/>
          <w:szCs w:val="20"/>
        </w:rPr>
      </w:pPr>
      <w:r w:rsidRPr="00000EDA">
        <w:rPr>
          <w:rFonts w:ascii="Arial" w:hAnsi="Arial" w:cs="Arial"/>
          <w:i/>
          <w:sz w:val="20"/>
          <w:szCs w:val="20"/>
        </w:rPr>
        <w:t xml:space="preserve">Whenever the term “children” </w:t>
      </w:r>
      <w:proofErr w:type="gramStart"/>
      <w:r w:rsidRPr="00000EDA">
        <w:rPr>
          <w:rFonts w:ascii="Arial" w:hAnsi="Arial" w:cs="Arial"/>
          <w:i/>
          <w:sz w:val="20"/>
          <w:szCs w:val="20"/>
        </w:rPr>
        <w:t>is used</w:t>
      </w:r>
      <w:proofErr w:type="gramEnd"/>
      <w:r w:rsidRPr="00000EDA">
        <w:rPr>
          <w:rFonts w:ascii="Arial" w:hAnsi="Arial" w:cs="Arial"/>
          <w:i/>
          <w:sz w:val="20"/>
          <w:szCs w:val="20"/>
        </w:rPr>
        <w:t xml:space="preserve"> in table headings, it always means dependent children (in accordance with the definition in part 2.1.1). </w:t>
      </w:r>
      <w:r w:rsidR="00B6198D" w:rsidRPr="00000EDA">
        <w:rPr>
          <w:rFonts w:ascii="Arial" w:hAnsi="Arial" w:cs="Arial"/>
          <w:i/>
          <w:sz w:val="20"/>
          <w:szCs w:val="20"/>
        </w:rPr>
        <w:t xml:space="preserve">The aforementioned net money income </w:t>
      </w:r>
      <w:proofErr w:type="gramStart"/>
      <w:r w:rsidR="00B6198D" w:rsidRPr="00000EDA">
        <w:rPr>
          <w:rFonts w:ascii="Arial" w:hAnsi="Arial" w:cs="Arial"/>
          <w:i/>
          <w:sz w:val="20"/>
          <w:szCs w:val="20"/>
        </w:rPr>
        <w:t>was used</w:t>
      </w:r>
      <w:proofErr w:type="gramEnd"/>
      <w:r w:rsidR="00B6198D" w:rsidRPr="00000EDA">
        <w:rPr>
          <w:rFonts w:ascii="Arial" w:hAnsi="Arial" w:cs="Arial"/>
          <w:i/>
          <w:sz w:val="20"/>
          <w:szCs w:val="20"/>
        </w:rPr>
        <w:t xml:space="preserve"> for the households-by-net-money-income breakdown.</w:t>
      </w:r>
    </w:p>
    <w:p w14:paraId="5436AA44" w14:textId="77777777" w:rsidR="00530C24" w:rsidRPr="00CA4C5F" w:rsidRDefault="00080EE9" w:rsidP="00987EE3">
      <w:pPr>
        <w:pStyle w:val="Zkladntext"/>
        <w:spacing w:after="120"/>
        <w:ind w:firstLine="709"/>
        <w:rPr>
          <w:rFonts w:ascii="Arial" w:hAnsi="Arial" w:cs="Arial"/>
          <w:i/>
          <w:sz w:val="20"/>
          <w:szCs w:val="20"/>
        </w:rPr>
      </w:pPr>
      <w:r w:rsidRPr="00CA4C5F">
        <w:rPr>
          <w:rStyle w:val="tlid-translation"/>
          <w:rFonts w:ascii="Arial" w:hAnsi="Arial" w:cs="Arial"/>
          <w:i/>
          <w:sz w:val="20"/>
          <w:szCs w:val="20"/>
          <w:lang w:val="en"/>
        </w:rPr>
        <w:t xml:space="preserve">It </w:t>
      </w:r>
      <w:r w:rsidR="00530C24" w:rsidRPr="00CA4C5F">
        <w:rPr>
          <w:rStyle w:val="tlid-translation"/>
          <w:rFonts w:ascii="Arial" w:hAnsi="Arial" w:cs="Arial"/>
          <w:i/>
          <w:sz w:val="20"/>
          <w:szCs w:val="20"/>
          <w:lang w:val="en"/>
        </w:rPr>
        <w:t xml:space="preserve">is clear </w:t>
      </w:r>
      <w:r w:rsidRPr="00CA4C5F">
        <w:rPr>
          <w:rStyle w:val="tlid-translation"/>
          <w:rFonts w:ascii="Arial" w:hAnsi="Arial" w:cs="Arial"/>
          <w:i/>
          <w:sz w:val="20"/>
          <w:szCs w:val="20"/>
          <w:lang w:val="en"/>
        </w:rPr>
        <w:t xml:space="preserve">from the headings of individual tables </w:t>
      </w:r>
      <w:r w:rsidR="00530C24" w:rsidRPr="00CA4C5F">
        <w:rPr>
          <w:rStyle w:val="tlid-translation"/>
          <w:rFonts w:ascii="Arial" w:hAnsi="Arial" w:cs="Arial"/>
          <w:i/>
          <w:sz w:val="20"/>
          <w:szCs w:val="20"/>
          <w:lang w:val="en"/>
        </w:rPr>
        <w:t xml:space="preserve">for which sets (or subsets) of </w:t>
      </w:r>
      <w:proofErr w:type="gramStart"/>
      <w:r w:rsidR="00530C24" w:rsidRPr="00CA4C5F">
        <w:rPr>
          <w:rStyle w:val="tlid-translation"/>
          <w:rFonts w:ascii="Arial" w:hAnsi="Arial" w:cs="Arial"/>
          <w:i/>
          <w:sz w:val="20"/>
          <w:szCs w:val="20"/>
          <w:lang w:val="en"/>
        </w:rPr>
        <w:t>households</w:t>
      </w:r>
      <w:proofErr w:type="gramEnd"/>
      <w:r w:rsidR="00530C24" w:rsidRPr="00CA4C5F">
        <w:rPr>
          <w:rStyle w:val="tlid-translation"/>
          <w:rFonts w:ascii="Arial" w:hAnsi="Arial" w:cs="Arial"/>
          <w:i/>
          <w:sz w:val="20"/>
          <w:szCs w:val="20"/>
          <w:lang w:val="en"/>
        </w:rPr>
        <w:t xml:space="preserve"> the data are calculated. The tables have </w:t>
      </w:r>
      <w:proofErr w:type="gramStart"/>
      <w:r w:rsidR="00530C24" w:rsidRPr="00CA4C5F">
        <w:rPr>
          <w:rStyle w:val="tlid-translation"/>
          <w:rFonts w:ascii="Arial" w:hAnsi="Arial" w:cs="Arial"/>
          <w:i/>
          <w:sz w:val="20"/>
          <w:szCs w:val="20"/>
          <w:lang w:val="en"/>
        </w:rPr>
        <w:t>2</w:t>
      </w:r>
      <w:proofErr w:type="gramEnd"/>
      <w:r w:rsidR="00CA6F46">
        <w:rPr>
          <w:rStyle w:val="tlid-translation"/>
          <w:rFonts w:ascii="Arial" w:hAnsi="Arial" w:cs="Arial"/>
          <w:i/>
          <w:sz w:val="20"/>
          <w:szCs w:val="20"/>
          <w:lang w:val="en"/>
        </w:rPr>
        <w:t> </w:t>
      </w:r>
      <w:r w:rsidR="00530C24" w:rsidRPr="00CA4C5F">
        <w:rPr>
          <w:rStyle w:val="tlid-translation"/>
          <w:rFonts w:ascii="Arial" w:hAnsi="Arial" w:cs="Arial"/>
          <w:i/>
          <w:sz w:val="20"/>
          <w:szCs w:val="20"/>
          <w:lang w:val="en"/>
        </w:rPr>
        <w:t xml:space="preserve">parts, labeled by name and letters a) and b), which have separate </w:t>
      </w:r>
      <w:r w:rsidRPr="00CA4C5F">
        <w:rPr>
          <w:rStyle w:val="tlid-translation"/>
          <w:rFonts w:ascii="Arial" w:hAnsi="Arial" w:cs="Arial"/>
          <w:i/>
          <w:sz w:val="20"/>
          <w:szCs w:val="20"/>
          <w:lang w:val="en"/>
        </w:rPr>
        <w:t>captions</w:t>
      </w:r>
      <w:r w:rsidR="00530C24" w:rsidRPr="00CA4C5F">
        <w:rPr>
          <w:rStyle w:val="tlid-translation"/>
          <w:rFonts w:ascii="Arial" w:hAnsi="Arial" w:cs="Arial"/>
          <w:i/>
          <w:sz w:val="20"/>
          <w:szCs w:val="20"/>
          <w:lang w:val="en"/>
        </w:rPr>
        <w:t>.</w:t>
      </w:r>
    </w:p>
    <w:p w14:paraId="502EC580" w14:textId="77777777" w:rsidR="006D783B" w:rsidRPr="00CA4C5F" w:rsidRDefault="007F591B" w:rsidP="00987EE3">
      <w:pPr>
        <w:pStyle w:val="Zkladntext"/>
        <w:spacing w:after="120"/>
        <w:ind w:firstLine="709"/>
        <w:rPr>
          <w:rFonts w:ascii="Arial" w:hAnsi="Arial" w:cs="Arial"/>
          <w:i/>
          <w:sz w:val="20"/>
          <w:szCs w:val="20"/>
        </w:rPr>
      </w:pPr>
      <w:r w:rsidRPr="009718B2">
        <w:rPr>
          <w:rStyle w:val="tlid-translation"/>
          <w:rFonts w:ascii="Arial" w:hAnsi="Arial" w:cs="Arial"/>
          <w:i/>
          <w:sz w:val="20"/>
          <w:szCs w:val="20"/>
          <w:lang w:val="en"/>
        </w:rPr>
        <w:t xml:space="preserve">The time series of previously published </w:t>
      </w:r>
      <w:proofErr w:type="spellStart"/>
      <w:r w:rsidRPr="009718B2">
        <w:rPr>
          <w:rStyle w:val="tlid-translation"/>
          <w:rFonts w:ascii="Arial" w:hAnsi="Arial" w:cs="Arial"/>
          <w:i/>
          <w:sz w:val="20"/>
          <w:szCs w:val="20"/>
          <w:lang w:val="en"/>
        </w:rPr>
        <w:t>HBS</w:t>
      </w:r>
      <w:proofErr w:type="spellEnd"/>
      <w:r w:rsidRPr="009718B2">
        <w:rPr>
          <w:rStyle w:val="tlid-translation"/>
          <w:rFonts w:ascii="Arial" w:hAnsi="Arial" w:cs="Arial"/>
          <w:i/>
          <w:sz w:val="20"/>
          <w:szCs w:val="20"/>
          <w:lang w:val="en"/>
        </w:rPr>
        <w:t xml:space="preserve"> data was </w:t>
      </w:r>
      <w:r w:rsidR="00080EE9" w:rsidRPr="009718B2">
        <w:rPr>
          <w:rStyle w:val="tlid-translation"/>
          <w:rFonts w:ascii="Arial" w:hAnsi="Arial" w:cs="Arial"/>
          <w:i/>
          <w:sz w:val="20"/>
          <w:szCs w:val="20"/>
          <w:lang w:val="en"/>
        </w:rPr>
        <w:t xml:space="preserve">discontinued </w:t>
      </w:r>
      <w:r w:rsidRPr="009718B2">
        <w:rPr>
          <w:rStyle w:val="tlid-translation"/>
          <w:rFonts w:ascii="Arial" w:hAnsi="Arial" w:cs="Arial"/>
          <w:i/>
          <w:sz w:val="20"/>
          <w:szCs w:val="20"/>
          <w:lang w:val="en"/>
        </w:rPr>
        <w:t xml:space="preserve">in 2016 </w:t>
      </w:r>
      <w:proofErr w:type="gramStart"/>
      <w:r w:rsidR="00A43796" w:rsidRPr="009718B2">
        <w:rPr>
          <w:rFonts w:ascii="Arial" w:hAnsi="Arial" w:cs="Arial"/>
          <w:i/>
          <w:sz w:val="20"/>
          <w:szCs w:val="20"/>
        </w:rPr>
        <w:t>as a result</w:t>
      </w:r>
      <w:proofErr w:type="gramEnd"/>
      <w:r w:rsidR="00A43796" w:rsidRPr="009718B2">
        <w:rPr>
          <w:rFonts w:ascii="Arial" w:hAnsi="Arial" w:cs="Arial"/>
          <w:i/>
          <w:sz w:val="20"/>
          <w:szCs w:val="20"/>
        </w:rPr>
        <w:t xml:space="preserve"> of </w:t>
      </w:r>
      <w:r w:rsidRPr="009718B2">
        <w:rPr>
          <w:rStyle w:val="tlid-translation"/>
          <w:rFonts w:ascii="Arial" w:hAnsi="Arial" w:cs="Arial"/>
          <w:i/>
          <w:sz w:val="20"/>
          <w:szCs w:val="20"/>
          <w:lang w:val="en"/>
        </w:rPr>
        <w:t xml:space="preserve">a fundamental methodological shift in the entire </w:t>
      </w:r>
      <w:proofErr w:type="spellStart"/>
      <w:r w:rsidRPr="009718B2">
        <w:rPr>
          <w:rStyle w:val="tlid-translation"/>
          <w:rFonts w:ascii="Arial" w:hAnsi="Arial" w:cs="Arial"/>
          <w:i/>
          <w:sz w:val="20"/>
          <w:szCs w:val="20"/>
          <w:lang w:val="en"/>
        </w:rPr>
        <w:t>HBS</w:t>
      </w:r>
      <w:proofErr w:type="spellEnd"/>
      <w:r w:rsidRPr="009718B2">
        <w:rPr>
          <w:rStyle w:val="tlid-translation"/>
          <w:rFonts w:ascii="Arial" w:hAnsi="Arial" w:cs="Arial"/>
          <w:i/>
          <w:sz w:val="20"/>
          <w:szCs w:val="20"/>
          <w:lang w:val="en"/>
        </w:rPr>
        <w:t xml:space="preserve"> system. </w:t>
      </w:r>
      <w:r w:rsidRPr="009718B2">
        <w:rPr>
          <w:rStyle w:val="tlid-translation"/>
          <w:rFonts w:ascii="Arial" w:hAnsi="Arial" w:cs="Arial"/>
          <w:i/>
          <w:sz w:val="20"/>
          <w:szCs w:val="20"/>
          <w:u w:val="single"/>
          <w:lang w:val="en"/>
        </w:rPr>
        <w:t xml:space="preserve">A new time series </w:t>
      </w:r>
      <w:proofErr w:type="gramStart"/>
      <w:r w:rsidRPr="009718B2">
        <w:rPr>
          <w:rStyle w:val="tlid-translation"/>
          <w:rFonts w:ascii="Arial" w:hAnsi="Arial" w:cs="Arial"/>
          <w:i/>
          <w:sz w:val="20"/>
          <w:szCs w:val="20"/>
          <w:u w:val="single"/>
          <w:lang w:val="en"/>
        </w:rPr>
        <w:t xml:space="preserve">was </w:t>
      </w:r>
      <w:r w:rsidR="00080EE9" w:rsidRPr="009718B2">
        <w:rPr>
          <w:rStyle w:val="tlid-translation"/>
          <w:rFonts w:ascii="Arial" w:hAnsi="Arial" w:cs="Arial"/>
          <w:i/>
          <w:sz w:val="20"/>
          <w:szCs w:val="20"/>
          <w:u w:val="single"/>
          <w:lang w:val="en"/>
        </w:rPr>
        <w:t>begun</w:t>
      </w:r>
      <w:proofErr w:type="gramEnd"/>
      <w:r w:rsidR="00080EE9" w:rsidRPr="009718B2">
        <w:rPr>
          <w:rStyle w:val="tlid-translation"/>
          <w:rFonts w:ascii="Arial" w:hAnsi="Arial" w:cs="Arial"/>
          <w:i/>
          <w:sz w:val="20"/>
          <w:szCs w:val="20"/>
          <w:u w:val="single"/>
          <w:lang w:val="en"/>
        </w:rPr>
        <w:t xml:space="preserve"> </w:t>
      </w:r>
      <w:r w:rsidRPr="009718B2">
        <w:rPr>
          <w:rStyle w:val="tlid-translation"/>
          <w:rFonts w:ascii="Arial" w:hAnsi="Arial" w:cs="Arial"/>
          <w:i/>
          <w:sz w:val="20"/>
          <w:szCs w:val="20"/>
          <w:u w:val="single"/>
          <w:lang w:val="en"/>
        </w:rPr>
        <w:t>in 2017.</w:t>
      </w:r>
    </w:p>
    <w:p w14:paraId="2D5B8E53" w14:textId="77777777" w:rsidR="00B74A71" w:rsidRPr="00CE6F8C" w:rsidRDefault="00B74A71" w:rsidP="007E177D">
      <w:pPr>
        <w:spacing w:after="120"/>
        <w:ind w:left="357"/>
        <w:jc w:val="both"/>
        <w:rPr>
          <w:rFonts w:ascii="Arial" w:hAnsi="Arial" w:cs="Arial"/>
          <w:i/>
          <w:sz w:val="20"/>
          <w:szCs w:val="20"/>
        </w:rPr>
      </w:pPr>
    </w:p>
    <w:p w14:paraId="2C6FE34A" w14:textId="77777777" w:rsidR="00B74A71" w:rsidRPr="0048495C" w:rsidRDefault="00B74A71" w:rsidP="0018504C">
      <w:pPr>
        <w:pStyle w:val="Nadpis1"/>
        <w:spacing w:after="240"/>
        <w:rPr>
          <w:rFonts w:ascii="Arial" w:hAnsi="Arial" w:cs="Arial"/>
          <w:i/>
        </w:rPr>
      </w:pPr>
      <w:r w:rsidRPr="0048495C">
        <w:rPr>
          <w:rFonts w:ascii="Arial" w:hAnsi="Arial" w:cs="Arial"/>
          <w:i/>
        </w:rPr>
        <w:t>2.</w:t>
      </w:r>
      <w:r w:rsidR="00BC6EAD" w:rsidRPr="0048495C">
        <w:rPr>
          <w:rFonts w:ascii="Arial" w:hAnsi="Arial" w:cs="Arial"/>
          <w:i/>
        </w:rPr>
        <w:t>1</w:t>
      </w:r>
      <w:r w:rsidRPr="0048495C">
        <w:rPr>
          <w:rFonts w:ascii="Arial" w:hAnsi="Arial" w:cs="Arial"/>
          <w:i/>
        </w:rPr>
        <w:t xml:space="preserve"> Description of variables</w:t>
      </w:r>
    </w:p>
    <w:p w14:paraId="5B6F5F41" w14:textId="77777777" w:rsidR="00B74A71" w:rsidRPr="00AD4FC5" w:rsidRDefault="00B74A71">
      <w:pPr>
        <w:pStyle w:val="Nadpis1"/>
        <w:spacing w:line="360" w:lineRule="auto"/>
        <w:rPr>
          <w:rFonts w:ascii="Arial" w:hAnsi="Arial" w:cs="Arial"/>
          <w:i/>
          <w:sz w:val="20"/>
          <w:szCs w:val="20"/>
        </w:rPr>
      </w:pPr>
      <w:r w:rsidRPr="0048495C">
        <w:rPr>
          <w:rFonts w:ascii="Arial" w:hAnsi="Arial" w:cs="Arial"/>
          <w:i/>
          <w:sz w:val="20"/>
          <w:szCs w:val="20"/>
        </w:rPr>
        <w:t>2.</w:t>
      </w:r>
      <w:r w:rsidR="00BC6EAD" w:rsidRPr="00AD4FC5">
        <w:rPr>
          <w:rFonts w:ascii="Arial" w:hAnsi="Arial" w:cs="Arial"/>
          <w:i/>
          <w:sz w:val="20"/>
          <w:szCs w:val="20"/>
        </w:rPr>
        <w:t>1</w:t>
      </w:r>
      <w:r w:rsidRPr="00AD4FC5">
        <w:rPr>
          <w:rFonts w:ascii="Arial" w:hAnsi="Arial" w:cs="Arial"/>
          <w:i/>
          <w:sz w:val="20"/>
          <w:szCs w:val="20"/>
        </w:rPr>
        <w:t>.1 Household composition</w:t>
      </w:r>
    </w:p>
    <w:p w14:paraId="5AA6247E" w14:textId="77777777" w:rsidR="00B74A71" w:rsidRPr="00CE6F8C" w:rsidRDefault="00B74A71" w:rsidP="00C53370">
      <w:pPr>
        <w:numPr>
          <w:ilvl w:val="0"/>
          <w:numId w:val="16"/>
        </w:numPr>
        <w:spacing w:after="120"/>
        <w:jc w:val="both"/>
        <w:rPr>
          <w:rFonts w:ascii="Arial" w:hAnsi="Arial" w:cs="Arial"/>
          <w:i/>
          <w:sz w:val="20"/>
          <w:szCs w:val="20"/>
        </w:rPr>
      </w:pPr>
      <w:r w:rsidRPr="002442A9">
        <w:rPr>
          <w:rFonts w:ascii="Arial" w:hAnsi="Arial" w:cs="Arial"/>
          <w:i/>
          <w:sz w:val="20"/>
          <w:szCs w:val="20"/>
          <w:u w:val="single"/>
        </w:rPr>
        <w:t xml:space="preserve">Size of </w:t>
      </w:r>
      <w:r w:rsidR="004F308F" w:rsidRPr="002442A9">
        <w:rPr>
          <w:rFonts w:ascii="Arial" w:hAnsi="Arial" w:cs="Arial"/>
          <w:i/>
          <w:sz w:val="20"/>
          <w:szCs w:val="20"/>
          <w:u w:val="single"/>
        </w:rPr>
        <w:t xml:space="preserve">the </w:t>
      </w:r>
      <w:r w:rsidRPr="002442A9">
        <w:rPr>
          <w:rFonts w:ascii="Arial" w:hAnsi="Arial" w:cs="Arial"/>
          <w:i/>
          <w:sz w:val="20"/>
          <w:szCs w:val="20"/>
          <w:u w:val="single"/>
        </w:rPr>
        <w:t>household</w:t>
      </w:r>
      <w:r w:rsidRPr="001D2856">
        <w:rPr>
          <w:rFonts w:ascii="Arial" w:hAnsi="Arial" w:cs="Arial"/>
          <w:i/>
          <w:sz w:val="20"/>
          <w:szCs w:val="20"/>
        </w:rPr>
        <w:t xml:space="preserve"> </w:t>
      </w:r>
      <w:r w:rsidR="005A0D12" w:rsidRPr="001D2856">
        <w:rPr>
          <w:rFonts w:ascii="Arial" w:hAnsi="Arial" w:cs="Arial"/>
          <w:i/>
          <w:sz w:val="20"/>
          <w:szCs w:val="20"/>
        </w:rPr>
        <w:t>–</w:t>
      </w:r>
      <w:r w:rsidRPr="001D2856">
        <w:rPr>
          <w:rFonts w:ascii="Arial" w:hAnsi="Arial" w:cs="Arial"/>
          <w:i/>
          <w:sz w:val="20"/>
          <w:szCs w:val="20"/>
        </w:rPr>
        <w:t xml:space="preserve"> the number of household members </w:t>
      </w:r>
      <w:r w:rsidR="00C74406" w:rsidRPr="00CA4C5F">
        <w:rPr>
          <w:rFonts w:ascii="Arial" w:hAnsi="Arial" w:cs="Arial"/>
          <w:i/>
          <w:sz w:val="20"/>
          <w:szCs w:val="20"/>
        </w:rPr>
        <w:t xml:space="preserve">at the time of </w:t>
      </w:r>
      <w:r w:rsidR="00C53370" w:rsidRPr="00CA4C5F">
        <w:rPr>
          <w:rFonts w:ascii="Arial" w:hAnsi="Arial" w:cs="Arial"/>
          <w:i/>
          <w:sz w:val="20"/>
          <w:szCs w:val="20"/>
        </w:rPr>
        <w:t xml:space="preserve">the </w:t>
      </w:r>
      <w:r w:rsidR="00C53370" w:rsidRPr="00CA4C5F">
        <w:rPr>
          <w:rFonts w:ascii="Arial" w:hAnsi="Arial" w:cs="Arial"/>
          <w:i/>
          <w:sz w:val="20"/>
          <w:szCs w:val="20"/>
          <w:lang w:val="en-US"/>
        </w:rPr>
        <w:t>opening interview</w:t>
      </w:r>
      <w:r w:rsidRPr="002442A9">
        <w:rPr>
          <w:rFonts w:ascii="Arial" w:hAnsi="Arial" w:cs="Arial"/>
          <w:i/>
          <w:sz w:val="20"/>
          <w:szCs w:val="20"/>
        </w:rPr>
        <w:t xml:space="preserve"> including</w:t>
      </w:r>
      <w:r w:rsidRPr="00CE6F8C">
        <w:rPr>
          <w:rFonts w:ascii="Arial" w:hAnsi="Arial" w:cs="Arial"/>
          <w:i/>
          <w:sz w:val="20"/>
          <w:szCs w:val="20"/>
        </w:rPr>
        <w:t xml:space="preserve"> persons temporarily away, if the period of actual or foreseen absence is shorter than 6</w:t>
      </w:r>
      <w:r w:rsidR="00CA6F46">
        <w:rPr>
          <w:rFonts w:ascii="Arial" w:hAnsi="Arial" w:cs="Arial"/>
          <w:i/>
          <w:sz w:val="20"/>
          <w:szCs w:val="20"/>
        </w:rPr>
        <w:t> </w:t>
      </w:r>
      <w:r w:rsidRPr="00CE6F8C">
        <w:rPr>
          <w:rFonts w:ascii="Arial" w:hAnsi="Arial" w:cs="Arial"/>
          <w:i/>
          <w:sz w:val="20"/>
          <w:szCs w:val="20"/>
        </w:rPr>
        <w:t>months and the person has no other private address. For persons studying away from home, the period of absence may be longer than 6</w:t>
      </w:r>
      <w:r w:rsidR="00CA6F46">
        <w:rPr>
          <w:rFonts w:ascii="Arial" w:hAnsi="Arial" w:cs="Arial"/>
          <w:i/>
          <w:sz w:val="20"/>
          <w:szCs w:val="20"/>
        </w:rPr>
        <w:t> </w:t>
      </w:r>
      <w:r w:rsidRPr="00CE6F8C">
        <w:rPr>
          <w:rFonts w:ascii="Arial" w:hAnsi="Arial" w:cs="Arial"/>
          <w:i/>
          <w:sz w:val="20"/>
          <w:szCs w:val="20"/>
        </w:rPr>
        <w:t xml:space="preserve">months, </w:t>
      </w:r>
      <w:proofErr w:type="gramStart"/>
      <w:r w:rsidRPr="00CE6F8C">
        <w:rPr>
          <w:rFonts w:ascii="Arial" w:hAnsi="Arial" w:cs="Arial"/>
          <w:i/>
          <w:sz w:val="20"/>
          <w:szCs w:val="20"/>
        </w:rPr>
        <w:t>provided that</w:t>
      </w:r>
      <w:proofErr w:type="gramEnd"/>
      <w:r w:rsidRPr="00CE6F8C">
        <w:rPr>
          <w:rFonts w:ascii="Arial" w:hAnsi="Arial" w:cs="Arial"/>
          <w:i/>
          <w:sz w:val="20"/>
          <w:szCs w:val="20"/>
        </w:rPr>
        <w:t xml:space="preserve"> the person has no private address and retains financial ties to other household members. Persons with a period of absence longer than 6</w:t>
      </w:r>
      <w:r w:rsidR="00CA6F46">
        <w:rPr>
          <w:rFonts w:ascii="Arial" w:hAnsi="Arial" w:cs="Arial"/>
          <w:i/>
          <w:sz w:val="20"/>
          <w:szCs w:val="20"/>
        </w:rPr>
        <w:t> </w:t>
      </w:r>
      <w:r w:rsidRPr="00CE6F8C">
        <w:rPr>
          <w:rFonts w:ascii="Arial" w:hAnsi="Arial" w:cs="Arial"/>
          <w:i/>
          <w:sz w:val="20"/>
          <w:szCs w:val="20"/>
        </w:rPr>
        <w:t xml:space="preserve">months, persons without financial ties to the household and persons temporarily present at the time of the interview who have their private address elsewhere </w:t>
      </w:r>
      <w:proofErr w:type="gramStart"/>
      <w:r w:rsidRPr="00CE6F8C">
        <w:rPr>
          <w:rFonts w:ascii="Arial" w:hAnsi="Arial" w:cs="Arial"/>
          <w:i/>
          <w:sz w:val="20"/>
          <w:szCs w:val="20"/>
        </w:rPr>
        <w:t>are excluded</w:t>
      </w:r>
      <w:proofErr w:type="gramEnd"/>
      <w:r w:rsidRPr="00CE6F8C">
        <w:rPr>
          <w:rFonts w:ascii="Arial" w:hAnsi="Arial" w:cs="Arial"/>
          <w:i/>
          <w:sz w:val="20"/>
          <w:szCs w:val="20"/>
        </w:rPr>
        <w:t>.</w:t>
      </w:r>
    </w:p>
    <w:p w14:paraId="32D2D47C" w14:textId="77777777" w:rsidR="00B74A71" w:rsidRPr="00CE6F8C" w:rsidRDefault="00B74A71">
      <w:pPr>
        <w:pStyle w:val="Zkladntext"/>
        <w:numPr>
          <w:ilvl w:val="0"/>
          <w:numId w:val="16"/>
        </w:numPr>
        <w:spacing w:after="120"/>
        <w:rPr>
          <w:rFonts w:ascii="Arial" w:hAnsi="Arial" w:cs="Arial"/>
          <w:i/>
          <w:sz w:val="20"/>
          <w:szCs w:val="20"/>
        </w:rPr>
      </w:pPr>
      <w:r w:rsidRPr="00CE6F8C">
        <w:rPr>
          <w:rFonts w:ascii="Arial" w:hAnsi="Arial" w:cs="Arial"/>
          <w:i/>
          <w:sz w:val="20"/>
          <w:szCs w:val="20"/>
          <w:u w:val="single"/>
        </w:rPr>
        <w:t>At work</w:t>
      </w:r>
      <w:r w:rsidRPr="00CE6F8C">
        <w:rPr>
          <w:rFonts w:ascii="Arial" w:hAnsi="Arial" w:cs="Arial"/>
          <w:i/>
          <w:sz w:val="20"/>
          <w:szCs w:val="20"/>
        </w:rPr>
        <w:t xml:space="preserve"> </w:t>
      </w:r>
      <w:r w:rsidR="005A0D12" w:rsidRPr="0048495C">
        <w:rPr>
          <w:rFonts w:ascii="Arial" w:hAnsi="Arial" w:cs="Arial"/>
          <w:i/>
          <w:sz w:val="20"/>
          <w:szCs w:val="20"/>
        </w:rPr>
        <w:t>–</w:t>
      </w:r>
      <w:r w:rsidR="007B1FED">
        <w:rPr>
          <w:rFonts w:ascii="Arial" w:hAnsi="Arial" w:cs="Arial"/>
          <w:i/>
          <w:sz w:val="20"/>
          <w:szCs w:val="20"/>
        </w:rPr>
        <w:t xml:space="preserve"> </w:t>
      </w:r>
      <w:r w:rsidRPr="00CE6F8C">
        <w:rPr>
          <w:rFonts w:ascii="Arial" w:hAnsi="Arial" w:cs="Arial"/>
          <w:i/>
          <w:sz w:val="20"/>
          <w:szCs w:val="20"/>
        </w:rPr>
        <w:t xml:space="preserve">the prevailing economic activity status of these persons </w:t>
      </w:r>
      <w:r w:rsidR="00C74406">
        <w:rPr>
          <w:rFonts w:ascii="Arial" w:hAnsi="Arial" w:cs="Arial"/>
          <w:i/>
          <w:sz w:val="20"/>
          <w:szCs w:val="20"/>
        </w:rPr>
        <w:t xml:space="preserve">at the time of the opening interview </w:t>
      </w:r>
      <w:r w:rsidRPr="00CE6F8C">
        <w:rPr>
          <w:rFonts w:ascii="Arial" w:hAnsi="Arial" w:cs="Arial"/>
          <w:i/>
          <w:sz w:val="20"/>
          <w:szCs w:val="20"/>
        </w:rPr>
        <w:t>was employed (employees, self-employed, members of production cooperatives, unpaid family workers in family businesses). Persons drawing sickness benefits, students who apart from their study also worked (in employment, private enterprise), pensioners or persons on maternity leave with regular income from work were also included.</w:t>
      </w:r>
    </w:p>
    <w:p w14:paraId="5D2E634D" w14:textId="77777777" w:rsidR="00B74A71" w:rsidRPr="00AD4FC5" w:rsidRDefault="00B74A71">
      <w:pPr>
        <w:numPr>
          <w:ilvl w:val="0"/>
          <w:numId w:val="16"/>
        </w:numPr>
        <w:spacing w:after="120"/>
        <w:jc w:val="both"/>
        <w:rPr>
          <w:rFonts w:ascii="Arial" w:hAnsi="Arial" w:cs="Arial"/>
          <w:i/>
          <w:sz w:val="20"/>
          <w:szCs w:val="20"/>
        </w:rPr>
      </w:pPr>
      <w:proofErr w:type="gramStart"/>
      <w:r w:rsidRPr="0048495C">
        <w:rPr>
          <w:rFonts w:ascii="Arial" w:hAnsi="Arial" w:cs="Arial"/>
          <w:i/>
          <w:sz w:val="20"/>
          <w:szCs w:val="20"/>
          <w:u w:val="single"/>
        </w:rPr>
        <w:t>Dependent children</w:t>
      </w:r>
      <w:r w:rsidRPr="00AD4FC5">
        <w:rPr>
          <w:rFonts w:ascii="Arial" w:hAnsi="Arial" w:cs="Arial"/>
          <w:i/>
          <w:sz w:val="20"/>
          <w:szCs w:val="20"/>
        </w:rPr>
        <w:t xml:space="preserve"> </w:t>
      </w:r>
      <w:r w:rsidR="005A0D12" w:rsidRPr="00AD4FC5">
        <w:rPr>
          <w:rFonts w:ascii="Arial" w:hAnsi="Arial" w:cs="Arial"/>
          <w:i/>
          <w:sz w:val="20"/>
          <w:szCs w:val="20"/>
        </w:rPr>
        <w:t>–</w:t>
      </w:r>
      <w:r w:rsidRPr="00AD4FC5">
        <w:rPr>
          <w:rFonts w:ascii="Arial" w:hAnsi="Arial" w:cs="Arial"/>
          <w:i/>
          <w:sz w:val="20"/>
          <w:szCs w:val="20"/>
        </w:rPr>
        <w:t xml:space="preserve"> children under 26</w:t>
      </w:r>
      <w:r w:rsidR="00CA6F46">
        <w:rPr>
          <w:rFonts w:ascii="Arial" w:hAnsi="Arial" w:cs="Arial"/>
          <w:i/>
          <w:sz w:val="20"/>
          <w:szCs w:val="20"/>
        </w:rPr>
        <w:t> </w:t>
      </w:r>
      <w:r w:rsidRPr="00AD4FC5">
        <w:rPr>
          <w:rFonts w:ascii="Arial" w:hAnsi="Arial" w:cs="Arial"/>
          <w:i/>
          <w:sz w:val="20"/>
          <w:szCs w:val="20"/>
        </w:rPr>
        <w:t>years of age, provided that the person is still in education despite having their own income (orphan’s pension, education-related allowances, social benefits, income from short-term work); furthermore, those children were also included who due to a mental or physical handicap had not been able to attend school or earn their own living and who had not yet received their invalidity pension.</w:t>
      </w:r>
      <w:proofErr w:type="gramEnd"/>
      <w:r w:rsidRPr="00AD4FC5">
        <w:rPr>
          <w:rFonts w:ascii="Arial" w:hAnsi="Arial" w:cs="Arial"/>
          <w:i/>
          <w:sz w:val="20"/>
          <w:szCs w:val="20"/>
        </w:rPr>
        <w:t xml:space="preserve"> </w:t>
      </w:r>
    </w:p>
    <w:p w14:paraId="57A45B09" w14:textId="77777777" w:rsidR="00B74A71" w:rsidRPr="00AD4FC5" w:rsidRDefault="00B74A71">
      <w:pPr>
        <w:numPr>
          <w:ilvl w:val="0"/>
          <w:numId w:val="16"/>
        </w:numPr>
        <w:spacing w:after="120"/>
        <w:jc w:val="both"/>
        <w:rPr>
          <w:rFonts w:ascii="Arial" w:hAnsi="Arial" w:cs="Arial"/>
          <w:i/>
          <w:sz w:val="20"/>
          <w:szCs w:val="20"/>
        </w:rPr>
      </w:pPr>
      <w:r w:rsidRPr="00AD4FC5">
        <w:rPr>
          <w:rFonts w:ascii="Arial" w:hAnsi="Arial" w:cs="Arial"/>
          <w:i/>
          <w:sz w:val="20"/>
          <w:szCs w:val="20"/>
          <w:u w:val="single"/>
        </w:rPr>
        <w:t>Pensioners</w:t>
      </w:r>
      <w:r w:rsidRPr="00AD4FC5">
        <w:rPr>
          <w:rFonts w:ascii="Arial" w:hAnsi="Arial" w:cs="Arial"/>
          <w:i/>
          <w:sz w:val="20"/>
          <w:szCs w:val="20"/>
        </w:rPr>
        <w:t xml:space="preserve"> (without economic activity) </w:t>
      </w:r>
      <w:r w:rsidR="007B1FED">
        <w:rPr>
          <w:rFonts w:ascii="Arial" w:hAnsi="Arial" w:cs="Arial"/>
          <w:i/>
          <w:sz w:val="20"/>
          <w:szCs w:val="20"/>
        </w:rPr>
        <w:t>–</w:t>
      </w:r>
      <w:r w:rsidRPr="00AD4FC5">
        <w:rPr>
          <w:rFonts w:ascii="Arial" w:hAnsi="Arial" w:cs="Arial"/>
          <w:i/>
          <w:sz w:val="20"/>
          <w:szCs w:val="20"/>
        </w:rPr>
        <w:t xml:space="preserve"> persons receiving pensions from the social security system (old-age, disability, survivor's) or persons of retirement age that were not eligible to receive pensions and they had not a job at all or their working activity had only limited extent.</w:t>
      </w:r>
    </w:p>
    <w:p w14:paraId="57454ED8" w14:textId="77777777" w:rsidR="00B74A71" w:rsidRPr="003014CA" w:rsidRDefault="00B74A71">
      <w:pPr>
        <w:numPr>
          <w:ilvl w:val="0"/>
          <w:numId w:val="16"/>
        </w:numPr>
        <w:spacing w:after="120"/>
        <w:jc w:val="both"/>
        <w:rPr>
          <w:rFonts w:ascii="Arial" w:hAnsi="Arial" w:cs="Arial"/>
          <w:i/>
          <w:sz w:val="20"/>
          <w:szCs w:val="20"/>
        </w:rPr>
      </w:pPr>
      <w:r w:rsidRPr="006E6B4C">
        <w:rPr>
          <w:rFonts w:ascii="Arial" w:hAnsi="Arial" w:cs="Arial"/>
          <w:i/>
          <w:sz w:val="20"/>
          <w:szCs w:val="20"/>
          <w:u w:val="single"/>
        </w:rPr>
        <w:t>Unemployed</w:t>
      </w:r>
      <w:r w:rsidRPr="006E6B4C">
        <w:rPr>
          <w:rFonts w:ascii="Arial" w:hAnsi="Arial" w:cs="Arial"/>
          <w:i/>
          <w:sz w:val="20"/>
          <w:szCs w:val="20"/>
        </w:rPr>
        <w:t xml:space="preserve"> </w:t>
      </w:r>
      <w:r w:rsidR="007B1FED">
        <w:rPr>
          <w:rFonts w:ascii="Arial" w:hAnsi="Arial" w:cs="Arial"/>
          <w:i/>
          <w:sz w:val="20"/>
          <w:szCs w:val="20"/>
        </w:rPr>
        <w:t>–</w:t>
      </w:r>
      <w:r w:rsidRPr="006E6B4C">
        <w:rPr>
          <w:rFonts w:ascii="Arial" w:hAnsi="Arial" w:cs="Arial"/>
          <w:i/>
          <w:sz w:val="20"/>
          <w:szCs w:val="20"/>
        </w:rPr>
        <w:t xml:space="preserve"> persons who did not </w:t>
      </w:r>
      <w:r w:rsidR="00514660" w:rsidRPr="006E6B4C">
        <w:rPr>
          <w:rFonts w:ascii="Arial" w:hAnsi="Arial" w:cs="Arial"/>
          <w:i/>
          <w:sz w:val="20"/>
          <w:szCs w:val="20"/>
        </w:rPr>
        <w:t>ha</w:t>
      </w:r>
      <w:r w:rsidR="00514660">
        <w:rPr>
          <w:rFonts w:ascii="Arial" w:hAnsi="Arial" w:cs="Arial"/>
          <w:i/>
          <w:sz w:val="20"/>
          <w:szCs w:val="20"/>
        </w:rPr>
        <w:t>ve</w:t>
      </w:r>
      <w:r w:rsidR="00514660" w:rsidRPr="006E6B4C">
        <w:rPr>
          <w:rFonts w:ascii="Arial" w:hAnsi="Arial" w:cs="Arial"/>
          <w:i/>
          <w:sz w:val="20"/>
          <w:szCs w:val="20"/>
        </w:rPr>
        <w:t xml:space="preserve"> </w:t>
      </w:r>
      <w:r w:rsidRPr="006E6B4C">
        <w:rPr>
          <w:rFonts w:ascii="Arial" w:hAnsi="Arial" w:cs="Arial"/>
          <w:i/>
          <w:sz w:val="20"/>
          <w:szCs w:val="20"/>
        </w:rPr>
        <w:t xml:space="preserve">a job for a predominant part of the year but </w:t>
      </w:r>
      <w:r w:rsidR="00514660">
        <w:rPr>
          <w:rFonts w:ascii="Arial" w:hAnsi="Arial" w:cs="Arial"/>
          <w:i/>
          <w:sz w:val="20"/>
          <w:szCs w:val="20"/>
        </w:rPr>
        <w:t>who</w:t>
      </w:r>
      <w:r w:rsidR="00514660" w:rsidRPr="006E6B4C">
        <w:rPr>
          <w:rFonts w:ascii="Arial" w:hAnsi="Arial" w:cs="Arial"/>
          <w:i/>
          <w:sz w:val="20"/>
          <w:szCs w:val="20"/>
        </w:rPr>
        <w:t xml:space="preserve"> </w:t>
      </w:r>
      <w:r w:rsidRPr="006E6B4C">
        <w:rPr>
          <w:rFonts w:ascii="Arial" w:hAnsi="Arial" w:cs="Arial"/>
          <w:i/>
          <w:sz w:val="20"/>
          <w:szCs w:val="20"/>
        </w:rPr>
        <w:t>wished to have one. Such persons did not have to comply with the strict ILO definition about actively se</w:t>
      </w:r>
      <w:r w:rsidRPr="003014CA">
        <w:rPr>
          <w:rFonts w:ascii="Arial" w:hAnsi="Arial" w:cs="Arial"/>
          <w:i/>
          <w:sz w:val="20"/>
          <w:szCs w:val="20"/>
        </w:rPr>
        <w:t>eking a job and readiness to start one.</w:t>
      </w:r>
    </w:p>
    <w:p w14:paraId="18EEA7DC" w14:textId="77777777" w:rsidR="00B74A71" w:rsidRPr="00CE6F8C" w:rsidRDefault="00B74A71" w:rsidP="005A0D12">
      <w:pPr>
        <w:numPr>
          <w:ilvl w:val="0"/>
          <w:numId w:val="16"/>
        </w:numPr>
        <w:spacing w:after="120"/>
        <w:jc w:val="both"/>
        <w:rPr>
          <w:rFonts w:ascii="Arial" w:hAnsi="Arial" w:cs="Arial"/>
          <w:i/>
          <w:sz w:val="20"/>
          <w:szCs w:val="20"/>
        </w:rPr>
      </w:pPr>
      <w:r w:rsidRPr="003014CA">
        <w:rPr>
          <w:rFonts w:ascii="Arial" w:hAnsi="Arial" w:cs="Arial"/>
          <w:i/>
          <w:sz w:val="20"/>
          <w:szCs w:val="20"/>
          <w:u w:val="single"/>
        </w:rPr>
        <w:t>Other persons</w:t>
      </w:r>
      <w:r w:rsidRPr="003014CA">
        <w:rPr>
          <w:rFonts w:ascii="Arial" w:hAnsi="Arial" w:cs="Arial"/>
          <w:i/>
          <w:sz w:val="20"/>
          <w:szCs w:val="20"/>
        </w:rPr>
        <w:t xml:space="preserve"> </w:t>
      </w:r>
      <w:r w:rsidR="005A0D12" w:rsidRPr="003014CA">
        <w:rPr>
          <w:rFonts w:ascii="Arial" w:hAnsi="Arial" w:cs="Arial"/>
          <w:i/>
          <w:sz w:val="20"/>
          <w:szCs w:val="20"/>
        </w:rPr>
        <w:t>–</w:t>
      </w:r>
      <w:r w:rsidRPr="003014CA">
        <w:rPr>
          <w:rFonts w:ascii="Arial" w:hAnsi="Arial" w:cs="Arial"/>
          <w:i/>
          <w:sz w:val="20"/>
          <w:szCs w:val="20"/>
        </w:rPr>
        <w:t xml:space="preserve"> </w:t>
      </w:r>
      <w:r w:rsidR="005A0D12" w:rsidRPr="003014CA">
        <w:rPr>
          <w:rFonts w:ascii="Arial" w:hAnsi="Arial" w:cs="Arial"/>
          <w:i/>
          <w:sz w:val="20"/>
          <w:szCs w:val="20"/>
        </w:rPr>
        <w:t xml:space="preserve">persons on parental leave, </w:t>
      </w:r>
      <w:r w:rsidRPr="003014CA">
        <w:rPr>
          <w:rFonts w:ascii="Arial" w:hAnsi="Arial" w:cs="Arial"/>
          <w:i/>
          <w:sz w:val="20"/>
          <w:szCs w:val="20"/>
        </w:rPr>
        <w:t>inactive persons caring for household members</w:t>
      </w:r>
      <w:r w:rsidRPr="00CE6F8C">
        <w:rPr>
          <w:rFonts w:ascii="Arial" w:hAnsi="Arial" w:cs="Arial"/>
          <w:i/>
          <w:sz w:val="20"/>
          <w:szCs w:val="20"/>
        </w:rPr>
        <w:t>, persons living on property income and others.</w:t>
      </w:r>
    </w:p>
    <w:p w14:paraId="16AA7246" w14:textId="77777777" w:rsidR="00B74A71" w:rsidRPr="00A7216F" w:rsidRDefault="005A0D12">
      <w:pPr>
        <w:numPr>
          <w:ilvl w:val="0"/>
          <w:numId w:val="16"/>
        </w:numPr>
        <w:spacing w:after="120"/>
        <w:ind w:left="357" w:hanging="357"/>
        <w:jc w:val="both"/>
        <w:rPr>
          <w:rFonts w:ascii="Arial" w:hAnsi="Arial" w:cs="Arial"/>
          <w:i/>
          <w:color w:val="000000"/>
          <w:sz w:val="20"/>
          <w:szCs w:val="20"/>
        </w:rPr>
      </w:pPr>
      <w:r w:rsidRPr="002F2FDB">
        <w:rPr>
          <w:rFonts w:ascii="Arial" w:hAnsi="Arial" w:cs="Arial"/>
          <w:i/>
          <w:sz w:val="20"/>
          <w:szCs w:val="20"/>
        </w:rPr>
        <w:t>Expenditures</w:t>
      </w:r>
      <w:r w:rsidR="00B74A71" w:rsidRPr="00CA4C5F">
        <w:rPr>
          <w:rFonts w:ascii="Arial" w:hAnsi="Arial" w:cs="Arial"/>
          <w:i/>
          <w:sz w:val="20"/>
          <w:szCs w:val="20"/>
        </w:rPr>
        <w:t xml:space="preserve"> </w:t>
      </w:r>
      <w:proofErr w:type="gramStart"/>
      <w:r w:rsidR="00B74A71" w:rsidRPr="00CA4C5F">
        <w:rPr>
          <w:rFonts w:ascii="Arial" w:hAnsi="Arial" w:cs="Arial"/>
          <w:i/>
          <w:sz w:val="20"/>
          <w:szCs w:val="20"/>
        </w:rPr>
        <w:t>are presented</w:t>
      </w:r>
      <w:proofErr w:type="gramEnd"/>
      <w:r w:rsidR="00B74A71" w:rsidRPr="00CA4C5F">
        <w:rPr>
          <w:rFonts w:ascii="Arial" w:hAnsi="Arial" w:cs="Arial"/>
          <w:i/>
          <w:sz w:val="20"/>
          <w:szCs w:val="20"/>
        </w:rPr>
        <w:t xml:space="preserve"> as per capita </w:t>
      </w:r>
      <w:r w:rsidR="00FA2C6D" w:rsidRPr="00CA4C5F">
        <w:rPr>
          <w:rFonts w:ascii="Arial" w:hAnsi="Arial" w:cs="Arial"/>
          <w:i/>
          <w:sz w:val="20"/>
          <w:szCs w:val="20"/>
        </w:rPr>
        <w:t xml:space="preserve">household </w:t>
      </w:r>
      <w:r w:rsidRPr="00CA4C5F">
        <w:rPr>
          <w:rFonts w:ascii="Arial" w:hAnsi="Arial" w:cs="Arial"/>
          <w:i/>
          <w:sz w:val="20"/>
          <w:szCs w:val="20"/>
        </w:rPr>
        <w:t>expenditures</w:t>
      </w:r>
      <w:r w:rsidR="00B74A71" w:rsidRPr="00CA4C5F">
        <w:rPr>
          <w:rFonts w:ascii="Arial" w:hAnsi="Arial" w:cs="Arial"/>
          <w:i/>
          <w:sz w:val="20"/>
          <w:szCs w:val="20"/>
        </w:rPr>
        <w:t xml:space="preserve"> or</w:t>
      </w:r>
      <w:r w:rsidRPr="00CA4C5F">
        <w:rPr>
          <w:rFonts w:ascii="Arial" w:hAnsi="Arial" w:cs="Arial"/>
          <w:i/>
          <w:sz w:val="20"/>
          <w:szCs w:val="20"/>
        </w:rPr>
        <w:t xml:space="preserve"> per household expenditures or</w:t>
      </w:r>
      <w:r w:rsidR="00B74A71" w:rsidRPr="00CA4C5F">
        <w:rPr>
          <w:rFonts w:ascii="Arial" w:hAnsi="Arial" w:cs="Arial"/>
          <w:i/>
          <w:sz w:val="20"/>
          <w:szCs w:val="20"/>
        </w:rPr>
        <w:t xml:space="preserve"> </w:t>
      </w:r>
      <w:proofErr w:type="spellStart"/>
      <w:r w:rsidR="00B74A71" w:rsidRPr="002F2FDB">
        <w:rPr>
          <w:rFonts w:ascii="Arial" w:hAnsi="Arial" w:cs="Arial"/>
          <w:i/>
          <w:sz w:val="20"/>
          <w:szCs w:val="20"/>
          <w:u w:val="single"/>
        </w:rPr>
        <w:t>equivalised</w:t>
      </w:r>
      <w:proofErr w:type="spellEnd"/>
      <w:r w:rsidR="00B74A71" w:rsidRPr="002F2FDB">
        <w:rPr>
          <w:rFonts w:ascii="Arial" w:hAnsi="Arial" w:cs="Arial"/>
          <w:i/>
          <w:sz w:val="20"/>
          <w:szCs w:val="20"/>
          <w:u w:val="single"/>
        </w:rPr>
        <w:t xml:space="preserve"> </w:t>
      </w:r>
      <w:r w:rsidRPr="002F2FDB">
        <w:rPr>
          <w:rFonts w:ascii="Arial" w:hAnsi="Arial" w:cs="Arial"/>
          <w:i/>
          <w:sz w:val="20"/>
          <w:szCs w:val="20"/>
          <w:u w:val="single"/>
        </w:rPr>
        <w:t>averages</w:t>
      </w:r>
      <w:r w:rsidR="00B74A71" w:rsidRPr="00CA4C5F">
        <w:rPr>
          <w:rFonts w:ascii="Arial" w:hAnsi="Arial" w:cs="Arial"/>
          <w:i/>
          <w:sz w:val="20"/>
          <w:szCs w:val="20"/>
        </w:rPr>
        <w:t xml:space="preserve"> </w:t>
      </w:r>
      <w:r w:rsidR="00BC6EAD" w:rsidRPr="00CA4C5F">
        <w:rPr>
          <w:rFonts w:ascii="Arial" w:hAnsi="Arial" w:cs="Arial"/>
          <w:i/>
          <w:sz w:val="20"/>
          <w:szCs w:val="20"/>
        </w:rPr>
        <w:t>–</w:t>
      </w:r>
      <w:r w:rsidR="00B74A71" w:rsidRPr="00CA4C5F">
        <w:rPr>
          <w:rFonts w:ascii="Arial" w:hAnsi="Arial" w:cs="Arial"/>
          <w:i/>
          <w:sz w:val="20"/>
          <w:szCs w:val="20"/>
        </w:rPr>
        <w:t xml:space="preserve"> using OECD and modified OECD equivalence scale. Household</w:t>
      </w:r>
      <w:r w:rsidR="00BC6EAD" w:rsidRPr="00CA4C5F">
        <w:rPr>
          <w:rFonts w:ascii="Arial" w:hAnsi="Arial" w:cs="Arial"/>
          <w:i/>
          <w:sz w:val="20"/>
          <w:szCs w:val="20"/>
        </w:rPr>
        <w:t xml:space="preserve"> expenditure</w:t>
      </w:r>
      <w:r w:rsidR="00B74A71" w:rsidRPr="00CA4C5F">
        <w:rPr>
          <w:rFonts w:ascii="Arial" w:hAnsi="Arial" w:cs="Arial"/>
          <w:i/>
          <w:sz w:val="20"/>
          <w:szCs w:val="20"/>
        </w:rPr>
        <w:t xml:space="preserve"> is </w:t>
      </w:r>
      <w:proofErr w:type="spellStart"/>
      <w:r w:rsidR="00B74A71" w:rsidRPr="00CA4C5F">
        <w:rPr>
          <w:rFonts w:ascii="Arial" w:hAnsi="Arial" w:cs="Arial"/>
          <w:i/>
          <w:sz w:val="20"/>
          <w:szCs w:val="20"/>
        </w:rPr>
        <w:lastRenderedPageBreak/>
        <w:t>equivalised</w:t>
      </w:r>
      <w:proofErr w:type="spellEnd"/>
      <w:r w:rsidR="00B74A71" w:rsidRPr="00CA4C5F">
        <w:rPr>
          <w:rFonts w:ascii="Arial" w:hAnsi="Arial" w:cs="Arial"/>
          <w:i/>
          <w:sz w:val="20"/>
          <w:szCs w:val="20"/>
        </w:rPr>
        <w:t xml:space="preserve"> in order</w:t>
      </w:r>
      <w:r w:rsidR="00B74A71" w:rsidRPr="002442A9">
        <w:rPr>
          <w:rFonts w:ascii="Arial" w:hAnsi="Arial" w:cs="Arial"/>
          <w:i/>
          <w:sz w:val="20"/>
          <w:szCs w:val="20"/>
        </w:rPr>
        <w:t xml:space="preserve"> to reflect differences in household size and composition. The </w:t>
      </w:r>
      <w:proofErr w:type="spellStart"/>
      <w:r w:rsidR="00B74A71" w:rsidRPr="002442A9">
        <w:rPr>
          <w:rFonts w:ascii="Arial" w:hAnsi="Arial" w:cs="Arial"/>
          <w:i/>
          <w:sz w:val="20"/>
          <w:szCs w:val="20"/>
        </w:rPr>
        <w:t>equivalised</w:t>
      </w:r>
      <w:proofErr w:type="spellEnd"/>
      <w:r w:rsidR="00B74A71" w:rsidRPr="002442A9">
        <w:rPr>
          <w:rFonts w:ascii="Arial" w:hAnsi="Arial" w:cs="Arial"/>
          <w:i/>
          <w:sz w:val="20"/>
          <w:szCs w:val="20"/>
        </w:rPr>
        <w:t xml:space="preserve"> income </w:t>
      </w:r>
      <w:proofErr w:type="gramStart"/>
      <w:r w:rsidR="00B74A71" w:rsidRPr="002442A9">
        <w:rPr>
          <w:rFonts w:ascii="Arial" w:hAnsi="Arial" w:cs="Arial"/>
          <w:i/>
          <w:sz w:val="20"/>
          <w:szCs w:val="20"/>
        </w:rPr>
        <w:t>is defined</w:t>
      </w:r>
      <w:proofErr w:type="gramEnd"/>
      <w:r w:rsidR="00B74A71" w:rsidRPr="002442A9">
        <w:rPr>
          <w:rFonts w:ascii="Arial" w:hAnsi="Arial" w:cs="Arial"/>
          <w:i/>
          <w:sz w:val="20"/>
          <w:szCs w:val="20"/>
        </w:rPr>
        <w:t xml:space="preserve"> as a per-equivalent-adult figure. In other words, to obtain a person</w:t>
      </w:r>
      <w:r w:rsidR="00B74A71" w:rsidRPr="002442A9">
        <w:rPr>
          <w:rFonts w:ascii="Arial" w:hAnsi="Arial" w:cs="Arial"/>
          <w:i/>
          <w:sz w:val="20"/>
          <w:szCs w:val="20"/>
          <w:lang w:val="en-US"/>
        </w:rPr>
        <w:t>'</w:t>
      </w:r>
      <w:r w:rsidR="00B74A71" w:rsidRPr="001D2856">
        <w:rPr>
          <w:rFonts w:ascii="Arial" w:hAnsi="Arial" w:cs="Arial"/>
          <w:i/>
          <w:sz w:val="20"/>
          <w:szCs w:val="20"/>
          <w:lang w:val="cs-CZ"/>
        </w:rPr>
        <w:t xml:space="preserve">s </w:t>
      </w:r>
      <w:proofErr w:type="spellStart"/>
      <w:r w:rsidR="00B74A71" w:rsidRPr="001D2856">
        <w:rPr>
          <w:rFonts w:ascii="Arial" w:hAnsi="Arial" w:cs="Arial"/>
          <w:i/>
          <w:sz w:val="20"/>
          <w:szCs w:val="20"/>
          <w:lang w:val="en-US"/>
        </w:rPr>
        <w:t>equivalised</w:t>
      </w:r>
      <w:proofErr w:type="spellEnd"/>
      <w:r w:rsidR="00B74A71" w:rsidRPr="001D2856">
        <w:rPr>
          <w:rFonts w:ascii="Arial" w:hAnsi="Arial" w:cs="Arial"/>
          <w:i/>
          <w:sz w:val="20"/>
          <w:szCs w:val="20"/>
          <w:lang w:val="en-US"/>
        </w:rPr>
        <w:t xml:space="preserve"> income, the total household income </w:t>
      </w:r>
      <w:proofErr w:type="gramStart"/>
      <w:r w:rsidR="00B74A71" w:rsidRPr="001D2856">
        <w:rPr>
          <w:rFonts w:ascii="Arial" w:hAnsi="Arial" w:cs="Arial"/>
          <w:i/>
          <w:sz w:val="20"/>
          <w:szCs w:val="20"/>
          <w:lang w:val="en-US"/>
        </w:rPr>
        <w:t>is divided</w:t>
      </w:r>
      <w:proofErr w:type="gramEnd"/>
      <w:r w:rsidR="00B74A71" w:rsidRPr="001D2856">
        <w:rPr>
          <w:rFonts w:ascii="Arial" w:hAnsi="Arial" w:cs="Arial"/>
          <w:i/>
          <w:sz w:val="20"/>
          <w:szCs w:val="20"/>
          <w:lang w:val="en-US"/>
        </w:rPr>
        <w:t xml:space="preserve"> by its equivalent size</w:t>
      </w:r>
      <w:r w:rsidR="00B74A71" w:rsidRPr="001D2856">
        <w:rPr>
          <w:rFonts w:ascii="Arial" w:hAnsi="Arial" w:cs="Arial"/>
          <w:i/>
          <w:sz w:val="20"/>
          <w:szCs w:val="20"/>
        </w:rPr>
        <w:t xml:space="preserve">. The OECD equivalence scale gives a weight of 1,0 to the first adult, 0,7 to any other household member aged 14 and over and 0,5 to each child below 14 years. The modified OECD equivalence scale gives a weight of 1,0 to the first adult, 0,5 to any other </w:t>
      </w:r>
      <w:r w:rsidR="00B74A71" w:rsidRPr="00A7216F">
        <w:rPr>
          <w:rFonts w:ascii="Arial" w:hAnsi="Arial" w:cs="Arial"/>
          <w:i/>
          <w:color w:val="000000"/>
          <w:sz w:val="20"/>
          <w:szCs w:val="20"/>
        </w:rPr>
        <w:t>household member aged 14 and over and 0,3 to each child below 14 years.</w:t>
      </w:r>
    </w:p>
    <w:p w14:paraId="23EEA89F" w14:textId="77777777" w:rsidR="00826025" w:rsidRPr="00A7216F" w:rsidRDefault="008B7E32" w:rsidP="00826025">
      <w:pPr>
        <w:numPr>
          <w:ilvl w:val="0"/>
          <w:numId w:val="16"/>
        </w:numPr>
        <w:spacing w:after="120"/>
        <w:ind w:left="357" w:hanging="357"/>
        <w:jc w:val="both"/>
        <w:rPr>
          <w:rFonts w:ascii="Arial" w:hAnsi="Arial" w:cs="Arial"/>
          <w:i/>
          <w:color w:val="000000"/>
          <w:sz w:val="20"/>
          <w:szCs w:val="20"/>
        </w:rPr>
      </w:pPr>
      <w:r w:rsidRPr="00A7216F">
        <w:rPr>
          <w:rFonts w:ascii="Arial" w:hAnsi="Arial" w:cs="Arial"/>
          <w:i/>
          <w:color w:val="000000"/>
          <w:sz w:val="20"/>
          <w:szCs w:val="20"/>
        </w:rPr>
        <w:t xml:space="preserve">The published </w:t>
      </w:r>
      <w:r w:rsidR="00826025" w:rsidRPr="00A7216F">
        <w:rPr>
          <w:rFonts w:ascii="Arial" w:hAnsi="Arial" w:cs="Arial"/>
          <w:i/>
          <w:color w:val="000000"/>
          <w:sz w:val="20"/>
          <w:szCs w:val="20"/>
        </w:rPr>
        <w:t xml:space="preserve">averages of household members and two versions of </w:t>
      </w:r>
      <w:r w:rsidR="0071629E" w:rsidRPr="00A7216F">
        <w:rPr>
          <w:rFonts w:ascii="Arial" w:hAnsi="Arial" w:cs="Arial"/>
          <w:i/>
          <w:color w:val="000000"/>
          <w:sz w:val="20"/>
          <w:szCs w:val="20"/>
        </w:rPr>
        <w:t>consumption units (CU)</w:t>
      </w:r>
      <w:r w:rsidRPr="00A7216F">
        <w:rPr>
          <w:rFonts w:ascii="Arial" w:hAnsi="Arial" w:cs="Arial"/>
          <w:i/>
          <w:color w:val="000000"/>
          <w:sz w:val="20"/>
          <w:szCs w:val="20"/>
        </w:rPr>
        <w:t xml:space="preserve"> are a part of all tables and</w:t>
      </w:r>
      <w:r w:rsidR="00826025" w:rsidRPr="00A7216F">
        <w:rPr>
          <w:rFonts w:ascii="Arial" w:hAnsi="Arial" w:cs="Arial"/>
          <w:i/>
          <w:color w:val="000000"/>
          <w:sz w:val="20"/>
          <w:szCs w:val="20"/>
        </w:rPr>
        <w:t xml:space="preserve"> enable users to calculate per household or </w:t>
      </w:r>
      <w:r w:rsidRPr="00A7216F">
        <w:rPr>
          <w:rFonts w:ascii="Arial" w:hAnsi="Arial" w:cs="Arial"/>
          <w:i/>
          <w:color w:val="000000"/>
          <w:sz w:val="20"/>
          <w:szCs w:val="20"/>
        </w:rPr>
        <w:t>consumption unit averages using a simple algorithm</w:t>
      </w:r>
      <w:r w:rsidR="00826025" w:rsidRPr="00A7216F">
        <w:rPr>
          <w:rFonts w:ascii="Arial" w:hAnsi="Arial" w:cs="Arial"/>
          <w:i/>
          <w:color w:val="000000"/>
          <w:sz w:val="20"/>
          <w:szCs w:val="20"/>
        </w:rPr>
        <w:t>.</w:t>
      </w:r>
    </w:p>
    <w:p w14:paraId="15C7904A" w14:textId="77777777" w:rsidR="00B74A71" w:rsidRPr="00AD4FC5" w:rsidRDefault="00B74A71">
      <w:pPr>
        <w:ind w:left="357"/>
        <w:jc w:val="both"/>
        <w:rPr>
          <w:rFonts w:ascii="Arial" w:hAnsi="Arial" w:cs="Arial"/>
          <w:i/>
          <w:sz w:val="20"/>
          <w:szCs w:val="20"/>
        </w:rPr>
      </w:pPr>
    </w:p>
    <w:p w14:paraId="23F72706" w14:textId="77777777" w:rsidR="00B74A71" w:rsidRPr="003014CA" w:rsidRDefault="00B74A71">
      <w:pPr>
        <w:pStyle w:val="Nadpis1"/>
        <w:spacing w:line="360" w:lineRule="auto"/>
        <w:rPr>
          <w:rFonts w:ascii="Arial" w:hAnsi="Arial" w:cs="Arial"/>
          <w:i/>
          <w:sz w:val="20"/>
          <w:szCs w:val="20"/>
        </w:rPr>
      </w:pPr>
      <w:r w:rsidRPr="006E6B4C">
        <w:rPr>
          <w:rFonts w:ascii="Arial" w:hAnsi="Arial" w:cs="Arial"/>
          <w:i/>
          <w:sz w:val="20"/>
          <w:szCs w:val="20"/>
        </w:rPr>
        <w:t>2.</w:t>
      </w:r>
      <w:r w:rsidR="00BC6EAD" w:rsidRPr="006E6B4C">
        <w:rPr>
          <w:rFonts w:ascii="Arial" w:hAnsi="Arial" w:cs="Arial"/>
          <w:i/>
          <w:sz w:val="20"/>
          <w:szCs w:val="20"/>
        </w:rPr>
        <w:t>1</w:t>
      </w:r>
      <w:r w:rsidRPr="003014CA">
        <w:rPr>
          <w:rFonts w:ascii="Arial" w:hAnsi="Arial" w:cs="Arial"/>
          <w:i/>
          <w:sz w:val="20"/>
          <w:szCs w:val="20"/>
        </w:rPr>
        <w:t>.2 Household characteristics</w:t>
      </w:r>
    </w:p>
    <w:p w14:paraId="5BA0D73C" w14:textId="77777777" w:rsidR="00AB6A4E" w:rsidRPr="00372D90" w:rsidRDefault="00B74A71">
      <w:pPr>
        <w:numPr>
          <w:ilvl w:val="0"/>
          <w:numId w:val="15"/>
        </w:numPr>
        <w:spacing w:after="120"/>
        <w:jc w:val="both"/>
        <w:rPr>
          <w:rFonts w:ascii="Arial" w:hAnsi="Arial" w:cs="Arial"/>
          <w:i/>
          <w:sz w:val="20"/>
          <w:szCs w:val="20"/>
        </w:rPr>
      </w:pPr>
      <w:r w:rsidRPr="003014CA">
        <w:rPr>
          <w:rFonts w:ascii="Arial" w:hAnsi="Arial" w:cs="Arial"/>
          <w:i/>
          <w:sz w:val="20"/>
          <w:szCs w:val="20"/>
          <w:u w:val="single"/>
        </w:rPr>
        <w:t>Head of household</w:t>
      </w:r>
      <w:r w:rsidRPr="003014CA">
        <w:rPr>
          <w:rFonts w:ascii="Arial" w:hAnsi="Arial" w:cs="Arial"/>
          <w:i/>
          <w:sz w:val="20"/>
          <w:szCs w:val="20"/>
        </w:rPr>
        <w:t xml:space="preserve"> </w:t>
      </w:r>
      <w:r w:rsidR="00BC6EAD" w:rsidRPr="003014CA">
        <w:rPr>
          <w:rFonts w:ascii="Arial" w:hAnsi="Arial" w:cs="Arial"/>
          <w:i/>
          <w:sz w:val="20"/>
          <w:szCs w:val="20"/>
        </w:rPr>
        <w:t>–</w:t>
      </w:r>
      <w:r w:rsidRPr="003014CA">
        <w:rPr>
          <w:rFonts w:ascii="Arial" w:hAnsi="Arial" w:cs="Arial"/>
          <w:i/>
          <w:sz w:val="20"/>
          <w:szCs w:val="20"/>
        </w:rPr>
        <w:t xml:space="preserve"> </w:t>
      </w:r>
      <w:r w:rsidR="00AB6A4E" w:rsidRPr="0051535C">
        <w:rPr>
          <w:rFonts w:ascii="Arial" w:hAnsi="Arial" w:cs="Arial"/>
          <w:i/>
          <w:sz w:val="20"/>
          <w:szCs w:val="20"/>
        </w:rPr>
        <w:t xml:space="preserve">in order to increase international comparability, the definition </w:t>
      </w:r>
      <w:proofErr w:type="gramStart"/>
      <w:r w:rsidR="00AB6A4E" w:rsidRPr="0051535C">
        <w:rPr>
          <w:rFonts w:ascii="Arial" w:hAnsi="Arial" w:cs="Arial"/>
          <w:i/>
          <w:sz w:val="20"/>
          <w:szCs w:val="20"/>
        </w:rPr>
        <w:t>has been adjusted</w:t>
      </w:r>
      <w:proofErr w:type="gramEnd"/>
      <w:r w:rsidR="00AB6A4E" w:rsidRPr="0051535C">
        <w:rPr>
          <w:rFonts w:ascii="Arial" w:hAnsi="Arial" w:cs="Arial"/>
          <w:i/>
          <w:sz w:val="20"/>
          <w:szCs w:val="20"/>
        </w:rPr>
        <w:t>. A head of the household is an adult household member (often one of the parents) with the highest income</w:t>
      </w:r>
      <w:r w:rsidR="00AB6A4E">
        <w:rPr>
          <w:rFonts w:ascii="Arial" w:hAnsi="Arial" w:cs="Arial"/>
          <w:i/>
          <w:sz w:val="20"/>
          <w:szCs w:val="20"/>
        </w:rPr>
        <w:t xml:space="preserve"> </w:t>
      </w:r>
      <w:r w:rsidR="00AB6A4E" w:rsidRPr="00372D90">
        <w:rPr>
          <w:rFonts w:ascii="Arial" w:hAnsi="Arial" w:cs="Arial"/>
          <w:i/>
          <w:sz w:val="20"/>
          <w:szCs w:val="20"/>
        </w:rPr>
        <w:t xml:space="preserve">from </w:t>
      </w:r>
      <w:proofErr w:type="spellStart"/>
      <w:r w:rsidR="00AB6A4E" w:rsidRPr="00372D90">
        <w:rPr>
          <w:rFonts w:ascii="Arial" w:hAnsi="Arial" w:cs="Arial"/>
          <w:i/>
          <w:sz w:val="20"/>
          <w:szCs w:val="20"/>
        </w:rPr>
        <w:t>SILC</w:t>
      </w:r>
      <w:proofErr w:type="spellEnd"/>
      <w:r w:rsidR="00AB6A4E" w:rsidRPr="00372D90">
        <w:rPr>
          <w:rFonts w:ascii="Arial" w:hAnsi="Arial" w:cs="Arial"/>
          <w:i/>
          <w:sz w:val="20"/>
          <w:szCs w:val="20"/>
        </w:rPr>
        <w:t>.</w:t>
      </w:r>
    </w:p>
    <w:p w14:paraId="4DCD91AA" w14:textId="77777777" w:rsidR="00B74A71" w:rsidRPr="003014CA" w:rsidRDefault="00B74A71">
      <w:pPr>
        <w:numPr>
          <w:ilvl w:val="0"/>
          <w:numId w:val="15"/>
        </w:numPr>
        <w:spacing w:after="120"/>
        <w:jc w:val="both"/>
        <w:rPr>
          <w:rFonts w:ascii="Arial" w:hAnsi="Arial" w:cs="Arial"/>
          <w:i/>
          <w:sz w:val="20"/>
          <w:szCs w:val="20"/>
        </w:rPr>
      </w:pPr>
      <w:r w:rsidRPr="003014CA">
        <w:rPr>
          <w:rFonts w:ascii="Arial" w:hAnsi="Arial" w:cs="Arial"/>
          <w:i/>
          <w:sz w:val="20"/>
          <w:szCs w:val="20"/>
          <w:u w:val="single"/>
        </w:rPr>
        <w:t>Household type</w:t>
      </w:r>
      <w:r w:rsidRPr="003014CA">
        <w:rPr>
          <w:rFonts w:ascii="Arial" w:hAnsi="Arial" w:cs="Arial"/>
          <w:i/>
          <w:sz w:val="20"/>
          <w:szCs w:val="20"/>
        </w:rPr>
        <w:t xml:space="preserve"> </w:t>
      </w:r>
      <w:r w:rsidR="00BC6EAD" w:rsidRPr="003014CA">
        <w:rPr>
          <w:rFonts w:ascii="Arial" w:hAnsi="Arial" w:cs="Arial"/>
          <w:i/>
          <w:sz w:val="20"/>
          <w:szCs w:val="20"/>
        </w:rPr>
        <w:t>–</w:t>
      </w:r>
      <w:r w:rsidRPr="003014CA">
        <w:rPr>
          <w:rFonts w:ascii="Arial" w:hAnsi="Arial" w:cs="Arial"/>
          <w:i/>
          <w:sz w:val="20"/>
          <w:szCs w:val="20"/>
        </w:rPr>
        <w:t xml:space="preserve"> </w:t>
      </w:r>
      <w:proofErr w:type="gramStart"/>
      <w:r w:rsidRPr="003014CA">
        <w:rPr>
          <w:rFonts w:ascii="Arial" w:hAnsi="Arial" w:cs="Arial"/>
          <w:i/>
          <w:sz w:val="20"/>
          <w:szCs w:val="20"/>
        </w:rPr>
        <w:t>is based</w:t>
      </w:r>
      <w:proofErr w:type="gramEnd"/>
      <w:r w:rsidRPr="003014CA">
        <w:rPr>
          <w:rFonts w:ascii="Arial" w:hAnsi="Arial" w:cs="Arial"/>
          <w:i/>
          <w:sz w:val="20"/>
          <w:szCs w:val="20"/>
        </w:rPr>
        <w:t xml:space="preserve"> on household composition. Two-parent families are based on a couple (married or cohabitating), with or without children. The lone-parent family category contains households with one parent and at least one child. In addition to these basic structures, these households may also contain other household members. The households where all children are dependent and there are no other members except parents </w:t>
      </w:r>
      <w:proofErr w:type="gramStart"/>
      <w:r w:rsidRPr="003014CA">
        <w:rPr>
          <w:rFonts w:ascii="Arial" w:hAnsi="Arial" w:cs="Arial"/>
          <w:i/>
          <w:sz w:val="20"/>
          <w:szCs w:val="20"/>
        </w:rPr>
        <w:t>are labelled</w:t>
      </w:r>
      <w:proofErr w:type="gramEnd"/>
      <w:r w:rsidRPr="003014CA">
        <w:rPr>
          <w:rFonts w:ascii="Arial" w:hAnsi="Arial" w:cs="Arial"/>
          <w:i/>
          <w:sz w:val="20"/>
          <w:szCs w:val="20"/>
        </w:rPr>
        <w:t xml:space="preserve"> as nuclear families. One- or two-parent non-nuclear families comprise also other persons than just parents and their dependent children. Non-family households are entities consisting of two or more persons with other than husband-wife or parent-child relations.</w:t>
      </w:r>
    </w:p>
    <w:p w14:paraId="625A052A" w14:textId="77777777" w:rsidR="00B74A71" w:rsidRPr="006B5A17" w:rsidRDefault="00B74A71">
      <w:pPr>
        <w:numPr>
          <w:ilvl w:val="0"/>
          <w:numId w:val="15"/>
        </w:numPr>
        <w:spacing w:after="120"/>
        <w:jc w:val="both"/>
        <w:rPr>
          <w:rFonts w:ascii="Arial" w:hAnsi="Arial" w:cs="Arial"/>
          <w:i/>
          <w:sz w:val="20"/>
          <w:szCs w:val="20"/>
        </w:rPr>
      </w:pPr>
      <w:r w:rsidRPr="003014CA">
        <w:rPr>
          <w:rFonts w:ascii="Arial" w:hAnsi="Arial" w:cs="Arial"/>
          <w:i/>
          <w:sz w:val="20"/>
          <w:szCs w:val="20"/>
          <w:u w:val="single"/>
        </w:rPr>
        <w:t>Education</w:t>
      </w:r>
      <w:r w:rsidRPr="003014CA">
        <w:rPr>
          <w:rFonts w:ascii="Arial" w:hAnsi="Arial" w:cs="Arial"/>
          <w:i/>
          <w:sz w:val="20"/>
          <w:szCs w:val="20"/>
        </w:rPr>
        <w:t xml:space="preserve"> </w:t>
      </w:r>
      <w:r w:rsidR="00BC6EAD" w:rsidRPr="003014CA">
        <w:rPr>
          <w:rFonts w:ascii="Arial" w:hAnsi="Arial" w:cs="Arial"/>
          <w:i/>
          <w:sz w:val="20"/>
          <w:szCs w:val="20"/>
        </w:rPr>
        <w:t>–</w:t>
      </w:r>
      <w:r w:rsidRPr="003014CA">
        <w:rPr>
          <w:rFonts w:ascii="Arial" w:hAnsi="Arial" w:cs="Arial"/>
          <w:i/>
          <w:sz w:val="20"/>
          <w:szCs w:val="20"/>
        </w:rPr>
        <w:t xml:space="preserve"> </w:t>
      </w:r>
      <w:proofErr w:type="gramStart"/>
      <w:r w:rsidRPr="003014CA">
        <w:rPr>
          <w:rFonts w:ascii="Arial" w:hAnsi="Arial" w:cs="Arial"/>
          <w:i/>
          <w:sz w:val="20"/>
          <w:szCs w:val="20"/>
        </w:rPr>
        <w:t>4</w:t>
      </w:r>
      <w:proofErr w:type="gramEnd"/>
      <w:r w:rsidR="00CA6F46">
        <w:rPr>
          <w:rFonts w:ascii="Arial" w:hAnsi="Arial" w:cs="Arial"/>
          <w:i/>
          <w:sz w:val="20"/>
          <w:szCs w:val="20"/>
        </w:rPr>
        <w:t> </w:t>
      </w:r>
      <w:r w:rsidRPr="003014CA">
        <w:rPr>
          <w:rFonts w:ascii="Arial" w:hAnsi="Arial" w:cs="Arial"/>
          <w:i/>
          <w:sz w:val="20"/>
          <w:szCs w:val="20"/>
        </w:rPr>
        <w:t>categories: primary (incl. incomplete), lower or vocational secondary, upper secondary, tertiary. Upper secondary education includes also vocational education with a secondary school-leaving exam. Post-secondary non-university education falls under the rubric of tertiary education.</w:t>
      </w:r>
      <w:r w:rsidRPr="003014CA">
        <w:rPr>
          <w:rFonts w:ascii="Arial" w:hAnsi="Arial" w:cs="Arial"/>
          <w:i/>
          <w:color w:val="FF0000"/>
          <w:sz w:val="20"/>
          <w:szCs w:val="20"/>
        </w:rPr>
        <w:t xml:space="preserve"> </w:t>
      </w:r>
      <w:r w:rsidRPr="006B5A17">
        <w:rPr>
          <w:rFonts w:ascii="Arial" w:hAnsi="Arial" w:cs="Arial"/>
          <w:i/>
          <w:sz w:val="20"/>
          <w:szCs w:val="20"/>
        </w:rPr>
        <w:t>Besides this, tertiary education includes all tertiary programs - bachelor, graduate and post-graduate level.</w:t>
      </w:r>
    </w:p>
    <w:p w14:paraId="3285175E" w14:textId="77777777" w:rsidR="00516F96" w:rsidRPr="00A7216F" w:rsidRDefault="00714A9C">
      <w:pPr>
        <w:numPr>
          <w:ilvl w:val="0"/>
          <w:numId w:val="15"/>
        </w:numPr>
        <w:spacing w:after="120"/>
        <w:ind w:left="357" w:hanging="357"/>
        <w:jc w:val="both"/>
        <w:rPr>
          <w:rFonts w:ascii="Arial" w:hAnsi="Arial" w:cs="Arial"/>
          <w:i/>
          <w:color w:val="000000"/>
          <w:sz w:val="20"/>
          <w:szCs w:val="20"/>
        </w:rPr>
      </w:pPr>
      <w:r w:rsidRPr="00A7216F">
        <w:rPr>
          <w:rFonts w:ascii="Arial" w:hAnsi="Arial" w:cs="Arial"/>
          <w:i/>
          <w:color w:val="000000"/>
          <w:sz w:val="20"/>
          <w:szCs w:val="20"/>
        </w:rPr>
        <w:t xml:space="preserve">Information on the </w:t>
      </w:r>
      <w:r w:rsidRPr="00A7216F">
        <w:rPr>
          <w:rFonts w:ascii="Arial" w:hAnsi="Arial" w:cs="Arial"/>
          <w:i/>
          <w:color w:val="000000"/>
          <w:sz w:val="20"/>
          <w:szCs w:val="20"/>
          <w:u w:val="single"/>
        </w:rPr>
        <w:t>number of rooms</w:t>
      </w:r>
      <w:r w:rsidRPr="00A7216F">
        <w:rPr>
          <w:rFonts w:ascii="Arial" w:hAnsi="Arial" w:cs="Arial"/>
          <w:i/>
          <w:color w:val="000000"/>
          <w:sz w:val="20"/>
          <w:szCs w:val="20"/>
        </w:rPr>
        <w:t xml:space="preserve"> </w:t>
      </w:r>
      <w:r w:rsidR="008B7E32" w:rsidRPr="00A7216F">
        <w:rPr>
          <w:rFonts w:ascii="Arial" w:hAnsi="Arial" w:cs="Arial"/>
          <w:i/>
          <w:color w:val="000000"/>
          <w:sz w:val="20"/>
          <w:szCs w:val="20"/>
        </w:rPr>
        <w:t xml:space="preserve">in a dwelling </w:t>
      </w:r>
      <w:proofErr w:type="gramStart"/>
      <w:r w:rsidR="008B7E32" w:rsidRPr="00A7216F">
        <w:rPr>
          <w:rFonts w:ascii="Arial" w:hAnsi="Arial" w:cs="Arial"/>
          <w:i/>
          <w:color w:val="000000"/>
          <w:sz w:val="20"/>
          <w:szCs w:val="20"/>
        </w:rPr>
        <w:t xml:space="preserve">was </w:t>
      </w:r>
      <w:r w:rsidRPr="00A7216F">
        <w:rPr>
          <w:rFonts w:ascii="Arial" w:hAnsi="Arial" w:cs="Arial"/>
          <w:i/>
          <w:color w:val="000000"/>
          <w:sz w:val="20"/>
          <w:szCs w:val="20"/>
        </w:rPr>
        <w:t>taken</w:t>
      </w:r>
      <w:proofErr w:type="gramEnd"/>
      <w:r w:rsidRPr="00A7216F">
        <w:rPr>
          <w:rFonts w:ascii="Arial" w:hAnsi="Arial" w:cs="Arial"/>
          <w:i/>
          <w:color w:val="000000"/>
          <w:sz w:val="20"/>
          <w:szCs w:val="20"/>
        </w:rPr>
        <w:t xml:space="preserve"> from the last </w:t>
      </w:r>
      <w:proofErr w:type="spellStart"/>
      <w:r w:rsidRPr="00A7216F">
        <w:rPr>
          <w:rFonts w:ascii="Arial" w:hAnsi="Arial" w:cs="Arial"/>
          <w:i/>
          <w:color w:val="000000"/>
          <w:sz w:val="20"/>
          <w:szCs w:val="20"/>
        </w:rPr>
        <w:t>SILC</w:t>
      </w:r>
      <w:proofErr w:type="spellEnd"/>
      <w:r w:rsidRPr="00A7216F">
        <w:rPr>
          <w:rFonts w:ascii="Arial" w:hAnsi="Arial" w:cs="Arial"/>
          <w:i/>
          <w:color w:val="000000"/>
          <w:sz w:val="20"/>
          <w:szCs w:val="20"/>
        </w:rPr>
        <w:t>.</w:t>
      </w:r>
    </w:p>
    <w:p w14:paraId="36DE3556" w14:textId="77777777" w:rsidR="006E48CF" w:rsidRPr="00A7216F" w:rsidRDefault="006E48CF" w:rsidP="006E48CF">
      <w:pPr>
        <w:ind w:left="357"/>
        <w:jc w:val="both"/>
        <w:rPr>
          <w:rFonts w:ascii="Arial" w:hAnsi="Arial" w:cs="Arial"/>
          <w:i/>
          <w:color w:val="000000"/>
          <w:sz w:val="20"/>
          <w:szCs w:val="20"/>
        </w:rPr>
      </w:pPr>
    </w:p>
    <w:p w14:paraId="05B0E2F6" w14:textId="77777777" w:rsidR="006E48CF" w:rsidRPr="00A7216F" w:rsidRDefault="006E48CF" w:rsidP="006E48CF">
      <w:pPr>
        <w:pStyle w:val="Nadpis1"/>
        <w:spacing w:line="360" w:lineRule="auto"/>
        <w:rPr>
          <w:rFonts w:ascii="Arial" w:hAnsi="Arial" w:cs="Arial"/>
          <w:i/>
          <w:color w:val="000000"/>
          <w:sz w:val="20"/>
          <w:szCs w:val="20"/>
        </w:rPr>
      </w:pPr>
      <w:r w:rsidRPr="00A7216F">
        <w:rPr>
          <w:rFonts w:ascii="Arial" w:hAnsi="Arial" w:cs="Arial"/>
          <w:i/>
          <w:color w:val="000000"/>
          <w:sz w:val="20"/>
          <w:szCs w:val="20"/>
        </w:rPr>
        <w:t>2.1.</w:t>
      </w:r>
      <w:r w:rsidR="00E6583E" w:rsidRPr="00A7216F">
        <w:rPr>
          <w:rFonts w:ascii="Arial" w:hAnsi="Arial" w:cs="Arial"/>
          <w:i/>
          <w:color w:val="000000"/>
          <w:sz w:val="20"/>
          <w:szCs w:val="20"/>
        </w:rPr>
        <w:t>3</w:t>
      </w:r>
      <w:r w:rsidRPr="00A7216F">
        <w:rPr>
          <w:rFonts w:ascii="Arial" w:hAnsi="Arial" w:cs="Arial"/>
          <w:i/>
          <w:color w:val="000000"/>
          <w:sz w:val="20"/>
          <w:szCs w:val="20"/>
        </w:rPr>
        <w:t xml:space="preserve"> Consumption expenditure of households</w:t>
      </w:r>
    </w:p>
    <w:p w14:paraId="5211CFEB" w14:textId="2880A62E" w:rsidR="00727B88" w:rsidRPr="00F269F7" w:rsidRDefault="0050394B" w:rsidP="0050394B">
      <w:pPr>
        <w:pStyle w:val="Zkladntextodsazen"/>
        <w:rPr>
          <w:rFonts w:ascii="Arial" w:hAnsi="Arial" w:cs="Arial"/>
          <w:i/>
          <w:sz w:val="20"/>
          <w:szCs w:val="20"/>
        </w:rPr>
      </w:pPr>
      <w:r w:rsidRPr="00A7216F">
        <w:rPr>
          <w:rFonts w:ascii="Arial" w:hAnsi="Arial" w:cs="Arial"/>
          <w:i/>
          <w:color w:val="000000"/>
          <w:sz w:val="20"/>
          <w:szCs w:val="20"/>
        </w:rPr>
        <w:t xml:space="preserve">Since 1999 for classification of </w:t>
      </w:r>
      <w:proofErr w:type="gramStart"/>
      <w:r w:rsidRPr="00A7216F">
        <w:rPr>
          <w:rFonts w:ascii="Arial" w:hAnsi="Arial" w:cs="Arial"/>
          <w:i/>
          <w:color w:val="000000"/>
          <w:sz w:val="20"/>
          <w:szCs w:val="20"/>
        </w:rPr>
        <w:t>consumption</w:t>
      </w:r>
      <w:proofErr w:type="gramEnd"/>
      <w:r w:rsidRPr="00A7216F">
        <w:rPr>
          <w:rFonts w:ascii="Arial" w:hAnsi="Arial" w:cs="Arial"/>
          <w:i/>
          <w:color w:val="000000"/>
          <w:sz w:val="20"/>
          <w:szCs w:val="20"/>
        </w:rPr>
        <w:t xml:space="preserve"> expenditure in the </w:t>
      </w:r>
      <w:proofErr w:type="spellStart"/>
      <w:r w:rsidRPr="00A7216F">
        <w:rPr>
          <w:rFonts w:ascii="Arial" w:hAnsi="Arial" w:cs="Arial"/>
          <w:i/>
          <w:color w:val="000000"/>
          <w:sz w:val="20"/>
          <w:szCs w:val="20"/>
        </w:rPr>
        <w:t>HBS</w:t>
      </w:r>
      <w:proofErr w:type="spellEnd"/>
      <w:r w:rsidRPr="00A7216F">
        <w:rPr>
          <w:rFonts w:ascii="Arial" w:hAnsi="Arial" w:cs="Arial"/>
          <w:i/>
          <w:color w:val="000000"/>
          <w:sz w:val="20"/>
          <w:szCs w:val="20"/>
        </w:rPr>
        <w:t xml:space="preserve"> the CZ-</w:t>
      </w:r>
      <w:proofErr w:type="spellStart"/>
      <w:r w:rsidRPr="00A7216F">
        <w:rPr>
          <w:rFonts w:ascii="Arial" w:hAnsi="Arial" w:cs="Arial"/>
          <w:i/>
          <w:color w:val="000000"/>
          <w:sz w:val="20"/>
          <w:szCs w:val="20"/>
        </w:rPr>
        <w:t>COICOP</w:t>
      </w:r>
      <w:proofErr w:type="spellEnd"/>
      <w:r w:rsidRPr="00A7216F">
        <w:rPr>
          <w:rFonts w:ascii="Arial" w:hAnsi="Arial" w:cs="Arial"/>
          <w:i/>
          <w:color w:val="000000"/>
          <w:sz w:val="20"/>
          <w:szCs w:val="20"/>
        </w:rPr>
        <w:t xml:space="preserve"> “Classification of individual consumption by purpose” has been used. </w:t>
      </w:r>
      <w:r w:rsidR="00AB6A4E" w:rsidRPr="00A7216F">
        <w:rPr>
          <w:rFonts w:ascii="Arial" w:hAnsi="Arial" w:cs="Arial"/>
          <w:i/>
          <w:color w:val="000000"/>
          <w:sz w:val="20"/>
          <w:szCs w:val="20"/>
        </w:rPr>
        <w:t xml:space="preserve">It was prepared in the framework of the transformation of classification system as the Czech version of international standard </w:t>
      </w:r>
      <w:proofErr w:type="spellStart"/>
      <w:r w:rsidR="00AB6A4E" w:rsidRPr="00A7216F">
        <w:rPr>
          <w:rFonts w:ascii="Arial" w:hAnsi="Arial" w:cs="Arial"/>
          <w:i/>
          <w:color w:val="000000"/>
          <w:sz w:val="20"/>
          <w:szCs w:val="20"/>
        </w:rPr>
        <w:t>COICOP</w:t>
      </w:r>
      <w:proofErr w:type="spellEnd"/>
      <w:r w:rsidR="00AB6A4E" w:rsidRPr="00A7216F">
        <w:rPr>
          <w:rFonts w:ascii="Arial" w:hAnsi="Arial" w:cs="Arial"/>
          <w:i/>
          <w:color w:val="000000"/>
          <w:sz w:val="20"/>
          <w:szCs w:val="20"/>
        </w:rPr>
        <w:t xml:space="preserve"> (Classification of Individual Consumption by Purpose) to ensure international comparability of statistical indicators and it is binding for all statistical surveys performed in compliance with Act No. 89/1995 Sb., on State Statistical Service, as amended.</w:t>
      </w:r>
      <w:r w:rsidR="00AB6A4E" w:rsidRPr="00AB6A4E">
        <w:rPr>
          <w:rFonts w:ascii="Arial" w:hAnsi="Arial" w:cs="Arial"/>
          <w:i/>
          <w:color w:val="000000"/>
          <w:sz w:val="20"/>
          <w:szCs w:val="20"/>
        </w:rPr>
        <w:t xml:space="preserve"> </w:t>
      </w:r>
      <w:r w:rsidR="00AB6A4E" w:rsidRPr="00A7216F">
        <w:rPr>
          <w:rFonts w:ascii="Arial" w:hAnsi="Arial" w:cs="Arial"/>
          <w:i/>
          <w:color w:val="000000"/>
          <w:sz w:val="20"/>
          <w:szCs w:val="20"/>
        </w:rPr>
        <w:t>The subject of the classification is to classify all kinds of individual consumption (expenditure on goods and</w:t>
      </w:r>
      <w:r w:rsidR="00AB6A4E" w:rsidRPr="00F70D6C">
        <w:rPr>
          <w:rFonts w:ascii="Arial" w:hAnsi="Arial" w:cs="Arial"/>
          <w:i/>
          <w:sz w:val="20"/>
          <w:szCs w:val="20"/>
        </w:rPr>
        <w:t xml:space="preserve"> </w:t>
      </w:r>
      <w:r w:rsidR="00AB6A4E" w:rsidRPr="00F269F7">
        <w:rPr>
          <w:rFonts w:ascii="Arial" w:hAnsi="Arial" w:cs="Arial"/>
          <w:i/>
          <w:sz w:val="20"/>
          <w:szCs w:val="20"/>
        </w:rPr>
        <w:t xml:space="preserve">services) by purpose. </w:t>
      </w:r>
      <w:r w:rsidR="00727B88" w:rsidRPr="00F269F7">
        <w:rPr>
          <w:rFonts w:ascii="Arial" w:hAnsi="Arial" w:cs="Arial"/>
          <w:i/>
          <w:sz w:val="20"/>
          <w:szCs w:val="20"/>
        </w:rPr>
        <w:t xml:space="preserve">In </w:t>
      </w:r>
      <w:proofErr w:type="gramStart"/>
      <w:r w:rsidR="00727B88" w:rsidRPr="00F269F7">
        <w:rPr>
          <w:rFonts w:ascii="Arial" w:hAnsi="Arial" w:cs="Arial"/>
          <w:i/>
          <w:sz w:val="20"/>
          <w:szCs w:val="20"/>
        </w:rPr>
        <w:t>2018</w:t>
      </w:r>
      <w:proofErr w:type="gramEnd"/>
      <w:r w:rsidR="00727B88" w:rsidRPr="00F269F7">
        <w:rPr>
          <w:rFonts w:ascii="Arial" w:hAnsi="Arial" w:cs="Arial"/>
          <w:i/>
          <w:sz w:val="20"/>
          <w:szCs w:val="20"/>
        </w:rPr>
        <w:t xml:space="preserve"> the </w:t>
      </w:r>
      <w:proofErr w:type="spellStart"/>
      <w:r w:rsidR="00727B88" w:rsidRPr="00F269F7">
        <w:rPr>
          <w:rFonts w:ascii="Arial" w:hAnsi="Arial" w:cs="Arial"/>
          <w:i/>
          <w:sz w:val="20"/>
          <w:szCs w:val="20"/>
        </w:rPr>
        <w:t>COICOP</w:t>
      </w:r>
      <w:proofErr w:type="spellEnd"/>
      <w:r w:rsidR="00727B88" w:rsidRPr="00F269F7">
        <w:rPr>
          <w:rFonts w:ascii="Arial" w:hAnsi="Arial" w:cs="Arial"/>
          <w:i/>
          <w:sz w:val="20"/>
          <w:szCs w:val="20"/>
        </w:rPr>
        <w:t xml:space="preserve"> classification </w:t>
      </w:r>
      <w:r w:rsidR="0093577D" w:rsidRPr="00F269F7">
        <w:rPr>
          <w:rFonts w:ascii="Arial" w:hAnsi="Arial" w:cs="Arial"/>
          <w:i/>
          <w:sz w:val="20"/>
          <w:szCs w:val="20"/>
        </w:rPr>
        <w:t xml:space="preserve">underwent a revision internationally. Subsequently, the Czech version of the classification </w:t>
      </w:r>
      <w:proofErr w:type="gramStart"/>
      <w:r w:rsidR="0093577D" w:rsidRPr="00F269F7">
        <w:rPr>
          <w:rFonts w:ascii="Arial" w:hAnsi="Arial" w:cs="Arial"/>
          <w:i/>
          <w:sz w:val="20"/>
          <w:szCs w:val="20"/>
        </w:rPr>
        <w:t>was modified</w:t>
      </w:r>
      <w:proofErr w:type="gramEnd"/>
      <w:r w:rsidR="0093577D" w:rsidRPr="00F269F7">
        <w:rPr>
          <w:rFonts w:ascii="Arial" w:hAnsi="Arial" w:cs="Arial"/>
          <w:i/>
          <w:sz w:val="20"/>
          <w:szCs w:val="20"/>
        </w:rPr>
        <w:t xml:space="preserve"> into CZ-</w:t>
      </w:r>
      <w:proofErr w:type="spellStart"/>
      <w:r w:rsidR="0093577D" w:rsidRPr="00F269F7">
        <w:rPr>
          <w:rFonts w:ascii="Arial" w:hAnsi="Arial" w:cs="Arial"/>
          <w:i/>
          <w:sz w:val="20"/>
          <w:szCs w:val="20"/>
        </w:rPr>
        <w:t>COICOP</w:t>
      </w:r>
      <w:proofErr w:type="spellEnd"/>
      <w:r w:rsidR="0093577D" w:rsidRPr="00F269F7">
        <w:rPr>
          <w:rFonts w:ascii="Arial" w:hAnsi="Arial" w:cs="Arial"/>
          <w:i/>
          <w:sz w:val="20"/>
          <w:szCs w:val="20"/>
        </w:rPr>
        <w:t xml:space="preserve"> 2018, which was then gradually introduced into all our relevant surveys.</w:t>
      </w:r>
    </w:p>
    <w:p w14:paraId="047ACFF2" w14:textId="358D9222" w:rsidR="0050394B" w:rsidRDefault="00372D90" w:rsidP="00C933D4">
      <w:pPr>
        <w:pStyle w:val="Zkladntextodsazen"/>
        <w:spacing w:after="0"/>
        <w:ind w:firstLine="709"/>
        <w:rPr>
          <w:rFonts w:ascii="Arial" w:hAnsi="Arial" w:cs="Arial"/>
          <w:i/>
          <w:color w:val="000000"/>
          <w:sz w:val="20"/>
          <w:szCs w:val="20"/>
        </w:rPr>
      </w:pPr>
      <w:r w:rsidRPr="00F269F7">
        <w:rPr>
          <w:rFonts w:ascii="Arial" w:hAnsi="Arial" w:cs="Arial"/>
          <w:i/>
          <w:color w:val="000000"/>
          <w:sz w:val="20"/>
          <w:szCs w:val="20"/>
        </w:rPr>
        <w:t>At present, t</w:t>
      </w:r>
      <w:r w:rsidR="0050394B" w:rsidRPr="00F269F7">
        <w:rPr>
          <w:rFonts w:ascii="Arial" w:hAnsi="Arial" w:cs="Arial"/>
          <w:i/>
          <w:color w:val="000000"/>
          <w:sz w:val="20"/>
          <w:szCs w:val="20"/>
        </w:rPr>
        <w:t xml:space="preserve">he classification is of </w:t>
      </w:r>
      <w:r w:rsidR="00AB6A4E" w:rsidRPr="00F269F7">
        <w:rPr>
          <w:rFonts w:ascii="Arial" w:hAnsi="Arial" w:cs="Arial"/>
          <w:i/>
          <w:color w:val="000000"/>
          <w:sz w:val="20"/>
          <w:szCs w:val="20"/>
        </w:rPr>
        <w:t>four</w:t>
      </w:r>
      <w:r w:rsidR="0050394B" w:rsidRPr="00F269F7">
        <w:rPr>
          <w:rFonts w:ascii="Arial" w:hAnsi="Arial" w:cs="Arial"/>
          <w:i/>
          <w:color w:val="000000"/>
          <w:sz w:val="20"/>
          <w:szCs w:val="20"/>
        </w:rPr>
        <w:t xml:space="preserve"> levels. </w:t>
      </w:r>
      <w:r w:rsidRPr="00F269F7">
        <w:rPr>
          <w:rFonts w:ascii="Arial" w:hAnsi="Arial" w:cs="Arial"/>
          <w:i/>
          <w:sz w:val="20"/>
          <w:szCs w:val="20"/>
        </w:rPr>
        <w:t>The first classification level consists in</w:t>
      </w:r>
      <w:r w:rsidR="00735D15" w:rsidRPr="00F269F7">
        <w:rPr>
          <w:rFonts w:ascii="Arial" w:hAnsi="Arial" w:cs="Arial"/>
          <w:i/>
          <w:sz w:val="20"/>
          <w:szCs w:val="20"/>
        </w:rPr>
        <w:t xml:space="preserve"> 15 </w:t>
      </w:r>
      <w:r w:rsidRPr="00F269F7">
        <w:rPr>
          <w:rFonts w:ascii="Arial" w:hAnsi="Arial" w:cs="Arial"/>
          <w:i/>
          <w:sz w:val="20"/>
          <w:szCs w:val="20"/>
        </w:rPr>
        <w:t>basic</w:t>
      </w:r>
      <w:r w:rsidR="00735D15" w:rsidRPr="00F269F7">
        <w:rPr>
          <w:rFonts w:ascii="Arial" w:hAnsi="Arial" w:cs="Arial"/>
          <w:i/>
          <w:sz w:val="20"/>
          <w:szCs w:val="20"/>
        </w:rPr>
        <w:t xml:space="preserve"> </w:t>
      </w:r>
      <w:r w:rsidRPr="00F269F7">
        <w:rPr>
          <w:rFonts w:ascii="Arial" w:hAnsi="Arial" w:cs="Arial"/>
          <w:i/>
          <w:sz w:val="20"/>
          <w:szCs w:val="20"/>
        </w:rPr>
        <w:t>divisions</w:t>
      </w:r>
      <w:r w:rsidR="00735D15" w:rsidRPr="00F269F7">
        <w:rPr>
          <w:rFonts w:ascii="Arial" w:hAnsi="Arial" w:cs="Arial"/>
          <w:i/>
          <w:sz w:val="20"/>
          <w:szCs w:val="20"/>
        </w:rPr>
        <w:t>,</w:t>
      </w:r>
      <w:r w:rsidR="00735D15" w:rsidRPr="00372D90">
        <w:rPr>
          <w:rFonts w:ascii="Arial" w:hAnsi="Arial" w:cs="Arial"/>
          <w:i/>
          <w:sz w:val="20"/>
          <w:szCs w:val="20"/>
        </w:rPr>
        <w:t xml:space="preserve"> </w:t>
      </w:r>
      <w:r w:rsidR="00735D15">
        <w:rPr>
          <w:rFonts w:ascii="Arial" w:hAnsi="Arial" w:cs="Arial"/>
          <w:i/>
          <w:sz w:val="20"/>
          <w:szCs w:val="20"/>
        </w:rPr>
        <w:t>fo</w:t>
      </w:r>
      <w:r w:rsidR="0050394B" w:rsidRPr="00F70D6C">
        <w:rPr>
          <w:rFonts w:ascii="Arial" w:hAnsi="Arial" w:cs="Arial"/>
          <w:i/>
          <w:sz w:val="20"/>
          <w:szCs w:val="20"/>
        </w:rPr>
        <w:t xml:space="preserve">r monitoring of household consumption </w:t>
      </w:r>
      <w:proofErr w:type="gramStart"/>
      <w:r w:rsidR="0050394B" w:rsidRPr="00F70D6C">
        <w:rPr>
          <w:rFonts w:ascii="Arial" w:hAnsi="Arial" w:cs="Arial"/>
          <w:i/>
          <w:sz w:val="20"/>
          <w:szCs w:val="20"/>
        </w:rPr>
        <w:t>expenditure</w:t>
      </w:r>
      <w:proofErr w:type="gramEnd"/>
      <w:r w:rsidR="0050394B" w:rsidRPr="00F70D6C">
        <w:rPr>
          <w:rFonts w:ascii="Arial" w:hAnsi="Arial" w:cs="Arial"/>
          <w:i/>
          <w:sz w:val="20"/>
          <w:szCs w:val="20"/>
        </w:rPr>
        <w:t xml:space="preserve"> the first 1</w:t>
      </w:r>
      <w:r w:rsidR="00735D15">
        <w:rPr>
          <w:rFonts w:ascii="Arial" w:hAnsi="Arial" w:cs="Arial"/>
          <w:i/>
          <w:sz w:val="20"/>
          <w:szCs w:val="20"/>
        </w:rPr>
        <w:t>3</w:t>
      </w:r>
      <w:r w:rsidR="00CA6F46">
        <w:rPr>
          <w:rFonts w:ascii="Arial" w:hAnsi="Arial" w:cs="Arial"/>
          <w:i/>
          <w:sz w:val="20"/>
          <w:szCs w:val="20"/>
        </w:rPr>
        <w:t> </w:t>
      </w:r>
      <w:r w:rsidR="0050394B" w:rsidRPr="00F70D6C">
        <w:rPr>
          <w:rFonts w:ascii="Arial" w:hAnsi="Arial" w:cs="Arial"/>
          <w:i/>
          <w:sz w:val="20"/>
          <w:szCs w:val="20"/>
        </w:rPr>
        <w:t>divisions of the classification are designed</w:t>
      </w:r>
      <w:r w:rsidR="00C933D4">
        <w:rPr>
          <w:rFonts w:ascii="Arial" w:hAnsi="Arial" w:cs="Arial"/>
          <w:i/>
          <w:sz w:val="20"/>
          <w:szCs w:val="20"/>
        </w:rPr>
        <w:t>:</w:t>
      </w:r>
    </w:p>
    <w:p w14:paraId="61C08523" w14:textId="77777777" w:rsidR="0050394B" w:rsidRPr="00AA48F7" w:rsidRDefault="0050394B" w:rsidP="0050394B">
      <w:pPr>
        <w:pStyle w:val="Zkladntext"/>
        <w:ind w:firstLine="709"/>
        <w:rPr>
          <w:rFonts w:ascii="Arial" w:hAnsi="Arial" w:cs="Arial"/>
          <w:i/>
          <w:sz w:val="20"/>
          <w:szCs w:val="20"/>
        </w:rPr>
      </w:pPr>
      <w:proofErr w:type="gramStart"/>
      <w:r w:rsidRPr="00AA48F7">
        <w:rPr>
          <w:rFonts w:ascii="Arial" w:hAnsi="Arial" w:cs="Arial"/>
          <w:i/>
          <w:sz w:val="20"/>
          <w:szCs w:val="20"/>
        </w:rPr>
        <w:t>01</w:t>
      </w:r>
      <w:proofErr w:type="gramEnd"/>
      <w:r w:rsidRPr="00AA48F7">
        <w:rPr>
          <w:rFonts w:ascii="Arial" w:hAnsi="Arial" w:cs="Arial"/>
          <w:i/>
          <w:sz w:val="20"/>
          <w:szCs w:val="20"/>
        </w:rPr>
        <w:t xml:space="preserve"> </w:t>
      </w:r>
      <w:r w:rsidR="00735D15" w:rsidRPr="00735D15">
        <w:rPr>
          <w:rFonts w:ascii="Arial" w:hAnsi="Arial" w:cs="Arial"/>
          <w:i/>
          <w:sz w:val="20"/>
          <w:szCs w:val="20"/>
        </w:rPr>
        <w:t>Food and non-alcoholic beverages</w:t>
      </w:r>
    </w:p>
    <w:p w14:paraId="31C0685B" w14:textId="77777777" w:rsidR="0050394B" w:rsidRPr="00AA48F7" w:rsidRDefault="0050394B" w:rsidP="0050394B">
      <w:pPr>
        <w:pStyle w:val="Zkladntext"/>
        <w:ind w:firstLine="709"/>
        <w:rPr>
          <w:rFonts w:ascii="Arial" w:hAnsi="Arial" w:cs="Arial"/>
          <w:i/>
          <w:sz w:val="20"/>
          <w:szCs w:val="20"/>
        </w:rPr>
      </w:pPr>
      <w:proofErr w:type="gramStart"/>
      <w:r w:rsidRPr="00AA48F7">
        <w:rPr>
          <w:rFonts w:ascii="Arial" w:hAnsi="Arial" w:cs="Arial"/>
          <w:i/>
          <w:sz w:val="20"/>
          <w:szCs w:val="20"/>
        </w:rPr>
        <w:t>02</w:t>
      </w:r>
      <w:proofErr w:type="gramEnd"/>
      <w:r w:rsidRPr="00AA48F7">
        <w:rPr>
          <w:rFonts w:ascii="Arial" w:hAnsi="Arial" w:cs="Arial"/>
          <w:i/>
          <w:sz w:val="20"/>
          <w:szCs w:val="20"/>
        </w:rPr>
        <w:t xml:space="preserve"> </w:t>
      </w:r>
      <w:r w:rsidR="00735D15" w:rsidRPr="00735D15">
        <w:rPr>
          <w:rFonts w:ascii="Arial" w:hAnsi="Arial" w:cs="Arial"/>
          <w:i/>
          <w:sz w:val="20"/>
          <w:szCs w:val="20"/>
        </w:rPr>
        <w:t>Alcoholic beverages, tobacco</w:t>
      </w:r>
    </w:p>
    <w:p w14:paraId="3D704054" w14:textId="77777777" w:rsidR="0050394B" w:rsidRPr="00AA48F7" w:rsidRDefault="0050394B" w:rsidP="0050394B">
      <w:pPr>
        <w:pStyle w:val="Zkladntext"/>
        <w:ind w:firstLine="709"/>
        <w:rPr>
          <w:rFonts w:ascii="Arial" w:hAnsi="Arial" w:cs="Arial"/>
          <w:i/>
          <w:sz w:val="20"/>
          <w:szCs w:val="20"/>
        </w:rPr>
      </w:pPr>
      <w:proofErr w:type="gramStart"/>
      <w:r w:rsidRPr="00AA48F7">
        <w:rPr>
          <w:rFonts w:ascii="Arial" w:hAnsi="Arial" w:cs="Arial"/>
          <w:i/>
          <w:sz w:val="20"/>
          <w:szCs w:val="20"/>
        </w:rPr>
        <w:t>03</w:t>
      </w:r>
      <w:proofErr w:type="gramEnd"/>
      <w:r w:rsidRPr="00AA48F7">
        <w:rPr>
          <w:rFonts w:ascii="Arial" w:hAnsi="Arial" w:cs="Arial"/>
          <w:i/>
          <w:sz w:val="20"/>
          <w:szCs w:val="20"/>
        </w:rPr>
        <w:t xml:space="preserve"> </w:t>
      </w:r>
      <w:r w:rsidR="00735D15" w:rsidRPr="00735D15">
        <w:rPr>
          <w:rFonts w:ascii="Arial" w:hAnsi="Arial" w:cs="Arial"/>
          <w:i/>
          <w:sz w:val="20"/>
          <w:szCs w:val="20"/>
        </w:rPr>
        <w:t>Clothing and footwear</w:t>
      </w:r>
    </w:p>
    <w:p w14:paraId="1660A51E" w14:textId="77777777" w:rsidR="0050394B" w:rsidRPr="00AA48F7" w:rsidRDefault="0050394B" w:rsidP="0050394B">
      <w:pPr>
        <w:pStyle w:val="Zkladntext"/>
        <w:ind w:firstLine="709"/>
        <w:rPr>
          <w:rFonts w:ascii="Arial" w:hAnsi="Arial" w:cs="Arial"/>
          <w:i/>
          <w:sz w:val="20"/>
          <w:szCs w:val="20"/>
        </w:rPr>
      </w:pPr>
      <w:proofErr w:type="gramStart"/>
      <w:r w:rsidRPr="00AA48F7">
        <w:rPr>
          <w:rFonts w:ascii="Arial" w:hAnsi="Arial" w:cs="Arial"/>
          <w:i/>
          <w:sz w:val="20"/>
          <w:szCs w:val="20"/>
        </w:rPr>
        <w:t>04</w:t>
      </w:r>
      <w:proofErr w:type="gramEnd"/>
      <w:r w:rsidRPr="00AA48F7">
        <w:rPr>
          <w:rFonts w:ascii="Arial" w:hAnsi="Arial" w:cs="Arial"/>
          <w:i/>
          <w:sz w:val="20"/>
          <w:szCs w:val="20"/>
        </w:rPr>
        <w:t xml:space="preserve"> </w:t>
      </w:r>
      <w:r w:rsidR="00735D15" w:rsidRPr="00735D15">
        <w:rPr>
          <w:rFonts w:ascii="Arial" w:hAnsi="Arial" w:cs="Arial"/>
          <w:i/>
          <w:sz w:val="20"/>
          <w:szCs w:val="20"/>
        </w:rPr>
        <w:t>Housing, water, electricity, gas and other fuels</w:t>
      </w:r>
    </w:p>
    <w:p w14:paraId="14AB3822" w14:textId="77777777" w:rsidR="0050394B" w:rsidRPr="00AA48F7" w:rsidRDefault="0050394B" w:rsidP="0050394B">
      <w:pPr>
        <w:pStyle w:val="Zkladntext"/>
        <w:ind w:firstLine="709"/>
        <w:rPr>
          <w:rFonts w:ascii="Arial" w:hAnsi="Arial" w:cs="Arial"/>
          <w:i/>
          <w:sz w:val="20"/>
          <w:szCs w:val="20"/>
        </w:rPr>
      </w:pPr>
      <w:proofErr w:type="gramStart"/>
      <w:r w:rsidRPr="00AA48F7">
        <w:rPr>
          <w:rFonts w:ascii="Arial" w:hAnsi="Arial" w:cs="Arial"/>
          <w:i/>
          <w:sz w:val="20"/>
          <w:szCs w:val="20"/>
        </w:rPr>
        <w:t>05</w:t>
      </w:r>
      <w:proofErr w:type="gramEnd"/>
      <w:r w:rsidRPr="00AA48F7">
        <w:rPr>
          <w:rFonts w:ascii="Arial" w:hAnsi="Arial" w:cs="Arial"/>
          <w:i/>
          <w:sz w:val="20"/>
          <w:szCs w:val="20"/>
        </w:rPr>
        <w:t xml:space="preserve"> </w:t>
      </w:r>
      <w:r w:rsidR="00735D15" w:rsidRPr="00735D15">
        <w:rPr>
          <w:rFonts w:ascii="Arial" w:hAnsi="Arial" w:cs="Arial"/>
          <w:i/>
          <w:sz w:val="20"/>
          <w:szCs w:val="20"/>
        </w:rPr>
        <w:t>Furnishings, household equipment and routine household maintenance</w:t>
      </w:r>
    </w:p>
    <w:p w14:paraId="079527BA" w14:textId="77777777" w:rsidR="0050394B" w:rsidRPr="00AA48F7" w:rsidRDefault="0050394B" w:rsidP="0050394B">
      <w:pPr>
        <w:pStyle w:val="Zkladntext"/>
        <w:ind w:firstLine="709"/>
        <w:rPr>
          <w:rFonts w:ascii="Arial" w:hAnsi="Arial" w:cs="Arial"/>
          <w:i/>
          <w:sz w:val="20"/>
          <w:szCs w:val="20"/>
        </w:rPr>
      </w:pPr>
      <w:proofErr w:type="gramStart"/>
      <w:r w:rsidRPr="00AA48F7">
        <w:rPr>
          <w:rFonts w:ascii="Arial" w:hAnsi="Arial" w:cs="Arial"/>
          <w:i/>
          <w:sz w:val="20"/>
          <w:szCs w:val="20"/>
        </w:rPr>
        <w:t>06</w:t>
      </w:r>
      <w:proofErr w:type="gramEnd"/>
      <w:r w:rsidRPr="00AA48F7">
        <w:rPr>
          <w:rFonts w:ascii="Arial" w:hAnsi="Arial" w:cs="Arial"/>
          <w:i/>
          <w:sz w:val="20"/>
          <w:szCs w:val="20"/>
        </w:rPr>
        <w:t xml:space="preserve"> </w:t>
      </w:r>
      <w:r w:rsidR="00735D15" w:rsidRPr="00735D15">
        <w:rPr>
          <w:rFonts w:ascii="Arial" w:hAnsi="Arial" w:cs="Arial"/>
          <w:i/>
          <w:sz w:val="20"/>
          <w:szCs w:val="20"/>
        </w:rPr>
        <w:t>Health</w:t>
      </w:r>
    </w:p>
    <w:p w14:paraId="0021C6F7" w14:textId="77777777" w:rsidR="0050394B" w:rsidRPr="00AA48F7" w:rsidRDefault="0050394B" w:rsidP="0050394B">
      <w:pPr>
        <w:pStyle w:val="Zkladntext"/>
        <w:ind w:firstLine="709"/>
        <w:rPr>
          <w:rFonts w:ascii="Arial" w:hAnsi="Arial" w:cs="Arial"/>
          <w:i/>
          <w:sz w:val="20"/>
          <w:szCs w:val="20"/>
        </w:rPr>
      </w:pPr>
      <w:proofErr w:type="gramStart"/>
      <w:r w:rsidRPr="00AA48F7">
        <w:rPr>
          <w:rFonts w:ascii="Arial" w:hAnsi="Arial" w:cs="Arial"/>
          <w:i/>
          <w:sz w:val="20"/>
          <w:szCs w:val="20"/>
        </w:rPr>
        <w:t>07</w:t>
      </w:r>
      <w:proofErr w:type="gramEnd"/>
      <w:r w:rsidRPr="00AA48F7">
        <w:rPr>
          <w:rFonts w:ascii="Arial" w:hAnsi="Arial" w:cs="Arial"/>
          <w:i/>
          <w:sz w:val="20"/>
          <w:szCs w:val="20"/>
        </w:rPr>
        <w:t xml:space="preserve"> </w:t>
      </w:r>
      <w:r w:rsidR="00735D15" w:rsidRPr="00735D15">
        <w:rPr>
          <w:rFonts w:ascii="Arial" w:hAnsi="Arial" w:cs="Arial"/>
          <w:i/>
          <w:sz w:val="20"/>
          <w:szCs w:val="20"/>
        </w:rPr>
        <w:t>Transport</w:t>
      </w:r>
    </w:p>
    <w:p w14:paraId="2ADAB4A5" w14:textId="77777777" w:rsidR="0050394B" w:rsidRPr="00AA48F7" w:rsidRDefault="0050394B" w:rsidP="0050394B">
      <w:pPr>
        <w:pStyle w:val="Zkladntext"/>
        <w:ind w:firstLine="709"/>
        <w:rPr>
          <w:rFonts w:ascii="Arial" w:hAnsi="Arial" w:cs="Arial"/>
          <w:i/>
          <w:sz w:val="20"/>
          <w:szCs w:val="20"/>
        </w:rPr>
      </w:pPr>
      <w:proofErr w:type="gramStart"/>
      <w:r w:rsidRPr="00AA48F7">
        <w:rPr>
          <w:rFonts w:ascii="Arial" w:hAnsi="Arial" w:cs="Arial"/>
          <w:i/>
          <w:sz w:val="20"/>
          <w:szCs w:val="20"/>
        </w:rPr>
        <w:t>08</w:t>
      </w:r>
      <w:proofErr w:type="gramEnd"/>
      <w:r w:rsidRPr="00AA48F7">
        <w:rPr>
          <w:rFonts w:ascii="Arial" w:hAnsi="Arial" w:cs="Arial"/>
          <w:i/>
          <w:sz w:val="20"/>
          <w:szCs w:val="20"/>
        </w:rPr>
        <w:t xml:space="preserve"> </w:t>
      </w:r>
      <w:r w:rsidR="00735D15" w:rsidRPr="00735D15">
        <w:rPr>
          <w:rFonts w:ascii="Arial" w:hAnsi="Arial" w:cs="Arial"/>
          <w:i/>
          <w:sz w:val="20"/>
          <w:szCs w:val="20"/>
        </w:rPr>
        <w:t>Information and communication</w:t>
      </w:r>
    </w:p>
    <w:p w14:paraId="2350D94A" w14:textId="77777777" w:rsidR="0050394B" w:rsidRPr="00AA48F7" w:rsidRDefault="0050394B" w:rsidP="0050394B">
      <w:pPr>
        <w:pStyle w:val="Zkladntext"/>
        <w:ind w:firstLine="709"/>
        <w:rPr>
          <w:rFonts w:ascii="Arial" w:hAnsi="Arial" w:cs="Arial"/>
          <w:i/>
          <w:sz w:val="20"/>
          <w:szCs w:val="20"/>
        </w:rPr>
      </w:pPr>
      <w:proofErr w:type="gramStart"/>
      <w:r w:rsidRPr="00AA48F7">
        <w:rPr>
          <w:rFonts w:ascii="Arial" w:hAnsi="Arial" w:cs="Arial"/>
          <w:i/>
          <w:sz w:val="20"/>
          <w:szCs w:val="20"/>
        </w:rPr>
        <w:t>09</w:t>
      </w:r>
      <w:proofErr w:type="gramEnd"/>
      <w:r w:rsidRPr="00AA48F7">
        <w:rPr>
          <w:rFonts w:ascii="Arial" w:hAnsi="Arial" w:cs="Arial"/>
          <w:i/>
          <w:sz w:val="20"/>
          <w:szCs w:val="20"/>
        </w:rPr>
        <w:t xml:space="preserve"> </w:t>
      </w:r>
      <w:r w:rsidR="00735D15" w:rsidRPr="00735D15">
        <w:rPr>
          <w:rFonts w:ascii="Arial" w:hAnsi="Arial" w:cs="Arial"/>
          <w:i/>
          <w:sz w:val="20"/>
          <w:szCs w:val="20"/>
        </w:rPr>
        <w:t>Recreation, sport and culture</w:t>
      </w:r>
    </w:p>
    <w:p w14:paraId="6FACA859" w14:textId="77777777" w:rsidR="0050394B" w:rsidRPr="00AA48F7" w:rsidRDefault="0050394B" w:rsidP="0050394B">
      <w:pPr>
        <w:pStyle w:val="Zkladntext"/>
        <w:ind w:firstLine="709"/>
        <w:rPr>
          <w:rFonts w:ascii="Arial" w:hAnsi="Arial" w:cs="Arial"/>
          <w:i/>
          <w:sz w:val="20"/>
          <w:szCs w:val="20"/>
        </w:rPr>
      </w:pPr>
      <w:proofErr w:type="gramStart"/>
      <w:r w:rsidRPr="00AA48F7">
        <w:rPr>
          <w:rFonts w:ascii="Arial" w:hAnsi="Arial" w:cs="Arial"/>
          <w:i/>
          <w:sz w:val="20"/>
          <w:szCs w:val="20"/>
        </w:rPr>
        <w:t>10</w:t>
      </w:r>
      <w:proofErr w:type="gramEnd"/>
      <w:r w:rsidRPr="00AA48F7">
        <w:rPr>
          <w:rFonts w:ascii="Arial" w:hAnsi="Arial" w:cs="Arial"/>
          <w:i/>
          <w:sz w:val="20"/>
          <w:szCs w:val="20"/>
        </w:rPr>
        <w:t xml:space="preserve"> </w:t>
      </w:r>
      <w:r w:rsidR="00735D15" w:rsidRPr="00735D15">
        <w:rPr>
          <w:rFonts w:ascii="Arial" w:hAnsi="Arial" w:cs="Arial"/>
          <w:i/>
          <w:sz w:val="20"/>
          <w:szCs w:val="20"/>
        </w:rPr>
        <w:t>Education services</w:t>
      </w:r>
    </w:p>
    <w:p w14:paraId="4DC34E93" w14:textId="77777777" w:rsidR="0050394B" w:rsidRDefault="0050394B" w:rsidP="0050394B">
      <w:pPr>
        <w:pStyle w:val="Zkladntext"/>
        <w:ind w:firstLine="709"/>
        <w:rPr>
          <w:rFonts w:ascii="Arial" w:hAnsi="Arial" w:cs="Arial"/>
          <w:i/>
          <w:sz w:val="20"/>
          <w:szCs w:val="20"/>
        </w:rPr>
      </w:pPr>
      <w:proofErr w:type="gramStart"/>
      <w:r w:rsidRPr="00AA48F7">
        <w:rPr>
          <w:rFonts w:ascii="Arial" w:hAnsi="Arial" w:cs="Arial"/>
          <w:i/>
          <w:sz w:val="20"/>
          <w:szCs w:val="20"/>
        </w:rPr>
        <w:t>11</w:t>
      </w:r>
      <w:proofErr w:type="gramEnd"/>
      <w:r w:rsidRPr="00AA48F7">
        <w:rPr>
          <w:rFonts w:ascii="Arial" w:hAnsi="Arial" w:cs="Arial"/>
          <w:i/>
          <w:sz w:val="20"/>
          <w:szCs w:val="20"/>
        </w:rPr>
        <w:t xml:space="preserve"> </w:t>
      </w:r>
      <w:r w:rsidR="00735D15" w:rsidRPr="00735D15">
        <w:rPr>
          <w:rFonts w:ascii="Arial" w:hAnsi="Arial" w:cs="Arial"/>
          <w:i/>
          <w:sz w:val="20"/>
          <w:szCs w:val="20"/>
        </w:rPr>
        <w:t>Restaurants and accommodation services</w:t>
      </w:r>
    </w:p>
    <w:p w14:paraId="58AA3B23" w14:textId="77777777" w:rsidR="00735D15" w:rsidRPr="00AA48F7" w:rsidRDefault="00735D15" w:rsidP="0050394B">
      <w:pPr>
        <w:pStyle w:val="Zkladntext"/>
        <w:ind w:firstLine="709"/>
        <w:rPr>
          <w:rFonts w:ascii="Arial" w:hAnsi="Arial" w:cs="Arial"/>
          <w:i/>
          <w:sz w:val="20"/>
          <w:szCs w:val="20"/>
        </w:rPr>
      </w:pPr>
      <w:r>
        <w:rPr>
          <w:rFonts w:ascii="Arial" w:hAnsi="Arial" w:cs="Arial"/>
          <w:i/>
          <w:sz w:val="20"/>
          <w:szCs w:val="20"/>
        </w:rPr>
        <w:t xml:space="preserve">12 </w:t>
      </w:r>
      <w:r w:rsidRPr="00735D15">
        <w:rPr>
          <w:rFonts w:ascii="Arial" w:hAnsi="Arial" w:cs="Arial"/>
          <w:i/>
          <w:sz w:val="20"/>
          <w:szCs w:val="20"/>
        </w:rPr>
        <w:t>Insurance and financial services</w:t>
      </w:r>
    </w:p>
    <w:p w14:paraId="15AB9079" w14:textId="77777777" w:rsidR="0050394B" w:rsidRPr="00AA48F7" w:rsidRDefault="0050394B" w:rsidP="0050394B">
      <w:pPr>
        <w:pStyle w:val="Zkladntext"/>
        <w:spacing w:after="120"/>
        <w:ind w:firstLine="709"/>
        <w:rPr>
          <w:rFonts w:ascii="Arial" w:hAnsi="Arial" w:cs="Arial"/>
          <w:i/>
          <w:sz w:val="20"/>
          <w:szCs w:val="20"/>
        </w:rPr>
      </w:pPr>
      <w:proofErr w:type="gramStart"/>
      <w:r w:rsidRPr="00AA48F7">
        <w:rPr>
          <w:rFonts w:ascii="Arial" w:hAnsi="Arial" w:cs="Arial"/>
          <w:i/>
          <w:sz w:val="20"/>
          <w:szCs w:val="20"/>
        </w:rPr>
        <w:t>1</w:t>
      </w:r>
      <w:r w:rsidR="00735D15">
        <w:rPr>
          <w:rFonts w:ascii="Arial" w:hAnsi="Arial" w:cs="Arial"/>
          <w:i/>
          <w:sz w:val="20"/>
          <w:szCs w:val="20"/>
        </w:rPr>
        <w:t>3</w:t>
      </w:r>
      <w:proofErr w:type="gramEnd"/>
      <w:r w:rsidRPr="00AA48F7">
        <w:rPr>
          <w:rFonts w:ascii="Arial" w:hAnsi="Arial" w:cs="Arial"/>
          <w:i/>
          <w:sz w:val="20"/>
          <w:szCs w:val="20"/>
        </w:rPr>
        <w:t xml:space="preserve"> </w:t>
      </w:r>
      <w:r w:rsidR="00735D15" w:rsidRPr="00735D15">
        <w:rPr>
          <w:rFonts w:ascii="Arial" w:hAnsi="Arial" w:cs="Arial"/>
          <w:i/>
          <w:sz w:val="20"/>
          <w:szCs w:val="20"/>
        </w:rPr>
        <w:t>Personal care, social protection and miscellaneous goods and services</w:t>
      </w:r>
    </w:p>
    <w:p w14:paraId="71D234DE" w14:textId="5C87D809" w:rsidR="0099524F" w:rsidRPr="004E308B" w:rsidRDefault="00372D90" w:rsidP="0050394B">
      <w:pPr>
        <w:pStyle w:val="Zkladntext"/>
        <w:spacing w:after="120"/>
        <w:ind w:firstLine="709"/>
        <w:rPr>
          <w:rFonts w:ascii="Arial" w:hAnsi="Arial" w:cs="Arial"/>
          <w:i/>
          <w:sz w:val="20"/>
          <w:szCs w:val="20"/>
        </w:rPr>
      </w:pPr>
      <w:r w:rsidRPr="00F269F7">
        <w:rPr>
          <w:rFonts w:ascii="Arial" w:hAnsi="Arial" w:cs="Arial"/>
          <w:i/>
          <w:sz w:val="20"/>
          <w:szCs w:val="20"/>
        </w:rPr>
        <w:t>Further levels of classification include groups, classes and subclasses</w:t>
      </w:r>
      <w:r w:rsidR="00735D15" w:rsidRPr="00F269F7">
        <w:rPr>
          <w:rFonts w:ascii="Arial" w:hAnsi="Arial" w:cs="Arial"/>
          <w:i/>
          <w:sz w:val="20"/>
          <w:szCs w:val="20"/>
        </w:rPr>
        <w:t xml:space="preserve">. </w:t>
      </w:r>
      <w:r w:rsidR="00735D15" w:rsidRPr="00F269F7">
        <w:rPr>
          <w:rFonts w:ascii="Arial" w:hAnsi="Arial" w:cs="Arial"/>
          <w:i/>
          <w:color w:val="000000"/>
          <w:sz w:val="20"/>
          <w:szCs w:val="20"/>
        </w:rPr>
        <w:t>G</w:t>
      </w:r>
      <w:r w:rsidR="00735D15" w:rsidRPr="00A7216F">
        <w:rPr>
          <w:rFonts w:ascii="Arial" w:hAnsi="Arial" w:cs="Arial"/>
          <w:i/>
          <w:color w:val="000000"/>
          <w:sz w:val="20"/>
          <w:szCs w:val="20"/>
        </w:rPr>
        <w:t xml:space="preserve">roup 04.2 Imputed rentals </w:t>
      </w:r>
      <w:proofErr w:type="gramStart"/>
      <w:r w:rsidR="00735D15" w:rsidRPr="00A7216F">
        <w:rPr>
          <w:rFonts w:ascii="Arial" w:hAnsi="Arial" w:cs="Arial"/>
          <w:i/>
          <w:color w:val="000000"/>
          <w:sz w:val="20"/>
          <w:szCs w:val="20"/>
        </w:rPr>
        <w:t>has not been introduced</w:t>
      </w:r>
      <w:proofErr w:type="gramEnd"/>
      <w:r w:rsidR="00735D15" w:rsidRPr="00A7216F">
        <w:rPr>
          <w:rFonts w:ascii="Arial" w:hAnsi="Arial" w:cs="Arial"/>
          <w:i/>
          <w:color w:val="000000"/>
          <w:sz w:val="20"/>
          <w:szCs w:val="20"/>
        </w:rPr>
        <w:t xml:space="preserve"> into the </w:t>
      </w:r>
      <w:proofErr w:type="spellStart"/>
      <w:r w:rsidR="00735D15" w:rsidRPr="00A7216F">
        <w:rPr>
          <w:rFonts w:ascii="Arial" w:hAnsi="Arial" w:cs="Arial"/>
          <w:i/>
          <w:color w:val="000000"/>
          <w:sz w:val="20"/>
          <w:szCs w:val="20"/>
        </w:rPr>
        <w:t>HBS</w:t>
      </w:r>
      <w:proofErr w:type="spellEnd"/>
      <w:r w:rsidR="00735D15" w:rsidRPr="00A7216F">
        <w:rPr>
          <w:rFonts w:ascii="Arial" w:hAnsi="Arial" w:cs="Arial"/>
          <w:i/>
          <w:color w:val="000000"/>
          <w:sz w:val="20"/>
          <w:szCs w:val="20"/>
        </w:rPr>
        <w:t xml:space="preserve">. Apart from water supply, sewage collection is included in </w:t>
      </w:r>
      <w:r w:rsidR="004B6222">
        <w:rPr>
          <w:rFonts w:ascii="Arial" w:hAnsi="Arial" w:cs="Arial"/>
          <w:i/>
          <w:color w:val="000000"/>
          <w:sz w:val="20"/>
          <w:szCs w:val="20"/>
        </w:rPr>
        <w:t>class</w:t>
      </w:r>
      <w:r w:rsidR="00735D15" w:rsidRPr="00A7216F">
        <w:rPr>
          <w:rFonts w:ascii="Arial" w:hAnsi="Arial" w:cs="Arial"/>
          <w:i/>
          <w:color w:val="000000"/>
          <w:sz w:val="20"/>
          <w:szCs w:val="20"/>
        </w:rPr>
        <w:t xml:space="preserve"> 04.4.1.</w:t>
      </w:r>
      <w:r w:rsidR="00735D15">
        <w:rPr>
          <w:rFonts w:ascii="Arial" w:hAnsi="Arial" w:cs="Arial"/>
          <w:i/>
          <w:color w:val="000000"/>
          <w:sz w:val="20"/>
          <w:szCs w:val="20"/>
        </w:rPr>
        <w:t xml:space="preserve"> </w:t>
      </w:r>
      <w:r>
        <w:rPr>
          <w:rStyle w:val="tlid-translation"/>
          <w:rFonts w:ascii="Arial" w:hAnsi="Arial" w:cs="Arial"/>
          <w:i/>
          <w:color w:val="000000"/>
          <w:sz w:val="20"/>
          <w:szCs w:val="20"/>
          <w:lang w:val="en"/>
        </w:rPr>
        <w:t>L</w:t>
      </w:r>
      <w:r w:rsidR="0099524F" w:rsidRPr="00A7216F">
        <w:rPr>
          <w:rStyle w:val="tlid-translation"/>
          <w:rFonts w:ascii="Arial" w:hAnsi="Arial" w:cs="Arial"/>
          <w:i/>
          <w:color w:val="000000"/>
          <w:sz w:val="20"/>
          <w:szCs w:val="20"/>
          <w:lang w:val="en"/>
        </w:rPr>
        <w:t xml:space="preserve">ife insurance with </w:t>
      </w:r>
      <w:r w:rsidR="0006771F" w:rsidRPr="00A7216F">
        <w:rPr>
          <w:rStyle w:val="tlid-translation"/>
          <w:rFonts w:ascii="Arial" w:hAnsi="Arial" w:cs="Arial"/>
          <w:i/>
          <w:color w:val="000000"/>
          <w:sz w:val="20"/>
          <w:szCs w:val="20"/>
          <w:lang w:val="en"/>
        </w:rPr>
        <w:t xml:space="preserve">a </w:t>
      </w:r>
      <w:r w:rsidR="0099524F" w:rsidRPr="00A7216F">
        <w:rPr>
          <w:rStyle w:val="tlid-translation"/>
          <w:rFonts w:ascii="Arial" w:hAnsi="Arial" w:cs="Arial"/>
          <w:i/>
          <w:color w:val="000000"/>
          <w:sz w:val="20"/>
          <w:szCs w:val="20"/>
          <w:lang w:val="en"/>
        </w:rPr>
        <w:t>savings</w:t>
      </w:r>
      <w:r w:rsidR="0006771F" w:rsidRPr="00A7216F">
        <w:rPr>
          <w:rStyle w:val="tlid-translation"/>
          <w:rFonts w:ascii="Arial" w:hAnsi="Arial" w:cs="Arial"/>
          <w:i/>
          <w:color w:val="000000"/>
          <w:sz w:val="20"/>
          <w:szCs w:val="20"/>
          <w:lang w:val="en"/>
        </w:rPr>
        <w:t xml:space="preserve"> account</w:t>
      </w:r>
      <w:r w:rsidR="0099524F" w:rsidRPr="00A7216F">
        <w:rPr>
          <w:rStyle w:val="tlid-translation"/>
          <w:rFonts w:ascii="Arial" w:hAnsi="Arial" w:cs="Arial"/>
          <w:i/>
          <w:color w:val="000000"/>
          <w:sz w:val="20"/>
          <w:szCs w:val="20"/>
          <w:lang w:val="en"/>
        </w:rPr>
        <w:t>, supplementary pension insurance</w:t>
      </w:r>
      <w:r w:rsidR="00B63B9C" w:rsidRPr="00A7216F">
        <w:rPr>
          <w:rStyle w:val="tlid-translation"/>
          <w:rFonts w:ascii="Arial" w:hAnsi="Arial" w:cs="Arial"/>
          <w:i/>
          <w:color w:val="000000"/>
          <w:sz w:val="20"/>
          <w:szCs w:val="20"/>
          <w:lang w:val="en"/>
        </w:rPr>
        <w:t xml:space="preserve"> schemes</w:t>
      </w:r>
      <w:r w:rsidR="0099524F" w:rsidRPr="00A7216F">
        <w:rPr>
          <w:rStyle w:val="tlid-translation"/>
          <w:rFonts w:ascii="Arial" w:hAnsi="Arial" w:cs="Arial"/>
          <w:i/>
          <w:color w:val="000000"/>
          <w:sz w:val="20"/>
          <w:szCs w:val="20"/>
          <w:lang w:val="en"/>
        </w:rPr>
        <w:t xml:space="preserve"> and similar forms of investment </w:t>
      </w:r>
      <w:proofErr w:type="gramStart"/>
      <w:r>
        <w:rPr>
          <w:rStyle w:val="tlid-translation"/>
          <w:rFonts w:ascii="Arial" w:hAnsi="Arial" w:cs="Arial"/>
          <w:i/>
          <w:color w:val="000000"/>
          <w:sz w:val="20"/>
          <w:szCs w:val="20"/>
          <w:lang w:val="en"/>
        </w:rPr>
        <w:t>are not</w:t>
      </w:r>
      <w:r w:rsidR="00B63B9C" w:rsidRPr="00A7216F">
        <w:rPr>
          <w:rStyle w:val="tlid-translation"/>
          <w:rFonts w:ascii="Arial" w:hAnsi="Arial" w:cs="Arial"/>
          <w:i/>
          <w:color w:val="000000"/>
          <w:sz w:val="20"/>
          <w:szCs w:val="20"/>
          <w:lang w:val="en"/>
        </w:rPr>
        <w:t xml:space="preserve"> </w:t>
      </w:r>
      <w:r w:rsidR="00682DE1" w:rsidRPr="00A7216F">
        <w:rPr>
          <w:rStyle w:val="tlid-translation"/>
          <w:rFonts w:ascii="Arial" w:hAnsi="Arial" w:cs="Arial"/>
          <w:i/>
          <w:color w:val="000000"/>
          <w:sz w:val="20"/>
          <w:szCs w:val="20"/>
          <w:lang w:val="en"/>
        </w:rPr>
        <w:t>classified</w:t>
      </w:r>
      <w:proofErr w:type="gramEnd"/>
      <w:r w:rsidR="0099524F" w:rsidRPr="00A7216F">
        <w:rPr>
          <w:rStyle w:val="tlid-translation"/>
          <w:rFonts w:ascii="Arial" w:hAnsi="Arial" w:cs="Arial"/>
          <w:i/>
          <w:color w:val="000000"/>
          <w:sz w:val="20"/>
          <w:szCs w:val="20"/>
          <w:lang w:val="en"/>
        </w:rPr>
        <w:t xml:space="preserve"> as insurance. These products </w:t>
      </w:r>
      <w:proofErr w:type="gramStart"/>
      <w:r w:rsidR="00B63B9C" w:rsidRPr="00A7216F">
        <w:rPr>
          <w:rStyle w:val="tlid-translation"/>
          <w:rFonts w:ascii="Arial" w:hAnsi="Arial" w:cs="Arial"/>
          <w:i/>
          <w:color w:val="000000"/>
          <w:sz w:val="20"/>
          <w:szCs w:val="20"/>
          <w:lang w:val="en"/>
        </w:rPr>
        <w:t>have been coded</w:t>
      </w:r>
      <w:proofErr w:type="gramEnd"/>
      <w:r w:rsidR="0099524F" w:rsidRPr="00A7216F">
        <w:rPr>
          <w:rStyle w:val="tlid-translation"/>
          <w:rFonts w:ascii="Arial" w:hAnsi="Arial" w:cs="Arial"/>
          <w:i/>
          <w:color w:val="000000"/>
          <w:sz w:val="20"/>
          <w:szCs w:val="20"/>
          <w:lang w:val="en"/>
        </w:rPr>
        <w:t xml:space="preserve"> as deposits, not consumption </w:t>
      </w:r>
      <w:r w:rsidR="0006771F" w:rsidRPr="00A7216F">
        <w:rPr>
          <w:rStyle w:val="tlid-translation"/>
          <w:rFonts w:ascii="Arial" w:hAnsi="Arial" w:cs="Arial"/>
          <w:i/>
          <w:color w:val="000000"/>
          <w:sz w:val="20"/>
          <w:szCs w:val="20"/>
          <w:lang w:val="en"/>
        </w:rPr>
        <w:lastRenderedPageBreak/>
        <w:t>expenditure</w:t>
      </w:r>
      <w:r w:rsidR="0099524F" w:rsidRPr="00A7216F">
        <w:rPr>
          <w:rStyle w:val="tlid-translation"/>
          <w:rFonts w:ascii="Arial" w:hAnsi="Arial" w:cs="Arial"/>
          <w:i/>
          <w:color w:val="000000"/>
          <w:sz w:val="20"/>
          <w:szCs w:val="20"/>
          <w:lang w:val="en"/>
        </w:rPr>
        <w:t xml:space="preserve">. This methodology </w:t>
      </w:r>
      <w:proofErr w:type="gramStart"/>
      <w:r w:rsidR="00B63B9C" w:rsidRPr="00A7216F">
        <w:rPr>
          <w:rStyle w:val="tlid-translation"/>
          <w:rFonts w:ascii="Arial" w:hAnsi="Arial" w:cs="Arial"/>
          <w:i/>
          <w:color w:val="000000"/>
          <w:sz w:val="20"/>
          <w:szCs w:val="20"/>
          <w:lang w:val="en"/>
        </w:rPr>
        <w:t xml:space="preserve">has been </w:t>
      </w:r>
      <w:r w:rsidR="0099524F" w:rsidRPr="00A7216F">
        <w:rPr>
          <w:rStyle w:val="tlid-translation"/>
          <w:rFonts w:ascii="Arial" w:hAnsi="Arial" w:cs="Arial"/>
          <w:i/>
          <w:color w:val="000000"/>
          <w:sz w:val="20"/>
          <w:szCs w:val="20"/>
          <w:lang w:val="en"/>
        </w:rPr>
        <w:t>implemented</w:t>
      </w:r>
      <w:proofErr w:type="gramEnd"/>
      <w:r w:rsidR="0099524F" w:rsidRPr="00A7216F">
        <w:rPr>
          <w:rStyle w:val="tlid-translation"/>
          <w:rFonts w:ascii="Arial" w:hAnsi="Arial" w:cs="Arial"/>
          <w:i/>
          <w:color w:val="000000"/>
          <w:sz w:val="20"/>
          <w:szCs w:val="20"/>
          <w:lang w:val="en"/>
        </w:rPr>
        <w:t xml:space="preserve"> in accordance with the </w:t>
      </w:r>
      <w:r w:rsidR="0099524F" w:rsidRPr="004E308B">
        <w:rPr>
          <w:rStyle w:val="tlid-translation"/>
          <w:rFonts w:ascii="Arial" w:hAnsi="Arial" w:cs="Arial"/>
          <w:i/>
          <w:sz w:val="20"/>
          <w:szCs w:val="20"/>
          <w:lang w:val="en"/>
        </w:rPr>
        <w:t xml:space="preserve">methodology recommendations </w:t>
      </w:r>
      <w:r w:rsidR="0006771F" w:rsidRPr="004E308B">
        <w:rPr>
          <w:rStyle w:val="tlid-translation"/>
          <w:rFonts w:ascii="Arial" w:hAnsi="Arial" w:cs="Arial"/>
          <w:i/>
          <w:sz w:val="20"/>
          <w:szCs w:val="20"/>
          <w:lang w:val="en"/>
        </w:rPr>
        <w:t>of</w:t>
      </w:r>
      <w:r w:rsidR="0099524F" w:rsidRPr="004E308B">
        <w:rPr>
          <w:rStyle w:val="tlid-translation"/>
          <w:rFonts w:ascii="Arial" w:hAnsi="Arial" w:cs="Arial"/>
          <w:i/>
          <w:sz w:val="20"/>
          <w:szCs w:val="20"/>
          <w:lang w:val="en"/>
        </w:rPr>
        <w:t xml:space="preserve"> the European Statistical Office (Eurostat).</w:t>
      </w:r>
      <w:r w:rsidR="001A15A0" w:rsidRPr="001A15A0">
        <w:rPr>
          <w:rFonts w:ascii="Arial" w:hAnsi="Arial" w:cs="Arial"/>
          <w:i/>
          <w:sz w:val="20"/>
          <w:szCs w:val="20"/>
        </w:rPr>
        <w:t xml:space="preserve"> </w:t>
      </w:r>
      <w:r w:rsidR="001A15A0" w:rsidRPr="004E308B">
        <w:rPr>
          <w:rFonts w:ascii="Arial" w:hAnsi="Arial" w:cs="Arial"/>
          <w:i/>
          <w:sz w:val="20"/>
          <w:szCs w:val="20"/>
        </w:rPr>
        <w:t>Our results do not include expenditure that is outside the CZ-</w:t>
      </w:r>
      <w:proofErr w:type="spellStart"/>
      <w:r w:rsidR="001A15A0" w:rsidRPr="004E308B">
        <w:rPr>
          <w:rFonts w:ascii="Arial" w:hAnsi="Arial" w:cs="Arial"/>
          <w:i/>
          <w:sz w:val="20"/>
          <w:szCs w:val="20"/>
        </w:rPr>
        <w:t>COICOP</w:t>
      </w:r>
      <w:proofErr w:type="spellEnd"/>
      <w:r w:rsidR="001A15A0" w:rsidRPr="004E308B">
        <w:rPr>
          <w:rFonts w:ascii="Arial" w:hAnsi="Arial" w:cs="Arial"/>
          <w:i/>
          <w:sz w:val="20"/>
          <w:szCs w:val="20"/>
        </w:rPr>
        <w:t xml:space="preserve"> classification, such as investment expenditure related to (re)constructing a dwelling.</w:t>
      </w:r>
    </w:p>
    <w:p w14:paraId="28430A5B" w14:textId="77777777" w:rsidR="0050394B" w:rsidRDefault="00BF4D41" w:rsidP="0050394B">
      <w:pPr>
        <w:pStyle w:val="Zkladntext"/>
        <w:spacing w:after="120"/>
        <w:ind w:firstLine="709"/>
        <w:rPr>
          <w:rFonts w:ascii="Arial" w:hAnsi="Arial" w:cs="Arial"/>
          <w:i/>
          <w:sz w:val="20"/>
          <w:szCs w:val="20"/>
        </w:rPr>
      </w:pPr>
      <w:r w:rsidRPr="004E308B">
        <w:rPr>
          <w:rFonts w:ascii="Arial" w:hAnsi="Arial" w:cs="Arial"/>
          <w:i/>
          <w:sz w:val="20"/>
          <w:szCs w:val="20"/>
        </w:rPr>
        <w:t>All t</w:t>
      </w:r>
      <w:r w:rsidR="0050394B" w:rsidRPr="004E308B">
        <w:rPr>
          <w:rFonts w:ascii="Arial" w:hAnsi="Arial" w:cs="Arial"/>
          <w:i/>
          <w:sz w:val="20"/>
          <w:szCs w:val="20"/>
        </w:rPr>
        <w:t xml:space="preserve">ables </w:t>
      </w:r>
      <w:r w:rsidRPr="004E308B">
        <w:rPr>
          <w:rFonts w:ascii="Arial" w:hAnsi="Arial" w:cs="Arial"/>
          <w:i/>
          <w:sz w:val="20"/>
          <w:szCs w:val="20"/>
        </w:rPr>
        <w:t xml:space="preserve">end with consumption expenditure structure broken down into </w:t>
      </w:r>
      <w:r w:rsidR="00563FD3" w:rsidRPr="004E308B">
        <w:rPr>
          <w:rFonts w:ascii="Arial" w:hAnsi="Arial" w:cs="Arial"/>
          <w:i/>
          <w:sz w:val="20"/>
          <w:szCs w:val="20"/>
        </w:rPr>
        <w:t>1</w:t>
      </w:r>
      <w:r w:rsidR="001A15A0">
        <w:rPr>
          <w:rFonts w:ascii="Arial" w:hAnsi="Arial" w:cs="Arial"/>
          <w:i/>
          <w:sz w:val="20"/>
          <w:szCs w:val="20"/>
        </w:rPr>
        <w:t>3</w:t>
      </w:r>
      <w:r w:rsidR="00CA6F46" w:rsidRPr="004E308B">
        <w:rPr>
          <w:rFonts w:ascii="Arial" w:hAnsi="Arial" w:cs="Arial"/>
          <w:i/>
          <w:sz w:val="20"/>
          <w:szCs w:val="20"/>
        </w:rPr>
        <w:t> </w:t>
      </w:r>
      <w:r w:rsidR="00563FD3" w:rsidRPr="004E308B">
        <w:rPr>
          <w:rFonts w:ascii="Arial" w:hAnsi="Arial" w:cs="Arial"/>
          <w:i/>
          <w:sz w:val="20"/>
          <w:szCs w:val="20"/>
        </w:rPr>
        <w:t xml:space="preserve">main </w:t>
      </w:r>
      <w:proofErr w:type="spellStart"/>
      <w:r w:rsidR="00872E5E" w:rsidRPr="004E308B">
        <w:rPr>
          <w:rFonts w:ascii="Arial" w:hAnsi="Arial" w:cs="Arial"/>
          <w:i/>
          <w:sz w:val="20"/>
          <w:szCs w:val="20"/>
        </w:rPr>
        <w:t>COICOP</w:t>
      </w:r>
      <w:proofErr w:type="spellEnd"/>
      <w:r w:rsidR="00872E5E" w:rsidRPr="004E308B">
        <w:rPr>
          <w:rFonts w:ascii="Arial" w:hAnsi="Arial" w:cs="Arial"/>
          <w:i/>
          <w:sz w:val="20"/>
          <w:szCs w:val="20"/>
        </w:rPr>
        <w:t xml:space="preserve"> </w:t>
      </w:r>
      <w:r w:rsidR="007A5F9D" w:rsidRPr="004E308B">
        <w:rPr>
          <w:rFonts w:ascii="Arial" w:hAnsi="Arial" w:cs="Arial"/>
          <w:i/>
          <w:sz w:val="20"/>
          <w:szCs w:val="20"/>
        </w:rPr>
        <w:t>division</w:t>
      </w:r>
      <w:r w:rsidR="00563FD3" w:rsidRPr="004E308B">
        <w:rPr>
          <w:rFonts w:ascii="Arial" w:hAnsi="Arial" w:cs="Arial"/>
          <w:i/>
          <w:sz w:val="20"/>
          <w:szCs w:val="20"/>
        </w:rPr>
        <w:t>s</w:t>
      </w:r>
      <w:r w:rsidR="0050394B" w:rsidRPr="004E308B">
        <w:rPr>
          <w:rFonts w:ascii="Arial" w:hAnsi="Arial" w:cs="Arial"/>
          <w:i/>
          <w:sz w:val="20"/>
          <w:szCs w:val="20"/>
        </w:rPr>
        <w:t>.</w:t>
      </w:r>
    </w:p>
    <w:p w14:paraId="726C3889" w14:textId="04F99D65" w:rsidR="0050394B" w:rsidRPr="00F269F7" w:rsidRDefault="00B11CA5" w:rsidP="00F269F7">
      <w:pPr>
        <w:pStyle w:val="Zkladntext"/>
        <w:ind w:firstLine="708"/>
        <w:rPr>
          <w:rFonts w:ascii="Arial" w:hAnsi="Arial" w:cs="Arial"/>
          <w:bCs/>
          <w:i/>
          <w:sz w:val="20"/>
          <w:szCs w:val="20"/>
        </w:rPr>
      </w:pPr>
      <w:r w:rsidRPr="00DD2691">
        <w:rPr>
          <w:rFonts w:ascii="Arial" w:hAnsi="Arial" w:cs="Arial"/>
          <w:b/>
          <w:bCs/>
          <w:i/>
          <w:sz w:val="20"/>
          <w:szCs w:val="20"/>
        </w:rPr>
        <w:t xml:space="preserve">Because of the </w:t>
      </w:r>
      <w:r w:rsidR="008549E5" w:rsidRPr="00DD2691">
        <w:rPr>
          <w:rFonts w:ascii="Arial" w:hAnsi="Arial" w:cs="Arial"/>
          <w:b/>
          <w:bCs/>
          <w:i/>
          <w:sz w:val="20"/>
          <w:szCs w:val="20"/>
        </w:rPr>
        <w:t xml:space="preserve">classification </w:t>
      </w:r>
      <w:proofErr w:type="gramStart"/>
      <w:r w:rsidR="008549E5" w:rsidRPr="00DD2691">
        <w:rPr>
          <w:rFonts w:ascii="Arial" w:hAnsi="Arial" w:cs="Arial"/>
          <w:b/>
          <w:bCs/>
          <w:i/>
          <w:sz w:val="20"/>
          <w:szCs w:val="20"/>
        </w:rPr>
        <w:t>modification</w:t>
      </w:r>
      <w:proofErr w:type="gramEnd"/>
      <w:r w:rsidR="008549E5" w:rsidRPr="00DD2691">
        <w:rPr>
          <w:rFonts w:ascii="Arial" w:hAnsi="Arial" w:cs="Arial"/>
          <w:b/>
          <w:bCs/>
          <w:i/>
          <w:sz w:val="20"/>
          <w:szCs w:val="20"/>
        </w:rPr>
        <w:t xml:space="preserve"> the 2024 results are fully comparable with the 2023 data but</w:t>
      </w:r>
      <w:r w:rsidRPr="00DD2691">
        <w:rPr>
          <w:rFonts w:ascii="Arial" w:hAnsi="Arial" w:cs="Arial"/>
          <w:b/>
          <w:bCs/>
          <w:i/>
          <w:sz w:val="20"/>
          <w:szCs w:val="20"/>
        </w:rPr>
        <w:t xml:space="preserve"> there are limits to the</w:t>
      </w:r>
      <w:r w:rsidR="008549E5" w:rsidRPr="00DD2691">
        <w:rPr>
          <w:rFonts w:ascii="Arial" w:hAnsi="Arial" w:cs="Arial"/>
          <w:b/>
          <w:bCs/>
          <w:i/>
          <w:sz w:val="20"/>
          <w:szCs w:val="20"/>
        </w:rPr>
        <w:t>ir</w:t>
      </w:r>
      <w:r w:rsidRPr="00DD2691">
        <w:rPr>
          <w:rFonts w:ascii="Arial" w:hAnsi="Arial" w:cs="Arial"/>
          <w:b/>
          <w:bCs/>
          <w:i/>
          <w:sz w:val="20"/>
          <w:szCs w:val="20"/>
        </w:rPr>
        <w:t xml:space="preserve"> comparability </w:t>
      </w:r>
      <w:r w:rsidR="008549E5" w:rsidRPr="00DD2691">
        <w:rPr>
          <w:rFonts w:ascii="Arial" w:hAnsi="Arial" w:cs="Arial"/>
          <w:b/>
          <w:bCs/>
          <w:i/>
          <w:sz w:val="20"/>
          <w:szCs w:val="20"/>
        </w:rPr>
        <w:t>with</w:t>
      </w:r>
      <w:r w:rsidR="00FA3146" w:rsidRPr="00DD2691">
        <w:rPr>
          <w:rFonts w:ascii="Arial" w:hAnsi="Arial" w:cs="Arial"/>
          <w:b/>
          <w:bCs/>
          <w:i/>
          <w:sz w:val="20"/>
          <w:szCs w:val="20"/>
        </w:rPr>
        <w:t xml:space="preserve"> </w:t>
      </w:r>
      <w:r w:rsidRPr="00DD2691">
        <w:rPr>
          <w:rFonts w:ascii="Arial" w:hAnsi="Arial" w:cs="Arial"/>
          <w:b/>
          <w:bCs/>
          <w:i/>
          <w:sz w:val="20"/>
          <w:szCs w:val="20"/>
        </w:rPr>
        <w:t xml:space="preserve">the </w:t>
      </w:r>
      <w:r w:rsidR="008549E5" w:rsidRPr="00DD2691">
        <w:rPr>
          <w:rFonts w:ascii="Arial" w:hAnsi="Arial" w:cs="Arial"/>
          <w:b/>
          <w:bCs/>
          <w:i/>
          <w:sz w:val="20"/>
          <w:szCs w:val="20"/>
        </w:rPr>
        <w:t>2017 – 2022 period.</w:t>
      </w:r>
      <w:r w:rsidR="00727B88" w:rsidRPr="00DD2691">
        <w:rPr>
          <w:rFonts w:ascii="Arial" w:hAnsi="Arial" w:cs="Arial"/>
          <w:b/>
          <w:bCs/>
          <w:i/>
          <w:sz w:val="20"/>
          <w:szCs w:val="20"/>
        </w:rPr>
        <w:t xml:space="preserve"> </w:t>
      </w:r>
      <w:r w:rsidR="00727B88" w:rsidRPr="00DD2691">
        <w:rPr>
          <w:rFonts w:ascii="Arial" w:hAnsi="Arial" w:cs="Arial"/>
          <w:bCs/>
          <w:i/>
          <w:sz w:val="20"/>
          <w:szCs w:val="20"/>
        </w:rPr>
        <w:t xml:space="preserve">Minor changes in groups 01 to 07, 10 and 11 allow their results to </w:t>
      </w:r>
      <w:proofErr w:type="gramStart"/>
      <w:r w:rsidR="00727B88" w:rsidRPr="00DD2691">
        <w:rPr>
          <w:rFonts w:ascii="Arial" w:hAnsi="Arial" w:cs="Arial"/>
          <w:bCs/>
          <w:i/>
          <w:sz w:val="20"/>
          <w:szCs w:val="20"/>
        </w:rPr>
        <w:t>be compared</w:t>
      </w:r>
      <w:proofErr w:type="gramEnd"/>
      <w:r w:rsidR="00727B88" w:rsidRPr="00DD2691">
        <w:rPr>
          <w:rFonts w:ascii="Arial" w:hAnsi="Arial" w:cs="Arial"/>
          <w:bCs/>
          <w:i/>
          <w:sz w:val="20"/>
          <w:szCs w:val="20"/>
        </w:rPr>
        <w:t xml:space="preserve"> with the preceding years. 08, 09 and 12 </w:t>
      </w:r>
      <w:proofErr w:type="gramStart"/>
      <w:r w:rsidR="00727B88" w:rsidRPr="00DD2691">
        <w:rPr>
          <w:rFonts w:ascii="Arial" w:hAnsi="Arial" w:cs="Arial"/>
          <w:bCs/>
          <w:i/>
          <w:sz w:val="20"/>
          <w:szCs w:val="20"/>
        </w:rPr>
        <w:t>cannot be compared</w:t>
      </w:r>
      <w:proofErr w:type="gramEnd"/>
      <w:r w:rsidR="00727B88" w:rsidRPr="00F269F7">
        <w:rPr>
          <w:rFonts w:ascii="Arial" w:hAnsi="Arial" w:cs="Arial"/>
          <w:bCs/>
          <w:i/>
          <w:sz w:val="20"/>
          <w:szCs w:val="20"/>
        </w:rPr>
        <w:t xml:space="preserve"> at all.</w:t>
      </w:r>
    </w:p>
    <w:p w14:paraId="2F903339" w14:textId="77777777" w:rsidR="00C93BF2" w:rsidRPr="003014CA" w:rsidRDefault="00C93BF2" w:rsidP="0050394B">
      <w:pPr>
        <w:pStyle w:val="Zkladntext"/>
        <w:rPr>
          <w:rFonts w:ascii="Arial" w:hAnsi="Arial" w:cs="Arial"/>
          <w:b/>
          <w:bCs/>
          <w:sz w:val="20"/>
          <w:szCs w:val="20"/>
        </w:rPr>
      </w:pPr>
    </w:p>
    <w:p w14:paraId="3CC1D555" w14:textId="77777777" w:rsidR="0050394B" w:rsidRPr="003014CA" w:rsidRDefault="0050394B" w:rsidP="0050394B">
      <w:pPr>
        <w:spacing w:after="240"/>
        <w:jc w:val="both"/>
        <w:rPr>
          <w:rFonts w:ascii="Arial" w:hAnsi="Arial" w:cs="Arial"/>
          <w:b/>
          <w:bCs/>
          <w:i/>
        </w:rPr>
      </w:pPr>
      <w:r w:rsidRPr="003014CA">
        <w:rPr>
          <w:rFonts w:ascii="Arial" w:hAnsi="Arial" w:cs="Arial"/>
          <w:b/>
          <w:bCs/>
          <w:i/>
        </w:rPr>
        <w:t>2.2 Published breakdowns</w:t>
      </w:r>
    </w:p>
    <w:p w14:paraId="7321F791" w14:textId="77777777" w:rsidR="00B74A71" w:rsidRPr="003014CA" w:rsidRDefault="00B74A71">
      <w:pPr>
        <w:pStyle w:val="Zkladntext"/>
        <w:spacing w:after="120"/>
        <w:rPr>
          <w:rFonts w:ascii="Arial" w:hAnsi="Arial" w:cs="Arial"/>
          <w:i/>
          <w:sz w:val="20"/>
          <w:szCs w:val="20"/>
        </w:rPr>
      </w:pPr>
      <w:r w:rsidRPr="003014CA">
        <w:rPr>
          <w:rFonts w:ascii="Arial" w:hAnsi="Arial" w:cs="Arial"/>
          <w:i/>
          <w:sz w:val="20"/>
          <w:szCs w:val="20"/>
          <w:u w:val="single"/>
        </w:rPr>
        <w:t>Tab.</w:t>
      </w:r>
      <w:r w:rsidR="00CA6F46">
        <w:rPr>
          <w:rFonts w:ascii="Arial" w:hAnsi="Arial" w:cs="Arial"/>
          <w:i/>
          <w:sz w:val="20"/>
          <w:szCs w:val="20"/>
          <w:u w:val="single"/>
        </w:rPr>
        <w:t> </w:t>
      </w:r>
      <w:r w:rsidRPr="003014CA">
        <w:rPr>
          <w:rFonts w:ascii="Arial" w:hAnsi="Arial" w:cs="Arial"/>
          <w:i/>
          <w:sz w:val="20"/>
          <w:szCs w:val="20"/>
          <w:u w:val="single"/>
        </w:rPr>
        <w:t>1</w:t>
      </w:r>
      <w:r w:rsidRPr="003014CA">
        <w:rPr>
          <w:rFonts w:ascii="Arial" w:hAnsi="Arial" w:cs="Arial"/>
          <w:i/>
          <w:sz w:val="20"/>
          <w:szCs w:val="20"/>
        </w:rPr>
        <w:t xml:space="preserve"> gives data for </w:t>
      </w:r>
      <w:r w:rsidR="0050394B" w:rsidRPr="003014CA">
        <w:rPr>
          <w:rFonts w:ascii="Arial" w:hAnsi="Arial" w:cs="Arial"/>
          <w:i/>
          <w:sz w:val="20"/>
          <w:szCs w:val="20"/>
        </w:rPr>
        <w:t xml:space="preserve">households, total and </w:t>
      </w:r>
      <w:r w:rsidRPr="003014CA">
        <w:rPr>
          <w:rFonts w:ascii="Arial" w:hAnsi="Arial" w:cs="Arial"/>
          <w:i/>
          <w:sz w:val="20"/>
          <w:szCs w:val="20"/>
        </w:rPr>
        <w:t>household groups</w:t>
      </w:r>
      <w:r w:rsidR="0050394B" w:rsidRPr="003014CA">
        <w:rPr>
          <w:rFonts w:ascii="Arial" w:hAnsi="Arial" w:cs="Arial"/>
          <w:i/>
          <w:sz w:val="20"/>
          <w:szCs w:val="20"/>
        </w:rPr>
        <w:t xml:space="preserve"> by activity status of the head of household</w:t>
      </w:r>
      <w:r w:rsidRPr="003014CA">
        <w:rPr>
          <w:rFonts w:ascii="Arial" w:hAnsi="Arial" w:cs="Arial"/>
          <w:i/>
          <w:sz w:val="20"/>
          <w:szCs w:val="20"/>
        </w:rPr>
        <w:t>.</w:t>
      </w:r>
    </w:p>
    <w:p w14:paraId="79235FC5" w14:textId="77777777" w:rsidR="0050394B" w:rsidRPr="003014CA" w:rsidRDefault="0050394B" w:rsidP="0050394B">
      <w:pPr>
        <w:numPr>
          <w:ilvl w:val="0"/>
          <w:numId w:val="12"/>
        </w:numPr>
        <w:ind w:left="1060" w:hanging="700"/>
        <w:jc w:val="both"/>
        <w:rPr>
          <w:rFonts w:ascii="Arial" w:hAnsi="Arial" w:cs="Arial"/>
          <w:i/>
          <w:sz w:val="20"/>
          <w:szCs w:val="20"/>
        </w:rPr>
      </w:pPr>
      <w:r w:rsidRPr="003014CA">
        <w:rPr>
          <w:rFonts w:ascii="Arial" w:hAnsi="Arial" w:cs="Arial"/>
          <w:b/>
          <w:bCs/>
          <w:i/>
          <w:iCs/>
          <w:sz w:val="20"/>
          <w:szCs w:val="20"/>
        </w:rPr>
        <w:t>Households, total</w:t>
      </w:r>
      <w:r w:rsidRPr="003014CA">
        <w:rPr>
          <w:rFonts w:ascii="Arial" w:hAnsi="Arial" w:cs="Arial"/>
          <w:i/>
          <w:sz w:val="20"/>
          <w:szCs w:val="20"/>
        </w:rPr>
        <w:t xml:space="preserve"> – represent the average household in the Czech Republic;</w:t>
      </w:r>
    </w:p>
    <w:p w14:paraId="5D1E108F" w14:textId="77777777" w:rsidR="0050394B" w:rsidRPr="003014CA" w:rsidRDefault="0050394B" w:rsidP="0050394B">
      <w:pPr>
        <w:numPr>
          <w:ilvl w:val="0"/>
          <w:numId w:val="7"/>
        </w:numPr>
        <w:tabs>
          <w:tab w:val="clear" w:pos="360"/>
          <w:tab w:val="num" w:pos="720"/>
        </w:tabs>
        <w:ind w:left="720"/>
        <w:jc w:val="both"/>
        <w:rPr>
          <w:rFonts w:ascii="Arial" w:hAnsi="Arial" w:cs="Arial"/>
          <w:i/>
          <w:sz w:val="20"/>
          <w:szCs w:val="20"/>
        </w:rPr>
      </w:pPr>
      <w:r w:rsidRPr="003014CA">
        <w:rPr>
          <w:rFonts w:ascii="Arial" w:hAnsi="Arial" w:cs="Arial"/>
          <w:b/>
          <w:bCs/>
          <w:i/>
          <w:iCs/>
          <w:sz w:val="20"/>
          <w:szCs w:val="20"/>
        </w:rPr>
        <w:t>Households of employees</w:t>
      </w:r>
      <w:r w:rsidRPr="003014CA">
        <w:rPr>
          <w:rFonts w:ascii="Arial" w:hAnsi="Arial" w:cs="Arial"/>
          <w:i/>
          <w:sz w:val="20"/>
          <w:szCs w:val="20"/>
        </w:rPr>
        <w:t xml:space="preserve"> </w:t>
      </w:r>
      <w:r w:rsidR="00AA48F7">
        <w:rPr>
          <w:rFonts w:ascii="Arial" w:hAnsi="Arial" w:cs="Arial"/>
          <w:i/>
          <w:sz w:val="20"/>
          <w:szCs w:val="20"/>
        </w:rPr>
        <w:t>–</w:t>
      </w:r>
      <w:r w:rsidRPr="003014CA">
        <w:rPr>
          <w:rFonts w:ascii="Arial" w:hAnsi="Arial" w:cs="Arial"/>
          <w:i/>
          <w:sz w:val="20"/>
          <w:szCs w:val="20"/>
        </w:rPr>
        <w:t xml:space="preserve"> the household head’s prevailing activity status is employee</w:t>
      </w:r>
    </w:p>
    <w:p w14:paraId="656E31DC" w14:textId="77777777" w:rsidR="0050394B" w:rsidRPr="003014CA" w:rsidRDefault="0050394B" w:rsidP="0050394B">
      <w:pPr>
        <w:numPr>
          <w:ilvl w:val="0"/>
          <w:numId w:val="8"/>
        </w:numPr>
        <w:tabs>
          <w:tab w:val="clear" w:pos="720"/>
          <w:tab w:val="num" w:pos="1080"/>
        </w:tabs>
        <w:ind w:left="1074" w:hanging="357"/>
        <w:jc w:val="both"/>
        <w:rPr>
          <w:rFonts w:ascii="Arial" w:hAnsi="Arial" w:cs="Arial"/>
          <w:i/>
          <w:sz w:val="20"/>
          <w:szCs w:val="20"/>
        </w:rPr>
      </w:pPr>
      <w:r w:rsidRPr="003014CA">
        <w:rPr>
          <w:rFonts w:ascii="Arial" w:hAnsi="Arial" w:cs="Arial"/>
          <w:i/>
          <w:iCs/>
          <w:sz w:val="20"/>
          <w:szCs w:val="20"/>
        </w:rPr>
        <w:t>Households of employees with lower education</w:t>
      </w:r>
      <w:r w:rsidRPr="003014CA">
        <w:rPr>
          <w:rFonts w:ascii="Arial" w:hAnsi="Arial" w:cs="Arial"/>
          <w:i/>
          <w:sz w:val="20"/>
          <w:szCs w:val="20"/>
        </w:rPr>
        <w:t>: the highest attained education level of the head of household is primary or secondary-vocational,</w:t>
      </w:r>
    </w:p>
    <w:p w14:paraId="4F7BC50C" w14:textId="77777777" w:rsidR="0050394B" w:rsidRPr="006B5A17" w:rsidRDefault="0050394B" w:rsidP="0050394B">
      <w:pPr>
        <w:numPr>
          <w:ilvl w:val="0"/>
          <w:numId w:val="8"/>
        </w:numPr>
        <w:tabs>
          <w:tab w:val="clear" w:pos="720"/>
          <w:tab w:val="num" w:pos="1080"/>
        </w:tabs>
        <w:ind w:left="1080"/>
        <w:jc w:val="both"/>
        <w:rPr>
          <w:rFonts w:ascii="Arial" w:hAnsi="Arial" w:cs="Arial"/>
          <w:i/>
          <w:sz w:val="20"/>
          <w:szCs w:val="20"/>
        </w:rPr>
      </w:pPr>
      <w:r w:rsidRPr="003014CA">
        <w:rPr>
          <w:rFonts w:ascii="Arial" w:hAnsi="Arial" w:cs="Arial"/>
          <w:i/>
          <w:iCs/>
          <w:sz w:val="20"/>
          <w:szCs w:val="20"/>
        </w:rPr>
        <w:t>Households of employees with upper education</w:t>
      </w:r>
      <w:r w:rsidRPr="003014CA">
        <w:rPr>
          <w:rFonts w:ascii="Arial" w:hAnsi="Arial" w:cs="Arial"/>
          <w:i/>
          <w:sz w:val="20"/>
          <w:szCs w:val="20"/>
        </w:rPr>
        <w:t>: the highest attained educat</w:t>
      </w:r>
      <w:r w:rsidRPr="006B5A17">
        <w:rPr>
          <w:rFonts w:ascii="Arial" w:hAnsi="Arial" w:cs="Arial"/>
          <w:i/>
          <w:sz w:val="20"/>
          <w:szCs w:val="20"/>
        </w:rPr>
        <w:t>ion level of the head of household is complete secondary or tertiary;</w:t>
      </w:r>
    </w:p>
    <w:p w14:paraId="5A434E6D" w14:textId="77777777" w:rsidR="004E5538" w:rsidRPr="006B5A17" w:rsidRDefault="004E5538" w:rsidP="004E5538">
      <w:pPr>
        <w:numPr>
          <w:ilvl w:val="0"/>
          <w:numId w:val="7"/>
        </w:numPr>
        <w:tabs>
          <w:tab w:val="clear" w:pos="360"/>
          <w:tab w:val="num" w:pos="720"/>
        </w:tabs>
        <w:ind w:left="720"/>
        <w:jc w:val="both"/>
        <w:rPr>
          <w:rFonts w:ascii="Arial" w:hAnsi="Arial" w:cs="Arial"/>
          <w:i/>
          <w:sz w:val="20"/>
          <w:szCs w:val="20"/>
        </w:rPr>
      </w:pPr>
      <w:r w:rsidRPr="006B5A17">
        <w:rPr>
          <w:rFonts w:ascii="Arial" w:hAnsi="Arial" w:cs="Arial"/>
          <w:b/>
          <w:bCs/>
          <w:i/>
          <w:iCs/>
          <w:sz w:val="20"/>
          <w:szCs w:val="20"/>
        </w:rPr>
        <w:t>Households of self-employed</w:t>
      </w:r>
      <w:r w:rsidRPr="006B5A17">
        <w:rPr>
          <w:rFonts w:ascii="Arial" w:hAnsi="Arial" w:cs="Arial"/>
          <w:i/>
          <w:sz w:val="20"/>
          <w:szCs w:val="20"/>
        </w:rPr>
        <w:t xml:space="preserve"> </w:t>
      </w:r>
      <w:r>
        <w:rPr>
          <w:rFonts w:ascii="Arial" w:hAnsi="Arial" w:cs="Arial"/>
          <w:i/>
          <w:sz w:val="20"/>
          <w:szCs w:val="20"/>
        </w:rPr>
        <w:t>–</w:t>
      </w:r>
      <w:r w:rsidRPr="006B5A17">
        <w:rPr>
          <w:rFonts w:ascii="Arial" w:hAnsi="Arial" w:cs="Arial"/>
          <w:i/>
          <w:sz w:val="20"/>
          <w:szCs w:val="20"/>
        </w:rPr>
        <w:t xml:space="preserve"> the household head’s prevailing activity status is self-employed (in whatever field it may be, including agriculture); self-employed persons do business based on trade licenses or special regulations, participants in joint ventures based on contracts (Limited liability companies, Corporations), professionals (doctors, lawyers, tax advisers) and persons working for royalties (artists, interpreters);</w:t>
      </w:r>
    </w:p>
    <w:p w14:paraId="6324891B" w14:textId="77777777" w:rsidR="004E5538" w:rsidRPr="00A82AB9" w:rsidRDefault="0050394B" w:rsidP="004E5538">
      <w:pPr>
        <w:numPr>
          <w:ilvl w:val="0"/>
          <w:numId w:val="7"/>
        </w:numPr>
        <w:tabs>
          <w:tab w:val="clear" w:pos="360"/>
          <w:tab w:val="num" w:pos="720"/>
        </w:tabs>
        <w:spacing w:after="120"/>
        <w:ind w:left="714" w:hanging="357"/>
        <w:jc w:val="both"/>
        <w:rPr>
          <w:rFonts w:ascii="Arial" w:hAnsi="Arial" w:cs="Arial"/>
          <w:i/>
          <w:color w:val="000000"/>
          <w:sz w:val="20"/>
          <w:szCs w:val="20"/>
        </w:rPr>
      </w:pPr>
      <w:r w:rsidRPr="004E5538">
        <w:rPr>
          <w:rFonts w:ascii="Arial" w:hAnsi="Arial" w:cs="Arial"/>
          <w:b/>
          <w:bCs/>
          <w:i/>
          <w:iCs/>
          <w:color w:val="000000"/>
          <w:sz w:val="20"/>
          <w:szCs w:val="20"/>
        </w:rPr>
        <w:t>Households of pensioners</w:t>
      </w:r>
      <w:r w:rsidR="00654690" w:rsidRPr="004E5538">
        <w:rPr>
          <w:rFonts w:ascii="Arial" w:hAnsi="Arial" w:cs="Arial"/>
          <w:b/>
          <w:bCs/>
          <w:i/>
          <w:iCs/>
          <w:color w:val="000000"/>
          <w:sz w:val="20"/>
          <w:szCs w:val="20"/>
        </w:rPr>
        <w:t xml:space="preserve"> </w:t>
      </w:r>
      <w:r w:rsidR="00654690" w:rsidRPr="004E5538">
        <w:rPr>
          <w:rFonts w:ascii="Arial" w:hAnsi="Arial" w:cs="Arial"/>
          <w:i/>
          <w:color w:val="000000"/>
          <w:sz w:val="20"/>
          <w:szCs w:val="20"/>
        </w:rPr>
        <w:t>–</w:t>
      </w:r>
      <w:r w:rsidRPr="004E5538">
        <w:rPr>
          <w:rFonts w:ascii="Arial" w:hAnsi="Arial" w:cs="Arial"/>
          <w:i/>
          <w:color w:val="000000"/>
          <w:sz w:val="20"/>
          <w:szCs w:val="20"/>
        </w:rPr>
        <w:t xml:space="preserve"> the household head was an inactive pensioner</w:t>
      </w:r>
      <w:r w:rsidR="00654690" w:rsidRPr="004E5538">
        <w:rPr>
          <w:rFonts w:ascii="Arial" w:hAnsi="Arial" w:cs="Arial"/>
          <w:i/>
          <w:color w:val="000000"/>
          <w:sz w:val="20"/>
          <w:szCs w:val="20"/>
        </w:rPr>
        <w:t>.</w:t>
      </w:r>
    </w:p>
    <w:p w14:paraId="0BACC507" w14:textId="6FA93557" w:rsidR="00117BB3" w:rsidRPr="00AD4FC5" w:rsidRDefault="00117BB3">
      <w:pPr>
        <w:spacing w:after="120"/>
        <w:jc w:val="both"/>
        <w:rPr>
          <w:rFonts w:ascii="Arial" w:hAnsi="Arial" w:cs="Arial"/>
          <w:i/>
          <w:sz w:val="20"/>
          <w:szCs w:val="20"/>
        </w:rPr>
      </w:pPr>
      <w:r w:rsidRPr="00CE6F8C">
        <w:rPr>
          <w:rFonts w:ascii="Arial" w:hAnsi="Arial" w:cs="Arial"/>
          <w:i/>
          <w:sz w:val="20"/>
          <w:szCs w:val="20"/>
        </w:rPr>
        <w:t xml:space="preserve">In </w:t>
      </w:r>
      <w:r w:rsidR="0028421D">
        <w:rPr>
          <w:rFonts w:ascii="Arial" w:hAnsi="Arial" w:cs="Arial"/>
          <w:i/>
          <w:sz w:val="20"/>
          <w:szCs w:val="20"/>
          <w:u w:val="single"/>
        </w:rPr>
        <w:t>T</w:t>
      </w:r>
      <w:r w:rsidRPr="0048495C">
        <w:rPr>
          <w:rFonts w:ascii="Arial" w:hAnsi="Arial" w:cs="Arial"/>
          <w:i/>
          <w:sz w:val="20"/>
          <w:szCs w:val="20"/>
          <w:u w:val="single"/>
        </w:rPr>
        <w:t>ab.</w:t>
      </w:r>
      <w:r w:rsidR="00CA6F46">
        <w:rPr>
          <w:rFonts w:ascii="Arial" w:hAnsi="Arial" w:cs="Arial"/>
          <w:i/>
          <w:sz w:val="20"/>
          <w:szCs w:val="20"/>
          <w:u w:val="single"/>
        </w:rPr>
        <w:t> </w:t>
      </w:r>
      <w:proofErr w:type="gramStart"/>
      <w:r w:rsidRPr="0048495C">
        <w:rPr>
          <w:rFonts w:ascii="Arial" w:hAnsi="Arial" w:cs="Arial"/>
          <w:i/>
          <w:sz w:val="20"/>
          <w:szCs w:val="20"/>
          <w:u w:val="single"/>
        </w:rPr>
        <w:t>2</w:t>
      </w:r>
      <w:proofErr w:type="gramEnd"/>
      <w:r w:rsidRPr="00AD4FC5">
        <w:rPr>
          <w:rFonts w:ascii="Arial" w:hAnsi="Arial" w:cs="Arial"/>
          <w:i/>
          <w:sz w:val="20"/>
          <w:szCs w:val="20"/>
        </w:rPr>
        <w:t xml:space="preserve"> two classifying aspects allowing assessment of relations between housing costs and municipality size or </w:t>
      </w:r>
      <w:r w:rsidR="009C7ABB" w:rsidRPr="009C7ABB">
        <w:rPr>
          <w:rFonts w:ascii="Arial" w:hAnsi="Arial" w:cs="Arial"/>
          <w:i/>
          <w:sz w:val="20"/>
          <w:szCs w:val="20"/>
        </w:rPr>
        <w:t>legal form of flat use</w:t>
      </w:r>
      <w:r w:rsidRPr="00AD4FC5">
        <w:rPr>
          <w:rFonts w:ascii="Arial" w:hAnsi="Arial" w:cs="Arial"/>
          <w:i/>
          <w:sz w:val="20"/>
          <w:szCs w:val="20"/>
        </w:rPr>
        <w:t xml:space="preserve"> are applied.</w:t>
      </w:r>
    </w:p>
    <w:p w14:paraId="7E0F4673" w14:textId="77777777" w:rsidR="00B74A71" w:rsidRPr="006E6B4C" w:rsidRDefault="00B74A71">
      <w:pPr>
        <w:spacing w:after="120"/>
        <w:jc w:val="both"/>
        <w:rPr>
          <w:rFonts w:ascii="Arial" w:hAnsi="Arial" w:cs="Arial"/>
          <w:i/>
          <w:sz w:val="20"/>
          <w:szCs w:val="20"/>
        </w:rPr>
      </w:pPr>
      <w:r w:rsidRPr="00AD4FC5">
        <w:rPr>
          <w:rFonts w:ascii="Arial" w:hAnsi="Arial" w:cs="Arial"/>
          <w:i/>
          <w:sz w:val="20"/>
          <w:szCs w:val="20"/>
          <w:u w:val="single"/>
        </w:rPr>
        <w:t>Tab.</w:t>
      </w:r>
      <w:r w:rsidR="00CA6F46">
        <w:rPr>
          <w:rFonts w:ascii="Arial" w:hAnsi="Arial" w:cs="Arial"/>
          <w:i/>
          <w:sz w:val="20"/>
          <w:szCs w:val="20"/>
          <w:u w:val="single"/>
        </w:rPr>
        <w:t> </w:t>
      </w:r>
      <w:r w:rsidR="00117BB3" w:rsidRPr="00AD4FC5">
        <w:rPr>
          <w:rFonts w:ascii="Arial" w:hAnsi="Arial" w:cs="Arial"/>
          <w:i/>
          <w:sz w:val="20"/>
          <w:szCs w:val="20"/>
          <w:u w:val="single"/>
        </w:rPr>
        <w:t>3</w:t>
      </w:r>
      <w:r w:rsidRPr="00AD4FC5">
        <w:rPr>
          <w:rFonts w:ascii="Arial" w:hAnsi="Arial" w:cs="Arial"/>
          <w:i/>
          <w:sz w:val="20"/>
          <w:szCs w:val="20"/>
          <w:u w:val="single"/>
        </w:rPr>
        <w:t xml:space="preserve"> </w:t>
      </w:r>
      <w:r w:rsidR="00117BB3" w:rsidRPr="00AD4FC5">
        <w:rPr>
          <w:rFonts w:ascii="Arial" w:hAnsi="Arial" w:cs="Arial"/>
          <w:i/>
          <w:sz w:val="20"/>
          <w:szCs w:val="20"/>
        </w:rPr>
        <w:t>–</w:t>
      </w:r>
      <w:r w:rsidRPr="00AD4FC5">
        <w:rPr>
          <w:rFonts w:ascii="Arial" w:hAnsi="Arial" w:cs="Arial"/>
          <w:i/>
          <w:sz w:val="20"/>
          <w:szCs w:val="20"/>
        </w:rPr>
        <w:t xml:space="preserve"> households total by </w:t>
      </w:r>
      <w:r w:rsidR="00117BB3" w:rsidRPr="00AD4FC5">
        <w:rPr>
          <w:rFonts w:ascii="Arial" w:hAnsi="Arial" w:cs="Arial"/>
          <w:i/>
          <w:sz w:val="20"/>
          <w:szCs w:val="20"/>
        </w:rPr>
        <w:t>quintiles</w:t>
      </w:r>
      <w:r w:rsidRPr="00AD4FC5">
        <w:rPr>
          <w:rFonts w:ascii="Arial" w:hAnsi="Arial" w:cs="Arial"/>
          <w:i/>
          <w:sz w:val="20"/>
          <w:szCs w:val="20"/>
        </w:rPr>
        <w:t xml:space="preserve"> based on net mone</w:t>
      </w:r>
      <w:r w:rsidR="00246918">
        <w:rPr>
          <w:rFonts w:ascii="Arial" w:hAnsi="Arial" w:cs="Arial"/>
          <w:i/>
          <w:sz w:val="20"/>
          <w:szCs w:val="20"/>
        </w:rPr>
        <w:t>y</w:t>
      </w:r>
      <w:r w:rsidRPr="00AD4FC5">
        <w:rPr>
          <w:rFonts w:ascii="Arial" w:hAnsi="Arial" w:cs="Arial"/>
          <w:i/>
          <w:sz w:val="20"/>
          <w:szCs w:val="20"/>
        </w:rPr>
        <w:t xml:space="preserve"> in</w:t>
      </w:r>
      <w:r w:rsidRPr="006E6B4C">
        <w:rPr>
          <w:rFonts w:ascii="Arial" w:hAnsi="Arial" w:cs="Arial"/>
          <w:i/>
          <w:sz w:val="20"/>
          <w:szCs w:val="20"/>
        </w:rPr>
        <w:t xml:space="preserve">come per capita. The households </w:t>
      </w:r>
      <w:proofErr w:type="gramStart"/>
      <w:r w:rsidRPr="006E6B4C">
        <w:rPr>
          <w:rFonts w:ascii="Arial" w:hAnsi="Arial" w:cs="Arial"/>
          <w:i/>
          <w:sz w:val="20"/>
          <w:szCs w:val="20"/>
        </w:rPr>
        <w:t>were ordered and divided into quintiles according to the net per capita household income</w:t>
      </w:r>
      <w:proofErr w:type="gramEnd"/>
      <w:r w:rsidRPr="006E6B4C">
        <w:rPr>
          <w:rFonts w:ascii="Arial" w:hAnsi="Arial" w:cs="Arial"/>
          <w:i/>
          <w:sz w:val="20"/>
          <w:szCs w:val="20"/>
        </w:rPr>
        <w:t>. The values of quintiles are incomes of the last household in that quintile group. While grossing up the survey data, it is not possible to maintain exactly the same number of households in each quintile group. Therefore, the household counts may slightly differ.</w:t>
      </w:r>
    </w:p>
    <w:p w14:paraId="2B0EB0BA" w14:textId="77777777" w:rsidR="00B74A71" w:rsidRPr="003014CA" w:rsidRDefault="00B74A71">
      <w:pPr>
        <w:pStyle w:val="Zkladntext"/>
        <w:spacing w:after="120"/>
        <w:rPr>
          <w:rFonts w:ascii="Arial" w:hAnsi="Arial" w:cs="Arial"/>
          <w:i/>
          <w:sz w:val="20"/>
          <w:szCs w:val="20"/>
        </w:rPr>
      </w:pPr>
      <w:r w:rsidRPr="003014CA">
        <w:rPr>
          <w:rFonts w:ascii="Arial" w:hAnsi="Arial" w:cs="Arial"/>
          <w:i/>
          <w:sz w:val="20"/>
          <w:szCs w:val="20"/>
          <w:u w:val="single"/>
        </w:rPr>
        <w:t>Tab.</w:t>
      </w:r>
      <w:r w:rsidR="00CA6F46">
        <w:rPr>
          <w:rFonts w:ascii="Arial" w:hAnsi="Arial" w:cs="Arial"/>
          <w:i/>
          <w:sz w:val="20"/>
          <w:szCs w:val="20"/>
          <w:u w:val="single"/>
        </w:rPr>
        <w:t> </w:t>
      </w:r>
      <w:r w:rsidR="00117BB3" w:rsidRPr="003014CA">
        <w:rPr>
          <w:rFonts w:ascii="Arial" w:hAnsi="Arial" w:cs="Arial"/>
          <w:i/>
          <w:sz w:val="20"/>
          <w:szCs w:val="20"/>
          <w:u w:val="single"/>
        </w:rPr>
        <w:t>4</w:t>
      </w:r>
      <w:r w:rsidRPr="003014CA">
        <w:rPr>
          <w:rFonts w:ascii="Arial" w:hAnsi="Arial" w:cs="Arial"/>
          <w:i/>
          <w:sz w:val="20"/>
          <w:szCs w:val="20"/>
          <w:u w:val="single"/>
        </w:rPr>
        <w:t xml:space="preserve"> </w:t>
      </w:r>
      <w:r w:rsidRPr="003014CA">
        <w:rPr>
          <w:rFonts w:ascii="Arial" w:hAnsi="Arial" w:cs="Arial"/>
          <w:i/>
          <w:sz w:val="20"/>
          <w:szCs w:val="20"/>
        </w:rPr>
        <w:t>comprise</w:t>
      </w:r>
      <w:r w:rsidR="00117BB3" w:rsidRPr="003014CA">
        <w:rPr>
          <w:rFonts w:ascii="Arial" w:hAnsi="Arial" w:cs="Arial"/>
          <w:i/>
          <w:sz w:val="20"/>
          <w:szCs w:val="20"/>
        </w:rPr>
        <w:t>s</w:t>
      </w:r>
      <w:r w:rsidRPr="003014CA">
        <w:rPr>
          <w:rFonts w:ascii="Arial" w:hAnsi="Arial" w:cs="Arial"/>
          <w:i/>
          <w:sz w:val="20"/>
          <w:szCs w:val="20"/>
        </w:rPr>
        <w:t xml:space="preserve"> information on households broken down by number of dependent children and </w:t>
      </w:r>
      <w:r w:rsidR="00117BB3" w:rsidRPr="003014CA">
        <w:rPr>
          <w:rFonts w:ascii="Arial" w:hAnsi="Arial" w:cs="Arial"/>
          <w:i/>
          <w:sz w:val="20"/>
          <w:szCs w:val="20"/>
        </w:rPr>
        <w:t>families by type</w:t>
      </w:r>
      <w:r w:rsidRPr="003014CA">
        <w:rPr>
          <w:rFonts w:ascii="Arial" w:hAnsi="Arial" w:cs="Arial"/>
          <w:i/>
          <w:sz w:val="20"/>
          <w:szCs w:val="20"/>
        </w:rPr>
        <w:t>.</w:t>
      </w:r>
    </w:p>
    <w:p w14:paraId="6D9E884A" w14:textId="77777777" w:rsidR="00B74A71" w:rsidRPr="00A7216F" w:rsidRDefault="00B74A71">
      <w:pPr>
        <w:pStyle w:val="Zkladntext"/>
        <w:spacing w:after="120"/>
        <w:rPr>
          <w:rFonts w:ascii="Arial" w:hAnsi="Arial" w:cs="Arial"/>
          <w:i/>
          <w:color w:val="000000"/>
          <w:sz w:val="20"/>
          <w:szCs w:val="20"/>
        </w:rPr>
      </w:pPr>
      <w:r w:rsidRPr="00A7216F">
        <w:rPr>
          <w:rFonts w:ascii="Arial" w:hAnsi="Arial" w:cs="Arial"/>
          <w:i/>
          <w:color w:val="000000"/>
          <w:sz w:val="20"/>
          <w:szCs w:val="20"/>
          <w:u w:val="single"/>
        </w:rPr>
        <w:t>Tab.</w:t>
      </w:r>
      <w:r w:rsidR="00CA6F46" w:rsidRPr="00A7216F">
        <w:rPr>
          <w:rFonts w:ascii="Arial" w:hAnsi="Arial" w:cs="Arial"/>
          <w:i/>
          <w:color w:val="000000"/>
          <w:sz w:val="20"/>
          <w:szCs w:val="20"/>
          <w:u w:val="single"/>
        </w:rPr>
        <w:t> </w:t>
      </w:r>
      <w:r w:rsidR="00117BB3" w:rsidRPr="00A7216F">
        <w:rPr>
          <w:rFonts w:ascii="Arial" w:hAnsi="Arial" w:cs="Arial"/>
          <w:i/>
          <w:color w:val="000000"/>
          <w:sz w:val="20"/>
          <w:szCs w:val="20"/>
          <w:u w:val="single"/>
        </w:rPr>
        <w:t>5</w:t>
      </w:r>
      <w:r w:rsidRPr="00A7216F">
        <w:rPr>
          <w:rFonts w:ascii="Arial" w:hAnsi="Arial" w:cs="Arial"/>
          <w:i/>
          <w:color w:val="000000"/>
          <w:sz w:val="20"/>
          <w:szCs w:val="20"/>
        </w:rPr>
        <w:t xml:space="preserve"> presents a breakdown of childless households by at-work status of their members</w:t>
      </w:r>
      <w:r w:rsidR="00117BB3" w:rsidRPr="00A7216F">
        <w:rPr>
          <w:rFonts w:ascii="Arial" w:hAnsi="Arial" w:cs="Arial"/>
          <w:i/>
          <w:color w:val="000000"/>
          <w:sz w:val="20"/>
          <w:szCs w:val="20"/>
        </w:rPr>
        <w:t xml:space="preserve"> and </w:t>
      </w:r>
      <w:r w:rsidR="00872E5E" w:rsidRPr="00A7216F">
        <w:rPr>
          <w:rFonts w:ascii="Arial" w:hAnsi="Arial" w:cs="Arial"/>
          <w:i/>
          <w:color w:val="000000"/>
          <w:sz w:val="20"/>
          <w:szCs w:val="20"/>
        </w:rPr>
        <w:t>size of the</w:t>
      </w:r>
      <w:r w:rsidR="00117BB3" w:rsidRPr="00A7216F">
        <w:rPr>
          <w:rFonts w:ascii="Arial" w:hAnsi="Arial" w:cs="Arial"/>
          <w:i/>
          <w:color w:val="000000"/>
          <w:sz w:val="20"/>
          <w:szCs w:val="20"/>
        </w:rPr>
        <w:t xml:space="preserve"> household</w:t>
      </w:r>
      <w:r w:rsidRPr="00A7216F">
        <w:rPr>
          <w:rFonts w:ascii="Arial" w:hAnsi="Arial" w:cs="Arial"/>
          <w:i/>
          <w:color w:val="000000"/>
          <w:sz w:val="20"/>
          <w:szCs w:val="20"/>
        </w:rPr>
        <w:t>.</w:t>
      </w:r>
    </w:p>
    <w:p w14:paraId="75DF6BFA" w14:textId="77777777" w:rsidR="00170266" w:rsidRDefault="00170266">
      <w:pPr>
        <w:pStyle w:val="Zkladntext"/>
        <w:tabs>
          <w:tab w:val="left" w:pos="900"/>
          <w:tab w:val="left" w:pos="2340"/>
          <w:tab w:val="left" w:pos="3420"/>
        </w:tabs>
        <w:spacing w:before="120"/>
        <w:jc w:val="center"/>
        <w:rPr>
          <w:rFonts w:ascii="Arial" w:hAnsi="Arial" w:cs="Arial"/>
          <w:i/>
          <w:sz w:val="20"/>
          <w:szCs w:val="20"/>
        </w:rPr>
      </w:pPr>
    </w:p>
    <w:p w14:paraId="173E41A5" w14:textId="77777777" w:rsidR="00CA6F46" w:rsidRDefault="00CA6F46">
      <w:pPr>
        <w:pStyle w:val="Zkladntext"/>
        <w:tabs>
          <w:tab w:val="left" w:pos="900"/>
          <w:tab w:val="left" w:pos="2340"/>
          <w:tab w:val="left" w:pos="3420"/>
        </w:tabs>
        <w:spacing w:before="120"/>
        <w:jc w:val="center"/>
        <w:rPr>
          <w:rFonts w:ascii="Arial" w:hAnsi="Arial" w:cs="Arial"/>
          <w:i/>
          <w:sz w:val="20"/>
          <w:szCs w:val="20"/>
        </w:rPr>
      </w:pPr>
    </w:p>
    <w:p w14:paraId="4A69191A" w14:textId="77777777" w:rsidR="00CA6F46" w:rsidRDefault="00CA6F46">
      <w:pPr>
        <w:pStyle w:val="Zkladntext"/>
        <w:tabs>
          <w:tab w:val="left" w:pos="900"/>
          <w:tab w:val="left" w:pos="2340"/>
          <w:tab w:val="left" w:pos="3420"/>
        </w:tabs>
        <w:spacing w:before="120"/>
        <w:jc w:val="center"/>
        <w:rPr>
          <w:rFonts w:ascii="Arial" w:hAnsi="Arial" w:cs="Arial"/>
          <w:i/>
          <w:sz w:val="20"/>
          <w:szCs w:val="20"/>
        </w:rPr>
      </w:pPr>
    </w:p>
    <w:p w14:paraId="3CF4E332" w14:textId="77777777" w:rsidR="00CA6F46" w:rsidRDefault="00CA6F46">
      <w:pPr>
        <w:pStyle w:val="Zkladntext"/>
        <w:tabs>
          <w:tab w:val="left" w:pos="900"/>
          <w:tab w:val="left" w:pos="2340"/>
          <w:tab w:val="left" w:pos="3420"/>
        </w:tabs>
        <w:spacing w:before="120"/>
        <w:jc w:val="center"/>
        <w:rPr>
          <w:rFonts w:ascii="Arial" w:hAnsi="Arial" w:cs="Arial"/>
          <w:i/>
          <w:sz w:val="20"/>
          <w:szCs w:val="20"/>
        </w:rPr>
      </w:pPr>
    </w:p>
    <w:p w14:paraId="7AFC6F6E" w14:textId="77777777" w:rsidR="00CA6F46" w:rsidRDefault="00CA6F46">
      <w:pPr>
        <w:pStyle w:val="Zkladntext"/>
        <w:tabs>
          <w:tab w:val="left" w:pos="900"/>
          <w:tab w:val="left" w:pos="2340"/>
          <w:tab w:val="left" w:pos="3420"/>
        </w:tabs>
        <w:spacing w:before="120"/>
        <w:jc w:val="center"/>
        <w:rPr>
          <w:rFonts w:ascii="Arial" w:hAnsi="Arial" w:cs="Arial"/>
          <w:i/>
          <w:sz w:val="20"/>
          <w:szCs w:val="20"/>
        </w:rPr>
      </w:pPr>
    </w:p>
    <w:p w14:paraId="414BC160" w14:textId="77777777" w:rsidR="00536272" w:rsidRDefault="00536272">
      <w:pPr>
        <w:pStyle w:val="Zkladntext"/>
        <w:tabs>
          <w:tab w:val="left" w:pos="900"/>
          <w:tab w:val="left" w:pos="2340"/>
          <w:tab w:val="left" w:pos="3420"/>
        </w:tabs>
        <w:spacing w:before="120"/>
        <w:jc w:val="center"/>
        <w:rPr>
          <w:rFonts w:ascii="Arial" w:hAnsi="Arial" w:cs="Arial"/>
          <w:i/>
          <w:sz w:val="20"/>
          <w:szCs w:val="20"/>
        </w:rPr>
      </w:pPr>
    </w:p>
    <w:p w14:paraId="1D8BDC01" w14:textId="77777777" w:rsidR="00536272" w:rsidRDefault="00536272">
      <w:pPr>
        <w:pStyle w:val="Zkladntext"/>
        <w:tabs>
          <w:tab w:val="left" w:pos="900"/>
          <w:tab w:val="left" w:pos="2340"/>
          <w:tab w:val="left" w:pos="3420"/>
        </w:tabs>
        <w:spacing w:before="120"/>
        <w:jc w:val="center"/>
        <w:rPr>
          <w:rFonts w:ascii="Arial" w:hAnsi="Arial" w:cs="Arial"/>
          <w:i/>
          <w:sz w:val="20"/>
          <w:szCs w:val="20"/>
        </w:rPr>
      </w:pPr>
    </w:p>
    <w:p w14:paraId="1983DA4C" w14:textId="77777777" w:rsidR="00CA6F46" w:rsidRDefault="00CA6F46">
      <w:pPr>
        <w:pStyle w:val="Zkladntext"/>
        <w:tabs>
          <w:tab w:val="left" w:pos="900"/>
          <w:tab w:val="left" w:pos="2340"/>
          <w:tab w:val="left" w:pos="3420"/>
        </w:tabs>
        <w:spacing w:before="120"/>
        <w:jc w:val="center"/>
        <w:rPr>
          <w:rFonts w:ascii="Arial" w:hAnsi="Arial" w:cs="Arial"/>
          <w:i/>
          <w:sz w:val="20"/>
          <w:szCs w:val="20"/>
        </w:rPr>
      </w:pPr>
    </w:p>
    <w:p w14:paraId="725A5778" w14:textId="77777777" w:rsidR="00CA6F46" w:rsidRPr="00CE6F8C" w:rsidRDefault="00CA6F46">
      <w:pPr>
        <w:pStyle w:val="Zkladntext"/>
        <w:tabs>
          <w:tab w:val="left" w:pos="900"/>
          <w:tab w:val="left" w:pos="2340"/>
          <w:tab w:val="left" w:pos="3420"/>
        </w:tabs>
        <w:spacing w:before="120"/>
        <w:jc w:val="center"/>
        <w:rPr>
          <w:rFonts w:ascii="Arial" w:hAnsi="Arial" w:cs="Arial"/>
          <w:i/>
          <w:sz w:val="20"/>
          <w:szCs w:val="20"/>
        </w:rPr>
      </w:pPr>
    </w:p>
    <w:p w14:paraId="0EDA89D6" w14:textId="4CF351D7" w:rsidR="00170266" w:rsidRDefault="00170266">
      <w:pPr>
        <w:pStyle w:val="Zkladntext"/>
        <w:tabs>
          <w:tab w:val="left" w:pos="900"/>
          <w:tab w:val="left" w:pos="2340"/>
          <w:tab w:val="left" w:pos="3420"/>
        </w:tabs>
        <w:spacing w:before="120"/>
        <w:jc w:val="center"/>
        <w:rPr>
          <w:rFonts w:ascii="Arial" w:hAnsi="Arial" w:cs="Arial"/>
          <w:i/>
          <w:sz w:val="20"/>
          <w:szCs w:val="20"/>
        </w:rPr>
      </w:pPr>
    </w:p>
    <w:p w14:paraId="2D978F48" w14:textId="77777777" w:rsidR="00AA2C8C" w:rsidRPr="00AD4FC5" w:rsidRDefault="00AA2C8C">
      <w:pPr>
        <w:pStyle w:val="Zkladntext"/>
        <w:tabs>
          <w:tab w:val="left" w:pos="900"/>
          <w:tab w:val="left" w:pos="2340"/>
          <w:tab w:val="left" w:pos="3420"/>
        </w:tabs>
        <w:spacing w:before="120"/>
        <w:jc w:val="center"/>
        <w:rPr>
          <w:rFonts w:ascii="Arial" w:hAnsi="Arial" w:cs="Arial"/>
          <w:i/>
          <w:sz w:val="20"/>
          <w:szCs w:val="20"/>
        </w:rPr>
      </w:pPr>
    </w:p>
    <w:p w14:paraId="70E6984D" w14:textId="77777777" w:rsidR="00B74A71" w:rsidRPr="00AD4FC5" w:rsidRDefault="00B74A71">
      <w:pPr>
        <w:pStyle w:val="Zkladntext"/>
        <w:tabs>
          <w:tab w:val="left" w:pos="900"/>
          <w:tab w:val="left" w:pos="2340"/>
          <w:tab w:val="left" w:pos="3420"/>
        </w:tabs>
        <w:spacing w:before="120"/>
        <w:jc w:val="center"/>
        <w:rPr>
          <w:rFonts w:ascii="Arial" w:hAnsi="Arial" w:cs="Arial"/>
          <w:i/>
          <w:sz w:val="20"/>
          <w:szCs w:val="20"/>
        </w:rPr>
      </w:pPr>
      <w:r w:rsidRPr="00AD4FC5">
        <w:rPr>
          <w:rFonts w:ascii="Arial" w:hAnsi="Arial" w:cs="Arial"/>
          <w:i/>
          <w:sz w:val="20"/>
          <w:szCs w:val="20"/>
        </w:rPr>
        <w:t xml:space="preserve">x    </w:t>
      </w:r>
      <w:proofErr w:type="spellStart"/>
      <w:r w:rsidRPr="00AD4FC5">
        <w:rPr>
          <w:rFonts w:ascii="Arial" w:hAnsi="Arial" w:cs="Arial"/>
          <w:i/>
          <w:sz w:val="20"/>
          <w:szCs w:val="20"/>
        </w:rPr>
        <w:t>x</w:t>
      </w:r>
      <w:proofErr w:type="spellEnd"/>
      <w:r w:rsidRPr="00AD4FC5">
        <w:rPr>
          <w:rFonts w:ascii="Arial" w:hAnsi="Arial" w:cs="Arial"/>
          <w:i/>
          <w:sz w:val="20"/>
          <w:szCs w:val="20"/>
        </w:rPr>
        <w:t xml:space="preserve">    </w:t>
      </w:r>
      <w:proofErr w:type="spellStart"/>
      <w:r w:rsidRPr="00AD4FC5">
        <w:rPr>
          <w:rFonts w:ascii="Arial" w:hAnsi="Arial" w:cs="Arial"/>
          <w:i/>
          <w:sz w:val="20"/>
          <w:szCs w:val="20"/>
        </w:rPr>
        <w:t>x</w:t>
      </w:r>
      <w:proofErr w:type="spellEnd"/>
    </w:p>
    <w:p w14:paraId="62602E6F" w14:textId="77777777" w:rsidR="00B74A71" w:rsidRPr="006E6B4C" w:rsidRDefault="00B74A71">
      <w:pPr>
        <w:jc w:val="both"/>
        <w:rPr>
          <w:rFonts w:ascii="Arial" w:hAnsi="Arial" w:cs="Arial"/>
          <w:i/>
          <w:sz w:val="20"/>
          <w:szCs w:val="20"/>
        </w:rPr>
      </w:pPr>
    </w:p>
    <w:p w14:paraId="1EE2548F" w14:textId="19BB9943" w:rsidR="00B74A71" w:rsidRPr="00CE6F8C" w:rsidRDefault="00B74A71">
      <w:pPr>
        <w:jc w:val="both"/>
        <w:rPr>
          <w:rFonts w:ascii="Arial" w:hAnsi="Arial" w:cs="Arial"/>
          <w:i/>
          <w:sz w:val="20"/>
          <w:szCs w:val="20"/>
        </w:rPr>
      </w:pPr>
      <w:r w:rsidRPr="003014CA">
        <w:rPr>
          <w:rFonts w:ascii="Arial" w:hAnsi="Arial" w:cs="Arial"/>
          <w:i/>
          <w:sz w:val="20"/>
          <w:szCs w:val="20"/>
        </w:rPr>
        <w:t xml:space="preserve">In this publication, it was possible to bring out only some results of </w:t>
      </w:r>
      <w:r w:rsidR="00DF1C73" w:rsidRPr="003014CA">
        <w:rPr>
          <w:rFonts w:ascii="Arial" w:hAnsi="Arial" w:cs="Arial"/>
          <w:i/>
          <w:sz w:val="20"/>
          <w:szCs w:val="20"/>
        </w:rPr>
        <w:t>Household Budget Survey</w:t>
      </w:r>
      <w:r w:rsidRPr="003014CA">
        <w:rPr>
          <w:rFonts w:ascii="Arial" w:hAnsi="Arial" w:cs="Arial"/>
          <w:i/>
          <w:sz w:val="20"/>
          <w:szCs w:val="20"/>
        </w:rPr>
        <w:t xml:space="preserve">. The data collected in the survey makes it possible to publish various other breakdowns that are not included in this output. For further information contact Information Services (+420 274 052 304 </w:t>
      </w:r>
      <w:r w:rsidRPr="00B758B1">
        <w:rPr>
          <w:rFonts w:ascii="Arial" w:hAnsi="Arial" w:cs="Arial"/>
          <w:i/>
          <w:sz w:val="20"/>
          <w:szCs w:val="20"/>
        </w:rPr>
        <w:t xml:space="preserve">or </w:t>
      </w:r>
      <w:r w:rsidR="00AA2C8C" w:rsidRPr="00AA2C8C">
        <w:rPr>
          <w:rFonts w:ascii="Arial" w:hAnsi="Arial" w:cs="Arial"/>
          <w:i/>
          <w:sz w:val="20"/>
          <w:szCs w:val="20"/>
          <w:u w:val="single"/>
        </w:rPr>
        <w:t>infoservis@csu.gov.cz</w:t>
      </w:r>
      <w:r w:rsidRPr="00CE6F8C">
        <w:rPr>
          <w:rFonts w:ascii="Arial" w:hAnsi="Arial" w:cs="Arial"/>
          <w:i/>
          <w:sz w:val="20"/>
          <w:szCs w:val="20"/>
        </w:rPr>
        <w:t>).</w:t>
      </w:r>
    </w:p>
    <w:sectPr w:rsidR="00B74A71" w:rsidRPr="00CE6F8C" w:rsidSect="00EB0DC5">
      <w:headerReference w:type="even" r:id="rId8"/>
      <w:headerReference w:type="default" r:id="rId9"/>
      <w:footerReference w:type="even" r:id="rId10"/>
      <w:footerReference w:type="default" r:id="rId11"/>
      <w:pgSz w:w="11906" w:h="16838" w:code="9"/>
      <w:pgMar w:top="1134" w:right="1134" w:bottom="1418" w:left="1134" w:header="709" w:footer="709"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6945A" w14:textId="77777777" w:rsidR="00454D94" w:rsidRDefault="00454D94">
      <w:r>
        <w:separator/>
      </w:r>
    </w:p>
  </w:endnote>
  <w:endnote w:type="continuationSeparator" w:id="0">
    <w:p w14:paraId="19B8EA8A" w14:textId="77777777" w:rsidR="00454D94" w:rsidRDefault="00454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1CD60" w14:textId="77777777" w:rsidR="00B74A71" w:rsidRDefault="00B74A7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C30D170" w14:textId="77777777" w:rsidR="00B74A71" w:rsidRDefault="00B74A7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9601B" w14:textId="77777777" w:rsidR="00B74A71" w:rsidRDefault="00B74A7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57979" w14:textId="77777777" w:rsidR="00454D94" w:rsidRDefault="00454D94">
      <w:r>
        <w:separator/>
      </w:r>
    </w:p>
  </w:footnote>
  <w:footnote w:type="continuationSeparator" w:id="0">
    <w:p w14:paraId="6CAD857B" w14:textId="77777777" w:rsidR="00454D94" w:rsidRDefault="00454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9375B" w14:textId="77777777" w:rsidR="00B74A71" w:rsidRDefault="00B74A71">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4ED3E95" w14:textId="77777777" w:rsidR="00B74A71" w:rsidRDefault="00B74A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C101A" w14:textId="77777777" w:rsidR="00B74A71" w:rsidRDefault="00B74A71">
    <w:pPr>
      <w:pStyle w:val="Zhlav"/>
      <w:framePr w:wrap="around" w:vAnchor="text" w:hAnchor="margin" w:xAlign="center" w:y="1"/>
      <w:rPr>
        <w:rStyle w:val="slostrnky"/>
      </w:rPr>
    </w:pPr>
  </w:p>
  <w:p w14:paraId="340297FA" w14:textId="77777777" w:rsidR="00B74A71" w:rsidRDefault="00B74A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6983"/>
    <w:multiLevelType w:val="hybridMultilevel"/>
    <w:tmpl w:val="FB8CC40C"/>
    <w:lvl w:ilvl="0" w:tplc="04050005">
      <w:start w:val="1"/>
      <w:numFmt w:val="bullet"/>
      <w:lvlText w:val=""/>
      <w:lvlJc w:val="left"/>
      <w:pPr>
        <w:tabs>
          <w:tab w:val="num" w:pos="714"/>
        </w:tabs>
        <w:ind w:left="714" w:hanging="360"/>
      </w:pPr>
      <w:rPr>
        <w:rFonts w:ascii="Wingdings" w:hAnsi="Wingdings" w:hint="default"/>
      </w:rPr>
    </w:lvl>
    <w:lvl w:ilvl="1" w:tplc="04050005">
      <w:start w:val="1"/>
      <w:numFmt w:val="bullet"/>
      <w:lvlText w:val=""/>
      <w:lvlJc w:val="left"/>
      <w:pPr>
        <w:tabs>
          <w:tab w:val="num" w:pos="1434"/>
        </w:tabs>
        <w:ind w:left="1434" w:hanging="360"/>
      </w:pPr>
      <w:rPr>
        <w:rFonts w:ascii="Wingdings" w:hAnsi="Wingdings" w:hint="default"/>
      </w:rPr>
    </w:lvl>
    <w:lvl w:ilvl="2" w:tplc="04050005">
      <w:start w:val="1"/>
      <w:numFmt w:val="bullet"/>
      <w:lvlText w:val=""/>
      <w:lvlJc w:val="left"/>
      <w:pPr>
        <w:tabs>
          <w:tab w:val="num" w:pos="2154"/>
        </w:tabs>
        <w:ind w:left="2154" w:hanging="360"/>
      </w:pPr>
      <w:rPr>
        <w:rFonts w:ascii="Wingdings" w:hAnsi="Wingdings" w:hint="default"/>
      </w:rPr>
    </w:lvl>
    <w:lvl w:ilvl="3" w:tplc="04050001" w:tentative="1">
      <w:start w:val="1"/>
      <w:numFmt w:val="bullet"/>
      <w:lvlText w:val=""/>
      <w:lvlJc w:val="left"/>
      <w:pPr>
        <w:tabs>
          <w:tab w:val="num" w:pos="2874"/>
        </w:tabs>
        <w:ind w:left="2874" w:hanging="360"/>
      </w:pPr>
      <w:rPr>
        <w:rFonts w:ascii="Symbol" w:hAnsi="Symbol" w:hint="default"/>
      </w:rPr>
    </w:lvl>
    <w:lvl w:ilvl="4" w:tplc="04050003" w:tentative="1">
      <w:start w:val="1"/>
      <w:numFmt w:val="bullet"/>
      <w:lvlText w:val="o"/>
      <w:lvlJc w:val="left"/>
      <w:pPr>
        <w:tabs>
          <w:tab w:val="num" w:pos="3594"/>
        </w:tabs>
        <w:ind w:left="3594" w:hanging="360"/>
      </w:pPr>
      <w:rPr>
        <w:rFonts w:ascii="Courier New" w:hAnsi="Courier New" w:hint="default"/>
      </w:rPr>
    </w:lvl>
    <w:lvl w:ilvl="5" w:tplc="04050005" w:tentative="1">
      <w:start w:val="1"/>
      <w:numFmt w:val="bullet"/>
      <w:lvlText w:val=""/>
      <w:lvlJc w:val="left"/>
      <w:pPr>
        <w:tabs>
          <w:tab w:val="num" w:pos="4314"/>
        </w:tabs>
        <w:ind w:left="4314" w:hanging="360"/>
      </w:pPr>
      <w:rPr>
        <w:rFonts w:ascii="Wingdings" w:hAnsi="Wingdings" w:hint="default"/>
      </w:rPr>
    </w:lvl>
    <w:lvl w:ilvl="6" w:tplc="04050001" w:tentative="1">
      <w:start w:val="1"/>
      <w:numFmt w:val="bullet"/>
      <w:lvlText w:val=""/>
      <w:lvlJc w:val="left"/>
      <w:pPr>
        <w:tabs>
          <w:tab w:val="num" w:pos="5034"/>
        </w:tabs>
        <w:ind w:left="5034" w:hanging="360"/>
      </w:pPr>
      <w:rPr>
        <w:rFonts w:ascii="Symbol" w:hAnsi="Symbol" w:hint="default"/>
      </w:rPr>
    </w:lvl>
    <w:lvl w:ilvl="7" w:tplc="04050003" w:tentative="1">
      <w:start w:val="1"/>
      <w:numFmt w:val="bullet"/>
      <w:lvlText w:val="o"/>
      <w:lvlJc w:val="left"/>
      <w:pPr>
        <w:tabs>
          <w:tab w:val="num" w:pos="5754"/>
        </w:tabs>
        <w:ind w:left="5754" w:hanging="360"/>
      </w:pPr>
      <w:rPr>
        <w:rFonts w:ascii="Courier New" w:hAnsi="Courier New" w:hint="default"/>
      </w:rPr>
    </w:lvl>
    <w:lvl w:ilvl="8" w:tplc="04050005" w:tentative="1">
      <w:start w:val="1"/>
      <w:numFmt w:val="bullet"/>
      <w:lvlText w:val=""/>
      <w:lvlJc w:val="left"/>
      <w:pPr>
        <w:tabs>
          <w:tab w:val="num" w:pos="6474"/>
        </w:tabs>
        <w:ind w:left="6474" w:hanging="360"/>
      </w:pPr>
      <w:rPr>
        <w:rFonts w:ascii="Wingdings" w:hAnsi="Wingdings" w:hint="default"/>
      </w:rPr>
    </w:lvl>
  </w:abstractNum>
  <w:abstractNum w:abstractNumId="1" w15:restartNumberingAfterBreak="0">
    <w:nsid w:val="076E3D6D"/>
    <w:multiLevelType w:val="hybridMultilevel"/>
    <w:tmpl w:val="82022118"/>
    <w:lvl w:ilvl="0" w:tplc="04050005">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C7506D"/>
    <w:multiLevelType w:val="hybridMultilevel"/>
    <w:tmpl w:val="6972D034"/>
    <w:lvl w:ilvl="0" w:tplc="8D547C80">
      <w:start w:val="1"/>
      <w:numFmt w:val="bullet"/>
      <w:lvlText w:val=""/>
      <w:lvlJc w:val="left"/>
      <w:pPr>
        <w:tabs>
          <w:tab w:val="num" w:pos="720"/>
        </w:tabs>
        <w:ind w:left="700" w:hanging="340"/>
      </w:pPr>
      <w:rPr>
        <w:rFonts w:ascii="Wingdings" w:hAnsi="Wingdings"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1F5E1E"/>
    <w:multiLevelType w:val="hybridMultilevel"/>
    <w:tmpl w:val="FB8CC40C"/>
    <w:lvl w:ilvl="0" w:tplc="296A1AC8">
      <w:start w:val="1"/>
      <w:numFmt w:val="bullet"/>
      <w:lvlText w:val=""/>
      <w:lvlJc w:val="left"/>
      <w:pPr>
        <w:tabs>
          <w:tab w:val="num" w:pos="1068"/>
        </w:tabs>
        <w:ind w:left="1068" w:hanging="360"/>
      </w:pPr>
      <w:rPr>
        <w:rFonts w:ascii="Wingdings" w:hAnsi="Wingdings" w:hint="default"/>
        <w:sz w:val="16"/>
      </w:rPr>
    </w:lvl>
    <w:lvl w:ilvl="1" w:tplc="296A1AC8">
      <w:start w:val="1"/>
      <w:numFmt w:val="bullet"/>
      <w:lvlText w:val=""/>
      <w:lvlJc w:val="left"/>
      <w:pPr>
        <w:tabs>
          <w:tab w:val="num" w:pos="1086"/>
        </w:tabs>
        <w:ind w:left="1086" w:hanging="360"/>
      </w:pPr>
      <w:rPr>
        <w:rFonts w:ascii="Wingdings" w:hAnsi="Wingdings" w:hint="default"/>
        <w:sz w:val="16"/>
      </w:rPr>
    </w:lvl>
    <w:lvl w:ilvl="2" w:tplc="296A1AC8">
      <w:start w:val="1"/>
      <w:numFmt w:val="bullet"/>
      <w:lvlText w:val=""/>
      <w:lvlJc w:val="left"/>
      <w:pPr>
        <w:tabs>
          <w:tab w:val="num" w:pos="2514"/>
        </w:tabs>
        <w:ind w:left="2514" w:hanging="360"/>
      </w:pPr>
      <w:rPr>
        <w:rFonts w:ascii="Wingdings" w:hAnsi="Wingdings" w:hint="default"/>
        <w:sz w:val="16"/>
      </w:rPr>
    </w:lvl>
    <w:lvl w:ilvl="3" w:tplc="04050001" w:tentative="1">
      <w:start w:val="1"/>
      <w:numFmt w:val="bullet"/>
      <w:lvlText w:val=""/>
      <w:lvlJc w:val="left"/>
      <w:pPr>
        <w:tabs>
          <w:tab w:val="num" w:pos="3234"/>
        </w:tabs>
        <w:ind w:left="3234" w:hanging="360"/>
      </w:pPr>
      <w:rPr>
        <w:rFonts w:ascii="Symbol" w:hAnsi="Symbol" w:hint="default"/>
      </w:rPr>
    </w:lvl>
    <w:lvl w:ilvl="4" w:tplc="04050003" w:tentative="1">
      <w:start w:val="1"/>
      <w:numFmt w:val="bullet"/>
      <w:lvlText w:val="o"/>
      <w:lvlJc w:val="left"/>
      <w:pPr>
        <w:tabs>
          <w:tab w:val="num" w:pos="3954"/>
        </w:tabs>
        <w:ind w:left="3954" w:hanging="360"/>
      </w:pPr>
      <w:rPr>
        <w:rFonts w:ascii="Courier New" w:hAnsi="Courier New" w:hint="default"/>
      </w:rPr>
    </w:lvl>
    <w:lvl w:ilvl="5" w:tplc="04050005" w:tentative="1">
      <w:start w:val="1"/>
      <w:numFmt w:val="bullet"/>
      <w:lvlText w:val=""/>
      <w:lvlJc w:val="left"/>
      <w:pPr>
        <w:tabs>
          <w:tab w:val="num" w:pos="4674"/>
        </w:tabs>
        <w:ind w:left="4674" w:hanging="360"/>
      </w:pPr>
      <w:rPr>
        <w:rFonts w:ascii="Wingdings" w:hAnsi="Wingdings" w:hint="default"/>
      </w:rPr>
    </w:lvl>
    <w:lvl w:ilvl="6" w:tplc="04050001" w:tentative="1">
      <w:start w:val="1"/>
      <w:numFmt w:val="bullet"/>
      <w:lvlText w:val=""/>
      <w:lvlJc w:val="left"/>
      <w:pPr>
        <w:tabs>
          <w:tab w:val="num" w:pos="5394"/>
        </w:tabs>
        <w:ind w:left="5394" w:hanging="360"/>
      </w:pPr>
      <w:rPr>
        <w:rFonts w:ascii="Symbol" w:hAnsi="Symbol" w:hint="default"/>
      </w:rPr>
    </w:lvl>
    <w:lvl w:ilvl="7" w:tplc="04050003" w:tentative="1">
      <w:start w:val="1"/>
      <w:numFmt w:val="bullet"/>
      <w:lvlText w:val="o"/>
      <w:lvlJc w:val="left"/>
      <w:pPr>
        <w:tabs>
          <w:tab w:val="num" w:pos="6114"/>
        </w:tabs>
        <w:ind w:left="6114" w:hanging="360"/>
      </w:pPr>
      <w:rPr>
        <w:rFonts w:ascii="Courier New" w:hAnsi="Courier New" w:hint="default"/>
      </w:rPr>
    </w:lvl>
    <w:lvl w:ilvl="8" w:tplc="04050005" w:tentative="1">
      <w:start w:val="1"/>
      <w:numFmt w:val="bullet"/>
      <w:lvlText w:val=""/>
      <w:lvlJc w:val="left"/>
      <w:pPr>
        <w:tabs>
          <w:tab w:val="num" w:pos="6834"/>
        </w:tabs>
        <w:ind w:left="6834" w:hanging="360"/>
      </w:pPr>
      <w:rPr>
        <w:rFonts w:ascii="Wingdings" w:hAnsi="Wingdings" w:hint="default"/>
      </w:rPr>
    </w:lvl>
  </w:abstractNum>
  <w:abstractNum w:abstractNumId="4" w15:restartNumberingAfterBreak="0">
    <w:nsid w:val="0EFB754A"/>
    <w:multiLevelType w:val="hybridMultilevel"/>
    <w:tmpl w:val="387AF1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4B636C"/>
    <w:multiLevelType w:val="hybridMultilevel"/>
    <w:tmpl w:val="E8606370"/>
    <w:lvl w:ilvl="0" w:tplc="8D547C80">
      <w:start w:val="1"/>
      <w:numFmt w:val="bullet"/>
      <w:lvlText w:val=""/>
      <w:lvlJc w:val="left"/>
      <w:pPr>
        <w:ind w:left="1077" w:hanging="360"/>
      </w:pPr>
      <w:rPr>
        <w:rFonts w:ascii="Wingdings" w:hAnsi="Wingdings" w:hint="default"/>
        <w:sz w:val="16"/>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6" w15:restartNumberingAfterBreak="0">
    <w:nsid w:val="0F69532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766B69"/>
    <w:multiLevelType w:val="hybridMultilevel"/>
    <w:tmpl w:val="E8D6E996"/>
    <w:lvl w:ilvl="0" w:tplc="296A1AC8">
      <w:start w:val="1"/>
      <w:numFmt w:val="bullet"/>
      <w:lvlText w:val=""/>
      <w:lvlJc w:val="left"/>
      <w:pPr>
        <w:tabs>
          <w:tab w:val="num" w:pos="360"/>
        </w:tabs>
        <w:ind w:left="360" w:hanging="360"/>
      </w:pPr>
      <w:rPr>
        <w:rFonts w:ascii="Wingdings" w:hAnsi="Wingdings" w:hint="default"/>
        <w:sz w:val="16"/>
      </w:rPr>
    </w:lvl>
    <w:lvl w:ilvl="1" w:tplc="04050003">
      <w:start w:val="1"/>
      <w:numFmt w:val="bullet"/>
      <w:lvlText w:val="o"/>
      <w:lvlJc w:val="left"/>
      <w:pPr>
        <w:tabs>
          <w:tab w:val="num" w:pos="360"/>
        </w:tabs>
        <w:ind w:left="360" w:hanging="360"/>
      </w:pPr>
      <w:rPr>
        <w:rFonts w:ascii="Courier New" w:hAnsi="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1A032326"/>
    <w:multiLevelType w:val="hybridMultilevel"/>
    <w:tmpl w:val="46581DA0"/>
    <w:lvl w:ilvl="0" w:tplc="04050005">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A2543CE"/>
    <w:multiLevelType w:val="hybridMultilevel"/>
    <w:tmpl w:val="6CA0A71C"/>
    <w:lvl w:ilvl="0" w:tplc="A754B368">
      <w:start w:val="1"/>
      <w:numFmt w:val="bullet"/>
      <w:lvlText w:val=""/>
      <w:lvlJc w:val="left"/>
      <w:pPr>
        <w:tabs>
          <w:tab w:val="num" w:pos="720"/>
        </w:tabs>
        <w:ind w:left="720" w:hanging="360"/>
      </w:pPr>
      <w:rPr>
        <w:rFonts w:ascii="Wingdings" w:hAnsi="Wingdings" w:hint="default"/>
      </w:rPr>
    </w:lvl>
    <w:lvl w:ilvl="1" w:tplc="A754B368">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C24243"/>
    <w:multiLevelType w:val="hybridMultilevel"/>
    <w:tmpl w:val="941C968C"/>
    <w:lvl w:ilvl="0" w:tplc="AB68415C">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6"/>
        </w:tabs>
        <w:ind w:left="1086" w:hanging="360"/>
      </w:pPr>
      <w:rPr>
        <w:rFonts w:ascii="Courier New" w:hAnsi="Courier New" w:hint="default"/>
      </w:rPr>
    </w:lvl>
    <w:lvl w:ilvl="2" w:tplc="04050005" w:tentative="1">
      <w:start w:val="1"/>
      <w:numFmt w:val="bullet"/>
      <w:lvlText w:val=""/>
      <w:lvlJc w:val="left"/>
      <w:pPr>
        <w:tabs>
          <w:tab w:val="num" w:pos="1806"/>
        </w:tabs>
        <w:ind w:left="1806" w:hanging="360"/>
      </w:pPr>
      <w:rPr>
        <w:rFonts w:ascii="Wingdings" w:hAnsi="Wingdings" w:hint="default"/>
      </w:rPr>
    </w:lvl>
    <w:lvl w:ilvl="3" w:tplc="04050001" w:tentative="1">
      <w:start w:val="1"/>
      <w:numFmt w:val="bullet"/>
      <w:lvlText w:val=""/>
      <w:lvlJc w:val="left"/>
      <w:pPr>
        <w:tabs>
          <w:tab w:val="num" w:pos="2526"/>
        </w:tabs>
        <w:ind w:left="2526" w:hanging="360"/>
      </w:pPr>
      <w:rPr>
        <w:rFonts w:ascii="Symbol" w:hAnsi="Symbol" w:hint="default"/>
      </w:rPr>
    </w:lvl>
    <w:lvl w:ilvl="4" w:tplc="04050003" w:tentative="1">
      <w:start w:val="1"/>
      <w:numFmt w:val="bullet"/>
      <w:lvlText w:val="o"/>
      <w:lvlJc w:val="left"/>
      <w:pPr>
        <w:tabs>
          <w:tab w:val="num" w:pos="3246"/>
        </w:tabs>
        <w:ind w:left="3246" w:hanging="360"/>
      </w:pPr>
      <w:rPr>
        <w:rFonts w:ascii="Courier New" w:hAnsi="Courier New" w:hint="default"/>
      </w:rPr>
    </w:lvl>
    <w:lvl w:ilvl="5" w:tplc="04050005" w:tentative="1">
      <w:start w:val="1"/>
      <w:numFmt w:val="bullet"/>
      <w:lvlText w:val=""/>
      <w:lvlJc w:val="left"/>
      <w:pPr>
        <w:tabs>
          <w:tab w:val="num" w:pos="3966"/>
        </w:tabs>
        <w:ind w:left="3966" w:hanging="360"/>
      </w:pPr>
      <w:rPr>
        <w:rFonts w:ascii="Wingdings" w:hAnsi="Wingdings" w:hint="default"/>
      </w:rPr>
    </w:lvl>
    <w:lvl w:ilvl="6" w:tplc="04050001" w:tentative="1">
      <w:start w:val="1"/>
      <w:numFmt w:val="bullet"/>
      <w:lvlText w:val=""/>
      <w:lvlJc w:val="left"/>
      <w:pPr>
        <w:tabs>
          <w:tab w:val="num" w:pos="4686"/>
        </w:tabs>
        <w:ind w:left="4686" w:hanging="360"/>
      </w:pPr>
      <w:rPr>
        <w:rFonts w:ascii="Symbol" w:hAnsi="Symbol" w:hint="default"/>
      </w:rPr>
    </w:lvl>
    <w:lvl w:ilvl="7" w:tplc="04050003" w:tentative="1">
      <w:start w:val="1"/>
      <w:numFmt w:val="bullet"/>
      <w:lvlText w:val="o"/>
      <w:lvlJc w:val="left"/>
      <w:pPr>
        <w:tabs>
          <w:tab w:val="num" w:pos="5406"/>
        </w:tabs>
        <w:ind w:left="5406" w:hanging="360"/>
      </w:pPr>
      <w:rPr>
        <w:rFonts w:ascii="Courier New" w:hAnsi="Courier New" w:hint="default"/>
      </w:rPr>
    </w:lvl>
    <w:lvl w:ilvl="8" w:tplc="04050005" w:tentative="1">
      <w:start w:val="1"/>
      <w:numFmt w:val="bullet"/>
      <w:lvlText w:val=""/>
      <w:lvlJc w:val="left"/>
      <w:pPr>
        <w:tabs>
          <w:tab w:val="num" w:pos="6126"/>
        </w:tabs>
        <w:ind w:left="6126" w:hanging="360"/>
      </w:pPr>
      <w:rPr>
        <w:rFonts w:ascii="Wingdings" w:hAnsi="Wingdings" w:hint="default"/>
      </w:rPr>
    </w:lvl>
  </w:abstractNum>
  <w:abstractNum w:abstractNumId="11" w15:restartNumberingAfterBreak="0">
    <w:nsid w:val="2C0A2C13"/>
    <w:multiLevelType w:val="hybridMultilevel"/>
    <w:tmpl w:val="FB8CC40C"/>
    <w:lvl w:ilvl="0" w:tplc="04050007">
      <w:start w:val="1"/>
      <w:numFmt w:val="bullet"/>
      <w:lvlText w:val=""/>
      <w:lvlJc w:val="left"/>
      <w:pPr>
        <w:tabs>
          <w:tab w:val="num" w:pos="357"/>
        </w:tabs>
        <w:ind w:left="357" w:hanging="360"/>
      </w:pPr>
      <w:rPr>
        <w:rFonts w:ascii="Wingdings" w:hAnsi="Wingdings" w:hint="default"/>
        <w:sz w:val="16"/>
      </w:rPr>
    </w:lvl>
    <w:lvl w:ilvl="1" w:tplc="04050003">
      <w:start w:val="1"/>
      <w:numFmt w:val="bullet"/>
      <w:lvlText w:val="o"/>
      <w:lvlJc w:val="left"/>
      <w:pPr>
        <w:tabs>
          <w:tab w:val="num" w:pos="1077"/>
        </w:tabs>
        <w:ind w:left="1077" w:hanging="360"/>
      </w:pPr>
      <w:rPr>
        <w:rFonts w:ascii="Courier New" w:hAnsi="Courier New" w:hint="default"/>
      </w:rPr>
    </w:lvl>
    <w:lvl w:ilvl="2" w:tplc="04050005">
      <w:start w:val="1"/>
      <w:numFmt w:val="bullet"/>
      <w:lvlText w:val=""/>
      <w:lvlJc w:val="left"/>
      <w:pPr>
        <w:tabs>
          <w:tab w:val="num" w:pos="1797"/>
        </w:tabs>
        <w:ind w:left="1797" w:hanging="360"/>
      </w:pPr>
      <w:rPr>
        <w:rFonts w:ascii="Wingdings" w:hAnsi="Wingdings" w:hint="default"/>
      </w:rPr>
    </w:lvl>
    <w:lvl w:ilvl="3" w:tplc="04050001" w:tentative="1">
      <w:start w:val="1"/>
      <w:numFmt w:val="bullet"/>
      <w:lvlText w:val=""/>
      <w:lvlJc w:val="left"/>
      <w:pPr>
        <w:tabs>
          <w:tab w:val="num" w:pos="2517"/>
        </w:tabs>
        <w:ind w:left="2517" w:hanging="360"/>
      </w:pPr>
      <w:rPr>
        <w:rFonts w:ascii="Symbol" w:hAnsi="Symbol" w:hint="default"/>
      </w:rPr>
    </w:lvl>
    <w:lvl w:ilvl="4" w:tplc="04050003" w:tentative="1">
      <w:start w:val="1"/>
      <w:numFmt w:val="bullet"/>
      <w:lvlText w:val="o"/>
      <w:lvlJc w:val="left"/>
      <w:pPr>
        <w:tabs>
          <w:tab w:val="num" w:pos="3237"/>
        </w:tabs>
        <w:ind w:left="3237" w:hanging="360"/>
      </w:pPr>
      <w:rPr>
        <w:rFonts w:ascii="Courier New" w:hAnsi="Courier New" w:hint="default"/>
      </w:rPr>
    </w:lvl>
    <w:lvl w:ilvl="5" w:tplc="04050005" w:tentative="1">
      <w:start w:val="1"/>
      <w:numFmt w:val="bullet"/>
      <w:lvlText w:val=""/>
      <w:lvlJc w:val="left"/>
      <w:pPr>
        <w:tabs>
          <w:tab w:val="num" w:pos="3957"/>
        </w:tabs>
        <w:ind w:left="3957" w:hanging="360"/>
      </w:pPr>
      <w:rPr>
        <w:rFonts w:ascii="Wingdings" w:hAnsi="Wingdings" w:hint="default"/>
      </w:rPr>
    </w:lvl>
    <w:lvl w:ilvl="6" w:tplc="04050001" w:tentative="1">
      <w:start w:val="1"/>
      <w:numFmt w:val="bullet"/>
      <w:lvlText w:val=""/>
      <w:lvlJc w:val="left"/>
      <w:pPr>
        <w:tabs>
          <w:tab w:val="num" w:pos="4677"/>
        </w:tabs>
        <w:ind w:left="4677" w:hanging="360"/>
      </w:pPr>
      <w:rPr>
        <w:rFonts w:ascii="Symbol" w:hAnsi="Symbol" w:hint="default"/>
      </w:rPr>
    </w:lvl>
    <w:lvl w:ilvl="7" w:tplc="04050003" w:tentative="1">
      <w:start w:val="1"/>
      <w:numFmt w:val="bullet"/>
      <w:lvlText w:val="o"/>
      <w:lvlJc w:val="left"/>
      <w:pPr>
        <w:tabs>
          <w:tab w:val="num" w:pos="5397"/>
        </w:tabs>
        <w:ind w:left="5397" w:hanging="360"/>
      </w:pPr>
      <w:rPr>
        <w:rFonts w:ascii="Courier New" w:hAnsi="Courier New" w:hint="default"/>
      </w:rPr>
    </w:lvl>
    <w:lvl w:ilvl="8" w:tplc="04050005" w:tentative="1">
      <w:start w:val="1"/>
      <w:numFmt w:val="bullet"/>
      <w:lvlText w:val=""/>
      <w:lvlJc w:val="left"/>
      <w:pPr>
        <w:tabs>
          <w:tab w:val="num" w:pos="6117"/>
        </w:tabs>
        <w:ind w:left="6117" w:hanging="360"/>
      </w:pPr>
      <w:rPr>
        <w:rFonts w:ascii="Wingdings" w:hAnsi="Wingdings" w:hint="default"/>
      </w:rPr>
    </w:lvl>
  </w:abstractNum>
  <w:abstractNum w:abstractNumId="12" w15:restartNumberingAfterBreak="0">
    <w:nsid w:val="32E378D7"/>
    <w:multiLevelType w:val="hybridMultilevel"/>
    <w:tmpl w:val="FB8CC40C"/>
    <w:lvl w:ilvl="0" w:tplc="04050005">
      <w:start w:val="1"/>
      <w:numFmt w:val="bullet"/>
      <w:lvlText w:val=""/>
      <w:lvlJc w:val="left"/>
      <w:pPr>
        <w:tabs>
          <w:tab w:val="num" w:pos="1068"/>
        </w:tabs>
        <w:ind w:left="1068" w:hanging="360"/>
      </w:pPr>
      <w:rPr>
        <w:rFonts w:ascii="Wingdings" w:hAnsi="Wingdings" w:hint="default"/>
      </w:rPr>
    </w:lvl>
    <w:lvl w:ilvl="1" w:tplc="296A1AC8">
      <w:start w:val="1"/>
      <w:numFmt w:val="bullet"/>
      <w:lvlText w:val=""/>
      <w:lvlJc w:val="left"/>
      <w:pPr>
        <w:tabs>
          <w:tab w:val="num" w:pos="1086"/>
        </w:tabs>
        <w:ind w:left="1086" w:hanging="360"/>
      </w:pPr>
      <w:rPr>
        <w:rFonts w:ascii="Wingdings" w:hAnsi="Wingdings" w:hint="default"/>
        <w:sz w:val="16"/>
      </w:rPr>
    </w:lvl>
    <w:lvl w:ilvl="2" w:tplc="296A1AC8">
      <w:start w:val="1"/>
      <w:numFmt w:val="bullet"/>
      <w:lvlText w:val=""/>
      <w:lvlJc w:val="left"/>
      <w:pPr>
        <w:tabs>
          <w:tab w:val="num" w:pos="2514"/>
        </w:tabs>
        <w:ind w:left="2514" w:hanging="360"/>
      </w:pPr>
      <w:rPr>
        <w:rFonts w:ascii="Wingdings" w:hAnsi="Wingdings" w:hint="default"/>
        <w:sz w:val="16"/>
      </w:rPr>
    </w:lvl>
    <w:lvl w:ilvl="3" w:tplc="04050001" w:tentative="1">
      <w:start w:val="1"/>
      <w:numFmt w:val="bullet"/>
      <w:lvlText w:val=""/>
      <w:lvlJc w:val="left"/>
      <w:pPr>
        <w:tabs>
          <w:tab w:val="num" w:pos="3234"/>
        </w:tabs>
        <w:ind w:left="3234" w:hanging="360"/>
      </w:pPr>
      <w:rPr>
        <w:rFonts w:ascii="Symbol" w:hAnsi="Symbol" w:hint="default"/>
      </w:rPr>
    </w:lvl>
    <w:lvl w:ilvl="4" w:tplc="04050003" w:tentative="1">
      <w:start w:val="1"/>
      <w:numFmt w:val="bullet"/>
      <w:lvlText w:val="o"/>
      <w:lvlJc w:val="left"/>
      <w:pPr>
        <w:tabs>
          <w:tab w:val="num" w:pos="3954"/>
        </w:tabs>
        <w:ind w:left="3954" w:hanging="360"/>
      </w:pPr>
      <w:rPr>
        <w:rFonts w:ascii="Courier New" w:hAnsi="Courier New" w:hint="default"/>
      </w:rPr>
    </w:lvl>
    <w:lvl w:ilvl="5" w:tplc="04050005" w:tentative="1">
      <w:start w:val="1"/>
      <w:numFmt w:val="bullet"/>
      <w:lvlText w:val=""/>
      <w:lvlJc w:val="left"/>
      <w:pPr>
        <w:tabs>
          <w:tab w:val="num" w:pos="4674"/>
        </w:tabs>
        <w:ind w:left="4674" w:hanging="360"/>
      </w:pPr>
      <w:rPr>
        <w:rFonts w:ascii="Wingdings" w:hAnsi="Wingdings" w:hint="default"/>
      </w:rPr>
    </w:lvl>
    <w:lvl w:ilvl="6" w:tplc="04050001" w:tentative="1">
      <w:start w:val="1"/>
      <w:numFmt w:val="bullet"/>
      <w:lvlText w:val=""/>
      <w:lvlJc w:val="left"/>
      <w:pPr>
        <w:tabs>
          <w:tab w:val="num" w:pos="5394"/>
        </w:tabs>
        <w:ind w:left="5394" w:hanging="360"/>
      </w:pPr>
      <w:rPr>
        <w:rFonts w:ascii="Symbol" w:hAnsi="Symbol" w:hint="default"/>
      </w:rPr>
    </w:lvl>
    <w:lvl w:ilvl="7" w:tplc="04050003" w:tentative="1">
      <w:start w:val="1"/>
      <w:numFmt w:val="bullet"/>
      <w:lvlText w:val="o"/>
      <w:lvlJc w:val="left"/>
      <w:pPr>
        <w:tabs>
          <w:tab w:val="num" w:pos="6114"/>
        </w:tabs>
        <w:ind w:left="6114" w:hanging="360"/>
      </w:pPr>
      <w:rPr>
        <w:rFonts w:ascii="Courier New" w:hAnsi="Courier New" w:hint="default"/>
      </w:rPr>
    </w:lvl>
    <w:lvl w:ilvl="8" w:tplc="04050005" w:tentative="1">
      <w:start w:val="1"/>
      <w:numFmt w:val="bullet"/>
      <w:lvlText w:val=""/>
      <w:lvlJc w:val="left"/>
      <w:pPr>
        <w:tabs>
          <w:tab w:val="num" w:pos="6834"/>
        </w:tabs>
        <w:ind w:left="6834" w:hanging="360"/>
      </w:pPr>
      <w:rPr>
        <w:rFonts w:ascii="Wingdings" w:hAnsi="Wingdings" w:hint="default"/>
      </w:rPr>
    </w:lvl>
  </w:abstractNum>
  <w:abstractNum w:abstractNumId="13" w15:restartNumberingAfterBreak="0">
    <w:nsid w:val="3A190D97"/>
    <w:multiLevelType w:val="hybridMultilevel"/>
    <w:tmpl w:val="FB8CC40C"/>
    <w:lvl w:ilvl="0" w:tplc="296A1AC8">
      <w:start w:val="1"/>
      <w:numFmt w:val="bullet"/>
      <w:lvlText w:val=""/>
      <w:lvlJc w:val="left"/>
      <w:pPr>
        <w:tabs>
          <w:tab w:val="num" w:pos="1068"/>
        </w:tabs>
        <w:ind w:left="1068" w:hanging="360"/>
      </w:pPr>
      <w:rPr>
        <w:rFonts w:ascii="Wingdings" w:hAnsi="Wingdings" w:hint="default"/>
        <w:sz w:val="16"/>
      </w:rPr>
    </w:lvl>
    <w:lvl w:ilvl="1" w:tplc="296A1AC8">
      <w:start w:val="1"/>
      <w:numFmt w:val="bullet"/>
      <w:lvlText w:val=""/>
      <w:lvlJc w:val="left"/>
      <w:pPr>
        <w:tabs>
          <w:tab w:val="num" w:pos="1788"/>
        </w:tabs>
        <w:ind w:left="1788" w:hanging="360"/>
      </w:pPr>
      <w:rPr>
        <w:rFonts w:ascii="Wingdings" w:hAnsi="Wingdings" w:hint="default"/>
        <w:sz w:val="16"/>
      </w:rPr>
    </w:lvl>
    <w:lvl w:ilvl="2" w:tplc="296A1AC8">
      <w:start w:val="1"/>
      <w:numFmt w:val="bullet"/>
      <w:lvlText w:val=""/>
      <w:lvlJc w:val="left"/>
      <w:pPr>
        <w:tabs>
          <w:tab w:val="num" w:pos="2508"/>
        </w:tabs>
        <w:ind w:left="2508" w:hanging="360"/>
      </w:pPr>
      <w:rPr>
        <w:rFonts w:ascii="Wingdings" w:hAnsi="Wingdings" w:hint="default"/>
        <w:sz w:val="16"/>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6007460D"/>
    <w:multiLevelType w:val="hybridMultilevel"/>
    <w:tmpl w:val="E8D6E996"/>
    <w:lvl w:ilvl="0" w:tplc="889A18BC">
      <w:numFmt w:val="bullet"/>
      <w:lvlText w:val="-"/>
      <w:lvlJc w:val="left"/>
      <w:pPr>
        <w:tabs>
          <w:tab w:val="num" w:pos="720"/>
        </w:tabs>
        <w:ind w:left="720" w:hanging="360"/>
      </w:pPr>
      <w:rPr>
        <w:rFonts w:ascii="Times New Roman" w:eastAsia="Times New Roman" w:hAnsi="Times New Roman" w:cs="Times New Roman" w:hint="default"/>
      </w:rPr>
    </w:lvl>
    <w:lvl w:ilvl="1" w:tplc="889A18BC">
      <w:numFmt w:val="bullet"/>
      <w:lvlText w:val="-"/>
      <w:lvlJc w:val="left"/>
      <w:pPr>
        <w:tabs>
          <w:tab w:val="num" w:pos="720"/>
        </w:tabs>
        <w:ind w:left="720" w:hanging="360"/>
      </w:pPr>
      <w:rPr>
        <w:rFonts w:ascii="Times New Roman" w:eastAsia="Times New Roman" w:hAnsi="Times New Roman" w:cs="Times New Roman"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64097962"/>
    <w:multiLevelType w:val="hybridMultilevel"/>
    <w:tmpl w:val="12B65670"/>
    <w:lvl w:ilvl="0" w:tplc="8D547C80">
      <w:start w:val="1"/>
      <w:numFmt w:val="bullet"/>
      <w:pStyle w:val="normalnsodrkami"/>
      <w:lvlText w:val=""/>
      <w:lvlJc w:val="left"/>
      <w:pPr>
        <w:tabs>
          <w:tab w:val="num" w:pos="720"/>
        </w:tabs>
        <w:ind w:left="700" w:hanging="340"/>
      </w:pPr>
      <w:rPr>
        <w:rFonts w:ascii="Wingdings" w:hAnsi="Wingdings"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2E2F1D"/>
    <w:multiLevelType w:val="hybridMultilevel"/>
    <w:tmpl w:val="FB8CC40C"/>
    <w:lvl w:ilvl="0" w:tplc="AB68415C">
      <w:start w:val="1"/>
      <w:numFmt w:val="bullet"/>
      <w:lvlText w:val=""/>
      <w:lvlJc w:val="left"/>
      <w:pPr>
        <w:tabs>
          <w:tab w:val="num" w:pos="714"/>
        </w:tabs>
        <w:ind w:left="714" w:hanging="360"/>
      </w:pPr>
      <w:rPr>
        <w:rFonts w:ascii="Wingdings" w:hAnsi="Wingdings" w:hint="default"/>
      </w:rPr>
    </w:lvl>
    <w:lvl w:ilvl="1" w:tplc="296A1AC8">
      <w:start w:val="1"/>
      <w:numFmt w:val="bullet"/>
      <w:lvlText w:val=""/>
      <w:lvlJc w:val="left"/>
      <w:pPr>
        <w:tabs>
          <w:tab w:val="num" w:pos="1788"/>
        </w:tabs>
        <w:ind w:left="1788" w:hanging="360"/>
      </w:pPr>
      <w:rPr>
        <w:rFonts w:ascii="Wingdings" w:hAnsi="Wingdings" w:hint="default"/>
        <w:sz w:val="16"/>
      </w:rPr>
    </w:lvl>
    <w:lvl w:ilvl="2" w:tplc="296A1AC8">
      <w:start w:val="1"/>
      <w:numFmt w:val="bullet"/>
      <w:lvlText w:val=""/>
      <w:lvlJc w:val="left"/>
      <w:pPr>
        <w:tabs>
          <w:tab w:val="num" w:pos="2508"/>
        </w:tabs>
        <w:ind w:left="2508" w:hanging="360"/>
      </w:pPr>
      <w:rPr>
        <w:rFonts w:ascii="Wingdings" w:hAnsi="Wingdings" w:hint="default"/>
        <w:sz w:val="16"/>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662F6B6E"/>
    <w:multiLevelType w:val="hybridMultilevel"/>
    <w:tmpl w:val="4664CB08"/>
    <w:lvl w:ilvl="0" w:tplc="87542D3C">
      <w:start w:val="1"/>
      <w:numFmt w:val="decimal"/>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8797E68"/>
    <w:multiLevelType w:val="hybridMultilevel"/>
    <w:tmpl w:val="5192BB0A"/>
    <w:lvl w:ilvl="0" w:tplc="AB68415C">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6"/>
        </w:tabs>
        <w:ind w:left="1086" w:hanging="360"/>
      </w:pPr>
      <w:rPr>
        <w:rFonts w:ascii="Courier New" w:hAnsi="Courier New" w:hint="default"/>
      </w:rPr>
    </w:lvl>
    <w:lvl w:ilvl="2" w:tplc="04050005" w:tentative="1">
      <w:start w:val="1"/>
      <w:numFmt w:val="bullet"/>
      <w:lvlText w:val=""/>
      <w:lvlJc w:val="left"/>
      <w:pPr>
        <w:tabs>
          <w:tab w:val="num" w:pos="1806"/>
        </w:tabs>
        <w:ind w:left="1806" w:hanging="360"/>
      </w:pPr>
      <w:rPr>
        <w:rFonts w:ascii="Wingdings" w:hAnsi="Wingdings" w:hint="default"/>
      </w:rPr>
    </w:lvl>
    <w:lvl w:ilvl="3" w:tplc="04050001" w:tentative="1">
      <w:start w:val="1"/>
      <w:numFmt w:val="bullet"/>
      <w:lvlText w:val=""/>
      <w:lvlJc w:val="left"/>
      <w:pPr>
        <w:tabs>
          <w:tab w:val="num" w:pos="2526"/>
        </w:tabs>
        <w:ind w:left="2526" w:hanging="360"/>
      </w:pPr>
      <w:rPr>
        <w:rFonts w:ascii="Symbol" w:hAnsi="Symbol" w:hint="default"/>
      </w:rPr>
    </w:lvl>
    <w:lvl w:ilvl="4" w:tplc="04050003" w:tentative="1">
      <w:start w:val="1"/>
      <w:numFmt w:val="bullet"/>
      <w:lvlText w:val="o"/>
      <w:lvlJc w:val="left"/>
      <w:pPr>
        <w:tabs>
          <w:tab w:val="num" w:pos="3246"/>
        </w:tabs>
        <w:ind w:left="3246" w:hanging="360"/>
      </w:pPr>
      <w:rPr>
        <w:rFonts w:ascii="Courier New" w:hAnsi="Courier New" w:hint="default"/>
      </w:rPr>
    </w:lvl>
    <w:lvl w:ilvl="5" w:tplc="04050005" w:tentative="1">
      <w:start w:val="1"/>
      <w:numFmt w:val="bullet"/>
      <w:lvlText w:val=""/>
      <w:lvlJc w:val="left"/>
      <w:pPr>
        <w:tabs>
          <w:tab w:val="num" w:pos="3966"/>
        </w:tabs>
        <w:ind w:left="3966" w:hanging="360"/>
      </w:pPr>
      <w:rPr>
        <w:rFonts w:ascii="Wingdings" w:hAnsi="Wingdings" w:hint="default"/>
      </w:rPr>
    </w:lvl>
    <w:lvl w:ilvl="6" w:tplc="04050001" w:tentative="1">
      <w:start w:val="1"/>
      <w:numFmt w:val="bullet"/>
      <w:lvlText w:val=""/>
      <w:lvlJc w:val="left"/>
      <w:pPr>
        <w:tabs>
          <w:tab w:val="num" w:pos="4686"/>
        </w:tabs>
        <w:ind w:left="4686" w:hanging="360"/>
      </w:pPr>
      <w:rPr>
        <w:rFonts w:ascii="Symbol" w:hAnsi="Symbol" w:hint="default"/>
      </w:rPr>
    </w:lvl>
    <w:lvl w:ilvl="7" w:tplc="04050003" w:tentative="1">
      <w:start w:val="1"/>
      <w:numFmt w:val="bullet"/>
      <w:lvlText w:val="o"/>
      <w:lvlJc w:val="left"/>
      <w:pPr>
        <w:tabs>
          <w:tab w:val="num" w:pos="5406"/>
        </w:tabs>
        <w:ind w:left="5406" w:hanging="360"/>
      </w:pPr>
      <w:rPr>
        <w:rFonts w:ascii="Courier New" w:hAnsi="Courier New" w:hint="default"/>
      </w:rPr>
    </w:lvl>
    <w:lvl w:ilvl="8" w:tplc="04050005" w:tentative="1">
      <w:start w:val="1"/>
      <w:numFmt w:val="bullet"/>
      <w:lvlText w:val=""/>
      <w:lvlJc w:val="left"/>
      <w:pPr>
        <w:tabs>
          <w:tab w:val="num" w:pos="6126"/>
        </w:tabs>
        <w:ind w:left="6126" w:hanging="360"/>
      </w:pPr>
      <w:rPr>
        <w:rFonts w:ascii="Wingdings" w:hAnsi="Wingdings" w:hint="default"/>
      </w:rPr>
    </w:lvl>
  </w:abstractNum>
  <w:abstractNum w:abstractNumId="19" w15:restartNumberingAfterBreak="0">
    <w:nsid w:val="7F467C03"/>
    <w:multiLevelType w:val="hybridMultilevel"/>
    <w:tmpl w:val="CA1AEAE6"/>
    <w:lvl w:ilvl="0" w:tplc="04050005">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F8C7243"/>
    <w:multiLevelType w:val="hybridMultilevel"/>
    <w:tmpl w:val="FB8CC40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1"/>
  </w:num>
  <w:num w:numId="3">
    <w:abstractNumId w:val="0"/>
  </w:num>
  <w:num w:numId="4">
    <w:abstractNumId w:val="16"/>
  </w:num>
  <w:num w:numId="5">
    <w:abstractNumId w:val="13"/>
  </w:num>
  <w:num w:numId="6">
    <w:abstractNumId w:val="3"/>
  </w:num>
  <w:num w:numId="7">
    <w:abstractNumId w:val="7"/>
  </w:num>
  <w:num w:numId="8">
    <w:abstractNumId w:val="14"/>
  </w:num>
  <w:num w:numId="9">
    <w:abstractNumId w:val="18"/>
  </w:num>
  <w:num w:numId="10">
    <w:abstractNumId w:val="10"/>
  </w:num>
  <w:num w:numId="11">
    <w:abstractNumId w:val="15"/>
  </w:num>
  <w:num w:numId="12">
    <w:abstractNumId w:val="2"/>
  </w:num>
  <w:num w:numId="13">
    <w:abstractNumId w:val="12"/>
  </w:num>
  <w:num w:numId="14">
    <w:abstractNumId w:val="20"/>
  </w:num>
  <w:num w:numId="15">
    <w:abstractNumId w:val="8"/>
  </w:num>
  <w:num w:numId="16">
    <w:abstractNumId w:val="19"/>
  </w:num>
  <w:num w:numId="17">
    <w:abstractNumId w:val="1"/>
  </w:num>
  <w:num w:numId="18">
    <w:abstractNumId w:val="5"/>
  </w:num>
  <w:num w:numId="19">
    <w:abstractNumId w:val="6"/>
  </w:num>
  <w:num w:numId="20">
    <w:abstractNumId w:val="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B15"/>
    <w:rsid w:val="00000EDA"/>
    <w:rsid w:val="0000295F"/>
    <w:rsid w:val="00011DB8"/>
    <w:rsid w:val="00013005"/>
    <w:rsid w:val="00014C88"/>
    <w:rsid w:val="000157D4"/>
    <w:rsid w:val="0001650E"/>
    <w:rsid w:val="0002722E"/>
    <w:rsid w:val="00033C0C"/>
    <w:rsid w:val="00037CEB"/>
    <w:rsid w:val="00044C2E"/>
    <w:rsid w:val="0004623D"/>
    <w:rsid w:val="00054362"/>
    <w:rsid w:val="00055DB2"/>
    <w:rsid w:val="000608B4"/>
    <w:rsid w:val="000643C2"/>
    <w:rsid w:val="0006771F"/>
    <w:rsid w:val="0007244A"/>
    <w:rsid w:val="0007329B"/>
    <w:rsid w:val="000759B2"/>
    <w:rsid w:val="00077D5F"/>
    <w:rsid w:val="00080EE9"/>
    <w:rsid w:val="00094B35"/>
    <w:rsid w:val="000A0CF3"/>
    <w:rsid w:val="000A2992"/>
    <w:rsid w:val="000A5337"/>
    <w:rsid w:val="000A6DCC"/>
    <w:rsid w:val="000B425C"/>
    <w:rsid w:val="000B5A0B"/>
    <w:rsid w:val="000B61CE"/>
    <w:rsid w:val="000C01F4"/>
    <w:rsid w:val="000C27C4"/>
    <w:rsid w:val="000C4261"/>
    <w:rsid w:val="000D1E57"/>
    <w:rsid w:val="000E0FBD"/>
    <w:rsid w:val="000E2C0D"/>
    <w:rsid w:val="000E3381"/>
    <w:rsid w:val="000E5214"/>
    <w:rsid w:val="000F1F8E"/>
    <w:rsid w:val="000F6095"/>
    <w:rsid w:val="000F790F"/>
    <w:rsid w:val="000F7C40"/>
    <w:rsid w:val="00103132"/>
    <w:rsid w:val="00104132"/>
    <w:rsid w:val="001152A5"/>
    <w:rsid w:val="001159B8"/>
    <w:rsid w:val="0011728A"/>
    <w:rsid w:val="00117BB3"/>
    <w:rsid w:val="001218EF"/>
    <w:rsid w:val="001225B6"/>
    <w:rsid w:val="001232B5"/>
    <w:rsid w:val="001269C0"/>
    <w:rsid w:val="00127159"/>
    <w:rsid w:val="0013047A"/>
    <w:rsid w:val="00131DE8"/>
    <w:rsid w:val="001334E6"/>
    <w:rsid w:val="001372D7"/>
    <w:rsid w:val="0014052A"/>
    <w:rsid w:val="00142D08"/>
    <w:rsid w:val="00143141"/>
    <w:rsid w:val="00161CC0"/>
    <w:rsid w:val="00165A82"/>
    <w:rsid w:val="00166282"/>
    <w:rsid w:val="001663F8"/>
    <w:rsid w:val="00170266"/>
    <w:rsid w:val="001709F6"/>
    <w:rsid w:val="0017199E"/>
    <w:rsid w:val="00174541"/>
    <w:rsid w:val="0018504C"/>
    <w:rsid w:val="00186654"/>
    <w:rsid w:val="00186FC2"/>
    <w:rsid w:val="00195589"/>
    <w:rsid w:val="001A15A0"/>
    <w:rsid w:val="001C1484"/>
    <w:rsid w:val="001C1688"/>
    <w:rsid w:val="001C4C6F"/>
    <w:rsid w:val="001D05EA"/>
    <w:rsid w:val="001D13BA"/>
    <w:rsid w:val="001D2856"/>
    <w:rsid w:val="001D444C"/>
    <w:rsid w:val="001D5C52"/>
    <w:rsid w:val="001D74F1"/>
    <w:rsid w:val="001E56FB"/>
    <w:rsid w:val="001E7FD0"/>
    <w:rsid w:val="001F2F2E"/>
    <w:rsid w:val="001F2FCD"/>
    <w:rsid w:val="001F63D8"/>
    <w:rsid w:val="002016C1"/>
    <w:rsid w:val="00211DC1"/>
    <w:rsid w:val="00212FB3"/>
    <w:rsid w:val="0021412E"/>
    <w:rsid w:val="00222DD7"/>
    <w:rsid w:val="002235CA"/>
    <w:rsid w:val="00225E3F"/>
    <w:rsid w:val="002374FE"/>
    <w:rsid w:val="00240FB7"/>
    <w:rsid w:val="00243B67"/>
    <w:rsid w:val="002442A9"/>
    <w:rsid w:val="00246918"/>
    <w:rsid w:val="0025307D"/>
    <w:rsid w:val="00266A18"/>
    <w:rsid w:val="002670FC"/>
    <w:rsid w:val="0026788D"/>
    <w:rsid w:val="00267AC1"/>
    <w:rsid w:val="0027138A"/>
    <w:rsid w:val="00272995"/>
    <w:rsid w:val="002737EC"/>
    <w:rsid w:val="00277CA7"/>
    <w:rsid w:val="002817E4"/>
    <w:rsid w:val="0028421D"/>
    <w:rsid w:val="0028573F"/>
    <w:rsid w:val="00285F53"/>
    <w:rsid w:val="00286663"/>
    <w:rsid w:val="002902FC"/>
    <w:rsid w:val="002911D3"/>
    <w:rsid w:val="0029490D"/>
    <w:rsid w:val="002A3872"/>
    <w:rsid w:val="002B2690"/>
    <w:rsid w:val="002B718B"/>
    <w:rsid w:val="002C16C8"/>
    <w:rsid w:val="002C3A10"/>
    <w:rsid w:val="002C5110"/>
    <w:rsid w:val="002D1B7F"/>
    <w:rsid w:val="002D39CA"/>
    <w:rsid w:val="002D3A8F"/>
    <w:rsid w:val="002E561C"/>
    <w:rsid w:val="002E67FA"/>
    <w:rsid w:val="002F2FDB"/>
    <w:rsid w:val="00301460"/>
    <w:rsid w:val="003014CA"/>
    <w:rsid w:val="003025DD"/>
    <w:rsid w:val="003117B4"/>
    <w:rsid w:val="00312ABB"/>
    <w:rsid w:val="003172C1"/>
    <w:rsid w:val="0032299A"/>
    <w:rsid w:val="0032634D"/>
    <w:rsid w:val="00335904"/>
    <w:rsid w:val="00336CF1"/>
    <w:rsid w:val="00341C76"/>
    <w:rsid w:val="00342362"/>
    <w:rsid w:val="003435A9"/>
    <w:rsid w:val="003501FE"/>
    <w:rsid w:val="00350B16"/>
    <w:rsid w:val="00350C63"/>
    <w:rsid w:val="0035129B"/>
    <w:rsid w:val="003550BB"/>
    <w:rsid w:val="003571ED"/>
    <w:rsid w:val="0036252C"/>
    <w:rsid w:val="00363026"/>
    <w:rsid w:val="003637F9"/>
    <w:rsid w:val="00364911"/>
    <w:rsid w:val="00366E35"/>
    <w:rsid w:val="00371E19"/>
    <w:rsid w:val="00372D90"/>
    <w:rsid w:val="003732B4"/>
    <w:rsid w:val="00374552"/>
    <w:rsid w:val="00376B5A"/>
    <w:rsid w:val="00380527"/>
    <w:rsid w:val="00382E65"/>
    <w:rsid w:val="00383FCB"/>
    <w:rsid w:val="003848A1"/>
    <w:rsid w:val="0039171A"/>
    <w:rsid w:val="00392F94"/>
    <w:rsid w:val="0039647A"/>
    <w:rsid w:val="003A5726"/>
    <w:rsid w:val="003A5D46"/>
    <w:rsid w:val="003B326E"/>
    <w:rsid w:val="003B6F77"/>
    <w:rsid w:val="003C4D99"/>
    <w:rsid w:val="003D2DA8"/>
    <w:rsid w:val="003E15E8"/>
    <w:rsid w:val="003E2620"/>
    <w:rsid w:val="003F6948"/>
    <w:rsid w:val="003F7EAD"/>
    <w:rsid w:val="0040039A"/>
    <w:rsid w:val="00400CB5"/>
    <w:rsid w:val="0040311B"/>
    <w:rsid w:val="00407E6C"/>
    <w:rsid w:val="00414679"/>
    <w:rsid w:val="004155E3"/>
    <w:rsid w:val="00415D32"/>
    <w:rsid w:val="0041655B"/>
    <w:rsid w:val="0043310B"/>
    <w:rsid w:val="00436901"/>
    <w:rsid w:val="00445556"/>
    <w:rsid w:val="0044727A"/>
    <w:rsid w:val="00447D23"/>
    <w:rsid w:val="0045143D"/>
    <w:rsid w:val="00451F17"/>
    <w:rsid w:val="00452FA3"/>
    <w:rsid w:val="00454D94"/>
    <w:rsid w:val="00461234"/>
    <w:rsid w:val="0046206F"/>
    <w:rsid w:val="00467194"/>
    <w:rsid w:val="0047437D"/>
    <w:rsid w:val="00475203"/>
    <w:rsid w:val="0047552F"/>
    <w:rsid w:val="0048495C"/>
    <w:rsid w:val="00484D1B"/>
    <w:rsid w:val="00486086"/>
    <w:rsid w:val="0049629E"/>
    <w:rsid w:val="004A004C"/>
    <w:rsid w:val="004B2CCC"/>
    <w:rsid w:val="004B5007"/>
    <w:rsid w:val="004B6222"/>
    <w:rsid w:val="004B6E40"/>
    <w:rsid w:val="004B771F"/>
    <w:rsid w:val="004C16DB"/>
    <w:rsid w:val="004C2D7E"/>
    <w:rsid w:val="004C4235"/>
    <w:rsid w:val="004C4A1A"/>
    <w:rsid w:val="004E03B1"/>
    <w:rsid w:val="004E04D3"/>
    <w:rsid w:val="004E1249"/>
    <w:rsid w:val="004E308B"/>
    <w:rsid w:val="004E5538"/>
    <w:rsid w:val="004E56CC"/>
    <w:rsid w:val="004F308F"/>
    <w:rsid w:val="00502244"/>
    <w:rsid w:val="0050394B"/>
    <w:rsid w:val="00503B3D"/>
    <w:rsid w:val="00504BF8"/>
    <w:rsid w:val="005056AA"/>
    <w:rsid w:val="00507E73"/>
    <w:rsid w:val="00511EC4"/>
    <w:rsid w:val="00512486"/>
    <w:rsid w:val="00513F05"/>
    <w:rsid w:val="00514567"/>
    <w:rsid w:val="00514660"/>
    <w:rsid w:val="005167F5"/>
    <w:rsid w:val="00516F96"/>
    <w:rsid w:val="00527B36"/>
    <w:rsid w:val="005305E5"/>
    <w:rsid w:val="00530C24"/>
    <w:rsid w:val="00534159"/>
    <w:rsid w:val="00536272"/>
    <w:rsid w:val="0054084B"/>
    <w:rsid w:val="00541E88"/>
    <w:rsid w:val="00563FD3"/>
    <w:rsid w:val="0057086E"/>
    <w:rsid w:val="0057419A"/>
    <w:rsid w:val="00574F6B"/>
    <w:rsid w:val="0057577F"/>
    <w:rsid w:val="00576B25"/>
    <w:rsid w:val="00590F27"/>
    <w:rsid w:val="005914B2"/>
    <w:rsid w:val="005914F7"/>
    <w:rsid w:val="00593D80"/>
    <w:rsid w:val="00595438"/>
    <w:rsid w:val="005A0D12"/>
    <w:rsid w:val="005A0EA5"/>
    <w:rsid w:val="005A2195"/>
    <w:rsid w:val="005A51A8"/>
    <w:rsid w:val="005A5F83"/>
    <w:rsid w:val="005A76A0"/>
    <w:rsid w:val="005B31AF"/>
    <w:rsid w:val="005C570A"/>
    <w:rsid w:val="005D22E4"/>
    <w:rsid w:val="005F0B15"/>
    <w:rsid w:val="005F4888"/>
    <w:rsid w:val="005F73B9"/>
    <w:rsid w:val="005F7BBA"/>
    <w:rsid w:val="00602005"/>
    <w:rsid w:val="00606648"/>
    <w:rsid w:val="006132E8"/>
    <w:rsid w:val="00616BAD"/>
    <w:rsid w:val="00617C91"/>
    <w:rsid w:val="00621975"/>
    <w:rsid w:val="00623810"/>
    <w:rsid w:val="00624BAB"/>
    <w:rsid w:val="0062606D"/>
    <w:rsid w:val="0062609F"/>
    <w:rsid w:val="00626188"/>
    <w:rsid w:val="00634E27"/>
    <w:rsid w:val="006408AF"/>
    <w:rsid w:val="00640E20"/>
    <w:rsid w:val="00644025"/>
    <w:rsid w:val="006451E4"/>
    <w:rsid w:val="006473C5"/>
    <w:rsid w:val="00650686"/>
    <w:rsid w:val="006515E4"/>
    <w:rsid w:val="00651C04"/>
    <w:rsid w:val="00654690"/>
    <w:rsid w:val="0066178E"/>
    <w:rsid w:val="00663922"/>
    <w:rsid w:val="00664E98"/>
    <w:rsid w:val="00673378"/>
    <w:rsid w:val="00675D68"/>
    <w:rsid w:val="00680B34"/>
    <w:rsid w:val="00681D6F"/>
    <w:rsid w:val="00682495"/>
    <w:rsid w:val="006826CB"/>
    <w:rsid w:val="00682DE1"/>
    <w:rsid w:val="006856B2"/>
    <w:rsid w:val="006942BA"/>
    <w:rsid w:val="00694953"/>
    <w:rsid w:val="006A12C5"/>
    <w:rsid w:val="006A13D4"/>
    <w:rsid w:val="006A47CF"/>
    <w:rsid w:val="006A4A8D"/>
    <w:rsid w:val="006A7AFF"/>
    <w:rsid w:val="006B4769"/>
    <w:rsid w:val="006B48EC"/>
    <w:rsid w:val="006B58CE"/>
    <w:rsid w:val="006B5A17"/>
    <w:rsid w:val="006C49BA"/>
    <w:rsid w:val="006D204E"/>
    <w:rsid w:val="006D3CAB"/>
    <w:rsid w:val="006D783B"/>
    <w:rsid w:val="006E48CF"/>
    <w:rsid w:val="006E523B"/>
    <w:rsid w:val="006E6B4C"/>
    <w:rsid w:val="006F1875"/>
    <w:rsid w:val="006F1F75"/>
    <w:rsid w:val="006F7973"/>
    <w:rsid w:val="007021C3"/>
    <w:rsid w:val="00702702"/>
    <w:rsid w:val="007067EC"/>
    <w:rsid w:val="00714A9C"/>
    <w:rsid w:val="00714E5B"/>
    <w:rsid w:val="0071629E"/>
    <w:rsid w:val="00724E02"/>
    <w:rsid w:val="007252F0"/>
    <w:rsid w:val="00727B88"/>
    <w:rsid w:val="007312CE"/>
    <w:rsid w:val="007315A5"/>
    <w:rsid w:val="00735B93"/>
    <w:rsid w:val="00735D15"/>
    <w:rsid w:val="00742964"/>
    <w:rsid w:val="00742F65"/>
    <w:rsid w:val="00745B6B"/>
    <w:rsid w:val="00745E2E"/>
    <w:rsid w:val="007470EC"/>
    <w:rsid w:val="00752CCC"/>
    <w:rsid w:val="007564D1"/>
    <w:rsid w:val="00762E08"/>
    <w:rsid w:val="00765EA4"/>
    <w:rsid w:val="0077202E"/>
    <w:rsid w:val="00773BA9"/>
    <w:rsid w:val="0077659E"/>
    <w:rsid w:val="00777CEA"/>
    <w:rsid w:val="00791A9B"/>
    <w:rsid w:val="00795614"/>
    <w:rsid w:val="00797A31"/>
    <w:rsid w:val="00797C41"/>
    <w:rsid w:val="007A0F94"/>
    <w:rsid w:val="007A2490"/>
    <w:rsid w:val="007A5F9D"/>
    <w:rsid w:val="007B1065"/>
    <w:rsid w:val="007B1C86"/>
    <w:rsid w:val="007B1FED"/>
    <w:rsid w:val="007B6BE8"/>
    <w:rsid w:val="007C0F6B"/>
    <w:rsid w:val="007C161F"/>
    <w:rsid w:val="007C37F7"/>
    <w:rsid w:val="007C464E"/>
    <w:rsid w:val="007C6755"/>
    <w:rsid w:val="007C7C66"/>
    <w:rsid w:val="007D08EC"/>
    <w:rsid w:val="007D59F2"/>
    <w:rsid w:val="007D787B"/>
    <w:rsid w:val="007E177D"/>
    <w:rsid w:val="007E1A4F"/>
    <w:rsid w:val="007F0764"/>
    <w:rsid w:val="007F0D3F"/>
    <w:rsid w:val="007F591B"/>
    <w:rsid w:val="007F59A7"/>
    <w:rsid w:val="007F6009"/>
    <w:rsid w:val="007F7660"/>
    <w:rsid w:val="00800845"/>
    <w:rsid w:val="00800850"/>
    <w:rsid w:val="008024D2"/>
    <w:rsid w:val="00810B23"/>
    <w:rsid w:val="00813FE2"/>
    <w:rsid w:val="00814093"/>
    <w:rsid w:val="00814F19"/>
    <w:rsid w:val="008152F6"/>
    <w:rsid w:val="0082293C"/>
    <w:rsid w:val="00822D76"/>
    <w:rsid w:val="00826025"/>
    <w:rsid w:val="00830CF4"/>
    <w:rsid w:val="00834A46"/>
    <w:rsid w:val="0083541A"/>
    <w:rsid w:val="00841A23"/>
    <w:rsid w:val="00844F98"/>
    <w:rsid w:val="00852193"/>
    <w:rsid w:val="00853E36"/>
    <w:rsid w:val="008549E5"/>
    <w:rsid w:val="008620D3"/>
    <w:rsid w:val="008726F5"/>
    <w:rsid w:val="00872E5E"/>
    <w:rsid w:val="00873307"/>
    <w:rsid w:val="008846D2"/>
    <w:rsid w:val="00885143"/>
    <w:rsid w:val="008908E7"/>
    <w:rsid w:val="00896452"/>
    <w:rsid w:val="00896E62"/>
    <w:rsid w:val="008A1A56"/>
    <w:rsid w:val="008A22AA"/>
    <w:rsid w:val="008B7E32"/>
    <w:rsid w:val="008C261F"/>
    <w:rsid w:val="008C2A73"/>
    <w:rsid w:val="008C3FDE"/>
    <w:rsid w:val="008C5D32"/>
    <w:rsid w:val="008C6C7F"/>
    <w:rsid w:val="008D2737"/>
    <w:rsid w:val="008D46BE"/>
    <w:rsid w:val="008D5B22"/>
    <w:rsid w:val="008D7963"/>
    <w:rsid w:val="008E177F"/>
    <w:rsid w:val="008E3594"/>
    <w:rsid w:val="008E3B14"/>
    <w:rsid w:val="008E4584"/>
    <w:rsid w:val="008E5477"/>
    <w:rsid w:val="008F5618"/>
    <w:rsid w:val="008F5E0F"/>
    <w:rsid w:val="008F7578"/>
    <w:rsid w:val="008F7F40"/>
    <w:rsid w:val="00902F8D"/>
    <w:rsid w:val="00905925"/>
    <w:rsid w:val="0091705A"/>
    <w:rsid w:val="00917604"/>
    <w:rsid w:val="00920C04"/>
    <w:rsid w:val="00923454"/>
    <w:rsid w:val="00925B0B"/>
    <w:rsid w:val="00925FC2"/>
    <w:rsid w:val="009304DB"/>
    <w:rsid w:val="00930A41"/>
    <w:rsid w:val="00932E19"/>
    <w:rsid w:val="0093358D"/>
    <w:rsid w:val="009355F7"/>
    <w:rsid w:val="0093577D"/>
    <w:rsid w:val="0094269C"/>
    <w:rsid w:val="00942D2B"/>
    <w:rsid w:val="00947423"/>
    <w:rsid w:val="009529C9"/>
    <w:rsid w:val="00961579"/>
    <w:rsid w:val="00962BAE"/>
    <w:rsid w:val="00964423"/>
    <w:rsid w:val="009658C4"/>
    <w:rsid w:val="009718B2"/>
    <w:rsid w:val="00971977"/>
    <w:rsid w:val="009842A1"/>
    <w:rsid w:val="00987EE3"/>
    <w:rsid w:val="009911F8"/>
    <w:rsid w:val="0099524F"/>
    <w:rsid w:val="00996464"/>
    <w:rsid w:val="009A2406"/>
    <w:rsid w:val="009A5B73"/>
    <w:rsid w:val="009A7E25"/>
    <w:rsid w:val="009B06A7"/>
    <w:rsid w:val="009B2541"/>
    <w:rsid w:val="009B28E4"/>
    <w:rsid w:val="009B5EC5"/>
    <w:rsid w:val="009B6389"/>
    <w:rsid w:val="009B7322"/>
    <w:rsid w:val="009C05DA"/>
    <w:rsid w:val="009C2FFC"/>
    <w:rsid w:val="009C312D"/>
    <w:rsid w:val="009C47EF"/>
    <w:rsid w:val="009C6FCF"/>
    <w:rsid w:val="009C7ABB"/>
    <w:rsid w:val="009C7F42"/>
    <w:rsid w:val="009F67F2"/>
    <w:rsid w:val="00A029B3"/>
    <w:rsid w:val="00A0600B"/>
    <w:rsid w:val="00A06117"/>
    <w:rsid w:val="00A06F0B"/>
    <w:rsid w:val="00A07C93"/>
    <w:rsid w:val="00A13321"/>
    <w:rsid w:val="00A21C9D"/>
    <w:rsid w:val="00A25BF2"/>
    <w:rsid w:val="00A26C85"/>
    <w:rsid w:val="00A3211E"/>
    <w:rsid w:val="00A36D97"/>
    <w:rsid w:val="00A37965"/>
    <w:rsid w:val="00A37B48"/>
    <w:rsid w:val="00A43796"/>
    <w:rsid w:val="00A46D2D"/>
    <w:rsid w:val="00A47566"/>
    <w:rsid w:val="00A51F3E"/>
    <w:rsid w:val="00A54067"/>
    <w:rsid w:val="00A5496F"/>
    <w:rsid w:val="00A5653A"/>
    <w:rsid w:val="00A709CE"/>
    <w:rsid w:val="00A712B0"/>
    <w:rsid w:val="00A7216F"/>
    <w:rsid w:val="00A75BE0"/>
    <w:rsid w:val="00A76632"/>
    <w:rsid w:val="00A7674E"/>
    <w:rsid w:val="00A80852"/>
    <w:rsid w:val="00A821D7"/>
    <w:rsid w:val="00A82AB9"/>
    <w:rsid w:val="00A87E0E"/>
    <w:rsid w:val="00AA1D82"/>
    <w:rsid w:val="00AA2C8C"/>
    <w:rsid w:val="00AA48F7"/>
    <w:rsid w:val="00AB2C4B"/>
    <w:rsid w:val="00AB6A4E"/>
    <w:rsid w:val="00AB71DD"/>
    <w:rsid w:val="00AB71F3"/>
    <w:rsid w:val="00AC3787"/>
    <w:rsid w:val="00AD0B0D"/>
    <w:rsid w:val="00AD1010"/>
    <w:rsid w:val="00AD4FC5"/>
    <w:rsid w:val="00AD6A5B"/>
    <w:rsid w:val="00AE6027"/>
    <w:rsid w:val="00AF4D1F"/>
    <w:rsid w:val="00B0054F"/>
    <w:rsid w:val="00B05F57"/>
    <w:rsid w:val="00B07558"/>
    <w:rsid w:val="00B11CA5"/>
    <w:rsid w:val="00B238D8"/>
    <w:rsid w:val="00B332EE"/>
    <w:rsid w:val="00B458B7"/>
    <w:rsid w:val="00B45B57"/>
    <w:rsid w:val="00B4779D"/>
    <w:rsid w:val="00B50A1F"/>
    <w:rsid w:val="00B5335A"/>
    <w:rsid w:val="00B6198D"/>
    <w:rsid w:val="00B63B9C"/>
    <w:rsid w:val="00B6480D"/>
    <w:rsid w:val="00B739F5"/>
    <w:rsid w:val="00B742ED"/>
    <w:rsid w:val="00B74A71"/>
    <w:rsid w:val="00B74AD7"/>
    <w:rsid w:val="00B758B1"/>
    <w:rsid w:val="00B83279"/>
    <w:rsid w:val="00B86D3B"/>
    <w:rsid w:val="00B913CE"/>
    <w:rsid w:val="00B92BBF"/>
    <w:rsid w:val="00B95AD0"/>
    <w:rsid w:val="00B96348"/>
    <w:rsid w:val="00BA103B"/>
    <w:rsid w:val="00BA136A"/>
    <w:rsid w:val="00BA392E"/>
    <w:rsid w:val="00BA4F3E"/>
    <w:rsid w:val="00BB472B"/>
    <w:rsid w:val="00BC4B91"/>
    <w:rsid w:val="00BC6EAD"/>
    <w:rsid w:val="00BD3358"/>
    <w:rsid w:val="00BD4B39"/>
    <w:rsid w:val="00BF41D7"/>
    <w:rsid w:val="00BF4D41"/>
    <w:rsid w:val="00BF5D8B"/>
    <w:rsid w:val="00C03043"/>
    <w:rsid w:val="00C03907"/>
    <w:rsid w:val="00C07F75"/>
    <w:rsid w:val="00C13D1E"/>
    <w:rsid w:val="00C24DB5"/>
    <w:rsid w:val="00C2708A"/>
    <w:rsid w:val="00C27E2E"/>
    <w:rsid w:val="00C309A1"/>
    <w:rsid w:val="00C31633"/>
    <w:rsid w:val="00C34866"/>
    <w:rsid w:val="00C35233"/>
    <w:rsid w:val="00C4662C"/>
    <w:rsid w:val="00C5133F"/>
    <w:rsid w:val="00C53370"/>
    <w:rsid w:val="00C5353F"/>
    <w:rsid w:val="00C621B1"/>
    <w:rsid w:val="00C622B1"/>
    <w:rsid w:val="00C628D4"/>
    <w:rsid w:val="00C6432E"/>
    <w:rsid w:val="00C64DF5"/>
    <w:rsid w:val="00C65E71"/>
    <w:rsid w:val="00C7018C"/>
    <w:rsid w:val="00C73E0A"/>
    <w:rsid w:val="00C74406"/>
    <w:rsid w:val="00C75B6F"/>
    <w:rsid w:val="00C75D67"/>
    <w:rsid w:val="00C83C85"/>
    <w:rsid w:val="00C915FE"/>
    <w:rsid w:val="00C9255A"/>
    <w:rsid w:val="00C933D4"/>
    <w:rsid w:val="00C93BF2"/>
    <w:rsid w:val="00C95A9B"/>
    <w:rsid w:val="00C96476"/>
    <w:rsid w:val="00C970A6"/>
    <w:rsid w:val="00CA0747"/>
    <w:rsid w:val="00CA1016"/>
    <w:rsid w:val="00CA2A3D"/>
    <w:rsid w:val="00CA3DEC"/>
    <w:rsid w:val="00CA4795"/>
    <w:rsid w:val="00CA4C5F"/>
    <w:rsid w:val="00CA55F7"/>
    <w:rsid w:val="00CA6F46"/>
    <w:rsid w:val="00CB4E32"/>
    <w:rsid w:val="00CB6D58"/>
    <w:rsid w:val="00CB6FBA"/>
    <w:rsid w:val="00CC7971"/>
    <w:rsid w:val="00CD068E"/>
    <w:rsid w:val="00CD3117"/>
    <w:rsid w:val="00CD3A10"/>
    <w:rsid w:val="00CD3B45"/>
    <w:rsid w:val="00CE0B43"/>
    <w:rsid w:val="00CE6700"/>
    <w:rsid w:val="00CE6F8C"/>
    <w:rsid w:val="00CF09A9"/>
    <w:rsid w:val="00CF2227"/>
    <w:rsid w:val="00CF69F1"/>
    <w:rsid w:val="00CF7813"/>
    <w:rsid w:val="00D03C70"/>
    <w:rsid w:val="00D04C45"/>
    <w:rsid w:val="00D0581A"/>
    <w:rsid w:val="00D116FD"/>
    <w:rsid w:val="00D134FA"/>
    <w:rsid w:val="00D135CC"/>
    <w:rsid w:val="00D2365A"/>
    <w:rsid w:val="00D23D1D"/>
    <w:rsid w:val="00D3387F"/>
    <w:rsid w:val="00D3564B"/>
    <w:rsid w:val="00D35D9B"/>
    <w:rsid w:val="00D36620"/>
    <w:rsid w:val="00D46B01"/>
    <w:rsid w:val="00D47BE1"/>
    <w:rsid w:val="00D52A81"/>
    <w:rsid w:val="00D57D53"/>
    <w:rsid w:val="00D650B1"/>
    <w:rsid w:val="00D65601"/>
    <w:rsid w:val="00D67924"/>
    <w:rsid w:val="00D722E2"/>
    <w:rsid w:val="00D7316C"/>
    <w:rsid w:val="00D761FE"/>
    <w:rsid w:val="00D857C0"/>
    <w:rsid w:val="00D86CF8"/>
    <w:rsid w:val="00D86FAE"/>
    <w:rsid w:val="00D9078D"/>
    <w:rsid w:val="00D90BE0"/>
    <w:rsid w:val="00D91D23"/>
    <w:rsid w:val="00D95B86"/>
    <w:rsid w:val="00D95E89"/>
    <w:rsid w:val="00D96E7E"/>
    <w:rsid w:val="00DA1177"/>
    <w:rsid w:val="00DA440C"/>
    <w:rsid w:val="00DA5573"/>
    <w:rsid w:val="00DA671A"/>
    <w:rsid w:val="00DB0E3E"/>
    <w:rsid w:val="00DB4E94"/>
    <w:rsid w:val="00DC00AE"/>
    <w:rsid w:val="00DC113C"/>
    <w:rsid w:val="00DC55C5"/>
    <w:rsid w:val="00DD25C3"/>
    <w:rsid w:val="00DD2691"/>
    <w:rsid w:val="00DD2D29"/>
    <w:rsid w:val="00DD40B7"/>
    <w:rsid w:val="00DD64F5"/>
    <w:rsid w:val="00DD6BA7"/>
    <w:rsid w:val="00DE3F83"/>
    <w:rsid w:val="00DF110A"/>
    <w:rsid w:val="00DF1C73"/>
    <w:rsid w:val="00DF3459"/>
    <w:rsid w:val="00DF5A81"/>
    <w:rsid w:val="00E01A44"/>
    <w:rsid w:val="00E0468B"/>
    <w:rsid w:val="00E202E0"/>
    <w:rsid w:val="00E26F37"/>
    <w:rsid w:val="00E40BB8"/>
    <w:rsid w:val="00E46D82"/>
    <w:rsid w:val="00E47815"/>
    <w:rsid w:val="00E548C2"/>
    <w:rsid w:val="00E623A5"/>
    <w:rsid w:val="00E6583E"/>
    <w:rsid w:val="00E65BB0"/>
    <w:rsid w:val="00E7116A"/>
    <w:rsid w:val="00E76CA1"/>
    <w:rsid w:val="00E77B4F"/>
    <w:rsid w:val="00E81458"/>
    <w:rsid w:val="00E83C1F"/>
    <w:rsid w:val="00E87D0F"/>
    <w:rsid w:val="00E92ECF"/>
    <w:rsid w:val="00E9362B"/>
    <w:rsid w:val="00E94687"/>
    <w:rsid w:val="00EA11D8"/>
    <w:rsid w:val="00EA1480"/>
    <w:rsid w:val="00EA23EC"/>
    <w:rsid w:val="00EA3765"/>
    <w:rsid w:val="00EA4870"/>
    <w:rsid w:val="00EA6CD2"/>
    <w:rsid w:val="00EB06FF"/>
    <w:rsid w:val="00EB0DC5"/>
    <w:rsid w:val="00EB5909"/>
    <w:rsid w:val="00EB5D91"/>
    <w:rsid w:val="00ED1348"/>
    <w:rsid w:val="00ED1CF4"/>
    <w:rsid w:val="00ED4397"/>
    <w:rsid w:val="00EE396B"/>
    <w:rsid w:val="00F05243"/>
    <w:rsid w:val="00F11134"/>
    <w:rsid w:val="00F1239A"/>
    <w:rsid w:val="00F16853"/>
    <w:rsid w:val="00F17D5E"/>
    <w:rsid w:val="00F22191"/>
    <w:rsid w:val="00F2337B"/>
    <w:rsid w:val="00F236FC"/>
    <w:rsid w:val="00F24459"/>
    <w:rsid w:val="00F250BA"/>
    <w:rsid w:val="00F26474"/>
    <w:rsid w:val="00F269F7"/>
    <w:rsid w:val="00F2780A"/>
    <w:rsid w:val="00F30532"/>
    <w:rsid w:val="00F34596"/>
    <w:rsid w:val="00F35EE3"/>
    <w:rsid w:val="00F372FA"/>
    <w:rsid w:val="00F40994"/>
    <w:rsid w:val="00F444F2"/>
    <w:rsid w:val="00F4529A"/>
    <w:rsid w:val="00F5345E"/>
    <w:rsid w:val="00F60381"/>
    <w:rsid w:val="00F60601"/>
    <w:rsid w:val="00F641E7"/>
    <w:rsid w:val="00F70D6C"/>
    <w:rsid w:val="00F845DE"/>
    <w:rsid w:val="00F84991"/>
    <w:rsid w:val="00F87649"/>
    <w:rsid w:val="00F8773D"/>
    <w:rsid w:val="00F87DCB"/>
    <w:rsid w:val="00F93E26"/>
    <w:rsid w:val="00F94156"/>
    <w:rsid w:val="00F9581B"/>
    <w:rsid w:val="00F965EA"/>
    <w:rsid w:val="00FA2C6D"/>
    <w:rsid w:val="00FA3146"/>
    <w:rsid w:val="00FA4E63"/>
    <w:rsid w:val="00FA7DC7"/>
    <w:rsid w:val="00FB4C46"/>
    <w:rsid w:val="00FC0428"/>
    <w:rsid w:val="00FC450E"/>
    <w:rsid w:val="00FD7B3B"/>
    <w:rsid w:val="00FE407F"/>
    <w:rsid w:val="00FF24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D1023"/>
  <w15:chartTrackingRefBased/>
  <w15:docId w15:val="{F15636D5-531D-4924-9597-016D5C9A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val="en-GB"/>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qFormat/>
    <w:pPr>
      <w:keepNext/>
      <w:jc w:val="both"/>
      <w:outlineLvl w:val="1"/>
    </w:pPr>
    <w:rPr>
      <w:u w:val="single"/>
    </w:rPr>
  </w:style>
  <w:style w:type="paragraph" w:styleId="Nadpis3">
    <w:name w:val="heading 3"/>
    <w:basedOn w:val="Normln"/>
    <w:next w:val="Normln"/>
    <w:qFormat/>
    <w:pPr>
      <w:keepNext/>
      <w:jc w:val="both"/>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Zkladntext">
    <w:name w:val="Body Text"/>
    <w:basedOn w:val="Normln"/>
    <w:semiHidden/>
    <w:pPr>
      <w:jc w:val="both"/>
    </w:pPr>
  </w:style>
  <w:style w:type="character" w:styleId="slostrnky">
    <w:name w:val="page number"/>
    <w:basedOn w:val="Standardnpsmoodstavce"/>
    <w:semiHidden/>
  </w:style>
  <w:style w:type="paragraph" w:styleId="Zpat">
    <w:name w:val="footer"/>
    <w:basedOn w:val="Normln"/>
    <w:semiHidden/>
    <w:pPr>
      <w:tabs>
        <w:tab w:val="center" w:pos="4536"/>
        <w:tab w:val="right" w:pos="9072"/>
      </w:tabs>
    </w:pPr>
  </w:style>
  <w:style w:type="paragraph" w:styleId="Zkladntextodsazen">
    <w:name w:val="Body Text Indent"/>
    <w:basedOn w:val="Normln"/>
    <w:semiHidden/>
    <w:pPr>
      <w:spacing w:after="120"/>
      <w:ind w:firstLine="708"/>
      <w:jc w:val="both"/>
    </w:pPr>
  </w:style>
  <w:style w:type="paragraph" w:styleId="Zkladntextodsazen2">
    <w:name w:val="Body Text Indent 2"/>
    <w:basedOn w:val="Normln"/>
    <w:semiHidden/>
    <w:pPr>
      <w:spacing w:after="120"/>
      <w:ind w:firstLine="709"/>
      <w:jc w:val="both"/>
    </w:pPr>
  </w:style>
  <w:style w:type="paragraph" w:styleId="Zkladntextodsazen3">
    <w:name w:val="Body Text Indent 3"/>
    <w:basedOn w:val="Normln"/>
    <w:semiHidden/>
    <w:pPr>
      <w:ind w:left="360"/>
      <w:jc w:val="both"/>
    </w:pPr>
  </w:style>
  <w:style w:type="character" w:styleId="Hypertextovodkaz">
    <w:name w:val="Hyperlink"/>
    <w:semiHidden/>
    <w:rPr>
      <w:color w:val="0000FF"/>
      <w:u w:val="single"/>
    </w:rPr>
  </w:style>
  <w:style w:type="paragraph" w:styleId="Textvysvtlivek">
    <w:name w:val="endnote text"/>
    <w:basedOn w:val="Normln"/>
    <w:semiHidden/>
    <w:rPr>
      <w:sz w:val="20"/>
      <w:szCs w:val="20"/>
    </w:rPr>
  </w:style>
  <w:style w:type="character" w:styleId="Odkaznavysvtlivky">
    <w:name w:val="endnote reference"/>
    <w:semiHidden/>
    <w:rPr>
      <w:vertAlign w:val="superscript"/>
    </w:rPr>
  </w:style>
  <w:style w:type="character" w:styleId="Sledovanodkaz">
    <w:name w:val="FollowedHyperlink"/>
    <w:semiHidden/>
    <w:rPr>
      <w:color w:val="800080"/>
      <w:u w:val="single"/>
    </w:rPr>
  </w:style>
  <w:style w:type="paragraph" w:styleId="Zhlav">
    <w:name w:val="header"/>
    <w:basedOn w:val="Normln"/>
    <w:semiHidden/>
    <w:pPr>
      <w:tabs>
        <w:tab w:val="center" w:pos="4536"/>
        <w:tab w:val="right" w:pos="9072"/>
      </w:tabs>
    </w:pPr>
  </w:style>
  <w:style w:type="paragraph" w:styleId="Rozloendokumentu">
    <w:name w:val="Document Map"/>
    <w:basedOn w:val="Normln"/>
    <w:semiHidden/>
    <w:pPr>
      <w:shd w:val="clear" w:color="auto" w:fill="000080"/>
    </w:pPr>
    <w:rPr>
      <w:rFonts w:ascii="Tahoma" w:hAnsi="Tahoma" w:cs="Tahoma"/>
    </w:rPr>
  </w:style>
  <w:style w:type="paragraph" w:customStyle="1" w:styleId="normalnsodrkami">
    <w:name w:val="normalní s odrážkami"/>
    <w:basedOn w:val="Normln"/>
    <w:pPr>
      <w:numPr>
        <w:numId w:val="11"/>
      </w:numPr>
      <w:jc w:val="both"/>
    </w:pPr>
    <w:rPr>
      <w:rFonts w:ascii="Arial" w:hAnsi="Arial"/>
      <w:sz w:val="20"/>
      <w:lang w:val="cs-CZ"/>
    </w:rPr>
  </w:style>
  <w:style w:type="character" w:customStyle="1" w:styleId="hps">
    <w:name w:val="hps"/>
    <w:basedOn w:val="Standardnpsmoodstavce"/>
  </w:style>
  <w:style w:type="paragraph" w:styleId="Textbubliny">
    <w:name w:val="Balloon Text"/>
    <w:basedOn w:val="Normln"/>
    <w:semiHidden/>
    <w:unhideWhenUsed/>
    <w:rPr>
      <w:rFonts w:ascii="Tahoma" w:hAnsi="Tahoma" w:cs="Tahoma"/>
      <w:sz w:val="16"/>
      <w:szCs w:val="16"/>
    </w:rPr>
  </w:style>
  <w:style w:type="character" w:customStyle="1" w:styleId="TextbublinyChar">
    <w:name w:val="Text bubliny Char"/>
    <w:semiHidden/>
    <w:rPr>
      <w:rFonts w:ascii="Tahoma" w:hAnsi="Tahoma" w:cs="Tahoma"/>
      <w:sz w:val="16"/>
      <w:szCs w:val="16"/>
      <w:lang w:val="en-GB"/>
    </w:rPr>
  </w:style>
  <w:style w:type="character" w:styleId="Odkaznakoment">
    <w:name w:val="annotation reference"/>
    <w:semiHidden/>
    <w:unhideWhenUsed/>
    <w:rPr>
      <w:sz w:val="16"/>
      <w:szCs w:val="16"/>
    </w:rPr>
  </w:style>
  <w:style w:type="paragraph" w:styleId="Textkomente">
    <w:name w:val="annotation text"/>
    <w:basedOn w:val="Normln"/>
    <w:semiHidden/>
    <w:unhideWhenUsed/>
    <w:rPr>
      <w:sz w:val="20"/>
      <w:szCs w:val="20"/>
    </w:rPr>
  </w:style>
  <w:style w:type="character" w:customStyle="1" w:styleId="TextkomenteChar">
    <w:name w:val="Text komentáře Char"/>
    <w:semiHidden/>
    <w:rPr>
      <w:lang w:val="en-GB"/>
    </w:rPr>
  </w:style>
  <w:style w:type="paragraph" w:styleId="Pedmtkomente">
    <w:name w:val="annotation subject"/>
    <w:basedOn w:val="Textkomente"/>
    <w:next w:val="Textkomente"/>
    <w:semiHidden/>
    <w:unhideWhenUsed/>
    <w:rPr>
      <w:b/>
      <w:bCs/>
    </w:rPr>
  </w:style>
  <w:style w:type="character" w:customStyle="1" w:styleId="PedmtkomenteChar">
    <w:name w:val="Předmět komentáře Char"/>
    <w:semiHidden/>
    <w:rPr>
      <w:b/>
      <w:bCs/>
      <w:lang w:val="en-GB"/>
    </w:rPr>
  </w:style>
  <w:style w:type="paragraph" w:styleId="Revize">
    <w:name w:val="Revision"/>
    <w:hidden/>
    <w:semiHidden/>
    <w:rPr>
      <w:sz w:val="24"/>
      <w:szCs w:val="24"/>
      <w:lang w:val="en-GB"/>
    </w:rPr>
  </w:style>
  <w:style w:type="character" w:customStyle="1" w:styleId="r">
    <w:name w:val="r"/>
    <w:basedOn w:val="Standardnpsmoodstavce"/>
    <w:rsid w:val="00DF5A81"/>
  </w:style>
  <w:style w:type="character" w:styleId="Siln">
    <w:name w:val="Strong"/>
    <w:uiPriority w:val="22"/>
    <w:qFormat/>
    <w:rsid w:val="00AD6A5B"/>
    <w:rPr>
      <w:b/>
      <w:bCs/>
    </w:rPr>
  </w:style>
  <w:style w:type="paragraph" w:styleId="Odstavecseseznamem">
    <w:name w:val="List Paragraph"/>
    <w:basedOn w:val="Normln"/>
    <w:uiPriority w:val="34"/>
    <w:qFormat/>
    <w:rsid w:val="00350B16"/>
    <w:pPr>
      <w:spacing w:after="200" w:line="276" w:lineRule="auto"/>
      <w:ind w:left="720"/>
      <w:contextualSpacing/>
    </w:pPr>
    <w:rPr>
      <w:rFonts w:ascii="Calibri" w:eastAsia="Calibri" w:hAnsi="Calibri"/>
      <w:sz w:val="22"/>
      <w:szCs w:val="22"/>
      <w:lang w:eastAsia="en-US"/>
    </w:rPr>
  </w:style>
  <w:style w:type="character" w:customStyle="1" w:styleId="tlid-translation">
    <w:name w:val="tlid-translation"/>
    <w:rsid w:val="00A06F0B"/>
  </w:style>
  <w:style w:type="character" w:customStyle="1" w:styleId="highlight">
    <w:name w:val="highlight"/>
    <w:rsid w:val="005B3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11862">
      <w:bodyDiv w:val="1"/>
      <w:marLeft w:val="50"/>
      <w:marRight w:val="50"/>
      <w:marTop w:val="50"/>
      <w:marBottom w:val="13"/>
      <w:divBdr>
        <w:top w:val="none" w:sz="0" w:space="0" w:color="auto"/>
        <w:left w:val="none" w:sz="0" w:space="0" w:color="auto"/>
        <w:bottom w:val="none" w:sz="0" w:space="0" w:color="auto"/>
        <w:right w:val="none" w:sz="0" w:space="0" w:color="auto"/>
      </w:divBdr>
      <w:divsChild>
        <w:div w:id="1614904002">
          <w:marLeft w:val="0"/>
          <w:marRight w:val="0"/>
          <w:marTop w:val="0"/>
          <w:marBottom w:val="0"/>
          <w:divBdr>
            <w:top w:val="none" w:sz="0" w:space="0" w:color="auto"/>
            <w:left w:val="none" w:sz="0" w:space="0" w:color="auto"/>
            <w:bottom w:val="none" w:sz="0" w:space="0" w:color="auto"/>
            <w:right w:val="none" w:sz="0" w:space="0" w:color="auto"/>
          </w:divBdr>
        </w:div>
      </w:divsChild>
    </w:div>
    <w:div w:id="243613065">
      <w:bodyDiv w:val="1"/>
      <w:marLeft w:val="50"/>
      <w:marRight w:val="50"/>
      <w:marTop w:val="50"/>
      <w:marBottom w:val="13"/>
      <w:divBdr>
        <w:top w:val="none" w:sz="0" w:space="0" w:color="auto"/>
        <w:left w:val="none" w:sz="0" w:space="0" w:color="auto"/>
        <w:bottom w:val="none" w:sz="0" w:space="0" w:color="auto"/>
        <w:right w:val="none" w:sz="0" w:space="0" w:color="auto"/>
      </w:divBdr>
    </w:div>
    <w:div w:id="578028285">
      <w:bodyDiv w:val="1"/>
      <w:marLeft w:val="50"/>
      <w:marRight w:val="50"/>
      <w:marTop w:val="50"/>
      <w:marBottom w:val="13"/>
      <w:divBdr>
        <w:top w:val="none" w:sz="0" w:space="0" w:color="auto"/>
        <w:left w:val="none" w:sz="0" w:space="0" w:color="auto"/>
        <w:bottom w:val="none" w:sz="0" w:space="0" w:color="auto"/>
        <w:right w:val="none" w:sz="0" w:space="0" w:color="auto"/>
      </w:divBdr>
    </w:div>
    <w:div w:id="676730068">
      <w:bodyDiv w:val="1"/>
      <w:marLeft w:val="50"/>
      <w:marRight w:val="50"/>
      <w:marTop w:val="50"/>
      <w:marBottom w:val="13"/>
      <w:divBdr>
        <w:top w:val="none" w:sz="0" w:space="0" w:color="auto"/>
        <w:left w:val="none" w:sz="0" w:space="0" w:color="auto"/>
        <w:bottom w:val="none" w:sz="0" w:space="0" w:color="auto"/>
        <w:right w:val="none" w:sz="0" w:space="0" w:color="auto"/>
      </w:divBdr>
      <w:divsChild>
        <w:div w:id="925723456">
          <w:marLeft w:val="0"/>
          <w:marRight w:val="0"/>
          <w:marTop w:val="0"/>
          <w:marBottom w:val="0"/>
          <w:divBdr>
            <w:top w:val="none" w:sz="0" w:space="0" w:color="auto"/>
            <w:left w:val="none" w:sz="0" w:space="0" w:color="auto"/>
            <w:bottom w:val="none" w:sz="0" w:space="0" w:color="auto"/>
            <w:right w:val="none" w:sz="0" w:space="0" w:color="auto"/>
          </w:divBdr>
        </w:div>
      </w:divsChild>
    </w:div>
    <w:div w:id="1225070080">
      <w:bodyDiv w:val="1"/>
      <w:marLeft w:val="50"/>
      <w:marRight w:val="50"/>
      <w:marTop w:val="50"/>
      <w:marBottom w:val="13"/>
      <w:divBdr>
        <w:top w:val="none" w:sz="0" w:space="0" w:color="auto"/>
        <w:left w:val="none" w:sz="0" w:space="0" w:color="auto"/>
        <w:bottom w:val="none" w:sz="0" w:space="0" w:color="auto"/>
        <w:right w:val="none" w:sz="0" w:space="0" w:color="auto"/>
      </w:divBdr>
    </w:div>
    <w:div w:id="1253733845">
      <w:bodyDiv w:val="1"/>
      <w:marLeft w:val="0"/>
      <w:marRight w:val="0"/>
      <w:marTop w:val="0"/>
      <w:marBottom w:val="0"/>
      <w:divBdr>
        <w:top w:val="none" w:sz="0" w:space="0" w:color="auto"/>
        <w:left w:val="none" w:sz="0" w:space="0" w:color="auto"/>
        <w:bottom w:val="none" w:sz="0" w:space="0" w:color="auto"/>
        <w:right w:val="none" w:sz="0" w:space="0" w:color="auto"/>
      </w:divBdr>
    </w:div>
    <w:div w:id="1290011009">
      <w:bodyDiv w:val="1"/>
      <w:marLeft w:val="0"/>
      <w:marRight w:val="0"/>
      <w:marTop w:val="0"/>
      <w:marBottom w:val="0"/>
      <w:divBdr>
        <w:top w:val="none" w:sz="0" w:space="0" w:color="auto"/>
        <w:left w:val="none" w:sz="0" w:space="0" w:color="auto"/>
        <w:bottom w:val="none" w:sz="0" w:space="0" w:color="auto"/>
        <w:right w:val="none" w:sz="0" w:space="0" w:color="auto"/>
      </w:divBdr>
      <w:divsChild>
        <w:div w:id="1078942875">
          <w:marLeft w:val="0"/>
          <w:marRight w:val="0"/>
          <w:marTop w:val="0"/>
          <w:marBottom w:val="0"/>
          <w:divBdr>
            <w:top w:val="none" w:sz="0" w:space="0" w:color="auto"/>
            <w:left w:val="none" w:sz="0" w:space="0" w:color="auto"/>
            <w:bottom w:val="none" w:sz="0" w:space="0" w:color="auto"/>
            <w:right w:val="none" w:sz="0" w:space="0" w:color="auto"/>
          </w:divBdr>
          <w:divsChild>
            <w:div w:id="188575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66212">
      <w:bodyDiv w:val="1"/>
      <w:marLeft w:val="0"/>
      <w:marRight w:val="0"/>
      <w:marTop w:val="0"/>
      <w:marBottom w:val="0"/>
      <w:divBdr>
        <w:top w:val="none" w:sz="0" w:space="0" w:color="auto"/>
        <w:left w:val="none" w:sz="0" w:space="0" w:color="auto"/>
        <w:bottom w:val="none" w:sz="0" w:space="0" w:color="auto"/>
        <w:right w:val="none" w:sz="0" w:space="0" w:color="auto"/>
      </w:divBdr>
      <w:divsChild>
        <w:div w:id="679164424">
          <w:marLeft w:val="0"/>
          <w:marRight w:val="0"/>
          <w:marTop w:val="0"/>
          <w:marBottom w:val="0"/>
          <w:divBdr>
            <w:top w:val="none" w:sz="0" w:space="0" w:color="auto"/>
            <w:left w:val="none" w:sz="0" w:space="0" w:color="auto"/>
            <w:bottom w:val="none" w:sz="0" w:space="0" w:color="auto"/>
            <w:right w:val="none" w:sz="0" w:space="0" w:color="auto"/>
          </w:divBdr>
          <w:divsChild>
            <w:div w:id="105061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357654">
      <w:bodyDiv w:val="1"/>
      <w:marLeft w:val="50"/>
      <w:marRight w:val="50"/>
      <w:marTop w:val="50"/>
      <w:marBottom w:val="13"/>
      <w:divBdr>
        <w:top w:val="none" w:sz="0" w:space="0" w:color="auto"/>
        <w:left w:val="none" w:sz="0" w:space="0" w:color="auto"/>
        <w:bottom w:val="none" w:sz="0" w:space="0" w:color="auto"/>
        <w:right w:val="none" w:sz="0" w:space="0" w:color="auto"/>
      </w:divBdr>
      <w:divsChild>
        <w:div w:id="434058803">
          <w:marLeft w:val="0"/>
          <w:marRight w:val="0"/>
          <w:marTop w:val="0"/>
          <w:marBottom w:val="0"/>
          <w:divBdr>
            <w:top w:val="none" w:sz="0" w:space="0" w:color="auto"/>
            <w:left w:val="none" w:sz="0" w:space="0" w:color="auto"/>
            <w:bottom w:val="none" w:sz="0" w:space="0" w:color="auto"/>
            <w:right w:val="none" w:sz="0" w:space="0" w:color="auto"/>
          </w:divBdr>
        </w:div>
      </w:divsChild>
    </w:div>
    <w:div w:id="1615558389">
      <w:bodyDiv w:val="1"/>
      <w:marLeft w:val="50"/>
      <w:marRight w:val="50"/>
      <w:marTop w:val="50"/>
      <w:marBottom w:val="13"/>
      <w:divBdr>
        <w:top w:val="none" w:sz="0" w:space="0" w:color="auto"/>
        <w:left w:val="none" w:sz="0" w:space="0" w:color="auto"/>
        <w:bottom w:val="none" w:sz="0" w:space="0" w:color="auto"/>
        <w:right w:val="none" w:sz="0" w:space="0" w:color="auto"/>
      </w:divBdr>
      <w:divsChild>
        <w:div w:id="1684437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5910C-8B31-43B9-B313-5103E6C06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2793</Words>
  <Characters>16482</Characters>
  <Application>Microsoft Office Word</Application>
  <DocSecurity>0</DocSecurity>
  <Lines>137</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This publication presents the main results of the „Living Conditions 2010“</vt:lpstr>
    </vt:vector>
  </TitlesOfParts>
  <Company>ČSÚ</Company>
  <LinksUpToDate>false</LinksUpToDate>
  <CharactersWithSpaces>19237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Methodology</dc:title>
  <dc:subject/>
  <dc:creator>Širmer Pavel</dc:creator>
  <cp:keywords/>
  <cp:lastModifiedBy>Širmer Pavel</cp:lastModifiedBy>
  <cp:revision>5</cp:revision>
  <cp:lastPrinted>2021-08-11T09:58:00Z</cp:lastPrinted>
  <dcterms:created xsi:type="dcterms:W3CDTF">2025-09-09T12:30:00Z</dcterms:created>
  <dcterms:modified xsi:type="dcterms:W3CDTF">2025-09-09T12:30:00Z</dcterms:modified>
</cp:coreProperties>
</file>