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5EB9" w14:textId="49871FCF" w:rsidR="0097104F" w:rsidRPr="00794A19" w:rsidRDefault="006E6063" w:rsidP="0097104F">
      <w:pPr>
        <w:pStyle w:val="Nadpis1"/>
        <w:rPr>
          <w:spacing w:val="-3"/>
          <w:lang w:val="en-GB"/>
        </w:rPr>
      </w:pPr>
      <w:r w:rsidRPr="006E6063">
        <w:rPr>
          <w:lang w:val="en-GB"/>
        </w:rPr>
        <w:t>Year-on-year price growth accelerated</w:t>
      </w:r>
    </w:p>
    <w:p w14:paraId="79F5A32A" w14:textId="788A9077" w:rsidR="00CA48C8" w:rsidRPr="00790AB2" w:rsidRDefault="00CA48C8" w:rsidP="0080778F">
      <w:pPr>
        <w:pStyle w:val="Nadpis2"/>
        <w:rPr>
          <w:i/>
          <w:iCs/>
          <w:u w:val="single"/>
          <w:lang w:val="en-GB"/>
        </w:rPr>
      </w:pPr>
      <w:r w:rsidRPr="00790AB2">
        <w:rPr>
          <w:lang w:val="en-GB"/>
        </w:rPr>
        <w:t>Consumer</w:t>
      </w:r>
      <w:r w:rsidR="00D64579" w:rsidRPr="00790AB2">
        <w:rPr>
          <w:lang w:val="en-GB"/>
        </w:rPr>
        <w:t xml:space="preserve"> price indices – inflation – </w:t>
      </w:r>
      <w:r w:rsidR="006E6063">
        <w:rPr>
          <w:lang w:val="en-GB"/>
        </w:rPr>
        <w:t>September</w:t>
      </w:r>
      <w:r w:rsidR="006B4D1D">
        <w:rPr>
          <w:lang w:val="en-GB"/>
        </w:rPr>
        <w:t xml:space="preserve"> 202</w:t>
      </w:r>
      <w:r w:rsidR="00F21BC5">
        <w:rPr>
          <w:lang w:val="en-GB"/>
        </w:rPr>
        <w:t>6</w:t>
      </w:r>
    </w:p>
    <w:p w14:paraId="5F8178CB" w14:textId="7D9B3E2B" w:rsidR="00083E40" w:rsidRPr="006E6063" w:rsidRDefault="006E6063" w:rsidP="00775E7D">
      <w:pPr>
        <w:pStyle w:val="Perex"/>
        <w:rPr>
          <w:b w:val="0"/>
          <w:szCs w:val="20"/>
          <w:lang w:val="en-GB"/>
        </w:rPr>
      </w:pPr>
      <w:r w:rsidRPr="006E6063">
        <w:rPr>
          <w:lang w:val="en-GB"/>
        </w:rPr>
        <w:t xml:space="preserve">Overall consumer price level in September remained the same as in August (month-on-month change 0.0%). Price decrease mainly in </w:t>
      </w:r>
      <w:r w:rsidRPr="006E6063">
        <w:rPr>
          <w:rStyle w:val="tlid-translation"/>
          <w:lang w:val="en-GB"/>
        </w:rPr>
        <w:t>'recreation, sport and culture' and in 'food and non</w:t>
      </w:r>
      <w:r w:rsidRPr="006E6063">
        <w:rPr>
          <w:rStyle w:val="tlid-translation"/>
          <w:lang w:val="en-GB"/>
        </w:rPr>
        <w:noBreakHyphen/>
        <w:t xml:space="preserve">alcoholic beverages' was almost offset by price growth in the remaining divisions of consumer basket. </w:t>
      </w:r>
      <w:r w:rsidRPr="006E6063">
        <w:rPr>
          <w:lang w:val="en-GB"/>
        </w:rPr>
        <w:t xml:space="preserve">The year-on-year growth of consumer prices amounted to 2.5% in September, which was 0.6 percentage points up </w:t>
      </w:r>
      <w:proofErr w:type="gramStart"/>
      <w:r w:rsidRPr="006E6063">
        <w:rPr>
          <w:lang w:val="en-GB"/>
        </w:rPr>
        <w:t>on</w:t>
      </w:r>
      <w:proofErr w:type="gramEnd"/>
      <w:r w:rsidRPr="006E6063">
        <w:rPr>
          <w:lang w:val="en-GB"/>
        </w:rPr>
        <w:t xml:space="preserve"> August.</w:t>
      </w:r>
    </w:p>
    <w:p w14:paraId="0503EB60" w14:textId="5E6D0295" w:rsidR="002B00CB" w:rsidRPr="00EE67D0" w:rsidRDefault="002B00CB" w:rsidP="002B00CB">
      <w:pPr>
        <w:spacing w:after="0"/>
        <w:jc w:val="both"/>
        <w:rPr>
          <w:szCs w:val="20"/>
          <w:lang w:val="en-GB"/>
        </w:rPr>
      </w:pPr>
      <w:r w:rsidRPr="00EE67D0">
        <w:rPr>
          <w:rFonts w:cs="Arial"/>
          <w:b/>
          <w:szCs w:val="20"/>
          <w:lang w:val="en-GB"/>
        </w:rPr>
        <w:t>Month-on-month comparison</w:t>
      </w:r>
    </w:p>
    <w:p w14:paraId="00F31AFD" w14:textId="77777777" w:rsidR="006E6063" w:rsidRPr="006E6063" w:rsidRDefault="006E6063" w:rsidP="006E6063">
      <w:pPr>
        <w:pStyle w:val="Zkladntextodsazen2"/>
        <w:spacing w:after="240" w:line="288" w:lineRule="auto"/>
        <w:ind w:left="0"/>
        <w:rPr>
          <w:rStyle w:val="tlid-translation"/>
          <w:lang w:val="en-GB"/>
        </w:rPr>
      </w:pPr>
      <w:r w:rsidRPr="006E6063">
        <w:rPr>
          <w:rFonts w:cs="Arial"/>
          <w:szCs w:val="20"/>
          <w:lang w:val="en-GB"/>
        </w:rPr>
        <w:t xml:space="preserve">Overall consumer price level in September remained unchanged, month-on-month. However, price development varied in individual divisions of the consumer basket. In </w:t>
      </w:r>
      <w:r w:rsidRPr="006E6063">
        <w:rPr>
          <w:rStyle w:val="tlid-translation"/>
          <w:lang w:val="en-GB"/>
        </w:rPr>
        <w:t xml:space="preserve">'recreation, sport and culture', </w:t>
      </w:r>
      <w:r w:rsidRPr="006E6063">
        <w:rPr>
          <w:rFonts w:cs="Arial"/>
          <w:szCs w:val="20"/>
          <w:lang w:val="en-GB"/>
        </w:rPr>
        <w:t xml:space="preserve">prices of package holidays went down by 20.7% due to the end of summer season. </w:t>
      </w:r>
      <w:r w:rsidRPr="006E6063">
        <w:rPr>
          <w:rStyle w:val="tlid-translation"/>
          <w:lang w:val="en-GB"/>
        </w:rPr>
        <w:t>In 'food and non-alcoholic beverages', the biggest price drop was recorded for bread and bakery products by 1.4%, vegetables by 1.3% (of which prices of potatoes were lower by 7.2%), fruits by 1.3%, cheese by 1.0% and yoghurts by 2.5%. On the other hand, month-on-month price level increase came mainly from price growth</w:t>
      </w:r>
      <w:r w:rsidRPr="006E6063">
        <w:rPr>
          <w:rFonts w:cs="Arial"/>
          <w:szCs w:val="20"/>
          <w:lang w:val="en-GB"/>
        </w:rPr>
        <w:t xml:space="preserve"> in </w:t>
      </w:r>
      <w:r w:rsidRPr="006E6063">
        <w:rPr>
          <w:rStyle w:val="tlid-translation"/>
          <w:lang w:val="en-GB"/>
        </w:rPr>
        <w:t>'transport', where prices of fuels and lubricants for personal transport equipment increased by 8.1%.</w:t>
      </w:r>
      <w:r w:rsidRPr="006E6063">
        <w:rPr>
          <w:rFonts w:cs="Arial"/>
          <w:szCs w:val="20"/>
          <w:lang w:val="en-GB"/>
        </w:rPr>
        <w:t xml:space="preserve"> </w:t>
      </w:r>
      <w:r w:rsidRPr="006E6063">
        <w:rPr>
          <w:rStyle w:val="tlid-translation"/>
          <w:lang w:val="en-GB"/>
        </w:rPr>
        <w:t xml:space="preserve">In 'housing, water, electricity, gas and other fuels', prices of actual rentals increased by 0.4% and solid fuels by 1.4%. In 'information and communication', prices of mobile telephone equipment were higher by 7.7.% and prices of computers, laptops and tablets by 2.2%. Price development in 'alcoholic beverages, tobacco' was influenced by price growth of tobacco products by 0.7% and beer by 1.1%. In food, especially prices of pork were higher by 4.7% and butter by 12.4%. </w:t>
      </w:r>
      <w:r w:rsidRPr="006E6063">
        <w:rPr>
          <w:lang w:val="en-GB"/>
        </w:rPr>
        <w:t>As the new school year started, prices in 'education services' increased by 4.1%. Fees in kindergartens increased by 4.1%, tuition fees at private secondary schools by 6.9%, fees for foreign language learning by 3.9%, fees in schools of art (base level) by 2.8% and fees in after school care centres by 1.5%.</w:t>
      </w:r>
    </w:p>
    <w:p w14:paraId="23FB6188" w14:textId="095F025A" w:rsidR="00580FD8" w:rsidRPr="006E6063" w:rsidRDefault="006E6063" w:rsidP="006E6063">
      <w:pPr>
        <w:pStyle w:val="Zkladntextodsazen2"/>
        <w:spacing w:after="240" w:line="288" w:lineRule="auto"/>
        <w:ind w:left="0"/>
        <w:rPr>
          <w:szCs w:val="20"/>
          <w:lang w:val="en-GB"/>
        </w:rPr>
      </w:pPr>
      <w:r w:rsidRPr="006E6063">
        <w:rPr>
          <w:rStyle w:val="tlid-translation"/>
          <w:lang w:val="en-GB"/>
        </w:rPr>
        <w:t>P</w:t>
      </w:r>
      <w:r w:rsidRPr="006E6063">
        <w:rPr>
          <w:szCs w:val="20"/>
          <w:lang w:val="en-GB"/>
        </w:rPr>
        <w:t>rices of goods in total increased by 0.6%, while prices of services decreased by 0.9%.</w:t>
      </w:r>
    </w:p>
    <w:p w14:paraId="7DD964D6" w14:textId="77777777" w:rsidR="002B00CB" w:rsidRPr="0084047E" w:rsidRDefault="002B00CB" w:rsidP="00790AB2">
      <w:pPr>
        <w:pStyle w:val="Poznmkytext"/>
        <w:spacing w:line="288" w:lineRule="auto"/>
        <w:rPr>
          <w:b/>
          <w:color w:val="auto"/>
          <w:sz w:val="20"/>
          <w:szCs w:val="20"/>
          <w:lang w:val="en-GB"/>
        </w:rPr>
      </w:pPr>
      <w:r w:rsidRPr="0084047E">
        <w:rPr>
          <w:b/>
          <w:color w:val="auto"/>
          <w:sz w:val="20"/>
          <w:szCs w:val="20"/>
          <w:lang w:val="en-GB"/>
        </w:rPr>
        <w:t>Year-on-year comparison</w:t>
      </w:r>
    </w:p>
    <w:p w14:paraId="72BE5343" w14:textId="77777777" w:rsidR="006E6063" w:rsidRPr="006E6063" w:rsidRDefault="006E6063" w:rsidP="006E6063">
      <w:pPr>
        <w:pStyle w:val="Zkladntextodsazen2"/>
        <w:spacing w:after="240" w:line="288" w:lineRule="auto"/>
        <w:ind w:left="0"/>
        <w:rPr>
          <w:rStyle w:val="tlid-translation"/>
          <w:i/>
          <w:lang w:val="en-GB"/>
        </w:rPr>
      </w:pPr>
      <w:r w:rsidRPr="006E6063">
        <w:rPr>
          <w:rStyle w:val="tlid-translation"/>
          <w:lang w:val="en-GB"/>
        </w:rPr>
        <w:t>“</w:t>
      </w:r>
      <w:r w:rsidRPr="006E6063">
        <w:rPr>
          <w:rStyle w:val="tlid-translation"/>
          <w:i/>
          <w:lang w:val="en-GB"/>
        </w:rPr>
        <w:t>Consumer prices accelerated their year-on-year growth for the third consecutive month and amounted to 2.5% in September. This acceleration was again significantly influenced by prices of fuels,</w:t>
      </w:r>
      <w:r w:rsidRPr="006E6063">
        <w:rPr>
          <w:rFonts w:cs="Arial"/>
          <w:i/>
          <w:szCs w:val="20"/>
          <w:lang w:val="en-GB"/>
        </w:rPr>
        <w:t>”</w:t>
      </w:r>
      <w:r w:rsidRPr="006E6063">
        <w:rPr>
          <w:rFonts w:cs="Arial"/>
          <w:szCs w:val="20"/>
          <w:lang w:val="en-GB"/>
        </w:rPr>
        <w:t xml:space="preserve"> </w:t>
      </w:r>
      <w:r w:rsidRPr="006E6063">
        <w:rPr>
          <w:rStyle w:val="tlid-translation"/>
          <w:lang w:val="en-GB"/>
        </w:rPr>
        <w:t xml:space="preserve">noted Pavla </w:t>
      </w:r>
      <w:proofErr w:type="spellStart"/>
      <w:r w:rsidRPr="006E6063">
        <w:rPr>
          <w:rStyle w:val="tlid-translation"/>
          <w:lang w:val="en-GB"/>
        </w:rPr>
        <w:t>Sediva</w:t>
      </w:r>
      <w:proofErr w:type="spellEnd"/>
      <w:r w:rsidRPr="006E6063">
        <w:rPr>
          <w:rStyle w:val="tlid-translation"/>
          <w:lang w:val="en-GB"/>
        </w:rPr>
        <w:t>, head of Consumer Price Statistics Unit of CZSO.</w:t>
      </w:r>
    </w:p>
    <w:p w14:paraId="0A8D2C60" w14:textId="77777777" w:rsidR="006E6063" w:rsidRPr="006E6063" w:rsidRDefault="006E6063" w:rsidP="006E6063">
      <w:pPr>
        <w:jc w:val="both"/>
        <w:rPr>
          <w:rStyle w:val="tlid-translation"/>
          <w:lang w:val="en-GB"/>
        </w:rPr>
      </w:pPr>
      <w:r w:rsidRPr="006E6063">
        <w:rPr>
          <w:rStyle w:val="tlid-translation"/>
          <w:lang w:val="en-GB"/>
        </w:rPr>
        <w:t xml:space="preserve">Year-on-year growth of consumer prices in September was higher by 0.6 percentage points than in August, which came mainly from the </w:t>
      </w:r>
      <w:r w:rsidRPr="006E6063">
        <w:rPr>
          <w:rStyle w:val="tlid-translation"/>
          <w:b/>
          <w:bCs/>
          <w:lang w:val="en-GB"/>
        </w:rPr>
        <w:t>acceleration</w:t>
      </w:r>
      <w:r w:rsidRPr="006E6063">
        <w:rPr>
          <w:rStyle w:val="Znakapoznpodarou"/>
          <w:lang w:val="en-GB"/>
        </w:rPr>
        <w:footnoteReference w:id="1"/>
      </w:r>
      <w:r w:rsidRPr="006E6063">
        <w:rPr>
          <w:rStyle w:val="tlid-translation"/>
          <w:vertAlign w:val="superscript"/>
          <w:lang w:val="en-GB"/>
        </w:rPr>
        <w:t>)</w:t>
      </w:r>
      <w:r w:rsidRPr="006E6063">
        <w:rPr>
          <w:rStyle w:val="tlid-translation"/>
          <w:lang w:val="en-GB"/>
        </w:rPr>
        <w:t xml:space="preserve"> of price growth in 'transport' and slowdown of price decrease in 'food and non-alcoholic beverages'. In 'transport', especially prices of fuels and lubricants for personal transport equipment were higher by 37.5% (growth by 26.2% in August). In 'food and non-alcoholic beverages', prices of pork in September decreased by 15.5%, year-on-year (decrease by 23.7% in August), UHT semi-skimmed milk by 20.0% (decrease by 24.6% in August). Prices of vegetables accelerated their growth to 8.1% in September (increase by 5.1% in August).</w:t>
      </w:r>
    </w:p>
    <w:p w14:paraId="64EC1C3D" w14:textId="77777777" w:rsidR="006E6063" w:rsidRPr="006E6063" w:rsidRDefault="006E6063" w:rsidP="006E6063">
      <w:pPr>
        <w:jc w:val="both"/>
        <w:rPr>
          <w:rStyle w:val="tlid-translation"/>
          <w:lang w:val="en-GB"/>
        </w:rPr>
      </w:pPr>
      <w:r w:rsidRPr="006E6063">
        <w:rPr>
          <w:rFonts w:cs="Arial"/>
          <w:lang w:val="en-GB"/>
        </w:rPr>
        <w:t xml:space="preserve">The biggest influence on </w:t>
      </w:r>
      <w:r w:rsidRPr="006E6063">
        <w:rPr>
          <w:rFonts w:cs="Arial"/>
          <w:b/>
          <w:lang w:val="en-GB"/>
        </w:rPr>
        <w:t>the growth of the year-on-year price level</w:t>
      </w:r>
      <w:r w:rsidRPr="006E6063">
        <w:rPr>
          <w:rFonts w:cs="Arial"/>
          <w:lang w:val="en-GB"/>
        </w:rPr>
        <w:t xml:space="preserve"> in September came from</w:t>
      </w:r>
      <w:r w:rsidRPr="006E6063">
        <w:rPr>
          <w:rStyle w:val="tlid-translation"/>
          <w:lang w:val="en-GB"/>
        </w:rPr>
        <w:t xml:space="preserve"> </w:t>
      </w:r>
      <w:r w:rsidRPr="006E6063">
        <w:rPr>
          <w:rFonts w:cs="Arial"/>
          <w:lang w:val="en-GB"/>
        </w:rPr>
        <w:t xml:space="preserve">prices in </w:t>
      </w:r>
      <w:r w:rsidRPr="006E6063">
        <w:rPr>
          <w:rStyle w:val="tlid-translation"/>
          <w:lang w:val="en-GB"/>
        </w:rPr>
        <w:t>'transport' mentioned above (increase by 13.2%). They were followed by prices in 'housing, water, electricity, gas and other fuels', where beside owner occupied housing costs prices of actual rentals</w:t>
      </w:r>
      <w:r w:rsidRPr="006E6063">
        <w:rPr>
          <w:rStyle w:val="Znakapoznpodarou"/>
          <w:lang w:val="en-GB"/>
        </w:rPr>
        <w:footnoteReference w:id="2"/>
      </w:r>
      <w:r w:rsidRPr="006E6063">
        <w:rPr>
          <w:rStyle w:val="tlid-translation"/>
          <w:vertAlign w:val="superscript"/>
          <w:lang w:val="en-GB"/>
        </w:rPr>
        <w:t>)</w:t>
      </w:r>
      <w:r w:rsidRPr="006E6063">
        <w:rPr>
          <w:rStyle w:val="tlid-translation"/>
          <w:lang w:val="en-GB"/>
        </w:rPr>
        <w:t xml:space="preserve"> were higher by 6.1%, materials and services for the maintenance and repairs of the dwelling by 5.1%, water supply </w:t>
      </w:r>
      <w:r w:rsidRPr="006E6063">
        <w:rPr>
          <w:rStyle w:val="tlid-translation"/>
          <w:lang w:val="en-GB"/>
        </w:rPr>
        <w:lastRenderedPageBreak/>
        <w:t xml:space="preserve">by 3.9%, sewage collection by 3.8% and heat and hot water by 1.6%. Prices of electricity decreased by 10.6% and natural gas by 4.0%, year-on-year. In 'alcoholic beverages, tobacco', prices of spirits and liquors were higher by 1.2%, wine by 1.4%, beer by 2.0% and tobacco products by 7.1%. In 'restaurants and accommodation services', prices of food and beverage serving services were higher by 3.8% and accommodation services </w:t>
      </w:r>
      <w:r w:rsidRPr="006E6063">
        <w:rPr>
          <w:lang w:val="en-GB"/>
        </w:rPr>
        <w:t xml:space="preserve">by 7.0%. </w:t>
      </w:r>
      <w:r w:rsidRPr="006E6063">
        <w:rPr>
          <w:rStyle w:val="tlid-translation"/>
          <w:lang w:val="en-GB"/>
        </w:rPr>
        <w:t>On the other hand, year-on-year overall price level decrease in September came mainly from prices in 'food and non-alcoholic beverages'. Here, beside already mentioned above, prices of eggs decreased by 12.6%, butter by 37.3% and margarine and similar preparations by 10.3%. Price drop continued in 'clothing and footwear', where prices of garments were lower by 2.7% and prices of shoes and other footwear by 5.0%.</w:t>
      </w:r>
    </w:p>
    <w:p w14:paraId="5104474C" w14:textId="77777777" w:rsidR="006E6063" w:rsidRPr="006E6063" w:rsidRDefault="006E6063" w:rsidP="006E6063">
      <w:pPr>
        <w:jc w:val="both"/>
        <w:rPr>
          <w:rFonts w:cs="Arial"/>
          <w:lang w:val="en-GB"/>
        </w:rPr>
      </w:pPr>
      <w:r w:rsidRPr="006E6063">
        <w:rPr>
          <w:rFonts w:cs="Arial"/>
          <w:lang w:val="en-GB"/>
        </w:rPr>
        <w:t xml:space="preserve">Owner occupied housing costs (imputed rentals) increased by 5.1%, year-on-year (by 5.4% in August), mainly due to growth of prices of construction works </w:t>
      </w:r>
      <w:proofErr w:type="gramStart"/>
      <w:r w:rsidRPr="006E6063">
        <w:rPr>
          <w:rFonts w:cs="Arial"/>
          <w:lang w:val="en-GB"/>
        </w:rPr>
        <w:t>and also</w:t>
      </w:r>
      <w:proofErr w:type="gramEnd"/>
      <w:r w:rsidRPr="006E6063">
        <w:rPr>
          <w:rFonts w:cs="Arial"/>
          <w:lang w:val="en-GB"/>
        </w:rPr>
        <w:t xml:space="preserve"> prices of new real estates. The overall consumer price index excluding owner occupied housing costs was 102.2%, year-on-year. (More information: </w:t>
      </w:r>
      <w:hyperlink r:id="rId8" w:history="1">
        <w:r w:rsidRPr="006E6063">
          <w:rPr>
            <w:rStyle w:val="Hypertextovodkaz"/>
            <w:rFonts w:cs="Arial"/>
            <w:lang w:val="en-GB"/>
          </w:rPr>
          <w:t>Methodological note</w:t>
        </w:r>
      </w:hyperlink>
      <w:r w:rsidRPr="006E6063">
        <w:rPr>
          <w:rFonts w:cs="Arial"/>
          <w:lang w:val="en-GB"/>
        </w:rPr>
        <w:t>.)</w:t>
      </w:r>
    </w:p>
    <w:p w14:paraId="2C30011B" w14:textId="77777777" w:rsidR="006E6063" w:rsidRPr="006E6063" w:rsidRDefault="006E6063" w:rsidP="006E6063">
      <w:pPr>
        <w:pStyle w:val="Zkladntextodsazen2"/>
        <w:spacing w:after="240" w:line="288" w:lineRule="auto"/>
        <w:ind w:left="0"/>
        <w:rPr>
          <w:lang w:val="en-GB"/>
        </w:rPr>
      </w:pPr>
      <w:r w:rsidRPr="006E6063">
        <w:rPr>
          <w:rStyle w:val="tlid-translation"/>
          <w:lang w:val="en-GB"/>
        </w:rPr>
        <w:t>P</w:t>
      </w:r>
      <w:r w:rsidRPr="006E6063">
        <w:rPr>
          <w:szCs w:val="20"/>
          <w:lang w:val="en-GB"/>
        </w:rPr>
        <w:t>rices of goods in total increased by 1.2% and prices of services by 4.6%.</w:t>
      </w:r>
    </w:p>
    <w:p w14:paraId="48A7421F" w14:textId="77777777" w:rsidR="006E6063" w:rsidRPr="006E6063" w:rsidRDefault="006E6063" w:rsidP="006E6063">
      <w:pPr>
        <w:jc w:val="both"/>
        <w:rPr>
          <w:rFonts w:cs="Arial"/>
          <w:lang w:val="en-GB"/>
        </w:rPr>
      </w:pPr>
      <w:r w:rsidRPr="006E6063">
        <w:rPr>
          <w:rFonts w:cs="Arial"/>
          <w:lang w:val="en-GB"/>
        </w:rPr>
        <w:t>Level of consumer price base index with base period the average of 2025 = 100, was 102.6% in September (102.6% also in August).</w:t>
      </w:r>
    </w:p>
    <w:p w14:paraId="39357DB9" w14:textId="53A08CE2" w:rsidR="007212AF" w:rsidRPr="006E6063" w:rsidRDefault="006E6063" w:rsidP="006E6063">
      <w:pPr>
        <w:jc w:val="both"/>
        <w:rPr>
          <w:rStyle w:val="tlid-translation"/>
          <w:rFonts w:cs="Arial"/>
          <w:szCs w:val="20"/>
          <w:lang w:val="en-GB"/>
        </w:rPr>
      </w:pPr>
      <w:r w:rsidRPr="006E6063">
        <w:rPr>
          <w:rFonts w:cs="Arial"/>
          <w:lang w:val="en-GB"/>
        </w:rPr>
        <w:t>Inflation rate, i.e. the increase in the average consumer price index in the twelve months to September 2026 compared with the average CPI in the previous twelve months, amounted to 2.0% (2.0% also in August).</w:t>
      </w:r>
    </w:p>
    <w:p w14:paraId="5424EE1C" w14:textId="77777777" w:rsidR="0007671B" w:rsidRPr="003E40A8" w:rsidRDefault="0007671B" w:rsidP="00A460A9">
      <w:pPr>
        <w:contextualSpacing/>
        <w:jc w:val="both"/>
        <w:rPr>
          <w:rFonts w:cs="Arial"/>
          <w:b/>
          <w:szCs w:val="20"/>
          <w:lang w:val="en-GB"/>
        </w:rPr>
      </w:pPr>
      <w:r w:rsidRPr="003E40A8">
        <w:rPr>
          <w:rFonts w:cs="Arial"/>
          <w:b/>
          <w:szCs w:val="20"/>
          <w:lang w:val="en-GB"/>
        </w:rPr>
        <w:t>Harmonized index of consumer prices (HICP)</w:t>
      </w:r>
      <w:r w:rsidRPr="003E40A8">
        <w:rPr>
          <w:rStyle w:val="Znakapoznpodarou"/>
          <w:rFonts w:cs="Arial"/>
          <w:szCs w:val="20"/>
          <w:lang w:val="en-GB"/>
        </w:rPr>
        <w:t xml:space="preserve"> </w:t>
      </w:r>
      <w:r w:rsidRPr="003E40A8">
        <w:rPr>
          <w:rStyle w:val="Znakapoznpodarou"/>
          <w:rFonts w:cs="Arial"/>
          <w:szCs w:val="20"/>
          <w:lang w:val="en-GB"/>
        </w:rPr>
        <w:footnoteReference w:id="3"/>
      </w:r>
      <w:r w:rsidRPr="003E40A8">
        <w:rPr>
          <w:rFonts w:cs="Arial"/>
          <w:szCs w:val="20"/>
          <w:vertAlign w:val="superscript"/>
          <w:lang w:val="en-GB"/>
        </w:rPr>
        <w:t>)</w:t>
      </w:r>
    </w:p>
    <w:p w14:paraId="0AF9A02B" w14:textId="77777777" w:rsidR="006E6063" w:rsidRPr="006E6063" w:rsidRDefault="006E6063" w:rsidP="006E6063">
      <w:pPr>
        <w:jc w:val="both"/>
        <w:rPr>
          <w:rFonts w:cs="Arial"/>
          <w:lang w:val="en-GB"/>
        </w:rPr>
      </w:pPr>
      <w:r w:rsidRPr="006E6063">
        <w:rPr>
          <w:lang w:val="en-GB"/>
        </w:rPr>
        <w:t xml:space="preserve">According to preliminary calculations, the HICP in Czechia </w:t>
      </w:r>
      <w:r w:rsidRPr="006E6063">
        <w:rPr>
          <w:b/>
          <w:bCs/>
          <w:lang w:val="en-GB"/>
        </w:rPr>
        <w:t>in September</w:t>
      </w:r>
      <w:r w:rsidRPr="006E6063">
        <w:rPr>
          <w:bCs/>
          <w:lang w:val="en-GB"/>
        </w:rPr>
        <w:t xml:space="preserve"> decreased by 0.1%, </w:t>
      </w:r>
      <w:r w:rsidRPr="006E6063">
        <w:rPr>
          <w:b/>
          <w:bCs/>
          <w:lang w:val="en-GB"/>
        </w:rPr>
        <w:t>month-on-month</w:t>
      </w:r>
      <w:r w:rsidRPr="006E6063">
        <w:rPr>
          <w:lang w:val="en-GB"/>
        </w:rPr>
        <w:t xml:space="preserve"> and increased by 2.2% (1.5% in August), </w:t>
      </w:r>
      <w:r w:rsidRPr="006E6063">
        <w:rPr>
          <w:b/>
          <w:bCs/>
          <w:lang w:val="en-GB"/>
        </w:rPr>
        <w:t>year-on-year</w:t>
      </w:r>
      <w:r w:rsidRPr="006E6063">
        <w:rPr>
          <w:lang w:val="en-GB"/>
        </w:rPr>
        <w:t xml:space="preserve">. According to flash estimates of Eurostat, </w:t>
      </w:r>
      <w:r w:rsidRPr="006E6063">
        <w:rPr>
          <w:b/>
          <w:lang w:val="en-GB"/>
        </w:rPr>
        <w:t>the</w:t>
      </w:r>
      <w:r w:rsidRPr="006E6063">
        <w:rPr>
          <w:rFonts w:cs="Arial"/>
          <w:b/>
          <w:lang w:val="en-GB"/>
        </w:rPr>
        <w:t xml:space="preserve"> MUICP</w:t>
      </w:r>
      <w:r w:rsidRPr="006E6063">
        <w:rPr>
          <w:rFonts w:cs="Arial"/>
          <w:lang w:val="en-GB"/>
        </w:rPr>
        <w:t xml:space="preserve"> (Monetary Union Index of Consumer Prices) </w:t>
      </w:r>
      <w:r w:rsidRPr="006E6063">
        <w:rPr>
          <w:rFonts w:cs="Arial"/>
          <w:b/>
          <w:lang w:val="en-GB"/>
        </w:rPr>
        <w:t>in September 2026</w:t>
      </w:r>
      <w:r w:rsidRPr="006E6063">
        <w:rPr>
          <w:rFonts w:cs="Arial"/>
          <w:lang w:val="en-GB"/>
        </w:rPr>
        <w:t xml:space="preserve"> amounted to 3.8%, year-on-year (3.2% in August), 3.3% in Germany and 3.1% in Slovakia. It was the highest in Lithuania (6.1%) in September and the lowest in Malta (0.3%).</w:t>
      </w:r>
    </w:p>
    <w:p w14:paraId="25824D57" w14:textId="77777777" w:rsidR="006E6063" w:rsidRPr="006E6063" w:rsidRDefault="006E6063" w:rsidP="006E6063">
      <w:pPr>
        <w:jc w:val="both"/>
        <w:rPr>
          <w:rFonts w:cs="Arial"/>
          <w:lang w:val="en-GB"/>
        </w:rPr>
      </w:pPr>
      <w:r w:rsidRPr="006E6063">
        <w:rPr>
          <w:rFonts w:cs="Arial"/>
          <w:lang w:val="en-GB"/>
        </w:rPr>
        <w:t xml:space="preserve">According to preliminary data of Eurostat, the </w:t>
      </w:r>
      <w:r w:rsidRPr="006E6063">
        <w:rPr>
          <w:rFonts w:cs="Arial"/>
          <w:b/>
          <w:lang w:val="en-GB"/>
        </w:rPr>
        <w:t>year-on-year</w:t>
      </w:r>
      <w:r w:rsidRPr="006E6063">
        <w:rPr>
          <w:rFonts w:cs="Arial"/>
          <w:lang w:val="en-GB"/>
        </w:rPr>
        <w:t xml:space="preserve"> change in the average </w:t>
      </w:r>
      <w:r w:rsidRPr="006E6063">
        <w:rPr>
          <w:rFonts w:cs="Arial"/>
          <w:b/>
          <w:lang w:val="en-GB"/>
        </w:rPr>
        <w:t>harmonized index of consumer prices</w:t>
      </w:r>
      <w:r w:rsidRPr="006E6063">
        <w:rPr>
          <w:rFonts w:cs="Arial"/>
          <w:lang w:val="en-GB"/>
        </w:rPr>
        <w:t xml:space="preserve"> (HICP) in the </w:t>
      </w:r>
      <w:r w:rsidRPr="006E6063">
        <w:rPr>
          <w:rFonts w:cs="Arial"/>
          <w:b/>
          <w:lang w:val="en-GB"/>
        </w:rPr>
        <w:t>EU27 member states</w:t>
      </w:r>
      <w:r w:rsidRPr="006E6063">
        <w:rPr>
          <w:rFonts w:cs="Arial"/>
          <w:lang w:val="en-GB"/>
        </w:rPr>
        <w:t xml:space="preserve"> amounted to 3.2% </w:t>
      </w:r>
      <w:r w:rsidRPr="006E6063">
        <w:rPr>
          <w:rStyle w:val="tlid-translation"/>
          <w:b/>
          <w:lang w:val="en-GB"/>
        </w:rPr>
        <w:t xml:space="preserve">in August </w:t>
      </w:r>
      <w:r w:rsidRPr="006E6063">
        <w:rPr>
          <w:rStyle w:val="tlid-translation"/>
          <w:lang w:val="en-GB"/>
        </w:rPr>
        <w:t xml:space="preserve">(0.2 percentage point up </w:t>
      </w:r>
      <w:proofErr w:type="gramStart"/>
      <w:r w:rsidRPr="006E6063">
        <w:rPr>
          <w:rStyle w:val="tlid-translation"/>
          <w:lang w:val="en-GB"/>
        </w:rPr>
        <w:t>on</w:t>
      </w:r>
      <w:proofErr w:type="gramEnd"/>
      <w:r w:rsidRPr="006E6063">
        <w:rPr>
          <w:rStyle w:val="tlid-translation"/>
          <w:lang w:val="en-GB"/>
        </w:rPr>
        <w:t xml:space="preserve"> July). In August, t</w:t>
      </w:r>
      <w:r w:rsidRPr="006E6063">
        <w:rPr>
          <w:rFonts w:cs="Arial"/>
          <w:lang w:val="en-GB"/>
        </w:rPr>
        <w:t>he rise in prices was the highest in Romania (6.3%) and the lowest in Sweden (0.3%).</w:t>
      </w:r>
    </w:p>
    <w:p w14:paraId="135CEAB2" w14:textId="12DDD388" w:rsidR="002F5415" w:rsidRPr="006E6063" w:rsidRDefault="006E6063" w:rsidP="006E6063">
      <w:pPr>
        <w:jc w:val="both"/>
        <w:rPr>
          <w:b/>
          <w:bCs/>
          <w:lang w:val="en-GB"/>
        </w:rPr>
      </w:pPr>
      <w:r w:rsidRPr="006E6063">
        <w:rPr>
          <w:rFonts w:cs="Arial"/>
          <w:lang w:val="en-GB"/>
        </w:rPr>
        <w:t xml:space="preserve">(More information on the Eurostat’s web pages: </w:t>
      </w:r>
      <w:hyperlink r:id="rId9" w:history="1">
        <w:r w:rsidRPr="006E6063">
          <w:rPr>
            <w:rStyle w:val="Hypertextovodkaz"/>
            <w:rFonts w:cs="Arial"/>
            <w:b/>
            <w:lang w:val="en-GB"/>
          </w:rPr>
          <w:t>HICP</w:t>
        </w:r>
      </w:hyperlink>
      <w:r w:rsidRPr="006E6063">
        <w:rPr>
          <w:lang w:val="en-GB"/>
        </w:rPr>
        <w:t>.</w:t>
      </w:r>
      <w:r w:rsidRPr="006E6063">
        <w:rPr>
          <w:rFonts w:cs="Arial"/>
          <w:lang w:val="en-GB"/>
        </w:rPr>
        <w:t>)</w:t>
      </w:r>
    </w:p>
    <w:sectPr w:rsidR="002F5415" w:rsidRPr="006E6063" w:rsidSect="00D64579">
      <w:headerReference w:type="even" r:id="rId10"/>
      <w:headerReference w:type="default" r:id="rId11"/>
      <w:footerReference w:type="even" r:id="rId12"/>
      <w:footerReference w:type="default" r:id="rId13"/>
      <w:pgSz w:w="11906" w:h="16838" w:code="9"/>
      <w:pgMar w:top="1134" w:right="1134" w:bottom="1418" w:left="1134"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0D31D" w14:textId="77777777" w:rsidR="00951AAC" w:rsidRDefault="00951AAC" w:rsidP="00E71A58">
      <w:r>
        <w:separator/>
      </w:r>
    </w:p>
  </w:endnote>
  <w:endnote w:type="continuationSeparator" w:id="0">
    <w:p w14:paraId="74F71C56" w14:textId="77777777" w:rsidR="00951AAC" w:rsidRDefault="00951AAC"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1CBC" w14:textId="77777777" w:rsidR="00F943EC" w:rsidRPr="00F1639F" w:rsidRDefault="00F943EC" w:rsidP="00A418BC">
    <w:pPr>
      <w:pStyle w:val="Zpat"/>
      <w:rPr>
        <w:szCs w:val="16"/>
      </w:rPr>
    </w:pPr>
    <w:r w:rsidRPr="00F1639F">
      <w:rPr>
        <w:szCs w:val="16"/>
      </w:rPr>
      <w:tab/>
    </w:r>
    <w:r>
      <w:rPr>
        <w:szCs w:val="16"/>
      </w:rPr>
      <w:t>leden 2017</w:t>
    </w:r>
    <w:r w:rsidRPr="00F1639F">
      <w:rPr>
        <w:szCs w:val="16"/>
      </w:rPr>
      <w:t xml:space="preserve"> / </w:t>
    </w:r>
    <w:r>
      <w:rPr>
        <w:i/>
        <w:szCs w:val="16"/>
      </w:rPr>
      <w:t>January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CDE40" w14:textId="0509BAEB" w:rsidR="00F943EC" w:rsidRPr="009115CD" w:rsidRDefault="00F943EC" w:rsidP="00A418BC">
    <w:pPr>
      <w:pStyle w:val="Zpat"/>
      <w:rPr>
        <w:i/>
        <w:szCs w:val="16"/>
      </w:rPr>
    </w:pPr>
    <w:r w:rsidRPr="00F1639F">
      <w:rPr>
        <w:szCs w:val="16"/>
      </w:rPr>
      <w:tab/>
    </w:r>
    <w:r w:rsidR="00AC6F4A">
      <w:rPr>
        <w:szCs w:val="16"/>
      </w:rPr>
      <w:t>září</w:t>
    </w:r>
    <w:r>
      <w:rPr>
        <w:rStyle w:val="ZpatChar"/>
        <w:szCs w:val="16"/>
      </w:rPr>
      <w:t xml:space="preserve"> 20</w:t>
    </w:r>
    <w:r w:rsidR="00FB3C77">
      <w:rPr>
        <w:rStyle w:val="ZpatChar"/>
        <w:szCs w:val="16"/>
      </w:rPr>
      <w:t>2</w:t>
    </w:r>
    <w:r w:rsidR="00F21BC5">
      <w:rPr>
        <w:rStyle w:val="ZpatChar"/>
        <w:szCs w:val="16"/>
      </w:rPr>
      <w:t>6</w:t>
    </w:r>
    <w:r w:rsidRPr="00F1639F">
      <w:rPr>
        <w:rStyle w:val="ZpatChar"/>
        <w:szCs w:val="16"/>
      </w:rPr>
      <w:t xml:space="preserve"> / </w:t>
    </w:r>
    <w:r w:rsidR="00AC6F4A">
      <w:rPr>
        <w:rStyle w:val="ZpatChar"/>
        <w:i/>
        <w:szCs w:val="16"/>
      </w:rPr>
      <w:t>September</w:t>
    </w:r>
    <w:r w:rsidR="009115CD">
      <w:rPr>
        <w:rStyle w:val="ZpatChar"/>
        <w:i/>
        <w:szCs w:val="16"/>
      </w:rPr>
      <w:t xml:space="preserve"> 202</w:t>
    </w:r>
    <w:r w:rsidR="00F21BC5">
      <w:rPr>
        <w:rStyle w:val="ZpatChar"/>
        <w:i/>
        <w:szCs w:val="16"/>
      </w:rPr>
      <w:t>6</w:t>
    </w:r>
    <w:r w:rsidRPr="00F1639F">
      <w:rPr>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025C" w14:textId="77777777" w:rsidR="00951AAC" w:rsidRDefault="00951AAC" w:rsidP="00E71A58">
      <w:r>
        <w:separator/>
      </w:r>
    </w:p>
  </w:footnote>
  <w:footnote w:type="continuationSeparator" w:id="0">
    <w:p w14:paraId="3B5EFA27" w14:textId="77777777" w:rsidR="00951AAC" w:rsidRDefault="00951AAC" w:rsidP="00E71A58">
      <w:r>
        <w:continuationSeparator/>
      </w:r>
    </w:p>
  </w:footnote>
  <w:footnote w:id="1">
    <w:p w14:paraId="514989F9" w14:textId="77777777" w:rsidR="006E6063" w:rsidRPr="006E6063" w:rsidRDefault="006E6063" w:rsidP="006E6063">
      <w:pPr>
        <w:pStyle w:val="Poznmky"/>
        <w:pBdr>
          <w:top w:val="none" w:sz="0" w:space="0" w:color="auto"/>
        </w:pBdr>
        <w:spacing w:line="288" w:lineRule="auto"/>
        <w:jc w:val="both"/>
        <w:rPr>
          <w:rFonts w:ascii="Arial" w:eastAsia="Times New Roman" w:hAnsi="Arial" w:cs="Arial"/>
          <w:iCs/>
          <w:kern w:val="0"/>
          <w:szCs w:val="18"/>
          <w:lang w:val="en-GB" w:eastAsia="cs-CZ"/>
        </w:rPr>
      </w:pPr>
      <w:r w:rsidRPr="006E6063">
        <w:rPr>
          <w:rFonts w:ascii="Arial" w:eastAsia="Times New Roman" w:hAnsi="Arial" w:cs="Arial"/>
          <w:i w:val="0"/>
          <w:iCs/>
          <w:kern w:val="0"/>
          <w:sz w:val="20"/>
          <w:vertAlign w:val="superscript"/>
          <w:lang w:val="en-GB" w:eastAsia="cs-CZ"/>
        </w:rPr>
        <w:footnoteRef/>
      </w:r>
      <w:r w:rsidRPr="006E6063">
        <w:rPr>
          <w:rFonts w:ascii="Arial" w:eastAsia="Times New Roman" w:hAnsi="Arial" w:cs="Arial"/>
          <w:i w:val="0"/>
          <w:iCs/>
          <w:kern w:val="0"/>
          <w:sz w:val="20"/>
          <w:vertAlign w:val="superscript"/>
          <w:lang w:val="en-GB" w:eastAsia="cs-CZ"/>
        </w:rPr>
        <w:t>)</w:t>
      </w:r>
      <w:r w:rsidRPr="006E6063">
        <w:rPr>
          <w:rFonts w:ascii="Arial" w:eastAsia="Times New Roman" w:hAnsi="Arial" w:cs="Arial"/>
          <w:iCs/>
          <w:kern w:val="0"/>
          <w:szCs w:val="18"/>
          <w:lang w:val="en-GB" w:eastAsia="cs-CZ"/>
        </w:rPr>
        <w:t xml:space="preserve"> Acceleration/slowdown of the year-on-year price index growth is difference between current and previous year-on-year index. It therefore depends on the change of current month-on-month index </w:t>
      </w:r>
      <w:proofErr w:type="gramStart"/>
      <w:r w:rsidRPr="006E6063">
        <w:rPr>
          <w:rFonts w:ascii="Arial" w:eastAsia="Times New Roman" w:hAnsi="Arial" w:cs="Arial"/>
          <w:iCs/>
          <w:kern w:val="0"/>
          <w:szCs w:val="18"/>
          <w:lang w:val="en-GB" w:eastAsia="cs-CZ"/>
        </w:rPr>
        <w:t>and also</w:t>
      </w:r>
      <w:proofErr w:type="gramEnd"/>
      <w:r w:rsidRPr="006E6063">
        <w:rPr>
          <w:rFonts w:ascii="Arial" w:eastAsia="Times New Roman" w:hAnsi="Arial" w:cs="Arial"/>
          <w:iCs/>
          <w:kern w:val="0"/>
          <w:szCs w:val="18"/>
          <w:lang w:val="en-GB" w:eastAsia="cs-CZ"/>
        </w:rPr>
        <w:t xml:space="preserve"> on the change of base – month-on-month index (growth/decrease) in the same month of the last year.</w:t>
      </w:r>
    </w:p>
  </w:footnote>
  <w:footnote w:id="2">
    <w:p w14:paraId="0D3F076D" w14:textId="77777777" w:rsidR="006E6063" w:rsidRPr="006E6063" w:rsidRDefault="006E6063" w:rsidP="006E6063">
      <w:pPr>
        <w:pStyle w:val="Poznmky"/>
        <w:pBdr>
          <w:top w:val="none" w:sz="0" w:space="0" w:color="auto"/>
        </w:pBdr>
        <w:spacing w:line="288" w:lineRule="auto"/>
        <w:jc w:val="both"/>
        <w:rPr>
          <w:rFonts w:ascii="Arial" w:eastAsia="Times New Roman" w:hAnsi="Arial" w:cs="Arial"/>
          <w:iCs/>
          <w:kern w:val="0"/>
          <w:szCs w:val="18"/>
          <w:lang w:val="en-GB" w:eastAsia="cs-CZ"/>
        </w:rPr>
      </w:pPr>
      <w:r w:rsidRPr="006E6063">
        <w:rPr>
          <w:rFonts w:ascii="Arial" w:eastAsia="Times New Roman" w:hAnsi="Arial" w:cs="Arial"/>
          <w:i w:val="0"/>
          <w:iCs/>
          <w:kern w:val="0"/>
          <w:sz w:val="20"/>
          <w:vertAlign w:val="superscript"/>
          <w:lang w:val="en-GB" w:eastAsia="cs-CZ"/>
        </w:rPr>
        <w:footnoteRef/>
      </w:r>
      <w:r w:rsidRPr="006E6063">
        <w:rPr>
          <w:rFonts w:ascii="Arial" w:eastAsia="Times New Roman" w:hAnsi="Arial" w:cs="Arial"/>
          <w:i w:val="0"/>
          <w:iCs/>
          <w:kern w:val="0"/>
          <w:sz w:val="20"/>
          <w:vertAlign w:val="superscript"/>
          <w:lang w:val="en-GB" w:eastAsia="cs-CZ"/>
        </w:rPr>
        <w:t>)</w:t>
      </w:r>
      <w:r w:rsidRPr="006E6063">
        <w:rPr>
          <w:rFonts w:ascii="Arial" w:eastAsia="Times New Roman" w:hAnsi="Arial" w:cs="Arial"/>
          <w:iCs/>
          <w:kern w:val="0"/>
          <w:szCs w:val="18"/>
          <w:lang w:val="en-GB" w:eastAsia="cs-CZ"/>
        </w:rPr>
        <w:t xml:space="preserve"> Actual rentals includes both newly concluded contracts and existing ones.</w:t>
      </w:r>
    </w:p>
  </w:footnote>
  <w:footnote w:id="3">
    <w:p w14:paraId="24D8657D" w14:textId="77777777" w:rsidR="0007671B" w:rsidRPr="009A72CC" w:rsidRDefault="0007671B" w:rsidP="00D220F9">
      <w:pPr>
        <w:pStyle w:val="Textpoznpodarou"/>
        <w:spacing w:line="288" w:lineRule="auto"/>
        <w:jc w:val="both"/>
        <w:rPr>
          <w:lang w:val="cs-CZ"/>
        </w:rPr>
      </w:pPr>
      <w:r w:rsidRPr="00D220F9">
        <w:rPr>
          <w:rStyle w:val="Znakapoznpodarou"/>
          <w:rFonts w:ascii="Arial" w:hAnsi="Arial" w:cs="Arial"/>
        </w:rPr>
        <w:footnoteRef/>
      </w:r>
      <w:r w:rsidRPr="00D220F9">
        <w:rPr>
          <w:rFonts w:ascii="Arial" w:hAnsi="Arial" w:cs="Arial"/>
          <w:vertAlign w:val="superscript"/>
        </w:rPr>
        <w:t>)</w:t>
      </w:r>
      <w:r w:rsidRPr="00BE0942">
        <w:rPr>
          <w:rFonts w:ascii="Arial" w:hAnsi="Arial" w:cs="Arial"/>
          <w:i/>
          <w:iCs/>
          <w:sz w:val="18"/>
          <w:szCs w:val="18"/>
          <w:vertAlign w:val="superscript"/>
        </w:rPr>
        <w:t xml:space="preserve"> </w:t>
      </w:r>
      <w:r w:rsidRPr="00BE0942">
        <w:rPr>
          <w:rFonts w:ascii="Arial" w:hAnsi="Arial" w:cs="Arial"/>
          <w:i/>
          <w:iCs/>
          <w:sz w:val="18"/>
          <w:szCs w:val="18"/>
        </w:rPr>
        <w:t>Imputed rentals are excluded from the HICP.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2A31" w14:textId="77777777" w:rsidR="00F943EC" w:rsidRPr="00937AE2" w:rsidRDefault="00F943EC" w:rsidP="00937AE2">
    <w:pPr>
      <w:pStyle w:val="Zhlav"/>
    </w:pPr>
    <w:r>
      <w:t>Indexy spotřebitelských cen</w:t>
    </w:r>
  </w:p>
  <w:p w14:paraId="53E956DE" w14:textId="77777777" w:rsidR="00F943EC" w:rsidRPr="00937AE2" w:rsidRDefault="00F943EC" w:rsidP="00937AE2">
    <w:pPr>
      <w:pStyle w:val="Zhlav"/>
      <w:rPr>
        <w:i/>
      </w:rPr>
    </w:pPr>
    <w:proofErr w:type="spellStart"/>
    <w:r>
      <w:rPr>
        <w:i/>
      </w:rPr>
      <w:t>Consumer</w:t>
    </w:r>
    <w:proofErr w:type="spellEnd"/>
    <w:r>
      <w:rPr>
        <w:i/>
      </w:rPr>
      <w:t xml:space="preserve"> </w:t>
    </w:r>
    <w:proofErr w:type="spellStart"/>
    <w:r>
      <w:rPr>
        <w:i/>
      </w:rPr>
      <w:t>Price</w:t>
    </w:r>
    <w:proofErr w:type="spellEnd"/>
    <w:r>
      <w:rPr>
        <w:i/>
      </w:rPr>
      <w:t xml:space="preserve"> </w:t>
    </w:r>
    <w:proofErr w:type="spellStart"/>
    <w:r>
      <w:rPr>
        <w:i/>
      </w:rPr>
      <w:t>Indices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A444" w14:textId="77777777" w:rsidR="00F943EC" w:rsidRPr="00937AE2" w:rsidRDefault="00F943EC" w:rsidP="00937AE2">
    <w:pPr>
      <w:pStyle w:val="Zhlav"/>
    </w:pPr>
    <w:r>
      <w:t>Indexy spotřebitelských cen</w:t>
    </w:r>
  </w:p>
  <w:p w14:paraId="6BD37867" w14:textId="77777777" w:rsidR="00F943EC" w:rsidRPr="006B050D" w:rsidRDefault="00F943EC" w:rsidP="00937AE2">
    <w:pPr>
      <w:pStyle w:val="Zhlav"/>
      <w:rPr>
        <w:i/>
        <w:lang w:val="en-GB"/>
      </w:rPr>
    </w:pPr>
    <w:r w:rsidRPr="006B050D">
      <w:rPr>
        <w:i/>
        <w:lang w:val="en-GB"/>
      </w:rPr>
      <w:t>Consumer Price Indices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EA40CC4"/>
    <w:multiLevelType w:val="hybridMultilevel"/>
    <w:tmpl w:val="EDD461DA"/>
    <w:lvl w:ilvl="0" w:tplc="2E68B84C">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92012C4"/>
    <w:multiLevelType w:val="hybridMultilevel"/>
    <w:tmpl w:val="51BE5DE0"/>
    <w:lvl w:ilvl="0" w:tplc="D2627E9C">
      <w:start w:val="1"/>
      <w:numFmt w:val="decimal"/>
      <w:lvlText w:val="%1."/>
      <w:lvlJc w:val="left"/>
      <w:pPr>
        <w:tabs>
          <w:tab w:val="num" w:pos="1287"/>
        </w:tabs>
        <w:ind w:left="1287" w:hanging="72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69B93953"/>
    <w:multiLevelType w:val="multilevel"/>
    <w:tmpl w:val="599C2AC6"/>
    <w:numStyleLink w:val="Stylseznamu-nadpisyslovan"/>
  </w:abstractNum>
  <w:abstractNum w:abstractNumId="17" w15:restartNumberingAfterBreak="0">
    <w:nsid w:val="78E70314"/>
    <w:multiLevelType w:val="hybridMultilevel"/>
    <w:tmpl w:val="6E1CADD2"/>
    <w:lvl w:ilvl="0" w:tplc="A4060798">
      <w:start w:val="1"/>
      <w:numFmt w:val="decimal"/>
      <w:lvlText w:val="%1"/>
      <w:lvlJc w:val="righ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E276D62"/>
    <w:multiLevelType w:val="hybridMultilevel"/>
    <w:tmpl w:val="C748CB34"/>
    <w:lvl w:ilvl="0" w:tplc="A4060798">
      <w:start w:val="1"/>
      <w:numFmt w:val="decimal"/>
      <w:lvlText w:val="%1"/>
      <w:lvlJc w:val="righ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61496000">
    <w:abstractNumId w:val="12"/>
  </w:num>
  <w:num w:numId="2" w16cid:durableId="1461414091">
    <w:abstractNumId w:val="8"/>
  </w:num>
  <w:num w:numId="3" w16cid:durableId="1894458855">
    <w:abstractNumId w:val="3"/>
  </w:num>
  <w:num w:numId="4" w16cid:durableId="397436578">
    <w:abstractNumId w:val="2"/>
  </w:num>
  <w:num w:numId="5" w16cid:durableId="1496990487">
    <w:abstractNumId w:val="1"/>
  </w:num>
  <w:num w:numId="6" w16cid:durableId="1677540404">
    <w:abstractNumId w:val="0"/>
  </w:num>
  <w:num w:numId="7" w16cid:durableId="1261066372">
    <w:abstractNumId w:val="9"/>
  </w:num>
  <w:num w:numId="8" w16cid:durableId="9648491">
    <w:abstractNumId w:val="7"/>
  </w:num>
  <w:num w:numId="9" w16cid:durableId="1805540646">
    <w:abstractNumId w:val="6"/>
  </w:num>
  <w:num w:numId="10" w16cid:durableId="1008992704">
    <w:abstractNumId w:val="5"/>
  </w:num>
  <w:num w:numId="11" w16cid:durableId="947157327">
    <w:abstractNumId w:val="4"/>
  </w:num>
  <w:num w:numId="12" w16cid:durableId="893078913">
    <w:abstractNumId w:val="10"/>
  </w:num>
  <w:num w:numId="13" w16cid:durableId="1420634333">
    <w:abstractNumId w:val="14"/>
  </w:num>
  <w:num w:numId="14" w16cid:durableId="1160340961">
    <w:abstractNumId w:val="13"/>
  </w:num>
  <w:num w:numId="15" w16cid:durableId="1669404700">
    <w:abstractNumId w:val="11"/>
  </w:num>
  <w:num w:numId="16" w16cid:durableId="1112477011">
    <w:abstractNumId w:val="18"/>
  </w:num>
  <w:num w:numId="17" w16cid:durableId="2140564642">
    <w:abstractNumId w:val="17"/>
  </w:num>
  <w:num w:numId="18" w16cid:durableId="304243697">
    <w:abstractNumId w:val="15"/>
  </w:num>
  <w:num w:numId="19" w16cid:durableId="3748156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0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104F"/>
    <w:rsid w:val="0000209D"/>
    <w:rsid w:val="00004D5A"/>
    <w:rsid w:val="000056D5"/>
    <w:rsid w:val="00005E1E"/>
    <w:rsid w:val="0000665E"/>
    <w:rsid w:val="00006FC6"/>
    <w:rsid w:val="0000767A"/>
    <w:rsid w:val="00010702"/>
    <w:rsid w:val="00010775"/>
    <w:rsid w:val="00016134"/>
    <w:rsid w:val="000234D6"/>
    <w:rsid w:val="00023D29"/>
    <w:rsid w:val="0002623C"/>
    <w:rsid w:val="00026389"/>
    <w:rsid w:val="00031AE0"/>
    <w:rsid w:val="000322EF"/>
    <w:rsid w:val="000336CF"/>
    <w:rsid w:val="00033FCD"/>
    <w:rsid w:val="000340E7"/>
    <w:rsid w:val="00041CEC"/>
    <w:rsid w:val="000435A3"/>
    <w:rsid w:val="000435FA"/>
    <w:rsid w:val="000453C8"/>
    <w:rsid w:val="00045960"/>
    <w:rsid w:val="0004694F"/>
    <w:rsid w:val="00046BAE"/>
    <w:rsid w:val="00046D89"/>
    <w:rsid w:val="000522E4"/>
    <w:rsid w:val="0005495E"/>
    <w:rsid w:val="00060C86"/>
    <w:rsid w:val="00060C89"/>
    <w:rsid w:val="000610E1"/>
    <w:rsid w:val="00062214"/>
    <w:rsid w:val="00062368"/>
    <w:rsid w:val="00062EC5"/>
    <w:rsid w:val="00062F22"/>
    <w:rsid w:val="00066633"/>
    <w:rsid w:val="000712B3"/>
    <w:rsid w:val="00073FCA"/>
    <w:rsid w:val="00075F84"/>
    <w:rsid w:val="0007671B"/>
    <w:rsid w:val="00077D74"/>
    <w:rsid w:val="000816CE"/>
    <w:rsid w:val="0008263E"/>
    <w:rsid w:val="00082C19"/>
    <w:rsid w:val="00083E40"/>
    <w:rsid w:val="00085395"/>
    <w:rsid w:val="00087634"/>
    <w:rsid w:val="00087F2B"/>
    <w:rsid w:val="000965A4"/>
    <w:rsid w:val="00096884"/>
    <w:rsid w:val="000974D1"/>
    <w:rsid w:val="0009799E"/>
    <w:rsid w:val="000A1183"/>
    <w:rsid w:val="000A136C"/>
    <w:rsid w:val="000A194E"/>
    <w:rsid w:val="000A256D"/>
    <w:rsid w:val="000A3440"/>
    <w:rsid w:val="000A3A2C"/>
    <w:rsid w:val="000B0433"/>
    <w:rsid w:val="000B2BED"/>
    <w:rsid w:val="000B4FC9"/>
    <w:rsid w:val="000C3408"/>
    <w:rsid w:val="000C55F1"/>
    <w:rsid w:val="000C6AFD"/>
    <w:rsid w:val="000D019F"/>
    <w:rsid w:val="000D0751"/>
    <w:rsid w:val="000D0CA3"/>
    <w:rsid w:val="000D468B"/>
    <w:rsid w:val="000D5637"/>
    <w:rsid w:val="000D67C4"/>
    <w:rsid w:val="000D79A9"/>
    <w:rsid w:val="000E469D"/>
    <w:rsid w:val="000E6FBD"/>
    <w:rsid w:val="000E7C04"/>
    <w:rsid w:val="000F7F50"/>
    <w:rsid w:val="00100F5C"/>
    <w:rsid w:val="00101053"/>
    <w:rsid w:val="00104C4C"/>
    <w:rsid w:val="0010554E"/>
    <w:rsid w:val="001077F9"/>
    <w:rsid w:val="00113783"/>
    <w:rsid w:val="0012192F"/>
    <w:rsid w:val="00122F92"/>
    <w:rsid w:val="00125D69"/>
    <w:rsid w:val="001300F2"/>
    <w:rsid w:val="0013140A"/>
    <w:rsid w:val="00131845"/>
    <w:rsid w:val="00134479"/>
    <w:rsid w:val="0013628D"/>
    <w:rsid w:val="00140213"/>
    <w:rsid w:val="001405FA"/>
    <w:rsid w:val="001425C3"/>
    <w:rsid w:val="00146371"/>
    <w:rsid w:val="001509F5"/>
    <w:rsid w:val="00157546"/>
    <w:rsid w:val="0016129C"/>
    <w:rsid w:val="0016256B"/>
    <w:rsid w:val="00163793"/>
    <w:rsid w:val="001637B7"/>
    <w:rsid w:val="001706D6"/>
    <w:rsid w:val="001714F2"/>
    <w:rsid w:val="00177F5F"/>
    <w:rsid w:val="00180022"/>
    <w:rsid w:val="001827D4"/>
    <w:rsid w:val="001841DE"/>
    <w:rsid w:val="001849F2"/>
    <w:rsid w:val="00184B08"/>
    <w:rsid w:val="00185010"/>
    <w:rsid w:val="00186885"/>
    <w:rsid w:val="001903FE"/>
    <w:rsid w:val="00192922"/>
    <w:rsid w:val="001943F1"/>
    <w:rsid w:val="001A0C41"/>
    <w:rsid w:val="001A552F"/>
    <w:rsid w:val="001B2B92"/>
    <w:rsid w:val="001B2CA9"/>
    <w:rsid w:val="001B3110"/>
    <w:rsid w:val="001B3D8B"/>
    <w:rsid w:val="001B4729"/>
    <w:rsid w:val="001B6C09"/>
    <w:rsid w:val="001B7BD2"/>
    <w:rsid w:val="001C05CD"/>
    <w:rsid w:val="001C55AE"/>
    <w:rsid w:val="001C5E7E"/>
    <w:rsid w:val="001D68B2"/>
    <w:rsid w:val="001D6A28"/>
    <w:rsid w:val="001E0089"/>
    <w:rsid w:val="001E50F7"/>
    <w:rsid w:val="001E53BD"/>
    <w:rsid w:val="001E69B2"/>
    <w:rsid w:val="001F4597"/>
    <w:rsid w:val="001F5BC2"/>
    <w:rsid w:val="00202B63"/>
    <w:rsid w:val="00205249"/>
    <w:rsid w:val="002118B9"/>
    <w:rsid w:val="00213083"/>
    <w:rsid w:val="00217C5B"/>
    <w:rsid w:val="0022139E"/>
    <w:rsid w:val="002252E0"/>
    <w:rsid w:val="002255F6"/>
    <w:rsid w:val="002256FE"/>
    <w:rsid w:val="00227850"/>
    <w:rsid w:val="002306D3"/>
    <w:rsid w:val="00230C6E"/>
    <w:rsid w:val="002317D8"/>
    <w:rsid w:val="00231B76"/>
    <w:rsid w:val="00236443"/>
    <w:rsid w:val="0024086A"/>
    <w:rsid w:val="002436BA"/>
    <w:rsid w:val="002438CC"/>
    <w:rsid w:val="00244A15"/>
    <w:rsid w:val="00247319"/>
    <w:rsid w:val="0024799E"/>
    <w:rsid w:val="0025228E"/>
    <w:rsid w:val="00253C0F"/>
    <w:rsid w:val="00253FD1"/>
    <w:rsid w:val="0025546C"/>
    <w:rsid w:val="00257977"/>
    <w:rsid w:val="00257E7B"/>
    <w:rsid w:val="00263F3B"/>
    <w:rsid w:val="00271338"/>
    <w:rsid w:val="00271465"/>
    <w:rsid w:val="0027243C"/>
    <w:rsid w:val="002736FD"/>
    <w:rsid w:val="00276C07"/>
    <w:rsid w:val="002810B2"/>
    <w:rsid w:val="002813A3"/>
    <w:rsid w:val="00285412"/>
    <w:rsid w:val="00286542"/>
    <w:rsid w:val="002941C6"/>
    <w:rsid w:val="0029784A"/>
    <w:rsid w:val="002A16D4"/>
    <w:rsid w:val="002A230C"/>
    <w:rsid w:val="002A6872"/>
    <w:rsid w:val="002A7A5E"/>
    <w:rsid w:val="002B00CB"/>
    <w:rsid w:val="002B26EA"/>
    <w:rsid w:val="002B3598"/>
    <w:rsid w:val="002B6FD1"/>
    <w:rsid w:val="002C0ECE"/>
    <w:rsid w:val="002C16A2"/>
    <w:rsid w:val="002C4142"/>
    <w:rsid w:val="002C43BD"/>
    <w:rsid w:val="002C6187"/>
    <w:rsid w:val="002D0E59"/>
    <w:rsid w:val="002D16B7"/>
    <w:rsid w:val="002D46C0"/>
    <w:rsid w:val="002D6972"/>
    <w:rsid w:val="002D7124"/>
    <w:rsid w:val="002E02A1"/>
    <w:rsid w:val="002E16B1"/>
    <w:rsid w:val="002E281F"/>
    <w:rsid w:val="002E4E4C"/>
    <w:rsid w:val="002E57D3"/>
    <w:rsid w:val="002F5415"/>
    <w:rsid w:val="002F54C0"/>
    <w:rsid w:val="002F7309"/>
    <w:rsid w:val="002F7B1F"/>
    <w:rsid w:val="00300DF0"/>
    <w:rsid w:val="00300FF9"/>
    <w:rsid w:val="00301AAE"/>
    <w:rsid w:val="00302EE2"/>
    <w:rsid w:val="00302FCE"/>
    <w:rsid w:val="00304771"/>
    <w:rsid w:val="003052D4"/>
    <w:rsid w:val="00306C5B"/>
    <w:rsid w:val="00310258"/>
    <w:rsid w:val="00310395"/>
    <w:rsid w:val="00311663"/>
    <w:rsid w:val="003209D6"/>
    <w:rsid w:val="00321F9C"/>
    <w:rsid w:val="0032656E"/>
    <w:rsid w:val="00332190"/>
    <w:rsid w:val="00334DA7"/>
    <w:rsid w:val="00337284"/>
    <w:rsid w:val="00344668"/>
    <w:rsid w:val="00344B94"/>
    <w:rsid w:val="00345114"/>
    <w:rsid w:val="0034545C"/>
    <w:rsid w:val="003462D9"/>
    <w:rsid w:val="00347496"/>
    <w:rsid w:val="00354FBC"/>
    <w:rsid w:val="003558EE"/>
    <w:rsid w:val="00357440"/>
    <w:rsid w:val="00360540"/>
    <w:rsid w:val="00362265"/>
    <w:rsid w:val="003657F3"/>
    <w:rsid w:val="00371114"/>
    <w:rsid w:val="0037578D"/>
    <w:rsid w:val="00376AA3"/>
    <w:rsid w:val="00376EF6"/>
    <w:rsid w:val="003816EE"/>
    <w:rsid w:val="003818DC"/>
    <w:rsid w:val="00385D98"/>
    <w:rsid w:val="00390570"/>
    <w:rsid w:val="00390FD1"/>
    <w:rsid w:val="00392993"/>
    <w:rsid w:val="003A2B4D"/>
    <w:rsid w:val="003A3AE2"/>
    <w:rsid w:val="003A478C"/>
    <w:rsid w:val="003A47D4"/>
    <w:rsid w:val="003A52A1"/>
    <w:rsid w:val="003A5525"/>
    <w:rsid w:val="003A5CDC"/>
    <w:rsid w:val="003A6B38"/>
    <w:rsid w:val="003B5A32"/>
    <w:rsid w:val="003C0B19"/>
    <w:rsid w:val="003C3490"/>
    <w:rsid w:val="003C63BD"/>
    <w:rsid w:val="003D0EC8"/>
    <w:rsid w:val="003D1764"/>
    <w:rsid w:val="003D323E"/>
    <w:rsid w:val="003D326F"/>
    <w:rsid w:val="003D392C"/>
    <w:rsid w:val="003D3BEB"/>
    <w:rsid w:val="003D4440"/>
    <w:rsid w:val="003D5B79"/>
    <w:rsid w:val="003D6920"/>
    <w:rsid w:val="003E1204"/>
    <w:rsid w:val="003E40A8"/>
    <w:rsid w:val="003E4C91"/>
    <w:rsid w:val="003F00B1"/>
    <w:rsid w:val="003F313C"/>
    <w:rsid w:val="003F38B5"/>
    <w:rsid w:val="003F551C"/>
    <w:rsid w:val="003F5902"/>
    <w:rsid w:val="003F76F8"/>
    <w:rsid w:val="00400B0C"/>
    <w:rsid w:val="00400F14"/>
    <w:rsid w:val="00401EBD"/>
    <w:rsid w:val="00402F06"/>
    <w:rsid w:val="00407C13"/>
    <w:rsid w:val="00410638"/>
    <w:rsid w:val="00415FA5"/>
    <w:rsid w:val="00416112"/>
    <w:rsid w:val="00422506"/>
    <w:rsid w:val="004228F1"/>
    <w:rsid w:val="004237F1"/>
    <w:rsid w:val="00432A58"/>
    <w:rsid w:val="004331A0"/>
    <w:rsid w:val="00434617"/>
    <w:rsid w:val="00440900"/>
    <w:rsid w:val="00441990"/>
    <w:rsid w:val="004441A0"/>
    <w:rsid w:val="00446934"/>
    <w:rsid w:val="004516B7"/>
    <w:rsid w:val="00454C5D"/>
    <w:rsid w:val="00457F0E"/>
    <w:rsid w:val="0046088B"/>
    <w:rsid w:val="00463856"/>
    <w:rsid w:val="0046650C"/>
    <w:rsid w:val="004678F3"/>
    <w:rsid w:val="00474BAE"/>
    <w:rsid w:val="00474FC2"/>
    <w:rsid w:val="00476240"/>
    <w:rsid w:val="00476439"/>
    <w:rsid w:val="00476B32"/>
    <w:rsid w:val="00476EA8"/>
    <w:rsid w:val="0047735C"/>
    <w:rsid w:val="004776BC"/>
    <w:rsid w:val="00477D68"/>
    <w:rsid w:val="0048139F"/>
    <w:rsid w:val="00481E40"/>
    <w:rsid w:val="0048265B"/>
    <w:rsid w:val="00484ECE"/>
    <w:rsid w:val="004915CB"/>
    <w:rsid w:val="004A031C"/>
    <w:rsid w:val="004A1103"/>
    <w:rsid w:val="004A1719"/>
    <w:rsid w:val="004A3212"/>
    <w:rsid w:val="004A61C5"/>
    <w:rsid w:val="004A629F"/>
    <w:rsid w:val="004A7417"/>
    <w:rsid w:val="004A77DF"/>
    <w:rsid w:val="004B0893"/>
    <w:rsid w:val="004B1417"/>
    <w:rsid w:val="004B1DD9"/>
    <w:rsid w:val="004B3773"/>
    <w:rsid w:val="004B50E9"/>
    <w:rsid w:val="004B55B7"/>
    <w:rsid w:val="004B6468"/>
    <w:rsid w:val="004B7E4E"/>
    <w:rsid w:val="004C0A54"/>
    <w:rsid w:val="004C1B7A"/>
    <w:rsid w:val="004C384C"/>
    <w:rsid w:val="004C3867"/>
    <w:rsid w:val="004C4CD0"/>
    <w:rsid w:val="004C70DC"/>
    <w:rsid w:val="004D0211"/>
    <w:rsid w:val="004D0794"/>
    <w:rsid w:val="004D1980"/>
    <w:rsid w:val="004D5332"/>
    <w:rsid w:val="004D5528"/>
    <w:rsid w:val="004D6965"/>
    <w:rsid w:val="004F06F5"/>
    <w:rsid w:val="004F1C34"/>
    <w:rsid w:val="004F2114"/>
    <w:rsid w:val="004F33A0"/>
    <w:rsid w:val="00500157"/>
    <w:rsid w:val="005108C0"/>
    <w:rsid w:val="00511873"/>
    <w:rsid w:val="005125A1"/>
    <w:rsid w:val="00512A2F"/>
    <w:rsid w:val="005131CB"/>
    <w:rsid w:val="00513B7E"/>
    <w:rsid w:val="00515C74"/>
    <w:rsid w:val="00517CEE"/>
    <w:rsid w:val="0052007E"/>
    <w:rsid w:val="00521D8D"/>
    <w:rsid w:val="0052337A"/>
    <w:rsid w:val="0052445C"/>
    <w:rsid w:val="00524776"/>
    <w:rsid w:val="00525137"/>
    <w:rsid w:val="005251DD"/>
    <w:rsid w:val="00532CE7"/>
    <w:rsid w:val="0053324C"/>
    <w:rsid w:val="00533CC2"/>
    <w:rsid w:val="00534715"/>
    <w:rsid w:val="00534A28"/>
    <w:rsid w:val="00534C67"/>
    <w:rsid w:val="00534F19"/>
    <w:rsid w:val="005412DF"/>
    <w:rsid w:val="00541508"/>
    <w:rsid w:val="00541DB9"/>
    <w:rsid w:val="00544D4C"/>
    <w:rsid w:val="005500DF"/>
    <w:rsid w:val="00550904"/>
    <w:rsid w:val="0055599F"/>
    <w:rsid w:val="00556D68"/>
    <w:rsid w:val="005578A3"/>
    <w:rsid w:val="005615B1"/>
    <w:rsid w:val="005647BF"/>
    <w:rsid w:val="0056590E"/>
    <w:rsid w:val="00566720"/>
    <w:rsid w:val="00572610"/>
    <w:rsid w:val="0057364B"/>
    <w:rsid w:val="00574773"/>
    <w:rsid w:val="0058024D"/>
    <w:rsid w:val="00580FD8"/>
    <w:rsid w:val="00583FFD"/>
    <w:rsid w:val="00586F1D"/>
    <w:rsid w:val="005911BE"/>
    <w:rsid w:val="00591679"/>
    <w:rsid w:val="00593152"/>
    <w:rsid w:val="005A10F2"/>
    <w:rsid w:val="005A21E0"/>
    <w:rsid w:val="005A28FF"/>
    <w:rsid w:val="005A2B04"/>
    <w:rsid w:val="005A3DF8"/>
    <w:rsid w:val="005A4B79"/>
    <w:rsid w:val="005A5549"/>
    <w:rsid w:val="005A6161"/>
    <w:rsid w:val="005A7B53"/>
    <w:rsid w:val="005B121D"/>
    <w:rsid w:val="005B6438"/>
    <w:rsid w:val="005C06ED"/>
    <w:rsid w:val="005C13C9"/>
    <w:rsid w:val="005C43F6"/>
    <w:rsid w:val="005C61EC"/>
    <w:rsid w:val="005D0723"/>
    <w:rsid w:val="005D0FFF"/>
    <w:rsid w:val="005D1B9D"/>
    <w:rsid w:val="005D5802"/>
    <w:rsid w:val="005D7855"/>
    <w:rsid w:val="005D7890"/>
    <w:rsid w:val="005E3DD6"/>
    <w:rsid w:val="005E621A"/>
    <w:rsid w:val="005E7C78"/>
    <w:rsid w:val="005F12B6"/>
    <w:rsid w:val="005F369F"/>
    <w:rsid w:val="005F3DDF"/>
    <w:rsid w:val="005F3EB1"/>
    <w:rsid w:val="005F4A38"/>
    <w:rsid w:val="00600BCE"/>
    <w:rsid w:val="00603EF3"/>
    <w:rsid w:val="00604307"/>
    <w:rsid w:val="0060487F"/>
    <w:rsid w:val="00604EAD"/>
    <w:rsid w:val="00606FF9"/>
    <w:rsid w:val="006104FB"/>
    <w:rsid w:val="00610C0F"/>
    <w:rsid w:val="006120FF"/>
    <w:rsid w:val="00612A2F"/>
    <w:rsid w:val="00615CFF"/>
    <w:rsid w:val="00616E05"/>
    <w:rsid w:val="00617693"/>
    <w:rsid w:val="0061790B"/>
    <w:rsid w:val="006215C3"/>
    <w:rsid w:val="00624093"/>
    <w:rsid w:val="00624F03"/>
    <w:rsid w:val="00625606"/>
    <w:rsid w:val="00626E24"/>
    <w:rsid w:val="0063114A"/>
    <w:rsid w:val="00632079"/>
    <w:rsid w:val="00633130"/>
    <w:rsid w:val="006404A7"/>
    <w:rsid w:val="00640AAB"/>
    <w:rsid w:val="00641895"/>
    <w:rsid w:val="006451E4"/>
    <w:rsid w:val="00645B33"/>
    <w:rsid w:val="006464AD"/>
    <w:rsid w:val="0065137D"/>
    <w:rsid w:val="006516CB"/>
    <w:rsid w:val="00652151"/>
    <w:rsid w:val="00653E2F"/>
    <w:rsid w:val="0065670F"/>
    <w:rsid w:val="00657E87"/>
    <w:rsid w:val="00664803"/>
    <w:rsid w:val="00665BA4"/>
    <w:rsid w:val="00667AF2"/>
    <w:rsid w:val="00667BCD"/>
    <w:rsid w:val="006710C9"/>
    <w:rsid w:val="00674D89"/>
    <w:rsid w:val="00675E37"/>
    <w:rsid w:val="00680949"/>
    <w:rsid w:val="006815F3"/>
    <w:rsid w:val="0068174E"/>
    <w:rsid w:val="006817F6"/>
    <w:rsid w:val="0068193C"/>
    <w:rsid w:val="00681990"/>
    <w:rsid w:val="00681DCE"/>
    <w:rsid w:val="0068260E"/>
    <w:rsid w:val="0068513B"/>
    <w:rsid w:val="00695BEF"/>
    <w:rsid w:val="006977F6"/>
    <w:rsid w:val="00697A13"/>
    <w:rsid w:val="006A109C"/>
    <w:rsid w:val="006A1566"/>
    <w:rsid w:val="006A28B3"/>
    <w:rsid w:val="006A6488"/>
    <w:rsid w:val="006A69AD"/>
    <w:rsid w:val="006B050D"/>
    <w:rsid w:val="006B231D"/>
    <w:rsid w:val="006B27F0"/>
    <w:rsid w:val="006B344A"/>
    <w:rsid w:val="006B4D1D"/>
    <w:rsid w:val="006B5091"/>
    <w:rsid w:val="006B78D8"/>
    <w:rsid w:val="006C113F"/>
    <w:rsid w:val="006C56D4"/>
    <w:rsid w:val="006C6924"/>
    <w:rsid w:val="006C7CA6"/>
    <w:rsid w:val="006D3E8A"/>
    <w:rsid w:val="006D61F6"/>
    <w:rsid w:val="006E005D"/>
    <w:rsid w:val="006E279A"/>
    <w:rsid w:val="006E3036"/>
    <w:rsid w:val="006E3078"/>
    <w:rsid w:val="006E313B"/>
    <w:rsid w:val="006E437E"/>
    <w:rsid w:val="006E6063"/>
    <w:rsid w:val="006E7FF2"/>
    <w:rsid w:val="006F056C"/>
    <w:rsid w:val="006F440B"/>
    <w:rsid w:val="00700A2B"/>
    <w:rsid w:val="0070581E"/>
    <w:rsid w:val="00706AD4"/>
    <w:rsid w:val="007072EF"/>
    <w:rsid w:val="007140BE"/>
    <w:rsid w:val="007171CE"/>
    <w:rsid w:val="00720BC3"/>
    <w:rsid w:val="007211F5"/>
    <w:rsid w:val="007212AF"/>
    <w:rsid w:val="00725B3F"/>
    <w:rsid w:val="00725BB5"/>
    <w:rsid w:val="00730AE8"/>
    <w:rsid w:val="00734BD0"/>
    <w:rsid w:val="0073571E"/>
    <w:rsid w:val="007408B0"/>
    <w:rsid w:val="00741493"/>
    <w:rsid w:val="00744BF0"/>
    <w:rsid w:val="00752180"/>
    <w:rsid w:val="00753A54"/>
    <w:rsid w:val="00755202"/>
    <w:rsid w:val="00755D3A"/>
    <w:rsid w:val="007578D3"/>
    <w:rsid w:val="007600F3"/>
    <w:rsid w:val="007609C6"/>
    <w:rsid w:val="00761BE2"/>
    <w:rsid w:val="0076521E"/>
    <w:rsid w:val="007661E9"/>
    <w:rsid w:val="0077020C"/>
    <w:rsid w:val="007708F6"/>
    <w:rsid w:val="00773E66"/>
    <w:rsid w:val="00774567"/>
    <w:rsid w:val="00775E7D"/>
    <w:rsid w:val="00776169"/>
    <w:rsid w:val="00776527"/>
    <w:rsid w:val="00780BC4"/>
    <w:rsid w:val="00780EF1"/>
    <w:rsid w:val="00790764"/>
    <w:rsid w:val="00790AB2"/>
    <w:rsid w:val="007910F7"/>
    <w:rsid w:val="00791BC8"/>
    <w:rsid w:val="007925B1"/>
    <w:rsid w:val="0079453C"/>
    <w:rsid w:val="00794677"/>
    <w:rsid w:val="00794A19"/>
    <w:rsid w:val="0079533E"/>
    <w:rsid w:val="00795A42"/>
    <w:rsid w:val="007A37B4"/>
    <w:rsid w:val="007B4B87"/>
    <w:rsid w:val="007B6689"/>
    <w:rsid w:val="007C0501"/>
    <w:rsid w:val="007C45E3"/>
    <w:rsid w:val="007D1613"/>
    <w:rsid w:val="007D27EB"/>
    <w:rsid w:val="007D40DF"/>
    <w:rsid w:val="007D47D8"/>
    <w:rsid w:val="007E0E10"/>
    <w:rsid w:val="007E156B"/>
    <w:rsid w:val="007E46AE"/>
    <w:rsid w:val="007E6B32"/>
    <w:rsid w:val="007E7E61"/>
    <w:rsid w:val="007F0845"/>
    <w:rsid w:val="007F1192"/>
    <w:rsid w:val="007F6DCA"/>
    <w:rsid w:val="0080501B"/>
    <w:rsid w:val="00805BEF"/>
    <w:rsid w:val="0080778F"/>
    <w:rsid w:val="00807C82"/>
    <w:rsid w:val="0081127E"/>
    <w:rsid w:val="008133DB"/>
    <w:rsid w:val="00813FA3"/>
    <w:rsid w:val="0081427B"/>
    <w:rsid w:val="00814BEF"/>
    <w:rsid w:val="00816905"/>
    <w:rsid w:val="00821467"/>
    <w:rsid w:val="00821FF6"/>
    <w:rsid w:val="00822FAB"/>
    <w:rsid w:val="0082460E"/>
    <w:rsid w:val="00824C35"/>
    <w:rsid w:val="00824FA1"/>
    <w:rsid w:val="0082508A"/>
    <w:rsid w:val="00830829"/>
    <w:rsid w:val="0083143E"/>
    <w:rsid w:val="00831CDE"/>
    <w:rsid w:val="00834304"/>
    <w:rsid w:val="00834FAA"/>
    <w:rsid w:val="00836086"/>
    <w:rsid w:val="0084047E"/>
    <w:rsid w:val="008408FE"/>
    <w:rsid w:val="008410D6"/>
    <w:rsid w:val="0084398E"/>
    <w:rsid w:val="00845507"/>
    <w:rsid w:val="00846E07"/>
    <w:rsid w:val="0084708F"/>
    <w:rsid w:val="008477C8"/>
    <w:rsid w:val="00851005"/>
    <w:rsid w:val="0085114D"/>
    <w:rsid w:val="0085167D"/>
    <w:rsid w:val="00852217"/>
    <w:rsid w:val="008522DB"/>
    <w:rsid w:val="008538D7"/>
    <w:rsid w:val="00855408"/>
    <w:rsid w:val="0085688F"/>
    <w:rsid w:val="00856D65"/>
    <w:rsid w:val="00857106"/>
    <w:rsid w:val="00861B41"/>
    <w:rsid w:val="00862897"/>
    <w:rsid w:val="00863434"/>
    <w:rsid w:val="00864956"/>
    <w:rsid w:val="00865B03"/>
    <w:rsid w:val="00865E4C"/>
    <w:rsid w:val="00867B24"/>
    <w:rsid w:val="008701E4"/>
    <w:rsid w:val="00875A32"/>
    <w:rsid w:val="00876086"/>
    <w:rsid w:val="008761E5"/>
    <w:rsid w:val="00880A61"/>
    <w:rsid w:val="00881725"/>
    <w:rsid w:val="00884704"/>
    <w:rsid w:val="008873D4"/>
    <w:rsid w:val="008879D5"/>
    <w:rsid w:val="00891748"/>
    <w:rsid w:val="0089223D"/>
    <w:rsid w:val="00893E85"/>
    <w:rsid w:val="00894031"/>
    <w:rsid w:val="008A120A"/>
    <w:rsid w:val="008B09F0"/>
    <w:rsid w:val="008B130C"/>
    <w:rsid w:val="008B5C6A"/>
    <w:rsid w:val="008B7C02"/>
    <w:rsid w:val="008B7D2B"/>
    <w:rsid w:val="008C0049"/>
    <w:rsid w:val="008C0E88"/>
    <w:rsid w:val="008C71B5"/>
    <w:rsid w:val="008C773F"/>
    <w:rsid w:val="008D0F44"/>
    <w:rsid w:val="008D176A"/>
    <w:rsid w:val="008D1E6A"/>
    <w:rsid w:val="008D20A0"/>
    <w:rsid w:val="008D2A16"/>
    <w:rsid w:val="008D4DAD"/>
    <w:rsid w:val="008D7688"/>
    <w:rsid w:val="008D796E"/>
    <w:rsid w:val="008E2677"/>
    <w:rsid w:val="008E2C57"/>
    <w:rsid w:val="008E2EEA"/>
    <w:rsid w:val="008E31FF"/>
    <w:rsid w:val="008E3E45"/>
    <w:rsid w:val="008E4E01"/>
    <w:rsid w:val="008E6F06"/>
    <w:rsid w:val="008E74A5"/>
    <w:rsid w:val="008F00D9"/>
    <w:rsid w:val="008F029B"/>
    <w:rsid w:val="008F3FC9"/>
    <w:rsid w:val="008F585B"/>
    <w:rsid w:val="008F58EE"/>
    <w:rsid w:val="008F63EE"/>
    <w:rsid w:val="009003A8"/>
    <w:rsid w:val="00902500"/>
    <w:rsid w:val="00902EFF"/>
    <w:rsid w:val="009041CE"/>
    <w:rsid w:val="0091155E"/>
    <w:rsid w:val="009115CD"/>
    <w:rsid w:val="0091263F"/>
    <w:rsid w:val="00912A92"/>
    <w:rsid w:val="00913BC9"/>
    <w:rsid w:val="0091728D"/>
    <w:rsid w:val="00920D2B"/>
    <w:rsid w:val="009210A4"/>
    <w:rsid w:val="0092180B"/>
    <w:rsid w:val="00921F14"/>
    <w:rsid w:val="00924AC8"/>
    <w:rsid w:val="0092597A"/>
    <w:rsid w:val="00930CFE"/>
    <w:rsid w:val="009337F0"/>
    <w:rsid w:val="00936542"/>
    <w:rsid w:val="00937AE2"/>
    <w:rsid w:val="00937C17"/>
    <w:rsid w:val="009415CD"/>
    <w:rsid w:val="00943C4A"/>
    <w:rsid w:val="0094427A"/>
    <w:rsid w:val="009508D7"/>
    <w:rsid w:val="00951AAC"/>
    <w:rsid w:val="009541C9"/>
    <w:rsid w:val="00954492"/>
    <w:rsid w:val="00956240"/>
    <w:rsid w:val="00961FFB"/>
    <w:rsid w:val="009620CD"/>
    <w:rsid w:val="0096290F"/>
    <w:rsid w:val="00963688"/>
    <w:rsid w:val="00967932"/>
    <w:rsid w:val="0097104F"/>
    <w:rsid w:val="00974815"/>
    <w:rsid w:val="00974923"/>
    <w:rsid w:val="0098009E"/>
    <w:rsid w:val="00980D3D"/>
    <w:rsid w:val="00983036"/>
    <w:rsid w:val="00985065"/>
    <w:rsid w:val="00985378"/>
    <w:rsid w:val="0098710D"/>
    <w:rsid w:val="0098736D"/>
    <w:rsid w:val="009905C5"/>
    <w:rsid w:val="00992CF3"/>
    <w:rsid w:val="00996015"/>
    <w:rsid w:val="0099628C"/>
    <w:rsid w:val="009968D6"/>
    <w:rsid w:val="00997BEF"/>
    <w:rsid w:val="009A0583"/>
    <w:rsid w:val="009A1CAB"/>
    <w:rsid w:val="009A1F6E"/>
    <w:rsid w:val="009A60D1"/>
    <w:rsid w:val="009A6544"/>
    <w:rsid w:val="009B0F6E"/>
    <w:rsid w:val="009B6FD3"/>
    <w:rsid w:val="009B6FF6"/>
    <w:rsid w:val="009B7935"/>
    <w:rsid w:val="009C1750"/>
    <w:rsid w:val="009C2E29"/>
    <w:rsid w:val="009C370D"/>
    <w:rsid w:val="009C554B"/>
    <w:rsid w:val="009C55DF"/>
    <w:rsid w:val="009C6944"/>
    <w:rsid w:val="009C719E"/>
    <w:rsid w:val="009D3ACD"/>
    <w:rsid w:val="009D3F4E"/>
    <w:rsid w:val="009E5DDB"/>
    <w:rsid w:val="009E7145"/>
    <w:rsid w:val="009F013C"/>
    <w:rsid w:val="009F19AA"/>
    <w:rsid w:val="009F1DD4"/>
    <w:rsid w:val="009F4CA7"/>
    <w:rsid w:val="00A05EFC"/>
    <w:rsid w:val="00A10D66"/>
    <w:rsid w:val="00A1366A"/>
    <w:rsid w:val="00A14114"/>
    <w:rsid w:val="00A17F22"/>
    <w:rsid w:val="00A2019E"/>
    <w:rsid w:val="00A2050C"/>
    <w:rsid w:val="00A21667"/>
    <w:rsid w:val="00A23E43"/>
    <w:rsid w:val="00A30F65"/>
    <w:rsid w:val="00A33C1A"/>
    <w:rsid w:val="00A417BC"/>
    <w:rsid w:val="00A418BC"/>
    <w:rsid w:val="00A42511"/>
    <w:rsid w:val="00A4414A"/>
    <w:rsid w:val="00A460A9"/>
    <w:rsid w:val="00A46DE0"/>
    <w:rsid w:val="00A47A45"/>
    <w:rsid w:val="00A50D73"/>
    <w:rsid w:val="00A51489"/>
    <w:rsid w:val="00A52CAD"/>
    <w:rsid w:val="00A53FC7"/>
    <w:rsid w:val="00A5634D"/>
    <w:rsid w:val="00A62CE1"/>
    <w:rsid w:val="00A63DCA"/>
    <w:rsid w:val="00A66C37"/>
    <w:rsid w:val="00A6741E"/>
    <w:rsid w:val="00A6784D"/>
    <w:rsid w:val="00A67A17"/>
    <w:rsid w:val="00A72C9A"/>
    <w:rsid w:val="00A74B1D"/>
    <w:rsid w:val="00A74D9B"/>
    <w:rsid w:val="00A75E40"/>
    <w:rsid w:val="00A77D1D"/>
    <w:rsid w:val="00A857C0"/>
    <w:rsid w:val="00A9006E"/>
    <w:rsid w:val="00A93504"/>
    <w:rsid w:val="00A94D1E"/>
    <w:rsid w:val="00A95A08"/>
    <w:rsid w:val="00A96702"/>
    <w:rsid w:val="00AA199E"/>
    <w:rsid w:val="00AA1C7B"/>
    <w:rsid w:val="00AA1E7B"/>
    <w:rsid w:val="00AA2996"/>
    <w:rsid w:val="00AA52BF"/>
    <w:rsid w:val="00AA559A"/>
    <w:rsid w:val="00AA59EC"/>
    <w:rsid w:val="00AB0E8C"/>
    <w:rsid w:val="00AB2AF1"/>
    <w:rsid w:val="00AB6F61"/>
    <w:rsid w:val="00AC60E4"/>
    <w:rsid w:val="00AC678E"/>
    <w:rsid w:val="00AC6F4A"/>
    <w:rsid w:val="00AC7832"/>
    <w:rsid w:val="00AD275A"/>
    <w:rsid w:val="00AD306C"/>
    <w:rsid w:val="00AD4DDF"/>
    <w:rsid w:val="00AD5B88"/>
    <w:rsid w:val="00AE09B3"/>
    <w:rsid w:val="00AE11B4"/>
    <w:rsid w:val="00AE1A83"/>
    <w:rsid w:val="00AE2D7B"/>
    <w:rsid w:val="00AE3771"/>
    <w:rsid w:val="00AF070F"/>
    <w:rsid w:val="00AF07FE"/>
    <w:rsid w:val="00AF49E7"/>
    <w:rsid w:val="00AF4EF2"/>
    <w:rsid w:val="00AF787C"/>
    <w:rsid w:val="00B00913"/>
    <w:rsid w:val="00B01593"/>
    <w:rsid w:val="00B066F6"/>
    <w:rsid w:val="00B10A4D"/>
    <w:rsid w:val="00B12EA9"/>
    <w:rsid w:val="00B17E71"/>
    <w:rsid w:val="00B17FDE"/>
    <w:rsid w:val="00B2379C"/>
    <w:rsid w:val="00B24468"/>
    <w:rsid w:val="00B2687D"/>
    <w:rsid w:val="00B30A9D"/>
    <w:rsid w:val="00B3245B"/>
    <w:rsid w:val="00B32DDB"/>
    <w:rsid w:val="00B33390"/>
    <w:rsid w:val="00B342EC"/>
    <w:rsid w:val="00B34528"/>
    <w:rsid w:val="00B3576C"/>
    <w:rsid w:val="00B402FC"/>
    <w:rsid w:val="00B4220B"/>
    <w:rsid w:val="00B46604"/>
    <w:rsid w:val="00B47475"/>
    <w:rsid w:val="00B52C19"/>
    <w:rsid w:val="00B55F5E"/>
    <w:rsid w:val="00B5752E"/>
    <w:rsid w:val="00B63A11"/>
    <w:rsid w:val="00B648BF"/>
    <w:rsid w:val="00B64C24"/>
    <w:rsid w:val="00B6608F"/>
    <w:rsid w:val="00B679FB"/>
    <w:rsid w:val="00B71F44"/>
    <w:rsid w:val="00B73521"/>
    <w:rsid w:val="00B75DCF"/>
    <w:rsid w:val="00B76D1E"/>
    <w:rsid w:val="00B77099"/>
    <w:rsid w:val="00B80B4A"/>
    <w:rsid w:val="00B80EC6"/>
    <w:rsid w:val="00B84846"/>
    <w:rsid w:val="00B91CF9"/>
    <w:rsid w:val="00B92512"/>
    <w:rsid w:val="00B92D1D"/>
    <w:rsid w:val="00B938C5"/>
    <w:rsid w:val="00B95940"/>
    <w:rsid w:val="00BA1978"/>
    <w:rsid w:val="00BB46A4"/>
    <w:rsid w:val="00BB46F3"/>
    <w:rsid w:val="00BB4CB1"/>
    <w:rsid w:val="00BB4F98"/>
    <w:rsid w:val="00BB76C0"/>
    <w:rsid w:val="00BC091D"/>
    <w:rsid w:val="00BC1D11"/>
    <w:rsid w:val="00BC4672"/>
    <w:rsid w:val="00BC5773"/>
    <w:rsid w:val="00BC7154"/>
    <w:rsid w:val="00BD17AE"/>
    <w:rsid w:val="00BD366B"/>
    <w:rsid w:val="00BD6CF3"/>
    <w:rsid w:val="00BD6D50"/>
    <w:rsid w:val="00BE0942"/>
    <w:rsid w:val="00BE18B9"/>
    <w:rsid w:val="00BE199D"/>
    <w:rsid w:val="00BE2495"/>
    <w:rsid w:val="00BE3108"/>
    <w:rsid w:val="00BE6A17"/>
    <w:rsid w:val="00BF1578"/>
    <w:rsid w:val="00BF1C7C"/>
    <w:rsid w:val="00BF3C14"/>
    <w:rsid w:val="00C00C50"/>
    <w:rsid w:val="00C02AFC"/>
    <w:rsid w:val="00C03B89"/>
    <w:rsid w:val="00C03C39"/>
    <w:rsid w:val="00C12762"/>
    <w:rsid w:val="00C156DD"/>
    <w:rsid w:val="00C21F94"/>
    <w:rsid w:val="00C27913"/>
    <w:rsid w:val="00C33B68"/>
    <w:rsid w:val="00C36A79"/>
    <w:rsid w:val="00C405D4"/>
    <w:rsid w:val="00C40F5E"/>
    <w:rsid w:val="00C41E38"/>
    <w:rsid w:val="00C43C1D"/>
    <w:rsid w:val="00C4513B"/>
    <w:rsid w:val="00C4589D"/>
    <w:rsid w:val="00C54697"/>
    <w:rsid w:val="00C57962"/>
    <w:rsid w:val="00C66E99"/>
    <w:rsid w:val="00C73885"/>
    <w:rsid w:val="00C747B1"/>
    <w:rsid w:val="00C82191"/>
    <w:rsid w:val="00C84F6A"/>
    <w:rsid w:val="00C854E4"/>
    <w:rsid w:val="00C90CF4"/>
    <w:rsid w:val="00C92EB6"/>
    <w:rsid w:val="00C93389"/>
    <w:rsid w:val="00CA3534"/>
    <w:rsid w:val="00CA48C8"/>
    <w:rsid w:val="00CA5806"/>
    <w:rsid w:val="00CB14C9"/>
    <w:rsid w:val="00CB236C"/>
    <w:rsid w:val="00CB2DDE"/>
    <w:rsid w:val="00CB2FF0"/>
    <w:rsid w:val="00CB4930"/>
    <w:rsid w:val="00CB51D1"/>
    <w:rsid w:val="00CB55EE"/>
    <w:rsid w:val="00CC0249"/>
    <w:rsid w:val="00CC2E7D"/>
    <w:rsid w:val="00CD10A5"/>
    <w:rsid w:val="00CD2076"/>
    <w:rsid w:val="00CD2EE6"/>
    <w:rsid w:val="00CD64D2"/>
    <w:rsid w:val="00CD799D"/>
    <w:rsid w:val="00CE1828"/>
    <w:rsid w:val="00CE670B"/>
    <w:rsid w:val="00CF02B5"/>
    <w:rsid w:val="00CF51EC"/>
    <w:rsid w:val="00CF5230"/>
    <w:rsid w:val="00CF69F2"/>
    <w:rsid w:val="00CF73AE"/>
    <w:rsid w:val="00D040DD"/>
    <w:rsid w:val="00D12A2B"/>
    <w:rsid w:val="00D13986"/>
    <w:rsid w:val="00D21CFD"/>
    <w:rsid w:val="00D220F9"/>
    <w:rsid w:val="00D23870"/>
    <w:rsid w:val="00D24FAD"/>
    <w:rsid w:val="00D25F28"/>
    <w:rsid w:val="00D27973"/>
    <w:rsid w:val="00D27E8A"/>
    <w:rsid w:val="00D33D31"/>
    <w:rsid w:val="00D355F1"/>
    <w:rsid w:val="00D44999"/>
    <w:rsid w:val="00D46251"/>
    <w:rsid w:val="00D4648B"/>
    <w:rsid w:val="00D46E46"/>
    <w:rsid w:val="00D50F46"/>
    <w:rsid w:val="00D52DB0"/>
    <w:rsid w:val="00D55216"/>
    <w:rsid w:val="00D57D55"/>
    <w:rsid w:val="00D62495"/>
    <w:rsid w:val="00D64579"/>
    <w:rsid w:val="00D66223"/>
    <w:rsid w:val="00D71351"/>
    <w:rsid w:val="00D731F5"/>
    <w:rsid w:val="00D8084C"/>
    <w:rsid w:val="00D837BE"/>
    <w:rsid w:val="00D8576E"/>
    <w:rsid w:val="00D85D18"/>
    <w:rsid w:val="00D85FA0"/>
    <w:rsid w:val="00D95744"/>
    <w:rsid w:val="00D968E8"/>
    <w:rsid w:val="00DA2B3D"/>
    <w:rsid w:val="00DA4E55"/>
    <w:rsid w:val="00DA5E97"/>
    <w:rsid w:val="00DA65B3"/>
    <w:rsid w:val="00DA7C0C"/>
    <w:rsid w:val="00DB2EC8"/>
    <w:rsid w:val="00DB5695"/>
    <w:rsid w:val="00DB6CA4"/>
    <w:rsid w:val="00DB6F64"/>
    <w:rsid w:val="00DC35DF"/>
    <w:rsid w:val="00DC5B3B"/>
    <w:rsid w:val="00DD06A7"/>
    <w:rsid w:val="00DD129F"/>
    <w:rsid w:val="00DD1FAB"/>
    <w:rsid w:val="00DD263B"/>
    <w:rsid w:val="00DD59CB"/>
    <w:rsid w:val="00DD6058"/>
    <w:rsid w:val="00DD685B"/>
    <w:rsid w:val="00DE1155"/>
    <w:rsid w:val="00DE165D"/>
    <w:rsid w:val="00DE4A68"/>
    <w:rsid w:val="00DF340F"/>
    <w:rsid w:val="00DF42FF"/>
    <w:rsid w:val="00DF5B53"/>
    <w:rsid w:val="00DF6949"/>
    <w:rsid w:val="00E00B6F"/>
    <w:rsid w:val="00E01C0E"/>
    <w:rsid w:val="00E03F9A"/>
    <w:rsid w:val="00E04694"/>
    <w:rsid w:val="00E05EF9"/>
    <w:rsid w:val="00E06013"/>
    <w:rsid w:val="00E061E4"/>
    <w:rsid w:val="00E068A6"/>
    <w:rsid w:val="00E10381"/>
    <w:rsid w:val="00E113AD"/>
    <w:rsid w:val="00E12B1E"/>
    <w:rsid w:val="00E12BB0"/>
    <w:rsid w:val="00E17262"/>
    <w:rsid w:val="00E17D21"/>
    <w:rsid w:val="00E218EB"/>
    <w:rsid w:val="00E21F18"/>
    <w:rsid w:val="00E24B33"/>
    <w:rsid w:val="00E253A2"/>
    <w:rsid w:val="00E2708E"/>
    <w:rsid w:val="00E277B5"/>
    <w:rsid w:val="00E3309D"/>
    <w:rsid w:val="00E33851"/>
    <w:rsid w:val="00E40233"/>
    <w:rsid w:val="00E4267E"/>
    <w:rsid w:val="00E467FE"/>
    <w:rsid w:val="00E50156"/>
    <w:rsid w:val="00E50DA0"/>
    <w:rsid w:val="00E51526"/>
    <w:rsid w:val="00E53470"/>
    <w:rsid w:val="00E539F6"/>
    <w:rsid w:val="00E54924"/>
    <w:rsid w:val="00E610C0"/>
    <w:rsid w:val="00E61FA2"/>
    <w:rsid w:val="00E64590"/>
    <w:rsid w:val="00E64C92"/>
    <w:rsid w:val="00E6519D"/>
    <w:rsid w:val="00E67553"/>
    <w:rsid w:val="00E67696"/>
    <w:rsid w:val="00E71212"/>
    <w:rsid w:val="00E71A58"/>
    <w:rsid w:val="00E72814"/>
    <w:rsid w:val="00E72A7A"/>
    <w:rsid w:val="00E75C94"/>
    <w:rsid w:val="00E8012C"/>
    <w:rsid w:val="00E90D7B"/>
    <w:rsid w:val="00E92183"/>
    <w:rsid w:val="00E9374B"/>
    <w:rsid w:val="00E93820"/>
    <w:rsid w:val="00E948EF"/>
    <w:rsid w:val="00E96E34"/>
    <w:rsid w:val="00EA0C68"/>
    <w:rsid w:val="00EA14EA"/>
    <w:rsid w:val="00EB1F23"/>
    <w:rsid w:val="00EC03D7"/>
    <w:rsid w:val="00EC447F"/>
    <w:rsid w:val="00EC7F1C"/>
    <w:rsid w:val="00ED15DA"/>
    <w:rsid w:val="00ED62C6"/>
    <w:rsid w:val="00ED64C1"/>
    <w:rsid w:val="00EE2183"/>
    <w:rsid w:val="00EE3446"/>
    <w:rsid w:val="00EE3E78"/>
    <w:rsid w:val="00EE4B1B"/>
    <w:rsid w:val="00EE5306"/>
    <w:rsid w:val="00EE5F59"/>
    <w:rsid w:val="00EE67D0"/>
    <w:rsid w:val="00EE6A2A"/>
    <w:rsid w:val="00EF0699"/>
    <w:rsid w:val="00EF150D"/>
    <w:rsid w:val="00EF1F5A"/>
    <w:rsid w:val="00EF3F54"/>
    <w:rsid w:val="00F00908"/>
    <w:rsid w:val="00F01819"/>
    <w:rsid w:val="00F04811"/>
    <w:rsid w:val="00F0488C"/>
    <w:rsid w:val="00F0585C"/>
    <w:rsid w:val="00F06238"/>
    <w:rsid w:val="00F070F2"/>
    <w:rsid w:val="00F11FE1"/>
    <w:rsid w:val="00F1372A"/>
    <w:rsid w:val="00F14664"/>
    <w:rsid w:val="00F15AAA"/>
    <w:rsid w:val="00F15BEF"/>
    <w:rsid w:val="00F1639F"/>
    <w:rsid w:val="00F201EE"/>
    <w:rsid w:val="00F20AB8"/>
    <w:rsid w:val="00F21BC5"/>
    <w:rsid w:val="00F24407"/>
    <w:rsid w:val="00F24FAA"/>
    <w:rsid w:val="00F2712C"/>
    <w:rsid w:val="00F32BBB"/>
    <w:rsid w:val="00F3364D"/>
    <w:rsid w:val="00F34430"/>
    <w:rsid w:val="00F402DF"/>
    <w:rsid w:val="00F4064E"/>
    <w:rsid w:val="00F431BB"/>
    <w:rsid w:val="00F437CC"/>
    <w:rsid w:val="00F47067"/>
    <w:rsid w:val="00F50917"/>
    <w:rsid w:val="00F510D8"/>
    <w:rsid w:val="00F525EB"/>
    <w:rsid w:val="00F571F5"/>
    <w:rsid w:val="00F6341A"/>
    <w:rsid w:val="00F63DDE"/>
    <w:rsid w:val="00F63FB7"/>
    <w:rsid w:val="00F649D2"/>
    <w:rsid w:val="00F6602B"/>
    <w:rsid w:val="00F7312B"/>
    <w:rsid w:val="00F73A0C"/>
    <w:rsid w:val="00F756DB"/>
    <w:rsid w:val="00F766A6"/>
    <w:rsid w:val="00F84788"/>
    <w:rsid w:val="00F85066"/>
    <w:rsid w:val="00F911BC"/>
    <w:rsid w:val="00F9140D"/>
    <w:rsid w:val="00F943EC"/>
    <w:rsid w:val="00FA0333"/>
    <w:rsid w:val="00FA5D4D"/>
    <w:rsid w:val="00FB0E9F"/>
    <w:rsid w:val="00FB188F"/>
    <w:rsid w:val="00FB2738"/>
    <w:rsid w:val="00FB32EA"/>
    <w:rsid w:val="00FB3C77"/>
    <w:rsid w:val="00FB46C6"/>
    <w:rsid w:val="00FB4D96"/>
    <w:rsid w:val="00FB5C27"/>
    <w:rsid w:val="00FB67B1"/>
    <w:rsid w:val="00FC0E5F"/>
    <w:rsid w:val="00FC1A95"/>
    <w:rsid w:val="00FC56DE"/>
    <w:rsid w:val="00FC684B"/>
    <w:rsid w:val="00FE1899"/>
    <w:rsid w:val="00FE2F78"/>
    <w:rsid w:val="00FE3EB9"/>
    <w:rsid w:val="00FE4142"/>
    <w:rsid w:val="00FE5569"/>
    <w:rsid w:val="00FE5FF7"/>
    <w:rsid w:val="00FF16A4"/>
    <w:rsid w:val="00FF27EF"/>
    <w:rsid w:val="00FF34C4"/>
    <w:rsid w:val="00FF58F1"/>
    <w:rsid w:val="00FF7B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27EF00D5"/>
  <w15:docId w15:val="{02B204CD-B238-444A-8B3A-E295FB49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lang w:eastAsia="cs-CZ"/>
    </w:rPr>
  </w:style>
  <w:style w:type="paragraph" w:styleId="Nadpis1">
    <w:name w:val="heading 1"/>
    <w:next w:val="Normln"/>
    <w:link w:val="Nadpis1Char"/>
    <w:uiPriority w:val="9"/>
    <w:qFormat/>
    <w:rsid w:val="00300FF9"/>
    <w:pPr>
      <w:keepNext/>
      <w:keepLines/>
      <w:spacing w:after="100" w:line="288" w:lineRule="auto"/>
      <w:contextualSpacing/>
      <w:outlineLvl w:val="0"/>
    </w:pPr>
    <w:rPr>
      <w:rFonts w:ascii="Arial" w:eastAsia="MS Gothic" w:hAnsi="Arial"/>
      <w:b/>
      <w:bCs/>
      <w:caps/>
      <w:sz w:val="32"/>
      <w:szCs w:val="28"/>
      <w:lang w:eastAsia="cs-CZ"/>
    </w:rPr>
  </w:style>
  <w:style w:type="paragraph" w:styleId="Nadpis2">
    <w:name w:val="heading 2"/>
    <w:next w:val="Normln"/>
    <w:link w:val="Nadpis2Char"/>
    <w:uiPriority w:val="9"/>
    <w:qFormat/>
    <w:rsid w:val="00BE3108"/>
    <w:pPr>
      <w:keepNext/>
      <w:keepLines/>
      <w:spacing w:line="288" w:lineRule="auto"/>
      <w:outlineLvl w:val="1"/>
    </w:pPr>
    <w:rPr>
      <w:rFonts w:ascii="Arial" w:eastAsia="MS Gothic" w:hAnsi="Arial"/>
      <w:b/>
      <w:bCs/>
      <w:sz w:val="28"/>
      <w:szCs w:val="26"/>
      <w:lang w:eastAsia="cs-CZ"/>
    </w:rPr>
  </w:style>
  <w:style w:type="paragraph" w:styleId="Nadpis3">
    <w:name w:val="heading 3"/>
    <w:next w:val="Normln"/>
    <w:link w:val="Nadpis3Char"/>
    <w:uiPriority w:val="9"/>
    <w:qFormat/>
    <w:rsid w:val="00BE3108"/>
    <w:pPr>
      <w:keepNext/>
      <w:keepLines/>
      <w:spacing w:line="288" w:lineRule="auto"/>
      <w:outlineLvl w:val="2"/>
    </w:pPr>
    <w:rPr>
      <w:rFonts w:ascii="Arial" w:eastAsia="MS Gothic" w:hAnsi="Arial"/>
      <w:b/>
      <w:bCs/>
      <w:sz w:val="24"/>
      <w:szCs w:val="24"/>
      <w:lang w:eastAsia="cs-CZ"/>
    </w:rPr>
  </w:style>
  <w:style w:type="paragraph" w:styleId="Nadpis4">
    <w:name w:val="heading 4"/>
    <w:next w:val="Normln"/>
    <w:link w:val="Nadpis4Char"/>
    <w:uiPriority w:val="9"/>
    <w:qFormat/>
    <w:rsid w:val="00BE3108"/>
    <w:pPr>
      <w:keepNext/>
      <w:keepLines/>
      <w:spacing w:line="288" w:lineRule="auto"/>
      <w:outlineLvl w:val="3"/>
    </w:pPr>
    <w:rPr>
      <w:rFonts w:ascii="Arial" w:eastAsia="MS Gothic" w:hAnsi="Arial"/>
      <w:b/>
      <w:bCs/>
      <w:iCs/>
      <w:szCs w:val="24"/>
      <w:lang w:eastAsia="cs-CZ"/>
    </w:rPr>
  </w:style>
  <w:style w:type="paragraph" w:styleId="Nadpis5">
    <w:name w:val="heading 5"/>
    <w:basedOn w:val="Normln"/>
    <w:next w:val="Normln"/>
    <w:link w:val="Nadpis5Char"/>
    <w:uiPriority w:val="9"/>
    <w:semiHidden/>
    <w:unhideWhenUsed/>
    <w:rsid w:val="0097104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97104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97104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00FF9"/>
    <w:rPr>
      <w:rFonts w:ascii="Arial" w:eastAsia="MS Gothic" w:hAnsi="Arial"/>
      <w:b/>
      <w:bCs/>
      <w:caps/>
      <w:sz w:val="32"/>
      <w:szCs w:val="28"/>
      <w:lang w:eastAsia="cs-CZ"/>
    </w:rPr>
  </w:style>
  <w:style w:type="character" w:customStyle="1" w:styleId="Nadpis2Char">
    <w:name w:val="Nadpis 2 Char"/>
    <w:link w:val="Nadpis2"/>
    <w:uiPriority w:val="9"/>
    <w:rsid w:val="00BE3108"/>
    <w:rPr>
      <w:rFonts w:ascii="Arial" w:eastAsia="MS Gothic" w:hAnsi="Arial"/>
      <w:b/>
      <w:bCs/>
      <w:sz w:val="28"/>
      <w:szCs w:val="26"/>
    </w:rPr>
  </w:style>
  <w:style w:type="character" w:customStyle="1" w:styleId="Nadpis3Char">
    <w:name w:val="Nadpis 3 Char"/>
    <w:link w:val="Nadpis3"/>
    <w:uiPriority w:val="9"/>
    <w:rsid w:val="00BE3108"/>
    <w:rPr>
      <w:rFonts w:ascii="Arial" w:eastAsia="MS Gothic" w:hAnsi="Arial"/>
      <w:b/>
      <w:bCs/>
      <w:sz w:val="24"/>
      <w:szCs w:val="24"/>
    </w:rPr>
  </w:style>
  <w:style w:type="character" w:customStyle="1" w:styleId="Nadpis4Char">
    <w:name w:val="Nadpis 4 Char"/>
    <w:link w:val="Nadpis4"/>
    <w:uiPriority w:val="9"/>
    <w:rsid w:val="00BE3108"/>
    <w:rPr>
      <w:rFonts w:ascii="Arial" w:eastAsia="MS Gothic" w:hAnsi="Arial"/>
      <w:b/>
      <w:bCs/>
      <w:iCs/>
      <w:szCs w:val="24"/>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qFormat/>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2E57D3"/>
    <w:pPr>
      <w:spacing w:after="80" w:line="288" w:lineRule="auto"/>
    </w:pPr>
    <w:rPr>
      <w:rFonts w:ascii="Arial" w:eastAsia="Times New Roman" w:hAnsi="Arial"/>
      <w:b/>
      <w:color w:val="747678"/>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Box1">
    <w:name w:val="Box 1"/>
    <w:next w:val="Normln"/>
    <w:qFormat/>
    <w:rsid w:val="00BE3108"/>
    <w:pPr>
      <w:shd w:val="clear" w:color="auto" w:fill="E3E3E3"/>
      <w:spacing w:before="240" w:after="240" w:line="288" w:lineRule="auto"/>
      <w:ind w:left="709"/>
      <w:contextualSpacing/>
    </w:pPr>
    <w:rPr>
      <w:rFonts w:ascii="Arial" w:hAnsi="Arial" w:cs="Arial"/>
      <w:lang w:eastAsia="cs-CZ"/>
    </w:rPr>
  </w:style>
  <w:style w:type="paragraph" w:customStyle="1" w:styleId="Box2">
    <w:name w:val="Box 2"/>
    <w:qFormat/>
    <w:rsid w:val="00F0585C"/>
    <w:pPr>
      <w:spacing w:before="240" w:after="240" w:line="288" w:lineRule="auto"/>
      <w:ind w:left="709"/>
      <w:contextualSpacing/>
    </w:pPr>
    <w:rPr>
      <w:rFonts w:ascii="Arial" w:hAnsi="Arial" w:cs="Arial"/>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2E57D3"/>
    <w:pPr>
      <w:spacing w:after="40"/>
      <w:contextualSpacing/>
    </w:pPr>
    <w:rPr>
      <w:b/>
      <w:caps/>
      <w:color w:val="747678"/>
      <w:sz w:val="24"/>
    </w:rPr>
  </w:style>
  <w:style w:type="paragraph" w:customStyle="1" w:styleId="TLKontakty">
    <w:name w:val="TL Kontakty"/>
    <w:qFormat/>
    <w:rsid w:val="002E57D3"/>
    <w:pPr>
      <w:spacing w:after="160" w:line="259" w:lineRule="auto"/>
      <w:contextualSpacing/>
    </w:pPr>
    <w:rPr>
      <w:rFonts w:ascii="Arial" w:eastAsia="Times New Roman" w:hAnsi="Arial"/>
      <w:b/>
      <w:lang w:eastAsia="cs-CZ"/>
    </w:rPr>
  </w:style>
  <w:style w:type="paragraph" w:styleId="Nzev">
    <w:name w:val="Title"/>
    <w:aliases w:val="Titulek_"/>
    <w:link w:val="NzevChar"/>
    <w:qFormat/>
    <w:rsid w:val="000E6FBD"/>
    <w:pPr>
      <w:spacing w:line="288" w:lineRule="auto"/>
    </w:pPr>
    <w:rPr>
      <w:rFonts w:ascii="Arial" w:eastAsia="Times New Roman" w:hAnsi="Arial"/>
      <w:b/>
      <w:bCs/>
      <w:caps/>
      <w:kern w:val="28"/>
      <w:sz w:val="56"/>
      <w:szCs w:val="32"/>
      <w:lang w:eastAsia="cs-CZ"/>
    </w:rPr>
  </w:style>
  <w:style w:type="character" w:customStyle="1" w:styleId="NzevChar">
    <w:name w:val="Název Char"/>
    <w:aliases w:val="Titulek_ Char"/>
    <w:link w:val="Nzev"/>
    <w:rsid w:val="000E6FBD"/>
    <w:rPr>
      <w:rFonts w:ascii="Arial" w:eastAsia="Times New Roman" w:hAnsi="Arial"/>
      <w:b/>
      <w:bCs/>
      <w:caps/>
      <w:kern w:val="28"/>
      <w:sz w:val="56"/>
      <w:szCs w:val="32"/>
    </w:rPr>
  </w:style>
  <w:style w:type="paragraph" w:styleId="Podnadpis">
    <w:name w:val="Subtitle"/>
    <w:link w:val="PodnadpisChar"/>
    <w:qFormat/>
    <w:rsid w:val="0012192F"/>
    <w:pPr>
      <w:spacing w:line="288" w:lineRule="auto"/>
    </w:pPr>
    <w:rPr>
      <w:rFonts w:ascii="Arial" w:eastAsia="Times New Roman" w:hAnsi="Arial" w:cs="Arial"/>
      <w:b/>
      <w:sz w:val="28"/>
      <w:szCs w:val="24"/>
      <w:lang w:eastAsia="cs-CZ"/>
    </w:rPr>
  </w:style>
  <w:style w:type="character" w:customStyle="1" w:styleId="PodnadpisChar">
    <w:name w:val="Podnadpis Char"/>
    <w:link w:val="Podnadpis"/>
    <w:rsid w:val="0012192F"/>
    <w:rPr>
      <w:rFonts w:ascii="Arial" w:eastAsia="Times New Roman" w:hAnsi="Arial" w:cs="Arial"/>
      <w:b/>
      <w:sz w:val="28"/>
      <w:szCs w:val="24"/>
    </w:rPr>
  </w:style>
  <w:style w:type="paragraph" w:styleId="Obsah2">
    <w:name w:val="toc 2"/>
    <w:basedOn w:val="Obsahpoloky"/>
    <w:next w:val="Obsahpoloky"/>
    <w:autoRedefine/>
    <w:uiPriority w:val="39"/>
    <w:unhideWhenUsed/>
    <w:qFormat/>
    <w:rsid w:val="00FC1A95"/>
    <w:pPr>
      <w:ind w:left="200"/>
    </w:pPr>
  </w:style>
  <w:style w:type="paragraph" w:styleId="Obsah3">
    <w:name w:val="toc 3"/>
    <w:basedOn w:val="Obsahpoloky"/>
    <w:next w:val="Obsahpoloky"/>
    <w:autoRedefine/>
    <w:uiPriority w:val="39"/>
    <w:unhideWhenUsed/>
    <w:qFormat/>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97104F"/>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97104F"/>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97104F"/>
    <w:rPr>
      <w:rFonts w:asciiTheme="majorHAnsi" w:eastAsiaTheme="majorEastAsia" w:hAnsiTheme="majorHAnsi" w:cstheme="majorBidi"/>
      <w:i/>
      <w:iCs/>
      <w:color w:val="404040" w:themeColor="text1" w:themeTint="BF"/>
      <w:szCs w:val="24"/>
      <w:lang w:eastAsia="cs-CZ"/>
    </w:rPr>
  </w:style>
  <w:style w:type="paragraph" w:styleId="Zkladntext3">
    <w:name w:val="Body Text 3"/>
    <w:basedOn w:val="Normln"/>
    <w:link w:val="Zkladntext3Char"/>
    <w:semiHidden/>
    <w:rsid w:val="0097104F"/>
    <w:pPr>
      <w:spacing w:before="240" w:after="0"/>
      <w:jc w:val="both"/>
    </w:pPr>
    <w:rPr>
      <w:rFonts w:cs="Arial"/>
    </w:rPr>
  </w:style>
  <w:style w:type="character" w:customStyle="1" w:styleId="Zkladntext3Char">
    <w:name w:val="Základní text 3 Char"/>
    <w:basedOn w:val="Standardnpsmoodstavce"/>
    <w:link w:val="Zkladntext3"/>
    <w:semiHidden/>
    <w:rsid w:val="0097104F"/>
    <w:rPr>
      <w:rFonts w:ascii="Arial" w:eastAsia="Times New Roman" w:hAnsi="Arial" w:cs="Arial"/>
      <w:szCs w:val="24"/>
      <w:lang w:eastAsia="cs-CZ"/>
    </w:rPr>
  </w:style>
  <w:style w:type="paragraph" w:styleId="Zkladntext">
    <w:name w:val="Body Text"/>
    <w:basedOn w:val="Normln"/>
    <w:link w:val="ZkladntextChar"/>
    <w:uiPriority w:val="99"/>
    <w:semiHidden/>
    <w:unhideWhenUsed/>
    <w:rsid w:val="0097104F"/>
    <w:pPr>
      <w:spacing w:after="120"/>
    </w:pPr>
  </w:style>
  <w:style w:type="character" w:customStyle="1" w:styleId="ZkladntextChar">
    <w:name w:val="Základní text Char"/>
    <w:basedOn w:val="Standardnpsmoodstavce"/>
    <w:link w:val="Zkladntext"/>
    <w:uiPriority w:val="99"/>
    <w:semiHidden/>
    <w:rsid w:val="0097104F"/>
    <w:rPr>
      <w:rFonts w:ascii="Arial" w:eastAsia="Times New Roman" w:hAnsi="Arial"/>
      <w:szCs w:val="24"/>
      <w:lang w:eastAsia="cs-CZ"/>
    </w:rPr>
  </w:style>
  <w:style w:type="paragraph" w:styleId="Zkladntextodsazen3">
    <w:name w:val="Body Text Indent 3"/>
    <w:basedOn w:val="Normln"/>
    <w:link w:val="Zkladntextodsazen3Char"/>
    <w:uiPriority w:val="99"/>
    <w:unhideWhenUsed/>
    <w:rsid w:val="0097104F"/>
    <w:pPr>
      <w:spacing w:after="120" w:line="300" w:lineRule="exact"/>
      <w:ind w:left="283"/>
      <w:jc w:val="both"/>
    </w:pPr>
    <w:rPr>
      <w:rFonts w:eastAsia="Calibri"/>
      <w:sz w:val="16"/>
      <w:szCs w:val="16"/>
      <w:lang w:eastAsia="en-US"/>
    </w:rPr>
  </w:style>
  <w:style w:type="character" w:customStyle="1" w:styleId="Zkladntextodsazen3Char">
    <w:name w:val="Základní text odsazený 3 Char"/>
    <w:basedOn w:val="Standardnpsmoodstavce"/>
    <w:link w:val="Zkladntextodsazen3"/>
    <w:uiPriority w:val="99"/>
    <w:rsid w:val="0097104F"/>
    <w:rPr>
      <w:rFonts w:ascii="Arial" w:hAnsi="Arial"/>
      <w:sz w:val="16"/>
      <w:szCs w:val="16"/>
    </w:rPr>
  </w:style>
  <w:style w:type="paragraph" w:styleId="Zkladntextodsazen2">
    <w:name w:val="Body Text Indent 2"/>
    <w:basedOn w:val="Normln"/>
    <w:link w:val="Zkladntextodsazen2Char"/>
    <w:uiPriority w:val="99"/>
    <w:unhideWhenUsed/>
    <w:rsid w:val="0097104F"/>
    <w:pPr>
      <w:spacing w:after="120" w:line="480" w:lineRule="auto"/>
      <w:ind w:left="283"/>
      <w:jc w:val="both"/>
    </w:pPr>
    <w:rPr>
      <w:rFonts w:eastAsia="Calibri"/>
      <w:szCs w:val="22"/>
      <w:lang w:eastAsia="en-US"/>
    </w:rPr>
  </w:style>
  <w:style w:type="character" w:customStyle="1" w:styleId="Zkladntextodsazen2Char">
    <w:name w:val="Základní text odsazený 2 Char"/>
    <w:basedOn w:val="Standardnpsmoodstavce"/>
    <w:link w:val="Zkladntextodsazen2"/>
    <w:uiPriority w:val="99"/>
    <w:rsid w:val="0097104F"/>
    <w:rPr>
      <w:rFonts w:ascii="Arial" w:hAnsi="Arial"/>
      <w:szCs w:val="22"/>
    </w:rPr>
  </w:style>
  <w:style w:type="paragraph" w:customStyle="1" w:styleId="Poznamkytexty">
    <w:name w:val="Poznamky texty"/>
    <w:basedOn w:val="Normln"/>
    <w:qFormat/>
    <w:rsid w:val="0097104F"/>
    <w:pPr>
      <w:spacing w:after="0" w:line="240" w:lineRule="exact"/>
      <w:jc w:val="both"/>
    </w:pPr>
    <w:rPr>
      <w:rFonts w:eastAsia="Calibri" w:cs="ArialMT"/>
      <w:i/>
      <w:color w:val="000000"/>
      <w:sz w:val="18"/>
      <w:szCs w:val="18"/>
      <w:lang w:eastAsia="en-US"/>
    </w:rPr>
  </w:style>
  <w:style w:type="character" w:styleId="Znakapoznpodarou">
    <w:name w:val="footnote reference"/>
    <w:basedOn w:val="Standardnpsmoodstavce"/>
    <w:uiPriority w:val="99"/>
    <w:semiHidden/>
    <w:unhideWhenUsed/>
    <w:rsid w:val="0097104F"/>
    <w:rPr>
      <w:vertAlign w:val="superscript"/>
    </w:rPr>
  </w:style>
  <w:style w:type="paragraph" w:customStyle="1" w:styleId="Perex">
    <w:name w:val="Perex_"/>
    <w:next w:val="Normln"/>
    <w:qFormat/>
    <w:rsid w:val="007408B0"/>
    <w:pPr>
      <w:autoSpaceDE w:val="0"/>
      <w:autoSpaceDN w:val="0"/>
      <w:adjustRightInd w:val="0"/>
      <w:spacing w:before="120" w:after="280" w:line="288" w:lineRule="auto"/>
      <w:jc w:val="both"/>
    </w:pPr>
    <w:rPr>
      <w:rFonts w:ascii="Arial" w:hAnsi="Arial" w:cs="Arial"/>
      <w:b/>
      <w:szCs w:val="18"/>
    </w:rPr>
  </w:style>
  <w:style w:type="paragraph" w:customStyle="1" w:styleId="Podtitulek">
    <w:name w:val="Podtitulek_"/>
    <w:next w:val="Normln"/>
    <w:link w:val="PodtitulekChar"/>
    <w:qFormat/>
    <w:rsid w:val="0097104F"/>
    <w:pPr>
      <w:spacing w:before="80" w:after="280" w:line="320" w:lineRule="exact"/>
      <w:outlineLvl w:val="0"/>
    </w:pPr>
    <w:rPr>
      <w:rFonts w:ascii="Arial" w:eastAsia="Times New Roman" w:hAnsi="Arial"/>
      <w:b/>
      <w:bCs/>
      <w:sz w:val="28"/>
      <w:szCs w:val="28"/>
    </w:rPr>
  </w:style>
  <w:style w:type="character" w:customStyle="1" w:styleId="PodtitulekChar">
    <w:name w:val="Podtitulek_ Char"/>
    <w:link w:val="Podtitulek"/>
    <w:rsid w:val="0097104F"/>
    <w:rPr>
      <w:rFonts w:ascii="Arial" w:eastAsia="Times New Roman" w:hAnsi="Arial"/>
      <w:b/>
      <w:bCs/>
      <w:sz w:val="28"/>
      <w:szCs w:val="28"/>
    </w:rPr>
  </w:style>
  <w:style w:type="paragraph" w:styleId="Textpoznpodarou">
    <w:name w:val="footnote text"/>
    <w:basedOn w:val="Normln"/>
    <w:link w:val="TextpoznpodarouChar"/>
    <w:uiPriority w:val="99"/>
    <w:semiHidden/>
    <w:unhideWhenUsed/>
    <w:rsid w:val="0097104F"/>
    <w:pPr>
      <w:spacing w:after="0" w:line="240" w:lineRule="auto"/>
    </w:pPr>
    <w:rPr>
      <w:rFonts w:ascii="Times New Roman" w:hAnsi="Times New Roman"/>
      <w:szCs w:val="20"/>
      <w:lang w:val="en-GB"/>
    </w:rPr>
  </w:style>
  <w:style w:type="character" w:customStyle="1" w:styleId="TextpoznpodarouChar">
    <w:name w:val="Text pozn. pod čarou Char"/>
    <w:basedOn w:val="Standardnpsmoodstavce"/>
    <w:link w:val="Textpoznpodarou"/>
    <w:uiPriority w:val="99"/>
    <w:semiHidden/>
    <w:rsid w:val="0097104F"/>
    <w:rPr>
      <w:rFonts w:ascii="Times New Roman" w:eastAsia="Times New Roman" w:hAnsi="Times New Roman"/>
      <w:lang w:val="en-GB" w:eastAsia="cs-CZ"/>
    </w:rPr>
  </w:style>
  <w:style w:type="paragraph" w:customStyle="1" w:styleId="Poznmkytext">
    <w:name w:val="Poznámky text"/>
    <w:basedOn w:val="Normln"/>
    <w:qFormat/>
    <w:rsid w:val="0097104F"/>
    <w:pPr>
      <w:spacing w:after="0" w:line="240" w:lineRule="exact"/>
      <w:jc w:val="both"/>
    </w:pPr>
    <w:rPr>
      <w:rFonts w:eastAsia="Calibri" w:cs="ArialMT"/>
      <w:color w:val="000000"/>
      <w:sz w:val="18"/>
      <w:szCs w:val="18"/>
      <w:lang w:val="en-US"/>
    </w:rPr>
  </w:style>
  <w:style w:type="character" w:styleId="Nzevknihy">
    <w:name w:val="Book Title"/>
    <w:basedOn w:val="Standardnpsmoodstavce"/>
    <w:uiPriority w:val="33"/>
    <w:qFormat/>
    <w:rsid w:val="0097104F"/>
    <w:rPr>
      <w:b/>
      <w:bCs/>
      <w:smallCaps/>
      <w:spacing w:val="5"/>
    </w:rPr>
  </w:style>
  <w:style w:type="paragraph" w:styleId="Nadpisobsahu">
    <w:name w:val="TOC Heading"/>
    <w:basedOn w:val="Nadpis1"/>
    <w:next w:val="Normln"/>
    <w:uiPriority w:val="39"/>
    <w:semiHidden/>
    <w:unhideWhenUsed/>
    <w:qFormat/>
    <w:rsid w:val="008133DB"/>
    <w:pPr>
      <w:spacing w:before="480" w:after="0" w:line="276" w:lineRule="auto"/>
      <w:contextualSpacing w:val="0"/>
      <w:outlineLvl w:val="9"/>
    </w:pPr>
    <w:rPr>
      <w:rFonts w:asciiTheme="majorHAnsi" w:eastAsiaTheme="majorEastAsia" w:hAnsiTheme="majorHAnsi" w:cstheme="majorBidi"/>
      <w:color w:val="365F91" w:themeColor="accent1" w:themeShade="BF"/>
      <w:sz w:val="28"/>
      <w:lang w:eastAsia="en-US"/>
    </w:rPr>
  </w:style>
  <w:style w:type="character" w:customStyle="1" w:styleId="shorttext">
    <w:name w:val="short_text"/>
    <w:basedOn w:val="Standardnpsmoodstavce"/>
    <w:rsid w:val="00CF69F2"/>
  </w:style>
  <w:style w:type="character" w:customStyle="1" w:styleId="tlid-translation">
    <w:name w:val="tlid-translation"/>
    <w:basedOn w:val="Standardnpsmoodstavce"/>
    <w:rsid w:val="002B00CB"/>
  </w:style>
  <w:style w:type="character" w:customStyle="1" w:styleId="alt-edited">
    <w:name w:val="alt-edited"/>
    <w:basedOn w:val="Standardnpsmoodstavce"/>
    <w:rsid w:val="002B00CB"/>
  </w:style>
  <w:style w:type="character" w:styleId="Sledovanodkaz">
    <w:name w:val="FollowedHyperlink"/>
    <w:basedOn w:val="Standardnpsmoodstavce"/>
    <w:uiPriority w:val="99"/>
    <w:semiHidden/>
    <w:unhideWhenUsed/>
    <w:rsid w:val="001300F2"/>
    <w:rPr>
      <w:color w:val="800080" w:themeColor="followedHyperlink"/>
      <w:u w:val="single"/>
    </w:rPr>
  </w:style>
  <w:style w:type="character" w:customStyle="1" w:styleId="jlqj4b">
    <w:name w:val="jlqj4b"/>
    <w:basedOn w:val="Standardnpsmoodstavce"/>
    <w:rsid w:val="00347496"/>
  </w:style>
  <w:style w:type="character" w:customStyle="1" w:styleId="q4iawc">
    <w:name w:val="q4iawc"/>
    <w:basedOn w:val="Standardnpsmoodstavce"/>
    <w:rsid w:val="00A460A9"/>
  </w:style>
  <w:style w:type="character" w:customStyle="1" w:styleId="viiyi">
    <w:name w:val="viiyi"/>
    <w:basedOn w:val="Standardnpsmoodstavce"/>
    <w:rsid w:val="00A460A9"/>
  </w:style>
  <w:style w:type="paragraph" w:styleId="Revize">
    <w:name w:val="Revision"/>
    <w:hidden/>
    <w:uiPriority w:val="99"/>
    <w:semiHidden/>
    <w:rsid w:val="00476EA8"/>
    <w:rPr>
      <w:rFonts w:ascii="Arial" w:hAnsi="Arial"/>
      <w:szCs w:val="22"/>
      <w:lang w:val="en-GB"/>
    </w:rPr>
  </w:style>
  <w:style w:type="character" w:customStyle="1" w:styleId="rynqvb">
    <w:name w:val="rynqvb"/>
    <w:basedOn w:val="Standardnpsmoodstavce"/>
    <w:rsid w:val="004B7E4E"/>
  </w:style>
  <w:style w:type="character" w:customStyle="1" w:styleId="hwtze">
    <w:name w:val="hwtze"/>
    <w:basedOn w:val="Standardnpsmoodstavce"/>
    <w:rsid w:val="00DA65B3"/>
  </w:style>
  <w:style w:type="paragraph" w:customStyle="1" w:styleId="Nadpis1slovan">
    <w:name w:val="Nadpis 1 číslovaný"/>
    <w:basedOn w:val="Normln"/>
    <w:next w:val="Normln"/>
    <w:uiPriority w:val="3"/>
    <w:qFormat/>
    <w:rsid w:val="00D71351"/>
    <w:pPr>
      <w:keepNext/>
      <w:keepLines/>
      <w:numPr>
        <w:numId w:val="19"/>
      </w:numPr>
      <w:tabs>
        <w:tab w:val="num" w:pos="360"/>
      </w:tabs>
      <w:suppressAutoHyphens/>
      <w:spacing w:before="640" w:after="160" w:line="276" w:lineRule="auto"/>
      <w:ind w:left="0" w:firstLine="0"/>
    </w:pPr>
    <w:rPr>
      <w:rFonts w:asciiTheme="minorHAnsi" w:eastAsiaTheme="minorHAnsi" w:hAnsiTheme="minorHAnsi" w:cstheme="minorBidi"/>
      <w:b/>
      <w:color w:val="1F497D" w:themeColor="text2"/>
      <w:kern w:val="2"/>
      <w:sz w:val="40"/>
      <w:szCs w:val="20"/>
      <w:lang w:eastAsia="en-US"/>
    </w:rPr>
  </w:style>
  <w:style w:type="paragraph" w:customStyle="1" w:styleId="Nadpis2slovan">
    <w:name w:val="Nadpis 2 číslovaný"/>
    <w:basedOn w:val="Normln"/>
    <w:next w:val="Normln"/>
    <w:uiPriority w:val="3"/>
    <w:qFormat/>
    <w:rsid w:val="00D71351"/>
    <w:pPr>
      <w:numPr>
        <w:ilvl w:val="1"/>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32"/>
      <w:szCs w:val="20"/>
      <w:lang w:eastAsia="en-US"/>
    </w:rPr>
  </w:style>
  <w:style w:type="paragraph" w:customStyle="1" w:styleId="Nadpis3slovan">
    <w:name w:val="Nadpis 3 číslovaný"/>
    <w:basedOn w:val="Normln"/>
    <w:next w:val="Normln"/>
    <w:uiPriority w:val="3"/>
    <w:qFormat/>
    <w:rsid w:val="00D71351"/>
    <w:pPr>
      <w:keepNext/>
      <w:keepLines/>
      <w:numPr>
        <w:ilvl w:val="2"/>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28"/>
      <w:szCs w:val="20"/>
      <w:lang w:eastAsia="en-US"/>
    </w:rPr>
  </w:style>
  <w:style w:type="paragraph" w:customStyle="1" w:styleId="Nadpis4slovan">
    <w:name w:val="Nadpis 4 číslovaný"/>
    <w:basedOn w:val="Normln"/>
    <w:next w:val="Normln"/>
    <w:uiPriority w:val="3"/>
    <w:qFormat/>
    <w:rsid w:val="00D71351"/>
    <w:pPr>
      <w:keepNext/>
      <w:keepLines/>
      <w:numPr>
        <w:ilvl w:val="3"/>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24"/>
      <w:szCs w:val="20"/>
      <w:lang w:eastAsia="en-US"/>
    </w:rPr>
  </w:style>
  <w:style w:type="paragraph" w:customStyle="1" w:styleId="Nadpis5slovan">
    <w:name w:val="Nadpis 5 číslovaný"/>
    <w:basedOn w:val="Normln"/>
    <w:next w:val="Normln"/>
    <w:uiPriority w:val="3"/>
    <w:qFormat/>
    <w:rsid w:val="00D71351"/>
    <w:pPr>
      <w:keepNext/>
      <w:keepLines/>
      <w:numPr>
        <w:ilvl w:val="4"/>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22"/>
      <w:szCs w:val="20"/>
      <w:lang w:eastAsia="en-US"/>
    </w:rPr>
  </w:style>
  <w:style w:type="paragraph" w:customStyle="1" w:styleId="Nadpis6slovan">
    <w:name w:val="Nadpis 6 číslovaný"/>
    <w:basedOn w:val="Normln"/>
    <w:next w:val="Normln"/>
    <w:uiPriority w:val="3"/>
    <w:qFormat/>
    <w:rsid w:val="00D71351"/>
    <w:pPr>
      <w:keepNext/>
      <w:keepLines/>
      <w:numPr>
        <w:ilvl w:val="5"/>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Cs w:val="20"/>
      <w:lang w:eastAsia="en-US"/>
    </w:rPr>
  </w:style>
  <w:style w:type="numbering" w:customStyle="1" w:styleId="Stylseznamu-nadpisyslovan">
    <w:name w:val="Styl seznamu - nadpisy číslované"/>
    <w:uiPriority w:val="99"/>
    <w:rsid w:val="00D71351"/>
    <w:pPr>
      <w:numPr>
        <w:numId w:val="18"/>
      </w:numPr>
    </w:pPr>
  </w:style>
  <w:style w:type="paragraph" w:customStyle="1" w:styleId="Poznmky">
    <w:name w:val="Poznámky"/>
    <w:basedOn w:val="Normln"/>
    <w:qFormat/>
    <w:rsid w:val="00D71351"/>
    <w:pPr>
      <w:pBdr>
        <w:top w:val="single" w:sz="4" w:space="4" w:color="auto"/>
      </w:pBdr>
      <w:spacing w:after="0" w:line="276" w:lineRule="auto"/>
    </w:pPr>
    <w:rPr>
      <w:rFonts w:asciiTheme="minorHAnsi" w:eastAsiaTheme="minorHAnsi" w:hAnsiTheme="minorHAnsi" w:cstheme="minorBidi"/>
      <w:i/>
      <w:kern w:val="2"/>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239683971">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301467740">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033917221">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u.gov.cz/methodological-notes-to-consumer-price-index-imputed-renta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eurostat/web/hicp/database"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PUBLIKACE\Ro&#269;n&#237;%20publikace%20012019-2016\Publikace%20&#269;ernob&#237;l&#225;%20&#353;ablon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F2794-AD2D-49FE-AB96-049B09B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Publikace černobílá šablona.dotx</Template>
  <TotalTime>1305</TotalTime>
  <Pages>2</Pages>
  <Words>881</Words>
  <Characters>5200</Characters>
  <Application>Microsoft Office Word</Application>
  <DocSecurity>0</DocSecurity>
  <Lines>43</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CSU</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Henkrichová</dc:creator>
  <cp:lastModifiedBy>Henkrichová Jana</cp:lastModifiedBy>
  <cp:revision>352</cp:revision>
  <cp:lastPrinted>2017-01-18T13:33:00Z</cp:lastPrinted>
  <dcterms:created xsi:type="dcterms:W3CDTF">2017-02-09T16:31:00Z</dcterms:created>
  <dcterms:modified xsi:type="dcterms:W3CDTF">2026-10-12T13:51:00Z</dcterms:modified>
</cp:coreProperties>
</file>