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88C93" w14:textId="77777777" w:rsidR="00AB75C5" w:rsidRDefault="00AB75C5" w:rsidP="00AB75C5">
      <w:pPr>
        <w:pStyle w:val="Nadpis11"/>
      </w:pPr>
      <w:bookmarkStart w:id="0" w:name="_Toc50712131"/>
      <w:r>
        <w:t>7. Měnové podmínky</w:t>
      </w:r>
      <w:bookmarkEnd w:id="0"/>
    </w:p>
    <w:tbl>
      <w:tblPr>
        <w:tblW w:w="9641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2"/>
        <w:gridCol w:w="229"/>
        <w:gridCol w:w="7610"/>
      </w:tblGrid>
      <w:tr w:rsidR="00AB75C5" w14:paraId="1819077F" w14:textId="77777777" w:rsidTr="00AB75C5">
        <w:trPr>
          <w:trHeight w:val="145"/>
        </w:trPr>
        <w:tc>
          <w:tcPr>
            <w:tcW w:w="1802" w:type="dxa"/>
          </w:tcPr>
          <w:p w14:paraId="4D75A5DD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Ve 2. čtvrtletí byly opět sníženy základní měnověpolitické úrokové sazby.</w:t>
            </w:r>
          </w:p>
          <w:p w14:paraId="3568ED8C" w14:textId="77777777" w:rsidR="00AB75C5" w:rsidRDefault="00AB75C5">
            <w:pPr>
              <w:pStyle w:val="Marginlie"/>
              <w:rPr>
                <w:lang w:eastAsia="en-US"/>
              </w:rPr>
            </w:pPr>
          </w:p>
          <w:p w14:paraId="156DDAAB" w14:textId="77777777" w:rsidR="00AB75C5" w:rsidRDefault="00AB75C5">
            <w:pPr>
              <w:pStyle w:val="Marginlie"/>
              <w:rPr>
                <w:lang w:eastAsia="en-US"/>
              </w:rPr>
            </w:pPr>
          </w:p>
          <w:p w14:paraId="326A9E8D" w14:textId="77777777" w:rsidR="00AB75C5" w:rsidRDefault="00AB75C5">
            <w:pPr>
              <w:pStyle w:val="Marginlie"/>
              <w:rPr>
                <w:lang w:eastAsia="en-US"/>
              </w:rPr>
            </w:pPr>
          </w:p>
          <w:p w14:paraId="3F514530" w14:textId="77777777" w:rsidR="00AB75C5" w:rsidRDefault="00AB75C5">
            <w:pPr>
              <w:pStyle w:val="Marginlie"/>
              <w:rPr>
                <w:lang w:eastAsia="en-US"/>
              </w:rPr>
            </w:pPr>
          </w:p>
          <w:p w14:paraId="2BD82498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Po březnovém oslabení kurz koruny vůči euru i dolaru opět posiloval.</w:t>
            </w:r>
          </w:p>
        </w:tc>
        <w:tc>
          <w:tcPr>
            <w:tcW w:w="229" w:type="dxa"/>
          </w:tcPr>
          <w:p w14:paraId="1E00B31D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1BE4157C" w14:textId="77777777" w:rsidR="00AB75C5" w:rsidRDefault="00AB75C5">
            <w:pPr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Nastavení základních měnověpolitických sazeb se v průběhu 1. pololetí výrazně měnilo spolu s vývojem ekonomické situace. Na počátku roku došlo vzhledem k sílícím inflačním tlakům k navýšení repo sazby ze 2 % na 2,25 %</w:t>
            </w:r>
            <w:r>
              <w:rPr>
                <w:rStyle w:val="Znakapoznpodarou"/>
                <w:spacing w:val="-2"/>
                <w:lang w:eastAsia="en-US"/>
              </w:rPr>
              <w:footnoteReference w:id="1"/>
            </w:r>
            <w:r>
              <w:rPr>
                <w:spacing w:val="-2"/>
                <w:lang w:eastAsia="en-US"/>
              </w:rPr>
              <w:t>. Tato úroveň se ale udržela krátce. V březnu byla sazba redukována na 1 % a v květnu dále na 0,25 %, nejnižší hodnotu od října 2017. Diskontní sazba byla ke konci června na technické nule (0,05 %) a lombardní sazba dosahovala 1 %. Kurz koruny vůči euru i dolaru se po výrazném březnovém oslabení udržoval na vyšší úrovni v průběhu celého dubna a velké části května. Kurz koruny vůči euru se po většinu tohoto období držel nad 27 CZK/EUR. Od 20. května až do 2. června kurz postupně opět posílil na 26,65 koruny. Blízko této úrovně pak setrval až do konce měsíce. Velmi podobný byl vývoj v případě dolaru. Kurz se během dubna i května často držel nad 25 CZK/USD. V období od 20. května do 5. června koruna opět posílila až na 23,47 CZK/USD a do konce června pak mírně oslabovala směrem k 24 korunám za dolar. Výrazné oslabení koruny vůči ostatním měnám znamenalo posílení inflačních tlaků ze zahraničí.</w:t>
            </w:r>
          </w:p>
        </w:tc>
      </w:tr>
      <w:tr w:rsidR="00AB75C5" w14:paraId="31B062B2" w14:textId="77777777" w:rsidTr="00AB75C5">
        <w:trPr>
          <w:trHeight w:val="145"/>
        </w:trPr>
        <w:tc>
          <w:tcPr>
            <w:tcW w:w="1802" w:type="dxa"/>
            <w:hideMark/>
          </w:tcPr>
          <w:p w14:paraId="134157A0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Prudce klesly mezibankovní úrokové sazby a rovněž výnosy vládních dluhopisů.</w:t>
            </w:r>
          </w:p>
        </w:tc>
        <w:tc>
          <w:tcPr>
            <w:tcW w:w="229" w:type="dxa"/>
          </w:tcPr>
          <w:p w14:paraId="4CCB4959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2DC9CC53" w14:textId="77777777" w:rsidR="00AB75C5" w:rsidRDefault="00AB75C5">
            <w:pPr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>Změny měnověpolitických sazeb vedly k rychlému poklesu mezibankovních úrokových sazeb. Tříměsíční PRIBOR tak ke konci března dosahoval 2 % a na konci června to bylo 0,34 %. Snižovaly se rovněž úrokové sazby na vládních dluhopisech, a to u všech druhů splatnosti. Od konce března do konce června tak u dluhopisů se splatností do 2 let kleslo průměrné úročení z 1,27 % na 0,08 %, u splatnosti do 5 let to bylo z 1,23 % na 0,52 % a v případě dluhopisů s dlouhodobou splatností se sazba posunula z 1,28 % na 0,86 %. Podobně se vyvíjely i sazby na vládních dluhopisech vydaných eurozónou. Krátkodobé i střednědobé splatnosti ke konci června měly úrokovou sazbu zápornou (–0,36 % u krátkodobých, –0,04 % u střednědobých). Průměrné úročení dlouhodobých dluhopisů v eurozóně dosahovalo ke konci června 0,35 %.</w:t>
            </w:r>
          </w:p>
        </w:tc>
      </w:tr>
      <w:tr w:rsidR="00AB75C5" w14:paraId="157BC0D5" w14:textId="77777777" w:rsidTr="00AB75C5">
        <w:trPr>
          <w:trHeight w:val="145"/>
        </w:trPr>
        <w:tc>
          <w:tcPr>
            <w:tcW w:w="1802" w:type="dxa"/>
            <w:hideMark/>
          </w:tcPr>
          <w:p w14:paraId="56C718A2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Na nové podmínky reagovaly i úrokové sazby na klientských účtech. Pokles úročení vkladů s dohodnutou splatností byl spojen i s přelivem finančních prostředků na netermínované vklady.</w:t>
            </w:r>
          </w:p>
        </w:tc>
        <w:tc>
          <w:tcPr>
            <w:tcW w:w="229" w:type="dxa"/>
          </w:tcPr>
          <w:p w14:paraId="2F08F41E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0589E0A5" w14:textId="77777777" w:rsidR="00AB75C5" w:rsidRDefault="00AB75C5">
            <w:pPr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Velmi rychle na novou situaci reagovaly i úrokové sazby na některých druzích vkladů. Ke konci letošního června činila průměrná úroková sazba na běžných účtech domácností 0,03 % (oproti březnu se snížila o 0,01 p. b.). Úročení běžných účtů domácností na téměř nulové úrovni zůstává již více než čtyři roky a nijak nereagovalo na předchozí zvýšení měnověpolitických sazeb. Prudce se propadlo úročení vkladů s dohodnutou splatností. Celkový průměr poklesl od konce března (1,43 %) na 0,6 %. Pokles zasáhl všechny druhy splatnosti, nejvíce ale splatnost do 1 roku včetně (pokles mezi březnem a červnem z 1,38 % na 0,37 %) a nad 1 rok do 2 let (z 2,07 % na 1,53 %). Sazby na běžných účtech poklesly i nefinančním podnikům (z 0,16 % na 0,04 %). Propad úrokových sazeb na vkladech s dohodnutou splatností pro nefinanční podniky byl ještě silnější než u domácností (z 1,36 % v březnu na 0,16 % v červnu). Nepřekvapilo tak, že celkový objem termínovaných vkladů byl ke konci června meziročně nižší o 1,3 %, zatímco netermínované vklady posílily o 13,3 % (nejvíce od září 2017).</w:t>
            </w:r>
          </w:p>
        </w:tc>
      </w:tr>
      <w:tr w:rsidR="00AB75C5" w14:paraId="0B5FBA11" w14:textId="77777777" w:rsidTr="00AB75C5">
        <w:trPr>
          <w:trHeight w:val="145"/>
        </w:trPr>
        <w:tc>
          <w:tcPr>
            <w:tcW w:w="1802" w:type="dxa"/>
            <w:hideMark/>
          </w:tcPr>
          <w:p w14:paraId="47A16945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Spotřební možnosti byly ve 2. čtvrtletí omezeny, což se podepsalo i na vývoji objemu poskytnutých úvěrů na spotřebu.</w:t>
            </w:r>
          </w:p>
        </w:tc>
        <w:tc>
          <w:tcPr>
            <w:tcW w:w="229" w:type="dxa"/>
          </w:tcPr>
          <w:p w14:paraId="16505742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233034A1" w14:textId="77777777" w:rsidR="00AB75C5" w:rsidRDefault="00AB75C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Domácnostem se ve 2. čtvrtletí také zlevnil přístup k úvěrovému financování. Průměrná úroková sazba úvěrů na spotřebu se mezi březnem a červnem snížila o 0,26 p. b. na 7,89 % a poprvé se tak dostala pod 8% hranici. Snížilo se i průměrné úročení úvěrů na bydlení (–0,13 p. b. na 2,42 % ke konci června). Nejvýraznější byl pokles u fixace sazby do 1 roku, ale snížení proběhlo i v případě fixace nad 1 rok do 5 let a nad 5 let do 10 let. Pouze úvěry s fixací nad 10 let ve 2. čtvrtletí zdražovaly. Probíhající omezení se ve 2. čtvrtletí projevila výrazným zpomalením meziročního tempa růstu objemu úvěrů na spotřebu. Zatímco v předchozím půlroce dosahovalo tempo 9 %, ke konci června byl objem poskytnutých úvěrů meziročně vyšší o 6,3 %. Co se týče úvěrů na bydlení, zde </w:t>
            </w:r>
            <w:r>
              <w:rPr>
                <w:lang w:eastAsia="en-US"/>
              </w:rPr>
              <w:lastRenderedPageBreak/>
              <w:t>k útlumu nedošlo. Objem poskytnutých hypotečních úvěrů se meziročně zvýšil o 7,9 %, tempo tak mírně zrychlilo.</w:t>
            </w:r>
          </w:p>
        </w:tc>
      </w:tr>
      <w:tr w:rsidR="00AB75C5" w14:paraId="48784E8D" w14:textId="77777777" w:rsidTr="00AB75C5">
        <w:trPr>
          <w:trHeight w:val="145"/>
        </w:trPr>
        <w:tc>
          <w:tcPr>
            <w:tcW w:w="1802" w:type="dxa"/>
            <w:hideMark/>
          </w:tcPr>
          <w:p w14:paraId="7271CCC7" w14:textId="77777777" w:rsidR="00AB75C5" w:rsidRDefault="00AB75C5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Přístup k úvěrům se nefinančním podnikům zlevnil. Nejisté prostředí ale vedlo i ke zmírnění úvěrové dynamiky.</w:t>
            </w:r>
          </w:p>
        </w:tc>
        <w:tc>
          <w:tcPr>
            <w:tcW w:w="229" w:type="dxa"/>
          </w:tcPr>
          <w:p w14:paraId="12C9EDC0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67B2912D" w14:textId="77777777" w:rsidR="00AB75C5" w:rsidRDefault="00AB75C5">
            <w:pPr>
              <w:rPr>
                <w:lang w:eastAsia="en-US"/>
              </w:rPr>
            </w:pPr>
            <w:r>
              <w:rPr>
                <w:lang w:eastAsia="en-US"/>
              </w:rPr>
              <w:t>Úrokové sazby úvěrů pro nefinanční podniky od března do června plošně klesaly. Nejvíce u úvěrů nad 30 milionů korun (–1,03 p. b. na 2,07 %). Úvěry s objemem mezi 7,5 až 30 miliony vykázaly pokles průměrné sazby o 0,89 p. b. na 2,54 %. Nejméně se snižovalo úročení u půjček do 7,5 milionu korun (–0,67 p. b. na 3,78 %). Meziroční růst celkového objemu úvěrů a pohledávek nefinančních podniků ve 2. čtvrtletí zpomalil. Ve srovnání s koncem června 2019 došlo k poklesu objemu korunových úvěrů a pohledávek o 2,8 %. Objem úvěrů v cizí měně se naopak meziročně zvýšil o 21,7 %. Růst objemu poskytnutých úvěrů zpomalil ve zpracovatelském průmyslu (3,5 %), ve stavebnictví (4,8 %) a ve velkoobchodě a maloobchodě, opravách a údržbě motorových vozidel (1,2 %). Velmi silně naopak rostl objem půjček činnostem v oblasti nemovitostí (12,3 %; velmi výrazný přírůstek 10,3 % byl zaznamenán už v 1. kvartálu). Část přírůstku ve zpracovatelském průmyslu nebo peněžnictví a pojišťovnictví ale souvisí i s březnovým oslabením koruny, které se promítlo do přepočtené hodnoty úvěrů v cizí měně. Už v březnu dosáhl vysokého meziročního přírůstku také objem půjček v ubytování, stravování a pohostinství (10,2 %) a ke konci června meziroční nárůst dosáhl 12,5 %. Velmi výrazně se během 2. čtvrtletí navyšoval objem půjček pro veřejnou správu a obranu, povinné sociální zabezpečení, vzdělávání, zdravotní a sociální péči (hodnota na konci června byla meziročně o 16,9 % vyšší). Objem úvěrů byl ke konci června meziročně nižší u informačních a komunikačních činností (–6,9 %), v peněžnictví a pojišťovnictví (–2,0 %) a série poklesů pokračovala také u těžby a dobývání (–0,9 %).</w:t>
            </w:r>
          </w:p>
        </w:tc>
      </w:tr>
      <w:tr w:rsidR="00AB75C5" w14:paraId="28E44416" w14:textId="77777777" w:rsidTr="00AB75C5">
        <w:trPr>
          <w:trHeight w:val="304"/>
        </w:trPr>
        <w:tc>
          <w:tcPr>
            <w:tcW w:w="1802" w:type="dxa"/>
            <w:vMerge w:val="restart"/>
          </w:tcPr>
          <w:p w14:paraId="4A6A63F1" w14:textId="77777777" w:rsidR="00AB75C5" w:rsidRDefault="00AB75C5">
            <w:pPr>
              <w:pStyle w:val="Marginlie"/>
              <w:rPr>
                <w:lang w:eastAsia="en-US"/>
              </w:rPr>
            </w:pPr>
          </w:p>
        </w:tc>
        <w:tc>
          <w:tcPr>
            <w:tcW w:w="229" w:type="dxa"/>
            <w:vMerge w:val="restart"/>
          </w:tcPr>
          <w:p w14:paraId="6E8903E4" w14:textId="77777777" w:rsidR="00AB75C5" w:rsidRDefault="00AB75C5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10" w:type="dxa"/>
            <w:hideMark/>
          </w:tcPr>
          <w:p w14:paraId="19673EE3" w14:textId="77777777" w:rsidR="00AB75C5" w:rsidRDefault="00AB75C5">
            <w:pPr>
              <w:spacing w:after="0"/>
              <w:rPr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Graf č. 15  </w:t>
            </w:r>
            <w:r>
              <w:rPr>
                <w:b/>
                <w:spacing w:val="-4"/>
                <w:sz w:val="18"/>
                <w:szCs w:val="18"/>
                <w:lang w:eastAsia="en-US"/>
              </w:rPr>
              <w:t xml:space="preserve">Tržní úrokové sazby </w:t>
            </w:r>
            <w:r>
              <w:rPr>
                <w:bCs/>
                <w:spacing w:val="-4"/>
                <w:sz w:val="18"/>
                <w:szCs w:val="18"/>
                <w:lang w:eastAsia="en-US"/>
              </w:rPr>
              <w:t>(v %)</w:t>
            </w:r>
          </w:p>
        </w:tc>
      </w:tr>
      <w:tr w:rsidR="00AB75C5" w14:paraId="45BBD3B6" w14:textId="77777777" w:rsidTr="00AB75C5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5814CD9E" w14:textId="77777777" w:rsidR="00AB75C5" w:rsidRDefault="00AB75C5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10722" w14:textId="77777777" w:rsidR="00AB75C5" w:rsidRDefault="00AB75C5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B69EF" w14:textId="1FBAEAC6" w:rsidR="00AB75C5" w:rsidRDefault="00AB75C5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84C6C" wp14:editId="61CA0F54">
                  <wp:extent cx="4737100" cy="3556000"/>
                  <wp:effectExtent l="0" t="0" r="6350" b="6350"/>
                  <wp:docPr id="29" name="Graf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B75C5" w14:paraId="3F63AC6A" w14:textId="77777777" w:rsidTr="00AB75C5">
        <w:trPr>
          <w:trHeight w:val="170"/>
        </w:trPr>
        <w:tc>
          <w:tcPr>
            <w:tcW w:w="0" w:type="auto"/>
            <w:vMerge/>
            <w:vAlign w:val="center"/>
            <w:hideMark/>
          </w:tcPr>
          <w:p w14:paraId="51B5B772" w14:textId="77777777" w:rsidR="00AB75C5" w:rsidRDefault="00AB75C5">
            <w:pPr>
              <w:spacing w:after="0" w:line="240" w:lineRule="auto"/>
              <w:jc w:val="left"/>
              <w:rPr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4B7172" w14:textId="77777777" w:rsidR="00AB75C5" w:rsidRDefault="00AB75C5">
            <w:pPr>
              <w:spacing w:after="0" w:line="240" w:lineRule="auto"/>
              <w:jc w:val="left"/>
              <w:rPr>
                <w:rFonts w:eastAsia="Calibri"/>
                <w:spacing w:val="-4"/>
                <w:szCs w:val="20"/>
                <w:lang w:eastAsia="en-US"/>
              </w:rPr>
            </w:pPr>
          </w:p>
        </w:tc>
        <w:tc>
          <w:tcPr>
            <w:tcW w:w="7610" w:type="dxa"/>
            <w:hideMark/>
          </w:tcPr>
          <w:p w14:paraId="404C04DF" w14:textId="77777777" w:rsidR="00AB75C5" w:rsidRDefault="00AB75C5">
            <w:pPr>
              <w:spacing w:after="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Zdroj: ČNB</w:t>
            </w:r>
          </w:p>
        </w:tc>
      </w:tr>
    </w:tbl>
    <w:p w14:paraId="6DDA2A55" w14:textId="77777777" w:rsidR="00AB75C5" w:rsidRDefault="00AB75C5" w:rsidP="00AB75C5">
      <w:pPr>
        <w:pStyle w:val="Nadpis11"/>
        <w:rPr>
          <w:b w:val="0"/>
          <w:sz w:val="2"/>
          <w:szCs w:val="2"/>
          <w:highlight w:val="yellow"/>
        </w:rPr>
      </w:pPr>
    </w:p>
    <w:p w14:paraId="6596F830" w14:textId="77777777" w:rsidR="00AB75C5" w:rsidRDefault="00AB75C5" w:rsidP="00AB75C5">
      <w:pPr>
        <w:spacing w:after="0" w:line="240" w:lineRule="auto"/>
        <w:jc w:val="left"/>
        <w:rPr>
          <w:b/>
          <w:sz w:val="2"/>
          <w:szCs w:val="2"/>
          <w:highlight w:val="yellow"/>
        </w:rPr>
      </w:pPr>
    </w:p>
    <w:p w14:paraId="5BCF3DC5" w14:textId="6BE085D8" w:rsidR="00E42054" w:rsidRPr="00E42054" w:rsidRDefault="00E42054" w:rsidP="00E42054">
      <w:pPr>
        <w:pStyle w:val="Nadpis11"/>
        <w:spacing w:after="0"/>
        <w:rPr>
          <w:b w:val="0"/>
          <w:sz w:val="2"/>
          <w:szCs w:val="2"/>
        </w:rPr>
      </w:pPr>
      <w:bookmarkStart w:id="1" w:name="_GoBack"/>
      <w:bookmarkEnd w:id="1"/>
    </w:p>
    <w:sectPr w:rsidR="00E42054" w:rsidRPr="00E42054" w:rsidSect="006C4ABF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737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6CFC" w14:textId="77777777" w:rsidR="00BF45BF" w:rsidRDefault="00BF45BF" w:rsidP="00E71A58">
      <w:r>
        <w:separator/>
      </w:r>
    </w:p>
  </w:endnote>
  <w:endnote w:type="continuationSeparator" w:id="0">
    <w:p w14:paraId="35511D2C" w14:textId="77777777" w:rsidR="00BF45BF" w:rsidRDefault="00BF45BF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1A0D" w14:textId="174EB949" w:rsidR="00E1168B" w:rsidRPr="00932443" w:rsidRDefault="00E1168B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71F0B6E3" wp14:editId="3AA519D4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6C4ABF">
      <w:rPr>
        <w:szCs w:val="16"/>
      </w:rPr>
      <w:t>28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7E4B" w14:textId="2B5DB4E8" w:rsidR="00E1168B" w:rsidRPr="00932443" w:rsidRDefault="00E1168B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 xml:space="preserve">1. pololetí 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6ADC9B20" wp14:editId="2C3814E9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>
      <w:t>020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6C4ABF">
      <w:rPr>
        <w:rStyle w:val="ZpatChar"/>
        <w:szCs w:val="16"/>
      </w:rPr>
      <w:t>29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0DC2D" w14:textId="77777777" w:rsidR="00BF45BF" w:rsidRDefault="00BF45BF" w:rsidP="00A21B4D">
      <w:pPr>
        <w:spacing w:after="0"/>
      </w:pPr>
      <w:r>
        <w:separator/>
      </w:r>
    </w:p>
  </w:footnote>
  <w:footnote w:type="continuationSeparator" w:id="0">
    <w:p w14:paraId="3A16A65B" w14:textId="77777777" w:rsidR="00BF45BF" w:rsidRDefault="00BF45BF" w:rsidP="00E71A58">
      <w:r>
        <w:continuationSeparator/>
      </w:r>
    </w:p>
  </w:footnote>
  <w:footnote w:id="1">
    <w:p w14:paraId="6BBC2645" w14:textId="77777777" w:rsidR="00E1168B" w:rsidRDefault="00E1168B" w:rsidP="00AB75C5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Není</w:t>
      </w:r>
      <w:r>
        <w:rPr>
          <w:sz w:val="16"/>
          <w:szCs w:val="16"/>
        </w:rPr>
        <w:noBreakHyphen/>
        <w:t>li uvedeno jinak, je zdrojem údajů v této kapitole databáze ARAD České národní banky. Hodnoty směnných kurzů jsou rovněž převzaty od ČNB.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985C8" w14:textId="77777777" w:rsidR="00E1168B" w:rsidRDefault="00E1168B" w:rsidP="00937AE2">
    <w:pPr>
      <w:pStyle w:val="Zhlav"/>
    </w:pPr>
    <w:r>
      <w:t>Vývoj ekonomiky České republiky</w:t>
    </w:r>
  </w:p>
  <w:p w14:paraId="675E4C41" w14:textId="77777777" w:rsidR="00E1168B" w:rsidRPr="006F5416" w:rsidRDefault="00E1168B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12FB" w14:textId="77777777" w:rsidR="00E1168B" w:rsidRDefault="00E1168B" w:rsidP="00937AE2">
    <w:pPr>
      <w:pStyle w:val="Zhlav"/>
    </w:pPr>
    <w:r>
      <w:t>Vývoj ekonomiky České republiky</w:t>
    </w:r>
  </w:p>
  <w:p w14:paraId="0CDCFD48" w14:textId="77777777" w:rsidR="00E1168B" w:rsidRPr="006F5416" w:rsidRDefault="00E1168B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1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24"/>
  </w:num>
  <w:num w:numId="14">
    <w:abstractNumId w:val="12"/>
  </w:num>
  <w:num w:numId="15">
    <w:abstractNumId w:val="18"/>
  </w:num>
  <w:num w:numId="16">
    <w:abstractNumId w:val="14"/>
  </w:num>
  <w:num w:numId="17">
    <w:abstractNumId w:val="25"/>
  </w:num>
  <w:num w:numId="18">
    <w:abstractNumId w:val="19"/>
  </w:num>
  <w:num w:numId="19">
    <w:abstractNumId w:val="26"/>
  </w:num>
  <w:num w:numId="20">
    <w:abstractNumId w:val="27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  <w:num w:numId="25">
    <w:abstractNumId w:val="11"/>
  </w:num>
  <w:num w:numId="26">
    <w:abstractNumId w:val="21"/>
  </w:num>
  <w:num w:numId="27">
    <w:abstractNumId w:val="20"/>
  </w:num>
  <w:num w:numId="28">
    <w:abstractNumId w:val="1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387D"/>
    <w:rsid w:val="00014ED0"/>
    <w:rsid w:val="00016420"/>
    <w:rsid w:val="00017B01"/>
    <w:rsid w:val="000205D1"/>
    <w:rsid w:val="00020F22"/>
    <w:rsid w:val="0002195D"/>
    <w:rsid w:val="000228AE"/>
    <w:rsid w:val="000233D1"/>
    <w:rsid w:val="000234D6"/>
    <w:rsid w:val="00023D29"/>
    <w:rsid w:val="00024348"/>
    <w:rsid w:val="00026389"/>
    <w:rsid w:val="0002669F"/>
    <w:rsid w:val="000279E5"/>
    <w:rsid w:val="00031AE0"/>
    <w:rsid w:val="00031BB2"/>
    <w:rsid w:val="000322EF"/>
    <w:rsid w:val="00033FCD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A75"/>
    <w:rsid w:val="00066558"/>
    <w:rsid w:val="00070A87"/>
    <w:rsid w:val="000712B3"/>
    <w:rsid w:val="00071A7C"/>
    <w:rsid w:val="00072FF5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3241"/>
    <w:rsid w:val="00093868"/>
    <w:rsid w:val="00094A84"/>
    <w:rsid w:val="00095025"/>
    <w:rsid w:val="00095135"/>
    <w:rsid w:val="0009626E"/>
    <w:rsid w:val="00097191"/>
    <w:rsid w:val="000974D1"/>
    <w:rsid w:val="00097784"/>
    <w:rsid w:val="0009799E"/>
    <w:rsid w:val="000A07CB"/>
    <w:rsid w:val="000A0BC0"/>
    <w:rsid w:val="000A1183"/>
    <w:rsid w:val="000A12ED"/>
    <w:rsid w:val="000A212B"/>
    <w:rsid w:val="000A242D"/>
    <w:rsid w:val="000A256D"/>
    <w:rsid w:val="000A3A2C"/>
    <w:rsid w:val="000A3D9E"/>
    <w:rsid w:val="000A4A54"/>
    <w:rsid w:val="000A4ED9"/>
    <w:rsid w:val="000A5DB7"/>
    <w:rsid w:val="000A6D94"/>
    <w:rsid w:val="000A7377"/>
    <w:rsid w:val="000A7FF4"/>
    <w:rsid w:val="000B03CC"/>
    <w:rsid w:val="000B4212"/>
    <w:rsid w:val="000C0EA8"/>
    <w:rsid w:val="000C13A2"/>
    <w:rsid w:val="000C21E7"/>
    <w:rsid w:val="000C23EC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D0A26"/>
    <w:rsid w:val="000D3058"/>
    <w:rsid w:val="000D310A"/>
    <w:rsid w:val="000D3EF4"/>
    <w:rsid w:val="000D4DC0"/>
    <w:rsid w:val="000D5637"/>
    <w:rsid w:val="000D6F4E"/>
    <w:rsid w:val="000D73BB"/>
    <w:rsid w:val="000E0E96"/>
    <w:rsid w:val="000E298B"/>
    <w:rsid w:val="000E2C7D"/>
    <w:rsid w:val="000E440D"/>
    <w:rsid w:val="000E4AC5"/>
    <w:rsid w:val="000E6253"/>
    <w:rsid w:val="000E6E4D"/>
    <w:rsid w:val="000E6FBD"/>
    <w:rsid w:val="000E6FCB"/>
    <w:rsid w:val="000F090B"/>
    <w:rsid w:val="000F3F3B"/>
    <w:rsid w:val="000F47E8"/>
    <w:rsid w:val="000F70E4"/>
    <w:rsid w:val="000F76EA"/>
    <w:rsid w:val="00100F5C"/>
    <w:rsid w:val="00101CDA"/>
    <w:rsid w:val="00102037"/>
    <w:rsid w:val="00103DCB"/>
    <w:rsid w:val="00104C4C"/>
    <w:rsid w:val="00105015"/>
    <w:rsid w:val="001055D2"/>
    <w:rsid w:val="001057C2"/>
    <w:rsid w:val="0011038E"/>
    <w:rsid w:val="001125EF"/>
    <w:rsid w:val="00112CAB"/>
    <w:rsid w:val="00116D3F"/>
    <w:rsid w:val="00117474"/>
    <w:rsid w:val="00117623"/>
    <w:rsid w:val="00117FEA"/>
    <w:rsid w:val="001200CF"/>
    <w:rsid w:val="001208E3"/>
    <w:rsid w:val="0012192F"/>
    <w:rsid w:val="0012299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405FA"/>
    <w:rsid w:val="00140D1A"/>
    <w:rsid w:val="00141184"/>
    <w:rsid w:val="00141315"/>
    <w:rsid w:val="00141AA0"/>
    <w:rsid w:val="001425C3"/>
    <w:rsid w:val="0014262D"/>
    <w:rsid w:val="00144588"/>
    <w:rsid w:val="001447DD"/>
    <w:rsid w:val="001459BC"/>
    <w:rsid w:val="00152F4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56B"/>
    <w:rsid w:val="00162F81"/>
    <w:rsid w:val="00163793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5B9F"/>
    <w:rsid w:val="001762F4"/>
    <w:rsid w:val="00181BBC"/>
    <w:rsid w:val="0018385F"/>
    <w:rsid w:val="00184017"/>
    <w:rsid w:val="001847BB"/>
    <w:rsid w:val="00184B08"/>
    <w:rsid w:val="00185010"/>
    <w:rsid w:val="00185C22"/>
    <w:rsid w:val="00186BA9"/>
    <w:rsid w:val="0019196C"/>
    <w:rsid w:val="00192F05"/>
    <w:rsid w:val="00194729"/>
    <w:rsid w:val="00194850"/>
    <w:rsid w:val="00195234"/>
    <w:rsid w:val="00196016"/>
    <w:rsid w:val="00196117"/>
    <w:rsid w:val="00197A70"/>
    <w:rsid w:val="00197C0F"/>
    <w:rsid w:val="001A0487"/>
    <w:rsid w:val="001A1F68"/>
    <w:rsid w:val="001A21FA"/>
    <w:rsid w:val="001A4EF0"/>
    <w:rsid w:val="001A552F"/>
    <w:rsid w:val="001A70B1"/>
    <w:rsid w:val="001B0738"/>
    <w:rsid w:val="001B2CA9"/>
    <w:rsid w:val="001B3110"/>
    <w:rsid w:val="001B3E38"/>
    <w:rsid w:val="001B40F5"/>
    <w:rsid w:val="001B4729"/>
    <w:rsid w:val="001B4F0E"/>
    <w:rsid w:val="001B6310"/>
    <w:rsid w:val="001B6C09"/>
    <w:rsid w:val="001B6E12"/>
    <w:rsid w:val="001C05CD"/>
    <w:rsid w:val="001C0F17"/>
    <w:rsid w:val="001C1B24"/>
    <w:rsid w:val="001C1B66"/>
    <w:rsid w:val="001C31A2"/>
    <w:rsid w:val="001C351D"/>
    <w:rsid w:val="001C4BB8"/>
    <w:rsid w:val="001C4FD0"/>
    <w:rsid w:val="001C5E46"/>
    <w:rsid w:val="001C6B3B"/>
    <w:rsid w:val="001C7E3F"/>
    <w:rsid w:val="001D0EF1"/>
    <w:rsid w:val="001D22C2"/>
    <w:rsid w:val="001D2C99"/>
    <w:rsid w:val="001D452E"/>
    <w:rsid w:val="001D54C1"/>
    <w:rsid w:val="001D556E"/>
    <w:rsid w:val="001D5DF2"/>
    <w:rsid w:val="001D68B2"/>
    <w:rsid w:val="001D7EFD"/>
    <w:rsid w:val="001D7F60"/>
    <w:rsid w:val="001E3306"/>
    <w:rsid w:val="001E504C"/>
    <w:rsid w:val="001E5A17"/>
    <w:rsid w:val="001E74C5"/>
    <w:rsid w:val="001F1236"/>
    <w:rsid w:val="001F2F90"/>
    <w:rsid w:val="001F4597"/>
    <w:rsid w:val="001F4826"/>
    <w:rsid w:val="001F6CD3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1D5"/>
    <w:rsid w:val="002111E5"/>
    <w:rsid w:val="002118B9"/>
    <w:rsid w:val="002142C0"/>
    <w:rsid w:val="00217C5B"/>
    <w:rsid w:val="00220A43"/>
    <w:rsid w:val="0022139E"/>
    <w:rsid w:val="00222729"/>
    <w:rsid w:val="00223185"/>
    <w:rsid w:val="002233D6"/>
    <w:rsid w:val="0022441D"/>
    <w:rsid w:val="00224574"/>
    <w:rsid w:val="00224E3F"/>
    <w:rsid w:val="002252E0"/>
    <w:rsid w:val="002255F6"/>
    <w:rsid w:val="00226032"/>
    <w:rsid w:val="0022738D"/>
    <w:rsid w:val="00227605"/>
    <w:rsid w:val="00227850"/>
    <w:rsid w:val="00227A53"/>
    <w:rsid w:val="00227E2E"/>
    <w:rsid w:val="00227F53"/>
    <w:rsid w:val="00230C6E"/>
    <w:rsid w:val="00230E21"/>
    <w:rsid w:val="00231066"/>
    <w:rsid w:val="002316A8"/>
    <w:rsid w:val="002320C9"/>
    <w:rsid w:val="0023288F"/>
    <w:rsid w:val="0023359B"/>
    <w:rsid w:val="00233603"/>
    <w:rsid w:val="002340EF"/>
    <w:rsid w:val="00234B82"/>
    <w:rsid w:val="00236443"/>
    <w:rsid w:val="00236700"/>
    <w:rsid w:val="00240391"/>
    <w:rsid w:val="00240AF3"/>
    <w:rsid w:val="002418D5"/>
    <w:rsid w:val="00241B06"/>
    <w:rsid w:val="002436BA"/>
    <w:rsid w:val="00244652"/>
    <w:rsid w:val="00244A15"/>
    <w:rsid w:val="002452D9"/>
    <w:rsid w:val="00247319"/>
    <w:rsid w:val="0024799E"/>
    <w:rsid w:val="00247E60"/>
    <w:rsid w:val="00251B08"/>
    <w:rsid w:val="00251C53"/>
    <w:rsid w:val="00252AB9"/>
    <w:rsid w:val="00253C0F"/>
    <w:rsid w:val="002558C1"/>
    <w:rsid w:val="00256207"/>
    <w:rsid w:val="002575F3"/>
    <w:rsid w:val="002603E1"/>
    <w:rsid w:val="0026120E"/>
    <w:rsid w:val="00262582"/>
    <w:rsid w:val="0026291D"/>
    <w:rsid w:val="00262CF3"/>
    <w:rsid w:val="00264309"/>
    <w:rsid w:val="0026564B"/>
    <w:rsid w:val="00265C83"/>
    <w:rsid w:val="00265E85"/>
    <w:rsid w:val="00267B49"/>
    <w:rsid w:val="002700D9"/>
    <w:rsid w:val="0027025F"/>
    <w:rsid w:val="002709CC"/>
    <w:rsid w:val="00270D25"/>
    <w:rsid w:val="00271022"/>
    <w:rsid w:val="00271465"/>
    <w:rsid w:val="00271E47"/>
    <w:rsid w:val="002721F5"/>
    <w:rsid w:val="00272DF4"/>
    <w:rsid w:val="0027583D"/>
    <w:rsid w:val="00275DEF"/>
    <w:rsid w:val="002763A2"/>
    <w:rsid w:val="00276B33"/>
    <w:rsid w:val="002812E3"/>
    <w:rsid w:val="0028341F"/>
    <w:rsid w:val="002837AE"/>
    <w:rsid w:val="00283C13"/>
    <w:rsid w:val="00283F7B"/>
    <w:rsid w:val="0028431A"/>
    <w:rsid w:val="002853FA"/>
    <w:rsid w:val="00285412"/>
    <w:rsid w:val="00286220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EA2"/>
    <w:rsid w:val="002A51AC"/>
    <w:rsid w:val="002A532A"/>
    <w:rsid w:val="002A5846"/>
    <w:rsid w:val="002A5D97"/>
    <w:rsid w:val="002A603E"/>
    <w:rsid w:val="002A63B9"/>
    <w:rsid w:val="002A7089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98D"/>
    <w:rsid w:val="002C40D2"/>
    <w:rsid w:val="002C43BD"/>
    <w:rsid w:val="002C5245"/>
    <w:rsid w:val="002C59D8"/>
    <w:rsid w:val="002D05CB"/>
    <w:rsid w:val="002D0E59"/>
    <w:rsid w:val="002D2C4F"/>
    <w:rsid w:val="002D3EBB"/>
    <w:rsid w:val="002D455C"/>
    <w:rsid w:val="002D6066"/>
    <w:rsid w:val="002E02A1"/>
    <w:rsid w:val="002E196A"/>
    <w:rsid w:val="002E20C7"/>
    <w:rsid w:val="002E20CD"/>
    <w:rsid w:val="002E222E"/>
    <w:rsid w:val="002E28D8"/>
    <w:rsid w:val="002E37D1"/>
    <w:rsid w:val="002E3BEE"/>
    <w:rsid w:val="002E4E4C"/>
    <w:rsid w:val="002E4EA7"/>
    <w:rsid w:val="002E5846"/>
    <w:rsid w:val="002E792B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300C31"/>
    <w:rsid w:val="003017EC"/>
    <w:rsid w:val="00302165"/>
    <w:rsid w:val="00304771"/>
    <w:rsid w:val="003052D4"/>
    <w:rsid w:val="003060E9"/>
    <w:rsid w:val="00306C5B"/>
    <w:rsid w:val="00307529"/>
    <w:rsid w:val="00307DB3"/>
    <w:rsid w:val="00307ED2"/>
    <w:rsid w:val="0031076D"/>
    <w:rsid w:val="00311AA6"/>
    <w:rsid w:val="00311C4D"/>
    <w:rsid w:val="003121AB"/>
    <w:rsid w:val="00315169"/>
    <w:rsid w:val="003153C8"/>
    <w:rsid w:val="00315524"/>
    <w:rsid w:val="0032058C"/>
    <w:rsid w:val="003208D0"/>
    <w:rsid w:val="003209D6"/>
    <w:rsid w:val="003217B9"/>
    <w:rsid w:val="00321924"/>
    <w:rsid w:val="00321EB6"/>
    <w:rsid w:val="003220A5"/>
    <w:rsid w:val="00323A1C"/>
    <w:rsid w:val="00324B59"/>
    <w:rsid w:val="0032656E"/>
    <w:rsid w:val="0032788F"/>
    <w:rsid w:val="00332190"/>
    <w:rsid w:val="00332A98"/>
    <w:rsid w:val="00333973"/>
    <w:rsid w:val="00333CD0"/>
    <w:rsid w:val="0033448D"/>
    <w:rsid w:val="00334AD2"/>
    <w:rsid w:val="00334CB6"/>
    <w:rsid w:val="0033709C"/>
    <w:rsid w:val="003370C5"/>
    <w:rsid w:val="003373C6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6077F"/>
    <w:rsid w:val="00360C86"/>
    <w:rsid w:val="00360F7A"/>
    <w:rsid w:val="00360FBC"/>
    <w:rsid w:val="00361537"/>
    <w:rsid w:val="0036242A"/>
    <w:rsid w:val="00362C23"/>
    <w:rsid w:val="00362E90"/>
    <w:rsid w:val="00364FA0"/>
    <w:rsid w:val="003657F3"/>
    <w:rsid w:val="00365844"/>
    <w:rsid w:val="00367F84"/>
    <w:rsid w:val="003712BC"/>
    <w:rsid w:val="00372164"/>
    <w:rsid w:val="003738BD"/>
    <w:rsid w:val="00374263"/>
    <w:rsid w:val="003746F0"/>
    <w:rsid w:val="00374A20"/>
    <w:rsid w:val="00374E21"/>
    <w:rsid w:val="00377B2E"/>
    <w:rsid w:val="003810F0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6739"/>
    <w:rsid w:val="003A04F6"/>
    <w:rsid w:val="003A0837"/>
    <w:rsid w:val="003A2B4D"/>
    <w:rsid w:val="003A2D12"/>
    <w:rsid w:val="003A2EBA"/>
    <w:rsid w:val="003A45E3"/>
    <w:rsid w:val="003A478C"/>
    <w:rsid w:val="003A4A38"/>
    <w:rsid w:val="003A5525"/>
    <w:rsid w:val="003A5889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461F"/>
    <w:rsid w:val="003B483F"/>
    <w:rsid w:val="003B4998"/>
    <w:rsid w:val="003B5A32"/>
    <w:rsid w:val="003B7B50"/>
    <w:rsid w:val="003C0B07"/>
    <w:rsid w:val="003C2CE7"/>
    <w:rsid w:val="003C3490"/>
    <w:rsid w:val="003C3608"/>
    <w:rsid w:val="003C3AE8"/>
    <w:rsid w:val="003C3D2C"/>
    <w:rsid w:val="003C4E13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1EF8"/>
    <w:rsid w:val="003E2DFB"/>
    <w:rsid w:val="003E4C91"/>
    <w:rsid w:val="003E52D8"/>
    <w:rsid w:val="003E62F1"/>
    <w:rsid w:val="003F313C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5318"/>
    <w:rsid w:val="004059D2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30C96"/>
    <w:rsid w:val="00431BFF"/>
    <w:rsid w:val="00432199"/>
    <w:rsid w:val="00432A58"/>
    <w:rsid w:val="004331C3"/>
    <w:rsid w:val="00433C17"/>
    <w:rsid w:val="00434617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953"/>
    <w:rsid w:val="004604D8"/>
    <w:rsid w:val="00460656"/>
    <w:rsid w:val="00460FB3"/>
    <w:rsid w:val="00463D3C"/>
    <w:rsid w:val="00464851"/>
    <w:rsid w:val="0046746A"/>
    <w:rsid w:val="00467B14"/>
    <w:rsid w:val="004707FE"/>
    <w:rsid w:val="00470EDC"/>
    <w:rsid w:val="0047276D"/>
    <w:rsid w:val="00472AF6"/>
    <w:rsid w:val="00473482"/>
    <w:rsid w:val="00474A04"/>
    <w:rsid w:val="00476240"/>
    <w:rsid w:val="00476439"/>
    <w:rsid w:val="00476450"/>
    <w:rsid w:val="004769E1"/>
    <w:rsid w:val="0047735C"/>
    <w:rsid w:val="004776BC"/>
    <w:rsid w:val="00477820"/>
    <w:rsid w:val="00477B96"/>
    <w:rsid w:val="00480BAE"/>
    <w:rsid w:val="0048139F"/>
    <w:rsid w:val="00481E40"/>
    <w:rsid w:val="00482405"/>
    <w:rsid w:val="004826A7"/>
    <w:rsid w:val="0048368C"/>
    <w:rsid w:val="0048372F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79A5"/>
    <w:rsid w:val="004A0144"/>
    <w:rsid w:val="004A036E"/>
    <w:rsid w:val="004A0498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468"/>
    <w:rsid w:val="004B6EF8"/>
    <w:rsid w:val="004B7125"/>
    <w:rsid w:val="004B756A"/>
    <w:rsid w:val="004B7FB1"/>
    <w:rsid w:val="004C0B3F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57BF"/>
    <w:rsid w:val="004E5F41"/>
    <w:rsid w:val="004E6DE6"/>
    <w:rsid w:val="004E765E"/>
    <w:rsid w:val="004E7815"/>
    <w:rsid w:val="004F06F5"/>
    <w:rsid w:val="004F12A4"/>
    <w:rsid w:val="004F253F"/>
    <w:rsid w:val="004F33A0"/>
    <w:rsid w:val="004F3BD2"/>
    <w:rsid w:val="004F46ED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E01"/>
    <w:rsid w:val="0052337A"/>
    <w:rsid w:val="00524385"/>
    <w:rsid w:val="005246BE"/>
    <w:rsid w:val="00525137"/>
    <w:rsid w:val="005251DD"/>
    <w:rsid w:val="0053012B"/>
    <w:rsid w:val="005301A6"/>
    <w:rsid w:val="00530A68"/>
    <w:rsid w:val="00530AD4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5F6"/>
    <w:rsid w:val="0054582F"/>
    <w:rsid w:val="005500F9"/>
    <w:rsid w:val="00550160"/>
    <w:rsid w:val="005523A8"/>
    <w:rsid w:val="00552F2C"/>
    <w:rsid w:val="00553A25"/>
    <w:rsid w:val="005547EB"/>
    <w:rsid w:val="005555E0"/>
    <w:rsid w:val="0055599F"/>
    <w:rsid w:val="00556D68"/>
    <w:rsid w:val="005570D6"/>
    <w:rsid w:val="00557E0E"/>
    <w:rsid w:val="00557E45"/>
    <w:rsid w:val="00560C41"/>
    <w:rsid w:val="00561F44"/>
    <w:rsid w:val="00562B4D"/>
    <w:rsid w:val="00563EB8"/>
    <w:rsid w:val="005647BF"/>
    <w:rsid w:val="00564AF1"/>
    <w:rsid w:val="005655DB"/>
    <w:rsid w:val="00565E88"/>
    <w:rsid w:val="005678EE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3E52"/>
    <w:rsid w:val="00583FFD"/>
    <w:rsid w:val="00584252"/>
    <w:rsid w:val="0058519A"/>
    <w:rsid w:val="005856BD"/>
    <w:rsid w:val="00586BCA"/>
    <w:rsid w:val="00587038"/>
    <w:rsid w:val="00590B28"/>
    <w:rsid w:val="005911BE"/>
    <w:rsid w:val="00591273"/>
    <w:rsid w:val="00591E9E"/>
    <w:rsid w:val="005927A4"/>
    <w:rsid w:val="00593152"/>
    <w:rsid w:val="005956A3"/>
    <w:rsid w:val="00595958"/>
    <w:rsid w:val="00595CAB"/>
    <w:rsid w:val="0059622E"/>
    <w:rsid w:val="00597671"/>
    <w:rsid w:val="00597BBF"/>
    <w:rsid w:val="005A0948"/>
    <w:rsid w:val="005A0A03"/>
    <w:rsid w:val="005A10F2"/>
    <w:rsid w:val="005A21E0"/>
    <w:rsid w:val="005A28FF"/>
    <w:rsid w:val="005A2C09"/>
    <w:rsid w:val="005A3778"/>
    <w:rsid w:val="005A3DF8"/>
    <w:rsid w:val="005A5549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11B8"/>
    <w:rsid w:val="005C216C"/>
    <w:rsid w:val="005C2609"/>
    <w:rsid w:val="005C2B30"/>
    <w:rsid w:val="005C412B"/>
    <w:rsid w:val="005C43EC"/>
    <w:rsid w:val="005C45DD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ADE"/>
    <w:rsid w:val="00601EEF"/>
    <w:rsid w:val="0060255A"/>
    <w:rsid w:val="00602EB3"/>
    <w:rsid w:val="00604307"/>
    <w:rsid w:val="0060487F"/>
    <w:rsid w:val="00604EAD"/>
    <w:rsid w:val="0060513F"/>
    <w:rsid w:val="0060694B"/>
    <w:rsid w:val="006104FB"/>
    <w:rsid w:val="0061176D"/>
    <w:rsid w:val="0061200F"/>
    <w:rsid w:val="00612756"/>
    <w:rsid w:val="00612A2F"/>
    <w:rsid w:val="00612AAE"/>
    <w:rsid w:val="00612FD9"/>
    <w:rsid w:val="006139E0"/>
    <w:rsid w:val="00614D35"/>
    <w:rsid w:val="006156B4"/>
    <w:rsid w:val="00615DAF"/>
    <w:rsid w:val="00616E05"/>
    <w:rsid w:val="00617985"/>
    <w:rsid w:val="00620B77"/>
    <w:rsid w:val="0062131B"/>
    <w:rsid w:val="00621E26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B33"/>
    <w:rsid w:val="006516CB"/>
    <w:rsid w:val="00653BD0"/>
    <w:rsid w:val="00654110"/>
    <w:rsid w:val="00656C5D"/>
    <w:rsid w:val="00656CFB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3CC"/>
    <w:rsid w:val="00665982"/>
    <w:rsid w:val="00665BA4"/>
    <w:rsid w:val="00666BF3"/>
    <w:rsid w:val="00667856"/>
    <w:rsid w:val="00667AF2"/>
    <w:rsid w:val="00670489"/>
    <w:rsid w:val="006710C9"/>
    <w:rsid w:val="00672586"/>
    <w:rsid w:val="006741CD"/>
    <w:rsid w:val="00674D89"/>
    <w:rsid w:val="0067514E"/>
    <w:rsid w:val="00675E37"/>
    <w:rsid w:val="00676736"/>
    <w:rsid w:val="006769A4"/>
    <w:rsid w:val="006769C6"/>
    <w:rsid w:val="00676D76"/>
    <w:rsid w:val="00676F9F"/>
    <w:rsid w:val="00677591"/>
    <w:rsid w:val="00677594"/>
    <w:rsid w:val="0068032F"/>
    <w:rsid w:val="00680D37"/>
    <w:rsid w:val="0068174E"/>
    <w:rsid w:val="00681DCE"/>
    <w:rsid w:val="0068260E"/>
    <w:rsid w:val="006846B3"/>
    <w:rsid w:val="00684D59"/>
    <w:rsid w:val="00684E25"/>
    <w:rsid w:val="006858A4"/>
    <w:rsid w:val="00686718"/>
    <w:rsid w:val="00686BFA"/>
    <w:rsid w:val="00686DED"/>
    <w:rsid w:val="006875A0"/>
    <w:rsid w:val="006878C6"/>
    <w:rsid w:val="00687D27"/>
    <w:rsid w:val="00691943"/>
    <w:rsid w:val="00693550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4355"/>
    <w:rsid w:val="006C469D"/>
    <w:rsid w:val="006C46B5"/>
    <w:rsid w:val="006C484F"/>
    <w:rsid w:val="006C4ABF"/>
    <w:rsid w:val="006C52EC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317E"/>
    <w:rsid w:val="006D3E8A"/>
    <w:rsid w:val="006D61F6"/>
    <w:rsid w:val="006E1332"/>
    <w:rsid w:val="006E279A"/>
    <w:rsid w:val="006E313B"/>
    <w:rsid w:val="006E34B2"/>
    <w:rsid w:val="006E3A45"/>
    <w:rsid w:val="006E4078"/>
    <w:rsid w:val="006E53AD"/>
    <w:rsid w:val="006E58CB"/>
    <w:rsid w:val="006E7227"/>
    <w:rsid w:val="006E761A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5416"/>
    <w:rsid w:val="006F624B"/>
    <w:rsid w:val="006F6D87"/>
    <w:rsid w:val="0070398A"/>
    <w:rsid w:val="00705242"/>
    <w:rsid w:val="007055E0"/>
    <w:rsid w:val="007056ED"/>
    <w:rsid w:val="00705F4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E4D"/>
    <w:rsid w:val="0071677A"/>
    <w:rsid w:val="00716F48"/>
    <w:rsid w:val="00717114"/>
    <w:rsid w:val="0071779F"/>
    <w:rsid w:val="007211F5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71A1"/>
    <w:rsid w:val="007477BD"/>
    <w:rsid w:val="00747EE9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777"/>
    <w:rsid w:val="00770CFC"/>
    <w:rsid w:val="0077130E"/>
    <w:rsid w:val="007715EE"/>
    <w:rsid w:val="00771972"/>
    <w:rsid w:val="00772279"/>
    <w:rsid w:val="00772DAB"/>
    <w:rsid w:val="00772FF9"/>
    <w:rsid w:val="00774D2C"/>
    <w:rsid w:val="0077605B"/>
    <w:rsid w:val="00776169"/>
    <w:rsid w:val="00776527"/>
    <w:rsid w:val="00777040"/>
    <w:rsid w:val="00777CE6"/>
    <w:rsid w:val="00780EF1"/>
    <w:rsid w:val="00781A91"/>
    <w:rsid w:val="00781F3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782"/>
    <w:rsid w:val="007A516D"/>
    <w:rsid w:val="007A5E65"/>
    <w:rsid w:val="007A65E1"/>
    <w:rsid w:val="007A6AAA"/>
    <w:rsid w:val="007A7033"/>
    <w:rsid w:val="007A775D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C10BD"/>
    <w:rsid w:val="007C1F0C"/>
    <w:rsid w:val="007C1FFB"/>
    <w:rsid w:val="007C2D94"/>
    <w:rsid w:val="007C5F92"/>
    <w:rsid w:val="007C6227"/>
    <w:rsid w:val="007C6BBD"/>
    <w:rsid w:val="007C6D89"/>
    <w:rsid w:val="007C6F5E"/>
    <w:rsid w:val="007D0382"/>
    <w:rsid w:val="007D14FE"/>
    <w:rsid w:val="007D1A1F"/>
    <w:rsid w:val="007D2E18"/>
    <w:rsid w:val="007D40DF"/>
    <w:rsid w:val="007D42E5"/>
    <w:rsid w:val="007D4458"/>
    <w:rsid w:val="007D6AF9"/>
    <w:rsid w:val="007E0535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8006B3"/>
    <w:rsid w:val="00800B63"/>
    <w:rsid w:val="0080158A"/>
    <w:rsid w:val="00801E13"/>
    <w:rsid w:val="00803008"/>
    <w:rsid w:val="00803069"/>
    <w:rsid w:val="0080346B"/>
    <w:rsid w:val="00804155"/>
    <w:rsid w:val="0080559E"/>
    <w:rsid w:val="00805AF3"/>
    <w:rsid w:val="0080734C"/>
    <w:rsid w:val="00807C82"/>
    <w:rsid w:val="008117CC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FF6"/>
    <w:rsid w:val="00822574"/>
    <w:rsid w:val="00822980"/>
    <w:rsid w:val="00822F08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114D"/>
    <w:rsid w:val="008520A8"/>
    <w:rsid w:val="00852217"/>
    <w:rsid w:val="00853282"/>
    <w:rsid w:val="0085334C"/>
    <w:rsid w:val="00855408"/>
    <w:rsid w:val="00855D03"/>
    <w:rsid w:val="00856D65"/>
    <w:rsid w:val="00861B41"/>
    <w:rsid w:val="00861B9F"/>
    <w:rsid w:val="00861BE3"/>
    <w:rsid w:val="008625D3"/>
    <w:rsid w:val="00863434"/>
    <w:rsid w:val="0086344F"/>
    <w:rsid w:val="008641AC"/>
    <w:rsid w:val="00865E4C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FE8"/>
    <w:rsid w:val="00875A32"/>
    <w:rsid w:val="00876086"/>
    <w:rsid w:val="00876E83"/>
    <w:rsid w:val="008772BC"/>
    <w:rsid w:val="00880A0E"/>
    <w:rsid w:val="008817FE"/>
    <w:rsid w:val="00881CD7"/>
    <w:rsid w:val="00882911"/>
    <w:rsid w:val="00882F6E"/>
    <w:rsid w:val="00884E02"/>
    <w:rsid w:val="00885D40"/>
    <w:rsid w:val="008873D4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3537"/>
    <w:rsid w:val="008B3690"/>
    <w:rsid w:val="008B3A80"/>
    <w:rsid w:val="008B3AEC"/>
    <w:rsid w:val="008B3C07"/>
    <w:rsid w:val="008B3F7B"/>
    <w:rsid w:val="008B5324"/>
    <w:rsid w:val="008B6106"/>
    <w:rsid w:val="008B7C02"/>
    <w:rsid w:val="008B7D2B"/>
    <w:rsid w:val="008B7EF9"/>
    <w:rsid w:val="008C0049"/>
    <w:rsid w:val="008C0314"/>
    <w:rsid w:val="008C0E88"/>
    <w:rsid w:val="008C1717"/>
    <w:rsid w:val="008C4B50"/>
    <w:rsid w:val="008C5A37"/>
    <w:rsid w:val="008C7569"/>
    <w:rsid w:val="008C79C3"/>
    <w:rsid w:val="008D033D"/>
    <w:rsid w:val="008D0DBD"/>
    <w:rsid w:val="008D117E"/>
    <w:rsid w:val="008D127E"/>
    <w:rsid w:val="008D1CA8"/>
    <w:rsid w:val="008D1E0A"/>
    <w:rsid w:val="008D1E6A"/>
    <w:rsid w:val="008D2A16"/>
    <w:rsid w:val="008D33F5"/>
    <w:rsid w:val="008D35E4"/>
    <w:rsid w:val="008D6C3A"/>
    <w:rsid w:val="008E0001"/>
    <w:rsid w:val="008E292B"/>
    <w:rsid w:val="008E2C57"/>
    <w:rsid w:val="008E31FF"/>
    <w:rsid w:val="008E3287"/>
    <w:rsid w:val="008E6DCB"/>
    <w:rsid w:val="008E6F06"/>
    <w:rsid w:val="008E7B8E"/>
    <w:rsid w:val="008E7FC9"/>
    <w:rsid w:val="008F0107"/>
    <w:rsid w:val="008F029B"/>
    <w:rsid w:val="008F0589"/>
    <w:rsid w:val="008F2A5D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55E"/>
    <w:rsid w:val="00912437"/>
    <w:rsid w:val="00912A92"/>
    <w:rsid w:val="00915D07"/>
    <w:rsid w:val="009162AE"/>
    <w:rsid w:val="00917251"/>
    <w:rsid w:val="0091728D"/>
    <w:rsid w:val="009203CC"/>
    <w:rsid w:val="00920EC4"/>
    <w:rsid w:val="0092180B"/>
    <w:rsid w:val="00921F14"/>
    <w:rsid w:val="0092292F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F4A"/>
    <w:rsid w:val="009341F1"/>
    <w:rsid w:val="00934FF2"/>
    <w:rsid w:val="009358D7"/>
    <w:rsid w:val="00935BD4"/>
    <w:rsid w:val="00935DFE"/>
    <w:rsid w:val="00935F70"/>
    <w:rsid w:val="009373B2"/>
    <w:rsid w:val="00937AE2"/>
    <w:rsid w:val="0094061F"/>
    <w:rsid w:val="00940F0F"/>
    <w:rsid w:val="0094416B"/>
    <w:rsid w:val="0094427A"/>
    <w:rsid w:val="00944C7C"/>
    <w:rsid w:val="00945245"/>
    <w:rsid w:val="00945523"/>
    <w:rsid w:val="00950921"/>
    <w:rsid w:val="00951D68"/>
    <w:rsid w:val="00951E5B"/>
    <w:rsid w:val="00952B7B"/>
    <w:rsid w:val="00954F39"/>
    <w:rsid w:val="009555FD"/>
    <w:rsid w:val="0095664B"/>
    <w:rsid w:val="009568DC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70A3"/>
    <w:rsid w:val="009674BE"/>
    <w:rsid w:val="00970FB5"/>
    <w:rsid w:val="00971710"/>
    <w:rsid w:val="00971B87"/>
    <w:rsid w:val="00971C77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2CF3"/>
    <w:rsid w:val="00993194"/>
    <w:rsid w:val="0099321E"/>
    <w:rsid w:val="00994868"/>
    <w:rsid w:val="00994D28"/>
    <w:rsid w:val="00994F2C"/>
    <w:rsid w:val="009957CC"/>
    <w:rsid w:val="009968D6"/>
    <w:rsid w:val="00997953"/>
    <w:rsid w:val="009A0BFF"/>
    <w:rsid w:val="009A10A0"/>
    <w:rsid w:val="009A1CAB"/>
    <w:rsid w:val="009A2359"/>
    <w:rsid w:val="009A24F1"/>
    <w:rsid w:val="009A27E0"/>
    <w:rsid w:val="009A4D57"/>
    <w:rsid w:val="009A51A5"/>
    <w:rsid w:val="009A60D1"/>
    <w:rsid w:val="009A6225"/>
    <w:rsid w:val="009A64F5"/>
    <w:rsid w:val="009B00D2"/>
    <w:rsid w:val="009B05B3"/>
    <w:rsid w:val="009B284F"/>
    <w:rsid w:val="009B3764"/>
    <w:rsid w:val="009B52AC"/>
    <w:rsid w:val="009B59EA"/>
    <w:rsid w:val="009B66CE"/>
    <w:rsid w:val="009B6FD3"/>
    <w:rsid w:val="009B72BE"/>
    <w:rsid w:val="009B78A4"/>
    <w:rsid w:val="009B7DB2"/>
    <w:rsid w:val="009C03DB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2921"/>
    <w:rsid w:val="009F4982"/>
    <w:rsid w:val="009F4CA7"/>
    <w:rsid w:val="009F4F6A"/>
    <w:rsid w:val="009F55BA"/>
    <w:rsid w:val="009F7D36"/>
    <w:rsid w:val="009F7D61"/>
    <w:rsid w:val="00A00E71"/>
    <w:rsid w:val="00A0306F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ED"/>
    <w:rsid w:val="00A16C37"/>
    <w:rsid w:val="00A16E1D"/>
    <w:rsid w:val="00A171D5"/>
    <w:rsid w:val="00A17A15"/>
    <w:rsid w:val="00A17D5B"/>
    <w:rsid w:val="00A201E1"/>
    <w:rsid w:val="00A20FE1"/>
    <w:rsid w:val="00A21B4D"/>
    <w:rsid w:val="00A22073"/>
    <w:rsid w:val="00A223E0"/>
    <w:rsid w:val="00A23158"/>
    <w:rsid w:val="00A23E43"/>
    <w:rsid w:val="00A24726"/>
    <w:rsid w:val="00A24DEB"/>
    <w:rsid w:val="00A24ED9"/>
    <w:rsid w:val="00A25216"/>
    <w:rsid w:val="00A2597D"/>
    <w:rsid w:val="00A2628E"/>
    <w:rsid w:val="00A266BF"/>
    <w:rsid w:val="00A2731E"/>
    <w:rsid w:val="00A309AC"/>
    <w:rsid w:val="00A30F65"/>
    <w:rsid w:val="00A3279E"/>
    <w:rsid w:val="00A35900"/>
    <w:rsid w:val="00A40EAC"/>
    <w:rsid w:val="00A418BC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C91"/>
    <w:rsid w:val="00A83150"/>
    <w:rsid w:val="00A83398"/>
    <w:rsid w:val="00A83D6E"/>
    <w:rsid w:val="00A83FD5"/>
    <w:rsid w:val="00A8521A"/>
    <w:rsid w:val="00A857C0"/>
    <w:rsid w:val="00A85AC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F1A"/>
    <w:rsid w:val="00A96116"/>
    <w:rsid w:val="00A9614E"/>
    <w:rsid w:val="00A96422"/>
    <w:rsid w:val="00A96C0F"/>
    <w:rsid w:val="00AA0E80"/>
    <w:rsid w:val="00AA17CD"/>
    <w:rsid w:val="00AA1D85"/>
    <w:rsid w:val="00AA212F"/>
    <w:rsid w:val="00AA26A9"/>
    <w:rsid w:val="00AA2996"/>
    <w:rsid w:val="00AA2AF4"/>
    <w:rsid w:val="00AA4282"/>
    <w:rsid w:val="00AA4790"/>
    <w:rsid w:val="00AA52BF"/>
    <w:rsid w:val="00AA559A"/>
    <w:rsid w:val="00AA6C31"/>
    <w:rsid w:val="00AA7752"/>
    <w:rsid w:val="00AA7CE8"/>
    <w:rsid w:val="00AB1457"/>
    <w:rsid w:val="00AB2AF1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6414"/>
    <w:rsid w:val="00AE7269"/>
    <w:rsid w:val="00AE797C"/>
    <w:rsid w:val="00AE7CE7"/>
    <w:rsid w:val="00AE7FAB"/>
    <w:rsid w:val="00AF0DE4"/>
    <w:rsid w:val="00AF1E87"/>
    <w:rsid w:val="00AF436B"/>
    <w:rsid w:val="00AF5179"/>
    <w:rsid w:val="00AF5CC2"/>
    <w:rsid w:val="00AF6776"/>
    <w:rsid w:val="00AF6F98"/>
    <w:rsid w:val="00B00913"/>
    <w:rsid w:val="00B01593"/>
    <w:rsid w:val="00B01FF9"/>
    <w:rsid w:val="00B023F2"/>
    <w:rsid w:val="00B038CA"/>
    <w:rsid w:val="00B06DB4"/>
    <w:rsid w:val="00B0750D"/>
    <w:rsid w:val="00B0799C"/>
    <w:rsid w:val="00B102CE"/>
    <w:rsid w:val="00B10A4D"/>
    <w:rsid w:val="00B10C90"/>
    <w:rsid w:val="00B11002"/>
    <w:rsid w:val="00B1114F"/>
    <w:rsid w:val="00B121B2"/>
    <w:rsid w:val="00B141B6"/>
    <w:rsid w:val="00B14BC1"/>
    <w:rsid w:val="00B16DD1"/>
    <w:rsid w:val="00B16EB8"/>
    <w:rsid w:val="00B17E71"/>
    <w:rsid w:val="00B17FDE"/>
    <w:rsid w:val="00B20632"/>
    <w:rsid w:val="00B2379C"/>
    <w:rsid w:val="00B23D5D"/>
    <w:rsid w:val="00B2687D"/>
    <w:rsid w:val="00B3108D"/>
    <w:rsid w:val="00B32DDB"/>
    <w:rsid w:val="00B32F57"/>
    <w:rsid w:val="00B3345C"/>
    <w:rsid w:val="00B34528"/>
    <w:rsid w:val="00B34CC9"/>
    <w:rsid w:val="00B3563B"/>
    <w:rsid w:val="00B36BDC"/>
    <w:rsid w:val="00B37D3A"/>
    <w:rsid w:val="00B37D96"/>
    <w:rsid w:val="00B402FC"/>
    <w:rsid w:val="00B422E2"/>
    <w:rsid w:val="00B42D5F"/>
    <w:rsid w:val="00B43216"/>
    <w:rsid w:val="00B439DA"/>
    <w:rsid w:val="00B4411A"/>
    <w:rsid w:val="00B45FE8"/>
    <w:rsid w:val="00B46604"/>
    <w:rsid w:val="00B47089"/>
    <w:rsid w:val="00B47587"/>
    <w:rsid w:val="00B52151"/>
    <w:rsid w:val="00B530CD"/>
    <w:rsid w:val="00B53C7D"/>
    <w:rsid w:val="00B53E56"/>
    <w:rsid w:val="00B55A97"/>
    <w:rsid w:val="00B55F5E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80F"/>
    <w:rsid w:val="00B76B48"/>
    <w:rsid w:val="00B76D1E"/>
    <w:rsid w:val="00B77543"/>
    <w:rsid w:val="00B77584"/>
    <w:rsid w:val="00B80EC6"/>
    <w:rsid w:val="00B81288"/>
    <w:rsid w:val="00B81D70"/>
    <w:rsid w:val="00B833B9"/>
    <w:rsid w:val="00B83E07"/>
    <w:rsid w:val="00B84CF6"/>
    <w:rsid w:val="00B85016"/>
    <w:rsid w:val="00B8561A"/>
    <w:rsid w:val="00B86643"/>
    <w:rsid w:val="00B868F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7ACC"/>
    <w:rsid w:val="00B97FE2"/>
    <w:rsid w:val="00BA0E0B"/>
    <w:rsid w:val="00BA201A"/>
    <w:rsid w:val="00BA3787"/>
    <w:rsid w:val="00BA46E8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AB2"/>
    <w:rsid w:val="00BB5ABF"/>
    <w:rsid w:val="00BB6EA2"/>
    <w:rsid w:val="00BB7B5B"/>
    <w:rsid w:val="00BB7EB1"/>
    <w:rsid w:val="00BC003F"/>
    <w:rsid w:val="00BC0930"/>
    <w:rsid w:val="00BC327F"/>
    <w:rsid w:val="00BC3512"/>
    <w:rsid w:val="00BC50BE"/>
    <w:rsid w:val="00BC5332"/>
    <w:rsid w:val="00BC5715"/>
    <w:rsid w:val="00BC5C12"/>
    <w:rsid w:val="00BC7154"/>
    <w:rsid w:val="00BC731E"/>
    <w:rsid w:val="00BC7614"/>
    <w:rsid w:val="00BD25BB"/>
    <w:rsid w:val="00BD2AF8"/>
    <w:rsid w:val="00BD366B"/>
    <w:rsid w:val="00BD3C09"/>
    <w:rsid w:val="00BD410B"/>
    <w:rsid w:val="00BD4A73"/>
    <w:rsid w:val="00BD6C75"/>
    <w:rsid w:val="00BD6D50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4329"/>
    <w:rsid w:val="00BF45BF"/>
    <w:rsid w:val="00BF4E43"/>
    <w:rsid w:val="00BF5C4C"/>
    <w:rsid w:val="00BF77FC"/>
    <w:rsid w:val="00C006D6"/>
    <w:rsid w:val="00C00BD7"/>
    <w:rsid w:val="00C01410"/>
    <w:rsid w:val="00C04B78"/>
    <w:rsid w:val="00C052AA"/>
    <w:rsid w:val="00C06EE3"/>
    <w:rsid w:val="00C07749"/>
    <w:rsid w:val="00C11244"/>
    <w:rsid w:val="00C11D48"/>
    <w:rsid w:val="00C1493E"/>
    <w:rsid w:val="00C15DBD"/>
    <w:rsid w:val="00C2010D"/>
    <w:rsid w:val="00C20CB5"/>
    <w:rsid w:val="00C21430"/>
    <w:rsid w:val="00C216DF"/>
    <w:rsid w:val="00C21E61"/>
    <w:rsid w:val="00C21F94"/>
    <w:rsid w:val="00C234DB"/>
    <w:rsid w:val="00C2479A"/>
    <w:rsid w:val="00C24903"/>
    <w:rsid w:val="00C2590D"/>
    <w:rsid w:val="00C25D9C"/>
    <w:rsid w:val="00C27913"/>
    <w:rsid w:val="00C300E2"/>
    <w:rsid w:val="00C31F21"/>
    <w:rsid w:val="00C32631"/>
    <w:rsid w:val="00C33301"/>
    <w:rsid w:val="00C33311"/>
    <w:rsid w:val="00C33B68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1F47"/>
    <w:rsid w:val="00C62828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70C9"/>
    <w:rsid w:val="00C81070"/>
    <w:rsid w:val="00C8174E"/>
    <w:rsid w:val="00C82191"/>
    <w:rsid w:val="00C83134"/>
    <w:rsid w:val="00C831E7"/>
    <w:rsid w:val="00C832F3"/>
    <w:rsid w:val="00C845A4"/>
    <w:rsid w:val="00C85545"/>
    <w:rsid w:val="00C855B5"/>
    <w:rsid w:val="00C85F0E"/>
    <w:rsid w:val="00C90CF4"/>
    <w:rsid w:val="00C91C20"/>
    <w:rsid w:val="00C922DE"/>
    <w:rsid w:val="00C92843"/>
    <w:rsid w:val="00C92EB6"/>
    <w:rsid w:val="00C93389"/>
    <w:rsid w:val="00C948E6"/>
    <w:rsid w:val="00C94CDD"/>
    <w:rsid w:val="00C97588"/>
    <w:rsid w:val="00CA0346"/>
    <w:rsid w:val="00CA1BD6"/>
    <w:rsid w:val="00CA37FF"/>
    <w:rsid w:val="00CA423A"/>
    <w:rsid w:val="00CA47BC"/>
    <w:rsid w:val="00CA5EAD"/>
    <w:rsid w:val="00CA6AB4"/>
    <w:rsid w:val="00CA7255"/>
    <w:rsid w:val="00CB1BEE"/>
    <w:rsid w:val="00CB2351"/>
    <w:rsid w:val="00CB4930"/>
    <w:rsid w:val="00CB4BA9"/>
    <w:rsid w:val="00CB4C63"/>
    <w:rsid w:val="00CB5A48"/>
    <w:rsid w:val="00CB5E10"/>
    <w:rsid w:val="00CB613B"/>
    <w:rsid w:val="00CB6152"/>
    <w:rsid w:val="00CB64E1"/>
    <w:rsid w:val="00CB6E4D"/>
    <w:rsid w:val="00CC0834"/>
    <w:rsid w:val="00CC20FE"/>
    <w:rsid w:val="00CC2E7D"/>
    <w:rsid w:val="00CC612B"/>
    <w:rsid w:val="00CC655F"/>
    <w:rsid w:val="00CC66F9"/>
    <w:rsid w:val="00CC6C2A"/>
    <w:rsid w:val="00CC6FE5"/>
    <w:rsid w:val="00CC7458"/>
    <w:rsid w:val="00CC76BD"/>
    <w:rsid w:val="00CC7A87"/>
    <w:rsid w:val="00CD10A5"/>
    <w:rsid w:val="00CD1129"/>
    <w:rsid w:val="00CD1A80"/>
    <w:rsid w:val="00CD1CB5"/>
    <w:rsid w:val="00CD2076"/>
    <w:rsid w:val="00CD24CE"/>
    <w:rsid w:val="00CD29B5"/>
    <w:rsid w:val="00CD2B78"/>
    <w:rsid w:val="00CD3FAB"/>
    <w:rsid w:val="00CD5456"/>
    <w:rsid w:val="00CD5C3E"/>
    <w:rsid w:val="00CD6331"/>
    <w:rsid w:val="00CE14BE"/>
    <w:rsid w:val="00CE17A4"/>
    <w:rsid w:val="00CE1BA9"/>
    <w:rsid w:val="00CE2D8F"/>
    <w:rsid w:val="00CE3E48"/>
    <w:rsid w:val="00CE47B8"/>
    <w:rsid w:val="00CE62FA"/>
    <w:rsid w:val="00CE670B"/>
    <w:rsid w:val="00CE6833"/>
    <w:rsid w:val="00CF020B"/>
    <w:rsid w:val="00CF2E4D"/>
    <w:rsid w:val="00CF4205"/>
    <w:rsid w:val="00CF4908"/>
    <w:rsid w:val="00CF51EC"/>
    <w:rsid w:val="00CF545D"/>
    <w:rsid w:val="00CF5873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476"/>
    <w:rsid w:val="00D12C25"/>
    <w:rsid w:val="00D133B4"/>
    <w:rsid w:val="00D13986"/>
    <w:rsid w:val="00D14C5B"/>
    <w:rsid w:val="00D15FED"/>
    <w:rsid w:val="00D16712"/>
    <w:rsid w:val="00D214EF"/>
    <w:rsid w:val="00D215B0"/>
    <w:rsid w:val="00D21D6D"/>
    <w:rsid w:val="00D21D83"/>
    <w:rsid w:val="00D235B7"/>
    <w:rsid w:val="00D23FAE"/>
    <w:rsid w:val="00D25F28"/>
    <w:rsid w:val="00D26071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6223"/>
    <w:rsid w:val="00D667B8"/>
    <w:rsid w:val="00D70289"/>
    <w:rsid w:val="00D70822"/>
    <w:rsid w:val="00D72076"/>
    <w:rsid w:val="00D726A9"/>
    <w:rsid w:val="00D72DBA"/>
    <w:rsid w:val="00D743E0"/>
    <w:rsid w:val="00D7490C"/>
    <w:rsid w:val="00D75AC1"/>
    <w:rsid w:val="00D77252"/>
    <w:rsid w:val="00D8084C"/>
    <w:rsid w:val="00D81809"/>
    <w:rsid w:val="00D82EF1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5302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2B41"/>
    <w:rsid w:val="00DC3128"/>
    <w:rsid w:val="00DC435B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D8B"/>
    <w:rsid w:val="00DE1237"/>
    <w:rsid w:val="00DE140F"/>
    <w:rsid w:val="00DE2491"/>
    <w:rsid w:val="00DE5CA6"/>
    <w:rsid w:val="00DE7AC8"/>
    <w:rsid w:val="00DF2C5D"/>
    <w:rsid w:val="00DF3643"/>
    <w:rsid w:val="00DF42FF"/>
    <w:rsid w:val="00DF4369"/>
    <w:rsid w:val="00DF4423"/>
    <w:rsid w:val="00DF4ADF"/>
    <w:rsid w:val="00DF5D1E"/>
    <w:rsid w:val="00DF77E4"/>
    <w:rsid w:val="00DF7F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444C"/>
    <w:rsid w:val="00E17262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30F15"/>
    <w:rsid w:val="00E31771"/>
    <w:rsid w:val="00E3186D"/>
    <w:rsid w:val="00E31A3E"/>
    <w:rsid w:val="00E32080"/>
    <w:rsid w:val="00E3309D"/>
    <w:rsid w:val="00E350B1"/>
    <w:rsid w:val="00E35A53"/>
    <w:rsid w:val="00E3656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3470"/>
    <w:rsid w:val="00E539F6"/>
    <w:rsid w:val="00E54698"/>
    <w:rsid w:val="00E54FB4"/>
    <w:rsid w:val="00E5539A"/>
    <w:rsid w:val="00E55791"/>
    <w:rsid w:val="00E55E1A"/>
    <w:rsid w:val="00E578A2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C5F"/>
    <w:rsid w:val="00E71A58"/>
    <w:rsid w:val="00E72A26"/>
    <w:rsid w:val="00E72A7A"/>
    <w:rsid w:val="00E7335A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90CA8"/>
    <w:rsid w:val="00E930A1"/>
    <w:rsid w:val="00E93820"/>
    <w:rsid w:val="00E94A86"/>
    <w:rsid w:val="00E953F6"/>
    <w:rsid w:val="00E96143"/>
    <w:rsid w:val="00E96833"/>
    <w:rsid w:val="00E97506"/>
    <w:rsid w:val="00E97BB5"/>
    <w:rsid w:val="00EA0C68"/>
    <w:rsid w:val="00EA1D0E"/>
    <w:rsid w:val="00EA2072"/>
    <w:rsid w:val="00EA2841"/>
    <w:rsid w:val="00EA32BC"/>
    <w:rsid w:val="00EA35A7"/>
    <w:rsid w:val="00EA3B32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A8E"/>
    <w:rsid w:val="00EB4BC5"/>
    <w:rsid w:val="00EB5BF7"/>
    <w:rsid w:val="00EB5E79"/>
    <w:rsid w:val="00EB6FAC"/>
    <w:rsid w:val="00EB7BAC"/>
    <w:rsid w:val="00EC03D7"/>
    <w:rsid w:val="00EC13A7"/>
    <w:rsid w:val="00EC2EB6"/>
    <w:rsid w:val="00ED0EF0"/>
    <w:rsid w:val="00ED12B9"/>
    <w:rsid w:val="00ED16B8"/>
    <w:rsid w:val="00ED1DF0"/>
    <w:rsid w:val="00ED2386"/>
    <w:rsid w:val="00ED2EA1"/>
    <w:rsid w:val="00ED3851"/>
    <w:rsid w:val="00ED3F10"/>
    <w:rsid w:val="00ED4D04"/>
    <w:rsid w:val="00ED566D"/>
    <w:rsid w:val="00ED5907"/>
    <w:rsid w:val="00ED5F5B"/>
    <w:rsid w:val="00ED62C6"/>
    <w:rsid w:val="00ED64C1"/>
    <w:rsid w:val="00ED781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47BF"/>
    <w:rsid w:val="00EF59B1"/>
    <w:rsid w:val="00EF5A13"/>
    <w:rsid w:val="00EF5FF9"/>
    <w:rsid w:val="00EF77D4"/>
    <w:rsid w:val="00EF7CC7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2CFB"/>
    <w:rsid w:val="00F13E60"/>
    <w:rsid w:val="00F13FDB"/>
    <w:rsid w:val="00F15AAA"/>
    <w:rsid w:val="00F15BEF"/>
    <w:rsid w:val="00F17898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EDC"/>
    <w:rsid w:val="00F437CC"/>
    <w:rsid w:val="00F44537"/>
    <w:rsid w:val="00F46185"/>
    <w:rsid w:val="00F46423"/>
    <w:rsid w:val="00F4696A"/>
    <w:rsid w:val="00F47067"/>
    <w:rsid w:val="00F47234"/>
    <w:rsid w:val="00F525AB"/>
    <w:rsid w:val="00F525EB"/>
    <w:rsid w:val="00F52CB5"/>
    <w:rsid w:val="00F53378"/>
    <w:rsid w:val="00F53A68"/>
    <w:rsid w:val="00F54934"/>
    <w:rsid w:val="00F55A92"/>
    <w:rsid w:val="00F62BFF"/>
    <w:rsid w:val="00F63AAE"/>
    <w:rsid w:val="00F63DDE"/>
    <w:rsid w:val="00F63FB7"/>
    <w:rsid w:val="00F6421B"/>
    <w:rsid w:val="00F647F1"/>
    <w:rsid w:val="00F649D2"/>
    <w:rsid w:val="00F6602B"/>
    <w:rsid w:val="00F7150B"/>
    <w:rsid w:val="00F717E4"/>
    <w:rsid w:val="00F71DE6"/>
    <w:rsid w:val="00F72D71"/>
    <w:rsid w:val="00F7381C"/>
    <w:rsid w:val="00F73A0C"/>
    <w:rsid w:val="00F7549F"/>
    <w:rsid w:val="00F756DB"/>
    <w:rsid w:val="00F767A8"/>
    <w:rsid w:val="00F82D14"/>
    <w:rsid w:val="00F84E7D"/>
    <w:rsid w:val="00F85066"/>
    <w:rsid w:val="00F87A4D"/>
    <w:rsid w:val="00F93688"/>
    <w:rsid w:val="00F939F3"/>
    <w:rsid w:val="00F93C6E"/>
    <w:rsid w:val="00F93F2C"/>
    <w:rsid w:val="00F9644E"/>
    <w:rsid w:val="00FA0105"/>
    <w:rsid w:val="00FA05A0"/>
    <w:rsid w:val="00FA0AEF"/>
    <w:rsid w:val="00FA17CC"/>
    <w:rsid w:val="00FA1F01"/>
    <w:rsid w:val="00FA26DF"/>
    <w:rsid w:val="00FA32BC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64F"/>
    <w:rsid w:val="00FB7DBB"/>
    <w:rsid w:val="00FC05F8"/>
    <w:rsid w:val="00FC0E5F"/>
    <w:rsid w:val="00FC1266"/>
    <w:rsid w:val="00FC1A95"/>
    <w:rsid w:val="00FC1ED4"/>
    <w:rsid w:val="00FC3BEC"/>
    <w:rsid w:val="00FC440B"/>
    <w:rsid w:val="00FC56DE"/>
    <w:rsid w:val="00FC63D9"/>
    <w:rsid w:val="00FC64DE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E27C7"/>
    <w:rsid w:val="00FE2C7E"/>
    <w:rsid w:val="00FE2F78"/>
    <w:rsid w:val="00FE3137"/>
    <w:rsid w:val="00FE346B"/>
    <w:rsid w:val="00FE346F"/>
    <w:rsid w:val="00FE48E4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4EEB6EC"/>
  <w15:docId w15:val="{02E7EBF8-5A4E-462D-AC4B-706FC6E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0Q2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581433637284705E-2"/>
          <c:y val="2.1711264016309892E-2"/>
          <c:w val="0.93508633063154345"/>
          <c:h val="0.73130361364405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'Měnové podmínky 1'!$C$5</c:f>
              <c:strCache>
                <c:ptCount val="1"/>
                <c:pt idx="0">
                  <c:v>2T repo sazba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1'!$C$42:$C$107</c:f>
              <c:numCache>
                <c:formatCode>0.00</c:formatCode>
                <c:ptCount val="66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  <c:pt idx="4">
                  <c:v>0.05</c:v>
                </c:pt>
                <c:pt idx="5">
                  <c:v>0.05</c:v>
                </c:pt>
                <c:pt idx="6">
                  <c:v>0.05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0.05</c:v>
                </c:pt>
                <c:pt idx="12" formatCode="General">
                  <c:v>0.05</c:v>
                </c:pt>
                <c:pt idx="13" formatCode="General">
                  <c:v>0.05</c:v>
                </c:pt>
                <c:pt idx="14" formatCode="General">
                  <c:v>0.05</c:v>
                </c:pt>
                <c:pt idx="15" formatCode="General">
                  <c:v>0.05</c:v>
                </c:pt>
                <c:pt idx="16" formatCode="General">
                  <c:v>0.05</c:v>
                </c:pt>
                <c:pt idx="17" formatCode="General">
                  <c:v>0.05</c:v>
                </c:pt>
                <c:pt idx="18" formatCode="General">
                  <c:v>0.05</c:v>
                </c:pt>
                <c:pt idx="19" formatCode="General">
                  <c:v>0.05</c:v>
                </c:pt>
                <c:pt idx="20" formatCode="General">
                  <c:v>0.05</c:v>
                </c:pt>
                <c:pt idx="21" formatCode="General">
                  <c:v>0.05</c:v>
                </c:pt>
                <c:pt idx="22" formatCode="General">
                  <c:v>0.05</c:v>
                </c:pt>
                <c:pt idx="23" formatCode="General">
                  <c:v>0.05</c:v>
                </c:pt>
                <c:pt idx="24" formatCode="General">
                  <c:v>0.05</c:v>
                </c:pt>
                <c:pt idx="25" formatCode="General">
                  <c:v>0.05</c:v>
                </c:pt>
                <c:pt idx="26" formatCode="General">
                  <c:v>0.05</c:v>
                </c:pt>
                <c:pt idx="27" formatCode="General">
                  <c:v>0.05</c:v>
                </c:pt>
                <c:pt idx="28" formatCode="General">
                  <c:v>0.05</c:v>
                </c:pt>
                <c:pt idx="29" formatCode="General">
                  <c:v>0.05</c:v>
                </c:pt>
                <c:pt idx="30" formatCode="General">
                  <c:v>0.05</c:v>
                </c:pt>
                <c:pt idx="31" formatCode="General">
                  <c:v>0.25</c:v>
                </c:pt>
                <c:pt idx="32" formatCode="General">
                  <c:v>0.25</c:v>
                </c:pt>
                <c:pt idx="33" formatCode="General">
                  <c:v>0.25</c:v>
                </c:pt>
                <c:pt idx="34" formatCode="General">
                  <c:v>0.5</c:v>
                </c:pt>
                <c:pt idx="35" formatCode="General">
                  <c:v>0.5</c:v>
                </c:pt>
                <c:pt idx="36" formatCode="General">
                  <c:v>0.5</c:v>
                </c:pt>
                <c:pt idx="37" formatCode="General">
                  <c:v>0.75</c:v>
                </c:pt>
                <c:pt idx="38" formatCode="General">
                  <c:v>0.75</c:v>
                </c:pt>
                <c:pt idx="39" formatCode="General">
                  <c:v>0.75</c:v>
                </c:pt>
                <c:pt idx="40" formatCode="General">
                  <c:v>0.75</c:v>
                </c:pt>
                <c:pt idx="41" formatCode="General">
                  <c:v>1</c:v>
                </c:pt>
                <c:pt idx="42" formatCode="General">
                  <c:v>1</c:v>
                </c:pt>
                <c:pt idx="43" formatCode="General">
                  <c:v>1.25</c:v>
                </c:pt>
                <c:pt idx="44" formatCode="General">
                  <c:v>1.5</c:v>
                </c:pt>
                <c:pt idx="45" formatCode="General">
                  <c:v>1.5</c:v>
                </c:pt>
                <c:pt idx="46" formatCode="General">
                  <c:v>1.75</c:v>
                </c:pt>
                <c:pt idx="47" formatCode="General">
                  <c:v>1.75</c:v>
                </c:pt>
                <c:pt idx="48" formatCode="General">
                  <c:v>1.75</c:v>
                </c:pt>
                <c:pt idx="49" formatCode="General">
                  <c:v>1.75</c:v>
                </c:pt>
                <c:pt idx="50" formatCode="General">
                  <c:v>1.75</c:v>
                </c:pt>
                <c:pt idx="51" formatCode="General">
                  <c:v>1.75</c:v>
                </c:pt>
                <c:pt idx="52" formatCode="General">
                  <c:v>2</c:v>
                </c:pt>
                <c:pt idx="53" formatCode="General">
                  <c:v>2</c:v>
                </c:pt>
                <c:pt idx="54" formatCode="General">
                  <c:v>2</c:v>
                </c:pt>
                <c:pt idx="55" formatCode="General">
                  <c:v>2</c:v>
                </c:pt>
                <c:pt idx="56" formatCode="General">
                  <c:v>2</c:v>
                </c:pt>
                <c:pt idx="57" formatCode="General">
                  <c:v>2</c:v>
                </c:pt>
                <c:pt idx="58" formatCode="General">
                  <c:v>2</c:v>
                </c:pt>
                <c:pt idx="59" formatCode="General">
                  <c:v>2</c:v>
                </c:pt>
                <c:pt idx="60" formatCode="General">
                  <c:v>2</c:v>
                </c:pt>
                <c:pt idx="61" formatCode="General">
                  <c:v>2.25</c:v>
                </c:pt>
                <c:pt idx="62" formatCode="General">
                  <c:v>1</c:v>
                </c:pt>
                <c:pt idx="63" formatCode="General">
                  <c:v>1</c:v>
                </c:pt>
                <c:pt idx="64" formatCode="General">
                  <c:v>0.25</c:v>
                </c:pt>
                <c:pt idx="65" formatCode="General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9-4EAB-93D7-76F07B547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axId val="271742464"/>
        <c:axId val="271744000"/>
      </c:barChart>
      <c:lineChart>
        <c:grouping val="standard"/>
        <c:varyColors val="0"/>
        <c:ser>
          <c:idx val="3"/>
          <c:order val="1"/>
          <c:tx>
            <c:strRef>
              <c:f>'Měnové podmínky 1'!$F$5</c:f>
              <c:strCache>
                <c:ptCount val="1"/>
                <c:pt idx="0">
                  <c:v>Průměrný výnos státních dluhopisů (2Y)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1'!$F$42:$F$107</c:f>
              <c:numCache>
                <c:formatCode>General</c:formatCode>
                <c:ptCount val="66"/>
                <c:pt idx="0">
                  <c:v>0.09</c:v>
                </c:pt>
                <c:pt idx="1">
                  <c:v>0.06</c:v>
                </c:pt>
                <c:pt idx="2">
                  <c:v>0.04</c:v>
                </c:pt>
                <c:pt idx="3">
                  <c:v>-0.03</c:v>
                </c:pt>
                <c:pt idx="4">
                  <c:v>0.04</c:v>
                </c:pt>
                <c:pt idx="5">
                  <c:v>0.11</c:v>
                </c:pt>
                <c:pt idx="6">
                  <c:v>0.02</c:v>
                </c:pt>
                <c:pt idx="7">
                  <c:v>-7.0000000000000007E-2</c:v>
                </c:pt>
                <c:pt idx="8">
                  <c:v>-0.3</c:v>
                </c:pt>
                <c:pt idx="9">
                  <c:v>-0.28000000000000003</c:v>
                </c:pt>
                <c:pt idx="10">
                  <c:v>-0.33</c:v>
                </c:pt>
                <c:pt idx="11">
                  <c:v>-0.38</c:v>
                </c:pt>
                <c:pt idx="12">
                  <c:v>-0.21</c:v>
                </c:pt>
                <c:pt idx="13">
                  <c:v>-0.18</c:v>
                </c:pt>
                <c:pt idx="14">
                  <c:v>-0.17</c:v>
                </c:pt>
                <c:pt idx="15">
                  <c:v>-0.08</c:v>
                </c:pt>
                <c:pt idx="16">
                  <c:v>-0.04</c:v>
                </c:pt>
                <c:pt idx="17">
                  <c:v>-0.05</c:v>
                </c:pt>
                <c:pt idx="18">
                  <c:v>-0.13</c:v>
                </c:pt>
                <c:pt idx="19">
                  <c:v>-0.22</c:v>
                </c:pt>
                <c:pt idx="20">
                  <c:v>-0.5</c:v>
                </c:pt>
                <c:pt idx="21">
                  <c:v>-0.74</c:v>
                </c:pt>
                <c:pt idx="22">
                  <c:v>-0.73</c:v>
                </c:pt>
                <c:pt idx="23">
                  <c:v>-0.81</c:v>
                </c:pt>
                <c:pt idx="24">
                  <c:v>-0.88</c:v>
                </c:pt>
                <c:pt idx="25">
                  <c:v>-0.53</c:v>
                </c:pt>
                <c:pt idx="26">
                  <c:v>-0.44</c:v>
                </c:pt>
                <c:pt idx="27">
                  <c:v>-0.23</c:v>
                </c:pt>
                <c:pt idx="28">
                  <c:v>-0.24</c:v>
                </c:pt>
                <c:pt idx="29">
                  <c:v>-0.25</c:v>
                </c:pt>
                <c:pt idx="30">
                  <c:v>-0.28999999999999998</c:v>
                </c:pt>
                <c:pt idx="31">
                  <c:v>-0.33</c:v>
                </c:pt>
                <c:pt idx="32">
                  <c:v>-0.28999999999999998</c:v>
                </c:pt>
                <c:pt idx="33">
                  <c:v>0.12</c:v>
                </c:pt>
                <c:pt idx="34">
                  <c:v>0.31</c:v>
                </c:pt>
                <c:pt idx="35">
                  <c:v>0.19</c:v>
                </c:pt>
                <c:pt idx="36">
                  <c:v>0.46</c:v>
                </c:pt>
                <c:pt idx="37">
                  <c:v>0.55000000000000004</c:v>
                </c:pt>
                <c:pt idx="38">
                  <c:v>0.62</c:v>
                </c:pt>
                <c:pt idx="39">
                  <c:v>0.6</c:v>
                </c:pt>
                <c:pt idx="40">
                  <c:v>0.7</c:v>
                </c:pt>
                <c:pt idx="41">
                  <c:v>0.89</c:v>
                </c:pt>
                <c:pt idx="42">
                  <c:v>1.0900000000000001</c:v>
                </c:pt>
                <c:pt idx="43">
                  <c:v>1.26</c:v>
                </c:pt>
                <c:pt idx="44">
                  <c:v>1.34</c:v>
                </c:pt>
                <c:pt idx="45">
                  <c:v>1.44</c:v>
                </c:pt>
                <c:pt idx="46">
                  <c:v>1.49</c:v>
                </c:pt>
                <c:pt idx="47">
                  <c:v>1.52</c:v>
                </c:pt>
                <c:pt idx="48">
                  <c:v>1.66</c:v>
                </c:pt>
                <c:pt idx="49">
                  <c:v>1.74</c:v>
                </c:pt>
                <c:pt idx="50">
                  <c:v>1.71</c:v>
                </c:pt>
                <c:pt idx="51">
                  <c:v>1.63</c:v>
                </c:pt>
                <c:pt idx="52">
                  <c:v>1.62</c:v>
                </c:pt>
                <c:pt idx="53">
                  <c:v>1.52</c:v>
                </c:pt>
                <c:pt idx="54">
                  <c:v>1.35</c:v>
                </c:pt>
                <c:pt idx="55">
                  <c:v>0.85</c:v>
                </c:pt>
                <c:pt idx="56">
                  <c:v>1.07</c:v>
                </c:pt>
                <c:pt idx="57">
                  <c:v>1.17</c:v>
                </c:pt>
                <c:pt idx="58">
                  <c:v>1.33</c:v>
                </c:pt>
                <c:pt idx="59">
                  <c:v>1.36</c:v>
                </c:pt>
                <c:pt idx="60">
                  <c:v>1.55</c:v>
                </c:pt>
                <c:pt idx="61">
                  <c:v>1.57</c:v>
                </c:pt>
                <c:pt idx="62">
                  <c:v>1.27</c:v>
                </c:pt>
                <c:pt idx="63">
                  <c:v>0.71</c:v>
                </c:pt>
                <c:pt idx="64">
                  <c:v>0.13</c:v>
                </c:pt>
                <c:pt idx="65">
                  <c:v>0.08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89-4EAB-93D7-76F07B5470CF}"/>
            </c:ext>
          </c:extLst>
        </c:ser>
        <c:ser>
          <c:idx val="1"/>
          <c:order val="2"/>
          <c:tx>
            <c:strRef>
              <c:f>'Měnové podmínky 1'!$D$5</c:f>
              <c:strCache>
                <c:ptCount val="1"/>
                <c:pt idx="0">
                  <c:v>PRIBOR (3M)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1'!$D$42:$D$107</c:f>
              <c:numCache>
                <c:formatCode>General</c:formatCode>
                <c:ptCount val="66"/>
                <c:pt idx="0">
                  <c:v>0.33</c:v>
                </c:pt>
                <c:pt idx="1">
                  <c:v>0.33</c:v>
                </c:pt>
                <c:pt idx="2">
                  <c:v>0.32</c:v>
                </c:pt>
                <c:pt idx="3">
                  <c:v>0.31</c:v>
                </c:pt>
                <c:pt idx="4">
                  <c:v>0.31</c:v>
                </c:pt>
                <c:pt idx="5">
                  <c:v>0.31</c:v>
                </c:pt>
                <c:pt idx="6">
                  <c:v>0.31</c:v>
                </c:pt>
                <c:pt idx="7">
                  <c:v>0.31</c:v>
                </c:pt>
                <c:pt idx="8">
                  <c:v>0.3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0.28999999999999998</c:v>
                </c:pt>
                <c:pt idx="13">
                  <c:v>0.28000000000000003</c:v>
                </c:pt>
                <c:pt idx="14">
                  <c:v>0.28999999999999998</c:v>
                </c:pt>
                <c:pt idx="15">
                  <c:v>0.28999999999999998</c:v>
                </c:pt>
                <c:pt idx="16">
                  <c:v>0.28999999999999998</c:v>
                </c:pt>
                <c:pt idx="17">
                  <c:v>0.28999999999999998</c:v>
                </c:pt>
                <c:pt idx="18">
                  <c:v>0.28999999999999998</c:v>
                </c:pt>
                <c:pt idx="19">
                  <c:v>0.28999999999999998</c:v>
                </c:pt>
                <c:pt idx="20">
                  <c:v>0.28999999999999998</c:v>
                </c:pt>
                <c:pt idx="21">
                  <c:v>0.28999999999999998</c:v>
                </c:pt>
                <c:pt idx="22">
                  <c:v>0.28999999999999998</c:v>
                </c:pt>
                <c:pt idx="23">
                  <c:v>0.28999999999999998</c:v>
                </c:pt>
                <c:pt idx="24">
                  <c:v>0.28000000000000003</c:v>
                </c:pt>
                <c:pt idx="25">
                  <c:v>0.28000000000000003</c:v>
                </c:pt>
                <c:pt idx="26">
                  <c:v>0.28000000000000003</c:v>
                </c:pt>
                <c:pt idx="27">
                  <c:v>0.28999999999999998</c:v>
                </c:pt>
                <c:pt idx="28">
                  <c:v>0.3</c:v>
                </c:pt>
                <c:pt idx="29">
                  <c:v>0.3</c:v>
                </c:pt>
                <c:pt idx="30">
                  <c:v>0.3</c:v>
                </c:pt>
                <c:pt idx="31">
                  <c:v>0.43</c:v>
                </c:pt>
                <c:pt idx="32">
                  <c:v>0.46</c:v>
                </c:pt>
                <c:pt idx="33">
                  <c:v>0.51</c:v>
                </c:pt>
                <c:pt idx="34">
                  <c:v>0.71</c:v>
                </c:pt>
                <c:pt idx="35">
                  <c:v>0.75</c:v>
                </c:pt>
                <c:pt idx="36">
                  <c:v>0.77</c:v>
                </c:pt>
                <c:pt idx="37">
                  <c:v>0.9</c:v>
                </c:pt>
                <c:pt idx="38">
                  <c:v>0.9</c:v>
                </c:pt>
                <c:pt idx="39">
                  <c:v>0.9</c:v>
                </c:pt>
                <c:pt idx="40">
                  <c:v>0.9</c:v>
                </c:pt>
                <c:pt idx="41">
                  <c:v>0.93</c:v>
                </c:pt>
                <c:pt idx="42">
                  <c:v>1.18</c:v>
                </c:pt>
                <c:pt idx="43">
                  <c:v>1.45</c:v>
                </c:pt>
                <c:pt idx="44">
                  <c:v>1.54</c:v>
                </c:pt>
                <c:pt idx="45">
                  <c:v>1.76</c:v>
                </c:pt>
                <c:pt idx="46">
                  <c:v>1.99</c:v>
                </c:pt>
                <c:pt idx="47">
                  <c:v>2.0099999999999998</c:v>
                </c:pt>
                <c:pt idx="48">
                  <c:v>2.0099999999999998</c:v>
                </c:pt>
                <c:pt idx="49">
                  <c:v>2.0099999999999998</c:v>
                </c:pt>
                <c:pt idx="50">
                  <c:v>2.0299999999999998</c:v>
                </c:pt>
                <c:pt idx="51">
                  <c:v>2.02</c:v>
                </c:pt>
                <c:pt idx="52">
                  <c:v>2.19</c:v>
                </c:pt>
                <c:pt idx="53">
                  <c:v>2.17</c:v>
                </c:pt>
                <c:pt idx="54">
                  <c:v>2.16</c:v>
                </c:pt>
                <c:pt idx="55">
                  <c:v>2.14</c:v>
                </c:pt>
                <c:pt idx="56">
                  <c:v>2.14</c:v>
                </c:pt>
                <c:pt idx="57">
                  <c:v>2.17</c:v>
                </c:pt>
                <c:pt idx="58">
                  <c:v>2.1800000000000002</c:v>
                </c:pt>
                <c:pt idx="59">
                  <c:v>2.1800000000000002</c:v>
                </c:pt>
                <c:pt idx="60">
                  <c:v>2.17</c:v>
                </c:pt>
                <c:pt idx="61">
                  <c:v>2.34</c:v>
                </c:pt>
                <c:pt idx="62">
                  <c:v>2</c:v>
                </c:pt>
                <c:pt idx="63">
                  <c:v>0.97</c:v>
                </c:pt>
                <c:pt idx="64">
                  <c:v>0.46</c:v>
                </c:pt>
                <c:pt idx="65">
                  <c:v>0.34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F89-4EAB-93D7-76F07B5470CF}"/>
            </c:ext>
          </c:extLst>
        </c:ser>
        <c:ser>
          <c:idx val="4"/>
          <c:order val="3"/>
          <c:tx>
            <c:strRef>
              <c:f>'Měnové podmínky 1'!$G$5</c:f>
              <c:strCache>
                <c:ptCount val="1"/>
                <c:pt idx="0">
                  <c:v>Průměrný výnos státních dluhopisů (5Y)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1'!$G$42:$G$107</c:f>
              <c:numCache>
                <c:formatCode>General</c:formatCode>
                <c:ptCount val="66"/>
                <c:pt idx="0">
                  <c:v>0.13</c:v>
                </c:pt>
                <c:pt idx="1">
                  <c:v>0.17</c:v>
                </c:pt>
                <c:pt idx="2">
                  <c:v>0.14000000000000001</c:v>
                </c:pt>
                <c:pt idx="3">
                  <c:v>0.05</c:v>
                </c:pt>
                <c:pt idx="4">
                  <c:v>0.22</c:v>
                </c:pt>
                <c:pt idx="5">
                  <c:v>0.43</c:v>
                </c:pt>
                <c:pt idx="6">
                  <c:v>0.35</c:v>
                </c:pt>
                <c:pt idx="7">
                  <c:v>0.2</c:v>
                </c:pt>
                <c:pt idx="8">
                  <c:v>0.06</c:v>
                </c:pt>
                <c:pt idx="9">
                  <c:v>-0.05</c:v>
                </c:pt>
                <c:pt idx="10">
                  <c:v>-0.05</c:v>
                </c:pt>
                <c:pt idx="11">
                  <c:v>-0.11</c:v>
                </c:pt>
                <c:pt idx="12">
                  <c:v>0.04</c:v>
                </c:pt>
                <c:pt idx="13">
                  <c:v>-0.08</c:v>
                </c:pt>
                <c:pt idx="14">
                  <c:v>-0.1</c:v>
                </c:pt>
                <c:pt idx="15">
                  <c:v>0.04</c:v>
                </c:pt>
                <c:pt idx="16">
                  <c:v>7.0000000000000007E-2</c:v>
                </c:pt>
                <c:pt idx="17">
                  <c:v>0.05</c:v>
                </c:pt>
                <c:pt idx="18">
                  <c:v>-0.02</c:v>
                </c:pt>
                <c:pt idx="19">
                  <c:v>-0.09</c:v>
                </c:pt>
                <c:pt idx="20">
                  <c:v>-0.19</c:v>
                </c:pt>
                <c:pt idx="21">
                  <c:v>-0.17</c:v>
                </c:pt>
                <c:pt idx="22">
                  <c:v>-0.17</c:v>
                </c:pt>
                <c:pt idx="23">
                  <c:v>-0.21</c:v>
                </c:pt>
                <c:pt idx="24">
                  <c:v>-0.22</c:v>
                </c:pt>
                <c:pt idx="25">
                  <c:v>0.09</c:v>
                </c:pt>
                <c:pt idx="26">
                  <c:v>0.1</c:v>
                </c:pt>
                <c:pt idx="27">
                  <c:v>0.16</c:v>
                </c:pt>
                <c:pt idx="28">
                  <c:v>0.04</c:v>
                </c:pt>
                <c:pt idx="29">
                  <c:v>-0.03</c:v>
                </c:pt>
                <c:pt idx="30">
                  <c:v>0.14000000000000001</c:v>
                </c:pt>
                <c:pt idx="31">
                  <c:v>0.09</c:v>
                </c:pt>
                <c:pt idx="32">
                  <c:v>0.1</c:v>
                </c:pt>
                <c:pt idx="33">
                  <c:v>0.63</c:v>
                </c:pt>
                <c:pt idx="34">
                  <c:v>0.87</c:v>
                </c:pt>
                <c:pt idx="35">
                  <c:v>0.68</c:v>
                </c:pt>
                <c:pt idx="36">
                  <c:v>0.99</c:v>
                </c:pt>
                <c:pt idx="37">
                  <c:v>1.07</c:v>
                </c:pt>
                <c:pt idx="38">
                  <c:v>1.0900000000000001</c:v>
                </c:pt>
                <c:pt idx="39">
                  <c:v>1.05</c:v>
                </c:pt>
                <c:pt idx="40">
                  <c:v>1.21</c:v>
                </c:pt>
                <c:pt idx="41">
                  <c:v>1.41</c:v>
                </c:pt>
                <c:pt idx="42">
                  <c:v>1.44</c:v>
                </c:pt>
                <c:pt idx="43">
                  <c:v>1.55</c:v>
                </c:pt>
                <c:pt idx="44">
                  <c:v>1.7</c:v>
                </c:pt>
                <c:pt idx="45">
                  <c:v>1.81</c:v>
                </c:pt>
                <c:pt idx="46">
                  <c:v>1.79</c:v>
                </c:pt>
                <c:pt idx="47">
                  <c:v>1.71</c:v>
                </c:pt>
                <c:pt idx="48">
                  <c:v>1.6</c:v>
                </c:pt>
                <c:pt idx="49">
                  <c:v>1.61</c:v>
                </c:pt>
                <c:pt idx="50">
                  <c:v>1.7</c:v>
                </c:pt>
                <c:pt idx="51">
                  <c:v>1.63</c:v>
                </c:pt>
                <c:pt idx="52">
                  <c:v>1.57</c:v>
                </c:pt>
                <c:pt idx="53">
                  <c:v>1.43</c:v>
                </c:pt>
                <c:pt idx="54">
                  <c:v>1.31</c:v>
                </c:pt>
                <c:pt idx="55">
                  <c:v>0.89</c:v>
                </c:pt>
                <c:pt idx="56">
                  <c:v>1.1299999999999999</c:v>
                </c:pt>
                <c:pt idx="57">
                  <c:v>1.23</c:v>
                </c:pt>
                <c:pt idx="58">
                  <c:v>1.32</c:v>
                </c:pt>
                <c:pt idx="59">
                  <c:v>1.31</c:v>
                </c:pt>
                <c:pt idx="60">
                  <c:v>1.51</c:v>
                </c:pt>
                <c:pt idx="61">
                  <c:v>1.52</c:v>
                </c:pt>
                <c:pt idx="62">
                  <c:v>1.23</c:v>
                </c:pt>
                <c:pt idx="63">
                  <c:v>1.06</c:v>
                </c:pt>
                <c:pt idx="64">
                  <c:v>0.56999999999999995</c:v>
                </c:pt>
                <c:pt idx="65">
                  <c:v>0.52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F89-4EAB-93D7-76F07B5470CF}"/>
            </c:ext>
          </c:extLst>
        </c:ser>
        <c:ser>
          <c:idx val="2"/>
          <c:order val="4"/>
          <c:tx>
            <c:strRef>
              <c:f>'Měnové podmínky 1'!$E$5</c:f>
              <c:strCache>
                <c:ptCount val="1"/>
                <c:pt idx="0">
                  <c:v>PRIBOR (1Y)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1'!$E$42:$E$107</c:f>
              <c:numCache>
                <c:formatCode>General</c:formatCode>
                <c:ptCount val="66"/>
                <c:pt idx="0">
                  <c:v>0.51</c:v>
                </c:pt>
                <c:pt idx="1">
                  <c:v>0.51</c:v>
                </c:pt>
                <c:pt idx="2">
                  <c:v>0.49</c:v>
                </c:pt>
                <c:pt idx="3">
                  <c:v>0.48</c:v>
                </c:pt>
                <c:pt idx="4">
                  <c:v>0.48</c:v>
                </c:pt>
                <c:pt idx="5">
                  <c:v>0.48</c:v>
                </c:pt>
                <c:pt idx="6">
                  <c:v>0.48</c:v>
                </c:pt>
                <c:pt idx="7">
                  <c:v>0.48</c:v>
                </c:pt>
                <c:pt idx="8">
                  <c:v>0.47</c:v>
                </c:pt>
                <c:pt idx="9">
                  <c:v>0.46</c:v>
                </c:pt>
                <c:pt idx="10">
                  <c:v>0.46</c:v>
                </c:pt>
                <c:pt idx="11">
                  <c:v>0.46</c:v>
                </c:pt>
                <c:pt idx="12">
                  <c:v>0.45</c:v>
                </c:pt>
                <c:pt idx="13">
                  <c:v>0.45</c:v>
                </c:pt>
                <c:pt idx="14">
                  <c:v>0.45</c:v>
                </c:pt>
                <c:pt idx="15">
                  <c:v>0.45</c:v>
                </c:pt>
                <c:pt idx="16">
                  <c:v>0.45</c:v>
                </c:pt>
                <c:pt idx="17">
                  <c:v>0.45</c:v>
                </c:pt>
                <c:pt idx="18">
                  <c:v>0.45</c:v>
                </c:pt>
                <c:pt idx="19">
                  <c:v>0.45</c:v>
                </c:pt>
                <c:pt idx="20">
                  <c:v>0.45</c:v>
                </c:pt>
                <c:pt idx="21">
                  <c:v>0.45</c:v>
                </c:pt>
                <c:pt idx="22">
                  <c:v>0.45</c:v>
                </c:pt>
                <c:pt idx="23">
                  <c:v>0.45</c:v>
                </c:pt>
                <c:pt idx="24">
                  <c:v>0.44</c:v>
                </c:pt>
                <c:pt idx="25">
                  <c:v>0.44</c:v>
                </c:pt>
                <c:pt idx="26">
                  <c:v>0.44</c:v>
                </c:pt>
                <c:pt idx="27">
                  <c:v>0.45</c:v>
                </c:pt>
                <c:pt idx="28">
                  <c:v>0.46</c:v>
                </c:pt>
                <c:pt idx="29">
                  <c:v>0.46</c:v>
                </c:pt>
                <c:pt idx="30">
                  <c:v>0.47</c:v>
                </c:pt>
                <c:pt idx="31">
                  <c:v>0.6</c:v>
                </c:pt>
                <c:pt idx="32">
                  <c:v>0.64</c:v>
                </c:pt>
                <c:pt idx="33">
                  <c:v>0.69</c:v>
                </c:pt>
                <c:pt idx="34">
                  <c:v>0.91</c:v>
                </c:pt>
                <c:pt idx="35">
                  <c:v>0.96</c:v>
                </c:pt>
                <c:pt idx="36">
                  <c:v>0.98</c:v>
                </c:pt>
                <c:pt idx="37">
                  <c:v>1.1100000000000001</c:v>
                </c:pt>
                <c:pt idx="38">
                  <c:v>1.1200000000000001</c:v>
                </c:pt>
                <c:pt idx="39">
                  <c:v>1.1200000000000001</c:v>
                </c:pt>
                <c:pt idx="40">
                  <c:v>1.1200000000000001</c:v>
                </c:pt>
                <c:pt idx="41">
                  <c:v>1.1499999999999999</c:v>
                </c:pt>
                <c:pt idx="42">
                  <c:v>1.39</c:v>
                </c:pt>
                <c:pt idx="43">
                  <c:v>1.67</c:v>
                </c:pt>
                <c:pt idx="44">
                  <c:v>1.79</c:v>
                </c:pt>
                <c:pt idx="45">
                  <c:v>1.95</c:v>
                </c:pt>
                <c:pt idx="46">
                  <c:v>2.1800000000000002</c:v>
                </c:pt>
                <c:pt idx="47">
                  <c:v>2.21</c:v>
                </c:pt>
                <c:pt idx="48">
                  <c:v>2.21</c:v>
                </c:pt>
                <c:pt idx="49">
                  <c:v>2.2000000000000002</c:v>
                </c:pt>
                <c:pt idx="50">
                  <c:v>2.2000000000000002</c:v>
                </c:pt>
                <c:pt idx="51">
                  <c:v>2.21</c:v>
                </c:pt>
                <c:pt idx="52">
                  <c:v>2.3199999999999998</c:v>
                </c:pt>
                <c:pt idx="53">
                  <c:v>2.29</c:v>
                </c:pt>
                <c:pt idx="54">
                  <c:v>2.2799999999999998</c:v>
                </c:pt>
                <c:pt idx="55">
                  <c:v>2.2200000000000002</c:v>
                </c:pt>
                <c:pt idx="56">
                  <c:v>2.2000000000000002</c:v>
                </c:pt>
                <c:pt idx="57">
                  <c:v>2.2799999999999998</c:v>
                </c:pt>
                <c:pt idx="58">
                  <c:v>2.2799999999999998</c:v>
                </c:pt>
                <c:pt idx="59">
                  <c:v>2.27</c:v>
                </c:pt>
                <c:pt idx="60">
                  <c:v>2.27</c:v>
                </c:pt>
                <c:pt idx="61">
                  <c:v>2.42</c:v>
                </c:pt>
                <c:pt idx="62">
                  <c:v>2.0099999999999998</c:v>
                </c:pt>
                <c:pt idx="63">
                  <c:v>0.92</c:v>
                </c:pt>
                <c:pt idx="64">
                  <c:v>0.51</c:v>
                </c:pt>
                <c:pt idx="65">
                  <c:v>0.43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F89-4EAB-93D7-76F07B5470CF}"/>
            </c:ext>
          </c:extLst>
        </c:ser>
        <c:ser>
          <c:idx val="5"/>
          <c:order val="5"/>
          <c:tx>
            <c:strRef>
              <c:f>'Měnové podmínky 1'!$H$5</c:f>
              <c:strCache>
                <c:ptCount val="1"/>
                <c:pt idx="0">
                  <c:v>Průměrný výnos státních dluhopisů (10Y)</c:v>
                </c:pt>
              </c:strCache>
            </c:strRef>
          </c:tx>
          <c:spPr>
            <a:ln w="19050">
              <a:solidFill>
                <a:srgbClr val="48AEE7"/>
              </a:solidFill>
            </a:ln>
          </c:spPr>
          <c:marker>
            <c:symbol val="none"/>
          </c:marker>
          <c:cat>
            <c:multiLvlStrRef>
              <c:f>'Měnové podmínky 1'!$A$42:$B$107</c:f>
              <c:multiLvlStrCache>
                <c:ptCount val="66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</c:lvl>
                <c:lvl>
                  <c:pt idx="0">
                    <c:v>2015</c:v>
                  </c:pt>
                  <c:pt idx="12">
                    <c:v>2016</c:v>
                  </c:pt>
                  <c:pt idx="24">
                    <c:v>2017</c:v>
                  </c:pt>
                  <c:pt idx="36">
                    <c:v>2018</c:v>
                  </c:pt>
                  <c:pt idx="48">
                    <c:v>2019</c:v>
                  </c:pt>
                  <c:pt idx="60">
                    <c:v>2020</c:v>
                  </c:pt>
                </c:lvl>
              </c:multiLvlStrCache>
            </c:multiLvlStrRef>
          </c:cat>
          <c:val>
            <c:numRef>
              <c:f>'Měnové podmínky 1'!$H$42:$H$107</c:f>
              <c:numCache>
                <c:formatCode>General</c:formatCode>
                <c:ptCount val="66"/>
                <c:pt idx="0">
                  <c:v>0.35</c:v>
                </c:pt>
                <c:pt idx="1">
                  <c:v>0.4</c:v>
                </c:pt>
                <c:pt idx="2">
                  <c:v>0.35</c:v>
                </c:pt>
                <c:pt idx="3">
                  <c:v>0.26</c:v>
                </c:pt>
                <c:pt idx="4">
                  <c:v>0.6</c:v>
                </c:pt>
                <c:pt idx="5">
                  <c:v>1.01</c:v>
                </c:pt>
                <c:pt idx="6">
                  <c:v>0.97</c:v>
                </c:pt>
                <c:pt idx="7">
                  <c:v>0.74</c:v>
                </c:pt>
                <c:pt idx="8">
                  <c:v>0.68</c:v>
                </c:pt>
                <c:pt idx="9">
                  <c:v>0.56000000000000005</c:v>
                </c:pt>
                <c:pt idx="10">
                  <c:v>0.49</c:v>
                </c:pt>
                <c:pt idx="11">
                  <c:v>0.49</c:v>
                </c:pt>
                <c:pt idx="12">
                  <c:v>0.62</c:v>
                </c:pt>
                <c:pt idx="13">
                  <c:v>0.46</c:v>
                </c:pt>
                <c:pt idx="14">
                  <c:v>0.35</c:v>
                </c:pt>
                <c:pt idx="15">
                  <c:v>0.43</c:v>
                </c:pt>
                <c:pt idx="16">
                  <c:v>0.46</c:v>
                </c:pt>
                <c:pt idx="17">
                  <c:v>0.45</c:v>
                </c:pt>
                <c:pt idx="18">
                  <c:v>0.37</c:v>
                </c:pt>
                <c:pt idx="19">
                  <c:v>0.28999999999999998</c:v>
                </c:pt>
                <c:pt idx="20">
                  <c:v>0.25</c:v>
                </c:pt>
                <c:pt idx="21">
                  <c:v>0.37</c:v>
                </c:pt>
                <c:pt idx="22">
                  <c:v>0.55000000000000004</c:v>
                </c:pt>
                <c:pt idx="23">
                  <c:v>0.53</c:v>
                </c:pt>
                <c:pt idx="24">
                  <c:v>0.47</c:v>
                </c:pt>
                <c:pt idx="25">
                  <c:v>0.63</c:v>
                </c:pt>
                <c:pt idx="26">
                  <c:v>0.87</c:v>
                </c:pt>
                <c:pt idx="27">
                  <c:v>0.96</c:v>
                </c:pt>
                <c:pt idx="28">
                  <c:v>0.74</c:v>
                </c:pt>
                <c:pt idx="29">
                  <c:v>0.77</c:v>
                </c:pt>
                <c:pt idx="30">
                  <c:v>0.9</c:v>
                </c:pt>
                <c:pt idx="31">
                  <c:v>0.83</c:v>
                </c:pt>
                <c:pt idx="32">
                  <c:v>0.97</c:v>
                </c:pt>
                <c:pt idx="33">
                  <c:v>1.45</c:v>
                </c:pt>
                <c:pt idx="34">
                  <c:v>1.68</c:v>
                </c:pt>
                <c:pt idx="35">
                  <c:v>1.5</c:v>
                </c:pt>
                <c:pt idx="36">
                  <c:v>1.77</c:v>
                </c:pt>
                <c:pt idx="37">
                  <c:v>1.82</c:v>
                </c:pt>
                <c:pt idx="38">
                  <c:v>1.81</c:v>
                </c:pt>
                <c:pt idx="39">
                  <c:v>1.74</c:v>
                </c:pt>
                <c:pt idx="40">
                  <c:v>1.89</c:v>
                </c:pt>
                <c:pt idx="41">
                  <c:v>2.14</c:v>
                </c:pt>
                <c:pt idx="42">
                  <c:v>2.11</c:v>
                </c:pt>
                <c:pt idx="43">
                  <c:v>2.14</c:v>
                </c:pt>
                <c:pt idx="44">
                  <c:v>2.14</c:v>
                </c:pt>
                <c:pt idx="45">
                  <c:v>2.14</c:v>
                </c:pt>
                <c:pt idx="46">
                  <c:v>2.0699999999999998</c:v>
                </c:pt>
                <c:pt idx="47">
                  <c:v>2.0099999999999998</c:v>
                </c:pt>
                <c:pt idx="48">
                  <c:v>1.85</c:v>
                </c:pt>
                <c:pt idx="49">
                  <c:v>1.76</c:v>
                </c:pt>
                <c:pt idx="50">
                  <c:v>1.82</c:v>
                </c:pt>
                <c:pt idx="51">
                  <c:v>1.82</c:v>
                </c:pt>
                <c:pt idx="52">
                  <c:v>1.86</c:v>
                </c:pt>
                <c:pt idx="53">
                  <c:v>1.58</c:v>
                </c:pt>
                <c:pt idx="54">
                  <c:v>1.36</c:v>
                </c:pt>
                <c:pt idx="55">
                  <c:v>0.99</c:v>
                </c:pt>
                <c:pt idx="56">
                  <c:v>1.24</c:v>
                </c:pt>
                <c:pt idx="57">
                  <c:v>1.32</c:v>
                </c:pt>
                <c:pt idx="58">
                  <c:v>1.47</c:v>
                </c:pt>
                <c:pt idx="59">
                  <c:v>1.51</c:v>
                </c:pt>
                <c:pt idx="60">
                  <c:v>1.62</c:v>
                </c:pt>
                <c:pt idx="61">
                  <c:v>1.47</c:v>
                </c:pt>
                <c:pt idx="62">
                  <c:v>1.28</c:v>
                </c:pt>
                <c:pt idx="63">
                  <c:v>1.28</c:v>
                </c:pt>
                <c:pt idx="64">
                  <c:v>0.92</c:v>
                </c:pt>
                <c:pt idx="65">
                  <c:v>0.86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F89-4EAB-93D7-76F07B547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1742464"/>
        <c:axId val="271744000"/>
      </c:lineChart>
      <c:catAx>
        <c:axId val="2717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271744000"/>
        <c:crosses val="autoZero"/>
        <c:auto val="1"/>
        <c:lblAlgn val="ctr"/>
        <c:lblOffset val="100"/>
        <c:noMultiLvlLbl val="0"/>
      </c:catAx>
      <c:valAx>
        <c:axId val="271744000"/>
        <c:scaling>
          <c:orientation val="minMax"/>
          <c:min val="-1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27174246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7501055386693677E-2"/>
          <c:y val="0.87558269120103249"/>
          <c:w val="0.93350515028706516"/>
          <c:h val="0.11015705924459968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1954-F61C-48A3-A1DF-538F5D6BB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4C909-C377-4EC9-8451-74E54AED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3</TotalTime>
  <Pages>2</Pages>
  <Words>906</Words>
  <Characters>5349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6243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4</cp:revision>
  <cp:lastPrinted>2019-04-08T10:52:00Z</cp:lastPrinted>
  <dcterms:created xsi:type="dcterms:W3CDTF">2020-09-11T08:14:00Z</dcterms:created>
  <dcterms:modified xsi:type="dcterms:W3CDTF">2020-09-11T08:50:00Z</dcterms:modified>
</cp:coreProperties>
</file>