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DE" w:rsidRDefault="002C2EDE" w:rsidP="002C2EDE">
      <w:pPr>
        <w:pStyle w:val="Nadpis1"/>
        <w:spacing w:before="600"/>
      </w:pPr>
      <w:bookmarkStart w:id="0" w:name="_Toc431994686"/>
      <w:bookmarkStart w:id="1" w:name="_Toc432579591"/>
      <w:r>
        <w:t>5. Vysoké školy</w:t>
      </w:r>
      <w:bookmarkEnd w:id="0"/>
      <w:bookmarkEnd w:id="1"/>
    </w:p>
    <w:p w:rsidR="002C2EDE" w:rsidRPr="004C57C7" w:rsidRDefault="002C2EDE" w:rsidP="002C2EDE">
      <w:pPr>
        <w:pStyle w:val="go"/>
        <w:spacing w:before="120" w:beforeAutospacing="0" w:after="60" w:afterAutospacing="0" w:line="288" w:lineRule="auto"/>
        <w:jc w:val="both"/>
        <w:rPr>
          <w:rFonts w:ascii="Arial" w:hAnsi="Arial" w:cs="Arial"/>
          <w:sz w:val="20"/>
          <w:szCs w:val="20"/>
        </w:rPr>
      </w:pPr>
      <w:r w:rsidRPr="006D78C9">
        <w:rPr>
          <w:rFonts w:ascii="Arial" w:hAnsi="Arial" w:cs="Arial"/>
          <w:sz w:val="20"/>
          <w:szCs w:val="20"/>
        </w:rPr>
        <w:t xml:space="preserve">Vysoké školy </w:t>
      </w:r>
      <w:r>
        <w:rPr>
          <w:rFonts w:ascii="Arial" w:hAnsi="Arial" w:cs="Arial"/>
          <w:sz w:val="20"/>
          <w:szCs w:val="20"/>
        </w:rPr>
        <w:t>představují</w:t>
      </w:r>
      <w:r w:rsidRPr="006D78C9">
        <w:rPr>
          <w:rFonts w:ascii="Arial" w:hAnsi="Arial" w:cs="Arial"/>
          <w:sz w:val="20"/>
          <w:szCs w:val="20"/>
        </w:rPr>
        <w:t xml:space="preserve"> nejvyšší článek vzdělávací soustavy</w:t>
      </w:r>
      <w:r>
        <w:rPr>
          <w:rFonts w:ascii="Arial" w:hAnsi="Arial" w:cs="Arial"/>
          <w:sz w:val="20"/>
          <w:szCs w:val="20"/>
        </w:rPr>
        <w:t>. Nabízejí</w:t>
      </w:r>
      <w:r w:rsidRPr="006D78C9">
        <w:rPr>
          <w:rFonts w:ascii="Arial" w:hAnsi="Arial" w:cs="Arial"/>
          <w:sz w:val="20"/>
          <w:szCs w:val="20"/>
        </w:rPr>
        <w:t xml:space="preserve"> akreditované studijní programy a</w:t>
      </w:r>
      <w:r>
        <w:rPr>
          <w:rFonts w:ascii="Arial" w:hAnsi="Arial" w:cs="Arial"/>
          <w:sz w:val="20"/>
          <w:szCs w:val="20"/>
        </w:rPr>
        <w:t> </w:t>
      </w:r>
      <w:r w:rsidRPr="006D78C9">
        <w:rPr>
          <w:rFonts w:ascii="Arial" w:hAnsi="Arial" w:cs="Arial"/>
          <w:sz w:val="20"/>
          <w:szCs w:val="20"/>
        </w:rPr>
        <w:t xml:space="preserve">programy celoživotního vzdělávání. Typ vysokoškolské vzdělávací činnosti je určen typem uskutečňovaných akreditovaných studijních programů. </w:t>
      </w:r>
      <w:r w:rsidRPr="004C57C7">
        <w:rPr>
          <w:rFonts w:ascii="Arial" w:hAnsi="Arial" w:cs="Arial"/>
          <w:sz w:val="20"/>
          <w:szCs w:val="20"/>
        </w:rPr>
        <w:t xml:space="preserve">Vysoká škola </w:t>
      </w:r>
      <w:r w:rsidRPr="006D78C9">
        <w:rPr>
          <w:rFonts w:ascii="Arial" w:hAnsi="Arial" w:cs="Arial"/>
          <w:sz w:val="20"/>
          <w:szCs w:val="20"/>
        </w:rPr>
        <w:t xml:space="preserve">je univerzitní </w:t>
      </w:r>
      <w:r w:rsidRPr="004C57C7">
        <w:rPr>
          <w:rFonts w:ascii="Arial" w:hAnsi="Arial" w:cs="Arial"/>
          <w:sz w:val="20"/>
          <w:szCs w:val="20"/>
        </w:rPr>
        <w:t>nebo</w:t>
      </w:r>
      <w:r w:rsidRPr="006D78C9">
        <w:rPr>
          <w:rFonts w:ascii="Arial" w:hAnsi="Arial" w:cs="Arial"/>
          <w:sz w:val="20"/>
          <w:szCs w:val="20"/>
        </w:rPr>
        <w:t xml:space="preserve"> neuniverzitní</w:t>
      </w:r>
      <w:r w:rsidRPr="004C57C7">
        <w:rPr>
          <w:rFonts w:ascii="Arial" w:hAnsi="Arial" w:cs="Arial"/>
          <w:sz w:val="20"/>
          <w:szCs w:val="20"/>
        </w:rPr>
        <w:t>.</w:t>
      </w:r>
      <w:r>
        <w:rPr>
          <w:rFonts w:ascii="Arial" w:hAnsi="Arial" w:cs="Arial"/>
          <w:sz w:val="20"/>
          <w:szCs w:val="20"/>
        </w:rPr>
        <w:t xml:space="preserve"> </w:t>
      </w:r>
    </w:p>
    <w:p w:rsidR="002C2EDE" w:rsidRPr="004C57C7" w:rsidRDefault="002C2EDE" w:rsidP="002C2EDE">
      <w:pPr>
        <w:pStyle w:val="Normlnweb"/>
        <w:numPr>
          <w:ilvl w:val="0"/>
          <w:numId w:val="4"/>
        </w:numPr>
        <w:spacing w:before="60" w:beforeAutospacing="0" w:after="60" w:afterAutospacing="0" w:line="288" w:lineRule="auto"/>
        <w:ind w:left="714" w:hanging="357"/>
        <w:jc w:val="both"/>
        <w:rPr>
          <w:rFonts w:ascii="Arial" w:hAnsi="Arial" w:cs="Arial"/>
          <w:sz w:val="20"/>
          <w:szCs w:val="20"/>
        </w:rPr>
      </w:pPr>
      <w:r w:rsidRPr="004C57C7">
        <w:rPr>
          <w:rFonts w:ascii="Arial" w:hAnsi="Arial" w:cs="Arial"/>
          <w:sz w:val="20"/>
          <w:szCs w:val="20"/>
        </w:rPr>
        <w:t>Vysoká škola univerzitní může uskutečňovat všechny typy studijních programů a v souvislosti s tím vědeckou a výzkumnou, vývojovou a inovační, uměleckou nebo další tvůrčí činnost. Tyto</w:t>
      </w:r>
      <w:r>
        <w:rPr>
          <w:rFonts w:ascii="Arial" w:hAnsi="Arial" w:cs="Arial"/>
          <w:sz w:val="20"/>
          <w:szCs w:val="20"/>
        </w:rPr>
        <w:t> </w:t>
      </w:r>
      <w:r w:rsidRPr="004C57C7">
        <w:rPr>
          <w:rFonts w:ascii="Arial" w:hAnsi="Arial" w:cs="Arial"/>
          <w:sz w:val="20"/>
          <w:szCs w:val="20"/>
        </w:rPr>
        <w:t>vysoké školy se dále člení na fakulty.</w:t>
      </w:r>
      <w:r>
        <w:rPr>
          <w:rFonts w:ascii="Arial" w:hAnsi="Arial" w:cs="Arial"/>
          <w:sz w:val="20"/>
          <w:szCs w:val="20"/>
        </w:rPr>
        <w:t xml:space="preserve"> Výjimkou jsou 3 soukromé vysoké školy univerzitního typu, které ale fakulty tak jak jsou definovány zákonem, nemají.</w:t>
      </w:r>
    </w:p>
    <w:p w:rsidR="002C2EDE" w:rsidRDefault="002C2EDE" w:rsidP="002C2EDE">
      <w:pPr>
        <w:pStyle w:val="Normlnweb"/>
        <w:numPr>
          <w:ilvl w:val="0"/>
          <w:numId w:val="4"/>
        </w:numPr>
        <w:spacing w:before="60" w:beforeAutospacing="0" w:after="60" w:afterAutospacing="0" w:line="288" w:lineRule="auto"/>
        <w:ind w:left="714" w:hanging="357"/>
        <w:jc w:val="both"/>
        <w:rPr>
          <w:rFonts w:ascii="Arial" w:hAnsi="Arial" w:cs="Arial"/>
          <w:sz w:val="20"/>
          <w:szCs w:val="20"/>
        </w:rPr>
      </w:pPr>
      <w:r w:rsidRPr="004C57C7">
        <w:rPr>
          <w:rFonts w:ascii="Arial" w:hAnsi="Arial" w:cs="Arial"/>
          <w:sz w:val="20"/>
          <w:szCs w:val="20"/>
        </w:rPr>
        <w:t>Vysoká škola neuniverzitní uskutečňuje bakalářské studijní programy a může též uskutečňovat magisterské studijní programy a v souvislosti s tím výzkumnou, vývojovou, uměleckou nebo další tvůrčí činnost. Vysoká škola neuniverzitní se nečlení na fakulty.</w:t>
      </w:r>
    </w:p>
    <w:p w:rsidR="002C2EDE" w:rsidRPr="004C57C7" w:rsidRDefault="002C2EDE" w:rsidP="002C2EDE">
      <w:pPr>
        <w:pStyle w:val="go"/>
        <w:spacing w:before="120" w:beforeAutospacing="0" w:after="60" w:afterAutospacing="0" w:line="288" w:lineRule="auto"/>
        <w:jc w:val="both"/>
        <w:rPr>
          <w:rFonts w:ascii="Arial" w:hAnsi="Arial" w:cs="Arial"/>
          <w:sz w:val="20"/>
          <w:szCs w:val="20"/>
        </w:rPr>
      </w:pPr>
      <w:r w:rsidRPr="004C57C7">
        <w:rPr>
          <w:rFonts w:ascii="Arial" w:hAnsi="Arial" w:cs="Arial"/>
          <w:sz w:val="20"/>
          <w:szCs w:val="20"/>
        </w:rPr>
        <w:t>Typ vysoké školy je uveden v jejím statutu a musí být v souladu se stanoviskem Akreditační komise.</w:t>
      </w:r>
      <w:r>
        <w:rPr>
          <w:rFonts w:ascii="Arial" w:hAnsi="Arial" w:cs="Arial"/>
          <w:sz w:val="20"/>
          <w:szCs w:val="20"/>
        </w:rPr>
        <w:t xml:space="preserve"> </w:t>
      </w:r>
      <w:r w:rsidRPr="004C57C7">
        <w:rPr>
          <w:rFonts w:ascii="Arial" w:hAnsi="Arial" w:cs="Arial"/>
          <w:sz w:val="20"/>
          <w:szCs w:val="20"/>
        </w:rPr>
        <w:t>Vysok</w:t>
      </w:r>
      <w:r>
        <w:rPr>
          <w:rFonts w:ascii="Arial" w:hAnsi="Arial" w:cs="Arial"/>
          <w:sz w:val="20"/>
          <w:szCs w:val="20"/>
        </w:rPr>
        <w:t xml:space="preserve">é školy </w:t>
      </w:r>
      <w:r w:rsidRPr="004C57C7">
        <w:rPr>
          <w:rFonts w:ascii="Arial" w:hAnsi="Arial" w:cs="Arial"/>
          <w:sz w:val="20"/>
          <w:szCs w:val="20"/>
        </w:rPr>
        <w:t>je</w:t>
      </w:r>
      <w:r>
        <w:rPr>
          <w:rFonts w:ascii="Arial" w:hAnsi="Arial" w:cs="Arial"/>
          <w:sz w:val="20"/>
          <w:szCs w:val="20"/>
        </w:rPr>
        <w:t xml:space="preserve"> dále možné dělit na školy veřejné, soukromé</w:t>
      </w:r>
      <w:r w:rsidRPr="004C57C7">
        <w:rPr>
          <w:rFonts w:ascii="Arial" w:hAnsi="Arial" w:cs="Arial"/>
          <w:sz w:val="20"/>
          <w:szCs w:val="20"/>
        </w:rPr>
        <w:t xml:space="preserve"> </w:t>
      </w:r>
      <w:r>
        <w:rPr>
          <w:rFonts w:ascii="Arial" w:hAnsi="Arial" w:cs="Arial"/>
          <w:sz w:val="20"/>
          <w:szCs w:val="20"/>
        </w:rPr>
        <w:t>nebo státní. Státní vysoké školy představují školy vojenské</w:t>
      </w:r>
      <w:r w:rsidRPr="004C57C7">
        <w:rPr>
          <w:rFonts w:ascii="Arial" w:hAnsi="Arial" w:cs="Arial"/>
          <w:sz w:val="20"/>
          <w:szCs w:val="20"/>
        </w:rPr>
        <w:t xml:space="preserve"> nebo policejní.</w:t>
      </w:r>
    </w:p>
    <w:p w:rsidR="002C2EDE" w:rsidRDefault="002C2EDE" w:rsidP="002C2EDE">
      <w:pPr>
        <w:spacing w:before="120"/>
        <w:jc w:val="both"/>
        <w:rPr>
          <w:rFonts w:cs="Arial"/>
          <w:szCs w:val="20"/>
        </w:rPr>
      </w:pPr>
      <w:r w:rsidRPr="00515C7C">
        <w:rPr>
          <w:rFonts w:cs="Arial"/>
          <w:b/>
          <w:szCs w:val="20"/>
        </w:rPr>
        <w:t>Veřejná vysoká škola</w:t>
      </w:r>
      <w:r w:rsidRPr="00531CEA">
        <w:rPr>
          <w:rFonts w:cs="Arial"/>
          <w:szCs w:val="20"/>
        </w:rPr>
        <w:t xml:space="preserve"> se zřizuje a zrušuje zákonem. Zákon též stanoví její název a sídlo</w:t>
      </w:r>
      <w:r>
        <w:rPr>
          <w:rFonts w:cs="Arial"/>
          <w:szCs w:val="20"/>
        </w:rPr>
        <w:t>.</w:t>
      </w:r>
    </w:p>
    <w:p w:rsidR="002C2EDE" w:rsidRDefault="002C2EDE" w:rsidP="002C2EDE">
      <w:pPr>
        <w:spacing w:before="120"/>
        <w:jc w:val="both"/>
        <w:rPr>
          <w:rFonts w:cs="Arial"/>
          <w:szCs w:val="20"/>
        </w:rPr>
      </w:pPr>
      <w:r w:rsidRPr="00531CEA">
        <w:rPr>
          <w:rFonts w:cs="Arial"/>
          <w:b/>
          <w:szCs w:val="20"/>
        </w:rPr>
        <w:t>Soukromá vysoká škola</w:t>
      </w:r>
      <w:r>
        <w:rPr>
          <w:rFonts w:cs="Arial"/>
          <w:szCs w:val="20"/>
        </w:rPr>
        <w:t xml:space="preserve"> je p</w:t>
      </w:r>
      <w:r>
        <w:t>rávnická osoba, která má sídlo, svou ústřední správu nebo hlavní místo své podnikatelské činnosti na území některého členského státu Evropské unie, nebo která byla zřízena nebo založena podle práva některého členského státu Evropské unie. Je oprávněna působit jako soukromá vysoká škola, pokud jí ministerstvo udělilo státní souhlas, kterým rozhodne také o akreditaci příslušných studijních programů a o registraci vnitřních předpisů.</w:t>
      </w:r>
      <w:r>
        <w:rPr>
          <w:rFonts w:cs="Arial"/>
          <w:szCs w:val="20"/>
        </w:rPr>
        <w:t xml:space="preserve"> </w:t>
      </w:r>
    </w:p>
    <w:p w:rsidR="002C2EDE" w:rsidRDefault="002C2EDE" w:rsidP="002C2EDE">
      <w:pPr>
        <w:spacing w:before="120"/>
        <w:jc w:val="both"/>
      </w:pPr>
      <w:r w:rsidRPr="0078532C">
        <w:rPr>
          <w:rFonts w:cs="Arial"/>
          <w:b/>
          <w:szCs w:val="20"/>
        </w:rPr>
        <w:t>Vysoké školy vojenské a policejní</w:t>
      </w:r>
      <w:r>
        <w:rPr>
          <w:rFonts w:cs="Arial"/>
          <w:szCs w:val="20"/>
        </w:rPr>
        <w:t xml:space="preserve"> (</w:t>
      </w:r>
      <w:r>
        <w:t xml:space="preserve">v publikaci jako školy </w:t>
      </w:r>
      <w:r w:rsidRPr="007917BF">
        <w:rPr>
          <w:b/>
        </w:rPr>
        <w:t>státní</w:t>
      </w:r>
      <w:r>
        <w:t>) vzdělávají odborníky zejména pro ozbrojené síly a jsou součástí organizační složky státu Ministerstva obrany a Ministerstva vnitra, financované ze státního rozpočtu.</w:t>
      </w:r>
    </w:p>
    <w:p w:rsidR="002C2EDE" w:rsidRDefault="002C2EDE" w:rsidP="002C2EDE">
      <w:pPr>
        <w:spacing w:before="60"/>
        <w:jc w:val="both"/>
      </w:pPr>
      <w:r>
        <w:rPr>
          <w:rFonts w:cs="Arial"/>
          <w:szCs w:val="20"/>
        </w:rPr>
        <w:t xml:space="preserve">Veškeré údaje v této kapitole jsou uváděny dle stavu matriky studentů k 20. lednu příslušného roku, a to vždy za kalendářní rok. Matrika </w:t>
      </w:r>
      <w:r>
        <w:t>studentů slouží k evidenci o studentech a k rozpočtovým a statistickým účelům.</w:t>
      </w:r>
      <w:bookmarkStart w:id="2" w:name="p88-2"/>
      <w:bookmarkEnd w:id="2"/>
    </w:p>
    <w:p w:rsidR="002C2EDE" w:rsidRDefault="002C2EDE" w:rsidP="002C2EDE">
      <w:pPr>
        <w:spacing w:before="120"/>
        <w:jc w:val="both"/>
        <w:rPr>
          <w:rFonts w:cs="Arial"/>
          <w:szCs w:val="20"/>
        </w:rPr>
      </w:pPr>
      <w:r>
        <w:rPr>
          <w:rFonts w:cs="Arial"/>
          <w:szCs w:val="20"/>
        </w:rPr>
        <w:t xml:space="preserve">Vzhledem k rostoucímu počtu studentů, kteří současně studují na více vysokých školách či fakultách, jsou počty studentů ve většině tabulek publikovány ve fyzických osobách (každý student je započten jen jednou), nikoli v počtech studií (každý student je uveden tolikrát, kolikrát současně studuje ve studijních programech). </w:t>
      </w:r>
    </w:p>
    <w:p w:rsidR="002C2EDE" w:rsidRPr="001E4CCA" w:rsidRDefault="002C2EDE" w:rsidP="002C2EDE">
      <w:pPr>
        <w:pStyle w:val="Nadpis2"/>
        <w:spacing w:after="0"/>
      </w:pPr>
      <w:bookmarkStart w:id="3" w:name="_Toc431985658"/>
      <w:bookmarkStart w:id="4" w:name="_Toc431994687"/>
      <w:bookmarkStart w:id="5" w:name="_Toc432579592"/>
      <w:r>
        <w:t>Shrnutí základních údajů za vysoké školy</w:t>
      </w:r>
      <w:bookmarkEnd w:id="3"/>
      <w:bookmarkEnd w:id="4"/>
      <w:bookmarkEnd w:id="5"/>
    </w:p>
    <w:p w:rsidR="002C2EDE" w:rsidRDefault="002C2EDE" w:rsidP="002C2EDE">
      <w:pPr>
        <w:spacing w:before="120"/>
        <w:jc w:val="both"/>
        <w:rPr>
          <w:rFonts w:cs="Arial"/>
          <w:szCs w:val="20"/>
        </w:rPr>
      </w:pPr>
      <w:r>
        <w:rPr>
          <w:rFonts w:cs="Arial"/>
          <w:szCs w:val="20"/>
        </w:rPr>
        <w:t>K 31. 12. 2014 bylo v České republice celkem 26 veřejných vysokých škol, 43 soukromých vysokých škol a dvě státní vysoké školy. Veřejné vysoké školy zajišťovaly vzdělávání na 143 fakultách, státní vysoké školy na 5 fakultách.</w:t>
      </w:r>
    </w:p>
    <w:p w:rsidR="002C2EDE" w:rsidRDefault="002C2EDE" w:rsidP="002C2EDE">
      <w:pPr>
        <w:spacing w:before="120"/>
        <w:jc w:val="both"/>
        <w:rPr>
          <w:rFonts w:cs="Arial"/>
          <w:szCs w:val="20"/>
        </w:rPr>
      </w:pPr>
      <w:bookmarkStart w:id="6" w:name="_Toc431985659"/>
      <w:bookmarkStart w:id="7" w:name="_Toc431994688"/>
      <w:r>
        <w:rPr>
          <w:rFonts w:cs="Arial"/>
          <w:szCs w:val="20"/>
        </w:rPr>
        <w:t xml:space="preserve">Na vysokých školách v České republice studovalo v roce 2014 celkem 347 339 </w:t>
      </w:r>
      <w:r w:rsidRPr="00665CF6">
        <w:rPr>
          <w:rFonts w:cs="Arial"/>
          <w:b/>
          <w:szCs w:val="20"/>
        </w:rPr>
        <w:t>studentů</w:t>
      </w:r>
      <w:r>
        <w:rPr>
          <w:rFonts w:cs="Arial"/>
          <w:szCs w:val="20"/>
        </w:rPr>
        <w:t>, z toho 308 428 studentů na veřejných vysokých školách a 39 461 studentů (11</w:t>
      </w:r>
      <w:r>
        <w:rPr>
          <w:rFonts w:cs="Arial"/>
          <w:szCs w:val="20"/>
          <w:lang w:val="en-US"/>
        </w:rPr>
        <w:t xml:space="preserve">%) </w:t>
      </w:r>
      <w:r>
        <w:rPr>
          <w:rFonts w:cs="Arial"/>
          <w:szCs w:val="20"/>
        </w:rPr>
        <w:t xml:space="preserve">na školách soukromých. Zavedení nových bakalářských studijních programů otevřelo cestu k získání vysokoškolského titulu již po třech letech studia. Díky tomu počty studentů v těchto studijních programech v posledních letech významně narůstaly. Všem studentům, kterým nestačí získání titulu bakalář, jsou na vysokých školách k dispozici navazující magisterské studijní programy, ve kterých počty studentů také vzrostly, nejvíce mezi roky 2005 – 2010. </w:t>
      </w:r>
    </w:p>
    <w:p w:rsidR="002C2EDE" w:rsidRPr="0089366B" w:rsidRDefault="002C2EDE" w:rsidP="002C2EDE">
      <w:pPr>
        <w:pStyle w:val="Nadpis4"/>
        <w:spacing w:before="180"/>
      </w:pPr>
      <w:r w:rsidRPr="0089366B">
        <w:lastRenderedPageBreak/>
        <w:t>Graf 9: Studenti veřejných vysokých škol podle studijního programu</w:t>
      </w:r>
      <w:bookmarkEnd w:id="6"/>
      <w:bookmarkEnd w:id="7"/>
    </w:p>
    <w:bookmarkStart w:id="8" w:name="_MON_1505710649"/>
    <w:bookmarkEnd w:id="8"/>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line="288" w:lineRule="auto"/>
        <w:ind w:firstLine="0"/>
        <w:rPr>
          <w:i/>
          <w:iCs/>
          <w:sz w:val="18"/>
          <w:szCs w:val="18"/>
        </w:rPr>
      </w:pPr>
      <w:r w:rsidRPr="005B7BEE">
        <w:rPr>
          <w:noProof/>
          <w:szCs w:val="20"/>
        </w:rPr>
        <w:object w:dxaOrig="9646" w:dyaOrig="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4pt" o:ole="">
            <v:imagedata r:id="rId5" o:title=""/>
          </v:shape>
          <o:OLEObject Type="Embed" ProgID="Excel.Sheet.12" ShapeID="_x0000_i1025" DrawAspect="Content" ObjectID="_1507099214" r:id="rId6"/>
        </w:object>
      </w:r>
      <w:r w:rsidRPr="00CD377A">
        <w:rPr>
          <w:i/>
          <w:iCs/>
          <w:sz w:val="18"/>
          <w:szCs w:val="18"/>
        </w:rPr>
        <w:t xml:space="preserve"> </w:t>
      </w:r>
      <w:r w:rsidRPr="00355B40">
        <w:rPr>
          <w:i/>
          <w:iCs/>
          <w:sz w:val="18"/>
          <w:szCs w:val="18"/>
        </w:rPr>
        <w:t xml:space="preserve">Zdroj: </w:t>
      </w:r>
      <w:r>
        <w:rPr>
          <w:i/>
          <w:iCs/>
          <w:sz w:val="18"/>
          <w:szCs w:val="18"/>
        </w:rPr>
        <w:t>Ministerstvo školství, mládeže a tělovýchovy, 2015</w:t>
      </w:r>
    </w:p>
    <w:p w:rsidR="002C2EDE" w:rsidRDefault="002C2EDE" w:rsidP="002C2EDE">
      <w:pPr>
        <w:spacing w:before="240"/>
        <w:jc w:val="both"/>
        <w:rPr>
          <w:rFonts w:cs="Arial"/>
          <w:szCs w:val="20"/>
        </w:rPr>
      </w:pPr>
      <w:r>
        <w:rPr>
          <w:rFonts w:cs="Arial"/>
          <w:szCs w:val="20"/>
        </w:rPr>
        <w:t>Pokud se jedná o soukromé vysoké školy, počet studujících od roku 2001 do roku 2009 téměř desetinásobně zvýšil (v roce 2001 činil 4 630 studentů). V následujících pěti letech však některé školy zanikly a celkové počty studentů začaly značně klesat. V roce 2014 tak studoval soukromé vysoké školy v bakalářských studijních programech téměř stejný počet studentů, jaký byl zaznamenán v roce 2006. Mírný pokles počtu studentů v tomto pětiletém období zaznamenáváme i u počtu studentů navazujících magisterských programů.</w:t>
      </w:r>
      <w:bookmarkStart w:id="9" w:name="_Toc431985660"/>
      <w:bookmarkStart w:id="10" w:name="_Toc431994689"/>
    </w:p>
    <w:p w:rsidR="002C2EDE" w:rsidRPr="00894508" w:rsidRDefault="002C2EDE" w:rsidP="002C2EDE">
      <w:pPr>
        <w:pStyle w:val="Nadpis4"/>
        <w:spacing w:before="180"/>
        <w:rPr>
          <w:rStyle w:val="Nadpis4Char"/>
        </w:rPr>
      </w:pPr>
      <w:r w:rsidRPr="00894508">
        <w:t>Graf 10: Studenti soukromých vysokých škol podle studijního programu</w:t>
      </w:r>
      <w:bookmarkEnd w:id="9"/>
      <w:bookmarkEnd w:id="10"/>
    </w:p>
    <w:bookmarkStart w:id="11" w:name="_MON_1505710665"/>
    <w:bookmarkEnd w:id="11"/>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line="288" w:lineRule="auto"/>
        <w:ind w:firstLine="0"/>
        <w:rPr>
          <w:i/>
          <w:iCs/>
          <w:sz w:val="18"/>
          <w:szCs w:val="18"/>
        </w:rPr>
      </w:pPr>
      <w:r w:rsidRPr="005B7BEE">
        <w:rPr>
          <w:szCs w:val="20"/>
        </w:rPr>
        <w:object w:dxaOrig="9646" w:dyaOrig="5741">
          <v:shape id="_x0000_i1026" type="#_x0000_t75" style="width:477.75pt;height:234pt" o:ole="">
            <v:imagedata r:id="rId7" o:title=""/>
          </v:shape>
          <o:OLEObject Type="Embed" ProgID="Excel.Sheet.12" ShapeID="_x0000_i1026" DrawAspect="Content" ObjectID="_1507099215" r:id="rId8"/>
        </w:object>
      </w:r>
      <w:r w:rsidRPr="00CD377A">
        <w:rPr>
          <w:i/>
          <w:iCs/>
          <w:sz w:val="18"/>
          <w:szCs w:val="18"/>
        </w:rPr>
        <w:t xml:space="preserve"> </w:t>
      </w:r>
      <w:r w:rsidRPr="00355B40">
        <w:rPr>
          <w:i/>
          <w:iCs/>
          <w:sz w:val="18"/>
          <w:szCs w:val="18"/>
        </w:rPr>
        <w:t xml:space="preserve">Zdroj: </w:t>
      </w:r>
      <w:r>
        <w:rPr>
          <w:i/>
          <w:iCs/>
          <w:sz w:val="18"/>
          <w:szCs w:val="18"/>
        </w:rPr>
        <w:t>Ministerstvo školství, mládeže a tělovýchovy, 2015</w:t>
      </w:r>
    </w:p>
    <w:p w:rsidR="002C2EDE" w:rsidRDefault="002C2EDE" w:rsidP="002C2EDE">
      <w:pPr>
        <w:spacing w:before="120"/>
        <w:jc w:val="both"/>
        <w:rPr>
          <w:rFonts w:cs="Arial"/>
          <w:szCs w:val="20"/>
        </w:rPr>
      </w:pPr>
      <w:r>
        <w:rPr>
          <w:rFonts w:cs="Arial"/>
          <w:szCs w:val="20"/>
        </w:rPr>
        <w:t xml:space="preserve">V průběhu let stále přibývá studentů s </w:t>
      </w:r>
      <w:r w:rsidRPr="00C826D7">
        <w:rPr>
          <w:rFonts w:cs="Arial"/>
          <w:b/>
          <w:szCs w:val="20"/>
        </w:rPr>
        <w:t>cizí státní příslušností</w:t>
      </w:r>
      <w:r>
        <w:rPr>
          <w:rFonts w:cs="Arial"/>
          <w:szCs w:val="20"/>
        </w:rPr>
        <w:t>, v roce 2014 jich bylo 41 tisíc. Mezi studenty s cizí</w:t>
      </w:r>
      <w:r>
        <w:rPr>
          <w:rFonts w:cs="Arial"/>
          <w:szCs w:val="20"/>
          <w:lang w:val="en-US"/>
        </w:rPr>
        <w:t xml:space="preserve"> </w:t>
      </w:r>
      <w:r w:rsidRPr="00C826D7">
        <w:rPr>
          <w:rFonts w:cs="Arial"/>
          <w:szCs w:val="20"/>
        </w:rPr>
        <w:t xml:space="preserve">státní příslušností </w:t>
      </w:r>
      <w:r>
        <w:rPr>
          <w:rFonts w:cs="Arial"/>
          <w:szCs w:val="20"/>
        </w:rPr>
        <w:t xml:space="preserve">jednoznačně převažují studenti ze Slovenska, nezanedbatelný je také počet studentů z Ruské federace a Ukrajiny. </w:t>
      </w:r>
    </w:p>
    <w:p w:rsidR="002C2EDE" w:rsidRDefault="002C2EDE" w:rsidP="002C2EDE">
      <w:pPr>
        <w:spacing w:before="360"/>
        <w:jc w:val="both"/>
        <w:rPr>
          <w:rFonts w:cs="Arial"/>
          <w:szCs w:val="20"/>
        </w:rPr>
      </w:pPr>
      <w:r>
        <w:rPr>
          <w:rFonts w:cs="Arial"/>
          <w:szCs w:val="20"/>
        </w:rPr>
        <w:lastRenderedPageBreak/>
        <w:t xml:space="preserve">Počet </w:t>
      </w:r>
      <w:r w:rsidRPr="00665CF6">
        <w:rPr>
          <w:rFonts w:cs="Arial"/>
          <w:b/>
          <w:szCs w:val="20"/>
        </w:rPr>
        <w:t>absolventů</w:t>
      </w:r>
      <w:r>
        <w:rPr>
          <w:rFonts w:cs="Arial"/>
          <w:b/>
          <w:szCs w:val="20"/>
        </w:rPr>
        <w:t xml:space="preserve"> </w:t>
      </w:r>
      <w:r>
        <w:rPr>
          <w:rFonts w:cs="Arial"/>
          <w:szCs w:val="20"/>
        </w:rPr>
        <w:t xml:space="preserve">všech vysokých škol za rok 2013 mírně přesáhl hranici 88 tisíc, z čehož 13,7 tisíc tvořili absolventi soukromých vysokých škol. Naprostou většinu absolventů vysokých škol tvořili absolventi bakalářských a navazujících magisterských studijních programů; a to jak jejich prezenční formy, tak distanční a kombinované. Například počet absolventů Masarykovy univerzity v Brně mezi lety 2001 a 2014 postupně narůstal a celkově se za uvedené období ztrojnásobil, na Univerzitě Karlově za uvedené období vzrostl o 89 %. Na Českém vysokém učení technickém v Praze mezi rokem 2001 a rokem 2006 narůstal počet absolventů všech studijních programů pouze pozvolna, aby byl mezi lety 2006 a 2009 (především díky bakalářským studijním programům) následován výrazným vzrůstem, který posléze až do posledního sledovaného roku kolísal. </w:t>
      </w:r>
      <w:bookmarkStart w:id="12" w:name="_Toc431985661"/>
      <w:bookmarkStart w:id="13" w:name="_Toc431994690"/>
      <w:r>
        <w:rPr>
          <w:rFonts w:cs="Arial"/>
          <w:szCs w:val="20"/>
        </w:rPr>
        <w:t xml:space="preserve">Celkově lze říci, že na všech vysokých školách je od roku 2001 patrný trend zvyšujícího se počtu absolventů, který je nejvýraznější mezi lety 2005 a 2009 a poté dochází k jeho ustálení. </w:t>
      </w:r>
    </w:p>
    <w:p w:rsidR="002C2EDE" w:rsidRDefault="002C2EDE" w:rsidP="002C2EDE">
      <w:pPr>
        <w:spacing w:before="120"/>
        <w:jc w:val="both"/>
        <w:rPr>
          <w:rFonts w:cs="Arial"/>
          <w:szCs w:val="20"/>
        </w:rPr>
      </w:pPr>
      <w:r w:rsidRPr="00E70646">
        <w:rPr>
          <w:rFonts w:cs="Arial"/>
          <w:szCs w:val="20"/>
        </w:rPr>
        <w:t xml:space="preserve">Výuku na vysokých školách zajišťují </w:t>
      </w:r>
      <w:r w:rsidRPr="002376DF">
        <w:rPr>
          <w:rFonts w:cs="Arial"/>
          <w:b/>
          <w:szCs w:val="20"/>
        </w:rPr>
        <w:t>akademičtí pracovníci</w:t>
      </w:r>
      <w:r w:rsidRPr="00E70646">
        <w:rPr>
          <w:rFonts w:cs="Arial"/>
          <w:szCs w:val="20"/>
        </w:rPr>
        <w:t>; především odborní asistenti, kteří tvoří více než 50 %</w:t>
      </w:r>
      <w:r>
        <w:rPr>
          <w:rFonts w:cs="Arial"/>
          <w:szCs w:val="20"/>
        </w:rPr>
        <w:t xml:space="preserve"> jejich celkového počtu (tj. přepočtených na plně zaměstnané</w:t>
      </w:r>
      <w:r w:rsidRPr="00E70646">
        <w:rPr>
          <w:rFonts w:cs="Arial"/>
          <w:szCs w:val="20"/>
        </w:rPr>
        <w:t>), dále pak do</w:t>
      </w:r>
      <w:r>
        <w:rPr>
          <w:rFonts w:cs="Arial"/>
          <w:szCs w:val="20"/>
        </w:rPr>
        <w:t xml:space="preserve">centi (21 %), profesoři (12 %) a asistenti (8 %). Zbytek tvoří </w:t>
      </w:r>
      <w:r w:rsidRPr="00E70646">
        <w:rPr>
          <w:rFonts w:cs="Arial"/>
          <w:szCs w:val="20"/>
        </w:rPr>
        <w:t>lektoři a pedagogičtí pracovníci.</w:t>
      </w:r>
    </w:p>
    <w:p w:rsidR="002C2EDE" w:rsidRPr="0089366B" w:rsidRDefault="002C2EDE" w:rsidP="002C2EDE">
      <w:pPr>
        <w:pStyle w:val="Nadpis4"/>
      </w:pPr>
      <w:r>
        <w:t>Graf 11</w:t>
      </w:r>
      <w:r w:rsidRPr="0089366B">
        <w:t xml:space="preserve">: </w:t>
      </w:r>
      <w:r>
        <w:t>Akademičtí pracovníci na vysokých školách, 2014</w:t>
      </w:r>
      <w:bookmarkEnd w:id="12"/>
      <w:bookmarkEnd w:id="13"/>
    </w:p>
    <w:bookmarkStart w:id="14" w:name="_MON_1505710824"/>
    <w:bookmarkEnd w:id="14"/>
    <w:p w:rsidR="002C2EDE" w:rsidRDefault="002C2EDE" w:rsidP="002C2EDE">
      <w:pPr>
        <w:tabs>
          <w:tab w:val="left" w:pos="1134"/>
        </w:tabs>
        <w:jc w:val="center"/>
        <w:rPr>
          <w:rFonts w:cs="Arial"/>
          <w:szCs w:val="20"/>
        </w:rPr>
      </w:pPr>
      <w:r w:rsidRPr="005B7BEE">
        <w:rPr>
          <w:rFonts w:cs="Arial"/>
          <w:szCs w:val="20"/>
        </w:rPr>
        <w:object w:dxaOrig="6841" w:dyaOrig="4514">
          <v:shape id="_x0000_i1027" type="#_x0000_t75" style="width:342pt;height:225pt" o:ole="">
            <v:imagedata r:id="rId9" o:title=""/>
          </v:shape>
          <o:OLEObject Type="Embed" ProgID="Excel.Sheet.12" ShapeID="_x0000_i1027" DrawAspect="Content" ObjectID="_1507099216" r:id="rId10"/>
        </w:object>
      </w:r>
    </w:p>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Pr="00E70646" w:rsidRDefault="002C2EDE" w:rsidP="002C2EDE">
      <w:pPr>
        <w:spacing w:before="120"/>
        <w:jc w:val="both"/>
        <w:rPr>
          <w:rFonts w:cs="Arial"/>
          <w:szCs w:val="20"/>
        </w:rPr>
      </w:pPr>
      <w:bookmarkStart w:id="15" w:name="_Toc431985662"/>
      <w:bookmarkStart w:id="16" w:name="_Toc431994691"/>
    </w:p>
    <w:p w:rsidR="002C2EDE" w:rsidRPr="00E74085" w:rsidRDefault="002C2EDE" w:rsidP="002C2EDE">
      <w:pPr>
        <w:pStyle w:val="Nadpis3"/>
      </w:pPr>
      <w:bookmarkStart w:id="17" w:name="_Toc432579593"/>
      <w:r w:rsidRPr="00E74085">
        <w:t>Bakalářské studijní programy na veřejných vysokých školách</w:t>
      </w:r>
      <w:bookmarkEnd w:id="15"/>
      <w:bookmarkEnd w:id="16"/>
      <w:bookmarkEnd w:id="17"/>
    </w:p>
    <w:p w:rsidR="002C2EDE" w:rsidRPr="00DB49BB" w:rsidRDefault="002C2EDE" w:rsidP="002C2EDE">
      <w:pPr>
        <w:spacing w:after="60"/>
        <w:jc w:val="both"/>
        <w:rPr>
          <w:rFonts w:cs="Arial"/>
          <w:b/>
          <w:sz w:val="22"/>
          <w:szCs w:val="22"/>
        </w:rPr>
      </w:pPr>
      <w:r w:rsidRPr="00DB49BB">
        <w:rPr>
          <w:rFonts w:cs="Arial"/>
          <w:b/>
          <w:sz w:val="22"/>
          <w:szCs w:val="22"/>
        </w:rPr>
        <w:t>Prezenční forma studia</w:t>
      </w:r>
    </w:p>
    <w:p w:rsidR="002C2EDE" w:rsidRDefault="002C2EDE" w:rsidP="002C2EDE">
      <w:pPr>
        <w:spacing w:beforeLines="30"/>
        <w:jc w:val="both"/>
        <w:rPr>
          <w:rFonts w:cs="Arial"/>
          <w:szCs w:val="20"/>
        </w:rPr>
      </w:pPr>
      <w:r>
        <w:rPr>
          <w:rFonts w:cs="Arial"/>
          <w:szCs w:val="20"/>
        </w:rPr>
        <w:t xml:space="preserve">Jak již bylo výše uvedeno, ze všech studijních programů vysokých škol připadá nejvyšší podíl studentů na bakalářské studijní programy. Pokud se jedná o veřejné vysoké školy, v roce 2014 zde v prezenční formě bakalářských studijních programů studovalo 144 661 studentů, z čehož 77,8 tisíc (54 %) tvořily ženy. </w:t>
      </w:r>
    </w:p>
    <w:p w:rsidR="002C2EDE" w:rsidRDefault="002C2EDE" w:rsidP="002C2EDE">
      <w:pPr>
        <w:spacing w:beforeLines="30"/>
        <w:jc w:val="both"/>
        <w:rPr>
          <w:rFonts w:cs="Arial"/>
          <w:szCs w:val="20"/>
        </w:rPr>
      </w:pPr>
    </w:p>
    <w:p w:rsidR="002C2EDE" w:rsidRDefault="002C2EDE" w:rsidP="002C2EDE">
      <w:pPr>
        <w:spacing w:beforeLines="30"/>
        <w:jc w:val="both"/>
        <w:rPr>
          <w:rFonts w:cs="Arial"/>
          <w:szCs w:val="20"/>
        </w:rPr>
      </w:pPr>
      <w:r>
        <w:rPr>
          <w:rFonts w:cs="Arial"/>
          <w:szCs w:val="20"/>
        </w:rPr>
        <w:br w:type="page"/>
      </w:r>
      <w:bookmarkStart w:id="18" w:name="_Toc431985663"/>
      <w:bookmarkStart w:id="19" w:name="_Toc431994692"/>
      <w:r>
        <w:rPr>
          <w:rFonts w:cs="Arial"/>
          <w:szCs w:val="20"/>
        </w:rPr>
        <w:lastRenderedPageBreak/>
        <w:t>Od roku 2005 do roku 2011 celkové počty studentů bakalářských studijních programů na veřejných VŠ vlivem Boloňského procesu raketově narůstaly. V roce 2010 studovalo v bakalářských studijních programech na veřejných vysokých školách prezenční formou již téměř 159 tisíc studentů, což je téměř 55 tisíc studentů více než v roce 2005. V posledních třech letech však dochází k mírnému poklesu v počtu studentů, který je způsoben především slabšími populačními ročníky příslušných věkových kohort. Vývoj za posledních deset let je též zajímavý z pohledu podílu žen na celkových počtech studentů. Tyto podíly v celé desetileté řadě vzrůstaly. V roce 2005 studovalo bakalářské studijní programy 48,3 % žen, v roce 2010 to bylo 53 % a v posledním roce 2014 činil podíl studentek na celkových počtech studentů bakalářských studijních programů v prezenční formě studia již 53,8 %.</w:t>
      </w:r>
    </w:p>
    <w:p w:rsidR="002C2EDE" w:rsidRDefault="002C2EDE" w:rsidP="002C2EDE">
      <w:pPr>
        <w:pStyle w:val="Nadpis4"/>
        <w:spacing w:after="120"/>
      </w:pPr>
      <w:r>
        <w:t>Tab. 6</w:t>
      </w:r>
      <w:r w:rsidRPr="000414B3">
        <w:t xml:space="preserve">: </w:t>
      </w:r>
      <w:r w:rsidRPr="00155432">
        <w:t>Studenti veřejných vysokých škol v bakalářských studijních programech</w:t>
      </w:r>
      <w:bookmarkEnd w:id="18"/>
      <w:bookmarkEnd w:id="19"/>
    </w:p>
    <w:tbl>
      <w:tblPr>
        <w:tblW w:w="0" w:type="auto"/>
        <w:jc w:val="center"/>
        <w:tblInd w:w="-809" w:type="dxa"/>
        <w:tblCellMar>
          <w:left w:w="70" w:type="dxa"/>
          <w:right w:w="70" w:type="dxa"/>
        </w:tblCellMar>
        <w:tblLook w:val="04A0"/>
      </w:tblPr>
      <w:tblGrid>
        <w:gridCol w:w="1710"/>
        <w:gridCol w:w="879"/>
        <w:gridCol w:w="791"/>
        <w:gridCol w:w="791"/>
        <w:gridCol w:w="791"/>
        <w:gridCol w:w="791"/>
        <w:gridCol w:w="791"/>
        <w:gridCol w:w="791"/>
        <w:gridCol w:w="791"/>
        <w:gridCol w:w="791"/>
        <w:gridCol w:w="791"/>
      </w:tblGrid>
      <w:tr w:rsidR="002C2EDE" w:rsidRPr="008A1F0E" w:rsidTr="00FE79B5">
        <w:trPr>
          <w:trHeight w:val="300"/>
          <w:jc w:val="center"/>
        </w:trPr>
        <w:tc>
          <w:tcPr>
            <w:tcW w:w="1710" w:type="dxa"/>
            <w:vMerge w:val="restart"/>
            <w:tcBorders>
              <w:top w:val="single" w:sz="12" w:space="0" w:color="auto"/>
              <w:left w:val="single" w:sz="12" w:space="0" w:color="auto"/>
              <w:bottom w:val="single" w:sz="12" w:space="0" w:color="auto"/>
              <w:right w:val="single" w:sz="8" w:space="0" w:color="auto"/>
            </w:tcBorders>
            <w:shd w:val="clear" w:color="auto" w:fill="auto"/>
            <w:vAlign w:val="center"/>
            <w:hideMark/>
          </w:tcPr>
          <w:p w:rsidR="002C2EDE" w:rsidRPr="008A1F0E" w:rsidRDefault="002C2EDE" w:rsidP="00FE79B5">
            <w:pPr>
              <w:jc w:val="center"/>
              <w:rPr>
                <w:rFonts w:cs="Arial"/>
                <w:b/>
                <w:bCs/>
                <w:color w:val="C00000"/>
                <w:sz w:val="18"/>
                <w:szCs w:val="18"/>
              </w:rPr>
            </w:pPr>
          </w:p>
        </w:tc>
        <w:tc>
          <w:tcPr>
            <w:tcW w:w="879" w:type="dxa"/>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2005</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2006</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2007</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2008</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2009</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2010</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2011</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2012</w:t>
            </w:r>
          </w:p>
        </w:tc>
        <w:tc>
          <w:tcPr>
            <w:tcW w:w="0" w:type="auto"/>
            <w:tcBorders>
              <w:top w:val="single" w:sz="12" w:space="0" w:color="auto"/>
              <w:left w:val="single" w:sz="8" w:space="0" w:color="auto"/>
              <w:bottom w:val="single" w:sz="12" w:space="0" w:color="auto"/>
              <w:right w:val="single" w:sz="8"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2013</w:t>
            </w:r>
          </w:p>
        </w:tc>
        <w:tc>
          <w:tcPr>
            <w:tcW w:w="0" w:type="auto"/>
            <w:tcBorders>
              <w:top w:val="single" w:sz="12" w:space="0" w:color="auto"/>
              <w:left w:val="single" w:sz="8" w:space="0" w:color="auto"/>
              <w:bottom w:val="single" w:sz="12" w:space="0" w:color="auto"/>
              <w:right w:val="single" w:sz="12" w:space="0" w:color="auto"/>
            </w:tcBorders>
            <w:shd w:val="clear" w:color="auto" w:fill="F2DBDB" w:themeFill="accent2" w:themeFillTint="33"/>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2014</w:t>
            </w:r>
          </w:p>
        </w:tc>
      </w:tr>
      <w:tr w:rsidR="002C2EDE" w:rsidRPr="008A1F0E" w:rsidTr="00FE79B5">
        <w:trPr>
          <w:trHeight w:val="315"/>
          <w:jc w:val="center"/>
        </w:trPr>
        <w:tc>
          <w:tcPr>
            <w:tcW w:w="1710" w:type="dxa"/>
            <w:vMerge/>
            <w:tcBorders>
              <w:top w:val="single" w:sz="12" w:space="0" w:color="auto"/>
              <w:left w:val="single" w:sz="12" w:space="0" w:color="auto"/>
              <w:bottom w:val="single" w:sz="8" w:space="0" w:color="auto"/>
              <w:right w:val="single" w:sz="8" w:space="0" w:color="auto"/>
            </w:tcBorders>
            <w:vAlign w:val="center"/>
            <w:hideMark/>
          </w:tcPr>
          <w:p w:rsidR="002C2EDE" w:rsidRPr="008A1F0E" w:rsidRDefault="002C2EDE" w:rsidP="00FE79B5">
            <w:pPr>
              <w:rPr>
                <w:rFonts w:cs="Arial"/>
                <w:b/>
                <w:bCs/>
                <w:color w:val="C00000"/>
                <w:sz w:val="18"/>
                <w:szCs w:val="18"/>
              </w:rPr>
            </w:pPr>
          </w:p>
        </w:tc>
        <w:tc>
          <w:tcPr>
            <w:tcW w:w="7998" w:type="dxa"/>
            <w:gridSpan w:val="10"/>
            <w:tcBorders>
              <w:top w:val="single" w:sz="12" w:space="0" w:color="auto"/>
              <w:left w:val="single" w:sz="8" w:space="0" w:color="auto"/>
              <w:bottom w:val="single" w:sz="8" w:space="0" w:color="auto"/>
              <w:right w:val="single" w:sz="12" w:space="0" w:color="auto"/>
            </w:tcBorders>
            <w:shd w:val="clear" w:color="auto" w:fill="auto"/>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prezenční forma studia na veřejných VŠ</w:t>
            </w:r>
          </w:p>
        </w:tc>
      </w:tr>
      <w:tr w:rsidR="002C2EDE" w:rsidRPr="008A1F0E" w:rsidTr="00FE79B5">
        <w:trPr>
          <w:trHeight w:val="396"/>
          <w:jc w:val="center"/>
        </w:trPr>
        <w:tc>
          <w:tcPr>
            <w:tcW w:w="1710" w:type="dxa"/>
            <w:tcBorders>
              <w:top w:val="single" w:sz="8" w:space="0" w:color="auto"/>
              <w:left w:val="single" w:sz="12" w:space="0" w:color="auto"/>
              <w:bottom w:val="nil"/>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C</w:t>
            </w:r>
            <w:r w:rsidRPr="008A1F0E">
              <w:rPr>
                <w:rFonts w:cs="Arial"/>
                <w:color w:val="000000"/>
                <w:sz w:val="18"/>
                <w:szCs w:val="18"/>
              </w:rPr>
              <w:t>elkem</w:t>
            </w:r>
          </w:p>
        </w:tc>
        <w:tc>
          <w:tcPr>
            <w:tcW w:w="879" w:type="dxa"/>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104 214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122 466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136 032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146 301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153 512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158 600 </w:t>
            </w:r>
          </w:p>
        </w:tc>
        <w:tc>
          <w:tcPr>
            <w:tcW w:w="0" w:type="auto"/>
            <w:tcBorders>
              <w:top w:val="single" w:sz="8" w:space="0" w:color="auto"/>
              <w:left w:val="single" w:sz="8" w:space="0" w:color="auto"/>
              <w:bottom w:val="nil"/>
              <w:right w:val="single" w:sz="8" w:space="0" w:color="auto"/>
            </w:tcBorders>
            <w:shd w:val="clear" w:color="000000" w:fill="auto"/>
            <w:noWrap/>
            <w:vAlign w:val="bottom"/>
            <w:hideMark/>
          </w:tcPr>
          <w:p w:rsidR="002C2EDE" w:rsidRPr="008A1F0E" w:rsidRDefault="002C2EDE" w:rsidP="00FE79B5">
            <w:pPr>
              <w:jc w:val="right"/>
              <w:rPr>
                <w:rFonts w:cs="Arial"/>
                <w:b/>
                <w:sz w:val="18"/>
                <w:szCs w:val="18"/>
              </w:rPr>
            </w:pPr>
            <w:r w:rsidRPr="00073A83">
              <w:rPr>
                <w:rFonts w:cs="Arial"/>
                <w:b/>
                <w:sz w:val="18"/>
                <w:szCs w:val="18"/>
              </w:rPr>
              <w:t>159 025</w:t>
            </w:r>
            <w:r w:rsidRPr="008A1F0E">
              <w:rPr>
                <w:rFonts w:cs="Arial"/>
                <w:b/>
                <w:sz w:val="18"/>
                <w:szCs w:val="18"/>
              </w:rPr>
              <w:t xml:space="preserve">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158 071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154 659 </w:t>
            </w:r>
          </w:p>
        </w:tc>
        <w:tc>
          <w:tcPr>
            <w:tcW w:w="0" w:type="auto"/>
            <w:tcBorders>
              <w:top w:val="single" w:sz="8" w:space="0" w:color="auto"/>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144 661 </w:t>
            </w:r>
          </w:p>
        </w:tc>
      </w:tr>
      <w:tr w:rsidR="002C2EDE" w:rsidRPr="008A1F0E" w:rsidTr="00FE79B5">
        <w:trPr>
          <w:trHeight w:val="300"/>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spacing w:before="60"/>
              <w:rPr>
                <w:rFonts w:cs="Arial"/>
                <w:color w:val="000000"/>
                <w:sz w:val="18"/>
                <w:szCs w:val="18"/>
              </w:rPr>
            </w:pPr>
            <w:r>
              <w:rPr>
                <w:rFonts w:cs="Arial"/>
                <w:color w:val="000000"/>
                <w:sz w:val="18"/>
                <w:szCs w:val="18"/>
              </w:rPr>
              <w:t>Ž</w:t>
            </w:r>
            <w:r w:rsidRPr="008A1F0E">
              <w:rPr>
                <w:rFonts w:cs="Arial"/>
                <w:color w:val="000000"/>
                <w:sz w:val="18"/>
                <w:szCs w:val="18"/>
              </w:rPr>
              <w:t>eny</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50 312</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60 254</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68 943</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76 028</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81 147</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84 034</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84 475</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84 520</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82 949</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77 825</w:t>
            </w:r>
          </w:p>
        </w:tc>
      </w:tr>
      <w:tr w:rsidR="002C2EDE" w:rsidRPr="008A1F0E" w:rsidTr="00FE79B5">
        <w:trPr>
          <w:trHeight w:val="300"/>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P</w:t>
            </w:r>
            <w:r w:rsidRPr="008A1F0E">
              <w:rPr>
                <w:rFonts w:cs="Arial"/>
                <w:color w:val="000000"/>
                <w:sz w:val="18"/>
                <w:szCs w:val="18"/>
              </w:rPr>
              <w:t>odíl žen z celku</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48,3</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49,2</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50,7</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52,0</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52,9</w:t>
            </w:r>
            <w:r>
              <w:rPr>
                <w:rFonts w:cs="Arial"/>
                <w:color w:val="000000"/>
                <w:sz w:val="18"/>
                <w:szCs w:val="18"/>
              </w:rPr>
              <w:t>%</w:t>
            </w:r>
          </w:p>
        </w:tc>
        <w:tc>
          <w:tcPr>
            <w:tcW w:w="0" w:type="auto"/>
            <w:tcBorders>
              <w:top w:val="nil"/>
              <w:left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53,0</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53,1</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53,5</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53,6</w:t>
            </w:r>
            <w:r>
              <w:rPr>
                <w:rFonts w:cs="Arial"/>
                <w:color w:val="000000"/>
                <w:sz w:val="18"/>
                <w:szCs w:val="18"/>
              </w:rPr>
              <w:t>%</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53,8</w:t>
            </w:r>
            <w:r>
              <w:rPr>
                <w:rFonts w:cs="Arial"/>
                <w:color w:val="000000"/>
                <w:sz w:val="18"/>
                <w:szCs w:val="18"/>
              </w:rPr>
              <w:t>%</w:t>
            </w:r>
          </w:p>
        </w:tc>
      </w:tr>
      <w:tr w:rsidR="002C2EDE" w:rsidRPr="008A1F0E" w:rsidTr="00FE79B5">
        <w:trPr>
          <w:trHeight w:val="300"/>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spacing w:before="60"/>
              <w:rPr>
                <w:rFonts w:cs="Arial"/>
                <w:color w:val="000000"/>
                <w:sz w:val="18"/>
                <w:szCs w:val="18"/>
              </w:rPr>
            </w:pPr>
            <w:r>
              <w:rPr>
                <w:rFonts w:cs="Arial"/>
                <w:color w:val="000000"/>
                <w:sz w:val="18"/>
                <w:szCs w:val="18"/>
              </w:rPr>
              <w:t>Občanství ČR</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97 884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114 625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127 045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136 728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143 088 </w:t>
            </w:r>
          </w:p>
        </w:tc>
        <w:tc>
          <w:tcPr>
            <w:tcW w:w="0" w:type="auto"/>
            <w:tcBorders>
              <w:top w:val="nil"/>
              <w:left w:val="single" w:sz="8" w:space="0" w:color="auto"/>
              <w:bottom w:val="nil"/>
              <w:right w:val="single" w:sz="8" w:space="0" w:color="auto"/>
            </w:tcBorders>
            <w:shd w:val="clear" w:color="000000"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146 848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146 557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144 326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139 948 </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128 991 </w:t>
            </w:r>
          </w:p>
        </w:tc>
      </w:tr>
      <w:tr w:rsidR="002C2EDE" w:rsidRPr="008A1F0E" w:rsidTr="00FE79B5">
        <w:trPr>
          <w:trHeight w:val="300"/>
          <w:jc w:val="center"/>
        </w:trPr>
        <w:tc>
          <w:tcPr>
            <w:tcW w:w="1710" w:type="dxa"/>
            <w:tcBorders>
              <w:top w:val="nil"/>
              <w:left w:val="single" w:sz="12" w:space="0" w:color="auto"/>
              <w:bottom w:val="single" w:sz="8" w:space="0" w:color="auto"/>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C</w:t>
            </w:r>
            <w:r w:rsidRPr="008A1F0E">
              <w:rPr>
                <w:rFonts w:cs="Arial"/>
                <w:color w:val="000000"/>
                <w:sz w:val="18"/>
                <w:szCs w:val="18"/>
              </w:rPr>
              <w:t>izinci</w:t>
            </w:r>
          </w:p>
        </w:tc>
        <w:tc>
          <w:tcPr>
            <w:tcW w:w="879" w:type="dxa"/>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6 332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7 843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8 989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9 573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10 428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11 755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12 474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13 750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14 713 </w:t>
            </w:r>
          </w:p>
        </w:tc>
        <w:tc>
          <w:tcPr>
            <w:tcW w:w="0" w:type="auto"/>
            <w:tcBorders>
              <w:top w:val="nil"/>
              <w:left w:val="single" w:sz="8" w:space="0" w:color="auto"/>
              <w:bottom w:val="single" w:sz="8" w:space="0" w:color="auto"/>
              <w:right w:val="single" w:sz="12"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15 673 </w:t>
            </w:r>
          </w:p>
        </w:tc>
      </w:tr>
      <w:tr w:rsidR="002C2EDE" w:rsidRPr="008A1F0E" w:rsidTr="00FE79B5">
        <w:trPr>
          <w:trHeight w:val="300"/>
          <w:jc w:val="center"/>
        </w:trPr>
        <w:tc>
          <w:tcPr>
            <w:tcW w:w="171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2C2EDE" w:rsidRPr="008A1F0E" w:rsidRDefault="002C2EDE" w:rsidP="00FE79B5">
            <w:pPr>
              <w:jc w:val="center"/>
              <w:rPr>
                <w:rFonts w:cs="Arial"/>
                <w:color w:val="000000"/>
                <w:sz w:val="18"/>
                <w:szCs w:val="18"/>
              </w:rPr>
            </w:pPr>
          </w:p>
        </w:tc>
        <w:tc>
          <w:tcPr>
            <w:tcW w:w="7998" w:type="dxa"/>
            <w:gridSpan w:val="10"/>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2C2EDE" w:rsidRPr="008A1F0E" w:rsidRDefault="002C2EDE" w:rsidP="00FE79B5">
            <w:pPr>
              <w:jc w:val="center"/>
              <w:rPr>
                <w:rFonts w:cs="Arial"/>
                <w:b/>
                <w:bCs/>
                <w:sz w:val="18"/>
                <w:szCs w:val="18"/>
              </w:rPr>
            </w:pPr>
            <w:r w:rsidRPr="008A1F0E">
              <w:rPr>
                <w:rFonts w:cs="Arial"/>
                <w:b/>
                <w:bCs/>
                <w:sz w:val="18"/>
                <w:szCs w:val="18"/>
              </w:rPr>
              <w:t>distanční a kombinovaná forma studia na veřejných VŠ</w:t>
            </w:r>
          </w:p>
        </w:tc>
      </w:tr>
      <w:tr w:rsidR="002C2EDE" w:rsidRPr="008A1F0E" w:rsidTr="00FE79B5">
        <w:trPr>
          <w:trHeight w:val="300"/>
          <w:jc w:val="center"/>
        </w:trPr>
        <w:tc>
          <w:tcPr>
            <w:tcW w:w="1710" w:type="dxa"/>
            <w:tcBorders>
              <w:top w:val="single" w:sz="8" w:space="0" w:color="auto"/>
              <w:left w:val="single" w:sz="12" w:space="0" w:color="auto"/>
              <w:bottom w:val="nil"/>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C</w:t>
            </w:r>
            <w:r w:rsidRPr="008A1F0E">
              <w:rPr>
                <w:rFonts w:cs="Arial"/>
                <w:color w:val="000000"/>
                <w:sz w:val="18"/>
                <w:szCs w:val="18"/>
              </w:rPr>
              <w:t>elkem</w:t>
            </w:r>
          </w:p>
        </w:tc>
        <w:tc>
          <w:tcPr>
            <w:tcW w:w="879" w:type="dxa"/>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29 297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34 186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39 692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44 573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47 337 </w:t>
            </w:r>
          </w:p>
        </w:tc>
        <w:tc>
          <w:tcPr>
            <w:tcW w:w="0" w:type="auto"/>
            <w:tcBorders>
              <w:top w:val="single" w:sz="8" w:space="0" w:color="auto"/>
              <w:left w:val="single" w:sz="8" w:space="0" w:color="auto"/>
              <w:bottom w:val="nil"/>
              <w:right w:val="single" w:sz="8" w:space="0" w:color="auto"/>
            </w:tcBorders>
            <w:shd w:val="clear" w:color="000000"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47 611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46 443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43 320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40 066 </w:t>
            </w:r>
          </w:p>
        </w:tc>
        <w:tc>
          <w:tcPr>
            <w:tcW w:w="0" w:type="auto"/>
            <w:tcBorders>
              <w:top w:val="single" w:sz="8" w:space="0" w:color="auto"/>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b/>
                <w:sz w:val="18"/>
                <w:szCs w:val="18"/>
              </w:rPr>
            </w:pPr>
            <w:r w:rsidRPr="008A1F0E">
              <w:rPr>
                <w:rFonts w:cs="Arial"/>
                <w:b/>
                <w:sz w:val="18"/>
                <w:szCs w:val="18"/>
              </w:rPr>
              <w:t xml:space="preserve">36 184 </w:t>
            </w:r>
          </w:p>
        </w:tc>
      </w:tr>
      <w:tr w:rsidR="002C2EDE" w:rsidRPr="008A1F0E" w:rsidTr="00FE79B5">
        <w:trPr>
          <w:trHeight w:val="300"/>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spacing w:before="60"/>
              <w:rPr>
                <w:rFonts w:cs="Arial"/>
                <w:color w:val="000000"/>
                <w:sz w:val="18"/>
                <w:szCs w:val="18"/>
              </w:rPr>
            </w:pPr>
            <w:r>
              <w:rPr>
                <w:rFonts w:cs="Arial"/>
                <w:color w:val="000000"/>
                <w:sz w:val="18"/>
                <w:szCs w:val="18"/>
              </w:rPr>
              <w:t>Ž</w:t>
            </w:r>
            <w:r w:rsidRPr="008A1F0E">
              <w:rPr>
                <w:rFonts w:cs="Arial"/>
                <w:color w:val="000000"/>
                <w:sz w:val="18"/>
                <w:szCs w:val="18"/>
              </w:rPr>
              <w:t>eny</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15 026</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18 067</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21 613</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25 076</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27 284</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28 015</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27 372</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25 825</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24 116</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21 895</w:t>
            </w:r>
          </w:p>
        </w:tc>
      </w:tr>
      <w:tr w:rsidR="002C2EDE" w:rsidRPr="008A1F0E" w:rsidTr="00FE79B5">
        <w:trPr>
          <w:trHeight w:val="300"/>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P</w:t>
            </w:r>
            <w:r w:rsidRPr="008A1F0E">
              <w:rPr>
                <w:rFonts w:cs="Arial"/>
                <w:color w:val="000000"/>
                <w:sz w:val="18"/>
                <w:szCs w:val="18"/>
              </w:rPr>
              <w:t>odíl žen z celku</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51,3</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52,8</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54,5</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56,3</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57,6</w:t>
            </w:r>
            <w:r>
              <w:rPr>
                <w:rFonts w:cs="Arial"/>
                <w:color w:val="000000"/>
                <w:sz w:val="18"/>
                <w:szCs w:val="18"/>
              </w:rPr>
              <w:t>%</w:t>
            </w:r>
          </w:p>
        </w:tc>
        <w:tc>
          <w:tcPr>
            <w:tcW w:w="0" w:type="auto"/>
            <w:tcBorders>
              <w:top w:val="nil"/>
              <w:left w:val="single" w:sz="8" w:space="0" w:color="auto"/>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58,8</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58,9</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59,6</w:t>
            </w:r>
            <w:r>
              <w:rPr>
                <w:rFonts w:cs="Arial"/>
                <w:color w:val="000000"/>
                <w:sz w:val="18"/>
                <w:szCs w:val="18"/>
              </w:rPr>
              <w:t>%</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60,2</w:t>
            </w:r>
            <w:r>
              <w:rPr>
                <w:rFonts w:cs="Arial"/>
                <w:color w:val="000000"/>
                <w:sz w:val="18"/>
                <w:szCs w:val="18"/>
              </w:rPr>
              <w:t>%</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color w:val="000000"/>
                <w:sz w:val="18"/>
                <w:szCs w:val="18"/>
              </w:rPr>
            </w:pPr>
            <w:r w:rsidRPr="008A1F0E">
              <w:rPr>
                <w:rFonts w:cs="Arial"/>
                <w:color w:val="000000"/>
                <w:sz w:val="18"/>
                <w:szCs w:val="18"/>
              </w:rPr>
              <w:t>60,5</w:t>
            </w:r>
            <w:r>
              <w:rPr>
                <w:rFonts w:cs="Arial"/>
                <w:color w:val="000000"/>
                <w:sz w:val="18"/>
                <w:szCs w:val="18"/>
              </w:rPr>
              <w:t>%</w:t>
            </w:r>
          </w:p>
        </w:tc>
      </w:tr>
      <w:tr w:rsidR="002C2EDE" w:rsidRPr="008A1F0E" w:rsidTr="00FE79B5">
        <w:trPr>
          <w:trHeight w:val="315"/>
          <w:jc w:val="center"/>
        </w:trPr>
        <w:tc>
          <w:tcPr>
            <w:tcW w:w="1710" w:type="dxa"/>
            <w:tcBorders>
              <w:top w:val="nil"/>
              <w:left w:val="single" w:sz="12" w:space="0" w:color="auto"/>
              <w:bottom w:val="nil"/>
              <w:right w:val="single" w:sz="8" w:space="0" w:color="auto"/>
            </w:tcBorders>
            <w:shd w:val="clear" w:color="auto" w:fill="auto"/>
            <w:noWrap/>
            <w:vAlign w:val="bottom"/>
            <w:hideMark/>
          </w:tcPr>
          <w:p w:rsidR="002C2EDE" w:rsidRPr="008A1F0E" w:rsidRDefault="002C2EDE" w:rsidP="00FE79B5">
            <w:pPr>
              <w:spacing w:before="60"/>
              <w:rPr>
                <w:rFonts w:cs="Arial"/>
                <w:color w:val="000000"/>
                <w:sz w:val="18"/>
                <w:szCs w:val="18"/>
              </w:rPr>
            </w:pPr>
            <w:r>
              <w:rPr>
                <w:rFonts w:cs="Arial"/>
                <w:color w:val="000000"/>
                <w:sz w:val="18"/>
                <w:szCs w:val="18"/>
              </w:rPr>
              <w:t>Občanství ČR</w:t>
            </w:r>
          </w:p>
        </w:tc>
        <w:tc>
          <w:tcPr>
            <w:tcW w:w="879" w:type="dxa"/>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28 498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33 208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38 528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43 293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45 964 </w:t>
            </w:r>
          </w:p>
        </w:tc>
        <w:tc>
          <w:tcPr>
            <w:tcW w:w="0" w:type="auto"/>
            <w:tcBorders>
              <w:top w:val="nil"/>
              <w:left w:val="single" w:sz="8" w:space="0" w:color="auto"/>
              <w:bottom w:val="nil"/>
              <w:right w:val="single" w:sz="8" w:space="0" w:color="auto"/>
            </w:tcBorders>
            <w:shd w:val="clear" w:color="000000"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46 212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45 098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42 102 </w:t>
            </w:r>
          </w:p>
        </w:tc>
        <w:tc>
          <w:tcPr>
            <w:tcW w:w="0" w:type="auto"/>
            <w:tcBorders>
              <w:top w:val="nil"/>
              <w:left w:val="single" w:sz="8" w:space="0" w:color="auto"/>
              <w:bottom w:val="nil"/>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38 908 </w:t>
            </w:r>
          </w:p>
        </w:tc>
        <w:tc>
          <w:tcPr>
            <w:tcW w:w="0" w:type="auto"/>
            <w:tcBorders>
              <w:top w:val="nil"/>
              <w:left w:val="single" w:sz="8" w:space="0" w:color="auto"/>
              <w:bottom w:val="nil"/>
              <w:right w:val="single" w:sz="12"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35 059 </w:t>
            </w:r>
          </w:p>
        </w:tc>
      </w:tr>
      <w:tr w:rsidR="002C2EDE" w:rsidRPr="008A1F0E" w:rsidTr="00FE79B5">
        <w:trPr>
          <w:trHeight w:val="315"/>
          <w:jc w:val="center"/>
        </w:trPr>
        <w:tc>
          <w:tcPr>
            <w:tcW w:w="1710" w:type="dxa"/>
            <w:tcBorders>
              <w:top w:val="nil"/>
              <w:left w:val="single" w:sz="12" w:space="0" w:color="auto"/>
              <w:bottom w:val="single" w:sz="12" w:space="0" w:color="auto"/>
              <w:right w:val="single" w:sz="8" w:space="0" w:color="auto"/>
            </w:tcBorders>
            <w:shd w:val="clear" w:color="auto" w:fill="auto"/>
            <w:noWrap/>
            <w:vAlign w:val="bottom"/>
            <w:hideMark/>
          </w:tcPr>
          <w:p w:rsidR="002C2EDE" w:rsidRPr="008A1F0E" w:rsidRDefault="002C2EDE" w:rsidP="00FE79B5">
            <w:pPr>
              <w:rPr>
                <w:rFonts w:cs="Arial"/>
                <w:color w:val="000000"/>
                <w:sz w:val="18"/>
                <w:szCs w:val="18"/>
              </w:rPr>
            </w:pPr>
            <w:r>
              <w:rPr>
                <w:rFonts w:cs="Arial"/>
                <w:color w:val="000000"/>
                <w:sz w:val="18"/>
                <w:szCs w:val="18"/>
              </w:rPr>
              <w:t>C</w:t>
            </w:r>
            <w:r w:rsidRPr="008A1F0E">
              <w:rPr>
                <w:rFonts w:cs="Arial"/>
                <w:color w:val="000000"/>
                <w:sz w:val="18"/>
                <w:szCs w:val="18"/>
              </w:rPr>
              <w:t>izinci</w:t>
            </w:r>
          </w:p>
        </w:tc>
        <w:tc>
          <w:tcPr>
            <w:tcW w:w="879" w:type="dxa"/>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801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978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1 164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1 280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1 376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1 399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1 348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1 220 </w:t>
            </w:r>
          </w:p>
        </w:tc>
        <w:tc>
          <w:tcPr>
            <w:tcW w:w="0" w:type="auto"/>
            <w:tcBorders>
              <w:top w:val="nil"/>
              <w:left w:val="single" w:sz="8" w:space="0" w:color="auto"/>
              <w:bottom w:val="single" w:sz="12" w:space="0" w:color="auto"/>
              <w:right w:val="single" w:sz="8"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1 159 </w:t>
            </w:r>
          </w:p>
        </w:tc>
        <w:tc>
          <w:tcPr>
            <w:tcW w:w="0" w:type="auto"/>
            <w:tcBorders>
              <w:top w:val="nil"/>
              <w:left w:val="single" w:sz="8" w:space="0" w:color="auto"/>
              <w:bottom w:val="single" w:sz="12" w:space="0" w:color="auto"/>
              <w:right w:val="single" w:sz="12" w:space="0" w:color="auto"/>
            </w:tcBorders>
            <w:shd w:val="clear" w:color="auto" w:fill="auto"/>
            <w:noWrap/>
            <w:vAlign w:val="bottom"/>
            <w:hideMark/>
          </w:tcPr>
          <w:p w:rsidR="002C2EDE" w:rsidRPr="008A1F0E" w:rsidRDefault="002C2EDE" w:rsidP="00FE79B5">
            <w:pPr>
              <w:jc w:val="right"/>
              <w:rPr>
                <w:rFonts w:cs="Arial"/>
                <w:sz w:val="18"/>
                <w:szCs w:val="18"/>
              </w:rPr>
            </w:pPr>
            <w:r w:rsidRPr="008A1F0E">
              <w:rPr>
                <w:rFonts w:cs="Arial"/>
                <w:sz w:val="18"/>
                <w:szCs w:val="18"/>
              </w:rPr>
              <w:t xml:space="preserve">1 125 </w:t>
            </w:r>
          </w:p>
        </w:tc>
      </w:tr>
    </w:tbl>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6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line="288" w:lineRule="auto"/>
        <w:ind w:firstLine="0"/>
        <w:rPr>
          <w:i/>
          <w:iCs/>
          <w:sz w:val="18"/>
          <w:szCs w:val="18"/>
        </w:rPr>
      </w:pPr>
    </w:p>
    <w:p w:rsidR="002C2EDE" w:rsidRPr="00DB49BB" w:rsidRDefault="002C2EDE" w:rsidP="002C2EDE">
      <w:pPr>
        <w:spacing w:before="240"/>
        <w:jc w:val="both"/>
        <w:rPr>
          <w:rFonts w:cs="Arial"/>
          <w:b/>
          <w:sz w:val="22"/>
          <w:szCs w:val="22"/>
        </w:rPr>
      </w:pPr>
      <w:r w:rsidRPr="00DB49BB">
        <w:rPr>
          <w:rFonts w:cs="Arial"/>
          <w:b/>
          <w:sz w:val="22"/>
          <w:szCs w:val="22"/>
        </w:rPr>
        <w:t>Distanční a kombinovaná forma studia</w:t>
      </w:r>
    </w:p>
    <w:p w:rsidR="002C2EDE" w:rsidRDefault="002C2EDE" w:rsidP="002C2EDE">
      <w:pPr>
        <w:spacing w:before="60"/>
        <w:jc w:val="both"/>
      </w:pPr>
      <w:r>
        <w:t>Bakalářské studijní programy v ostatních formách studia na veřejných VŠ navštěvovalo za uplynulé desetileté období každoročně více studentů. Obdobně jako u prezenční formy studia i zde počty studentů výrazně vzrostly mezi roky 2005 a 2010 (z 29,3 tisíc na 46,2 tisíc studentů). Během posledních 3 let však dochází k poklesu o více než 10 tisíc studentů. Podíl žen v této formě studia je vyšší než u prezenční formy studia. V roce 2005 studovalo distanční a kombinovanou formou v bakalářských studijních programech veřejných vysokých škol 15 tisíc žen, což je 51,3 % z celku, v roce 2010 to bylo již 28 tisíc (58,8 %). V roce 2014 byly celkové počty žen nižší než v roce 2010, z pohledu podílu na celku však činily 60,5 % z celkových počtů studentů těchto studijních programů.</w:t>
      </w:r>
    </w:p>
    <w:p w:rsidR="002C2EDE" w:rsidRPr="00E74085" w:rsidRDefault="002C2EDE" w:rsidP="002C2EDE">
      <w:pPr>
        <w:pStyle w:val="Nadpis3"/>
      </w:pPr>
      <w:bookmarkStart w:id="20" w:name="_Toc431985664"/>
      <w:bookmarkStart w:id="21" w:name="_Toc431994693"/>
      <w:bookmarkStart w:id="22" w:name="_Toc432579594"/>
      <w:r w:rsidRPr="00E74085">
        <w:t>Bakalářské studijní programy na soukromých vysokých školách</w:t>
      </w:r>
      <w:bookmarkEnd w:id="20"/>
      <w:bookmarkEnd w:id="21"/>
      <w:bookmarkEnd w:id="22"/>
    </w:p>
    <w:p w:rsidR="002C2EDE" w:rsidRPr="00DB49BB" w:rsidRDefault="002C2EDE" w:rsidP="002C2EDE">
      <w:pPr>
        <w:spacing w:before="120" w:after="60"/>
        <w:jc w:val="both"/>
        <w:rPr>
          <w:rFonts w:cs="Arial"/>
          <w:b/>
          <w:sz w:val="22"/>
          <w:szCs w:val="22"/>
        </w:rPr>
      </w:pPr>
      <w:r w:rsidRPr="00DB49BB">
        <w:rPr>
          <w:rFonts w:cs="Arial"/>
          <w:b/>
          <w:sz w:val="22"/>
          <w:szCs w:val="22"/>
        </w:rPr>
        <w:t>Prezenční forma studia</w:t>
      </w:r>
    </w:p>
    <w:p w:rsidR="002C2EDE" w:rsidRPr="009475EB" w:rsidRDefault="002C2EDE" w:rsidP="002C2EDE">
      <w:pPr>
        <w:jc w:val="both"/>
        <w:rPr>
          <w:rFonts w:cs="Arial"/>
          <w:szCs w:val="20"/>
        </w:rPr>
      </w:pPr>
      <w:r>
        <w:rPr>
          <w:rFonts w:cs="Arial"/>
          <w:szCs w:val="20"/>
        </w:rPr>
        <w:t>Počet studentů prezenčního studia bakalářských studijních programů soukromých vysokých škol se mezi lety 2005 (8 659) a 2014 (15 101) téměř zdvojnásobil. N</w:t>
      </w:r>
      <w:r w:rsidRPr="005D1637">
        <w:rPr>
          <w:rFonts w:cs="Arial"/>
          <w:szCs w:val="20"/>
        </w:rPr>
        <w:t>ejv</w:t>
      </w:r>
      <w:r>
        <w:rPr>
          <w:rFonts w:cs="Arial"/>
          <w:szCs w:val="20"/>
        </w:rPr>
        <w:t xml:space="preserve">yšší počet těchto studentů byl však zaznamenán v roce 2010 (17,9 tisíc), především díky tehdy se rychle rozrůstajícímu počtu soukromých VŠ. Podíl studentek činil během uplynulých let v průměru 59,6 % z celkového počtu studentů bakalářských studijních programů prezenční formy studia. Pokud se jedná o studenty cizí národnosti, v roce 2005 tvořili 10% podíl ze studentů bakalářských studijních programů soukromých </w:t>
      </w:r>
      <w:r>
        <w:rPr>
          <w:rFonts w:cs="Arial"/>
          <w:szCs w:val="20"/>
        </w:rPr>
        <w:lastRenderedPageBreak/>
        <w:t>VŠ a od tohoto roku jejich zastoupení plynule narůstalo až na současných 26 %</w:t>
      </w:r>
      <w:r w:rsidRPr="007976B1">
        <w:rPr>
          <w:rFonts w:cs="Arial"/>
          <w:szCs w:val="20"/>
        </w:rPr>
        <w:t>.</w:t>
      </w:r>
      <w:r>
        <w:rPr>
          <w:rFonts w:cs="Arial"/>
          <w:szCs w:val="20"/>
        </w:rPr>
        <w:t xml:space="preserve"> Převažují studenti slovenské státní příslušnosti.</w:t>
      </w:r>
    </w:p>
    <w:p w:rsidR="002C2EDE" w:rsidRPr="00DB49BB" w:rsidRDefault="002C2EDE" w:rsidP="002C2EDE">
      <w:pPr>
        <w:spacing w:before="120" w:after="60"/>
        <w:jc w:val="both"/>
        <w:rPr>
          <w:rFonts w:cs="Arial"/>
          <w:b/>
          <w:sz w:val="22"/>
          <w:szCs w:val="22"/>
        </w:rPr>
      </w:pPr>
      <w:r w:rsidRPr="00DB49BB">
        <w:rPr>
          <w:rFonts w:cs="Arial"/>
          <w:b/>
          <w:sz w:val="22"/>
          <w:szCs w:val="22"/>
        </w:rPr>
        <w:t xml:space="preserve">Distanční a kombinovaná forma studia </w:t>
      </w:r>
    </w:p>
    <w:p w:rsidR="002C2EDE" w:rsidRDefault="002C2EDE" w:rsidP="002C2EDE">
      <w:pPr>
        <w:jc w:val="both"/>
        <w:rPr>
          <w:rFonts w:eastAsia="MS Gothic"/>
          <w:bCs/>
          <w:szCs w:val="20"/>
        </w:rPr>
      </w:pPr>
      <w:r>
        <w:rPr>
          <w:rFonts w:eastAsia="MS Gothic"/>
          <w:bCs/>
          <w:szCs w:val="20"/>
        </w:rPr>
        <w:t xml:space="preserve">V distanční a kombinované formě studia se na soukromých vysokých školách v roce 2014 vzdělával </w:t>
      </w:r>
      <w:r w:rsidRPr="00E30DE7">
        <w:rPr>
          <w:rFonts w:eastAsia="MS Gothic"/>
          <w:bCs/>
          <w:szCs w:val="20"/>
        </w:rPr>
        <w:t xml:space="preserve">téměř stejný počet studentů jako </w:t>
      </w:r>
      <w:r>
        <w:rPr>
          <w:rFonts w:eastAsia="MS Gothic"/>
          <w:bCs/>
          <w:szCs w:val="20"/>
        </w:rPr>
        <w:t xml:space="preserve">v </w:t>
      </w:r>
      <w:r w:rsidRPr="00E30DE7">
        <w:rPr>
          <w:rFonts w:eastAsia="MS Gothic"/>
          <w:bCs/>
          <w:szCs w:val="20"/>
        </w:rPr>
        <w:t>prezenční form</w:t>
      </w:r>
      <w:r>
        <w:rPr>
          <w:rFonts w:eastAsia="MS Gothic"/>
          <w:bCs/>
          <w:szCs w:val="20"/>
        </w:rPr>
        <w:t>ě</w:t>
      </w:r>
      <w:r w:rsidRPr="00E30DE7">
        <w:rPr>
          <w:rFonts w:eastAsia="MS Gothic"/>
          <w:bCs/>
          <w:szCs w:val="20"/>
        </w:rPr>
        <w:t xml:space="preserve"> studia. </w:t>
      </w:r>
      <w:r>
        <w:rPr>
          <w:rFonts w:eastAsia="MS Gothic"/>
          <w:bCs/>
          <w:szCs w:val="20"/>
        </w:rPr>
        <w:t>V roce 2005 činil počet studentů těchto forem studia téměř 12,7 tisíc studentů, v roce 2009 dokonce již 27 tisíc. Od tohoto roku se ovšem počet studentů každoročně snižoval. V roce 2014 studovalo bakalářské studijní programy v distanční a kombinované formě studia již jen 11,8 tisíc studentů. Podobně jako u prezenční formy studia i zde činil podíl žen na celku 59,3 %. Studenti českého státního občanství tvořili v roce 2005 80,4 % z celkového počtu studentů v těchto programech, přičemž do roku 2014 jejich zastoupení stouplo na 90,3 %. Je tomu tak z důvodu, že se snížil celkový počet studentů cizího státního občanství studujících distanční či kombinovanou formou na soukromých vysokých školách, ale také jejich podíl na celkovém počtu studentů v distanční a kombinované formě bakalářských studijních programů soukromých VŠ.</w:t>
      </w:r>
    </w:p>
    <w:p w:rsidR="002C2EDE" w:rsidRDefault="002C2EDE" w:rsidP="002C2EDE">
      <w:pPr>
        <w:pStyle w:val="Nadpis4"/>
        <w:spacing w:after="120"/>
      </w:pPr>
      <w:bookmarkStart w:id="23" w:name="_Toc431985665"/>
      <w:bookmarkStart w:id="24" w:name="_Toc431994694"/>
      <w:r>
        <w:t>Tab. 7</w:t>
      </w:r>
      <w:r w:rsidRPr="000414B3">
        <w:t xml:space="preserve">: </w:t>
      </w:r>
      <w:r w:rsidRPr="00155432">
        <w:t>Studenti soukromých vysokých škol v bakalářských studijních programech</w:t>
      </w:r>
      <w:bookmarkEnd w:id="23"/>
      <w:bookmarkEnd w:id="2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tblPr>
      <w:tblGrid>
        <w:gridCol w:w="1670"/>
        <w:gridCol w:w="802"/>
        <w:gridCol w:w="966"/>
        <w:gridCol w:w="722"/>
        <w:gridCol w:w="722"/>
        <w:gridCol w:w="722"/>
        <w:gridCol w:w="722"/>
        <w:gridCol w:w="722"/>
        <w:gridCol w:w="722"/>
        <w:gridCol w:w="722"/>
        <w:gridCol w:w="720"/>
      </w:tblGrid>
      <w:tr w:rsidR="002C2EDE" w:rsidRPr="0081438D" w:rsidTr="00FE79B5">
        <w:trPr>
          <w:trHeight w:val="300"/>
        </w:trPr>
        <w:tc>
          <w:tcPr>
            <w:tcW w:w="906" w:type="pct"/>
            <w:vMerge w:val="restart"/>
            <w:shd w:val="clear" w:color="auto" w:fill="auto"/>
            <w:vAlign w:val="center"/>
            <w:hideMark/>
          </w:tcPr>
          <w:p w:rsidR="002C2EDE" w:rsidRPr="0081438D" w:rsidRDefault="002C2EDE" w:rsidP="00FE79B5">
            <w:pPr>
              <w:jc w:val="center"/>
              <w:rPr>
                <w:rFonts w:cs="Arial"/>
                <w:b/>
                <w:bCs/>
                <w:color w:val="C00000"/>
                <w:sz w:val="18"/>
                <w:szCs w:val="18"/>
              </w:rPr>
            </w:pPr>
          </w:p>
        </w:tc>
        <w:tc>
          <w:tcPr>
            <w:tcW w:w="435"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2005</w:t>
            </w:r>
          </w:p>
        </w:tc>
        <w:tc>
          <w:tcPr>
            <w:tcW w:w="524"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2006</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2007</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2008</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2009</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2010</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2011</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2012</w:t>
            </w:r>
          </w:p>
        </w:tc>
        <w:tc>
          <w:tcPr>
            <w:tcW w:w="392"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2013</w:t>
            </w:r>
          </w:p>
        </w:tc>
        <w:tc>
          <w:tcPr>
            <w:tcW w:w="391" w:type="pct"/>
            <w:shd w:val="clear" w:color="auto" w:fill="F2DBDB" w:themeFill="accent2" w:themeFillTint="33"/>
            <w:noWrap/>
            <w:vAlign w:val="center"/>
            <w:hideMark/>
          </w:tcPr>
          <w:p w:rsidR="002C2EDE" w:rsidRPr="008A1F0E" w:rsidRDefault="002C2EDE" w:rsidP="00FE79B5">
            <w:pPr>
              <w:spacing w:line="240" w:lineRule="auto"/>
              <w:jc w:val="center"/>
              <w:rPr>
                <w:rFonts w:cs="Arial"/>
                <w:b/>
                <w:bCs/>
                <w:sz w:val="18"/>
                <w:szCs w:val="18"/>
              </w:rPr>
            </w:pPr>
            <w:r w:rsidRPr="008A1F0E">
              <w:rPr>
                <w:rFonts w:cs="Arial"/>
                <w:b/>
                <w:bCs/>
                <w:sz w:val="18"/>
                <w:szCs w:val="18"/>
              </w:rPr>
              <w:t>2014</w:t>
            </w:r>
          </w:p>
        </w:tc>
      </w:tr>
      <w:tr w:rsidR="002C2EDE" w:rsidRPr="0081438D" w:rsidTr="00FE79B5">
        <w:trPr>
          <w:trHeight w:val="300"/>
        </w:trPr>
        <w:tc>
          <w:tcPr>
            <w:tcW w:w="906" w:type="pct"/>
            <w:vMerge/>
            <w:tcBorders>
              <w:bottom w:val="single" w:sz="4" w:space="0" w:color="auto"/>
            </w:tcBorders>
            <w:vAlign w:val="center"/>
            <w:hideMark/>
          </w:tcPr>
          <w:p w:rsidR="002C2EDE" w:rsidRPr="0081438D" w:rsidRDefault="002C2EDE" w:rsidP="00FE79B5">
            <w:pPr>
              <w:rPr>
                <w:rFonts w:cs="Arial"/>
                <w:b/>
                <w:bCs/>
                <w:color w:val="C00000"/>
                <w:sz w:val="18"/>
                <w:szCs w:val="18"/>
              </w:rPr>
            </w:pPr>
          </w:p>
        </w:tc>
        <w:tc>
          <w:tcPr>
            <w:tcW w:w="4094" w:type="pct"/>
            <w:gridSpan w:val="10"/>
            <w:tcBorders>
              <w:bottom w:val="single" w:sz="4" w:space="0" w:color="auto"/>
            </w:tcBorders>
            <w:shd w:val="clear" w:color="auto" w:fill="auto"/>
            <w:noWrap/>
            <w:vAlign w:val="center"/>
            <w:hideMark/>
          </w:tcPr>
          <w:p w:rsidR="002C2EDE" w:rsidRPr="0081438D" w:rsidRDefault="002C2EDE" w:rsidP="00FE79B5">
            <w:pPr>
              <w:spacing w:line="240" w:lineRule="auto"/>
              <w:jc w:val="center"/>
              <w:rPr>
                <w:rFonts w:cs="Arial"/>
                <w:b/>
                <w:bCs/>
                <w:sz w:val="18"/>
                <w:szCs w:val="18"/>
              </w:rPr>
            </w:pPr>
            <w:r w:rsidRPr="0081438D">
              <w:rPr>
                <w:rFonts w:cs="Arial"/>
                <w:b/>
                <w:bCs/>
                <w:sz w:val="18"/>
                <w:szCs w:val="18"/>
              </w:rPr>
              <w:t>prezenční forma studia na soukromých VŠ</w:t>
            </w:r>
          </w:p>
        </w:tc>
      </w:tr>
      <w:tr w:rsidR="002C2EDE" w:rsidRPr="0081438D" w:rsidTr="00FE79B5">
        <w:trPr>
          <w:trHeight w:val="300"/>
        </w:trPr>
        <w:tc>
          <w:tcPr>
            <w:tcW w:w="906" w:type="pct"/>
            <w:tcBorders>
              <w:top w:val="single" w:sz="4" w:space="0" w:color="auto"/>
              <w:bottom w:val="nil"/>
            </w:tcBorders>
            <w:shd w:val="clear" w:color="auto" w:fill="auto"/>
            <w:noWrap/>
            <w:vAlign w:val="center"/>
            <w:hideMark/>
          </w:tcPr>
          <w:p w:rsidR="002C2EDE" w:rsidRPr="0081438D" w:rsidRDefault="002C2EDE" w:rsidP="00FE79B5">
            <w:pPr>
              <w:jc w:val="both"/>
              <w:rPr>
                <w:rFonts w:cs="Arial"/>
                <w:color w:val="000000"/>
                <w:sz w:val="18"/>
                <w:szCs w:val="18"/>
              </w:rPr>
            </w:pPr>
            <w:r>
              <w:rPr>
                <w:rFonts w:cs="Arial"/>
                <w:color w:val="000000"/>
                <w:sz w:val="18"/>
                <w:szCs w:val="18"/>
              </w:rPr>
              <w:t>C</w:t>
            </w:r>
            <w:r w:rsidRPr="0081438D">
              <w:rPr>
                <w:rFonts w:cs="Arial"/>
                <w:color w:val="000000"/>
                <w:sz w:val="18"/>
                <w:szCs w:val="18"/>
              </w:rPr>
              <w:t>elkem</w:t>
            </w:r>
          </w:p>
        </w:tc>
        <w:tc>
          <w:tcPr>
            <w:tcW w:w="435"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8 659</w:t>
            </w:r>
          </w:p>
        </w:tc>
        <w:tc>
          <w:tcPr>
            <w:tcW w:w="524"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10 368</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13 233</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15 035</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17 538</w:t>
            </w:r>
          </w:p>
        </w:tc>
        <w:tc>
          <w:tcPr>
            <w:tcW w:w="392" w:type="pct"/>
            <w:tcBorders>
              <w:top w:val="single" w:sz="4" w:space="0" w:color="auto"/>
              <w:bottom w:val="nil"/>
            </w:tcBorders>
            <w:shd w:val="clear" w:color="000000"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17 904</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17 590</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17 137</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16 282</w:t>
            </w:r>
          </w:p>
        </w:tc>
        <w:tc>
          <w:tcPr>
            <w:tcW w:w="391"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color w:val="000000"/>
                <w:sz w:val="18"/>
                <w:szCs w:val="18"/>
              </w:rPr>
            </w:pPr>
            <w:r w:rsidRPr="0081438D">
              <w:rPr>
                <w:rFonts w:cs="Arial"/>
                <w:b/>
                <w:bCs/>
                <w:color w:val="000000"/>
                <w:sz w:val="18"/>
                <w:szCs w:val="18"/>
              </w:rPr>
              <w:t>15 101</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spacing w:before="40"/>
              <w:jc w:val="both"/>
              <w:rPr>
                <w:rFonts w:cs="Arial"/>
                <w:color w:val="000000"/>
                <w:sz w:val="18"/>
                <w:szCs w:val="18"/>
              </w:rPr>
            </w:pPr>
            <w:r>
              <w:rPr>
                <w:rFonts w:cs="Arial"/>
                <w:color w:val="000000"/>
                <w:sz w:val="18"/>
                <w:szCs w:val="18"/>
              </w:rPr>
              <w:t>Občanství ČR</w:t>
            </w:r>
          </w:p>
        </w:tc>
        <w:tc>
          <w:tcPr>
            <w:tcW w:w="435"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7 761</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9 219</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11 543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12 894</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14 663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14 712</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14 057</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13 308</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12 309</w:t>
            </w:r>
          </w:p>
        </w:tc>
        <w:tc>
          <w:tcPr>
            <w:tcW w:w="391"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11 136</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jc w:val="both"/>
              <w:rPr>
                <w:rFonts w:cs="Arial"/>
                <w:color w:val="000000"/>
                <w:sz w:val="18"/>
                <w:szCs w:val="18"/>
              </w:rPr>
            </w:pPr>
            <w:r>
              <w:rPr>
                <w:rFonts w:cs="Arial"/>
                <w:color w:val="000000"/>
                <w:sz w:val="18"/>
                <w:szCs w:val="18"/>
              </w:rPr>
              <w:t>C</w:t>
            </w:r>
            <w:r w:rsidRPr="0081438D">
              <w:rPr>
                <w:rFonts w:cs="Arial"/>
                <w:color w:val="000000"/>
                <w:sz w:val="18"/>
                <w:szCs w:val="18"/>
              </w:rPr>
              <w:t>izinci</w:t>
            </w:r>
          </w:p>
        </w:tc>
        <w:tc>
          <w:tcPr>
            <w:tcW w:w="435"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898</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1 150</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1 690</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2 142</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2 877</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3 193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3 533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3 829</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3 973</w:t>
            </w:r>
          </w:p>
        </w:tc>
        <w:tc>
          <w:tcPr>
            <w:tcW w:w="391"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3 965</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spacing w:before="40"/>
              <w:jc w:val="both"/>
              <w:rPr>
                <w:rFonts w:cs="Arial"/>
                <w:color w:val="000000"/>
                <w:sz w:val="18"/>
                <w:szCs w:val="18"/>
              </w:rPr>
            </w:pPr>
            <w:r>
              <w:rPr>
                <w:rFonts w:cs="Arial"/>
                <w:color w:val="000000"/>
                <w:sz w:val="18"/>
                <w:szCs w:val="18"/>
              </w:rPr>
              <w:t>P</w:t>
            </w:r>
            <w:r w:rsidRPr="0081438D">
              <w:rPr>
                <w:rFonts w:cs="Arial"/>
                <w:color w:val="000000"/>
                <w:sz w:val="18"/>
                <w:szCs w:val="18"/>
              </w:rPr>
              <w:t>odíl ČR studentů z celku</w:t>
            </w:r>
          </w:p>
        </w:tc>
        <w:tc>
          <w:tcPr>
            <w:tcW w:w="435" w:type="pct"/>
            <w:tcBorders>
              <w:top w:val="nil"/>
              <w:bottom w:val="nil"/>
            </w:tcBorders>
            <w:shd w:val="clear" w:color="000000"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89,6</w:t>
            </w:r>
            <w:r>
              <w:rPr>
                <w:rFonts w:cs="Arial"/>
                <w:color w:val="000000"/>
                <w:sz w:val="18"/>
                <w:szCs w:val="18"/>
              </w:rPr>
              <w:t>%</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88,9</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87,2</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85,8</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83,6</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82,2</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79,9</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77,7</w:t>
            </w:r>
            <w:r>
              <w:rPr>
                <w:rFonts w:cs="Arial"/>
                <w:color w:val="000000"/>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75,6</w:t>
            </w:r>
            <w:r>
              <w:rPr>
                <w:rFonts w:cs="Arial"/>
                <w:color w:val="000000"/>
                <w:sz w:val="18"/>
                <w:szCs w:val="18"/>
              </w:rPr>
              <w:t>%</w:t>
            </w:r>
          </w:p>
        </w:tc>
        <w:tc>
          <w:tcPr>
            <w:tcW w:w="391" w:type="pct"/>
            <w:tcBorders>
              <w:top w:val="nil"/>
              <w:bottom w:val="nil"/>
            </w:tcBorders>
            <w:shd w:val="clear" w:color="000000"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73,7</w:t>
            </w:r>
            <w:r>
              <w:rPr>
                <w:rFonts w:cs="Arial"/>
                <w:color w:val="000000"/>
                <w:sz w:val="18"/>
                <w:szCs w:val="18"/>
              </w:rPr>
              <w:t>%</w:t>
            </w:r>
          </w:p>
        </w:tc>
      </w:tr>
      <w:tr w:rsidR="002C2EDE" w:rsidRPr="0081438D" w:rsidTr="00FE79B5">
        <w:trPr>
          <w:trHeight w:val="300"/>
        </w:trPr>
        <w:tc>
          <w:tcPr>
            <w:tcW w:w="906" w:type="pct"/>
            <w:tcBorders>
              <w:top w:val="nil"/>
              <w:bottom w:val="single" w:sz="12" w:space="0" w:color="auto"/>
            </w:tcBorders>
            <w:shd w:val="clear" w:color="auto" w:fill="auto"/>
            <w:noWrap/>
            <w:vAlign w:val="center"/>
            <w:hideMark/>
          </w:tcPr>
          <w:p w:rsidR="002C2EDE" w:rsidRPr="0081438D" w:rsidRDefault="002C2EDE" w:rsidP="00FE79B5">
            <w:pPr>
              <w:jc w:val="both"/>
              <w:rPr>
                <w:rFonts w:cs="Arial"/>
                <w:color w:val="000000"/>
                <w:sz w:val="18"/>
                <w:szCs w:val="18"/>
              </w:rPr>
            </w:pPr>
            <w:r>
              <w:rPr>
                <w:rFonts w:cs="Arial"/>
                <w:color w:val="000000"/>
                <w:sz w:val="18"/>
                <w:szCs w:val="18"/>
              </w:rPr>
              <w:t>P</w:t>
            </w:r>
            <w:r w:rsidRPr="0081438D">
              <w:rPr>
                <w:rFonts w:cs="Arial"/>
                <w:color w:val="000000"/>
                <w:sz w:val="18"/>
                <w:szCs w:val="18"/>
              </w:rPr>
              <w:t>odíl cizinců z celku</w:t>
            </w:r>
          </w:p>
        </w:tc>
        <w:tc>
          <w:tcPr>
            <w:tcW w:w="435"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10,4</w:t>
            </w:r>
            <w:r>
              <w:rPr>
                <w:rFonts w:cs="Arial"/>
                <w:color w:val="000000"/>
                <w:sz w:val="18"/>
                <w:szCs w:val="18"/>
              </w:rPr>
              <w:t>%</w:t>
            </w:r>
          </w:p>
        </w:tc>
        <w:tc>
          <w:tcPr>
            <w:tcW w:w="524"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11,1</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12,8</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14,2</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16,4</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17,8</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20,1</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22,3</w:t>
            </w:r>
            <w:r>
              <w:rPr>
                <w:rFonts w:cs="Arial"/>
                <w:color w:val="000000"/>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24,4</w:t>
            </w:r>
            <w:r>
              <w:rPr>
                <w:rFonts w:cs="Arial"/>
                <w:color w:val="000000"/>
                <w:sz w:val="18"/>
                <w:szCs w:val="18"/>
              </w:rPr>
              <w:t>%</w:t>
            </w:r>
          </w:p>
        </w:tc>
        <w:tc>
          <w:tcPr>
            <w:tcW w:w="391"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26,3</w:t>
            </w:r>
            <w:r>
              <w:rPr>
                <w:rFonts w:cs="Arial"/>
                <w:color w:val="000000"/>
                <w:sz w:val="18"/>
                <w:szCs w:val="18"/>
              </w:rPr>
              <w:t>%</w:t>
            </w:r>
          </w:p>
        </w:tc>
      </w:tr>
      <w:tr w:rsidR="002C2EDE" w:rsidRPr="0081438D" w:rsidTr="00FE79B5">
        <w:trPr>
          <w:trHeight w:val="300"/>
        </w:trPr>
        <w:tc>
          <w:tcPr>
            <w:tcW w:w="906" w:type="pct"/>
            <w:tcBorders>
              <w:top w:val="single" w:sz="12" w:space="0" w:color="auto"/>
              <w:bottom w:val="single" w:sz="4" w:space="0" w:color="auto"/>
            </w:tcBorders>
            <w:shd w:val="clear" w:color="auto" w:fill="auto"/>
            <w:noWrap/>
            <w:vAlign w:val="center"/>
            <w:hideMark/>
          </w:tcPr>
          <w:p w:rsidR="002C2EDE" w:rsidRPr="0081438D" w:rsidRDefault="002C2EDE" w:rsidP="00FE79B5">
            <w:pPr>
              <w:spacing w:line="240" w:lineRule="auto"/>
              <w:jc w:val="both"/>
              <w:rPr>
                <w:rFonts w:cs="Arial"/>
                <w:color w:val="000000"/>
                <w:sz w:val="18"/>
                <w:szCs w:val="18"/>
              </w:rPr>
            </w:pPr>
          </w:p>
        </w:tc>
        <w:tc>
          <w:tcPr>
            <w:tcW w:w="4094" w:type="pct"/>
            <w:gridSpan w:val="10"/>
            <w:tcBorders>
              <w:top w:val="single" w:sz="12" w:space="0" w:color="auto"/>
              <w:bottom w:val="single" w:sz="4" w:space="0" w:color="auto"/>
            </w:tcBorders>
            <w:shd w:val="clear" w:color="auto" w:fill="auto"/>
            <w:noWrap/>
            <w:vAlign w:val="center"/>
            <w:hideMark/>
          </w:tcPr>
          <w:p w:rsidR="002C2EDE" w:rsidRPr="0081438D" w:rsidRDefault="002C2EDE" w:rsidP="00FE79B5">
            <w:pPr>
              <w:spacing w:line="240" w:lineRule="auto"/>
              <w:jc w:val="center"/>
              <w:rPr>
                <w:rFonts w:cs="Arial"/>
                <w:b/>
                <w:bCs/>
                <w:sz w:val="18"/>
                <w:szCs w:val="18"/>
              </w:rPr>
            </w:pPr>
            <w:r w:rsidRPr="0081438D">
              <w:rPr>
                <w:rFonts w:cs="Arial"/>
                <w:b/>
                <w:bCs/>
                <w:sz w:val="18"/>
                <w:szCs w:val="18"/>
              </w:rPr>
              <w:t>distanční a kombinovaná forma studia na soukromých VŠ</w:t>
            </w:r>
          </w:p>
        </w:tc>
      </w:tr>
      <w:tr w:rsidR="002C2EDE" w:rsidRPr="0081438D" w:rsidTr="00FE79B5">
        <w:trPr>
          <w:trHeight w:val="300"/>
        </w:trPr>
        <w:tc>
          <w:tcPr>
            <w:tcW w:w="906" w:type="pct"/>
            <w:tcBorders>
              <w:top w:val="single" w:sz="4" w:space="0" w:color="auto"/>
              <w:bottom w:val="nil"/>
            </w:tcBorders>
            <w:shd w:val="clear" w:color="auto" w:fill="auto"/>
            <w:noWrap/>
            <w:vAlign w:val="center"/>
            <w:hideMark/>
          </w:tcPr>
          <w:p w:rsidR="002C2EDE" w:rsidRPr="0081438D" w:rsidRDefault="002C2EDE" w:rsidP="00FE79B5">
            <w:pPr>
              <w:jc w:val="both"/>
              <w:rPr>
                <w:rFonts w:cs="Arial"/>
                <w:color w:val="000000"/>
                <w:sz w:val="18"/>
                <w:szCs w:val="18"/>
              </w:rPr>
            </w:pPr>
            <w:r>
              <w:rPr>
                <w:rFonts w:cs="Arial"/>
                <w:color w:val="000000"/>
                <w:sz w:val="18"/>
                <w:szCs w:val="18"/>
              </w:rPr>
              <w:t>C</w:t>
            </w:r>
            <w:r w:rsidRPr="0081438D">
              <w:rPr>
                <w:rFonts w:cs="Arial"/>
                <w:color w:val="000000"/>
                <w:sz w:val="18"/>
                <w:szCs w:val="18"/>
              </w:rPr>
              <w:t>elkem</w:t>
            </w:r>
          </w:p>
        </w:tc>
        <w:tc>
          <w:tcPr>
            <w:tcW w:w="435"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12 676</w:t>
            </w:r>
          </w:p>
        </w:tc>
        <w:tc>
          <w:tcPr>
            <w:tcW w:w="524"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15 985</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20 469</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24 917</w:t>
            </w:r>
          </w:p>
        </w:tc>
        <w:tc>
          <w:tcPr>
            <w:tcW w:w="392" w:type="pct"/>
            <w:tcBorders>
              <w:top w:val="single" w:sz="4" w:space="0" w:color="auto"/>
              <w:bottom w:val="nil"/>
            </w:tcBorders>
            <w:shd w:val="clear" w:color="000000"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27 075</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25 956</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22 901</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18 595</w:t>
            </w:r>
          </w:p>
        </w:tc>
        <w:tc>
          <w:tcPr>
            <w:tcW w:w="392"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15 214</w:t>
            </w:r>
          </w:p>
        </w:tc>
        <w:tc>
          <w:tcPr>
            <w:tcW w:w="391" w:type="pct"/>
            <w:tcBorders>
              <w:top w:val="single" w:sz="4" w:space="0" w:color="auto"/>
              <w:bottom w:val="nil"/>
            </w:tcBorders>
            <w:shd w:val="clear" w:color="auto" w:fill="auto"/>
            <w:noWrap/>
            <w:vAlign w:val="center"/>
            <w:hideMark/>
          </w:tcPr>
          <w:p w:rsidR="002C2EDE" w:rsidRPr="0081438D" w:rsidRDefault="002C2EDE" w:rsidP="00FE79B5">
            <w:pPr>
              <w:jc w:val="center"/>
              <w:rPr>
                <w:rFonts w:cs="Arial"/>
                <w:b/>
                <w:bCs/>
                <w:sz w:val="18"/>
                <w:szCs w:val="18"/>
              </w:rPr>
            </w:pPr>
            <w:r w:rsidRPr="0081438D">
              <w:rPr>
                <w:rFonts w:cs="Arial"/>
                <w:b/>
                <w:bCs/>
                <w:sz w:val="18"/>
                <w:szCs w:val="18"/>
              </w:rPr>
              <w:t>13 047</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spacing w:before="40"/>
              <w:jc w:val="both"/>
              <w:rPr>
                <w:rFonts w:cs="Arial"/>
                <w:color w:val="000000"/>
                <w:sz w:val="18"/>
                <w:szCs w:val="18"/>
              </w:rPr>
            </w:pPr>
            <w:r>
              <w:rPr>
                <w:rFonts w:cs="Arial"/>
                <w:color w:val="000000"/>
                <w:sz w:val="18"/>
                <w:szCs w:val="18"/>
              </w:rPr>
              <w:t>Občanství ČR</w:t>
            </w:r>
          </w:p>
        </w:tc>
        <w:tc>
          <w:tcPr>
            <w:tcW w:w="435"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10 195</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13 200</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17 584</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21 611</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23 171</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22 013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19 432</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16 018</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13 465</w:t>
            </w:r>
          </w:p>
        </w:tc>
        <w:tc>
          <w:tcPr>
            <w:tcW w:w="391"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11 779</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spacing w:before="40"/>
              <w:jc w:val="both"/>
              <w:rPr>
                <w:rFonts w:cs="Arial"/>
                <w:color w:val="000000"/>
                <w:sz w:val="18"/>
                <w:szCs w:val="18"/>
              </w:rPr>
            </w:pPr>
            <w:r>
              <w:rPr>
                <w:rFonts w:cs="Arial"/>
                <w:color w:val="000000"/>
                <w:sz w:val="18"/>
                <w:szCs w:val="18"/>
              </w:rPr>
              <w:t>C</w:t>
            </w:r>
            <w:r w:rsidRPr="0081438D">
              <w:rPr>
                <w:rFonts w:cs="Arial"/>
                <w:color w:val="000000"/>
                <w:sz w:val="18"/>
                <w:szCs w:val="18"/>
              </w:rPr>
              <w:t>izinci</w:t>
            </w:r>
          </w:p>
        </w:tc>
        <w:tc>
          <w:tcPr>
            <w:tcW w:w="435"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2 481</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2 785</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2 885</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3 307</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3 904</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3 9</w:t>
            </w:r>
            <w:r>
              <w:rPr>
                <w:rFonts w:cs="Arial"/>
                <w:color w:val="000000"/>
                <w:sz w:val="18"/>
                <w:szCs w:val="18"/>
              </w:rPr>
              <w:t xml:space="preserve"> </w:t>
            </w:r>
            <w:r w:rsidRPr="0081438D">
              <w:rPr>
                <w:rFonts w:cs="Arial"/>
                <w:color w:val="000000"/>
                <w:sz w:val="18"/>
                <w:szCs w:val="18"/>
              </w:rPr>
              <w:t>43</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3 470</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2 577</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1 749</w:t>
            </w:r>
          </w:p>
        </w:tc>
        <w:tc>
          <w:tcPr>
            <w:tcW w:w="391" w:type="pct"/>
            <w:tcBorders>
              <w:top w:val="nil"/>
              <w:bottom w:val="nil"/>
            </w:tcBorders>
            <w:shd w:val="clear" w:color="auto" w:fill="auto"/>
            <w:noWrap/>
            <w:vAlign w:val="center"/>
            <w:hideMark/>
          </w:tcPr>
          <w:p w:rsidR="002C2EDE" w:rsidRPr="0081438D" w:rsidRDefault="002C2EDE" w:rsidP="00FE79B5">
            <w:pPr>
              <w:jc w:val="center"/>
              <w:rPr>
                <w:rFonts w:cs="Arial"/>
                <w:color w:val="000000"/>
                <w:sz w:val="18"/>
                <w:szCs w:val="18"/>
              </w:rPr>
            </w:pPr>
            <w:r w:rsidRPr="0081438D">
              <w:rPr>
                <w:rFonts w:cs="Arial"/>
                <w:color w:val="000000"/>
                <w:sz w:val="18"/>
                <w:szCs w:val="18"/>
              </w:rPr>
              <w:t>1 269</w:t>
            </w:r>
          </w:p>
        </w:tc>
      </w:tr>
      <w:tr w:rsidR="002C2EDE" w:rsidRPr="0081438D" w:rsidTr="00FE79B5">
        <w:trPr>
          <w:trHeight w:val="300"/>
        </w:trPr>
        <w:tc>
          <w:tcPr>
            <w:tcW w:w="906" w:type="pct"/>
            <w:tcBorders>
              <w:top w:val="nil"/>
              <w:bottom w:val="nil"/>
            </w:tcBorders>
            <w:shd w:val="clear" w:color="auto" w:fill="auto"/>
            <w:noWrap/>
            <w:vAlign w:val="center"/>
            <w:hideMark/>
          </w:tcPr>
          <w:p w:rsidR="002C2EDE" w:rsidRPr="0081438D" w:rsidRDefault="002C2EDE" w:rsidP="00FE79B5">
            <w:pPr>
              <w:spacing w:before="40"/>
              <w:jc w:val="both"/>
              <w:rPr>
                <w:rFonts w:cs="Arial"/>
                <w:color w:val="000000"/>
                <w:sz w:val="18"/>
                <w:szCs w:val="18"/>
              </w:rPr>
            </w:pPr>
            <w:r>
              <w:rPr>
                <w:rFonts w:cs="Arial"/>
                <w:color w:val="000000"/>
                <w:sz w:val="18"/>
                <w:szCs w:val="18"/>
              </w:rPr>
              <w:t>P</w:t>
            </w:r>
            <w:r w:rsidRPr="0081438D">
              <w:rPr>
                <w:rFonts w:cs="Arial"/>
                <w:color w:val="000000"/>
                <w:sz w:val="18"/>
                <w:szCs w:val="18"/>
              </w:rPr>
              <w:t>odíl ČR studentů z celku</w:t>
            </w:r>
          </w:p>
        </w:tc>
        <w:tc>
          <w:tcPr>
            <w:tcW w:w="435"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80,4</w:t>
            </w:r>
            <w:r>
              <w:rPr>
                <w:rFonts w:cs="Arial"/>
                <w:sz w:val="18"/>
                <w:szCs w:val="18"/>
              </w:rPr>
              <w:t>%</w:t>
            </w:r>
          </w:p>
        </w:tc>
        <w:tc>
          <w:tcPr>
            <w:tcW w:w="524"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82,6</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85,9</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86,7</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85,6</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84,8</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84,9</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86,1</w:t>
            </w:r>
            <w:r>
              <w:rPr>
                <w:rFonts w:cs="Arial"/>
                <w:sz w:val="18"/>
                <w:szCs w:val="18"/>
              </w:rPr>
              <w:t>%</w:t>
            </w:r>
          </w:p>
        </w:tc>
        <w:tc>
          <w:tcPr>
            <w:tcW w:w="392"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88,5</w:t>
            </w:r>
            <w:r>
              <w:rPr>
                <w:rFonts w:cs="Arial"/>
                <w:sz w:val="18"/>
                <w:szCs w:val="18"/>
              </w:rPr>
              <w:t>%</w:t>
            </w:r>
          </w:p>
        </w:tc>
        <w:tc>
          <w:tcPr>
            <w:tcW w:w="391" w:type="pct"/>
            <w:tcBorders>
              <w:top w:val="nil"/>
              <w:bottom w:val="nil"/>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90,3</w:t>
            </w:r>
            <w:r>
              <w:rPr>
                <w:rFonts w:cs="Arial"/>
                <w:sz w:val="18"/>
                <w:szCs w:val="18"/>
              </w:rPr>
              <w:t>%</w:t>
            </w:r>
          </w:p>
        </w:tc>
      </w:tr>
      <w:tr w:rsidR="002C2EDE" w:rsidRPr="0081438D" w:rsidTr="00FE79B5">
        <w:trPr>
          <w:trHeight w:val="315"/>
        </w:trPr>
        <w:tc>
          <w:tcPr>
            <w:tcW w:w="906" w:type="pct"/>
            <w:tcBorders>
              <w:top w:val="nil"/>
              <w:bottom w:val="single" w:sz="12" w:space="0" w:color="auto"/>
            </w:tcBorders>
            <w:shd w:val="clear" w:color="auto" w:fill="auto"/>
            <w:noWrap/>
            <w:vAlign w:val="center"/>
            <w:hideMark/>
          </w:tcPr>
          <w:p w:rsidR="002C2EDE" w:rsidRPr="0081438D" w:rsidRDefault="002C2EDE" w:rsidP="00FE79B5">
            <w:pPr>
              <w:jc w:val="both"/>
              <w:rPr>
                <w:rFonts w:cs="Arial"/>
                <w:color w:val="000000"/>
                <w:sz w:val="18"/>
                <w:szCs w:val="18"/>
              </w:rPr>
            </w:pPr>
            <w:r>
              <w:rPr>
                <w:rFonts w:cs="Arial"/>
                <w:color w:val="000000"/>
                <w:sz w:val="18"/>
                <w:szCs w:val="18"/>
              </w:rPr>
              <w:t>P</w:t>
            </w:r>
            <w:r w:rsidRPr="0081438D">
              <w:rPr>
                <w:rFonts w:cs="Arial"/>
                <w:color w:val="000000"/>
                <w:sz w:val="18"/>
                <w:szCs w:val="18"/>
              </w:rPr>
              <w:t>odíl cizinců z celku</w:t>
            </w:r>
          </w:p>
        </w:tc>
        <w:tc>
          <w:tcPr>
            <w:tcW w:w="435"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19,6</w:t>
            </w:r>
            <w:r>
              <w:rPr>
                <w:rFonts w:cs="Arial"/>
                <w:sz w:val="18"/>
                <w:szCs w:val="18"/>
              </w:rPr>
              <w:t>%</w:t>
            </w:r>
          </w:p>
        </w:tc>
        <w:tc>
          <w:tcPr>
            <w:tcW w:w="524"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17,4</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14,1</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13,3</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14,4</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15,2</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15,2</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13,9</w:t>
            </w:r>
            <w:r>
              <w:rPr>
                <w:rFonts w:cs="Arial"/>
                <w:sz w:val="18"/>
                <w:szCs w:val="18"/>
              </w:rPr>
              <w:t>%</w:t>
            </w:r>
          </w:p>
        </w:tc>
        <w:tc>
          <w:tcPr>
            <w:tcW w:w="392"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11,5</w:t>
            </w:r>
            <w:r>
              <w:rPr>
                <w:rFonts w:cs="Arial"/>
                <w:sz w:val="18"/>
                <w:szCs w:val="18"/>
              </w:rPr>
              <w:t>%</w:t>
            </w:r>
          </w:p>
        </w:tc>
        <w:tc>
          <w:tcPr>
            <w:tcW w:w="391" w:type="pct"/>
            <w:tcBorders>
              <w:top w:val="nil"/>
              <w:bottom w:val="single" w:sz="12" w:space="0" w:color="auto"/>
            </w:tcBorders>
            <w:shd w:val="clear" w:color="auto" w:fill="auto"/>
            <w:noWrap/>
            <w:vAlign w:val="center"/>
            <w:hideMark/>
          </w:tcPr>
          <w:p w:rsidR="002C2EDE" w:rsidRPr="0081438D" w:rsidRDefault="002C2EDE" w:rsidP="00FE79B5">
            <w:pPr>
              <w:jc w:val="center"/>
              <w:rPr>
                <w:rFonts w:cs="Arial"/>
                <w:sz w:val="18"/>
                <w:szCs w:val="18"/>
              </w:rPr>
            </w:pPr>
            <w:r w:rsidRPr="0081438D">
              <w:rPr>
                <w:rFonts w:cs="Arial"/>
                <w:sz w:val="18"/>
                <w:szCs w:val="18"/>
              </w:rPr>
              <w:t>9,7</w:t>
            </w:r>
            <w:r>
              <w:rPr>
                <w:rFonts w:cs="Arial"/>
                <w:sz w:val="18"/>
                <w:szCs w:val="18"/>
              </w:rPr>
              <w:t>%</w:t>
            </w:r>
          </w:p>
        </w:tc>
      </w:tr>
    </w:tbl>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6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Pr="00E74085" w:rsidRDefault="002C2EDE" w:rsidP="002C2EDE">
      <w:pPr>
        <w:pStyle w:val="Nadpis3"/>
      </w:pPr>
      <w:bookmarkStart w:id="25" w:name="_Toc431985666"/>
      <w:bookmarkStart w:id="26" w:name="_Toc431994695"/>
      <w:bookmarkStart w:id="27" w:name="_Toc432579595"/>
      <w:r w:rsidRPr="00E74085">
        <w:t>Magisterské a magisterské navazující studijní programy na veřejných VŠ</w:t>
      </w:r>
      <w:bookmarkEnd w:id="25"/>
      <w:bookmarkEnd w:id="26"/>
      <w:bookmarkEnd w:id="27"/>
    </w:p>
    <w:p w:rsidR="002C2EDE" w:rsidRPr="00DB49BB" w:rsidRDefault="002C2EDE" w:rsidP="002C2EDE">
      <w:pPr>
        <w:spacing w:after="60"/>
        <w:jc w:val="both"/>
        <w:rPr>
          <w:rFonts w:cs="Arial"/>
          <w:b/>
          <w:sz w:val="22"/>
          <w:szCs w:val="22"/>
        </w:rPr>
      </w:pPr>
      <w:r w:rsidRPr="00DB49BB">
        <w:rPr>
          <w:rFonts w:cs="Arial"/>
          <w:b/>
          <w:sz w:val="22"/>
          <w:szCs w:val="22"/>
        </w:rPr>
        <w:t>Prezenční forma studia</w:t>
      </w:r>
    </w:p>
    <w:p w:rsidR="002C2EDE" w:rsidRDefault="002C2EDE" w:rsidP="002C2EDE">
      <w:pPr>
        <w:spacing w:line="312" w:lineRule="auto"/>
        <w:jc w:val="both"/>
        <w:rPr>
          <w:rFonts w:cs="Arial"/>
          <w:szCs w:val="20"/>
        </w:rPr>
      </w:pPr>
      <w:r>
        <w:rPr>
          <w:rFonts w:cs="Arial"/>
          <w:szCs w:val="20"/>
        </w:rPr>
        <w:t>Vliv Boloňského procesu se projevil nejen v bakalářských studijních programech, ale silně ovlivnil i </w:t>
      </w:r>
      <w:r w:rsidRPr="00FA5B72">
        <w:rPr>
          <w:rFonts w:cs="Arial"/>
          <w:b/>
          <w:szCs w:val="20"/>
        </w:rPr>
        <w:t>programy magisterské.</w:t>
      </w:r>
      <w:r>
        <w:rPr>
          <w:rFonts w:cs="Arial"/>
          <w:szCs w:val="20"/>
        </w:rPr>
        <w:t xml:space="preserve"> Od roku 2005 do roku 2009 klesl počet studentů dlouhých magisterských studijních programů veřejných vysokých škol, realizovaných prezenční formou o polovinu a v dalších letech dále klesal, i když již pomaleji. Od roku 2010 se na počtu studentů magisterských programů veřejných VŠ projevuje i vliv slabších populačních ročníků. V roce 2014 studovalo tyto magisterské programy 30,6 tisíc studentů, z toho 23,7 tisíc tvořili studenti české</w:t>
      </w:r>
      <w:r w:rsidRPr="00163895">
        <w:rPr>
          <w:rFonts w:cs="Arial"/>
          <w:color w:val="000000"/>
          <w:sz w:val="18"/>
          <w:szCs w:val="18"/>
        </w:rPr>
        <w:t xml:space="preserve"> </w:t>
      </w:r>
      <w:r>
        <w:rPr>
          <w:rFonts w:cs="Arial"/>
          <w:color w:val="000000"/>
          <w:sz w:val="18"/>
          <w:szCs w:val="18"/>
        </w:rPr>
        <w:t>státní příslušnosti</w:t>
      </w:r>
      <w:r>
        <w:rPr>
          <w:rFonts w:cs="Arial"/>
          <w:szCs w:val="20"/>
        </w:rPr>
        <w:t xml:space="preserve">. Zároveň se v posledních 10 letech na veřejných VŠ dále zvyšovalo zastoupení žen v řadách studentů vysokoškolského (magisterského) studia. V roce 2005 tvořily ženy 57,5 % celkového počtu studentů magisterských studijních programů veřejných VŠ v prezenční formě, v roce 2009 to bylo dokonce 65,6 %. V posledních pěti letech tento podíl zůstává stále vysoký a pohybuje se okolo 64,3 %. </w:t>
      </w:r>
    </w:p>
    <w:p w:rsidR="002C2EDE" w:rsidRDefault="002C2EDE" w:rsidP="002C2EDE">
      <w:pPr>
        <w:spacing w:line="312" w:lineRule="auto"/>
        <w:jc w:val="both"/>
        <w:rPr>
          <w:rFonts w:cs="Arial"/>
          <w:szCs w:val="20"/>
        </w:rPr>
      </w:pPr>
      <w:r>
        <w:rPr>
          <w:rFonts w:cs="Arial"/>
          <w:szCs w:val="20"/>
        </w:rPr>
        <w:lastRenderedPageBreak/>
        <w:t>Výrazný vývoj a změny dále vidíme na vývoji studentů těchto oborů z pohledu státní příslušnosti. Zatímco v roce 2005 tvořili čeští studenti 91,6 % těchto studentů, v roce 2010 byl tento podíl již jen 83,2 % a dále se snižoval</w:t>
      </w:r>
      <w:r w:rsidRPr="00FA5B72">
        <w:rPr>
          <w:rFonts w:cs="Arial"/>
          <w:szCs w:val="20"/>
        </w:rPr>
        <w:t>. V roce 2014 se studenti české</w:t>
      </w:r>
      <w:r w:rsidRPr="00163895">
        <w:rPr>
          <w:rFonts w:cs="Arial"/>
          <w:color w:val="000000"/>
          <w:sz w:val="18"/>
          <w:szCs w:val="18"/>
        </w:rPr>
        <w:t xml:space="preserve"> </w:t>
      </w:r>
      <w:r>
        <w:rPr>
          <w:rFonts w:cs="Arial"/>
          <w:color w:val="000000"/>
          <w:sz w:val="18"/>
          <w:szCs w:val="18"/>
        </w:rPr>
        <w:t>státní příslušnosti</w:t>
      </w:r>
      <w:r w:rsidRPr="00FA5B72">
        <w:rPr>
          <w:rFonts w:cs="Arial"/>
          <w:szCs w:val="20"/>
        </w:rPr>
        <w:t xml:space="preserve"> </w:t>
      </w:r>
      <w:r>
        <w:rPr>
          <w:rFonts w:cs="Arial"/>
          <w:szCs w:val="20"/>
        </w:rPr>
        <w:t>p</w:t>
      </w:r>
      <w:r w:rsidRPr="00FA5B72">
        <w:rPr>
          <w:rFonts w:cs="Arial"/>
          <w:szCs w:val="20"/>
        </w:rPr>
        <w:t xml:space="preserve">odíleli na </w:t>
      </w:r>
      <w:r>
        <w:rPr>
          <w:rFonts w:cs="Arial"/>
          <w:szCs w:val="20"/>
        </w:rPr>
        <w:t>celkovém</w:t>
      </w:r>
      <w:r w:rsidRPr="00FA5B72">
        <w:rPr>
          <w:rFonts w:cs="Arial"/>
          <w:szCs w:val="20"/>
        </w:rPr>
        <w:t xml:space="preserve"> </w:t>
      </w:r>
      <w:r>
        <w:rPr>
          <w:rFonts w:cs="Arial"/>
          <w:szCs w:val="20"/>
        </w:rPr>
        <w:t>počtu</w:t>
      </w:r>
      <w:r w:rsidRPr="00FA5B72">
        <w:rPr>
          <w:rFonts w:cs="Arial"/>
          <w:szCs w:val="20"/>
        </w:rPr>
        <w:t xml:space="preserve"> studentů</w:t>
      </w:r>
      <w:r>
        <w:rPr>
          <w:rFonts w:cs="Arial"/>
          <w:szCs w:val="20"/>
        </w:rPr>
        <w:t xml:space="preserve"> magisterských studijních programů</w:t>
      </w:r>
      <w:r w:rsidRPr="00FA5B72">
        <w:rPr>
          <w:rFonts w:cs="Arial"/>
          <w:szCs w:val="20"/>
        </w:rPr>
        <w:t xml:space="preserve"> na veřejných VŠ v prezenční formě</w:t>
      </w:r>
      <w:r>
        <w:rPr>
          <w:rFonts w:cs="Arial"/>
          <w:szCs w:val="20"/>
        </w:rPr>
        <w:t xml:space="preserve"> </w:t>
      </w:r>
      <w:r w:rsidRPr="00FA5B72">
        <w:rPr>
          <w:rFonts w:cs="Arial"/>
          <w:szCs w:val="20"/>
        </w:rPr>
        <w:t>77,3 %.</w:t>
      </w:r>
    </w:p>
    <w:p w:rsidR="002C2EDE" w:rsidRPr="00FA5B72" w:rsidRDefault="002C2EDE" w:rsidP="002C2EDE">
      <w:pPr>
        <w:spacing w:line="240" w:lineRule="auto"/>
        <w:jc w:val="both"/>
        <w:rPr>
          <w:rFonts w:cs="Arial"/>
          <w:szCs w:val="20"/>
        </w:rPr>
      </w:pPr>
    </w:p>
    <w:p w:rsidR="002C2EDE" w:rsidRDefault="002C2EDE" w:rsidP="002C2EDE">
      <w:pPr>
        <w:spacing w:line="312" w:lineRule="auto"/>
        <w:jc w:val="both"/>
        <w:rPr>
          <w:rFonts w:cs="Arial"/>
          <w:szCs w:val="20"/>
        </w:rPr>
      </w:pPr>
      <w:r>
        <w:rPr>
          <w:rFonts w:cs="Arial"/>
          <w:szCs w:val="20"/>
        </w:rPr>
        <w:t xml:space="preserve">Opačný vliv Boloňského procesu lze v posledních 10 letech sledovat ve vývoji počtu studentů </w:t>
      </w:r>
      <w:r>
        <w:rPr>
          <w:rFonts w:cs="Arial"/>
          <w:b/>
          <w:szCs w:val="20"/>
        </w:rPr>
        <w:t>navazujících magisterských studijních programů</w:t>
      </w:r>
      <w:r>
        <w:rPr>
          <w:rFonts w:cs="Arial"/>
          <w:szCs w:val="20"/>
        </w:rPr>
        <w:t>. V roce 2005 studovalo navazující magisterské studium necelých 16 tisíc studentů, v roce 2010 to bylo 56,2 tisíce a v roce 2014 již 59 tisíc studentů. V posledních čtyřech letech však došlo k ustálení počtu studentů, který se pohyboval okolo 60 tisíc studentů. I v případě navazujícího magisterského studia z dat vyplývá vyšší zastoupení žen mezi studenty. Jejich podíl je sice nižší než u déle trvajících magisterských programů, ale přesto se pohybuje v posledních 4 letech okolo 56 % z celkových počtů studentů magisterských navazujících studijních programů v prezenční formě.</w:t>
      </w:r>
      <w:bookmarkStart w:id="28" w:name="_Toc431985667"/>
      <w:bookmarkStart w:id="29" w:name="_Toc431994696"/>
    </w:p>
    <w:p w:rsidR="002C2EDE" w:rsidRPr="0008756E" w:rsidRDefault="002C2EDE" w:rsidP="002C2EDE">
      <w:pPr>
        <w:pStyle w:val="Nadpis4"/>
        <w:spacing w:after="120"/>
        <w:rPr>
          <w:rFonts w:cs="Arial"/>
          <w:szCs w:val="20"/>
        </w:rPr>
      </w:pPr>
      <w:r>
        <w:rPr>
          <w:szCs w:val="20"/>
        </w:rPr>
        <w:t>Tab. 8</w:t>
      </w:r>
      <w:r w:rsidRPr="000414B3">
        <w:rPr>
          <w:szCs w:val="20"/>
        </w:rPr>
        <w:t xml:space="preserve">: </w:t>
      </w:r>
      <w:r>
        <w:t>Studenti veřejných VŠ v magisterských studijních programech - prezenční studium</w:t>
      </w:r>
      <w:bookmarkEnd w:id="28"/>
      <w:bookmarkEnd w:id="29"/>
    </w:p>
    <w:tbl>
      <w:tblPr>
        <w:tblW w:w="5000" w:type="pct"/>
        <w:tblCellMar>
          <w:left w:w="70" w:type="dxa"/>
          <w:right w:w="70" w:type="dxa"/>
        </w:tblCellMar>
        <w:tblLook w:val="04A0"/>
      </w:tblPr>
      <w:tblGrid>
        <w:gridCol w:w="1962"/>
        <w:gridCol w:w="725"/>
        <w:gridCol w:w="725"/>
        <w:gridCol w:w="726"/>
        <w:gridCol w:w="726"/>
        <w:gridCol w:w="726"/>
        <w:gridCol w:w="726"/>
        <w:gridCol w:w="726"/>
        <w:gridCol w:w="726"/>
        <w:gridCol w:w="726"/>
        <w:gridCol w:w="718"/>
      </w:tblGrid>
      <w:tr w:rsidR="002C2EDE" w:rsidRPr="00EA280E" w:rsidTr="00FE79B5">
        <w:trPr>
          <w:trHeight w:val="315"/>
        </w:trPr>
        <w:tc>
          <w:tcPr>
            <w:tcW w:w="994" w:type="pct"/>
            <w:tcBorders>
              <w:top w:val="single" w:sz="12" w:space="0" w:color="auto"/>
              <w:left w:val="single" w:sz="12" w:space="0" w:color="auto"/>
              <w:bottom w:val="single" w:sz="8" w:space="0" w:color="auto"/>
              <w:right w:val="nil"/>
            </w:tcBorders>
            <w:shd w:val="clear" w:color="auto" w:fill="F2DBDB" w:themeFill="accent2" w:themeFillTint="33"/>
            <w:noWrap/>
            <w:vAlign w:val="center"/>
            <w:hideMark/>
          </w:tcPr>
          <w:p w:rsidR="002C2EDE" w:rsidRPr="00EA280E" w:rsidRDefault="002C2EDE" w:rsidP="00FE79B5">
            <w:pPr>
              <w:jc w:val="center"/>
              <w:rPr>
                <w:rFonts w:cs="Arial"/>
                <w:color w:val="000000"/>
                <w:sz w:val="18"/>
                <w:szCs w:val="18"/>
              </w:rPr>
            </w:pPr>
          </w:p>
        </w:tc>
        <w:tc>
          <w:tcPr>
            <w:tcW w:w="401" w:type="pct"/>
            <w:tcBorders>
              <w:top w:val="single" w:sz="12" w:space="0" w:color="auto"/>
              <w:left w:val="single" w:sz="8" w:space="0" w:color="auto"/>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2005</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2006</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2007</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2008</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2009</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2010</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2011</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2012</w:t>
            </w:r>
          </w:p>
        </w:tc>
        <w:tc>
          <w:tcPr>
            <w:tcW w:w="401"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2013</w:t>
            </w:r>
          </w:p>
        </w:tc>
        <w:tc>
          <w:tcPr>
            <w:tcW w:w="398" w:type="pct"/>
            <w:tcBorders>
              <w:top w:val="single" w:sz="12" w:space="0" w:color="auto"/>
              <w:left w:val="nil"/>
              <w:bottom w:val="single" w:sz="8" w:space="0" w:color="auto"/>
              <w:right w:val="single" w:sz="12" w:space="0" w:color="auto"/>
            </w:tcBorders>
            <w:shd w:val="clear" w:color="auto" w:fill="F2DBDB" w:themeFill="accent2" w:themeFillTint="33"/>
            <w:noWrap/>
            <w:vAlign w:val="center"/>
            <w:hideMark/>
          </w:tcPr>
          <w:p w:rsidR="002C2EDE" w:rsidRPr="00EA280E" w:rsidRDefault="002C2EDE" w:rsidP="00FE79B5">
            <w:pPr>
              <w:spacing w:line="240" w:lineRule="auto"/>
              <w:jc w:val="center"/>
              <w:rPr>
                <w:rFonts w:cs="Arial"/>
                <w:b/>
                <w:bCs/>
                <w:sz w:val="18"/>
                <w:szCs w:val="18"/>
              </w:rPr>
            </w:pPr>
            <w:r w:rsidRPr="00EA280E">
              <w:rPr>
                <w:rFonts w:cs="Arial"/>
                <w:b/>
                <w:bCs/>
                <w:sz w:val="18"/>
                <w:szCs w:val="18"/>
              </w:rPr>
              <w:t>2014</w:t>
            </w:r>
          </w:p>
        </w:tc>
      </w:tr>
      <w:tr w:rsidR="002C2EDE" w:rsidRPr="00EA280E" w:rsidTr="00FE79B5">
        <w:trPr>
          <w:trHeight w:val="300"/>
        </w:trPr>
        <w:tc>
          <w:tcPr>
            <w:tcW w:w="5000" w:type="pct"/>
            <w:gridSpan w:val="11"/>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2C2EDE" w:rsidRPr="00A65F2F" w:rsidRDefault="002C2EDE" w:rsidP="00FE79B5">
            <w:pPr>
              <w:spacing w:line="240" w:lineRule="auto"/>
              <w:jc w:val="center"/>
              <w:rPr>
                <w:rFonts w:cs="Arial"/>
                <w:b/>
                <w:color w:val="000000"/>
                <w:sz w:val="18"/>
                <w:szCs w:val="18"/>
              </w:rPr>
            </w:pPr>
            <w:r>
              <w:rPr>
                <w:rFonts w:cs="Arial"/>
                <w:b/>
                <w:color w:val="000000"/>
                <w:sz w:val="18"/>
                <w:szCs w:val="18"/>
              </w:rPr>
              <w:t>magisterské studijní programy - prezenční forma studia</w:t>
            </w:r>
          </w:p>
        </w:tc>
      </w:tr>
      <w:tr w:rsidR="002C2EDE" w:rsidRPr="00EA280E" w:rsidTr="00FE79B5">
        <w:trPr>
          <w:trHeight w:val="300"/>
        </w:trPr>
        <w:tc>
          <w:tcPr>
            <w:tcW w:w="994" w:type="pct"/>
            <w:tcBorders>
              <w:top w:val="single" w:sz="8" w:space="0" w:color="auto"/>
              <w:left w:val="single" w:sz="12"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C</w:t>
            </w:r>
            <w:r w:rsidRPr="002E2B36">
              <w:rPr>
                <w:rFonts w:cs="Arial"/>
                <w:sz w:val="18"/>
                <w:szCs w:val="18"/>
              </w:rPr>
              <w:t>elkem</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86 209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73 309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60 041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49 198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42 886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38 075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35 258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32 455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31 490 </w:t>
            </w:r>
          </w:p>
        </w:tc>
        <w:tc>
          <w:tcPr>
            <w:tcW w:w="398" w:type="pct"/>
            <w:tcBorders>
              <w:top w:val="single" w:sz="8" w:space="0" w:color="auto"/>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30 666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Ž</w:t>
            </w:r>
            <w:r w:rsidRPr="002E2B36">
              <w:rPr>
                <w:rFonts w:cs="Arial"/>
                <w:sz w:val="18"/>
                <w:szCs w:val="18"/>
              </w:rPr>
              <w:t>eny</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49 611</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44 397</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37 796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32 247</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28 132</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24 817</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22 836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20 980</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20 284</w:t>
            </w:r>
          </w:p>
        </w:tc>
        <w:tc>
          <w:tcPr>
            <w:tcW w:w="398" w:type="pct"/>
            <w:tcBorders>
              <w:left w:val="single" w:sz="8" w:space="0" w:color="auto"/>
              <w:right w:val="single" w:sz="12"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19 695</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P</w:t>
            </w:r>
            <w:r w:rsidRPr="002E2B36">
              <w:rPr>
                <w:rFonts w:cs="Arial"/>
                <w:sz w:val="18"/>
                <w:szCs w:val="18"/>
              </w:rPr>
              <w:t>odíl žen</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57,5%</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60,6%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63,0%</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65,5%</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65,6%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65,2%</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64,8%</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64,6%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64,4%</w:t>
            </w:r>
          </w:p>
        </w:tc>
        <w:tc>
          <w:tcPr>
            <w:tcW w:w="398" w:type="pct"/>
            <w:tcBorders>
              <w:left w:val="single" w:sz="8" w:space="0" w:color="auto"/>
              <w:right w:val="single" w:sz="12"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64,2%</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Občanství ČR</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78 929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66 358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53 506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42 997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36 555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31 695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28 746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25 859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24 722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23 752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Ž</w:t>
            </w:r>
            <w:r w:rsidRPr="002E2B36">
              <w:rPr>
                <w:rFonts w:cs="Arial"/>
                <w:sz w:val="18"/>
                <w:szCs w:val="18"/>
              </w:rPr>
              <w:t>eny česká národnost</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45 594</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40 505</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34 107</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28 734</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24 539</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21 164</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19 116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17 142</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16 295</w:t>
            </w:r>
          </w:p>
        </w:tc>
        <w:tc>
          <w:tcPr>
            <w:tcW w:w="398" w:type="pct"/>
            <w:tcBorders>
              <w:left w:val="single" w:sz="8" w:space="0" w:color="auto"/>
              <w:right w:val="single" w:sz="12"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15 594</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P</w:t>
            </w:r>
            <w:r w:rsidRPr="002E2B36">
              <w:rPr>
                <w:rFonts w:cs="Arial"/>
                <w:sz w:val="18"/>
                <w:szCs w:val="18"/>
              </w:rPr>
              <w:t>odíl žen ČR</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57,8%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61,0%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63,7%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66,8%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67,1%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66,8%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66,5%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66,3%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65,9%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65,7%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C</w:t>
            </w:r>
            <w:r w:rsidRPr="002E2B36">
              <w:rPr>
                <w:rFonts w:cs="Arial"/>
                <w:sz w:val="18"/>
                <w:szCs w:val="18"/>
              </w:rPr>
              <w:t>izinci</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7 281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6 951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6 535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6 202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6 331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6 380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6 512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6 596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6 768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6 914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P</w:t>
            </w:r>
            <w:r w:rsidRPr="002E2B36">
              <w:rPr>
                <w:rFonts w:cs="Arial"/>
                <w:sz w:val="18"/>
                <w:szCs w:val="18"/>
              </w:rPr>
              <w:t>odíl české národnosti</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91,6%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90,5%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89,1%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87,4%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85,2%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83,2%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81,5%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79,7%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78,5%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77,5% </w:t>
            </w:r>
          </w:p>
        </w:tc>
      </w:tr>
      <w:tr w:rsidR="002C2EDE" w:rsidRPr="00EA280E" w:rsidTr="00FE79B5">
        <w:trPr>
          <w:trHeight w:val="300"/>
        </w:trPr>
        <w:tc>
          <w:tcPr>
            <w:tcW w:w="994" w:type="pct"/>
            <w:tcBorders>
              <w:left w:val="single" w:sz="12" w:space="0" w:color="auto"/>
              <w:bottom w:val="single" w:sz="8"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Podíl</w:t>
            </w:r>
            <w:r w:rsidRPr="002E2B36">
              <w:rPr>
                <w:rFonts w:cs="Arial"/>
                <w:sz w:val="18"/>
                <w:szCs w:val="18"/>
              </w:rPr>
              <w:t xml:space="preserve"> cizinci</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8,4%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9,5%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10,9%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12,6%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14,8%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16,8%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18,5%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20,3% </w:t>
            </w:r>
          </w:p>
        </w:tc>
        <w:tc>
          <w:tcPr>
            <w:tcW w:w="401"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21,5% </w:t>
            </w:r>
          </w:p>
        </w:tc>
        <w:tc>
          <w:tcPr>
            <w:tcW w:w="398" w:type="pct"/>
            <w:tcBorders>
              <w:left w:val="single" w:sz="8" w:space="0" w:color="auto"/>
              <w:bottom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 xml:space="preserve">22,5% </w:t>
            </w:r>
          </w:p>
        </w:tc>
      </w:tr>
      <w:tr w:rsidR="002C2EDE" w:rsidRPr="00EA280E" w:rsidTr="00FE79B5">
        <w:trPr>
          <w:trHeight w:val="300"/>
        </w:trPr>
        <w:tc>
          <w:tcPr>
            <w:tcW w:w="5000" w:type="pct"/>
            <w:gridSpan w:val="11"/>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2C2EDE" w:rsidRPr="002E2B36" w:rsidRDefault="002C2EDE" w:rsidP="00FE79B5">
            <w:pPr>
              <w:spacing w:line="240" w:lineRule="auto"/>
              <w:jc w:val="center"/>
              <w:rPr>
                <w:rFonts w:cs="Arial"/>
                <w:b/>
                <w:sz w:val="18"/>
                <w:szCs w:val="18"/>
              </w:rPr>
            </w:pPr>
            <w:r w:rsidRPr="002E2B36">
              <w:rPr>
                <w:rFonts w:cs="Arial"/>
                <w:b/>
                <w:sz w:val="18"/>
                <w:szCs w:val="18"/>
              </w:rPr>
              <w:t>navazující magisterské studijní programy - prezenční forma studia</w:t>
            </w:r>
          </w:p>
        </w:tc>
      </w:tr>
      <w:tr w:rsidR="002C2EDE" w:rsidRPr="00EA280E" w:rsidTr="00FE79B5">
        <w:trPr>
          <w:trHeight w:val="300"/>
        </w:trPr>
        <w:tc>
          <w:tcPr>
            <w:tcW w:w="994" w:type="pct"/>
            <w:tcBorders>
              <w:top w:val="single" w:sz="8" w:space="0" w:color="auto"/>
              <w:left w:val="single" w:sz="12" w:space="0" w:color="auto"/>
              <w:right w:val="nil"/>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C</w:t>
            </w:r>
            <w:r w:rsidRPr="002E2B36">
              <w:rPr>
                <w:rFonts w:cs="Arial"/>
                <w:sz w:val="18"/>
                <w:szCs w:val="18"/>
              </w:rPr>
              <w:t>elkem</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15 840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23 594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33 811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43 867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51 863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56 175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58 952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60 111 </w:t>
            </w:r>
          </w:p>
        </w:tc>
        <w:tc>
          <w:tcPr>
            <w:tcW w:w="401" w:type="pct"/>
            <w:tcBorders>
              <w:top w:val="single" w:sz="8" w:space="0" w:color="auto"/>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60 199 </w:t>
            </w:r>
          </w:p>
        </w:tc>
        <w:tc>
          <w:tcPr>
            <w:tcW w:w="398" w:type="pct"/>
            <w:tcBorders>
              <w:top w:val="single" w:sz="8" w:space="0" w:color="auto"/>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b/>
                <w:bCs/>
                <w:sz w:val="18"/>
                <w:szCs w:val="18"/>
              </w:rPr>
            </w:pPr>
            <w:r w:rsidRPr="002E2B36">
              <w:rPr>
                <w:rFonts w:cs="Arial"/>
                <w:b/>
                <w:bCs/>
                <w:sz w:val="18"/>
                <w:szCs w:val="18"/>
              </w:rPr>
              <w:t xml:space="preserve">58 967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Ž</w:t>
            </w:r>
            <w:r w:rsidRPr="002E2B36">
              <w:rPr>
                <w:rFonts w:cs="Arial"/>
                <w:sz w:val="18"/>
                <w:szCs w:val="18"/>
              </w:rPr>
              <w:t>eny</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8 501</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12 470</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17 716</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23 245</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27 672</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30 519</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32 712</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33 620</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33 657</w:t>
            </w:r>
          </w:p>
        </w:tc>
        <w:tc>
          <w:tcPr>
            <w:tcW w:w="398" w:type="pct"/>
            <w:tcBorders>
              <w:left w:val="single" w:sz="8" w:space="0" w:color="auto"/>
              <w:right w:val="single" w:sz="12"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32 632</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P</w:t>
            </w:r>
            <w:r w:rsidRPr="002E2B36">
              <w:rPr>
                <w:rFonts w:cs="Arial"/>
                <w:sz w:val="18"/>
                <w:szCs w:val="18"/>
              </w:rPr>
              <w:t>odíl žen</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53,7%</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52,9%</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52,4%</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53,0%</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53,4%</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54,3%</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55,5%</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55,9%</w:t>
            </w:r>
          </w:p>
        </w:tc>
        <w:tc>
          <w:tcPr>
            <w:tcW w:w="401" w:type="pct"/>
            <w:tcBorders>
              <w:left w:val="single" w:sz="8" w:space="0" w:color="auto"/>
              <w:right w:val="single" w:sz="8"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55,9%</w:t>
            </w:r>
          </w:p>
        </w:tc>
        <w:tc>
          <w:tcPr>
            <w:tcW w:w="398" w:type="pct"/>
            <w:tcBorders>
              <w:left w:val="single" w:sz="8" w:space="0" w:color="auto"/>
              <w:right w:val="single" w:sz="12" w:space="0" w:color="auto"/>
            </w:tcBorders>
            <w:shd w:val="clear" w:color="auto" w:fill="auto"/>
            <w:vAlign w:val="bottom"/>
            <w:hideMark/>
          </w:tcPr>
          <w:p w:rsidR="002C2EDE" w:rsidRPr="002E2B36" w:rsidRDefault="002C2EDE" w:rsidP="00FE79B5">
            <w:pPr>
              <w:jc w:val="right"/>
              <w:rPr>
                <w:rFonts w:cs="Arial"/>
                <w:i/>
                <w:iCs/>
                <w:sz w:val="18"/>
                <w:szCs w:val="18"/>
              </w:rPr>
            </w:pPr>
            <w:r w:rsidRPr="002E2B36">
              <w:rPr>
                <w:rFonts w:cs="Arial"/>
                <w:i/>
                <w:iCs/>
                <w:sz w:val="18"/>
                <w:szCs w:val="18"/>
              </w:rPr>
              <w:t>55,3%</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 xml:space="preserve">Občanství ČR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14 885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22 262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31 674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40 456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47 458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51 138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53 336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54 155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53 841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52 268 </w:t>
            </w:r>
          </w:p>
        </w:tc>
      </w:tr>
      <w:tr w:rsidR="002C2EDE" w:rsidRPr="00EA280E" w:rsidTr="00FE79B5">
        <w:trPr>
          <w:trHeight w:val="300"/>
        </w:trPr>
        <w:tc>
          <w:tcPr>
            <w:tcW w:w="994" w:type="pct"/>
            <w:tcBorders>
              <w:left w:val="single" w:sz="12" w:space="0" w:color="auto"/>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C</w:t>
            </w:r>
            <w:r w:rsidRPr="002E2B36">
              <w:rPr>
                <w:rFonts w:cs="Arial"/>
                <w:sz w:val="18"/>
                <w:szCs w:val="18"/>
              </w:rPr>
              <w:t>izinci</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955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1 333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2 137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3 411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4 405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5 038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5 617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5 956 </w:t>
            </w:r>
          </w:p>
        </w:tc>
        <w:tc>
          <w:tcPr>
            <w:tcW w:w="401" w:type="pct"/>
            <w:tcBorders>
              <w:left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6 358 </w:t>
            </w:r>
          </w:p>
        </w:tc>
        <w:tc>
          <w:tcPr>
            <w:tcW w:w="398" w:type="pct"/>
            <w:tcBorders>
              <w:left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 xml:space="preserve">6 700 </w:t>
            </w:r>
          </w:p>
        </w:tc>
      </w:tr>
      <w:tr w:rsidR="002C2EDE" w:rsidRPr="00EA280E" w:rsidTr="00FE79B5">
        <w:trPr>
          <w:trHeight w:val="300"/>
        </w:trPr>
        <w:tc>
          <w:tcPr>
            <w:tcW w:w="994" w:type="pct"/>
            <w:tcBorders>
              <w:left w:val="single" w:sz="12" w:space="0" w:color="auto"/>
              <w:bottom w:val="nil"/>
              <w:right w:val="nil"/>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P</w:t>
            </w:r>
            <w:r w:rsidRPr="002E2B36">
              <w:rPr>
                <w:rFonts w:cs="Arial"/>
                <w:sz w:val="18"/>
                <w:szCs w:val="18"/>
              </w:rPr>
              <w:t>odíl české národnosti</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94,0%</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94,4%</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93,7%</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92,2%</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91,5%</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91,0%</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90,5%</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90,1%</w:t>
            </w:r>
          </w:p>
        </w:tc>
        <w:tc>
          <w:tcPr>
            <w:tcW w:w="401" w:type="pct"/>
            <w:tcBorders>
              <w:left w:val="single" w:sz="8" w:space="0" w:color="auto"/>
              <w:bottom w:val="nil"/>
              <w:right w:val="single" w:sz="8"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89,4%</w:t>
            </w:r>
          </w:p>
        </w:tc>
        <w:tc>
          <w:tcPr>
            <w:tcW w:w="398" w:type="pct"/>
            <w:tcBorders>
              <w:left w:val="single" w:sz="8" w:space="0" w:color="auto"/>
              <w:bottom w:val="nil"/>
              <w:right w:val="single" w:sz="12" w:space="0" w:color="auto"/>
            </w:tcBorders>
            <w:shd w:val="clear" w:color="auto" w:fill="auto"/>
            <w:noWrap/>
            <w:vAlign w:val="bottom"/>
            <w:hideMark/>
          </w:tcPr>
          <w:p w:rsidR="002C2EDE" w:rsidRPr="002E2B36" w:rsidRDefault="002C2EDE" w:rsidP="00FE79B5">
            <w:pPr>
              <w:jc w:val="right"/>
              <w:rPr>
                <w:rFonts w:cs="Arial"/>
                <w:i/>
                <w:iCs/>
                <w:sz w:val="18"/>
                <w:szCs w:val="18"/>
              </w:rPr>
            </w:pPr>
            <w:r w:rsidRPr="002E2B36">
              <w:rPr>
                <w:rFonts w:cs="Arial"/>
                <w:i/>
                <w:iCs/>
                <w:sz w:val="18"/>
                <w:szCs w:val="18"/>
              </w:rPr>
              <w:t>88,6%</w:t>
            </w:r>
          </w:p>
        </w:tc>
      </w:tr>
      <w:tr w:rsidR="002C2EDE" w:rsidRPr="00EA280E" w:rsidTr="00FE79B5">
        <w:trPr>
          <w:trHeight w:val="315"/>
        </w:trPr>
        <w:tc>
          <w:tcPr>
            <w:tcW w:w="994" w:type="pct"/>
            <w:tcBorders>
              <w:top w:val="nil"/>
              <w:left w:val="single" w:sz="12" w:space="0" w:color="auto"/>
              <w:bottom w:val="single" w:sz="12" w:space="0" w:color="auto"/>
              <w:right w:val="nil"/>
            </w:tcBorders>
            <w:shd w:val="clear" w:color="auto" w:fill="auto"/>
            <w:noWrap/>
            <w:vAlign w:val="bottom"/>
            <w:hideMark/>
          </w:tcPr>
          <w:p w:rsidR="002C2EDE" w:rsidRPr="00EA280E" w:rsidRDefault="002C2EDE" w:rsidP="00FE79B5">
            <w:pPr>
              <w:rPr>
                <w:rFonts w:cs="Arial"/>
                <w:color w:val="000000"/>
                <w:sz w:val="18"/>
                <w:szCs w:val="18"/>
              </w:rPr>
            </w:pPr>
            <w:r>
              <w:rPr>
                <w:rFonts w:cs="Arial"/>
                <w:color w:val="000000"/>
                <w:sz w:val="18"/>
                <w:szCs w:val="18"/>
              </w:rPr>
              <w:t xml:space="preserve">Podíl </w:t>
            </w:r>
            <w:r w:rsidRPr="00EA280E">
              <w:rPr>
                <w:rFonts w:cs="Arial"/>
                <w:color w:val="000000"/>
                <w:sz w:val="18"/>
                <w:szCs w:val="18"/>
              </w:rPr>
              <w:t>cizinci</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6,0</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5,6</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6,3</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7,8</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8,5</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9,0</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9,5</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9,9</w:t>
            </w:r>
            <w:r>
              <w:rPr>
                <w:rFonts w:cs="Arial"/>
                <w:i/>
                <w:iCs/>
                <w:color w:val="000000"/>
                <w:sz w:val="18"/>
                <w:szCs w:val="18"/>
              </w:rPr>
              <w:t>%</w:t>
            </w:r>
          </w:p>
        </w:tc>
        <w:tc>
          <w:tcPr>
            <w:tcW w:w="401" w:type="pct"/>
            <w:tcBorders>
              <w:top w:val="nil"/>
              <w:left w:val="single" w:sz="8" w:space="0" w:color="auto"/>
              <w:bottom w:val="single" w:sz="12" w:space="0" w:color="auto"/>
              <w:right w:val="single" w:sz="8"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10,6</w:t>
            </w:r>
            <w:r>
              <w:rPr>
                <w:rFonts w:cs="Arial"/>
                <w:i/>
                <w:iCs/>
                <w:color w:val="000000"/>
                <w:sz w:val="18"/>
                <w:szCs w:val="18"/>
              </w:rPr>
              <w:t>%</w:t>
            </w:r>
          </w:p>
        </w:tc>
        <w:tc>
          <w:tcPr>
            <w:tcW w:w="398" w:type="pct"/>
            <w:tcBorders>
              <w:top w:val="nil"/>
              <w:left w:val="single" w:sz="8" w:space="0" w:color="auto"/>
              <w:bottom w:val="single" w:sz="12" w:space="0" w:color="auto"/>
              <w:right w:val="single" w:sz="12" w:space="0" w:color="auto"/>
            </w:tcBorders>
            <w:shd w:val="clear" w:color="auto" w:fill="auto"/>
            <w:noWrap/>
            <w:vAlign w:val="bottom"/>
            <w:hideMark/>
          </w:tcPr>
          <w:p w:rsidR="002C2EDE" w:rsidRPr="00EA280E" w:rsidRDefault="002C2EDE" w:rsidP="00FE79B5">
            <w:pPr>
              <w:jc w:val="right"/>
              <w:rPr>
                <w:rFonts w:cs="Arial"/>
                <w:i/>
                <w:iCs/>
                <w:color w:val="000000"/>
                <w:sz w:val="18"/>
                <w:szCs w:val="18"/>
              </w:rPr>
            </w:pPr>
            <w:r w:rsidRPr="00EA280E">
              <w:rPr>
                <w:rFonts w:cs="Arial"/>
                <w:i/>
                <w:iCs/>
                <w:color w:val="000000"/>
                <w:sz w:val="18"/>
                <w:szCs w:val="18"/>
              </w:rPr>
              <w:t>11,4</w:t>
            </w:r>
            <w:r>
              <w:rPr>
                <w:rFonts w:cs="Arial"/>
                <w:i/>
                <w:iCs/>
                <w:color w:val="000000"/>
                <w:sz w:val="18"/>
                <w:szCs w:val="18"/>
              </w:rPr>
              <w:t>%</w:t>
            </w:r>
          </w:p>
        </w:tc>
      </w:tr>
    </w:tbl>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6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Default="002C2EDE" w:rsidP="002C2EDE">
      <w:pPr>
        <w:spacing w:before="240" w:after="60"/>
        <w:jc w:val="both"/>
        <w:rPr>
          <w:rFonts w:cs="Arial"/>
          <w:b/>
          <w:sz w:val="22"/>
          <w:szCs w:val="22"/>
        </w:rPr>
      </w:pPr>
    </w:p>
    <w:p w:rsidR="002C2EDE" w:rsidRPr="00DB49BB" w:rsidRDefault="002C2EDE" w:rsidP="002C2EDE">
      <w:pPr>
        <w:spacing w:before="240" w:after="60"/>
        <w:jc w:val="both"/>
        <w:rPr>
          <w:rFonts w:cs="Arial"/>
          <w:b/>
          <w:sz w:val="22"/>
          <w:szCs w:val="22"/>
        </w:rPr>
      </w:pPr>
      <w:r w:rsidRPr="00DB49BB">
        <w:rPr>
          <w:rFonts w:cs="Arial"/>
          <w:b/>
          <w:sz w:val="22"/>
          <w:szCs w:val="22"/>
        </w:rPr>
        <w:t xml:space="preserve">Distanční a kombinovaná forma studia </w:t>
      </w:r>
    </w:p>
    <w:p w:rsidR="002C2EDE" w:rsidRPr="007A6E44" w:rsidRDefault="002C2EDE" w:rsidP="002C2EDE">
      <w:pPr>
        <w:jc w:val="both"/>
      </w:pPr>
      <w:r>
        <w:t>V distanční a kombinované formě studia studovalo magisterské studijní programy veřejných vysokých škol v roce 2014 pouze 1,9 tisíc studentů, což je o 5,1 tisíc méně než v roce 2005. Počet studentů zde kopíruje obecný propad počtu studentů těchto programů. Naopak navazující magisterské studijní programy veřejných VŠ v </w:t>
      </w:r>
      <w:r w:rsidRPr="00684C63">
        <w:t>distanční a kombinované formě studia studovalo v roce 2014 téměř trojnásobně více studentů (16,4</w:t>
      </w:r>
      <w:r>
        <w:t> </w:t>
      </w:r>
      <w:r w:rsidRPr="00684C63">
        <w:t>tis</w:t>
      </w:r>
      <w:r>
        <w:t>íc</w:t>
      </w:r>
      <w:r w:rsidRPr="00684C63">
        <w:t xml:space="preserve">) než v roce 2005. </w:t>
      </w:r>
      <w:r>
        <w:t>Velmi zajímavý je podíl žen na celkovém počtu studentů v </w:t>
      </w:r>
      <w:r w:rsidRPr="00684C63">
        <w:t>magisterských studijních programech v distanční a kombinované formě studia, k</w:t>
      </w:r>
      <w:r>
        <w:t>terý</w:t>
      </w:r>
      <w:r w:rsidRPr="00684C63">
        <w:t xml:space="preserve"> v roce 2014 </w:t>
      </w:r>
      <w:r>
        <w:t>činil</w:t>
      </w:r>
      <w:bookmarkStart w:id="30" w:name="_Toc431985668"/>
      <w:bookmarkStart w:id="31" w:name="_Toc431994697"/>
      <w:r>
        <w:t xml:space="preserve"> 91,2 %.</w:t>
      </w:r>
    </w:p>
    <w:p w:rsidR="002C2EDE" w:rsidRPr="007A6E44" w:rsidRDefault="002C2EDE" w:rsidP="002C2EDE">
      <w:pPr>
        <w:pStyle w:val="Nadpis4"/>
        <w:spacing w:before="0" w:after="120"/>
      </w:pPr>
      <w:r>
        <w:br w:type="page"/>
      </w:r>
      <w:r w:rsidRPr="007A6E44">
        <w:lastRenderedPageBreak/>
        <w:t>Tab.</w:t>
      </w:r>
      <w:r>
        <w:t xml:space="preserve"> </w:t>
      </w:r>
      <w:r w:rsidRPr="007A6E44">
        <w:t>9: Studenti veřejných VŠ v magisterských programech - distanční a kombinované studium</w:t>
      </w:r>
      <w:bookmarkEnd w:id="30"/>
      <w:bookmarkEnd w:id="31"/>
    </w:p>
    <w:tbl>
      <w:tblPr>
        <w:tblW w:w="5000" w:type="pct"/>
        <w:tblInd w:w="70" w:type="dxa"/>
        <w:tblCellMar>
          <w:left w:w="70" w:type="dxa"/>
          <w:right w:w="70" w:type="dxa"/>
        </w:tblCellMar>
        <w:tblLook w:val="04A0"/>
      </w:tblPr>
      <w:tblGrid>
        <w:gridCol w:w="891"/>
        <w:gridCol w:w="833"/>
        <w:gridCol w:w="833"/>
        <w:gridCol w:w="833"/>
        <w:gridCol w:w="833"/>
        <w:gridCol w:w="833"/>
        <w:gridCol w:w="833"/>
        <w:gridCol w:w="833"/>
        <w:gridCol w:w="833"/>
        <w:gridCol w:w="833"/>
        <w:gridCol w:w="824"/>
      </w:tblGrid>
      <w:tr w:rsidR="002C2EDE" w:rsidRPr="007A6CBE" w:rsidTr="00FE79B5">
        <w:trPr>
          <w:trHeight w:val="315"/>
        </w:trPr>
        <w:tc>
          <w:tcPr>
            <w:tcW w:w="455" w:type="pct"/>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2C2EDE" w:rsidRPr="007A6CBE" w:rsidRDefault="002C2EDE" w:rsidP="00FE79B5">
            <w:pPr>
              <w:spacing w:line="240" w:lineRule="auto"/>
              <w:rPr>
                <w:rFonts w:cs="Arial"/>
                <w:color w:val="000000"/>
                <w:sz w:val="18"/>
                <w:szCs w:val="18"/>
              </w:rPr>
            </w:pPr>
          </w:p>
        </w:tc>
        <w:tc>
          <w:tcPr>
            <w:tcW w:w="455" w:type="pct"/>
            <w:tcBorders>
              <w:top w:val="single" w:sz="12" w:space="0" w:color="auto"/>
              <w:left w:val="single" w:sz="8" w:space="0" w:color="auto"/>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2005</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2006</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2007</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2008</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2009</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2010</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2011</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2012</w:t>
            </w:r>
          </w:p>
        </w:tc>
        <w:tc>
          <w:tcPr>
            <w:tcW w:w="455"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2013</w:t>
            </w:r>
          </w:p>
        </w:tc>
        <w:tc>
          <w:tcPr>
            <w:tcW w:w="450" w:type="pct"/>
            <w:tcBorders>
              <w:top w:val="single" w:sz="12" w:space="0" w:color="auto"/>
              <w:left w:val="nil"/>
              <w:bottom w:val="single" w:sz="8" w:space="0" w:color="auto"/>
              <w:right w:val="single" w:sz="12" w:space="0" w:color="auto"/>
            </w:tcBorders>
            <w:shd w:val="clear" w:color="auto" w:fill="F2DBDB" w:themeFill="accent2" w:themeFillTint="33"/>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2014</w:t>
            </w:r>
          </w:p>
        </w:tc>
      </w:tr>
      <w:tr w:rsidR="002C2EDE" w:rsidRPr="007A6CBE" w:rsidTr="00FE79B5">
        <w:trPr>
          <w:trHeight w:val="300"/>
        </w:trPr>
        <w:tc>
          <w:tcPr>
            <w:tcW w:w="455" w:type="pct"/>
            <w:tcBorders>
              <w:top w:val="single" w:sz="8" w:space="0" w:color="auto"/>
              <w:left w:val="single" w:sz="12" w:space="0" w:color="auto"/>
              <w:bottom w:val="nil"/>
              <w:right w:val="single" w:sz="8" w:space="0" w:color="auto"/>
            </w:tcBorders>
            <w:shd w:val="clear" w:color="auto" w:fill="auto"/>
            <w:noWrap/>
            <w:vAlign w:val="bottom"/>
            <w:hideMark/>
          </w:tcPr>
          <w:p w:rsidR="002C2EDE" w:rsidRPr="007A6CBE" w:rsidRDefault="002C2EDE" w:rsidP="00FE79B5">
            <w:pPr>
              <w:rPr>
                <w:rFonts w:cs="Arial"/>
                <w:color w:val="000000"/>
                <w:sz w:val="18"/>
                <w:szCs w:val="18"/>
              </w:rPr>
            </w:pPr>
            <w:r w:rsidRPr="007A6CBE">
              <w:rPr>
                <w:rFonts w:cs="Arial"/>
                <w:color w:val="000000"/>
                <w:sz w:val="18"/>
                <w:szCs w:val="18"/>
              </w:rPr>
              <w:t> </w:t>
            </w:r>
          </w:p>
        </w:tc>
        <w:tc>
          <w:tcPr>
            <w:tcW w:w="4545" w:type="pct"/>
            <w:gridSpan w:val="10"/>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2C2EDE" w:rsidRPr="007A6CBE" w:rsidRDefault="002C2EDE" w:rsidP="00FE79B5">
            <w:pPr>
              <w:spacing w:line="240" w:lineRule="auto"/>
              <w:jc w:val="center"/>
              <w:rPr>
                <w:rFonts w:cs="Arial"/>
                <w:b/>
                <w:bCs/>
                <w:sz w:val="18"/>
                <w:szCs w:val="18"/>
              </w:rPr>
            </w:pPr>
            <w:r w:rsidRPr="007A6CBE">
              <w:rPr>
                <w:rFonts w:cs="Arial"/>
                <w:b/>
                <w:bCs/>
                <w:sz w:val="18"/>
                <w:szCs w:val="18"/>
              </w:rPr>
              <w:t xml:space="preserve">magisterské </w:t>
            </w:r>
            <w:r>
              <w:rPr>
                <w:rFonts w:cs="Arial"/>
                <w:b/>
                <w:bCs/>
                <w:sz w:val="18"/>
                <w:szCs w:val="18"/>
              </w:rPr>
              <w:t>studijní programy</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C</w:t>
            </w:r>
            <w:r w:rsidRPr="002E2B36">
              <w:rPr>
                <w:rFonts w:cs="Arial"/>
                <w:sz w:val="18"/>
                <w:szCs w:val="18"/>
              </w:rPr>
              <w:t>elkem</w:t>
            </w:r>
          </w:p>
        </w:tc>
        <w:tc>
          <w:tcPr>
            <w:tcW w:w="455" w:type="pct"/>
            <w:tcBorders>
              <w:top w:val="single" w:sz="8" w:space="0" w:color="auto"/>
              <w:left w:val="single" w:sz="6" w:space="0" w:color="auto"/>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7 092</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6 041</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5 052</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4 095</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3 156</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2 655</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2 225</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2 052</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1 711</w:t>
            </w:r>
          </w:p>
        </w:tc>
        <w:tc>
          <w:tcPr>
            <w:tcW w:w="450" w:type="pct"/>
            <w:tcBorders>
              <w:top w:val="single" w:sz="8" w:space="0" w:color="auto"/>
              <w:left w:val="nil"/>
              <w:right w:val="single" w:sz="12" w:space="0" w:color="auto"/>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1 923</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Ž</w:t>
            </w:r>
            <w:r w:rsidRPr="002E2B36">
              <w:rPr>
                <w:rFonts w:cs="Arial"/>
                <w:sz w:val="18"/>
                <w:szCs w:val="18"/>
              </w:rPr>
              <w:t>eny</w:t>
            </w:r>
          </w:p>
        </w:tc>
        <w:tc>
          <w:tcPr>
            <w:tcW w:w="455" w:type="pct"/>
            <w:tcBorders>
              <w:left w:val="single" w:sz="6" w:space="0" w:color="auto"/>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4 498</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4 093</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3 632</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3 133</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2 602</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2 273</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1 949</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1 866</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1 569</w:t>
            </w:r>
          </w:p>
        </w:tc>
        <w:tc>
          <w:tcPr>
            <w:tcW w:w="450" w:type="pct"/>
            <w:tcBorders>
              <w:left w:val="nil"/>
              <w:right w:val="single" w:sz="12"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1 754</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P</w:t>
            </w:r>
            <w:r w:rsidRPr="002E2B36">
              <w:rPr>
                <w:rFonts w:cs="Arial"/>
                <w:sz w:val="18"/>
                <w:szCs w:val="18"/>
              </w:rPr>
              <w:t>odíl žen</w:t>
            </w:r>
          </w:p>
        </w:tc>
        <w:tc>
          <w:tcPr>
            <w:tcW w:w="455" w:type="pct"/>
            <w:tcBorders>
              <w:left w:val="single" w:sz="6"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63,4%</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67,8%</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71,9%</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76,5%</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82,4%</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85,6%</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87,6%</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90,9%</w:t>
            </w:r>
          </w:p>
        </w:tc>
        <w:tc>
          <w:tcPr>
            <w:tcW w:w="455" w:type="pct"/>
            <w:tcBorders>
              <w:left w:val="single" w:sz="8" w:space="0" w:color="auto"/>
              <w:bottom w:val="single" w:sz="8" w:space="0" w:color="auto"/>
              <w:right w:val="single" w:sz="8"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91,7%</w:t>
            </w:r>
          </w:p>
        </w:tc>
        <w:tc>
          <w:tcPr>
            <w:tcW w:w="450" w:type="pct"/>
            <w:tcBorders>
              <w:left w:val="single" w:sz="8" w:space="0" w:color="auto"/>
              <w:bottom w:val="single" w:sz="8"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91,2%</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center"/>
            <w:hideMark/>
          </w:tcPr>
          <w:p w:rsidR="002C2EDE" w:rsidRPr="002E2B36" w:rsidRDefault="002C2EDE" w:rsidP="00FE79B5">
            <w:pPr>
              <w:spacing w:line="240" w:lineRule="auto"/>
              <w:jc w:val="center"/>
              <w:rPr>
                <w:rFonts w:cs="Arial"/>
                <w:sz w:val="18"/>
                <w:szCs w:val="18"/>
              </w:rPr>
            </w:pPr>
          </w:p>
        </w:tc>
        <w:tc>
          <w:tcPr>
            <w:tcW w:w="4545" w:type="pct"/>
            <w:gridSpan w:val="10"/>
            <w:tcBorders>
              <w:top w:val="single" w:sz="8" w:space="0" w:color="auto"/>
              <w:left w:val="single" w:sz="6" w:space="0" w:color="auto"/>
              <w:bottom w:val="single" w:sz="8" w:space="0" w:color="auto"/>
              <w:right w:val="single" w:sz="12" w:space="0" w:color="auto"/>
            </w:tcBorders>
            <w:shd w:val="clear" w:color="auto" w:fill="auto"/>
            <w:noWrap/>
            <w:vAlign w:val="center"/>
            <w:hideMark/>
          </w:tcPr>
          <w:p w:rsidR="002C2EDE" w:rsidRPr="002E2B36" w:rsidRDefault="002C2EDE" w:rsidP="00FE79B5">
            <w:pPr>
              <w:spacing w:line="240" w:lineRule="auto"/>
              <w:jc w:val="center"/>
              <w:rPr>
                <w:rFonts w:cs="Arial"/>
                <w:b/>
                <w:bCs/>
                <w:sz w:val="18"/>
                <w:szCs w:val="18"/>
              </w:rPr>
            </w:pPr>
            <w:r w:rsidRPr="002E2B36">
              <w:rPr>
                <w:rFonts w:cs="Arial"/>
                <w:b/>
                <w:bCs/>
                <w:sz w:val="18"/>
                <w:szCs w:val="18"/>
              </w:rPr>
              <w:t xml:space="preserve">navazující magisterské </w:t>
            </w:r>
            <w:r>
              <w:rPr>
                <w:rFonts w:cs="Arial"/>
                <w:b/>
                <w:bCs/>
                <w:sz w:val="18"/>
                <w:szCs w:val="18"/>
              </w:rPr>
              <w:t>studijní programy</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C</w:t>
            </w:r>
            <w:r w:rsidRPr="002E2B36">
              <w:rPr>
                <w:rFonts w:cs="Arial"/>
                <w:sz w:val="18"/>
                <w:szCs w:val="18"/>
              </w:rPr>
              <w:t>elkem</w:t>
            </w:r>
          </w:p>
        </w:tc>
        <w:tc>
          <w:tcPr>
            <w:tcW w:w="455" w:type="pct"/>
            <w:tcBorders>
              <w:top w:val="single" w:sz="8" w:space="0" w:color="auto"/>
              <w:left w:val="single" w:sz="6" w:space="0" w:color="auto"/>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5 365</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7 618</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10 412</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13 286</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16 075</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17 289</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18 171</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18 206</w:t>
            </w:r>
          </w:p>
        </w:tc>
        <w:tc>
          <w:tcPr>
            <w:tcW w:w="455" w:type="pct"/>
            <w:tcBorders>
              <w:top w:val="single" w:sz="8" w:space="0" w:color="auto"/>
              <w:left w:val="nil"/>
              <w:right w:val="single" w:sz="4" w:space="0" w:color="000000"/>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17 292</w:t>
            </w:r>
          </w:p>
        </w:tc>
        <w:tc>
          <w:tcPr>
            <w:tcW w:w="450" w:type="pct"/>
            <w:tcBorders>
              <w:top w:val="single" w:sz="8" w:space="0" w:color="auto"/>
              <w:left w:val="nil"/>
              <w:right w:val="single" w:sz="12" w:space="0" w:color="auto"/>
            </w:tcBorders>
            <w:shd w:val="clear" w:color="auto" w:fill="auto"/>
            <w:vAlign w:val="bottom"/>
            <w:hideMark/>
          </w:tcPr>
          <w:p w:rsidR="002C2EDE" w:rsidRPr="0008756E" w:rsidRDefault="002C2EDE" w:rsidP="00FE79B5">
            <w:pPr>
              <w:jc w:val="right"/>
              <w:rPr>
                <w:rFonts w:cs="Arial"/>
                <w:b/>
                <w:sz w:val="18"/>
                <w:szCs w:val="18"/>
              </w:rPr>
            </w:pPr>
            <w:r w:rsidRPr="0008756E">
              <w:rPr>
                <w:rFonts w:cs="Arial"/>
                <w:b/>
                <w:sz w:val="18"/>
                <w:szCs w:val="18"/>
              </w:rPr>
              <w:t>16 407</w:t>
            </w:r>
          </w:p>
        </w:tc>
      </w:tr>
      <w:tr w:rsidR="002C2EDE" w:rsidRPr="007A6CBE" w:rsidTr="00FE79B5">
        <w:trPr>
          <w:trHeight w:val="300"/>
        </w:trPr>
        <w:tc>
          <w:tcPr>
            <w:tcW w:w="455" w:type="pct"/>
            <w:tcBorders>
              <w:top w:val="nil"/>
              <w:left w:val="single" w:sz="12" w:space="0" w:color="auto"/>
              <w:bottom w:val="nil"/>
              <w:right w:val="single" w:sz="6" w:space="0" w:color="auto"/>
            </w:tcBorders>
            <w:shd w:val="clear" w:color="auto" w:fill="auto"/>
            <w:noWrap/>
            <w:vAlign w:val="bottom"/>
            <w:hideMark/>
          </w:tcPr>
          <w:p w:rsidR="002C2EDE" w:rsidRPr="002E2B36" w:rsidRDefault="002C2EDE" w:rsidP="00FE79B5">
            <w:pPr>
              <w:spacing w:before="40"/>
              <w:rPr>
                <w:rFonts w:cs="Arial"/>
                <w:sz w:val="18"/>
                <w:szCs w:val="18"/>
              </w:rPr>
            </w:pPr>
            <w:r>
              <w:rPr>
                <w:rFonts w:cs="Arial"/>
                <w:sz w:val="18"/>
                <w:szCs w:val="18"/>
              </w:rPr>
              <w:t>Ž</w:t>
            </w:r>
            <w:r w:rsidRPr="002E2B36">
              <w:rPr>
                <w:rFonts w:cs="Arial"/>
                <w:sz w:val="18"/>
                <w:szCs w:val="18"/>
              </w:rPr>
              <w:t>eny</w:t>
            </w:r>
          </w:p>
        </w:tc>
        <w:tc>
          <w:tcPr>
            <w:tcW w:w="455" w:type="pct"/>
            <w:tcBorders>
              <w:left w:val="single" w:sz="6" w:space="0" w:color="auto"/>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2 921</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4 077</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5 643</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7 214</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8 985</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9 965</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10 749</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11 020</w:t>
            </w:r>
          </w:p>
        </w:tc>
        <w:tc>
          <w:tcPr>
            <w:tcW w:w="455" w:type="pct"/>
            <w:tcBorders>
              <w:left w:val="nil"/>
              <w:right w:val="single" w:sz="4" w:space="0" w:color="000000"/>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10 382</w:t>
            </w:r>
          </w:p>
        </w:tc>
        <w:tc>
          <w:tcPr>
            <w:tcW w:w="450" w:type="pct"/>
            <w:tcBorders>
              <w:left w:val="nil"/>
              <w:right w:val="single" w:sz="12" w:space="0" w:color="auto"/>
            </w:tcBorders>
            <w:shd w:val="clear" w:color="auto" w:fill="auto"/>
            <w:vAlign w:val="bottom"/>
            <w:hideMark/>
          </w:tcPr>
          <w:p w:rsidR="002C2EDE" w:rsidRPr="002E2B36" w:rsidRDefault="002C2EDE" w:rsidP="00FE79B5">
            <w:pPr>
              <w:jc w:val="right"/>
              <w:rPr>
                <w:rFonts w:cs="Arial"/>
                <w:sz w:val="18"/>
                <w:szCs w:val="18"/>
              </w:rPr>
            </w:pPr>
            <w:r w:rsidRPr="002E2B36">
              <w:rPr>
                <w:rFonts w:cs="Arial"/>
                <w:sz w:val="18"/>
                <w:szCs w:val="18"/>
              </w:rPr>
              <w:t>9 743</w:t>
            </w:r>
          </w:p>
        </w:tc>
      </w:tr>
      <w:tr w:rsidR="002C2EDE" w:rsidRPr="007A6CBE" w:rsidTr="00FE79B5">
        <w:trPr>
          <w:trHeight w:val="315"/>
        </w:trPr>
        <w:tc>
          <w:tcPr>
            <w:tcW w:w="455" w:type="pct"/>
            <w:tcBorders>
              <w:top w:val="nil"/>
              <w:left w:val="single" w:sz="12" w:space="0" w:color="auto"/>
              <w:bottom w:val="single" w:sz="12" w:space="0" w:color="auto"/>
              <w:right w:val="single" w:sz="6" w:space="0" w:color="auto"/>
            </w:tcBorders>
            <w:shd w:val="clear" w:color="auto" w:fill="auto"/>
            <w:noWrap/>
            <w:vAlign w:val="bottom"/>
            <w:hideMark/>
          </w:tcPr>
          <w:p w:rsidR="002C2EDE" w:rsidRPr="002E2B36" w:rsidRDefault="002C2EDE" w:rsidP="00FE79B5">
            <w:pPr>
              <w:rPr>
                <w:rFonts w:cs="Arial"/>
                <w:sz w:val="18"/>
                <w:szCs w:val="18"/>
              </w:rPr>
            </w:pPr>
            <w:r>
              <w:rPr>
                <w:rFonts w:cs="Arial"/>
                <w:sz w:val="18"/>
                <w:szCs w:val="18"/>
              </w:rPr>
              <w:t>P</w:t>
            </w:r>
            <w:r w:rsidRPr="002E2B36">
              <w:rPr>
                <w:rFonts w:cs="Arial"/>
                <w:sz w:val="18"/>
                <w:szCs w:val="18"/>
              </w:rPr>
              <w:t>odíl žen</w:t>
            </w:r>
          </w:p>
        </w:tc>
        <w:tc>
          <w:tcPr>
            <w:tcW w:w="455" w:type="pct"/>
            <w:tcBorders>
              <w:left w:val="single" w:sz="6" w:space="0" w:color="auto"/>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54,4%</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53,5%</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54,2%</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54,3%</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55,9%</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57,6%</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59,2%</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60,5%</w:t>
            </w:r>
          </w:p>
        </w:tc>
        <w:tc>
          <w:tcPr>
            <w:tcW w:w="455" w:type="pct"/>
            <w:tcBorders>
              <w:left w:val="nil"/>
              <w:bottom w:val="single" w:sz="12" w:space="0" w:color="auto"/>
              <w:right w:val="single" w:sz="4"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60,0%</w:t>
            </w:r>
          </w:p>
        </w:tc>
        <w:tc>
          <w:tcPr>
            <w:tcW w:w="450" w:type="pct"/>
            <w:tcBorders>
              <w:left w:val="nil"/>
              <w:bottom w:val="single" w:sz="12" w:space="0" w:color="auto"/>
              <w:right w:val="single" w:sz="12" w:space="0" w:color="auto"/>
            </w:tcBorders>
            <w:shd w:val="clear" w:color="auto" w:fill="auto"/>
            <w:noWrap/>
            <w:vAlign w:val="bottom"/>
            <w:hideMark/>
          </w:tcPr>
          <w:p w:rsidR="002C2EDE" w:rsidRPr="002E2B36" w:rsidRDefault="002C2EDE" w:rsidP="00FE79B5">
            <w:pPr>
              <w:jc w:val="right"/>
              <w:rPr>
                <w:rFonts w:cs="Arial"/>
                <w:sz w:val="18"/>
                <w:szCs w:val="18"/>
              </w:rPr>
            </w:pPr>
            <w:r w:rsidRPr="002E2B36">
              <w:rPr>
                <w:rFonts w:cs="Arial"/>
                <w:sz w:val="18"/>
                <w:szCs w:val="18"/>
              </w:rPr>
              <w:t>59,4%</w:t>
            </w:r>
          </w:p>
        </w:tc>
      </w:tr>
    </w:tbl>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6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Pr="00E74085" w:rsidRDefault="002C2EDE" w:rsidP="002C2EDE">
      <w:pPr>
        <w:pStyle w:val="Nadpis3"/>
      </w:pPr>
      <w:bookmarkStart w:id="32" w:name="_Toc431985669"/>
      <w:bookmarkStart w:id="33" w:name="_Toc431994698"/>
      <w:bookmarkStart w:id="34" w:name="_Toc432579596"/>
      <w:r w:rsidRPr="00E74085">
        <w:t>Magisterské a magisterské navazující studijní programy na soukromých VŠ</w:t>
      </w:r>
      <w:bookmarkEnd w:id="32"/>
      <w:bookmarkEnd w:id="33"/>
      <w:bookmarkEnd w:id="34"/>
    </w:p>
    <w:p w:rsidR="002C2EDE" w:rsidRDefault="002C2EDE" w:rsidP="002C2EDE">
      <w:pPr>
        <w:jc w:val="both"/>
      </w:pPr>
      <w:r w:rsidRPr="002B7736">
        <w:rPr>
          <w:b/>
        </w:rPr>
        <w:t>Soukromé vysoké školy</w:t>
      </w:r>
      <w:r>
        <w:t xml:space="preserve"> nabízejí v rámci magisterského studia výhradně navazující magisterské studijní programy a to jak v prezenční, tak v distanční či kombinované formě studia. I zde počty studentů úměrně k bakalářským studijním programům narůstají, jelikož řada absolventů bakalářských studijních programů pokračuje ve studiu dále v těchto programech. V </w:t>
      </w:r>
      <w:r w:rsidRPr="00CA445E">
        <w:t>prezenční formě studia ovšem nalezneme méně studentů než v</w:t>
      </w:r>
      <w:r>
        <w:t> </w:t>
      </w:r>
      <w:r w:rsidRPr="00CA445E">
        <w:t>distanční a</w:t>
      </w:r>
      <w:r>
        <w:t> </w:t>
      </w:r>
      <w:r w:rsidRPr="00CA445E">
        <w:t>kombinované formě. V roce 2010 studovalo v prezenční</w:t>
      </w:r>
      <w:r>
        <w:t xml:space="preserve"> formě v magisterských navazujících studijních programech na soukromých VŠ celkem 3,3 tisíce studentů a jejich počty do roku 2014 ještě vzrostly o dalších 500 studentů. V distanční a kombinované formě studia celkové počty studentů výše zmiňovaných studijních programů prudce vzrůstaly až do roku 2010 (z 2,3 tisíce studentů v roce 2005 až na 10,1 tisíc studentů v roce 2010). V posledních čtyřech letech již však dochází k pozvolnému poklesu - v roce 2014 studovalo distanční či kombinovanou formou navazující magisterské studijní programy na soukromých VŠ 7,5 tisíc studentů.  I na soukromých </w:t>
      </w:r>
      <w:r w:rsidRPr="00264698">
        <w:t xml:space="preserve">VŠ studují častěji ženy, jejich zastoupení je však ještě </w:t>
      </w:r>
      <w:r>
        <w:t>mírně výraznější</w:t>
      </w:r>
      <w:r w:rsidRPr="00264698">
        <w:t xml:space="preserve"> než na veřejných VŠ. Podíly studentek navazujících magisterských studijních programů v prezenční formě studia činily v posledních 3 letech v průměru 66,3 %, ve formě distanční a kombinované pak 64,1 %.</w:t>
      </w:r>
    </w:p>
    <w:p w:rsidR="002C2EDE" w:rsidRPr="00E74085" w:rsidRDefault="002C2EDE" w:rsidP="002C2EDE">
      <w:pPr>
        <w:pStyle w:val="Nadpis3"/>
      </w:pPr>
      <w:bookmarkStart w:id="35" w:name="_Toc431985670"/>
      <w:bookmarkStart w:id="36" w:name="_Toc431994699"/>
      <w:bookmarkStart w:id="37" w:name="_Toc432579597"/>
      <w:r w:rsidRPr="00E74085">
        <w:t>Doktorské studijní programy</w:t>
      </w:r>
      <w:bookmarkEnd w:id="35"/>
      <w:bookmarkEnd w:id="36"/>
      <w:bookmarkEnd w:id="37"/>
      <w:r w:rsidRPr="00E74085">
        <w:t xml:space="preserve"> </w:t>
      </w:r>
    </w:p>
    <w:p w:rsidR="002C2EDE" w:rsidRDefault="002C2EDE" w:rsidP="002C2EDE">
      <w:pPr>
        <w:jc w:val="both"/>
      </w:pPr>
      <w:r>
        <w:t xml:space="preserve">Doktorské studium je využíváno převážně studenty na veřejných vysokých školách. Také v doktorských studijních programech dochází v uplynulém období k nárůstu počtu studentů. Studenti využívají jak prezenční, tak i distanční a kombinované formy studia, i když prezenční forma zde převažuje. </w:t>
      </w:r>
      <w:bookmarkStart w:id="38" w:name="_Toc431985671"/>
      <w:bookmarkStart w:id="39" w:name="_Toc431994700"/>
    </w:p>
    <w:p w:rsidR="002C2EDE" w:rsidRPr="003F3A83" w:rsidRDefault="002C2EDE" w:rsidP="002C2EDE">
      <w:pPr>
        <w:pStyle w:val="Nadpis4"/>
        <w:spacing w:after="120"/>
      </w:pPr>
      <w:r>
        <w:t>Tab. 10</w:t>
      </w:r>
      <w:r w:rsidRPr="000414B3">
        <w:t xml:space="preserve">: </w:t>
      </w:r>
      <w:r w:rsidRPr="003F3A83">
        <w:t xml:space="preserve">Studenti veřejných VŠ v </w:t>
      </w:r>
      <w:r>
        <w:t>doktorských</w:t>
      </w:r>
      <w:r w:rsidRPr="003F3A83">
        <w:t xml:space="preserve"> studijních programech</w:t>
      </w:r>
      <w:bookmarkEnd w:id="38"/>
      <w:bookmarkEnd w:id="39"/>
    </w:p>
    <w:tbl>
      <w:tblPr>
        <w:tblW w:w="5000" w:type="pct"/>
        <w:tblLayout w:type="fixed"/>
        <w:tblCellMar>
          <w:left w:w="70" w:type="dxa"/>
          <w:right w:w="70" w:type="dxa"/>
        </w:tblCellMar>
        <w:tblLook w:val="04A0"/>
      </w:tblPr>
      <w:tblGrid>
        <w:gridCol w:w="1137"/>
        <w:gridCol w:w="807"/>
        <w:gridCol w:w="807"/>
        <w:gridCol w:w="807"/>
        <w:gridCol w:w="807"/>
        <w:gridCol w:w="807"/>
        <w:gridCol w:w="807"/>
        <w:gridCol w:w="807"/>
        <w:gridCol w:w="807"/>
        <w:gridCol w:w="807"/>
        <w:gridCol w:w="812"/>
      </w:tblGrid>
      <w:tr w:rsidR="002C2EDE" w:rsidRPr="006C5B3A" w:rsidTr="00FE79B5">
        <w:trPr>
          <w:trHeight w:val="328"/>
        </w:trPr>
        <w:tc>
          <w:tcPr>
            <w:tcW w:w="617" w:type="pct"/>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2C2EDE" w:rsidRPr="006C5B3A" w:rsidRDefault="002C2EDE" w:rsidP="00FE79B5">
            <w:pPr>
              <w:jc w:val="center"/>
              <w:rPr>
                <w:rFonts w:cs="Arial"/>
                <w:color w:val="000000"/>
                <w:sz w:val="18"/>
                <w:szCs w:val="18"/>
              </w:rPr>
            </w:pPr>
          </w:p>
        </w:tc>
        <w:tc>
          <w:tcPr>
            <w:tcW w:w="438" w:type="pct"/>
            <w:tcBorders>
              <w:top w:val="single" w:sz="12" w:space="0" w:color="auto"/>
              <w:left w:val="single" w:sz="8" w:space="0" w:color="auto"/>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2005</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2006</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2007</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2008</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2009</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2010</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2011</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2012</w:t>
            </w:r>
          </w:p>
        </w:tc>
        <w:tc>
          <w:tcPr>
            <w:tcW w:w="438" w:type="pct"/>
            <w:tcBorders>
              <w:top w:val="single" w:sz="12" w:space="0" w:color="auto"/>
              <w:left w:val="nil"/>
              <w:bottom w:val="single" w:sz="8" w:space="0" w:color="auto"/>
              <w:right w:val="single" w:sz="4"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2013</w:t>
            </w:r>
          </w:p>
        </w:tc>
        <w:tc>
          <w:tcPr>
            <w:tcW w:w="441" w:type="pct"/>
            <w:tcBorders>
              <w:top w:val="single" w:sz="12" w:space="0" w:color="auto"/>
              <w:left w:val="nil"/>
              <w:bottom w:val="single" w:sz="8" w:space="0" w:color="auto"/>
              <w:right w:val="single" w:sz="12" w:space="0" w:color="auto"/>
            </w:tcBorders>
            <w:shd w:val="clear" w:color="auto" w:fill="F2DBDB" w:themeFill="accent2" w:themeFillTint="33"/>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2014</w:t>
            </w:r>
          </w:p>
        </w:tc>
      </w:tr>
      <w:tr w:rsidR="002C2EDE" w:rsidRPr="006C5B3A" w:rsidTr="00FE79B5">
        <w:trPr>
          <w:trHeight w:val="300"/>
        </w:trPr>
        <w:tc>
          <w:tcPr>
            <w:tcW w:w="617" w:type="pct"/>
            <w:tcBorders>
              <w:top w:val="single" w:sz="8" w:space="0" w:color="auto"/>
              <w:left w:val="single" w:sz="12" w:space="0" w:color="auto"/>
              <w:bottom w:val="nil"/>
              <w:right w:val="single" w:sz="8" w:space="0" w:color="auto"/>
            </w:tcBorders>
            <w:shd w:val="clear" w:color="auto" w:fill="auto"/>
            <w:noWrap/>
            <w:vAlign w:val="bottom"/>
            <w:hideMark/>
          </w:tcPr>
          <w:p w:rsidR="002C2EDE" w:rsidRPr="006C5B3A" w:rsidRDefault="002C2EDE" w:rsidP="00FE79B5">
            <w:pPr>
              <w:rPr>
                <w:rFonts w:cs="Arial"/>
                <w:color w:val="000000"/>
                <w:sz w:val="18"/>
                <w:szCs w:val="18"/>
              </w:rPr>
            </w:pPr>
            <w:r w:rsidRPr="006C5B3A">
              <w:rPr>
                <w:rFonts w:cs="Arial"/>
                <w:color w:val="000000"/>
                <w:sz w:val="18"/>
                <w:szCs w:val="18"/>
              </w:rPr>
              <w:t> </w:t>
            </w:r>
          </w:p>
        </w:tc>
        <w:tc>
          <w:tcPr>
            <w:tcW w:w="4383" w:type="pct"/>
            <w:gridSpan w:val="10"/>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2C2EDE" w:rsidRPr="006C5B3A" w:rsidRDefault="002C2EDE" w:rsidP="00FE79B5">
            <w:pPr>
              <w:spacing w:line="240" w:lineRule="auto"/>
              <w:jc w:val="center"/>
              <w:rPr>
                <w:rFonts w:cs="Arial"/>
                <w:b/>
                <w:bCs/>
                <w:sz w:val="18"/>
                <w:szCs w:val="18"/>
              </w:rPr>
            </w:pPr>
            <w:r w:rsidRPr="006C5B3A">
              <w:rPr>
                <w:rFonts w:cs="Arial"/>
                <w:b/>
                <w:bCs/>
                <w:sz w:val="18"/>
                <w:szCs w:val="18"/>
              </w:rPr>
              <w:t>prezenční forma</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Pr>
                <w:rFonts w:cs="Arial"/>
                <w:sz w:val="18"/>
                <w:szCs w:val="18"/>
              </w:rPr>
              <w:t>c</w:t>
            </w:r>
            <w:r w:rsidRPr="00E376A1">
              <w:rPr>
                <w:rFonts w:cs="Arial"/>
                <w:sz w:val="18"/>
                <w:szCs w:val="18"/>
              </w:rPr>
              <w:t>elkem</w:t>
            </w:r>
          </w:p>
        </w:tc>
        <w:tc>
          <w:tcPr>
            <w:tcW w:w="438" w:type="pct"/>
            <w:tcBorders>
              <w:top w:val="single" w:sz="8" w:space="0" w:color="auto"/>
              <w:left w:val="single" w:sz="8" w:space="0" w:color="auto"/>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10 101</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9 973</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9 958</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10 497</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11 578</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12 481</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12 779</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12 650</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12 927</w:t>
            </w:r>
          </w:p>
        </w:tc>
        <w:tc>
          <w:tcPr>
            <w:tcW w:w="441" w:type="pct"/>
            <w:tcBorders>
              <w:top w:val="single" w:sz="8" w:space="0" w:color="auto"/>
              <w:left w:val="nil"/>
              <w:right w:val="single" w:sz="12" w:space="0" w:color="auto"/>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12 882</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sidRPr="00E376A1">
              <w:rPr>
                <w:rFonts w:cs="Arial"/>
                <w:sz w:val="18"/>
                <w:szCs w:val="18"/>
              </w:rPr>
              <w:t>ženy</w:t>
            </w:r>
          </w:p>
        </w:tc>
        <w:tc>
          <w:tcPr>
            <w:tcW w:w="438" w:type="pct"/>
            <w:tcBorders>
              <w:left w:val="single" w:sz="8" w:space="0" w:color="auto"/>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3 924</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4 122</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4 272</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4 590</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5 171</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5 596</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5 808</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5 869</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6 069</w:t>
            </w:r>
          </w:p>
        </w:tc>
        <w:tc>
          <w:tcPr>
            <w:tcW w:w="441" w:type="pct"/>
            <w:tcBorders>
              <w:left w:val="nil"/>
              <w:right w:val="single" w:sz="12" w:space="0" w:color="auto"/>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6 089</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sidRPr="00E376A1">
              <w:rPr>
                <w:rFonts w:cs="Arial"/>
                <w:sz w:val="18"/>
                <w:szCs w:val="18"/>
              </w:rPr>
              <w:t>podíl žen</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38,8%</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41,3%</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42,9%</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43,</w:t>
            </w:r>
            <w:r>
              <w:rPr>
                <w:rFonts w:cs="Arial"/>
                <w:i/>
                <w:sz w:val="18"/>
                <w:szCs w:val="18"/>
              </w:rPr>
              <w:t>7</w:t>
            </w:r>
            <w:r w:rsidRPr="00E376A1">
              <w:rPr>
                <w:rFonts w:cs="Arial"/>
                <w:i/>
                <w:sz w:val="18"/>
                <w:szCs w:val="18"/>
              </w:rPr>
              <w:t>%</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44,7%</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44,8%</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45,4%</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46,4%</w:t>
            </w:r>
          </w:p>
        </w:tc>
        <w:tc>
          <w:tcPr>
            <w:tcW w:w="438" w:type="pct"/>
            <w:tcBorders>
              <w:left w:val="single" w:sz="8" w:space="0" w:color="auto"/>
              <w:bottom w:val="single" w:sz="8" w:space="0" w:color="auto"/>
              <w:right w:val="single" w:sz="8"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46,9%</w:t>
            </w:r>
          </w:p>
        </w:tc>
        <w:tc>
          <w:tcPr>
            <w:tcW w:w="441" w:type="pct"/>
            <w:tcBorders>
              <w:left w:val="single" w:sz="8" w:space="0" w:color="auto"/>
              <w:bottom w:val="single" w:sz="8" w:space="0" w:color="auto"/>
              <w:right w:val="single" w:sz="12"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47,3%</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sidRPr="00E376A1">
              <w:rPr>
                <w:rFonts w:cs="Arial"/>
                <w:sz w:val="18"/>
                <w:szCs w:val="18"/>
              </w:rPr>
              <w:t> </w:t>
            </w:r>
          </w:p>
        </w:tc>
        <w:tc>
          <w:tcPr>
            <w:tcW w:w="4383" w:type="pct"/>
            <w:gridSpan w:val="10"/>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2C2EDE" w:rsidRPr="00E376A1" w:rsidRDefault="002C2EDE" w:rsidP="00FE79B5">
            <w:pPr>
              <w:spacing w:line="240" w:lineRule="auto"/>
              <w:jc w:val="center"/>
              <w:rPr>
                <w:rFonts w:cs="Arial"/>
                <w:b/>
                <w:bCs/>
                <w:sz w:val="18"/>
                <w:szCs w:val="18"/>
              </w:rPr>
            </w:pPr>
            <w:r w:rsidRPr="00E376A1">
              <w:rPr>
                <w:rFonts w:cs="Arial"/>
                <w:b/>
                <w:bCs/>
                <w:sz w:val="18"/>
                <w:szCs w:val="18"/>
              </w:rPr>
              <w:t>distanční a kombinovaná forma</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Pr>
                <w:rFonts w:cs="Arial"/>
                <w:sz w:val="18"/>
                <w:szCs w:val="18"/>
              </w:rPr>
              <w:t>c</w:t>
            </w:r>
            <w:r w:rsidRPr="00E376A1">
              <w:rPr>
                <w:rFonts w:cs="Arial"/>
                <w:sz w:val="18"/>
                <w:szCs w:val="18"/>
              </w:rPr>
              <w:t>elkem</w:t>
            </w:r>
          </w:p>
        </w:tc>
        <w:tc>
          <w:tcPr>
            <w:tcW w:w="438" w:type="pct"/>
            <w:tcBorders>
              <w:top w:val="single" w:sz="8" w:space="0" w:color="auto"/>
              <w:left w:val="single" w:sz="8" w:space="0" w:color="auto"/>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12 281</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13 387</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14 060</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14 035</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13 907</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13 403</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12 822</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12 091</w:t>
            </w:r>
          </w:p>
        </w:tc>
        <w:tc>
          <w:tcPr>
            <w:tcW w:w="438" w:type="pct"/>
            <w:tcBorders>
              <w:top w:val="single" w:sz="8" w:space="0" w:color="auto"/>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11 743</w:t>
            </w:r>
          </w:p>
        </w:tc>
        <w:tc>
          <w:tcPr>
            <w:tcW w:w="441" w:type="pct"/>
            <w:tcBorders>
              <w:top w:val="single" w:sz="8" w:space="0" w:color="auto"/>
              <w:left w:val="nil"/>
              <w:right w:val="single" w:sz="12" w:space="0" w:color="auto"/>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11 327</w:t>
            </w:r>
          </w:p>
        </w:tc>
      </w:tr>
      <w:tr w:rsidR="002C2EDE" w:rsidRPr="00E376A1" w:rsidTr="00FE79B5">
        <w:trPr>
          <w:trHeight w:val="300"/>
        </w:trPr>
        <w:tc>
          <w:tcPr>
            <w:tcW w:w="617" w:type="pct"/>
            <w:tcBorders>
              <w:top w:val="nil"/>
              <w:left w:val="single" w:sz="12" w:space="0" w:color="auto"/>
              <w:bottom w:val="nil"/>
              <w:right w:val="single" w:sz="8" w:space="0" w:color="auto"/>
            </w:tcBorders>
            <w:shd w:val="clear" w:color="auto" w:fill="auto"/>
            <w:noWrap/>
            <w:vAlign w:val="bottom"/>
            <w:hideMark/>
          </w:tcPr>
          <w:p w:rsidR="002C2EDE" w:rsidRPr="00E376A1" w:rsidRDefault="002C2EDE" w:rsidP="00FE79B5">
            <w:pPr>
              <w:rPr>
                <w:rFonts w:cs="Arial"/>
                <w:sz w:val="18"/>
                <w:szCs w:val="18"/>
              </w:rPr>
            </w:pPr>
            <w:r w:rsidRPr="00E376A1">
              <w:rPr>
                <w:rFonts w:cs="Arial"/>
                <w:sz w:val="18"/>
                <w:szCs w:val="18"/>
              </w:rPr>
              <w:t>ženy</w:t>
            </w:r>
          </w:p>
        </w:tc>
        <w:tc>
          <w:tcPr>
            <w:tcW w:w="438" w:type="pct"/>
            <w:tcBorders>
              <w:left w:val="single" w:sz="8" w:space="0" w:color="auto"/>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4 628</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5 078</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5 325</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5 522</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5 575</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5 482</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5 200</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5 003</w:t>
            </w:r>
          </w:p>
        </w:tc>
        <w:tc>
          <w:tcPr>
            <w:tcW w:w="438" w:type="pct"/>
            <w:tcBorders>
              <w:left w:val="nil"/>
              <w:right w:val="single" w:sz="4" w:space="0" w:color="000000"/>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4 849</w:t>
            </w:r>
          </w:p>
        </w:tc>
        <w:tc>
          <w:tcPr>
            <w:tcW w:w="441" w:type="pct"/>
            <w:tcBorders>
              <w:left w:val="nil"/>
              <w:right w:val="single" w:sz="12" w:space="0" w:color="auto"/>
            </w:tcBorders>
            <w:shd w:val="clear" w:color="auto" w:fill="auto"/>
            <w:vAlign w:val="bottom"/>
            <w:hideMark/>
          </w:tcPr>
          <w:p w:rsidR="002C2EDE" w:rsidRPr="00E376A1" w:rsidRDefault="002C2EDE" w:rsidP="00FE79B5">
            <w:pPr>
              <w:jc w:val="right"/>
              <w:rPr>
                <w:rFonts w:cs="Arial"/>
                <w:sz w:val="18"/>
                <w:szCs w:val="18"/>
              </w:rPr>
            </w:pPr>
            <w:r w:rsidRPr="00E376A1">
              <w:rPr>
                <w:rFonts w:cs="Arial"/>
                <w:sz w:val="18"/>
                <w:szCs w:val="18"/>
              </w:rPr>
              <w:t>4 655</w:t>
            </w:r>
          </w:p>
        </w:tc>
      </w:tr>
      <w:tr w:rsidR="002C2EDE" w:rsidRPr="00E376A1" w:rsidTr="00FE79B5">
        <w:trPr>
          <w:trHeight w:val="315"/>
        </w:trPr>
        <w:tc>
          <w:tcPr>
            <w:tcW w:w="617" w:type="pct"/>
            <w:tcBorders>
              <w:top w:val="nil"/>
              <w:left w:val="single" w:sz="12" w:space="0" w:color="auto"/>
              <w:bottom w:val="single" w:sz="12" w:space="0" w:color="auto"/>
              <w:right w:val="single" w:sz="8" w:space="0" w:color="auto"/>
            </w:tcBorders>
            <w:shd w:val="clear" w:color="auto" w:fill="auto"/>
            <w:noWrap/>
            <w:vAlign w:val="bottom"/>
            <w:hideMark/>
          </w:tcPr>
          <w:p w:rsidR="002C2EDE" w:rsidRPr="00E376A1" w:rsidRDefault="002C2EDE" w:rsidP="00FE79B5">
            <w:pPr>
              <w:rPr>
                <w:rFonts w:cs="Arial"/>
                <w:sz w:val="18"/>
                <w:szCs w:val="18"/>
              </w:rPr>
            </w:pPr>
            <w:r w:rsidRPr="00E376A1">
              <w:rPr>
                <w:rFonts w:cs="Arial"/>
                <w:sz w:val="18"/>
                <w:szCs w:val="18"/>
              </w:rPr>
              <w:t>podíl žen</w:t>
            </w:r>
          </w:p>
        </w:tc>
        <w:tc>
          <w:tcPr>
            <w:tcW w:w="438" w:type="pct"/>
            <w:tcBorders>
              <w:left w:val="single" w:sz="8" w:space="0" w:color="auto"/>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37,7%</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37,9%</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37,9%</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39,3%</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40,1%</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40,9%</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40,6%</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41,4%</w:t>
            </w:r>
          </w:p>
        </w:tc>
        <w:tc>
          <w:tcPr>
            <w:tcW w:w="438" w:type="pct"/>
            <w:tcBorders>
              <w:left w:val="nil"/>
              <w:bottom w:val="single" w:sz="12" w:space="0" w:color="auto"/>
              <w:right w:val="single" w:sz="4"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41,3%</w:t>
            </w:r>
          </w:p>
        </w:tc>
        <w:tc>
          <w:tcPr>
            <w:tcW w:w="441" w:type="pct"/>
            <w:tcBorders>
              <w:left w:val="nil"/>
              <w:bottom w:val="single" w:sz="12" w:space="0" w:color="auto"/>
              <w:right w:val="single" w:sz="12" w:space="0" w:color="auto"/>
            </w:tcBorders>
            <w:shd w:val="clear" w:color="auto" w:fill="auto"/>
            <w:noWrap/>
            <w:vAlign w:val="bottom"/>
            <w:hideMark/>
          </w:tcPr>
          <w:p w:rsidR="002C2EDE" w:rsidRPr="00E376A1" w:rsidRDefault="002C2EDE" w:rsidP="00FE79B5">
            <w:pPr>
              <w:jc w:val="right"/>
              <w:rPr>
                <w:rFonts w:cs="Arial"/>
                <w:i/>
                <w:sz w:val="18"/>
                <w:szCs w:val="18"/>
              </w:rPr>
            </w:pPr>
            <w:r w:rsidRPr="00E376A1">
              <w:rPr>
                <w:rFonts w:cs="Arial"/>
                <w:i/>
                <w:sz w:val="18"/>
                <w:szCs w:val="18"/>
              </w:rPr>
              <w:t>41,1%</w:t>
            </w:r>
          </w:p>
        </w:tc>
      </w:tr>
    </w:tbl>
    <w:p w:rsidR="002C2EDE" w:rsidRDefault="002C2EDE" w:rsidP="002C2EDE">
      <w:pPr>
        <w:pStyle w:val="Zkladntextodsazen"/>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60" w:line="288" w:lineRule="auto"/>
        <w:ind w:firstLine="0"/>
        <w:rPr>
          <w:i/>
          <w:iCs/>
          <w:sz w:val="18"/>
          <w:szCs w:val="18"/>
        </w:rPr>
      </w:pPr>
      <w:r w:rsidRPr="00355B40">
        <w:rPr>
          <w:i/>
          <w:iCs/>
          <w:sz w:val="18"/>
          <w:szCs w:val="18"/>
        </w:rPr>
        <w:t xml:space="preserve">Zdroj: </w:t>
      </w:r>
      <w:r>
        <w:rPr>
          <w:i/>
          <w:iCs/>
          <w:sz w:val="18"/>
          <w:szCs w:val="18"/>
        </w:rPr>
        <w:t>Ministerstvo školství, mládeže a tělovýchovy, 2015</w:t>
      </w:r>
    </w:p>
    <w:p w:rsidR="002C2EDE" w:rsidRDefault="002C2EDE" w:rsidP="002C2EDE">
      <w:pPr>
        <w:jc w:val="both"/>
      </w:pPr>
      <w:r>
        <w:lastRenderedPageBreak/>
        <w:t>Formou prezenčního studia se</w:t>
      </w:r>
      <w:r w:rsidRPr="0065057F">
        <w:t xml:space="preserve"> </w:t>
      </w:r>
      <w:r>
        <w:t>v roce 2005 vzdělávalo celkem 10,1 tisíc studentů, v roce 2010 to bylo o 2,4 tisíc studentů více a v roce 2014 činil jejich počet celkem 12,9 tisíc. Během uplynulých let se zvyšují počty studentek doktorských studijních programů a jejich podíl na celku studentů. V roce 2010 tvořily studentky doktorských studijních programů v prezenční formě studia celkem 44,8 % studentů, v roce 2014 to bylo již 47,3 % z celku.</w:t>
      </w:r>
    </w:p>
    <w:p w:rsidR="002C2EDE" w:rsidRDefault="002C2EDE" w:rsidP="002C2EDE">
      <w:pPr>
        <w:jc w:val="both"/>
      </w:pPr>
      <w:r>
        <w:t>Především zaměstnaní studenti využívají ke studiu doktorských studijních programů distanční a kombinované formy studia. Před deseti lety se počet těchto studentů pohyboval okolo 12,3 tisíce a do roku 2009 výrazně vzrostl téměř na 14 tisíc. Od tohoto roku ovšem počty studentů doktorských studijních programů v distanční a kombinované formě postupně klesaly až na hodnotu 11,3 tisíc v roce 2014. Podíl žen studujících v doktorských studijních programech distanční či kombinovanou formou během uplynulých deseti let mírně vzrostl a v posledních třech letech činil průměrně 41,3 % z celkového počtu studentů doktorských studijních programů v distanční a kombinované formě studia.</w:t>
      </w:r>
    </w:p>
    <w:sectPr w:rsidR="002C2EDE" w:rsidSect="00CB3E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652C"/>
    <w:multiLevelType w:val="multilevel"/>
    <w:tmpl w:val="264C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DA728FD"/>
    <w:multiLevelType w:val="hybridMultilevel"/>
    <w:tmpl w:val="22DCB9A0"/>
    <w:lvl w:ilvl="0" w:tplc="C36238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E1801C9"/>
    <w:multiLevelType w:val="multilevel"/>
    <w:tmpl w:val="46E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2EDE"/>
    <w:rsid w:val="002C2EDE"/>
    <w:rsid w:val="00CB3E2E"/>
    <w:rsid w:val="00E914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2EDE"/>
    <w:pPr>
      <w:spacing w:after="0" w:line="288" w:lineRule="auto"/>
    </w:pPr>
    <w:rPr>
      <w:rFonts w:ascii="Arial" w:eastAsia="Times New Roman" w:hAnsi="Arial" w:cs="Times New Roman"/>
      <w:sz w:val="20"/>
      <w:szCs w:val="24"/>
      <w:lang w:eastAsia="cs-CZ"/>
    </w:rPr>
  </w:style>
  <w:style w:type="paragraph" w:styleId="Nadpis1">
    <w:name w:val="heading 1"/>
    <w:next w:val="Normln"/>
    <w:link w:val="Nadpis1Char"/>
    <w:uiPriority w:val="9"/>
    <w:qFormat/>
    <w:rsid w:val="002C2EDE"/>
    <w:pPr>
      <w:keepNext/>
      <w:keepLines/>
      <w:spacing w:before="120" w:line="288" w:lineRule="auto"/>
      <w:outlineLvl w:val="0"/>
    </w:pPr>
    <w:rPr>
      <w:rFonts w:ascii="Arial" w:eastAsia="MS Gothic" w:hAnsi="Arial" w:cs="Times New Roman"/>
      <w:b/>
      <w:bCs/>
      <w:color w:val="BC091B"/>
      <w:sz w:val="32"/>
      <w:szCs w:val="28"/>
      <w:lang w:eastAsia="cs-CZ"/>
    </w:rPr>
  </w:style>
  <w:style w:type="paragraph" w:styleId="Nadpis2">
    <w:name w:val="heading 2"/>
    <w:next w:val="Normln"/>
    <w:link w:val="Nadpis2Char"/>
    <w:uiPriority w:val="9"/>
    <w:qFormat/>
    <w:rsid w:val="002C2EDE"/>
    <w:pPr>
      <w:keepNext/>
      <w:keepLines/>
      <w:spacing w:before="360" w:after="120" w:line="288" w:lineRule="auto"/>
      <w:outlineLvl w:val="1"/>
    </w:pPr>
    <w:rPr>
      <w:rFonts w:ascii="Arial" w:eastAsia="MS Gothic" w:hAnsi="Arial" w:cs="Times New Roman"/>
      <w:b/>
      <w:bCs/>
      <w:color w:val="BC091B"/>
      <w:sz w:val="24"/>
      <w:szCs w:val="26"/>
      <w:lang w:eastAsia="cs-CZ"/>
    </w:rPr>
  </w:style>
  <w:style w:type="paragraph" w:styleId="Nadpis3">
    <w:name w:val="heading 3"/>
    <w:next w:val="Normln"/>
    <w:link w:val="Nadpis3Char"/>
    <w:uiPriority w:val="9"/>
    <w:qFormat/>
    <w:rsid w:val="002C2EDE"/>
    <w:pPr>
      <w:keepNext/>
      <w:keepLines/>
      <w:spacing w:before="360" w:after="120" w:line="288" w:lineRule="auto"/>
      <w:outlineLvl w:val="2"/>
    </w:pPr>
    <w:rPr>
      <w:rFonts w:ascii="Arial" w:eastAsia="MS Gothic" w:hAnsi="Arial" w:cs="Times New Roman"/>
      <w:b/>
      <w:bCs/>
      <w:color w:val="BC091B"/>
      <w:sz w:val="24"/>
      <w:szCs w:val="24"/>
      <w:lang w:eastAsia="cs-CZ"/>
    </w:rPr>
  </w:style>
  <w:style w:type="paragraph" w:styleId="Nadpis4">
    <w:name w:val="heading 4"/>
    <w:next w:val="Normln"/>
    <w:link w:val="Nadpis4Char"/>
    <w:uiPriority w:val="9"/>
    <w:qFormat/>
    <w:rsid w:val="002C2EDE"/>
    <w:pPr>
      <w:keepNext/>
      <w:keepLines/>
      <w:spacing w:before="240" w:after="40" w:line="240" w:lineRule="auto"/>
      <w:outlineLvl w:val="3"/>
    </w:pPr>
    <w:rPr>
      <w:rFonts w:ascii="Arial" w:eastAsia="MS Gothic" w:hAnsi="Arial" w:cs="Times New Roman"/>
      <w:b/>
      <w:bCs/>
      <w:iCs/>
      <w:color w:val="C0504D"/>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2EDE"/>
    <w:rPr>
      <w:rFonts w:ascii="Arial" w:eastAsia="MS Gothic" w:hAnsi="Arial" w:cs="Times New Roman"/>
      <w:b/>
      <w:bCs/>
      <w:color w:val="BC091B"/>
      <w:sz w:val="32"/>
      <w:szCs w:val="28"/>
      <w:lang w:eastAsia="cs-CZ"/>
    </w:rPr>
  </w:style>
  <w:style w:type="character" w:customStyle="1" w:styleId="Nadpis2Char">
    <w:name w:val="Nadpis 2 Char"/>
    <w:basedOn w:val="Standardnpsmoodstavce"/>
    <w:link w:val="Nadpis2"/>
    <w:uiPriority w:val="9"/>
    <w:rsid w:val="002C2EDE"/>
    <w:rPr>
      <w:rFonts w:ascii="Arial" w:eastAsia="MS Gothic" w:hAnsi="Arial" w:cs="Times New Roman"/>
      <w:b/>
      <w:bCs/>
      <w:color w:val="BC091B"/>
      <w:sz w:val="24"/>
      <w:szCs w:val="26"/>
      <w:lang w:eastAsia="cs-CZ"/>
    </w:rPr>
  </w:style>
  <w:style w:type="character" w:customStyle="1" w:styleId="Nadpis3Char">
    <w:name w:val="Nadpis 3 Char"/>
    <w:basedOn w:val="Standardnpsmoodstavce"/>
    <w:link w:val="Nadpis3"/>
    <w:uiPriority w:val="9"/>
    <w:rsid w:val="002C2EDE"/>
    <w:rPr>
      <w:rFonts w:ascii="Arial" w:eastAsia="MS Gothic" w:hAnsi="Arial" w:cs="Times New Roman"/>
      <w:b/>
      <w:bCs/>
      <w:color w:val="BC091B"/>
      <w:sz w:val="24"/>
      <w:szCs w:val="24"/>
      <w:lang w:eastAsia="cs-CZ"/>
    </w:rPr>
  </w:style>
  <w:style w:type="character" w:customStyle="1" w:styleId="Nadpis4Char">
    <w:name w:val="Nadpis 4 Char"/>
    <w:basedOn w:val="Standardnpsmoodstavce"/>
    <w:link w:val="Nadpis4"/>
    <w:uiPriority w:val="9"/>
    <w:rsid w:val="002C2EDE"/>
    <w:rPr>
      <w:rFonts w:ascii="Arial" w:eastAsia="MS Gothic" w:hAnsi="Arial" w:cs="Times New Roman"/>
      <w:b/>
      <w:bCs/>
      <w:iCs/>
      <w:color w:val="C0504D"/>
      <w:sz w:val="20"/>
      <w:szCs w:val="24"/>
      <w:lang w:eastAsia="cs-CZ"/>
    </w:rPr>
  </w:style>
  <w:style w:type="character" w:styleId="Hypertextovodkaz">
    <w:name w:val="Hyperlink"/>
    <w:uiPriority w:val="99"/>
    <w:rsid w:val="002C2EDE"/>
    <w:rPr>
      <w:color w:val="0000FF"/>
      <w:u w:val="single"/>
    </w:rPr>
  </w:style>
  <w:style w:type="paragraph" w:customStyle="1" w:styleId="Styl1">
    <w:name w:val="Styl1"/>
    <w:rsid w:val="002C2EDE"/>
    <w:pPr>
      <w:suppressAutoHyphens/>
      <w:autoSpaceDE w:val="0"/>
      <w:spacing w:after="0" w:line="240" w:lineRule="auto"/>
    </w:pPr>
    <w:rPr>
      <w:rFonts w:ascii="Arial" w:eastAsia="Times New Roman" w:hAnsi="Arial" w:cs="Times New Roman"/>
      <w:sz w:val="24"/>
      <w:szCs w:val="24"/>
      <w:lang w:eastAsia="ar-SA"/>
    </w:rPr>
  </w:style>
  <w:style w:type="paragraph" w:styleId="Zhlav">
    <w:name w:val="header"/>
    <w:basedOn w:val="Normln"/>
    <w:link w:val="ZhlavChar"/>
    <w:uiPriority w:val="99"/>
    <w:unhideWhenUsed/>
    <w:rsid w:val="002C2EDE"/>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2C2EDE"/>
    <w:rPr>
      <w:rFonts w:ascii="Calibri" w:eastAsia="Calibri" w:hAnsi="Calibri" w:cs="Times New Roman"/>
    </w:rPr>
  </w:style>
  <w:style w:type="paragraph" w:styleId="Zpat">
    <w:name w:val="footer"/>
    <w:basedOn w:val="Normln"/>
    <w:link w:val="ZpatChar"/>
    <w:uiPriority w:val="99"/>
    <w:unhideWhenUsed/>
    <w:rsid w:val="002C2EDE"/>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2C2EDE"/>
    <w:rPr>
      <w:rFonts w:ascii="Calibri" w:eastAsia="Calibri" w:hAnsi="Calibri" w:cs="Times New Roman"/>
    </w:rPr>
  </w:style>
  <w:style w:type="paragraph" w:styleId="Textbubliny">
    <w:name w:val="Balloon Text"/>
    <w:basedOn w:val="Normln"/>
    <w:link w:val="TextbublinyChar"/>
    <w:uiPriority w:val="99"/>
    <w:semiHidden/>
    <w:unhideWhenUsed/>
    <w:rsid w:val="002C2EDE"/>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2C2EDE"/>
    <w:rPr>
      <w:rFonts w:ascii="Tahoma" w:eastAsia="Calibri" w:hAnsi="Tahoma" w:cs="Times New Roman"/>
      <w:sz w:val="16"/>
      <w:szCs w:val="16"/>
      <w:lang w:eastAsia="cs-CZ"/>
    </w:rPr>
  </w:style>
  <w:style w:type="paragraph" w:customStyle="1" w:styleId="Zkladnodstavec">
    <w:name w:val="[Základní odstavec]"/>
    <w:basedOn w:val="Normln"/>
    <w:link w:val="ZkladnodstavecChar"/>
    <w:uiPriority w:val="99"/>
    <w:rsid w:val="002C2EDE"/>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2C2EDE"/>
    <w:pPr>
      <w:spacing w:after="0" w:line="288" w:lineRule="auto"/>
      <w:contextualSpacing/>
      <w:outlineLvl w:val="0"/>
    </w:pPr>
    <w:rPr>
      <w:rFonts w:ascii="Arial" w:eastAsia="MS Gothic" w:hAnsi="Arial" w:cs="Times New Roman"/>
      <w:b/>
      <w:caps/>
      <w:color w:val="BC091B"/>
      <w:sz w:val="56"/>
      <w:szCs w:val="52"/>
      <w:lang w:eastAsia="cs-CZ"/>
    </w:rPr>
  </w:style>
  <w:style w:type="character" w:customStyle="1" w:styleId="NzevChar">
    <w:name w:val="Název Char"/>
    <w:basedOn w:val="Standardnpsmoodstavce"/>
    <w:link w:val="Nzev"/>
    <w:uiPriority w:val="10"/>
    <w:rsid w:val="002C2EDE"/>
    <w:rPr>
      <w:rFonts w:ascii="Arial" w:eastAsia="MS Gothic" w:hAnsi="Arial" w:cs="Times New Roman"/>
      <w:b/>
      <w:caps/>
      <w:color w:val="BC091B"/>
      <w:sz w:val="56"/>
      <w:szCs w:val="52"/>
      <w:lang w:eastAsia="cs-CZ"/>
    </w:rPr>
  </w:style>
  <w:style w:type="paragraph" w:styleId="Podtitul">
    <w:name w:val="Subtitle"/>
    <w:next w:val="Normln"/>
    <w:link w:val="PodtitulChar"/>
    <w:uiPriority w:val="11"/>
    <w:qFormat/>
    <w:rsid w:val="002C2EDE"/>
    <w:pPr>
      <w:numPr>
        <w:ilvl w:val="1"/>
      </w:numPr>
      <w:spacing w:after="0" w:line="288" w:lineRule="auto"/>
    </w:pPr>
    <w:rPr>
      <w:rFonts w:ascii="Arial" w:eastAsia="MS Gothic" w:hAnsi="Arial" w:cs="Times New Roman"/>
      <w:b/>
      <w:iCs/>
      <w:color w:val="BC091B"/>
      <w:sz w:val="28"/>
      <w:szCs w:val="24"/>
      <w:lang w:eastAsia="cs-CZ"/>
    </w:rPr>
  </w:style>
  <w:style w:type="character" w:customStyle="1" w:styleId="PodtitulChar">
    <w:name w:val="Podtitul Char"/>
    <w:basedOn w:val="Standardnpsmoodstavce"/>
    <w:link w:val="Podtitul"/>
    <w:uiPriority w:val="11"/>
    <w:rsid w:val="002C2EDE"/>
    <w:rPr>
      <w:rFonts w:ascii="Arial" w:eastAsia="MS Gothic" w:hAnsi="Arial" w:cs="Times New Roman"/>
      <w:b/>
      <w:iCs/>
      <w:color w:val="BC091B"/>
      <w:sz w:val="28"/>
      <w:szCs w:val="24"/>
      <w:lang w:eastAsia="cs-CZ"/>
    </w:rPr>
  </w:style>
  <w:style w:type="paragraph" w:customStyle="1" w:styleId="Stednmka21">
    <w:name w:val="Střední mřížka 21"/>
    <w:aliases w:val="Bez zarážky"/>
    <w:link w:val="Stednmka2Char"/>
    <w:uiPriority w:val="1"/>
    <w:rsid w:val="002C2EDE"/>
    <w:pPr>
      <w:spacing w:after="0" w:line="288" w:lineRule="auto"/>
    </w:pPr>
    <w:rPr>
      <w:rFonts w:ascii="Arial" w:eastAsia="Times New Roman" w:hAnsi="Arial" w:cs="Times New Roman"/>
      <w:sz w:val="20"/>
      <w:szCs w:val="24"/>
      <w:lang w:eastAsia="cs-CZ"/>
    </w:rPr>
  </w:style>
  <w:style w:type="paragraph" w:customStyle="1" w:styleId="Box1">
    <w:name w:val="Box 1"/>
    <w:basedOn w:val="Zkladnodstavec"/>
    <w:next w:val="Normln"/>
    <w:rsid w:val="002C2EDE"/>
    <w:pPr>
      <w:ind w:left="1134"/>
    </w:pPr>
    <w:rPr>
      <w:rFonts w:ascii="Arial" w:hAnsi="Arial" w:cs="Arial"/>
      <w:color w:val="BC091B"/>
      <w:sz w:val="20"/>
      <w:szCs w:val="20"/>
    </w:rPr>
  </w:style>
  <w:style w:type="paragraph" w:customStyle="1" w:styleId="Box2">
    <w:name w:val="Box 2"/>
    <w:basedOn w:val="Zkladnodstavec"/>
    <w:link w:val="Box2Char"/>
    <w:rsid w:val="002C2EDE"/>
    <w:pPr>
      <w:shd w:val="clear" w:color="auto" w:fill="CCC0D9"/>
      <w:tabs>
        <w:tab w:val="left" w:pos="9638"/>
      </w:tabs>
      <w:ind w:left="1134" w:right="-1"/>
      <w:jc w:val="both"/>
    </w:pPr>
    <w:rPr>
      <w:rFonts w:ascii="Arial" w:hAnsi="Arial"/>
      <w:b/>
    </w:rPr>
  </w:style>
  <w:style w:type="paragraph" w:customStyle="1" w:styleId="Box">
    <w:name w:val="Box"/>
    <w:next w:val="Normln"/>
    <w:link w:val="BoxChar"/>
    <w:rsid w:val="002C2EDE"/>
    <w:pPr>
      <w:shd w:val="clear" w:color="auto" w:fill="F5DADD"/>
      <w:spacing w:after="0" w:line="288" w:lineRule="auto"/>
      <w:ind w:left="1134"/>
    </w:pPr>
    <w:rPr>
      <w:rFonts w:ascii="Arial" w:eastAsia="Calibri" w:hAnsi="Arial" w:cs="Times New Roman"/>
      <w:color w:val="000000"/>
      <w:sz w:val="24"/>
      <w:szCs w:val="24"/>
      <w:lang w:eastAsia="cs-CZ"/>
    </w:rPr>
  </w:style>
  <w:style w:type="paragraph" w:customStyle="1" w:styleId="TL-Kontakty">
    <w:name w:val="TL - Kontakty"/>
    <w:next w:val="Normln"/>
    <w:link w:val="TL-KontaktyChar"/>
    <w:rsid w:val="002C2EDE"/>
    <w:pPr>
      <w:spacing w:after="80" w:line="240" w:lineRule="auto"/>
    </w:pPr>
    <w:rPr>
      <w:rFonts w:ascii="Arial" w:eastAsia="Times New Roman" w:hAnsi="Arial" w:cs="Times New Roman"/>
      <w:b/>
      <w:caps/>
      <w:color w:val="BD1B21"/>
      <w:sz w:val="24"/>
      <w:szCs w:val="24"/>
      <w:lang w:eastAsia="cs-CZ"/>
    </w:rPr>
  </w:style>
  <w:style w:type="character" w:customStyle="1" w:styleId="ZkladnodstavecChar">
    <w:name w:val="[Základní odstavec] Char"/>
    <w:link w:val="Zkladnodstavec"/>
    <w:uiPriority w:val="99"/>
    <w:rsid w:val="002C2EDE"/>
    <w:rPr>
      <w:rFonts w:ascii="Minion Pro" w:eastAsia="Calibri" w:hAnsi="Minion Pro" w:cs="Times New Roman"/>
      <w:color w:val="000000"/>
      <w:sz w:val="24"/>
      <w:szCs w:val="24"/>
      <w:lang w:eastAsia="cs-CZ"/>
    </w:rPr>
  </w:style>
  <w:style w:type="character" w:customStyle="1" w:styleId="Box2Char">
    <w:name w:val="Box 2 Char"/>
    <w:link w:val="Box2"/>
    <w:rsid w:val="002C2EDE"/>
    <w:rPr>
      <w:rFonts w:ascii="Arial" w:eastAsia="Calibri" w:hAnsi="Arial" w:cs="Times New Roman"/>
      <w:b/>
      <w:color w:val="000000"/>
      <w:sz w:val="24"/>
      <w:szCs w:val="24"/>
      <w:shd w:val="clear" w:color="auto" w:fill="CCC0D9"/>
      <w:lang w:eastAsia="cs-CZ"/>
    </w:rPr>
  </w:style>
  <w:style w:type="character" w:customStyle="1" w:styleId="BoxChar">
    <w:name w:val="Box Char"/>
    <w:link w:val="Box"/>
    <w:rsid w:val="002C2EDE"/>
    <w:rPr>
      <w:rFonts w:ascii="Arial" w:eastAsia="Calibri" w:hAnsi="Arial" w:cs="Times New Roman"/>
      <w:color w:val="000000"/>
      <w:sz w:val="24"/>
      <w:szCs w:val="24"/>
      <w:shd w:val="clear" w:color="auto" w:fill="F5DADD"/>
      <w:lang w:eastAsia="cs-CZ"/>
    </w:rPr>
  </w:style>
  <w:style w:type="paragraph" w:customStyle="1" w:styleId="TL-Identifikace">
    <w:name w:val="TL - Identifikace"/>
    <w:next w:val="Normln"/>
    <w:link w:val="TL-IdentifikaceChar"/>
    <w:rsid w:val="002C2EDE"/>
    <w:pPr>
      <w:spacing w:line="288" w:lineRule="auto"/>
    </w:pPr>
    <w:rPr>
      <w:rFonts w:ascii="Arial" w:eastAsia="Times New Roman" w:hAnsi="Arial" w:cs="Times New Roman"/>
      <w:sz w:val="24"/>
      <w:szCs w:val="24"/>
      <w:lang w:eastAsia="cs-CZ"/>
    </w:rPr>
  </w:style>
  <w:style w:type="character" w:customStyle="1" w:styleId="TL-KontaktyChar">
    <w:name w:val="TL - Kontakty Char"/>
    <w:link w:val="TL-Kontakty"/>
    <w:rsid w:val="002C2EDE"/>
    <w:rPr>
      <w:rFonts w:ascii="Arial" w:eastAsia="Times New Roman" w:hAnsi="Arial" w:cs="Times New Roman"/>
      <w:b/>
      <w:caps/>
      <w:color w:val="BD1B21"/>
      <w:sz w:val="24"/>
      <w:szCs w:val="24"/>
      <w:lang w:eastAsia="cs-CZ"/>
    </w:rPr>
  </w:style>
  <w:style w:type="character" w:customStyle="1" w:styleId="TL-IdentifikaceChar">
    <w:name w:val="TL - Identifikace Char"/>
    <w:link w:val="TL-Identifikace"/>
    <w:rsid w:val="002C2EDE"/>
    <w:rPr>
      <w:rFonts w:ascii="Arial" w:eastAsia="Times New Roman" w:hAnsi="Arial" w:cs="Times New Roman"/>
      <w:sz w:val="24"/>
      <w:szCs w:val="24"/>
      <w:lang w:eastAsia="cs-CZ"/>
    </w:rPr>
  </w:style>
  <w:style w:type="paragraph" w:customStyle="1" w:styleId="3372873BB58A4DED866D2BE34882C06C">
    <w:name w:val="3372873BB58A4DED866D2BE34882C06C"/>
    <w:rsid w:val="002C2EDE"/>
    <w:rPr>
      <w:rFonts w:ascii="Calibri" w:eastAsia="MS Mincho" w:hAnsi="Calibri" w:cs="Times New Roman"/>
      <w:lang w:eastAsia="cs-CZ"/>
    </w:rPr>
  </w:style>
  <w:style w:type="paragraph" w:customStyle="1" w:styleId="233E5CD5853943F4BD7E8C4B124C0E1D">
    <w:name w:val="233E5CD5853943F4BD7E8C4B124C0E1D"/>
    <w:rsid w:val="002C2EDE"/>
    <w:rPr>
      <w:rFonts w:ascii="Calibri" w:eastAsia="MS Mincho" w:hAnsi="Calibri" w:cs="Times New Roman"/>
      <w:lang w:eastAsia="cs-CZ"/>
    </w:rPr>
  </w:style>
  <w:style w:type="paragraph" w:customStyle="1" w:styleId="D345FF3D873148C5AE3FBF3267827368">
    <w:name w:val="D345FF3D873148C5AE3FBF3267827368"/>
    <w:rsid w:val="002C2EDE"/>
    <w:rPr>
      <w:rFonts w:ascii="Calibri" w:eastAsia="MS Mincho" w:hAnsi="Calibri" w:cs="Times New Roman"/>
      <w:lang w:eastAsia="cs-CZ"/>
    </w:rPr>
  </w:style>
  <w:style w:type="character" w:customStyle="1" w:styleId="Stednmka2Char">
    <w:name w:val="Střední mřížka 2 Char"/>
    <w:aliases w:val="Bez zarážky Char"/>
    <w:link w:val="Stednmka21"/>
    <w:uiPriority w:val="1"/>
    <w:rsid w:val="002C2EDE"/>
    <w:rPr>
      <w:rFonts w:ascii="Arial" w:eastAsia="Times New Roman" w:hAnsi="Arial" w:cs="Times New Roman"/>
      <w:sz w:val="20"/>
      <w:szCs w:val="24"/>
      <w:lang w:eastAsia="cs-CZ"/>
    </w:rPr>
  </w:style>
  <w:style w:type="paragraph" w:customStyle="1" w:styleId="TL-identifikace-sted">
    <w:name w:val="TL - identifikace - střed"/>
    <w:basedOn w:val="Normln"/>
    <w:link w:val="TL-identifikace-stedChar"/>
    <w:rsid w:val="002C2EDE"/>
    <w:pPr>
      <w:spacing w:after="200"/>
    </w:pPr>
    <w:rPr>
      <w:sz w:val="24"/>
    </w:rPr>
  </w:style>
  <w:style w:type="paragraph" w:customStyle="1" w:styleId="TL-Identifikace-dole">
    <w:name w:val="TL - Identifikace - dole"/>
    <w:basedOn w:val="Normln"/>
    <w:link w:val="TL-Identifikace-doleChar"/>
    <w:rsid w:val="002C2EDE"/>
    <w:pPr>
      <w:spacing w:after="200"/>
    </w:pPr>
    <w:rPr>
      <w:szCs w:val="20"/>
      <w:lang w:eastAsia="ar-SA"/>
    </w:rPr>
  </w:style>
  <w:style w:type="character" w:customStyle="1" w:styleId="TL-identifikace-stedChar">
    <w:name w:val="TL - identifikace - střed Char"/>
    <w:link w:val="TL-identifikace-sted"/>
    <w:rsid w:val="002C2EDE"/>
    <w:rPr>
      <w:rFonts w:ascii="Arial" w:eastAsia="Times New Roman" w:hAnsi="Arial" w:cs="Times New Roman"/>
      <w:sz w:val="24"/>
      <w:szCs w:val="24"/>
      <w:lang w:eastAsia="cs-CZ"/>
    </w:rPr>
  </w:style>
  <w:style w:type="character" w:customStyle="1" w:styleId="TL-Identifikace-doleChar">
    <w:name w:val="TL - Identifikace - dole Char"/>
    <w:link w:val="TL-Identifikace-dole"/>
    <w:rsid w:val="002C2EDE"/>
    <w:rPr>
      <w:rFonts w:ascii="Arial" w:eastAsia="Times New Roman" w:hAnsi="Arial" w:cs="Times New Roman"/>
      <w:sz w:val="20"/>
      <w:szCs w:val="20"/>
      <w:lang w:eastAsia="ar-SA"/>
    </w:rPr>
  </w:style>
  <w:style w:type="paragraph" w:customStyle="1" w:styleId="Box-Lideaspolecnost">
    <w:name w:val="Box - Lide a spolecnost"/>
    <w:next w:val="Normln"/>
    <w:link w:val="Box-LideaspolecnostChar"/>
    <w:rsid w:val="002C2EDE"/>
    <w:pPr>
      <w:shd w:val="clear" w:color="auto" w:fill="F5DADD"/>
      <w:spacing w:after="0" w:line="288" w:lineRule="auto"/>
      <w:ind w:left="1134"/>
    </w:pPr>
    <w:rPr>
      <w:rFonts w:ascii="Arial" w:eastAsia="Calibri" w:hAnsi="Arial" w:cs="Arial"/>
      <w:sz w:val="20"/>
      <w:szCs w:val="20"/>
      <w:lang w:eastAsia="cs-CZ"/>
    </w:rPr>
  </w:style>
  <w:style w:type="character" w:customStyle="1" w:styleId="Box-LideaspolecnostChar">
    <w:name w:val="Box - Lide a spolecnost Char"/>
    <w:link w:val="Box-Lideaspolecnost"/>
    <w:rsid w:val="002C2EDE"/>
    <w:rPr>
      <w:rFonts w:ascii="Arial" w:eastAsia="Calibri" w:hAnsi="Arial" w:cs="Arial"/>
      <w:sz w:val="20"/>
      <w:szCs w:val="20"/>
      <w:shd w:val="clear" w:color="auto" w:fill="F5DADD"/>
      <w:lang w:eastAsia="cs-CZ"/>
    </w:rPr>
  </w:style>
  <w:style w:type="paragraph" w:customStyle="1" w:styleId="Obsah">
    <w:name w:val="Obsah"/>
    <w:next w:val="Normln"/>
    <w:link w:val="ObsahChar"/>
    <w:rsid w:val="002C2EDE"/>
    <w:pPr>
      <w:spacing w:line="240" w:lineRule="auto"/>
    </w:pPr>
    <w:rPr>
      <w:rFonts w:ascii="Arial" w:eastAsia="MS Gothic" w:hAnsi="Arial" w:cs="Times New Roman"/>
      <w:b/>
      <w:bCs/>
      <w:color w:val="BC091B"/>
      <w:sz w:val="32"/>
      <w:szCs w:val="28"/>
      <w:lang w:eastAsia="cs-CZ"/>
    </w:rPr>
  </w:style>
  <w:style w:type="character" w:customStyle="1" w:styleId="ObsahChar">
    <w:name w:val="Obsah Char"/>
    <w:link w:val="Obsah"/>
    <w:rsid w:val="002C2EDE"/>
    <w:rPr>
      <w:rFonts w:ascii="Arial" w:eastAsia="MS Gothic" w:hAnsi="Arial" w:cs="Times New Roman"/>
      <w:b/>
      <w:bCs/>
      <w:color w:val="BC091B"/>
      <w:sz w:val="32"/>
      <w:szCs w:val="28"/>
      <w:lang w:eastAsia="cs-CZ"/>
    </w:rPr>
  </w:style>
  <w:style w:type="paragraph" w:styleId="Zkladntextodsazen">
    <w:name w:val="Body Text Indent"/>
    <w:basedOn w:val="Normln"/>
    <w:link w:val="ZkladntextodsazenChar"/>
    <w:semiHidden/>
    <w:rsid w:val="002C2EDE"/>
    <w:pPr>
      <w:widowControl w:val="0"/>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line="240" w:lineRule="auto"/>
      <w:ind w:firstLine="709"/>
      <w:jc w:val="both"/>
    </w:pPr>
    <w:rPr>
      <w:rFonts w:cs="Arial"/>
    </w:rPr>
  </w:style>
  <w:style w:type="character" w:customStyle="1" w:styleId="ZkladntextodsazenChar">
    <w:name w:val="Základní text odsazený Char"/>
    <w:basedOn w:val="Standardnpsmoodstavce"/>
    <w:link w:val="Zkladntextodsazen"/>
    <w:semiHidden/>
    <w:rsid w:val="002C2EDE"/>
    <w:rPr>
      <w:rFonts w:ascii="Arial" w:eastAsia="Times New Roman" w:hAnsi="Arial" w:cs="Arial"/>
      <w:sz w:val="20"/>
      <w:szCs w:val="24"/>
      <w:lang w:eastAsia="cs-CZ"/>
    </w:rPr>
  </w:style>
  <w:style w:type="paragraph" w:styleId="Normlnweb">
    <w:name w:val="Normal (Web)"/>
    <w:basedOn w:val="Normln"/>
    <w:uiPriority w:val="99"/>
    <w:unhideWhenUsed/>
    <w:rsid w:val="002C2EDE"/>
    <w:pPr>
      <w:spacing w:before="100" w:beforeAutospacing="1" w:after="100" w:afterAutospacing="1" w:line="240" w:lineRule="auto"/>
    </w:pPr>
    <w:rPr>
      <w:rFonts w:ascii="Times New Roman" w:hAnsi="Times New Roman"/>
      <w:sz w:val="24"/>
    </w:rPr>
  </w:style>
  <w:style w:type="paragraph" w:customStyle="1" w:styleId="go">
    <w:name w:val="go"/>
    <w:basedOn w:val="Normln"/>
    <w:rsid w:val="002C2EDE"/>
    <w:pPr>
      <w:spacing w:before="100" w:beforeAutospacing="1" w:after="100" w:afterAutospacing="1" w:line="240" w:lineRule="auto"/>
    </w:pPr>
    <w:rPr>
      <w:rFonts w:ascii="Times New Roman" w:hAnsi="Times New Roman"/>
      <w:sz w:val="24"/>
    </w:rPr>
  </w:style>
  <w:style w:type="character" w:styleId="PromnnHTML">
    <w:name w:val="HTML Variable"/>
    <w:basedOn w:val="Standardnpsmoodstavce"/>
    <w:uiPriority w:val="99"/>
    <w:semiHidden/>
    <w:unhideWhenUsed/>
    <w:rsid w:val="002C2EDE"/>
    <w:rPr>
      <w:i/>
      <w:iCs/>
    </w:rPr>
  </w:style>
  <w:style w:type="character" w:styleId="Sledovanodkaz">
    <w:name w:val="FollowedHyperlink"/>
    <w:basedOn w:val="Standardnpsmoodstavce"/>
    <w:uiPriority w:val="99"/>
    <w:semiHidden/>
    <w:unhideWhenUsed/>
    <w:rsid w:val="002C2EDE"/>
    <w:rPr>
      <w:color w:val="800080"/>
      <w:u w:val="single"/>
    </w:rPr>
  </w:style>
  <w:style w:type="table" w:styleId="Stednmka3zvraznn2">
    <w:name w:val="Medium Grid 3 Accent 2"/>
    <w:basedOn w:val="Normlntabulka"/>
    <w:uiPriority w:val="60"/>
    <w:rsid w:val="002C2EDE"/>
    <w:pPr>
      <w:spacing w:after="0" w:line="240" w:lineRule="auto"/>
    </w:pPr>
    <w:rPr>
      <w:rFonts w:ascii="Calibri" w:eastAsia="Calibri" w:hAnsi="Calibri" w:cs="Times New Roman"/>
      <w:sz w:val="20"/>
      <w:szCs w:val="20"/>
      <w:lang w:eastAsia="cs-CZ"/>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katabulky">
    <w:name w:val="Table Grid"/>
    <w:basedOn w:val="Normlntabulka"/>
    <w:uiPriority w:val="59"/>
    <w:rsid w:val="002C2EDE"/>
    <w:pPr>
      <w:spacing w:after="0" w:line="240" w:lineRule="auto"/>
    </w:pPr>
    <w:rPr>
      <w:rFonts w:ascii="Calibri" w:eastAsia="Calibri" w:hAnsi="Calibri"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2">
    <w:name w:val="Styl2"/>
    <w:basedOn w:val="Normlntabulka"/>
    <w:uiPriority w:val="99"/>
    <w:qFormat/>
    <w:rsid w:val="002C2EDE"/>
    <w:pPr>
      <w:spacing w:after="0" w:line="240" w:lineRule="auto"/>
    </w:pPr>
    <w:rPr>
      <w:rFonts w:ascii="Calibri" w:eastAsia="Calibri" w:hAnsi="Calibri" w:cs="Times New Roman"/>
      <w:sz w:val="20"/>
      <w:szCs w:val="20"/>
      <w:lang w:eastAsia="cs-CZ"/>
    </w:rPr>
    <w:tblPr>
      <w:tblInd w:w="0" w:type="dxa"/>
      <w:tblCellMar>
        <w:top w:w="0" w:type="dxa"/>
        <w:left w:w="108" w:type="dxa"/>
        <w:bottom w:w="0" w:type="dxa"/>
        <w:right w:w="108" w:type="dxa"/>
      </w:tblCellMar>
    </w:tblPr>
    <w:tcPr>
      <w:shd w:val="clear" w:color="auto" w:fill="F2DBDB"/>
    </w:tcPr>
  </w:style>
  <w:style w:type="paragraph" w:styleId="Nadpisobsahu">
    <w:name w:val="TOC Heading"/>
    <w:basedOn w:val="Nadpis1"/>
    <w:next w:val="Normln"/>
    <w:uiPriority w:val="39"/>
    <w:semiHidden/>
    <w:unhideWhenUsed/>
    <w:qFormat/>
    <w:rsid w:val="002C2EDE"/>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unhideWhenUsed/>
    <w:qFormat/>
    <w:rsid w:val="002C2EDE"/>
    <w:pPr>
      <w:tabs>
        <w:tab w:val="left" w:pos="9356"/>
      </w:tabs>
    </w:pPr>
    <w:rPr>
      <w:b/>
      <w:sz w:val="24"/>
    </w:rPr>
  </w:style>
  <w:style w:type="paragraph" w:styleId="Obsah3">
    <w:name w:val="toc 3"/>
    <w:basedOn w:val="Normln"/>
    <w:next w:val="Normln"/>
    <w:autoRedefine/>
    <w:uiPriority w:val="39"/>
    <w:unhideWhenUsed/>
    <w:qFormat/>
    <w:rsid w:val="002C2EDE"/>
    <w:pPr>
      <w:tabs>
        <w:tab w:val="right" w:pos="9628"/>
      </w:tabs>
      <w:spacing w:line="360" w:lineRule="auto"/>
      <w:ind w:left="403"/>
    </w:pPr>
  </w:style>
  <w:style w:type="paragraph" w:styleId="Obsah2">
    <w:name w:val="toc 2"/>
    <w:basedOn w:val="Normln"/>
    <w:next w:val="Normln"/>
    <w:autoRedefine/>
    <w:uiPriority w:val="39"/>
    <w:unhideWhenUsed/>
    <w:qFormat/>
    <w:rsid w:val="002C2EDE"/>
    <w:pPr>
      <w:ind w:left="200"/>
    </w:pPr>
    <w:rPr>
      <w:b/>
      <w:sz w:val="22"/>
    </w:rPr>
  </w:style>
  <w:style w:type="paragraph" w:styleId="Obsah4">
    <w:name w:val="toc 4"/>
    <w:basedOn w:val="Normln"/>
    <w:next w:val="Normln"/>
    <w:autoRedefine/>
    <w:uiPriority w:val="39"/>
    <w:unhideWhenUsed/>
    <w:rsid w:val="002C2EDE"/>
    <w:pPr>
      <w:ind w:left="600"/>
    </w:pPr>
  </w:style>
  <w:style w:type="character" w:styleId="Odkaznakoment">
    <w:name w:val="annotation reference"/>
    <w:basedOn w:val="Standardnpsmoodstavce"/>
    <w:uiPriority w:val="99"/>
    <w:semiHidden/>
    <w:unhideWhenUsed/>
    <w:rsid w:val="002C2EDE"/>
    <w:rPr>
      <w:sz w:val="16"/>
      <w:szCs w:val="16"/>
    </w:rPr>
  </w:style>
  <w:style w:type="paragraph" w:styleId="Textkomente">
    <w:name w:val="annotation text"/>
    <w:basedOn w:val="Normln"/>
    <w:link w:val="TextkomenteChar"/>
    <w:uiPriority w:val="99"/>
    <w:semiHidden/>
    <w:unhideWhenUsed/>
    <w:rsid w:val="002C2EDE"/>
    <w:rPr>
      <w:szCs w:val="20"/>
    </w:rPr>
  </w:style>
  <w:style w:type="character" w:customStyle="1" w:styleId="TextkomenteChar">
    <w:name w:val="Text komentáře Char"/>
    <w:basedOn w:val="Standardnpsmoodstavce"/>
    <w:link w:val="Textkomente"/>
    <w:uiPriority w:val="99"/>
    <w:semiHidden/>
    <w:rsid w:val="002C2EDE"/>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2EDE"/>
    <w:rPr>
      <w:b/>
      <w:bCs/>
    </w:rPr>
  </w:style>
  <w:style w:type="character" w:customStyle="1" w:styleId="PedmtkomenteChar">
    <w:name w:val="Předmět komentáře Char"/>
    <w:basedOn w:val="TextkomenteChar"/>
    <w:link w:val="Pedmtkomente"/>
    <w:uiPriority w:val="99"/>
    <w:semiHidden/>
    <w:rsid w:val="002C2EDE"/>
    <w:rPr>
      <w:b/>
      <w:bCs/>
    </w:rPr>
  </w:style>
  <w:style w:type="paragraph" w:styleId="Bezmezer">
    <w:name w:val="No Spacing"/>
    <w:uiPriority w:val="1"/>
    <w:qFormat/>
    <w:rsid w:val="002C2ED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Office_Excel2.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List_aplikace_Microsoft_Office_Excel1.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List_aplikace_Microsoft_Office_Excel3.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2990</Words>
  <Characters>17647</Characters>
  <Application>Microsoft Office Word</Application>
  <DocSecurity>0</DocSecurity>
  <Lines>147</Lines>
  <Paragraphs>41</Paragraphs>
  <ScaleCrop>false</ScaleCrop>
  <Company>ČSÚ</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watier5011</dc:creator>
  <cp:lastModifiedBy>watier5011</cp:lastModifiedBy>
  <cp:revision>1</cp:revision>
  <dcterms:created xsi:type="dcterms:W3CDTF">2015-10-23T07:52:00Z</dcterms:created>
  <dcterms:modified xsi:type="dcterms:W3CDTF">2015-10-23T07:53:00Z</dcterms:modified>
</cp:coreProperties>
</file>