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B4446" w14:textId="77777777" w:rsidR="00D42211" w:rsidRDefault="00D42211" w:rsidP="00D42211">
      <w:pPr>
        <w:pStyle w:val="Nadpis1"/>
      </w:pPr>
      <w:bookmarkStart w:id="0" w:name="_Toc137233031"/>
      <w:bookmarkStart w:id="1" w:name="_Toc161914427"/>
      <w:bookmarkStart w:id="2" w:name="_Toc176767109"/>
      <w:r w:rsidRPr="00B43216">
        <w:t>6. Trh práce</w:t>
      </w:r>
    </w:p>
    <w:tbl>
      <w:tblPr>
        <w:tblW w:w="9674" w:type="dxa"/>
        <w:tblInd w:w="-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7"/>
        <w:gridCol w:w="212"/>
        <w:gridCol w:w="7715"/>
      </w:tblGrid>
      <w:tr w:rsidR="00D42211" w:rsidRPr="009F0D7F" w14:paraId="13367623" w14:textId="77777777" w:rsidTr="7BDB84E4">
        <w:trPr>
          <w:trHeight w:val="155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5AD711C9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Situace na trhu práce byla v 1. pololetí stabilizovaná. Zejména v oblasti zaměstnanosti se ještě zpětně projevovaly dopady loňské stagnace ekonomiky. Růst kupní síly mezd se obnovil a ty tak začaly postupně eliminovat své hluboké ztráty z let 2022 i 2023.</w:t>
            </w:r>
          </w:p>
          <w:p w14:paraId="07D23C7E" w14:textId="77777777" w:rsidR="00D42211" w:rsidRPr="003E5BDA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2767538A" w14:textId="77777777" w:rsidR="00D42211" w:rsidRPr="003E5BDA" w:rsidRDefault="00D42211" w:rsidP="00D42211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41FC9D97" w14:textId="77777777" w:rsidR="00D42211" w:rsidRPr="00CE66D1" w:rsidRDefault="00D42211" w:rsidP="00D42211">
            <w:pPr>
              <w:spacing w:after="200"/>
              <w:rPr>
                <w:color w:val="0D0D0D" w:themeColor="text1" w:themeTint="F2"/>
                <w:spacing w:val="-5"/>
                <w:szCs w:val="20"/>
              </w:rPr>
            </w:pP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Na trhu práce se letos se zpožděním stále projevovaly dopady loňské stagnace výkonu ekonomiky. </w:t>
            </w:r>
            <w:r>
              <w:rPr>
                <w:color w:val="0D0D0D" w:themeColor="text1" w:themeTint="F2"/>
                <w:spacing w:val="-5"/>
                <w:szCs w:val="20"/>
              </w:rPr>
              <w:t>Růst zaměstnanosti zůstával dost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>i slabý</w:t>
            </w:r>
            <w:r>
              <w:rPr>
                <w:color w:val="0D0D0D" w:themeColor="text1" w:themeTint="F2"/>
                <w:spacing w:val="-5"/>
                <w:szCs w:val="20"/>
              </w:rPr>
              <w:t>. I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 přes oživení většiny služeb a celkově i drobného podnikání </w:t>
            </w:r>
            <w:r>
              <w:rPr>
                <w:color w:val="0D0D0D" w:themeColor="text1" w:themeTint="F2"/>
                <w:spacing w:val="-5"/>
                <w:szCs w:val="20"/>
              </w:rPr>
              <w:t>přetrvávala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 nepříznivá situ</w:t>
            </w:r>
            <w:r>
              <w:rPr>
                <w:color w:val="0D0D0D" w:themeColor="text1" w:themeTint="F2"/>
                <w:spacing w:val="-5"/>
                <w:szCs w:val="20"/>
              </w:rPr>
              <w:t>ace v průmyslu i stavebnictví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>. Rovněž v krátkodobých očekávání</w:t>
            </w:r>
            <w:r>
              <w:rPr>
                <w:color w:val="0D0D0D" w:themeColor="text1" w:themeTint="F2"/>
                <w:spacing w:val="-5"/>
                <w:szCs w:val="20"/>
              </w:rPr>
              <w:t>ch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 vlastní zaměstnanosti zůstávají podnikatelé ve v</w:t>
            </w:r>
            <w:r>
              <w:rPr>
                <w:color w:val="0D0D0D" w:themeColor="text1" w:themeTint="F2"/>
                <w:spacing w:val="-5"/>
                <w:szCs w:val="20"/>
              </w:rPr>
              <w:t>ětšině klíčových odvětví opatrní.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 Firmy i přes nejisté ekonomické výhledy ovšem stále ve zvýšené míře </w:t>
            </w:r>
            <w:r>
              <w:rPr>
                <w:color w:val="0D0D0D" w:themeColor="text1" w:themeTint="F2"/>
                <w:spacing w:val="-5"/>
                <w:szCs w:val="20"/>
              </w:rPr>
              <w:t xml:space="preserve">poptávaly 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levnější pracovní sílu ze zahraničí a vedle toho postupně pokračovala integrace ukrajinských uprchlíků </w:t>
            </w:r>
            <w:r>
              <w:rPr>
                <w:color w:val="0D0D0D" w:themeColor="text1" w:themeTint="F2"/>
                <w:spacing w:val="-5"/>
                <w:szCs w:val="20"/>
              </w:rPr>
              <w:t xml:space="preserve">v Česku 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>na pracovní trh, což zčásti řešilo dlouhodobější nedostatek volných pracovních sil v tuzemsku. Nezaměstnanost včetně její dlouhodobé složky zůstávala bez výraznějších změn na velmi nízké úrovni. Specifická situace v jed</w:t>
            </w:r>
            <w:r>
              <w:rPr>
                <w:color w:val="0D0D0D" w:themeColor="text1" w:themeTint="F2"/>
                <w:spacing w:val="-5"/>
                <w:szCs w:val="20"/>
              </w:rPr>
              <w:t>notlivých odvětvích se projevovala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 v různorodém růstu mezd</w:t>
            </w:r>
            <w:r>
              <w:rPr>
                <w:color w:val="0D0D0D" w:themeColor="text1" w:themeTint="F2"/>
                <w:spacing w:val="-5"/>
                <w:szCs w:val="20"/>
              </w:rPr>
              <w:t>, j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>eho nominální meziroční tempo však celkově mírně sláblo</w:t>
            </w:r>
            <w:r>
              <w:rPr>
                <w:color w:val="0D0D0D" w:themeColor="text1" w:themeTint="F2"/>
                <w:spacing w:val="-5"/>
                <w:szCs w:val="20"/>
              </w:rPr>
              <w:t xml:space="preserve">. A to i vlivem toho, že kvůli snaze 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o fiskální konsolidaci byl mzdový růst </w:t>
            </w:r>
            <w:r>
              <w:rPr>
                <w:color w:val="0D0D0D" w:themeColor="text1" w:themeTint="F2"/>
                <w:spacing w:val="-5"/>
                <w:szCs w:val="20"/>
              </w:rPr>
              <w:t xml:space="preserve">utlumený 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>ve většině oblast</w:t>
            </w:r>
            <w:r>
              <w:rPr>
                <w:color w:val="0D0D0D" w:themeColor="text1" w:themeTint="F2"/>
                <w:spacing w:val="-5"/>
                <w:szCs w:val="20"/>
              </w:rPr>
              <w:t>í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 veřejného sektoru</w:t>
            </w:r>
            <w:r>
              <w:rPr>
                <w:color w:val="0D0D0D" w:themeColor="text1" w:themeTint="F2"/>
                <w:spacing w:val="-5"/>
                <w:szCs w:val="20"/>
              </w:rPr>
              <w:t>.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 Díky </w:t>
            </w:r>
            <w:r>
              <w:rPr>
                <w:color w:val="0D0D0D" w:themeColor="text1" w:themeTint="F2"/>
                <w:spacing w:val="-5"/>
                <w:szCs w:val="20"/>
              </w:rPr>
              <w:t>stabilizaci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 cenové hladiny v ekonomice se ale </w:t>
            </w:r>
            <w:r>
              <w:rPr>
                <w:color w:val="0D0D0D" w:themeColor="text1" w:themeTint="F2"/>
                <w:spacing w:val="-5"/>
                <w:szCs w:val="20"/>
              </w:rPr>
              <w:t xml:space="preserve">zastavil 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>meziroční pokles kupní síly mezd ve všech regio</w:t>
            </w:r>
            <w:r>
              <w:rPr>
                <w:color w:val="0D0D0D" w:themeColor="text1" w:themeTint="F2"/>
                <w:spacing w:val="-5"/>
                <w:szCs w:val="20"/>
              </w:rPr>
              <w:t>nech i v hlavních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 odvětví</w:t>
            </w:r>
            <w:r>
              <w:rPr>
                <w:color w:val="0D0D0D" w:themeColor="text1" w:themeTint="F2"/>
                <w:spacing w:val="-5"/>
                <w:szCs w:val="20"/>
              </w:rPr>
              <w:t>ch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 (mimo vzdělávání)</w:t>
            </w:r>
            <w:r>
              <w:rPr>
                <w:color w:val="0D0D0D" w:themeColor="text1" w:themeTint="F2"/>
                <w:spacing w:val="-5"/>
                <w:szCs w:val="20"/>
              </w:rPr>
              <w:t>.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 xml:space="preserve"> Kupní síla průměrných mezd však stále dosahovala pouze úrovně </w:t>
            </w:r>
            <w:r>
              <w:rPr>
                <w:color w:val="0D0D0D" w:themeColor="text1" w:themeTint="F2"/>
                <w:spacing w:val="-5"/>
                <w:szCs w:val="20"/>
              </w:rPr>
              <w:t xml:space="preserve">z </w:t>
            </w:r>
            <w:r w:rsidRPr="00CE66D1">
              <w:rPr>
                <w:color w:val="0D0D0D" w:themeColor="text1" w:themeTint="F2"/>
                <w:spacing w:val="-5"/>
                <w:szCs w:val="20"/>
              </w:rPr>
              <w:t>roku 2018.</w:t>
            </w:r>
          </w:p>
        </w:tc>
      </w:tr>
      <w:tr w:rsidR="00D42211" w:rsidRPr="009F0D7F" w14:paraId="6C131A70" w14:textId="77777777" w:rsidTr="7BDB84E4">
        <w:trPr>
          <w:trHeight w:val="155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2B5ECCBF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Celková zaměstnanost ve 2. čtvrtletí mezikvartálně mírně vzrostla, zejména díky rozvoji drobného podnikání.</w:t>
            </w:r>
          </w:p>
          <w:p w14:paraId="6EE17F6B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5BE22960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0E5A2B4F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343C2A9A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033B1291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Meziroční růst byl u zaměstnanců tažen veřejnými službami, u sebezaměstnaných pak obchodem a aktivitami vázanými na cestovní ruch.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0C43F622" w14:textId="77777777" w:rsidR="00D42211" w:rsidRPr="009F0D7F" w:rsidRDefault="00D42211" w:rsidP="00D42211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26462556" w14:textId="77777777" w:rsidR="00D42211" w:rsidRPr="007F303C" w:rsidRDefault="00D42211" w:rsidP="00D42211">
            <w:pPr>
              <w:rPr>
                <w:spacing w:val="-4"/>
              </w:rPr>
            </w:pPr>
            <w:r w:rsidRPr="007F303C">
              <w:rPr>
                <w:spacing w:val="-4"/>
              </w:rPr>
              <w:t>Zatímco na počátku letošního roku celková zaměstnanost</w:t>
            </w:r>
            <w:r w:rsidRPr="007F303C">
              <w:rPr>
                <w:color w:val="0D0D0D" w:themeColor="text1" w:themeTint="F2"/>
                <w:spacing w:val="-4"/>
                <w:vertAlign w:val="superscript"/>
              </w:rPr>
              <w:footnoteReference w:id="1"/>
            </w:r>
            <w:r w:rsidRPr="007F303C">
              <w:rPr>
                <w:spacing w:val="-4"/>
              </w:rPr>
              <w:t xml:space="preserve"> v </w:t>
            </w:r>
            <w:r>
              <w:rPr>
                <w:spacing w:val="-4"/>
              </w:rPr>
              <w:t>Česku</w:t>
            </w:r>
            <w:r w:rsidRPr="007F303C">
              <w:rPr>
                <w:spacing w:val="-4"/>
              </w:rPr>
              <w:t xml:space="preserve"> (</w:t>
            </w:r>
            <w:r>
              <w:rPr>
                <w:spacing w:val="-4"/>
              </w:rPr>
              <w:t>stej</w:t>
            </w:r>
            <w:r w:rsidRPr="007F303C">
              <w:rPr>
                <w:spacing w:val="-4"/>
              </w:rPr>
              <w:t>ně jako v druhé půli mi</w:t>
            </w:r>
            <w:r>
              <w:rPr>
                <w:spacing w:val="-4"/>
              </w:rPr>
              <w:t>nulého roku) mezikvartálně pouze</w:t>
            </w:r>
            <w:r w:rsidRPr="007F303C">
              <w:rPr>
                <w:spacing w:val="-4"/>
              </w:rPr>
              <w:t xml:space="preserve"> stagno</w:t>
            </w:r>
            <w:r>
              <w:rPr>
                <w:spacing w:val="-4"/>
              </w:rPr>
              <w:t>vala, během 2.</w:t>
            </w:r>
            <w:r w:rsidRPr="007F303C">
              <w:rPr>
                <w:spacing w:val="-4"/>
              </w:rPr>
              <w:t> čtvrtletí 2024 se zvýšila o 0,5 %. Na tomto oživení se podílela zejména některá odvětví tržních služeb (obchod, aktivity vázané na ce</w:t>
            </w:r>
            <w:r>
              <w:rPr>
                <w:spacing w:val="-4"/>
              </w:rPr>
              <w:t>stovní ruch, nemovitosti) a rovněž</w:t>
            </w:r>
            <w:r w:rsidRPr="007F303C">
              <w:rPr>
                <w:spacing w:val="-4"/>
              </w:rPr>
              <w:t xml:space="preserve"> stavebnictví. Spíše než o navyšován</w:t>
            </w:r>
            <w:r>
              <w:rPr>
                <w:spacing w:val="-4"/>
              </w:rPr>
              <w:t>í zaměstnaneckých míst šlo</w:t>
            </w:r>
            <w:r w:rsidRPr="007F303C">
              <w:rPr>
                <w:spacing w:val="-4"/>
              </w:rPr>
              <w:t xml:space="preserve"> o rozvoj drobného podnikání. Počet pracovníků v národním hospodářství dosáhl již 5,41 mil.</w:t>
            </w:r>
            <w:r>
              <w:rPr>
                <w:spacing w:val="-4"/>
              </w:rPr>
              <w:t xml:space="preserve"> O</w:t>
            </w:r>
            <w:r w:rsidRPr="007F303C">
              <w:rPr>
                <w:spacing w:val="-4"/>
              </w:rPr>
              <w:t>proti maximální hodnotě z období poslední konjunktury (4. čtvrtletí 2018) byl vyšší o 0,7 %, z převážn</w:t>
            </w:r>
            <w:r>
              <w:rPr>
                <w:spacing w:val="-4"/>
              </w:rPr>
              <w:t>é</w:t>
            </w:r>
            <w:r w:rsidRPr="007F303C">
              <w:rPr>
                <w:spacing w:val="-4"/>
              </w:rPr>
              <w:t xml:space="preserve"> části vlivem rozvoje veřejných služeb. Celková zaměstnanost v mezir</w:t>
            </w:r>
            <w:r>
              <w:rPr>
                <w:spacing w:val="-4"/>
              </w:rPr>
              <w:t>očním pohledu rostla</w:t>
            </w:r>
            <w:r w:rsidRPr="007F303C">
              <w:rPr>
                <w:spacing w:val="-4"/>
              </w:rPr>
              <w:t xml:space="preserve"> více než tři roky</w:t>
            </w:r>
            <w:r>
              <w:rPr>
                <w:spacing w:val="-4"/>
              </w:rPr>
              <w:t xml:space="preserve"> v řadě</w:t>
            </w:r>
            <w:r w:rsidRPr="007F303C">
              <w:rPr>
                <w:spacing w:val="-4"/>
              </w:rPr>
              <w:t>, aktuální tempo ve 2.</w:t>
            </w:r>
            <w:r>
              <w:rPr>
                <w:spacing w:val="-4"/>
              </w:rPr>
              <w:t> </w:t>
            </w:r>
            <w:r w:rsidRPr="007F303C">
              <w:rPr>
                <w:spacing w:val="-4"/>
              </w:rPr>
              <w:t xml:space="preserve">čtvrtletí 2024 </w:t>
            </w:r>
            <w:r>
              <w:rPr>
                <w:spacing w:val="-4"/>
              </w:rPr>
              <w:t>bylo</w:t>
            </w:r>
            <w:r w:rsidRPr="007F303C">
              <w:rPr>
                <w:spacing w:val="-4"/>
              </w:rPr>
              <w:t xml:space="preserve"> ovšem za celé toto období nejslabší (+0,2 %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2"/>
            </w:r>
            <w:r w:rsidRPr="007F303C">
              <w:rPr>
                <w:spacing w:val="-4"/>
              </w:rPr>
              <w:t>). V něm se setrvačně projevoval vliv loňské stagnace výkonu celé ekonomiky. Počet samo</w:t>
            </w:r>
            <w:r>
              <w:rPr>
                <w:spacing w:val="-4"/>
              </w:rPr>
              <w:t xml:space="preserve">tných zaměstnanců </w:t>
            </w:r>
            <w:r w:rsidRPr="009D60D4">
              <w:rPr>
                <w:spacing w:val="-6"/>
              </w:rPr>
              <w:t>rostl minimálně (+0,1 %), což souvisí s přetrvávajícími problémy těžebního i zpracovatelského</w:t>
            </w:r>
            <w:r w:rsidRPr="007F303C">
              <w:rPr>
                <w:spacing w:val="-4"/>
              </w:rPr>
              <w:t xml:space="preserve"> průmyslu a </w:t>
            </w:r>
            <w:r>
              <w:rPr>
                <w:spacing w:val="-4"/>
              </w:rPr>
              <w:t>navazujícího</w:t>
            </w:r>
            <w:r w:rsidRPr="007F303C">
              <w:rPr>
                <w:spacing w:val="-4"/>
              </w:rPr>
              <w:t xml:space="preserve"> odvětví dopravy. Dařilo se naop</w:t>
            </w:r>
            <w:r>
              <w:rPr>
                <w:spacing w:val="-4"/>
              </w:rPr>
              <w:t>ak většině služeb. Zaměstnanecká</w:t>
            </w:r>
            <w:r w:rsidRPr="007F303C">
              <w:rPr>
                <w:spacing w:val="-4"/>
              </w:rPr>
              <w:t xml:space="preserve"> místa v nich významněji redukovalo pouze finančni</w:t>
            </w:r>
            <w:r>
              <w:rPr>
                <w:spacing w:val="-4"/>
              </w:rPr>
              <w:t>ctví, kde má tento pokles</w:t>
            </w:r>
            <w:r w:rsidRPr="007F303C">
              <w:rPr>
                <w:spacing w:val="-4"/>
              </w:rPr>
              <w:t xml:space="preserve"> dlouhodobější charakter a souvisí </w:t>
            </w:r>
            <w:r>
              <w:rPr>
                <w:spacing w:val="-4"/>
              </w:rPr>
              <w:t xml:space="preserve">hlavně </w:t>
            </w:r>
            <w:r w:rsidRPr="007F303C">
              <w:rPr>
                <w:spacing w:val="-4"/>
              </w:rPr>
              <w:t>s rozvojem digitalizace.</w:t>
            </w:r>
            <w:r>
              <w:rPr>
                <w:spacing w:val="-4"/>
              </w:rPr>
              <w:t xml:space="preserve"> </w:t>
            </w:r>
            <w:r w:rsidRPr="007F303C">
              <w:rPr>
                <w:spacing w:val="-4"/>
              </w:rPr>
              <w:t>Sebezaměstnaných v celé ekonomice přibylo o 0,7 %</w:t>
            </w:r>
            <w:r>
              <w:rPr>
                <w:spacing w:val="-4"/>
              </w:rPr>
              <w:t>. J</w:t>
            </w:r>
            <w:r w:rsidRPr="007F303C">
              <w:rPr>
                <w:spacing w:val="-4"/>
              </w:rPr>
              <w:t>ejic</w:t>
            </w:r>
            <w:r>
              <w:rPr>
                <w:spacing w:val="-4"/>
              </w:rPr>
              <w:t xml:space="preserve">h stavy tak rostly svižněji než </w:t>
            </w:r>
            <w:r w:rsidRPr="007F303C">
              <w:rPr>
                <w:spacing w:val="-4"/>
              </w:rPr>
              <w:t>v případě zaměstnanců, a to již více než dva roky. Za aktuálně rostoucím počtem drobných podnikatelů stálo především odvětví o</w:t>
            </w:r>
            <w:r>
              <w:rPr>
                <w:spacing w:val="-4"/>
              </w:rPr>
              <w:t>bchod, doprava, ubytování a</w:t>
            </w:r>
            <w:r w:rsidRPr="007F303C">
              <w:rPr>
                <w:spacing w:val="-4"/>
              </w:rPr>
              <w:t xml:space="preserve"> pohostinství, </w:t>
            </w:r>
            <w:r>
              <w:rPr>
                <w:spacing w:val="-4"/>
              </w:rPr>
              <w:t>v menší míře i veřejný sektor a též</w:t>
            </w:r>
            <w:r w:rsidRPr="007F303C">
              <w:rPr>
                <w:spacing w:val="-4"/>
              </w:rPr>
              <w:t xml:space="preserve"> fi</w:t>
            </w:r>
            <w:r>
              <w:rPr>
                <w:spacing w:val="-4"/>
              </w:rPr>
              <w:t xml:space="preserve">nančnictví, kde mohlo docházet </w:t>
            </w:r>
            <w:r w:rsidRPr="007F303C">
              <w:rPr>
                <w:spacing w:val="-4"/>
              </w:rPr>
              <w:t>k </w:t>
            </w:r>
            <w:r w:rsidRPr="007F303C">
              <w:rPr>
                <w:color w:val="0D0D0D" w:themeColor="text1" w:themeTint="F2"/>
                <w:spacing w:val="-4"/>
              </w:rPr>
              <w:t>„přelivům“ ze zam</w:t>
            </w:r>
            <w:r>
              <w:rPr>
                <w:color w:val="0D0D0D" w:themeColor="text1" w:themeTint="F2"/>
                <w:spacing w:val="-4"/>
              </w:rPr>
              <w:t>ěstnaneckého postavení. V</w:t>
            </w:r>
            <w:r w:rsidRPr="007F303C">
              <w:rPr>
                <w:color w:val="0D0D0D" w:themeColor="text1" w:themeTint="F2"/>
                <w:spacing w:val="-4"/>
              </w:rPr>
              <w:t> průmyslu i stavebnictví se vlivem přetrvávající recese a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7F303C">
              <w:rPr>
                <w:color w:val="0D0D0D" w:themeColor="text1" w:themeTint="F2"/>
                <w:spacing w:val="-4"/>
              </w:rPr>
              <w:t xml:space="preserve">oslabené poptávky </w:t>
            </w:r>
            <w:r>
              <w:rPr>
                <w:color w:val="0D0D0D" w:themeColor="text1" w:themeTint="F2"/>
                <w:spacing w:val="-4"/>
              </w:rPr>
              <w:t xml:space="preserve">snižoval </w:t>
            </w:r>
            <w:r w:rsidRPr="007F303C">
              <w:rPr>
                <w:color w:val="0D0D0D" w:themeColor="text1" w:themeTint="F2"/>
                <w:spacing w:val="-4"/>
              </w:rPr>
              <w:t>počet sebezaměstnaných</w:t>
            </w:r>
            <w:r>
              <w:rPr>
                <w:color w:val="0D0D0D" w:themeColor="text1" w:themeTint="F2"/>
                <w:spacing w:val="-4"/>
              </w:rPr>
              <w:t>.</w:t>
            </w:r>
            <w:r w:rsidRPr="007F303C">
              <w:rPr>
                <w:color w:val="0D0D0D" w:themeColor="text1" w:themeTint="F2"/>
                <w:spacing w:val="-4"/>
              </w:rPr>
              <w:t xml:space="preserve"> </w:t>
            </w:r>
          </w:p>
        </w:tc>
      </w:tr>
      <w:tr w:rsidR="00D42211" w:rsidRPr="009F0D7F" w14:paraId="0C4C5BD3" w14:textId="77777777" w:rsidTr="7BDB84E4">
        <w:trPr>
          <w:trHeight w:val="155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33EA3336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K velmi mírnému meziročnímu růstu zaměstnanosti přispěla většina odvětví služeb, ale průmysl i stavebnictví pracovníky ztrácelo.</w:t>
            </w:r>
          </w:p>
          <w:p w14:paraId="3ABB6BDE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432607E7" w14:textId="77777777" w:rsidR="00D42211" w:rsidRPr="009F0D7F" w:rsidRDefault="00D42211" w:rsidP="00D42211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250A041C" w14:textId="64446943" w:rsidR="00D42211" w:rsidRPr="007F303C" w:rsidRDefault="00D42211" w:rsidP="00D42211">
            <w:pPr>
              <w:rPr>
                <w:spacing w:val="-4"/>
              </w:rPr>
            </w:pPr>
            <w:r w:rsidRPr="007F303C">
              <w:rPr>
                <w:spacing w:val="-4"/>
              </w:rPr>
              <w:t>Meziroční růst celkové zaměstnanosti v 1. pololetí</w:t>
            </w:r>
            <w:r>
              <w:rPr>
                <w:spacing w:val="-4"/>
              </w:rPr>
              <w:t xml:space="preserve"> (+</w:t>
            </w:r>
            <w:r w:rsidRPr="007F303C">
              <w:rPr>
                <w:spacing w:val="-4"/>
              </w:rPr>
              <w:t>0,3 %) byl</w:t>
            </w:r>
            <w:r>
              <w:rPr>
                <w:spacing w:val="-4"/>
              </w:rPr>
              <w:t xml:space="preserve"> tažen </w:t>
            </w:r>
            <w:r w:rsidRPr="007F303C">
              <w:rPr>
                <w:spacing w:val="-4"/>
              </w:rPr>
              <w:t>veřejnými službami</w:t>
            </w:r>
            <w:r w:rsidRPr="007F303C">
              <w:rPr>
                <w:rStyle w:val="Znakapoznpodarou"/>
                <w:spacing w:val="-4"/>
              </w:rPr>
              <w:footnoteReference w:id="3"/>
            </w:r>
            <w:r w:rsidRPr="007F303C">
              <w:rPr>
                <w:spacing w:val="-4"/>
              </w:rPr>
              <w:t xml:space="preserve"> (+1,6 %), jež postupně reagovaly na sílící poptávku související zejména s dlouhodobějšími změnami ve věkové skladbě populace (v oblasti vzdělávání, zdravotní a sociální péče). Jen</w:t>
            </w:r>
            <w:r>
              <w:rPr>
                <w:spacing w:val="-4"/>
              </w:rPr>
              <w:t xml:space="preserve"> mírně nižší růst registrovala</w:t>
            </w:r>
            <w:r w:rsidRPr="007F303C">
              <w:rPr>
                <w:spacing w:val="-4"/>
              </w:rPr>
              <w:t xml:space="preserve"> ovšem téměř všechna hlavní odvětví terciárního sektoru</w:t>
            </w:r>
            <w:r w:rsidRPr="007F303C">
              <w:rPr>
                <w:rStyle w:val="Znakapoznpodarou"/>
                <w:spacing w:val="-4"/>
              </w:rPr>
              <w:footnoteReference w:id="4"/>
            </w:r>
            <w:r w:rsidRPr="007F303C">
              <w:rPr>
                <w:spacing w:val="-4"/>
              </w:rPr>
              <w:t>. Nedařilo se naopak průmyslu, kde zaměstnanost po stagnaci v předchozích třech letech letos poklesla o více než 2 %. To souviselo s</w:t>
            </w:r>
            <w:r w:rsidRPr="007F303C">
              <w:rPr>
                <w:color w:val="0D0D0D" w:themeColor="text1" w:themeTint="F2"/>
                <w:spacing w:val="-4"/>
              </w:rPr>
              <w:t> </w:t>
            </w:r>
            <w:r w:rsidRPr="007F303C">
              <w:rPr>
                <w:spacing w:val="-4"/>
              </w:rPr>
              <w:t xml:space="preserve">recesí celého odvětví doprovázeným </w:t>
            </w:r>
            <w:r w:rsidRPr="007F303C">
              <w:rPr>
                <w:spacing w:val="-4"/>
              </w:rPr>
              <w:lastRenderedPageBreak/>
              <w:t>zesílenými nákladovými tlaky i oslabenou poptávkou v řadě tradičních exportních oborů</w:t>
            </w:r>
            <w:r w:rsidRPr="007F303C">
              <w:rPr>
                <w:rStyle w:val="Znakapoznpodarou"/>
                <w:spacing w:val="-4"/>
              </w:rPr>
              <w:footnoteReference w:id="5"/>
            </w:r>
            <w:r w:rsidRPr="007F303C">
              <w:rPr>
                <w:spacing w:val="-4"/>
              </w:rPr>
              <w:t>.</w:t>
            </w:r>
            <w:r>
              <w:rPr>
                <w:spacing w:val="-4"/>
              </w:rPr>
              <w:t xml:space="preserve"> Rovněž v</w:t>
            </w:r>
            <w:r w:rsidRPr="007F303C">
              <w:rPr>
                <w:spacing w:val="-4"/>
              </w:rPr>
              <w:t xml:space="preserve">e stavebnictví </w:t>
            </w:r>
            <w:r>
              <w:rPr>
                <w:spacing w:val="-4"/>
              </w:rPr>
              <w:t xml:space="preserve">ubylo </w:t>
            </w:r>
            <w:r w:rsidRPr="007F303C">
              <w:rPr>
                <w:spacing w:val="-4"/>
              </w:rPr>
              <w:t>pracovníků (</w:t>
            </w:r>
            <w:r>
              <w:rPr>
                <w:spacing w:val="-4"/>
              </w:rPr>
              <w:t>−</w:t>
            </w:r>
            <w:r w:rsidRPr="007F303C">
              <w:rPr>
                <w:spacing w:val="-4"/>
              </w:rPr>
              <w:t xml:space="preserve">1,0 %), </w:t>
            </w:r>
            <w:r>
              <w:rPr>
                <w:spacing w:val="-4"/>
              </w:rPr>
              <w:t>a to poprvé po roce 2020.</w:t>
            </w:r>
          </w:p>
        </w:tc>
      </w:tr>
      <w:tr w:rsidR="00D42211" w:rsidRPr="009F0D7F" w14:paraId="3AB3AEFF" w14:textId="77777777" w:rsidTr="7BDB84E4">
        <w:trPr>
          <w:trHeight w:val="155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686B6339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Počet odpracovaných hodin v ekonomice se poprvé po třech letech mírně snížil. Rozšiřovaly se zkrácené pracovní úvazky.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7ACA7D09" w14:textId="77777777" w:rsidR="00D42211" w:rsidRPr="009F0D7F" w:rsidRDefault="00D42211" w:rsidP="00D42211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452BC1B9" w14:textId="4E27EB8F" w:rsidR="00D42211" w:rsidRPr="007F303C" w:rsidRDefault="00D42211" w:rsidP="00D42211">
            <w:pPr>
              <w:rPr>
                <w:color w:val="0D0D0D" w:themeColor="text1" w:themeTint="F2"/>
                <w:spacing w:val="-4"/>
              </w:rPr>
            </w:pPr>
            <w:r w:rsidRPr="007F303C">
              <w:rPr>
                <w:color w:val="0D0D0D" w:themeColor="text1" w:themeTint="F2"/>
                <w:spacing w:val="-4"/>
              </w:rPr>
              <w:t xml:space="preserve">Celkový počet odpracovaných hodin v ekonomice, jenž </w:t>
            </w:r>
            <w:r>
              <w:rPr>
                <w:color w:val="0D0D0D" w:themeColor="text1" w:themeTint="F2"/>
                <w:spacing w:val="-4"/>
              </w:rPr>
              <w:t xml:space="preserve">se loni poprvé vrátil na úroveň </w:t>
            </w:r>
            <w:r w:rsidRPr="007F303C">
              <w:rPr>
                <w:color w:val="0D0D0D" w:themeColor="text1" w:themeTint="F2"/>
                <w:spacing w:val="-4"/>
              </w:rPr>
              <w:t>z roku 2019, se letos v 1. čtvrtletí meziročně snížil o 1,2 % (kle</w:t>
            </w:r>
            <w:r>
              <w:rPr>
                <w:color w:val="0D0D0D" w:themeColor="text1" w:themeTint="F2"/>
                <w:spacing w:val="-4"/>
              </w:rPr>
              <w:t xml:space="preserve">sl poprvé po 1. čtvrtletí 2021) </w:t>
            </w:r>
            <w:r w:rsidRPr="007F303C">
              <w:rPr>
                <w:color w:val="0D0D0D" w:themeColor="text1" w:themeTint="F2"/>
                <w:spacing w:val="-4"/>
              </w:rPr>
              <w:t>a následující kvartál tento vývoj potvrdil. Zaměstnanost ve fyzických osobách rostla rychleji než odpracovaná doba nejen letos, ale i po většinu loňského roku. Mohly se zde projevit nižší potřeba přesčasové práce v některých odvětvích zasažených recesí, rozšiřování zkrácených pracovních úvazků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6"/>
            </w:r>
            <w:r w:rsidRPr="007F303C">
              <w:rPr>
                <w:color w:val="0D0D0D" w:themeColor="text1" w:themeTint="F2"/>
                <w:spacing w:val="-4"/>
              </w:rPr>
              <w:t xml:space="preserve"> (související s rostoucí zaměstnaností žen podpořenou uprchlickou vlnou z Ukrajiny i s loni zavedeným daňovým zvýhodněním zkrácených úvazků) či pokles počtu osob pracujících na dohody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7"/>
            </w:r>
            <w:r w:rsidRPr="007F303C">
              <w:rPr>
                <w:color w:val="0D0D0D" w:themeColor="text1" w:themeTint="F2"/>
                <w:spacing w:val="-4"/>
              </w:rPr>
              <w:t xml:space="preserve"> (vlivem legislativních změn snižujících pro zaměstnance finanční výhodnost těchto forem práce a naopak zvyšující</w:t>
            </w:r>
            <w:r>
              <w:rPr>
                <w:color w:val="0D0D0D" w:themeColor="text1" w:themeTint="F2"/>
                <w:spacing w:val="-4"/>
              </w:rPr>
              <w:t xml:space="preserve"> se</w:t>
            </w:r>
            <w:r w:rsidRPr="007F303C">
              <w:rPr>
                <w:color w:val="0D0D0D" w:themeColor="text1" w:themeTint="F2"/>
                <w:spacing w:val="-4"/>
              </w:rPr>
              <w:t xml:space="preserve"> administrativní náročnost pro firmy). Nejvyšší pokles počtu odpracovaných hodin nastal</w:t>
            </w:r>
            <w:r>
              <w:rPr>
                <w:color w:val="0D0D0D" w:themeColor="text1" w:themeTint="F2"/>
                <w:spacing w:val="-4"/>
              </w:rPr>
              <w:t xml:space="preserve"> v 1. pololetí 2024</w:t>
            </w:r>
            <w:r w:rsidRPr="007F303C">
              <w:rPr>
                <w:color w:val="0D0D0D" w:themeColor="text1" w:themeTint="F2"/>
                <w:spacing w:val="-4"/>
              </w:rPr>
              <w:t xml:space="preserve"> ve zpracovatelském průmyslu (</w:t>
            </w:r>
            <w:r>
              <w:rPr>
                <w:color w:val="0D0D0D" w:themeColor="text1" w:themeTint="F2"/>
                <w:spacing w:val="-4"/>
              </w:rPr>
              <w:t>−</w:t>
            </w:r>
            <w:r w:rsidRPr="007F303C">
              <w:rPr>
                <w:color w:val="0D0D0D" w:themeColor="text1" w:themeTint="F2"/>
                <w:spacing w:val="-4"/>
              </w:rPr>
              <w:t xml:space="preserve">4,3 %), významný </w:t>
            </w:r>
            <w:r>
              <w:rPr>
                <w:color w:val="0D0D0D" w:themeColor="text1" w:themeTint="F2"/>
                <w:spacing w:val="-4"/>
              </w:rPr>
              <w:t xml:space="preserve">meziroční </w:t>
            </w:r>
            <w:r w:rsidRPr="007F303C">
              <w:rPr>
                <w:color w:val="0D0D0D" w:themeColor="text1" w:themeTint="F2"/>
                <w:spacing w:val="-4"/>
              </w:rPr>
              <w:t>úbytek zaznamenaly také např. veřejné služby (</w:t>
            </w:r>
            <w:r>
              <w:rPr>
                <w:color w:val="0D0D0D" w:themeColor="text1" w:themeTint="F2"/>
                <w:spacing w:val="-4"/>
              </w:rPr>
              <w:t>−</w:t>
            </w:r>
            <w:r w:rsidRPr="007F303C">
              <w:rPr>
                <w:color w:val="0D0D0D" w:themeColor="text1" w:themeTint="F2"/>
                <w:spacing w:val="-4"/>
              </w:rPr>
              <w:t>1,7¨%).</w:t>
            </w:r>
          </w:p>
        </w:tc>
      </w:tr>
      <w:tr w:rsidR="00D42211" w:rsidRPr="009F0D7F" w14:paraId="23901555" w14:textId="77777777" w:rsidTr="7BDB84E4">
        <w:trPr>
          <w:trHeight w:val="155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1A4D4FD8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Počet cizinců v zaměstnaneckém postavení vystoupal na rekordních 828 tis. Na jeho meziročním přírůstku se z více než poloviny podíleli Ukrajinci. Zrychlil příliv pracovníků z některých asijských států.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22FCD7D4" w14:textId="77777777" w:rsidR="00D42211" w:rsidRPr="009F0D7F" w:rsidRDefault="00D42211" w:rsidP="00D42211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58F0A8FF" w14:textId="77777777" w:rsidR="00D42211" w:rsidRDefault="00D42211" w:rsidP="00D42211">
            <w:pPr>
              <w:rPr>
                <w:color w:val="0D0D0D" w:themeColor="text1" w:themeTint="F2"/>
                <w:spacing w:val="-6"/>
              </w:rPr>
            </w:pPr>
            <w:r w:rsidRPr="007F303C">
              <w:rPr>
                <w:color w:val="0D0D0D" w:themeColor="text1" w:themeTint="F2"/>
                <w:spacing w:val="-4"/>
              </w:rPr>
              <w:t>Dlouhodobě omezený rezervoár volných pracovních sil v Česku i sílící tlak firem na optimalizaci výrobních nákladů stimulovaly rostoucí poptávku tuzemských zaměstnavatelů po pracovnících ze zahraničí. Snadnějšímu zaměstnávání cizinců pomáhají legislativní změny snižující administrativní náročnost v této oblasti. To se týká jak ukrajinských občanů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8"/>
            </w:r>
            <w:r w:rsidRPr="007F303C">
              <w:rPr>
                <w:color w:val="0D0D0D" w:themeColor="text1" w:themeTint="F2"/>
                <w:spacing w:val="-4"/>
              </w:rPr>
              <w:t>, tak i cizinců z dalších, nejen hospodářsky méně vyspělých zemí mimo EU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9"/>
            </w:r>
            <w:r w:rsidRPr="007F303C">
              <w:rPr>
                <w:color w:val="0D0D0D" w:themeColor="text1" w:themeTint="F2"/>
                <w:spacing w:val="-4"/>
              </w:rPr>
              <w:t>. Dlouhodobý růst přílivu zahraničních pracovníků do Česka tak pokračoval. Počet pracujících cizinců v Česku rostl letos podobným tempem jako loni, např. v dominantní skupině zaměstnanců jich letos na konci června bylo rekordních 828 tis. (meziročně +32 tis.)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10"/>
            </w:r>
            <w:r w:rsidRPr="007F303C">
              <w:rPr>
                <w:color w:val="0D0D0D" w:themeColor="text1" w:themeTint="F2"/>
                <w:spacing w:val="-4"/>
              </w:rPr>
              <w:t>. Více než polovina přírůstku jde za Ukrajinci, jichž jako zaměstnanců v Česku pracovalo 286 tis. (na rozdíl od pře</w:t>
            </w:r>
            <w:r>
              <w:rPr>
                <w:color w:val="0D0D0D" w:themeColor="text1" w:themeTint="F2"/>
                <w:spacing w:val="-4"/>
              </w:rPr>
              <w:t>d</w:t>
            </w:r>
            <w:r w:rsidRPr="007F303C">
              <w:rPr>
                <w:color w:val="0D0D0D" w:themeColor="text1" w:themeTint="F2"/>
                <w:spacing w:val="-4"/>
              </w:rPr>
              <w:t>chozích let byl jejich přírůstek rovnoměrně rozložen mezi muže i ženy). Procentuálně rychle přibylo i občanů Indie, Fi</w:t>
            </w:r>
            <w:r>
              <w:rPr>
                <w:color w:val="0D0D0D" w:themeColor="text1" w:themeTint="F2"/>
                <w:spacing w:val="-4"/>
              </w:rPr>
              <w:t>lipín, Číny a Turecka. Mírně naopak ubylo Poláků, Maďarů a</w:t>
            </w:r>
            <w:r w:rsidRPr="007F303C">
              <w:rPr>
                <w:color w:val="0D0D0D" w:themeColor="text1" w:themeTint="F2"/>
                <w:spacing w:val="-4"/>
              </w:rPr>
              <w:t xml:space="preserve"> Bulharů. Z pohledu krajů přibylo meziročně cizinců v zaměstnaneckém postavení nejvíce v Praze (+6,5 %) a </w:t>
            </w:r>
            <w:r>
              <w:rPr>
                <w:color w:val="0D0D0D" w:themeColor="text1" w:themeTint="F2"/>
                <w:spacing w:val="-4"/>
              </w:rPr>
              <w:t xml:space="preserve">na </w:t>
            </w:r>
            <w:r w:rsidRPr="007F303C">
              <w:rPr>
                <w:color w:val="0D0D0D" w:themeColor="text1" w:themeTint="F2"/>
                <w:spacing w:val="-4"/>
              </w:rPr>
              <w:t>Vysočině (+6</w:t>
            </w:r>
            <w:r>
              <w:rPr>
                <w:color w:val="0D0D0D" w:themeColor="text1" w:themeTint="F2"/>
                <w:spacing w:val="-4"/>
              </w:rPr>
              <w:t>,4 %) – tedy zároveň v regionech</w:t>
            </w:r>
            <w:r w:rsidRPr="007F303C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 xml:space="preserve">aktuálně </w:t>
            </w:r>
            <w:r w:rsidRPr="007F303C">
              <w:rPr>
                <w:color w:val="0D0D0D" w:themeColor="text1" w:themeTint="F2"/>
                <w:spacing w:val="-4"/>
              </w:rPr>
              <w:t xml:space="preserve">nejméně postižených nezaměstnaností. </w:t>
            </w:r>
            <w:r>
              <w:rPr>
                <w:color w:val="0D0D0D" w:themeColor="text1" w:themeTint="F2"/>
                <w:spacing w:val="-4"/>
              </w:rPr>
              <w:t>Více než 30 % všech v Č</w:t>
            </w:r>
            <w:r w:rsidRPr="007F303C">
              <w:rPr>
                <w:color w:val="0D0D0D" w:themeColor="text1" w:themeTint="F2"/>
                <w:spacing w:val="-4"/>
              </w:rPr>
              <w:t xml:space="preserve">esku zaměstnaných cizinců registrovaly úřady práce v Praze a </w:t>
            </w:r>
            <w:r>
              <w:rPr>
                <w:color w:val="0D0D0D" w:themeColor="text1" w:themeTint="F2"/>
                <w:spacing w:val="-4"/>
              </w:rPr>
              <w:t xml:space="preserve">dalších 17 % potom </w:t>
            </w:r>
            <w:r w:rsidRPr="007F303C">
              <w:rPr>
                <w:color w:val="0D0D0D" w:themeColor="text1" w:themeTint="F2"/>
                <w:spacing w:val="-4"/>
              </w:rPr>
              <w:t>ve středních Čechách</w:t>
            </w:r>
            <w:r>
              <w:rPr>
                <w:color w:val="0D0D0D" w:themeColor="text1" w:themeTint="F2"/>
                <w:spacing w:val="-6"/>
              </w:rPr>
              <w:t>.</w:t>
            </w:r>
          </w:p>
        </w:tc>
      </w:tr>
      <w:tr w:rsidR="00D42211" w:rsidRPr="009F0D7F" w14:paraId="2103E089" w14:textId="77777777" w:rsidTr="7BDB84E4">
        <w:trPr>
          <w:trHeight w:val="155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698F176C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Mírné oživení ekonomiky nebylo zatím letos doprovázeno omezením negativních výhledů podniků v oblasti zaměstnanosti.</w:t>
            </w:r>
          </w:p>
          <w:p w14:paraId="31827742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7525DD77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</w:p>
          <w:p w14:paraId="48AE0ACD" w14:textId="77777777" w:rsidR="00D42211" w:rsidRDefault="00D42211" w:rsidP="00D42211">
            <w:pPr>
              <w:pStyle w:val="Marginlie"/>
              <w:spacing w:after="120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Role nedostatku pracovníků jako významné růstové bariéry podniků se letos mírně snižuje.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57E13BF4" w14:textId="77777777" w:rsidR="00D42211" w:rsidRPr="009F0D7F" w:rsidRDefault="00D42211" w:rsidP="00D42211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76C5E58A" w14:textId="77777777" w:rsidR="00D42211" w:rsidRPr="007F303C" w:rsidRDefault="00D42211" w:rsidP="00D42211">
            <w:pPr>
              <w:rPr>
                <w:color w:val="0D0D0D" w:themeColor="text1" w:themeTint="F2"/>
                <w:spacing w:val="-4"/>
              </w:rPr>
            </w:pPr>
            <w:r w:rsidRPr="007F303C">
              <w:rPr>
                <w:color w:val="0D0D0D" w:themeColor="text1" w:themeTint="F2"/>
                <w:spacing w:val="-4"/>
              </w:rPr>
              <w:t>Krátkodobá očekávání podniků v oblasti vlastní zaměstnanosti zůstávají v tuzemské ekonomice (stejně jako po celý loňský rok) mírně negativní. I přes mírný růst výkonu ekonomiky zůstávaly letos v srpnu blízko tříletému mini</w:t>
            </w:r>
            <w:r>
              <w:rPr>
                <w:color w:val="0D0D0D" w:themeColor="text1" w:themeTint="F2"/>
                <w:spacing w:val="-4"/>
              </w:rPr>
              <w:t>mu. Z hlavních odvětví přetrvával</w:t>
            </w:r>
            <w:r w:rsidRPr="007F303C">
              <w:rPr>
                <w:color w:val="0D0D0D" w:themeColor="text1" w:themeTint="F2"/>
                <w:spacing w:val="-4"/>
              </w:rPr>
              <w:t xml:space="preserve"> optimismus pouze v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7F303C">
              <w:rPr>
                <w:color w:val="0D0D0D" w:themeColor="text1" w:themeTint="F2"/>
                <w:spacing w:val="-4"/>
              </w:rPr>
              <w:t>obchodě</w:t>
            </w:r>
            <w:r>
              <w:rPr>
                <w:color w:val="0D0D0D" w:themeColor="text1" w:themeTint="F2"/>
                <w:spacing w:val="-4"/>
              </w:rPr>
              <w:t>.</w:t>
            </w:r>
            <w:r w:rsidRPr="007F303C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>Převažuje</w:t>
            </w:r>
            <w:r w:rsidRPr="007F303C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 xml:space="preserve">zde </w:t>
            </w:r>
            <w:r w:rsidRPr="007F303C">
              <w:rPr>
                <w:color w:val="0D0D0D" w:themeColor="text1" w:themeTint="F2"/>
                <w:spacing w:val="-4"/>
              </w:rPr>
              <w:t>podíl firem, které chtějí lid</w:t>
            </w:r>
            <w:r>
              <w:rPr>
                <w:color w:val="0D0D0D" w:themeColor="text1" w:themeTint="F2"/>
                <w:spacing w:val="-4"/>
              </w:rPr>
              <w:t>i</w:t>
            </w:r>
            <w:r w:rsidRPr="007F303C">
              <w:rPr>
                <w:color w:val="0D0D0D" w:themeColor="text1" w:themeTint="F2"/>
                <w:spacing w:val="-4"/>
              </w:rPr>
              <w:t xml:space="preserve"> nabírat (10 %), nad těmi, co chtějí propouštět (9 %). Negativní očekávání převládala zejména ve službách, kde v tříměsíčním horizontu </w:t>
            </w:r>
            <w:r w:rsidRPr="007F303C">
              <w:rPr>
                <w:rStyle w:val="eop"/>
                <w:rFonts w:eastAsia="MS Gothic" w:cs="Arial"/>
                <w:spacing w:val="-4"/>
                <w:szCs w:val="20"/>
              </w:rPr>
              <w:t>uvažovalo o</w:t>
            </w:r>
            <w:r w:rsidRPr="007F303C">
              <w:rPr>
                <w:color w:val="0D0D0D" w:themeColor="text1" w:themeTint="F2"/>
                <w:spacing w:val="-4"/>
              </w:rPr>
              <w:t> </w:t>
            </w:r>
            <w:r w:rsidRPr="007F303C">
              <w:rPr>
                <w:rStyle w:val="eop"/>
                <w:rFonts w:eastAsia="MS Gothic" w:cs="Arial"/>
                <w:spacing w:val="-4"/>
                <w:szCs w:val="20"/>
              </w:rPr>
              <w:t xml:space="preserve">propuštění pracovníků přes 30 % podniků </w:t>
            </w:r>
            <w:r w:rsidRPr="007F303C">
              <w:rPr>
                <w:rStyle w:val="normaltextrun"/>
                <w:rFonts w:cs="Arial"/>
                <w:color w:val="000000"/>
                <w:spacing w:val="-4"/>
                <w:szCs w:val="20"/>
              </w:rPr>
              <w:t>(ale 15 % chce naopak nabírat)</w:t>
            </w:r>
            <w:r w:rsidRPr="007F303C">
              <w:rPr>
                <w:rStyle w:val="eop"/>
                <w:rFonts w:eastAsia="MS Gothic" w:cs="Arial"/>
                <w:spacing w:val="-4"/>
                <w:szCs w:val="20"/>
              </w:rPr>
              <w:t xml:space="preserve">, v průmyslu i stavebnictví </w:t>
            </w:r>
            <w:r>
              <w:rPr>
                <w:rStyle w:val="eop"/>
                <w:rFonts w:eastAsia="MS Gothic" w:cs="Arial"/>
                <w:spacing w:val="-4"/>
                <w:szCs w:val="20"/>
              </w:rPr>
              <w:t xml:space="preserve">to bylo </w:t>
            </w:r>
            <w:r w:rsidRPr="007F303C">
              <w:rPr>
                <w:rStyle w:val="eop"/>
                <w:rFonts w:eastAsia="MS Gothic" w:cs="Arial"/>
                <w:spacing w:val="-4"/>
                <w:szCs w:val="20"/>
              </w:rPr>
              <w:t xml:space="preserve">okolo 16 %. </w:t>
            </w:r>
            <w:r w:rsidRPr="007F303C">
              <w:rPr>
                <w:color w:val="0D0D0D" w:themeColor="text1" w:themeTint="F2"/>
                <w:spacing w:val="-4"/>
              </w:rPr>
              <w:t xml:space="preserve">Situace na úrovni dílčích odvětví v rámci průmyslu i služeb se </w:t>
            </w:r>
            <w:r>
              <w:rPr>
                <w:color w:val="0D0D0D" w:themeColor="text1" w:themeTint="F2"/>
                <w:spacing w:val="-4"/>
              </w:rPr>
              <w:t xml:space="preserve">přirozeně </w:t>
            </w:r>
            <w:r w:rsidRPr="007F303C">
              <w:rPr>
                <w:color w:val="0D0D0D" w:themeColor="text1" w:themeTint="F2"/>
                <w:spacing w:val="-4"/>
              </w:rPr>
              <w:t>odlišovala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11"/>
            </w:r>
            <w:r w:rsidRPr="007F303C">
              <w:rPr>
                <w:color w:val="0D0D0D" w:themeColor="text1" w:themeTint="F2"/>
                <w:spacing w:val="-4"/>
              </w:rPr>
              <w:t>. Jedin</w:t>
            </w:r>
            <w:r>
              <w:rPr>
                <w:rStyle w:val="eop"/>
                <w:rFonts w:eastAsia="MS Gothic" w:cs="Arial"/>
                <w:spacing w:val="-4"/>
                <w:szCs w:val="20"/>
              </w:rPr>
              <w:t xml:space="preserve">é z hlavních odvětví, </w:t>
            </w:r>
            <w:r>
              <w:rPr>
                <w:rStyle w:val="eop"/>
                <w:rFonts w:eastAsia="MS Gothic" w:cs="Arial"/>
                <w:spacing w:val="-4"/>
                <w:szCs w:val="20"/>
              </w:rPr>
              <w:lastRenderedPageBreak/>
              <w:t>v němž</w:t>
            </w:r>
            <w:r w:rsidRPr="007F303C">
              <w:rPr>
                <w:rStyle w:val="eop"/>
                <w:rFonts w:eastAsia="MS Gothic" w:cs="Arial"/>
                <w:spacing w:val="-4"/>
                <w:szCs w:val="20"/>
              </w:rPr>
              <w:t xml:space="preserve"> se očekávání meziročně mí</w:t>
            </w:r>
            <w:r>
              <w:rPr>
                <w:rStyle w:val="eop"/>
                <w:rFonts w:eastAsia="MS Gothic" w:cs="Arial"/>
                <w:spacing w:val="-4"/>
                <w:szCs w:val="20"/>
              </w:rPr>
              <w:t>rně zlepšila, bylo stavebnictví</w:t>
            </w:r>
            <w:r w:rsidRPr="007F303C">
              <w:rPr>
                <w:rStyle w:val="eop"/>
                <w:rFonts w:eastAsia="MS Gothic" w:cs="Arial"/>
                <w:spacing w:val="-4"/>
                <w:szCs w:val="20"/>
              </w:rPr>
              <w:t xml:space="preserve">. Podíl podniků, pro něž </w:t>
            </w:r>
            <w:r w:rsidRPr="007F303C">
              <w:rPr>
                <w:color w:val="0D0D0D" w:themeColor="text1" w:themeTint="F2"/>
                <w:spacing w:val="-4"/>
              </w:rPr>
              <w:t>představuje nedostatek pracovní síly jednu z významných růstových bariér</w:t>
            </w:r>
            <w:r w:rsidRPr="007F303C">
              <w:rPr>
                <w:rStyle w:val="Znakapoznpodarou"/>
                <w:color w:val="0D0D0D" w:themeColor="text1" w:themeTint="F2"/>
                <w:spacing w:val="-4"/>
              </w:rPr>
              <w:footnoteReference w:id="12"/>
            </w:r>
            <w:r w:rsidRPr="007F303C">
              <w:rPr>
                <w:color w:val="0D0D0D" w:themeColor="text1" w:themeTint="F2"/>
                <w:spacing w:val="-4"/>
              </w:rPr>
              <w:t xml:space="preserve">, se od počátku </w:t>
            </w:r>
            <w:r w:rsidRPr="0049062F">
              <w:rPr>
                <w:color w:val="0D0D0D" w:themeColor="text1" w:themeTint="F2"/>
                <w:spacing w:val="-5"/>
              </w:rPr>
              <w:t xml:space="preserve">letošního roku mírně snížil v průmyslu (na srpnových 13 %), </w:t>
            </w:r>
            <w:r>
              <w:rPr>
                <w:color w:val="0D0D0D" w:themeColor="text1" w:themeTint="F2"/>
                <w:spacing w:val="-5"/>
              </w:rPr>
              <w:t xml:space="preserve">ve </w:t>
            </w:r>
            <w:r w:rsidRPr="0049062F">
              <w:rPr>
                <w:color w:val="0D0D0D" w:themeColor="text1" w:themeTint="F2"/>
                <w:spacing w:val="-5"/>
              </w:rPr>
              <w:t>službách (8 %), i ve stavebnictví (42 %),</w:t>
            </w:r>
            <w:r w:rsidRPr="007F303C">
              <w:rPr>
                <w:color w:val="0D0D0D" w:themeColor="text1" w:themeTint="F2"/>
                <w:spacing w:val="-4"/>
              </w:rPr>
              <w:t xml:space="preserve"> kde ovšem s drobnými přerušeními představuje klíčovou bariéru již více než pět let.</w:t>
            </w:r>
          </w:p>
        </w:tc>
      </w:tr>
      <w:tr w:rsidR="00D42211" w:rsidRPr="009F2A8A" w14:paraId="36730404" w14:textId="77777777" w:rsidTr="7BDB84E4">
        <w:trPr>
          <w:trHeight w:val="155"/>
        </w:trPr>
        <w:tc>
          <w:tcPr>
            <w:tcW w:w="1747" w:type="dxa"/>
            <w:vMerge w:val="restart"/>
            <w:shd w:val="clear" w:color="auto" w:fill="auto"/>
            <w:tcMar>
              <w:left w:w="0" w:type="dxa"/>
            </w:tcMar>
          </w:tcPr>
          <w:p w14:paraId="2CC9B5EC" w14:textId="77777777" w:rsidR="00D42211" w:rsidRPr="00B43216" w:rsidRDefault="00D42211" w:rsidP="00D42211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12" w:type="dxa"/>
            <w:vMerge w:val="restart"/>
            <w:shd w:val="clear" w:color="auto" w:fill="auto"/>
            <w:tcMar>
              <w:left w:w="0" w:type="dxa"/>
            </w:tcMar>
          </w:tcPr>
          <w:p w14:paraId="5154E385" w14:textId="77777777" w:rsidR="00D42211" w:rsidRPr="00B43216" w:rsidRDefault="00D42211" w:rsidP="00D42211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40A9356A" w14:textId="77777777" w:rsidR="00D42211" w:rsidRPr="00CA5850" w:rsidRDefault="00D42211" w:rsidP="00D42211">
            <w:pPr>
              <w:spacing w:after="0"/>
              <w:rPr>
                <w:spacing w:val="-2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Graf č. 13</w:t>
            </w:r>
            <w:r w:rsidRPr="006856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569E">
              <w:rPr>
                <w:b/>
                <w:bCs/>
                <w:lang w:eastAsia="en-US"/>
              </w:rPr>
              <w:t xml:space="preserve">Celková zaměstnanost </w:t>
            </w:r>
            <w:r w:rsidRPr="0068569E">
              <w:rPr>
                <w:lang w:eastAsia="en-US"/>
              </w:rPr>
              <w:t>(</w:t>
            </w:r>
            <w:r w:rsidRPr="0068569E">
              <w:rPr>
                <w:spacing w:val="-2"/>
              </w:rPr>
              <w:t>meziročně v</w:t>
            </w:r>
            <w:r>
              <w:rPr>
                <w:spacing w:val="-2"/>
              </w:rPr>
              <w:t> %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, </w:t>
            </w:r>
            <w:r>
              <w:rPr>
                <w:b/>
                <w:bCs/>
                <w:spacing w:val="-2"/>
              </w:rPr>
              <w:t xml:space="preserve">příspěvky </w:t>
            </w:r>
            <w:r w:rsidRPr="0068569E">
              <w:rPr>
                <w:b/>
                <w:bCs/>
                <w:spacing w:val="-2"/>
              </w:rPr>
              <w:t xml:space="preserve">odvětví k meziroční změně zaměstnanosti </w:t>
            </w:r>
            <w:r w:rsidRPr="0068569E">
              <w:rPr>
                <w:spacing w:val="-2"/>
              </w:rPr>
              <w:t>(v</w:t>
            </w:r>
            <w:r>
              <w:rPr>
                <w:spacing w:val="-2"/>
              </w:rPr>
              <w:t> p. b.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 a očekávání vývoje zaměst</w:t>
            </w:r>
            <w:r>
              <w:rPr>
                <w:b/>
                <w:bCs/>
                <w:spacing w:val="-2"/>
              </w:rPr>
              <w:t>nanosti</w:t>
            </w:r>
            <w:r w:rsidRPr="0068569E">
              <w:rPr>
                <w:b/>
                <w:bCs/>
                <w:spacing w:val="-2"/>
              </w:rPr>
              <w:t xml:space="preserve"> </w:t>
            </w:r>
            <w:r w:rsidRPr="0068569E">
              <w:rPr>
                <w:spacing w:val="-2"/>
              </w:rPr>
              <w:t>(saldo v</w:t>
            </w:r>
            <w:r>
              <w:rPr>
                <w:spacing w:val="-2"/>
              </w:rPr>
              <w:t> p. b.)</w:t>
            </w:r>
          </w:p>
        </w:tc>
      </w:tr>
      <w:tr w:rsidR="00D42211" w:rsidRPr="00B43216" w14:paraId="55B492F0" w14:textId="77777777" w:rsidTr="7BDB84E4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747" w:type="dxa"/>
            <w:vMerge/>
          </w:tcPr>
          <w:p w14:paraId="756DE57E" w14:textId="77777777" w:rsidR="00D42211" w:rsidRPr="00B43216" w:rsidRDefault="00D42211" w:rsidP="00D42211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12" w:type="dxa"/>
            <w:vMerge/>
          </w:tcPr>
          <w:p w14:paraId="1409FD06" w14:textId="77777777" w:rsidR="00D42211" w:rsidRPr="00B43216" w:rsidRDefault="00D42211" w:rsidP="00D42211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15" w:type="dxa"/>
            <w:shd w:val="clear" w:color="auto" w:fill="auto"/>
          </w:tcPr>
          <w:p w14:paraId="5E3C9888" w14:textId="77777777" w:rsidR="00D42211" w:rsidRPr="00B43216" w:rsidRDefault="00D42211" w:rsidP="00D42211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7038BF6C" wp14:editId="4C1496C8">
                  <wp:extent cx="4810539" cy="3811905"/>
                  <wp:effectExtent l="0" t="0" r="0" b="0"/>
                  <wp:docPr id="38" name="Graf 3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42211" w:rsidRPr="00485ED5" w14:paraId="1B19FABC" w14:textId="77777777" w:rsidTr="7BDB84E4">
        <w:trPr>
          <w:trHeight w:val="671"/>
        </w:trPr>
        <w:tc>
          <w:tcPr>
            <w:tcW w:w="1747" w:type="dxa"/>
            <w:vMerge/>
            <w:tcMar>
              <w:left w:w="0" w:type="dxa"/>
            </w:tcMar>
          </w:tcPr>
          <w:p w14:paraId="0B75F2DB" w14:textId="77777777" w:rsidR="00D42211" w:rsidRPr="00B43216" w:rsidRDefault="00D42211" w:rsidP="00D42211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12" w:type="dxa"/>
            <w:vMerge/>
            <w:tcMar>
              <w:left w:w="0" w:type="dxa"/>
            </w:tcMar>
          </w:tcPr>
          <w:p w14:paraId="46F28417" w14:textId="77777777" w:rsidR="00D42211" w:rsidRPr="00B43216" w:rsidRDefault="00D42211" w:rsidP="00D42211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60C23999" w14:textId="77777777" w:rsidR="00D42211" w:rsidRDefault="00D42211" w:rsidP="00D42211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862F17">
              <w:rPr>
                <w:rFonts w:cs="Arial"/>
                <w:sz w:val="14"/>
                <w:szCs w:val="14"/>
              </w:rPr>
              <w:t xml:space="preserve"> Těžba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energetika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Peněžnictví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pojišťovnictví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Činnosti v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oblasti nemovitostí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Kulturní, zábavní a</w:t>
            </w:r>
            <w:r w:rsidRPr="00D47653">
              <w:rPr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rekreační činnosti</w:t>
            </w:r>
            <w:r>
              <w:rPr>
                <w:rFonts w:cs="Arial"/>
                <w:sz w:val="14"/>
                <w:szCs w:val="14"/>
              </w:rPr>
              <w:t>.</w:t>
            </w:r>
          </w:p>
          <w:p w14:paraId="16289B38" w14:textId="77777777" w:rsidR="00D42211" w:rsidRDefault="00D42211" w:rsidP="00D42211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Poznámka: Saldo </w:t>
            </w:r>
            <w:r>
              <w:rPr>
                <w:rFonts w:cs="Arial"/>
                <w:color w:val="0D0D0D" w:themeColor="text1" w:themeTint="F2"/>
                <w:sz w:val="14"/>
                <w:szCs w:val="14"/>
              </w:rPr>
              <w:t>očekávání vyjadřuje rozdíl v p. b. mezi kategoriemi růst versus pokles zaměstnanosti v nejbližších třech měsících. Údaje jsou sezónně očištěny a vztahují se k druhému měsíci daného čtvrtletí.</w:t>
            </w:r>
          </w:p>
          <w:p w14:paraId="2ED777C1" w14:textId="77777777" w:rsidR="00D42211" w:rsidRPr="00485ED5" w:rsidRDefault="00D42211" w:rsidP="00D42211">
            <w:pPr>
              <w:spacing w:after="20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Zdroj: ČSÚ (národní účty), Eurostat (konjunkturální průzkumy).</w:t>
            </w:r>
          </w:p>
        </w:tc>
      </w:tr>
      <w:tr w:rsidR="00D42211" w:rsidRPr="00D82DBD" w14:paraId="2DD255AA" w14:textId="77777777" w:rsidTr="7BDB84E4">
        <w:trPr>
          <w:trHeight w:val="145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4EB4CD0C" w14:textId="77777777" w:rsidR="00D42211" w:rsidRDefault="00D42211" w:rsidP="00D42211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Obecná míra nezaměstnanosti se významně nezvýšila. Z historické i mezinárodní perspektivy zůstává velmi nízká.</w:t>
            </w:r>
          </w:p>
          <w:p w14:paraId="092B1B88" w14:textId="77777777" w:rsidR="00D42211" w:rsidRPr="008659E6" w:rsidRDefault="00D42211" w:rsidP="00D42211">
            <w:pPr>
              <w:pStyle w:val="Marginlie"/>
              <w:rPr>
                <w:color w:val="0D0D0D" w:themeColor="text1" w:themeTint="F2"/>
                <w:spacing w:val="-5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55CBDF89" w14:textId="77777777" w:rsidR="00D42211" w:rsidRPr="008659E6" w:rsidRDefault="00D42211" w:rsidP="00D42211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094B6E47" w14:textId="77777777" w:rsidR="00D42211" w:rsidRPr="008659E6" w:rsidRDefault="00D42211" w:rsidP="00D42211">
            <w:pPr>
              <w:spacing w:after="200"/>
              <w:rPr>
                <w:color w:val="0D0D0D" w:themeColor="text1" w:themeTint="F2"/>
                <w:spacing w:val="-6"/>
              </w:rPr>
            </w:pPr>
            <w:r w:rsidRPr="00F37077">
              <w:rPr>
                <w:color w:val="0D0D0D" w:themeColor="text1" w:themeTint="F2"/>
              </w:rPr>
              <w:t>Navzdory přetrvávajícím potížím některých podniků v různých průmyslových odvětvích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  <w:spacing w:val="-6"/>
              </w:rPr>
              <w:t>se o</w:t>
            </w:r>
            <w:r w:rsidRPr="00733696">
              <w:rPr>
                <w:color w:val="0D0D0D" w:themeColor="text1" w:themeTint="F2"/>
                <w:spacing w:val="-6"/>
              </w:rPr>
              <w:t>becná míra nezaměstnanosti</w:t>
            </w:r>
            <w:r w:rsidRPr="00733696">
              <w:rPr>
                <w:rStyle w:val="Znakapoznpodarou"/>
                <w:color w:val="0D0D0D" w:themeColor="text1" w:themeTint="F2"/>
                <w:spacing w:val="-6"/>
              </w:rPr>
              <w:footnoteReference w:id="13"/>
            </w:r>
            <w:r>
              <w:rPr>
                <w:color w:val="0D0D0D" w:themeColor="text1" w:themeTint="F2"/>
                <w:spacing w:val="-6"/>
              </w:rPr>
              <w:t xml:space="preserve"> za poslední rok významně nezvýšila, spíše lze hovořit o</w:t>
            </w:r>
            <w:r w:rsidRPr="007F303C">
              <w:rPr>
                <w:color w:val="0D0D0D" w:themeColor="text1" w:themeTint="F2"/>
                <w:spacing w:val="-4"/>
              </w:rPr>
              <w:t> </w:t>
            </w:r>
            <w:r>
              <w:rPr>
                <w:color w:val="0D0D0D" w:themeColor="text1" w:themeTint="F2"/>
                <w:spacing w:val="-6"/>
              </w:rPr>
              <w:t>jejím kolísání – zejména u žen. O</w:t>
            </w:r>
            <w:r w:rsidRPr="00F37077">
              <w:rPr>
                <w:color w:val="0D0D0D" w:themeColor="text1" w:themeTint="F2"/>
              </w:rPr>
              <w:t>čištěná míra nezaměstnanosti (15</w:t>
            </w:r>
            <w:r>
              <w:rPr>
                <w:color w:val="0D0D0D" w:themeColor="text1" w:themeTint="F2"/>
              </w:rPr>
              <w:t>–64letých) dosáhla v srpnu 2,7 % (muži 2,3 %, ženy 3,2 %)</w:t>
            </w:r>
            <w:r>
              <w:rPr>
                <w:rStyle w:val="Znakapoznpodarou"/>
                <w:color w:val="0D0D0D" w:themeColor="text1" w:themeTint="F2"/>
              </w:rPr>
              <w:footnoteReference w:id="14"/>
            </w:r>
            <w:r>
              <w:rPr>
                <w:color w:val="0D0D0D" w:themeColor="text1" w:themeTint="F2"/>
              </w:rPr>
              <w:t xml:space="preserve">. Fakticky nevzrostl ani počet dlouhodobě nezaměstnaných – ti se na celkovém počtu lidí bez práce podíleli 30 %, což je </w:t>
            </w:r>
            <w:r>
              <w:rPr>
                <w:color w:val="0D0D0D" w:themeColor="text1" w:themeTint="F2"/>
              </w:rPr>
              <w:lastRenderedPageBreak/>
              <w:t>z dlouhodobého i mezinárodního pohledu podprůměrná hodnota. V</w:t>
            </w:r>
            <w:r>
              <w:rPr>
                <w:color w:val="0D0D0D" w:themeColor="text1" w:themeTint="F2"/>
                <w:spacing w:val="-4"/>
              </w:rPr>
              <w:t>elikosti potenciální pracovní</w:t>
            </w:r>
            <w:r w:rsidRPr="004B20D0">
              <w:rPr>
                <w:color w:val="0D0D0D" w:themeColor="text1" w:themeTint="F2"/>
                <w:spacing w:val="-4"/>
              </w:rPr>
              <w:t xml:space="preserve"> rezerv</w:t>
            </w:r>
            <w:r>
              <w:rPr>
                <w:color w:val="0D0D0D" w:themeColor="text1" w:themeTint="F2"/>
                <w:spacing w:val="-4"/>
              </w:rPr>
              <w:t xml:space="preserve">y (tj. </w:t>
            </w:r>
            <w:r w:rsidRPr="004B20D0">
              <w:rPr>
                <w:color w:val="0D0D0D" w:themeColor="text1" w:themeTint="F2"/>
                <w:spacing w:val="-4"/>
              </w:rPr>
              <w:t xml:space="preserve">ekonomicky neaktivních </w:t>
            </w:r>
            <w:r>
              <w:rPr>
                <w:color w:val="0D0D0D" w:themeColor="text1" w:themeTint="F2"/>
                <w:spacing w:val="-4"/>
              </w:rPr>
              <w:t xml:space="preserve">osob </w:t>
            </w:r>
            <w:r w:rsidRPr="004B20D0">
              <w:rPr>
                <w:color w:val="0D0D0D" w:themeColor="text1" w:themeTint="F2"/>
                <w:spacing w:val="-4"/>
              </w:rPr>
              <w:t>práci nehledaj</w:t>
            </w:r>
            <w:r>
              <w:rPr>
                <w:color w:val="0D0D0D" w:themeColor="text1" w:themeTint="F2"/>
                <w:spacing w:val="-4"/>
              </w:rPr>
              <w:t>ících, ale uvádějících ochotu pracovat) se v poslední době významně nemění a z dlouhodobé perspektivy zůstává nízká (ve 2. čtvrtletí šlo o 82 tis. osob)</w:t>
            </w:r>
            <w:r>
              <w:rPr>
                <w:rStyle w:val="Znakapoznpodarou"/>
                <w:color w:val="0D0D0D" w:themeColor="text1" w:themeTint="F2"/>
                <w:spacing w:val="-4"/>
              </w:rPr>
              <w:footnoteReference w:id="15"/>
            </w:r>
            <w:r>
              <w:rPr>
                <w:color w:val="0D0D0D" w:themeColor="text1" w:themeTint="F2"/>
                <w:spacing w:val="-4"/>
              </w:rPr>
              <w:t>. To na jednu stranu představuje nezanedbatelný problém pro řadu zaměstnavatelů, z jiného úhlu pohledu jde ovšem také o pozitivní signál naznačující, že rozsah skryté nezaměstnanosti (ve formě „úniku“ do ekonomické neaktivity) není na tuzemském pracovním trhu aktuálně významný.</w:t>
            </w:r>
          </w:p>
        </w:tc>
      </w:tr>
      <w:tr w:rsidR="00D42211" w:rsidRPr="00B43216" w14:paraId="4F9D403A" w14:textId="77777777" w:rsidTr="7BDB84E4">
        <w:trPr>
          <w:trHeight w:val="155"/>
        </w:trPr>
        <w:tc>
          <w:tcPr>
            <w:tcW w:w="1747" w:type="dxa"/>
            <w:vMerge w:val="restart"/>
            <w:shd w:val="clear" w:color="auto" w:fill="auto"/>
            <w:tcMar>
              <w:left w:w="0" w:type="dxa"/>
            </w:tcMar>
          </w:tcPr>
          <w:p w14:paraId="792D1340" w14:textId="77777777" w:rsidR="00D42211" w:rsidRPr="00B43216" w:rsidRDefault="00D42211" w:rsidP="00D42211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12" w:type="dxa"/>
            <w:vMerge w:val="restart"/>
            <w:shd w:val="clear" w:color="auto" w:fill="auto"/>
            <w:tcMar>
              <w:left w:w="0" w:type="dxa"/>
            </w:tcMar>
          </w:tcPr>
          <w:p w14:paraId="51487CCE" w14:textId="77777777" w:rsidR="00D42211" w:rsidRPr="00B43216" w:rsidRDefault="00D42211" w:rsidP="00D42211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64E8BCBB" w14:textId="77777777" w:rsidR="00D42211" w:rsidRPr="0021475C" w:rsidRDefault="00D42211" w:rsidP="00D42211">
            <w:pPr>
              <w:spacing w:after="0"/>
              <w:rPr>
                <w:rFonts w:cs="Arial"/>
                <w:b/>
                <w:bCs/>
                <w:spacing w:val="-4"/>
              </w:rPr>
            </w:pPr>
            <w:r w:rsidRPr="0021475C">
              <w:rPr>
                <w:b/>
                <w:spacing w:val="-4"/>
              </w:rPr>
              <w:t xml:space="preserve">Graf č. 14 </w:t>
            </w:r>
            <w:r w:rsidRPr="0021475C">
              <w:rPr>
                <w:rFonts w:cs="Arial"/>
                <w:b/>
                <w:spacing w:val="-4"/>
              </w:rPr>
              <w:t xml:space="preserve">Obecná míra nezaměstnanosti </w:t>
            </w:r>
            <w:r w:rsidRPr="0021475C">
              <w:rPr>
                <w:rFonts w:cs="Arial"/>
                <w:bCs/>
                <w:spacing w:val="-4"/>
              </w:rPr>
              <w:t>(v %, věk 15 až 64 let)</w:t>
            </w:r>
            <w:r w:rsidRPr="0021475C">
              <w:rPr>
                <w:rFonts w:cs="Arial"/>
                <w:b/>
                <w:spacing w:val="-4"/>
              </w:rPr>
              <w:t>,</w:t>
            </w:r>
            <w:r w:rsidRPr="0021475C">
              <w:rPr>
                <w:rFonts w:cs="Arial"/>
                <w:bCs/>
                <w:spacing w:val="-4"/>
              </w:rPr>
              <w:t xml:space="preserve"> </w:t>
            </w:r>
            <w:r w:rsidRPr="0021475C">
              <w:rPr>
                <w:rFonts w:cs="Arial"/>
                <w:b/>
                <w:bCs/>
                <w:spacing w:val="-4"/>
              </w:rPr>
              <w:t>očekávání vývoje nezaměstnanosti ze strany domácností*</w:t>
            </w:r>
            <w:r w:rsidRPr="0021475C">
              <w:rPr>
                <w:rFonts w:cs="Arial"/>
                <w:bCs/>
                <w:spacing w:val="-4"/>
              </w:rPr>
              <w:t xml:space="preserve"> (v p. b.), </w:t>
            </w:r>
            <w:r w:rsidRPr="0021475C">
              <w:rPr>
                <w:rFonts w:cs="Arial"/>
                <w:b/>
                <w:bCs/>
                <w:spacing w:val="-4"/>
              </w:rPr>
              <w:t xml:space="preserve">volná pracovní místa a pracující cizinci v pozici zaměstnanců </w:t>
            </w:r>
            <w:r w:rsidRPr="0021475C">
              <w:rPr>
                <w:rFonts w:cs="Arial"/>
                <w:bCs/>
                <w:spacing w:val="-4"/>
              </w:rPr>
              <w:t>(v tis.)**</w:t>
            </w:r>
          </w:p>
        </w:tc>
      </w:tr>
      <w:tr w:rsidR="00D42211" w:rsidRPr="00B43216" w14:paraId="59876115" w14:textId="77777777" w:rsidTr="7BDB84E4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747" w:type="dxa"/>
            <w:vMerge/>
          </w:tcPr>
          <w:p w14:paraId="5EB5D94B" w14:textId="77777777" w:rsidR="00D42211" w:rsidRPr="00B43216" w:rsidRDefault="00D42211" w:rsidP="00D42211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12" w:type="dxa"/>
            <w:vMerge/>
          </w:tcPr>
          <w:p w14:paraId="015E057D" w14:textId="77777777" w:rsidR="00D42211" w:rsidRPr="00B43216" w:rsidRDefault="00D42211" w:rsidP="00D42211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15" w:type="dxa"/>
            <w:shd w:val="clear" w:color="auto" w:fill="auto"/>
          </w:tcPr>
          <w:p w14:paraId="0F054DD3" w14:textId="77777777" w:rsidR="00D42211" w:rsidRPr="00B43216" w:rsidRDefault="00D42211" w:rsidP="00D42211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4CE95CEF" wp14:editId="2F9F1457">
                  <wp:extent cx="4800600" cy="3552825"/>
                  <wp:effectExtent l="0" t="0" r="0" b="0"/>
                  <wp:docPr id="39" name="Graf 3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D42211" w:rsidRPr="00B43216" w14:paraId="291A19F3" w14:textId="77777777" w:rsidTr="7BDB84E4">
        <w:trPr>
          <w:trHeight w:val="132"/>
        </w:trPr>
        <w:tc>
          <w:tcPr>
            <w:tcW w:w="1747" w:type="dxa"/>
            <w:vMerge/>
            <w:tcMar>
              <w:left w:w="0" w:type="dxa"/>
            </w:tcMar>
          </w:tcPr>
          <w:p w14:paraId="39A44845" w14:textId="77777777" w:rsidR="00D42211" w:rsidRPr="00B43216" w:rsidRDefault="00D42211" w:rsidP="00D42211">
            <w:pPr>
              <w:pStyle w:val="Marginlie"/>
              <w:rPr>
                <w:spacing w:val="-4"/>
              </w:rPr>
            </w:pPr>
          </w:p>
        </w:tc>
        <w:tc>
          <w:tcPr>
            <w:tcW w:w="212" w:type="dxa"/>
            <w:vMerge/>
            <w:tcMar>
              <w:left w:w="0" w:type="dxa"/>
            </w:tcMar>
          </w:tcPr>
          <w:p w14:paraId="6E7554EF" w14:textId="77777777" w:rsidR="00D42211" w:rsidRPr="00B43216" w:rsidRDefault="00D42211" w:rsidP="00D4221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264834CF" w14:textId="77777777" w:rsidR="00D42211" w:rsidRPr="00274FC3" w:rsidRDefault="00D42211" w:rsidP="00D42211">
            <w:pPr>
              <w:spacing w:before="60"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Pozn.: Míry nezaměstnanosti jsou sezónně očištěny</w:t>
            </w:r>
            <w:r w:rsidRPr="00D94F3D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. VPM = volná pracovní místa (stav na konci čtvrtletí)</w:t>
            </w:r>
          </w:p>
          <w:p w14:paraId="3B1EB6E7" w14:textId="77777777" w:rsidR="00D42211" w:rsidRDefault="00D42211" w:rsidP="00D42211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*Sezónně očištěné saldo očekávání nezaměstnanosti v nejbližších 12 měsících (rozdíl mezi procentuální četností odpovědí domácností, růst a pokles vyjádřený v procentních bodech). Vztahuje se k prostřednímu měsíci daného čtvrtletí.</w:t>
            </w:r>
          </w:p>
          <w:p w14:paraId="245B7D42" w14:textId="77777777" w:rsidR="00D42211" w:rsidRDefault="00D42211" w:rsidP="00D42211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**Počet cizinců v postavení zaměstnanců evidovaných na úřadech práce v ČR na konci příslušného čtvrtletí.</w:t>
            </w:r>
          </w:p>
          <w:p w14:paraId="64E10F70" w14:textId="77777777" w:rsidR="00D42211" w:rsidRPr="00485ED5" w:rsidRDefault="00D42211" w:rsidP="00D42211">
            <w:pPr>
              <w:spacing w:after="20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 (VŠPS, konjunkturální průzkum), MPSV (VPM registrovaná na úřadech práce v ČR, zaměstnaní cizinci)</w:t>
            </w:r>
          </w:p>
        </w:tc>
      </w:tr>
      <w:tr w:rsidR="00D42211" w:rsidRPr="00016778" w14:paraId="2AA75256" w14:textId="77777777" w:rsidTr="7BDB84E4">
        <w:trPr>
          <w:trHeight w:val="132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69624615" w14:textId="77777777" w:rsidR="00D42211" w:rsidRDefault="00D42211" w:rsidP="00D42211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Počet registrovaných volných pracovních míst na ÚP se meziročně mírně snížil, a to napříč kvalifikačními třídami.</w:t>
            </w:r>
          </w:p>
          <w:p w14:paraId="7A27866A" w14:textId="77777777" w:rsidR="00D42211" w:rsidRDefault="00D42211" w:rsidP="00D42211">
            <w:pPr>
              <w:pStyle w:val="Marginlie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595C9B33" w14:textId="77777777" w:rsidR="00D42211" w:rsidRPr="00016778" w:rsidRDefault="00D42211" w:rsidP="00D42211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50BAD5C2" w14:textId="77777777" w:rsidR="00D42211" w:rsidRPr="00676F3E" w:rsidRDefault="00D42211" w:rsidP="00D42211">
            <w:pPr>
              <w:spacing w:after="200"/>
              <w:rPr>
                <w:color w:val="0D0D0D" w:themeColor="text1" w:themeTint="F2"/>
                <w:spacing w:val="-4"/>
              </w:rPr>
            </w:pPr>
            <w:r>
              <w:rPr>
                <w:rStyle w:val="normaltextrun"/>
                <w:rFonts w:eastAsia="MS Gothic" w:cs="Arial"/>
                <w:szCs w:val="20"/>
              </w:rPr>
              <w:t>Stabilní stav tuzemského trhu práce potvrzují i údaje z úřadů práce (ÚP). Na sklonku července činil sezonně neočištěný podíl nezaměstnaných (dosažitelní uchazeči o práci k celkové populaci 15–64letých) 3,8 % (muži: 3,3 %, ženy: 4,2 %). Šlo sice o nejvyšší červencovou hodnotu za poslední 4 roky, ovšem meziroční nárůst nezaměstnanosti byl ve všech letošních měsících zatím velmi mírný (0,1 až 0,3 p. b.). Muže trápí nejvyšší nezaměstnanost v okrese Most (10,0 %), ženy na Karvinsku (8,4 %). Navzdory rozvoji sezónních prací se počet registrovaných volných pracovních míst na ÚP letos od dubna meziměsíčně mírně snižoval (od července celkově o 6 tis, na 262 tis</w:t>
            </w:r>
            <w:r>
              <w:rPr>
                <w:rStyle w:val="Znakapoznpodarou"/>
                <w:rFonts w:eastAsia="MS Gothic"/>
                <w:szCs w:val="20"/>
              </w:rPr>
              <w:footnoteReference w:id="16"/>
            </w:r>
            <w:r>
              <w:rPr>
                <w:rStyle w:val="normaltextrun"/>
                <w:rFonts w:eastAsia="MS Gothic" w:cs="Arial"/>
                <w:szCs w:val="20"/>
              </w:rPr>
              <w:t>., loni během 1.</w:t>
            </w:r>
            <w:r w:rsidRPr="007F303C">
              <w:rPr>
                <w:color w:val="0D0D0D" w:themeColor="text1" w:themeTint="F2"/>
                <w:spacing w:val="-4"/>
              </w:rPr>
              <w:t> </w:t>
            </w:r>
            <w:r>
              <w:rPr>
                <w:rStyle w:val="normaltextrun"/>
                <w:rFonts w:eastAsia="MS Gothic" w:cs="Arial"/>
                <w:szCs w:val="20"/>
              </w:rPr>
              <w:t>pololetí ještě nepatrně rostl).</w:t>
            </w:r>
            <w:r>
              <w:rPr>
                <w:rStyle w:val="Nadpis9Char"/>
                <w:rFonts w:cs="Arial"/>
                <w:szCs w:val="20"/>
              </w:rPr>
              <w:t xml:space="preserve"> </w:t>
            </w:r>
            <w:r>
              <w:rPr>
                <w:rStyle w:val="normaltextrun"/>
                <w:rFonts w:cs="Arial"/>
                <w:szCs w:val="20"/>
              </w:rPr>
              <w:t>Počet míst tak osmý měsíc v řadě mírně zaostával za celkovým počtem uchazečů o práci (nyní 283 tis.).</w:t>
            </w:r>
            <w:r>
              <w:rPr>
                <w:rStyle w:val="normaltextrun"/>
                <w:rFonts w:eastAsia="MS Gothic" w:cs="Arial"/>
                <w:color w:val="000000"/>
                <w:spacing w:val="-4"/>
                <w:szCs w:val="20"/>
                <w:shd w:val="clear" w:color="auto" w:fill="FFFFFF"/>
              </w:rPr>
              <w:t xml:space="preserve"> Rovněž meziročně se počet volných míst mírně snížil, a to vesměs napříč kvalifikačními třídami. </w:t>
            </w:r>
            <w:r w:rsidRPr="001359C0">
              <w:rPr>
                <w:color w:val="0D0D0D" w:themeColor="text1" w:themeTint="F2"/>
                <w:spacing w:val="-4"/>
              </w:rPr>
              <w:t xml:space="preserve">Obavy lidí z růstu </w:t>
            </w:r>
            <w:r w:rsidRPr="001359C0">
              <w:rPr>
                <w:color w:val="0D0D0D" w:themeColor="text1" w:themeTint="F2"/>
                <w:spacing w:val="-4"/>
              </w:rPr>
              <w:lastRenderedPageBreak/>
              <w:t xml:space="preserve">nezaměstnanosti (vyjádřené </w:t>
            </w:r>
            <w:r>
              <w:rPr>
                <w:color w:val="0D0D0D" w:themeColor="text1" w:themeTint="F2"/>
                <w:spacing w:val="-4"/>
              </w:rPr>
              <w:t>v rámci konjunkturálních průzkumů</w:t>
            </w:r>
            <w:r w:rsidRPr="001359C0">
              <w:rPr>
                <w:color w:val="0D0D0D" w:themeColor="text1" w:themeTint="F2"/>
                <w:spacing w:val="-4"/>
              </w:rPr>
              <w:t>)</w:t>
            </w:r>
            <w:r>
              <w:rPr>
                <w:color w:val="0D0D0D" w:themeColor="text1" w:themeTint="F2"/>
                <w:spacing w:val="-4"/>
              </w:rPr>
              <w:t xml:space="preserve"> klesly letos v dubnu nejníže od nástupu pandemie. Následně sice mírně posílily, avšak ani v letních měsících svůj dlouhodobý průměr významně nepřekračovaly. </w:t>
            </w:r>
          </w:p>
        </w:tc>
      </w:tr>
      <w:tr w:rsidR="00D42211" w:rsidRPr="00016778" w14:paraId="69BE629F" w14:textId="77777777" w:rsidTr="7BDB84E4">
        <w:trPr>
          <w:trHeight w:val="132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700E856E" w14:textId="77777777" w:rsidR="00D42211" w:rsidRPr="00C11228" w:rsidRDefault="00D42211" w:rsidP="00D42211">
            <w:pPr>
              <w:pStyle w:val="Marginlie"/>
              <w:rPr>
                <w:color w:val="0D0D0D" w:themeColor="text1" w:themeTint="F2"/>
                <w:spacing w:val="-5"/>
              </w:rPr>
            </w:pPr>
            <w:r w:rsidRPr="00C11228">
              <w:rPr>
                <w:color w:val="0D0D0D" w:themeColor="text1" w:themeTint="F2"/>
                <w:spacing w:val="-5"/>
              </w:rPr>
              <w:lastRenderedPageBreak/>
              <w:t>Meziroční růst průměrných mezd zvolňoval. Se zpožděním se v něm projevovala stagnace výkonu patrná v předchozích kvartálech.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7821C525" w14:textId="77777777" w:rsidR="00D42211" w:rsidRPr="00016778" w:rsidRDefault="00D42211" w:rsidP="00D42211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429503C5" w14:textId="77777777" w:rsidR="00D42211" w:rsidRPr="00C11228" w:rsidRDefault="00D42211" w:rsidP="00D42211">
            <w:pPr>
              <w:rPr>
                <w:color w:val="0D0D0D" w:themeColor="text1" w:themeTint="F2"/>
                <w:spacing w:val="-6"/>
              </w:rPr>
            </w:pPr>
            <w:r w:rsidRPr="00C11228">
              <w:rPr>
                <w:rStyle w:val="normaltextrun"/>
                <w:rFonts w:cs="Arial"/>
                <w:spacing w:val="-2"/>
                <w:szCs w:val="20"/>
              </w:rPr>
              <w:t>Ve 2. čtvrtletí dosáhla průměrná hrubá měsíční nominální mzda zaměstnance v národním hospodářství 45 854 korun</w:t>
            </w:r>
            <w:r>
              <w:rPr>
                <w:rStyle w:val="normaltextrun"/>
                <w:rFonts w:cs="Arial"/>
                <w:spacing w:val="-2"/>
                <w:szCs w:val="20"/>
              </w:rPr>
              <w:t>, m</w:t>
            </w:r>
            <w:r w:rsidRPr="00C11228">
              <w:rPr>
                <w:rStyle w:val="normaltextrun"/>
                <w:rFonts w:cs="Arial"/>
                <w:spacing w:val="-2"/>
                <w:szCs w:val="20"/>
              </w:rPr>
              <w:t>eziročně vzrostla o 6,5 %</w:t>
            </w:r>
            <w:r>
              <w:rPr>
                <w:rStyle w:val="normaltextrun"/>
                <w:rFonts w:cs="Arial"/>
                <w:spacing w:val="-2"/>
                <w:szCs w:val="20"/>
              </w:rPr>
              <w:t>. T</w:t>
            </w:r>
            <w:r w:rsidRPr="00C11228">
              <w:rPr>
                <w:rStyle w:val="normaltextrun"/>
                <w:rFonts w:cs="Arial"/>
                <w:spacing w:val="-2"/>
                <w:szCs w:val="20"/>
              </w:rPr>
              <w:t>oto tempo oproti 1.</w:t>
            </w:r>
            <w:r>
              <w:rPr>
                <w:rStyle w:val="normaltextrun"/>
                <w:rFonts w:cs="Arial"/>
                <w:spacing w:val="-2"/>
                <w:szCs w:val="20"/>
              </w:rPr>
              <w:t> </w:t>
            </w:r>
            <w:r w:rsidRPr="00C11228">
              <w:rPr>
                <w:rStyle w:val="normaltextrun"/>
                <w:rFonts w:cs="Arial"/>
                <w:spacing w:val="-2"/>
                <w:szCs w:val="20"/>
              </w:rPr>
              <w:t xml:space="preserve">letošnímu kvartálu </w:t>
            </w:r>
            <w:r>
              <w:rPr>
                <w:rStyle w:val="normaltextrun"/>
                <w:rFonts w:cs="Arial"/>
                <w:spacing w:val="-2"/>
                <w:szCs w:val="20"/>
              </w:rPr>
              <w:t>(+7,2 %) lehce zvolnilo (zmírňování</w:t>
            </w:r>
            <w:r w:rsidRPr="00C11228">
              <w:rPr>
                <w:rStyle w:val="normaltextrun"/>
                <w:rFonts w:cs="Arial"/>
                <w:spacing w:val="-2"/>
                <w:szCs w:val="20"/>
              </w:rPr>
              <w:t xml:space="preserve"> růstu bylo patrné i po celý loňský rok</w:t>
            </w:r>
            <w:r>
              <w:rPr>
                <w:rStyle w:val="normaltextrun"/>
                <w:rFonts w:cs="Arial"/>
                <w:spacing w:val="-2"/>
                <w:szCs w:val="20"/>
              </w:rPr>
              <w:t>)</w:t>
            </w:r>
            <w:r w:rsidRPr="00C11228">
              <w:rPr>
                <w:rStyle w:val="normaltextrun"/>
                <w:rFonts w:cs="Arial"/>
                <w:spacing w:val="-2"/>
                <w:szCs w:val="20"/>
              </w:rPr>
              <w:t xml:space="preserve">. Zpomalení mzdové dynamiky lze vysledovat i </w:t>
            </w:r>
            <w:r>
              <w:rPr>
                <w:rStyle w:val="normaltextrun"/>
                <w:rFonts w:cs="Arial"/>
                <w:spacing w:val="-2"/>
                <w:szCs w:val="20"/>
              </w:rPr>
              <w:t xml:space="preserve">v </w:t>
            </w:r>
            <w:r w:rsidRPr="00C11228">
              <w:rPr>
                <w:rStyle w:val="normaltextrun"/>
                <w:rFonts w:cs="Arial"/>
                <w:spacing w:val="-2"/>
                <w:szCs w:val="20"/>
              </w:rPr>
              <w:t>mezikvartálním srovnání – růst očištěné průměrné mzdy činil ve 2. čtvrtletí 2024 „jen“ 1,4 % (nejméně od jara 2022). Evidenční počet zaměstnanců (přepočtený na plné úvazky) v obou letošních čtvrtletích meziročně stagnoval</w:t>
            </w:r>
            <w:r w:rsidRPr="00C11228">
              <w:rPr>
                <w:rStyle w:val="normaltextrun"/>
                <w:rFonts w:cs="Arial"/>
                <w:spacing w:val="-4"/>
                <w:szCs w:val="20"/>
              </w:rPr>
              <w:t>.</w:t>
            </w:r>
            <w:r>
              <w:rPr>
                <w:rStyle w:val="normaltextrun"/>
                <w:rFonts w:cs="Arial"/>
                <w:spacing w:val="-4"/>
                <w:szCs w:val="20"/>
              </w:rPr>
              <w:t xml:space="preserve"> </w:t>
            </w:r>
            <w:r>
              <w:t xml:space="preserve">Mzdový růst v </w:t>
            </w:r>
            <w:r>
              <w:rPr>
                <w:color w:val="0D0D0D" w:themeColor="text1" w:themeTint="F2"/>
              </w:rPr>
              <w:t xml:space="preserve">ekonomice tlumila </w:t>
            </w:r>
            <w:r w:rsidRPr="00E2395C">
              <w:rPr>
                <w:color w:val="0D0D0D" w:themeColor="text1" w:themeTint="F2"/>
              </w:rPr>
              <w:t xml:space="preserve">sílící </w:t>
            </w:r>
            <w:r>
              <w:t>potřeba úspor v rozpočtové sféře i</w:t>
            </w:r>
            <w:r w:rsidRPr="007F303C">
              <w:rPr>
                <w:color w:val="0D0D0D" w:themeColor="text1" w:themeTint="F2"/>
                <w:spacing w:val="-4"/>
              </w:rPr>
              <w:t> </w:t>
            </w:r>
            <w:r>
              <w:t xml:space="preserve">rostoucí počet zahraničních pracovníků ze „třetích zemí“. Ti nezřídka pracují na nízkokvalifikovaných pozicích a jejich výdělky tudíž </w:t>
            </w:r>
            <w:r w:rsidRPr="00DA5C07">
              <w:rPr>
                <w:spacing w:val="-2"/>
              </w:rPr>
              <w:t>zpr</w:t>
            </w:r>
            <w:r>
              <w:rPr>
                <w:spacing w:val="-2"/>
              </w:rPr>
              <w:t xml:space="preserve">avidla nedosahují úrovně občanů </w:t>
            </w:r>
            <w:r w:rsidRPr="00DA5C07">
              <w:rPr>
                <w:spacing w:val="-2"/>
              </w:rPr>
              <w:t xml:space="preserve">ČR. Naopak ve směru růstu nominální mzdy stále působila dosud relativně vysoká poptávka podniků po pracovní síle v některých odvětvích </w:t>
            </w:r>
            <w:r>
              <w:rPr>
                <w:spacing w:val="-2"/>
              </w:rPr>
              <w:t xml:space="preserve">či zvýšený tlak zaměstnanců </w:t>
            </w:r>
            <w:r w:rsidRPr="00DA5C07">
              <w:rPr>
                <w:spacing w:val="-2"/>
              </w:rPr>
              <w:t xml:space="preserve">pramenící </w:t>
            </w:r>
            <w:r>
              <w:rPr>
                <w:spacing w:val="-2"/>
              </w:rPr>
              <w:t>i</w:t>
            </w:r>
            <w:r w:rsidRPr="00DA5C07">
              <w:rPr>
                <w:spacing w:val="-2"/>
              </w:rPr>
              <w:t xml:space="preserve"> z napjatých rodinných rozpočtů vlivem doznívajícího vysokéh</w:t>
            </w:r>
            <w:r>
              <w:rPr>
                <w:spacing w:val="-2"/>
              </w:rPr>
              <w:t>o růstu cen některých položek spotřebního koše. Dynamičtější mzdový růst v řadě odvětví umožňovala i přetrvávající vysoká míra zisku podniků.</w:t>
            </w:r>
          </w:p>
        </w:tc>
      </w:tr>
      <w:tr w:rsidR="00D42211" w:rsidRPr="00016778" w14:paraId="0198B831" w14:textId="77777777" w:rsidTr="7BDB84E4">
        <w:trPr>
          <w:trHeight w:val="132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47DA6798" w14:textId="77777777" w:rsidR="00D42211" w:rsidRDefault="00D42211" w:rsidP="00D42211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Pokles reálné mzdy v ekonomice se letos po devíti čtvrtletích zastavil. Kupní síla průměrné mzdy odpovídala roku 2018.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20C51966" w14:textId="77777777" w:rsidR="00D42211" w:rsidRPr="00016778" w:rsidRDefault="00D42211" w:rsidP="00D42211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446C161A" w14:textId="77777777" w:rsidR="00D42211" w:rsidRPr="00363296" w:rsidRDefault="00D42211" w:rsidP="00D42211">
            <w:pPr>
              <w:spacing w:after="200"/>
              <w:rPr>
                <w:color w:val="0D0D0D" w:themeColor="text1" w:themeTint="F2"/>
              </w:rPr>
            </w:pPr>
            <w:r w:rsidRPr="00561FFC">
              <w:rPr>
                <w:color w:val="0D0D0D" w:themeColor="text1" w:themeTint="F2"/>
              </w:rPr>
              <w:t>Díky zklidnění cenové hladiny v ekonomice pokračoval očekávaný růst reálné mzdy</w:t>
            </w:r>
            <w:r>
              <w:rPr>
                <w:color w:val="0D0D0D" w:themeColor="text1" w:themeTint="F2"/>
              </w:rPr>
              <w:t>. V</w:t>
            </w:r>
            <w:r w:rsidRPr="00561FFC">
              <w:rPr>
                <w:color w:val="0D0D0D" w:themeColor="text1" w:themeTint="F2"/>
              </w:rPr>
              <w:t xml:space="preserve">e 2. čtvrtletí činil meziročně 3,9 % (za celé 1. pololetí 4,5 %). Růst reálných mezd letos pozvolna umazává výrazný propad reálné kupní síly zaměstnanců </w:t>
            </w:r>
            <w:r>
              <w:rPr>
                <w:color w:val="0D0D0D" w:themeColor="text1" w:themeTint="F2"/>
              </w:rPr>
              <w:t xml:space="preserve">z </w:t>
            </w:r>
            <w:r w:rsidRPr="00561FFC">
              <w:rPr>
                <w:color w:val="0D0D0D" w:themeColor="text1" w:themeTint="F2"/>
              </w:rPr>
              <w:t xml:space="preserve">let 2022 i 2023 (reálně se však zatím průměrná mzda nachází stále na úrovni roku 2018). Růst kupní síly mezd </w:t>
            </w:r>
            <w:r>
              <w:rPr>
                <w:color w:val="0D0D0D" w:themeColor="text1" w:themeTint="F2"/>
              </w:rPr>
              <w:t>je letos tlumen mírným</w:t>
            </w:r>
            <w:r w:rsidRPr="00561FFC">
              <w:rPr>
                <w:color w:val="0D0D0D" w:themeColor="text1" w:themeTint="F2"/>
              </w:rPr>
              <w:t xml:space="preserve"> zvýšení</w:t>
            </w:r>
            <w:r>
              <w:rPr>
                <w:color w:val="0D0D0D" w:themeColor="text1" w:themeTint="F2"/>
              </w:rPr>
              <w:t>m</w:t>
            </w:r>
            <w:r w:rsidRPr="00561FFC">
              <w:rPr>
                <w:color w:val="0D0D0D" w:themeColor="text1" w:themeTint="F2"/>
              </w:rPr>
              <w:t xml:space="preserve"> daňového zatížení práce (např. znovuzavedení</w:t>
            </w:r>
            <w:r>
              <w:rPr>
                <w:color w:val="0D0D0D" w:themeColor="text1" w:themeTint="F2"/>
              </w:rPr>
              <w:t>m</w:t>
            </w:r>
            <w:r w:rsidRPr="00561FFC">
              <w:rPr>
                <w:color w:val="0D0D0D" w:themeColor="text1" w:themeTint="F2"/>
              </w:rPr>
              <w:t xml:space="preserve"> zaměstnaneckých odvodů na nemocenské pojištění</w:t>
            </w:r>
            <w:r>
              <w:rPr>
                <w:color w:val="0D0D0D" w:themeColor="text1" w:themeTint="F2"/>
              </w:rPr>
              <w:t xml:space="preserve"> schváleným</w:t>
            </w:r>
            <w:r w:rsidRPr="00561FFC">
              <w:rPr>
                <w:color w:val="0D0D0D" w:themeColor="text1" w:themeTint="F2"/>
              </w:rPr>
              <w:t xml:space="preserve"> jako součást vládního konsolidačního balíčku).</w:t>
            </w:r>
          </w:p>
        </w:tc>
      </w:tr>
      <w:tr w:rsidR="00D42211" w:rsidRPr="00016778" w14:paraId="46CDCD6B" w14:textId="77777777" w:rsidTr="7BDB84E4">
        <w:trPr>
          <w:trHeight w:val="132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5ADEF3FC" w14:textId="77777777" w:rsidR="00D42211" w:rsidRDefault="00D42211" w:rsidP="00D42211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Relativně nejvíce se zvýšily mzdy ve zdravotní a sociální péči. V ostatních odvětvích veřejného sektoru byl však růst výrazně podprůměrný.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3642EFA1" w14:textId="77777777" w:rsidR="00D42211" w:rsidRPr="00016778" w:rsidRDefault="00D42211" w:rsidP="00D42211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40EFB3B4" w14:textId="77777777" w:rsidR="00D42211" w:rsidRPr="00A95D12" w:rsidRDefault="00D42211" w:rsidP="00D42211">
            <w:pPr>
              <w:spacing w:after="200"/>
              <w:rPr>
                <w:color w:val="0D0D0D" w:themeColor="text1" w:themeTint="F2"/>
              </w:rPr>
            </w:pPr>
            <w:r w:rsidRPr="00331978">
              <w:rPr>
                <w:color w:val="0D0D0D" w:themeColor="text1" w:themeTint="F2"/>
              </w:rPr>
              <w:t>Tempo růstu průměrné mzdy zakrývá tradičně velmi různorodý vývoj na úrovni jednotlivých oborů podniků či organizací. Nejvyššího meziročního růstu dosáhly letos ve 2. čtvrtletí mzdy ve zdravotní a sociální péči – o 11,1 %</w:t>
            </w:r>
            <w:r>
              <w:rPr>
                <w:rStyle w:val="Znakapoznpodarou"/>
                <w:color w:val="0D0D0D" w:themeColor="text1" w:themeTint="F2"/>
              </w:rPr>
              <w:footnoteReference w:id="17"/>
            </w:r>
            <w:r>
              <w:rPr>
                <w:color w:val="0D0D0D" w:themeColor="text1" w:themeTint="F2"/>
              </w:rPr>
              <w:t>, zaměstnanci si zde v průměru měsíčně nominálně polepšili o 5,1 tis. korun</w:t>
            </w:r>
            <w:r w:rsidRPr="00331978">
              <w:rPr>
                <w:color w:val="0D0D0D" w:themeColor="text1" w:themeTint="F2"/>
              </w:rPr>
              <w:t xml:space="preserve"> (</w:t>
            </w:r>
            <w:r>
              <w:rPr>
                <w:color w:val="0D0D0D" w:themeColor="text1" w:themeTint="F2"/>
              </w:rPr>
              <w:t>tedy rovněž nejvíce mezi odvětvími). V ostatních oblastech</w:t>
            </w:r>
            <w:r w:rsidRPr="00331978">
              <w:rPr>
                <w:color w:val="0D0D0D" w:themeColor="text1" w:themeTint="F2"/>
              </w:rPr>
              <w:t xml:space="preserve"> s převahou veřejného sektoru byl ale mzdový růst </w:t>
            </w:r>
            <w:r w:rsidRPr="005A556F">
              <w:rPr>
                <w:color w:val="0D0D0D" w:themeColor="text1" w:themeTint="F2"/>
                <w:spacing w:val="-2"/>
              </w:rPr>
              <w:t>utlumený. Ve veřejné správě, obraně a v sociálním zabezpečení činil 2,9 %, ve vzdělávání</w:t>
            </w:r>
            <w:r w:rsidRPr="00331978">
              <w:rPr>
                <w:color w:val="0D0D0D" w:themeColor="text1" w:themeTint="F2"/>
              </w:rPr>
              <w:t xml:space="preserve"> jen 2,1 % (nejméně ze všech hlavních odvětví). </w:t>
            </w:r>
            <w:r>
              <w:rPr>
                <w:color w:val="0D0D0D" w:themeColor="text1" w:themeTint="F2"/>
              </w:rPr>
              <w:t xml:space="preserve">Absolutní </w:t>
            </w:r>
            <w:r w:rsidRPr="00331978">
              <w:rPr>
                <w:color w:val="0D0D0D" w:themeColor="text1" w:themeTint="F2"/>
              </w:rPr>
              <w:t>přírůstek</w:t>
            </w:r>
            <w:r>
              <w:rPr>
                <w:color w:val="0D0D0D" w:themeColor="text1" w:themeTint="F2"/>
              </w:rPr>
              <w:t xml:space="preserve"> mzdy</w:t>
            </w:r>
            <w:r w:rsidRPr="00331978">
              <w:rPr>
                <w:color w:val="0D0D0D" w:themeColor="text1" w:themeTint="F2"/>
              </w:rPr>
              <w:t xml:space="preserve"> (+849 korun) </w:t>
            </w:r>
            <w:r>
              <w:rPr>
                <w:color w:val="0D0D0D" w:themeColor="text1" w:themeTint="F2"/>
              </w:rPr>
              <w:t xml:space="preserve">zde nebyl </w:t>
            </w:r>
            <w:r w:rsidRPr="00331978">
              <w:rPr>
                <w:color w:val="0D0D0D" w:themeColor="text1" w:themeTint="F2"/>
              </w:rPr>
              <w:t xml:space="preserve">ani třetinový oproti celé ekonomice. Vzdělávání navíc jako jediné odvětví setrvává </w:t>
            </w:r>
            <w:r>
              <w:rPr>
                <w:color w:val="0D0D0D" w:themeColor="text1" w:themeTint="F2"/>
              </w:rPr>
              <w:t xml:space="preserve">třetí rok v řadě </w:t>
            </w:r>
            <w:r w:rsidRPr="00331978">
              <w:rPr>
                <w:color w:val="0D0D0D" w:themeColor="text1" w:themeTint="F2"/>
              </w:rPr>
              <w:t>v nepřetržitém propadu re</w:t>
            </w:r>
            <w:r>
              <w:rPr>
                <w:color w:val="0D0D0D" w:themeColor="text1" w:themeTint="F2"/>
              </w:rPr>
              <w:t xml:space="preserve">álných mezd. V kulturních, zábavních a rekreačních činnostech, kam zčásti zasahují i aktivity státu, se nominální výdělky zvýšily o 5,2 %, za slabším růstem ovšem stojí i vyšší loňská základna. Mzdová hladina zde ve 2. čtvrtletí 2024 zaostávala o šestinu za úrovní v celé ekonomice. </w:t>
            </w:r>
          </w:p>
        </w:tc>
      </w:tr>
      <w:tr w:rsidR="00D42211" w:rsidRPr="00016778" w14:paraId="40A159C5" w14:textId="77777777" w:rsidTr="7BDB84E4">
        <w:trPr>
          <w:trHeight w:val="132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604E5138" w14:textId="77777777" w:rsidR="00D42211" w:rsidRDefault="00D42211" w:rsidP="00D42211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Pokračující mírně nadprůměrný růst mezd v průmyslu i ve stavebnictví byl „vykoupen“ úbytkem zaměstnanosti.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378EB8E5" w14:textId="77777777" w:rsidR="00D42211" w:rsidRPr="00016778" w:rsidRDefault="00D42211" w:rsidP="00D42211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79580414" w14:textId="4672D765" w:rsidR="00D42211" w:rsidRPr="00E63E2E" w:rsidRDefault="00D42211" w:rsidP="00D42211">
            <w:pPr>
              <w:spacing w:after="200"/>
              <w:rPr>
                <w:color w:val="0D0D0D" w:themeColor="text1" w:themeTint="F2"/>
              </w:rPr>
            </w:pPr>
            <w:r w:rsidRPr="00E63E2E">
              <w:rPr>
                <w:color w:val="0D0D0D" w:themeColor="text1" w:themeTint="F2"/>
              </w:rPr>
              <w:t>Mírně nadprůměrně rostly nadále mzdy v průmyslu, ve 2. čtvrtletí o 7,5 %. To souvisí jak se snižováním evidenčního počtu zaměstnanců (</w:t>
            </w:r>
            <w:r>
              <w:rPr>
                <w:color w:val="0D0D0D" w:themeColor="text1" w:themeTint="F2"/>
              </w:rPr>
              <w:t>−</w:t>
            </w:r>
            <w:r w:rsidRPr="00E63E2E">
              <w:rPr>
                <w:color w:val="0D0D0D" w:themeColor="text1" w:themeTint="F2"/>
              </w:rPr>
              <w:t>1,7 %), tak s faktem, že volných pracovníků je na trhu stále málo a nedostatek pracovní síly představuje stále významnou bariéru v řadě průmyslových oborů. Ob</w:t>
            </w:r>
            <w:r>
              <w:rPr>
                <w:color w:val="0D0D0D" w:themeColor="text1" w:themeTint="F2"/>
              </w:rPr>
              <w:t xml:space="preserve">dobné platí i pro stavebnictví. </w:t>
            </w:r>
            <w:r w:rsidRPr="00E63E2E">
              <w:rPr>
                <w:color w:val="0D0D0D" w:themeColor="text1" w:themeTint="F2"/>
              </w:rPr>
              <w:t>K posilování mezd v průmyslu nejvíce přispívala výroba motorových vozidel (s růstem výdělků o 10,5 %, na 62,7 tis. korun) spolu s nejbližšími návaznými obory. V oborech procházející</w:t>
            </w:r>
            <w:r>
              <w:rPr>
                <w:color w:val="0D0D0D" w:themeColor="text1" w:themeTint="F2"/>
              </w:rPr>
              <w:t>ch</w:t>
            </w:r>
            <w:r w:rsidRPr="00E63E2E">
              <w:rPr>
                <w:color w:val="0D0D0D" w:themeColor="text1" w:themeTint="F2"/>
              </w:rPr>
              <w:t xml:space="preserve"> recesí (kovovýroba, stavební hmoty, st</w:t>
            </w:r>
            <w:r>
              <w:rPr>
                <w:color w:val="0D0D0D" w:themeColor="text1" w:themeTint="F2"/>
              </w:rPr>
              <w:t>rojírenství, těžba a dobývání)</w:t>
            </w:r>
            <w:r w:rsidRPr="00E63E2E">
              <w:rPr>
                <w:color w:val="0D0D0D" w:themeColor="text1" w:themeTint="F2"/>
              </w:rPr>
              <w:t xml:space="preserve"> byl mzdový růst pod průměrem celé ekonomiky</w:t>
            </w:r>
            <w:r>
              <w:rPr>
                <w:color w:val="0D0D0D" w:themeColor="text1" w:themeTint="F2"/>
              </w:rPr>
              <w:t xml:space="preserve"> a</w:t>
            </w:r>
            <w:r w:rsidRPr="007F303C">
              <w:rPr>
                <w:color w:val="0D0D0D" w:themeColor="text1" w:themeTint="F2"/>
                <w:spacing w:val="-4"/>
              </w:rPr>
              <w:t> </w:t>
            </w:r>
            <w:r w:rsidRPr="00E63E2E">
              <w:rPr>
                <w:color w:val="0D0D0D" w:themeColor="text1" w:themeTint="F2"/>
              </w:rPr>
              <w:t>zaměstnanost zde</w:t>
            </w:r>
            <w:r>
              <w:rPr>
                <w:color w:val="0D0D0D" w:themeColor="text1" w:themeTint="F2"/>
              </w:rPr>
              <w:t xml:space="preserve"> klesala hlouběji. </w:t>
            </w:r>
            <w:r w:rsidRPr="00E63E2E">
              <w:rPr>
                <w:color w:val="0D0D0D" w:themeColor="text1" w:themeTint="F2"/>
              </w:rPr>
              <w:t>Z tržních odvětví vzrostla mzda nej</w:t>
            </w:r>
            <w:r>
              <w:rPr>
                <w:color w:val="0D0D0D" w:themeColor="text1" w:themeTint="F2"/>
              </w:rPr>
              <w:t>méně v zemědělství, lesnictví a</w:t>
            </w:r>
            <w:r w:rsidRPr="007F303C">
              <w:rPr>
                <w:color w:val="0D0D0D" w:themeColor="text1" w:themeTint="F2"/>
                <w:spacing w:val="-4"/>
              </w:rPr>
              <w:t> </w:t>
            </w:r>
            <w:r w:rsidRPr="00E63E2E">
              <w:rPr>
                <w:color w:val="0D0D0D" w:themeColor="text1" w:themeTint="F2"/>
              </w:rPr>
              <w:t>rybářství (+4,9 %).</w:t>
            </w:r>
          </w:p>
        </w:tc>
      </w:tr>
      <w:tr w:rsidR="00D42211" w:rsidRPr="00016778" w14:paraId="63184C19" w14:textId="77777777" w:rsidTr="7BDB84E4">
        <w:trPr>
          <w:trHeight w:val="132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08FDA0A1" w14:textId="77777777" w:rsidR="00D42211" w:rsidRDefault="00D42211" w:rsidP="00D42211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 xml:space="preserve">V rámci tržních služeb rostl celkový objem vyplacených mezd relativně nejvíce </w:t>
            </w:r>
            <w:r>
              <w:rPr>
                <w:color w:val="0D0D0D" w:themeColor="text1" w:themeTint="F2"/>
                <w:spacing w:val="-4"/>
              </w:rPr>
              <w:lastRenderedPageBreak/>
              <w:t xml:space="preserve">v ubytování, stravování </w:t>
            </w:r>
            <w:r>
              <w:rPr>
                <w:color w:val="0D0D0D" w:themeColor="text1" w:themeTint="F2"/>
                <w:spacing w:val="-4"/>
              </w:rPr>
              <w:br/>
              <w:t>a pohostinství.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0507ED99" w14:textId="77777777" w:rsidR="00D42211" w:rsidRPr="00016778" w:rsidRDefault="00D42211" w:rsidP="00D42211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1C32C766" w14:textId="77777777" w:rsidR="00D42211" w:rsidRPr="00E63E2E" w:rsidRDefault="00D42211" w:rsidP="00D42211">
            <w:pPr>
              <w:spacing w:after="200"/>
              <w:rPr>
                <w:color w:val="0D0D0D" w:themeColor="text1" w:themeTint="F2"/>
              </w:rPr>
            </w:pPr>
            <w:r w:rsidRPr="00E63E2E">
              <w:rPr>
                <w:color w:val="0D0D0D" w:themeColor="text1" w:themeTint="F2"/>
              </w:rPr>
              <w:t xml:space="preserve">V rámci tržních služeb rostly mzdy nejvíce v dopravě a skladování (+7,3 %), jejich úroveň (41,3 tis. korun) však stále byla o desetinu nižší </w:t>
            </w:r>
            <w:r>
              <w:rPr>
                <w:color w:val="0D0D0D" w:themeColor="text1" w:themeTint="F2"/>
              </w:rPr>
              <w:t xml:space="preserve">než </w:t>
            </w:r>
            <w:r w:rsidRPr="00E63E2E">
              <w:rPr>
                <w:color w:val="0D0D0D" w:themeColor="text1" w:themeTint="F2"/>
              </w:rPr>
              <w:t xml:space="preserve">v celé ekonomice. </w:t>
            </w:r>
            <w:r>
              <w:rPr>
                <w:color w:val="0D0D0D" w:themeColor="text1" w:themeTint="F2"/>
              </w:rPr>
              <w:t>J</w:t>
            </w:r>
            <w:r w:rsidRPr="00E63E2E">
              <w:rPr>
                <w:color w:val="0D0D0D" w:themeColor="text1" w:themeTint="F2"/>
              </w:rPr>
              <w:t>ako v jednom z mál</w:t>
            </w:r>
            <w:r>
              <w:rPr>
                <w:color w:val="0D0D0D" w:themeColor="text1" w:themeTint="F2"/>
              </w:rPr>
              <w:t>a</w:t>
            </w:r>
            <w:r w:rsidRPr="00E63E2E">
              <w:rPr>
                <w:color w:val="0D0D0D" w:themeColor="text1" w:themeTint="F2"/>
              </w:rPr>
              <w:t xml:space="preserve"> odvětví služeb</w:t>
            </w:r>
            <w:r>
              <w:rPr>
                <w:color w:val="0D0D0D" w:themeColor="text1" w:themeTint="F2"/>
              </w:rPr>
              <w:t xml:space="preserve"> zde navíc</w:t>
            </w:r>
            <w:r w:rsidRPr="00E63E2E">
              <w:rPr>
                <w:color w:val="0D0D0D" w:themeColor="text1" w:themeTint="F2"/>
              </w:rPr>
              <w:t xml:space="preserve"> klesal i počet zaměstnanců. To platí i pro </w:t>
            </w:r>
            <w:r w:rsidRPr="00E63E2E">
              <w:rPr>
                <w:color w:val="0D0D0D" w:themeColor="text1" w:themeTint="F2"/>
              </w:rPr>
              <w:lastRenderedPageBreak/>
              <w:t>administrativní a podpůrné činnosti. Dařilo se profesním, vědeckých a technickým činnostem, v nichž mírně nadprůměrně rostly zaměstnanost i mzdy</w:t>
            </w:r>
            <w:r>
              <w:rPr>
                <w:color w:val="0D0D0D" w:themeColor="text1" w:themeTint="F2"/>
              </w:rPr>
              <w:t>,</w:t>
            </w:r>
            <w:r w:rsidRPr="00E63E2E">
              <w:rPr>
                <w:color w:val="0D0D0D" w:themeColor="text1" w:themeTint="F2"/>
              </w:rPr>
              <w:t xml:space="preserve"> a dále také ubytování, stravování a pohostinství (mzdy: +6,8 %, zaměstnanci: +7,0 %)</w:t>
            </w:r>
            <w:r>
              <w:rPr>
                <w:color w:val="0D0D0D" w:themeColor="text1" w:themeTint="F2"/>
              </w:rPr>
              <w:t>. V</w:t>
            </w:r>
            <w:r w:rsidRPr="00E63E2E">
              <w:rPr>
                <w:color w:val="0D0D0D" w:themeColor="text1" w:themeTint="F2"/>
              </w:rPr>
              <w:t xml:space="preserve">ýše mezd je zde tradičně nejnižší a nedosahuje ani 60 % hladiny celé ekonomiky. V odvětvích s nejvyšší mzdovou úrovní (finančnictví, informační a komunikační činnosti) byla situace ve 2. čtvrtletí takřka identická – </w:t>
            </w:r>
            <w:r>
              <w:rPr>
                <w:color w:val="0D0D0D" w:themeColor="text1" w:themeTint="F2"/>
              </w:rPr>
              <w:t xml:space="preserve">meziroční </w:t>
            </w:r>
            <w:r w:rsidRPr="00E63E2E">
              <w:rPr>
                <w:color w:val="0D0D0D" w:themeColor="text1" w:themeTint="F2"/>
              </w:rPr>
              <w:t xml:space="preserve">stagnace počtu zaměstnanců, růst </w:t>
            </w:r>
            <w:r>
              <w:rPr>
                <w:color w:val="0D0D0D" w:themeColor="text1" w:themeTint="F2"/>
              </w:rPr>
              <w:t>mezd o</w:t>
            </w:r>
            <w:r w:rsidRPr="007F303C">
              <w:rPr>
                <w:color w:val="0D0D0D" w:themeColor="text1" w:themeTint="F2"/>
                <w:spacing w:val="-4"/>
              </w:rPr>
              <w:t> </w:t>
            </w:r>
            <w:r w:rsidRPr="00E63E2E">
              <w:rPr>
                <w:color w:val="0D0D0D" w:themeColor="text1" w:themeTint="F2"/>
              </w:rPr>
              <w:t>necelých 6 % a jejich úroveň tě</w:t>
            </w:r>
            <w:r>
              <w:rPr>
                <w:color w:val="0D0D0D" w:themeColor="text1" w:themeTint="F2"/>
              </w:rPr>
              <w:t>s</w:t>
            </w:r>
            <w:r w:rsidRPr="00E63E2E">
              <w:rPr>
                <w:color w:val="0D0D0D" w:themeColor="text1" w:themeTint="F2"/>
              </w:rPr>
              <w:t>ně nad 80 tis. korun.</w:t>
            </w:r>
          </w:p>
        </w:tc>
      </w:tr>
      <w:tr w:rsidR="00D42211" w:rsidRPr="00016778" w14:paraId="5541BE3D" w14:textId="77777777" w:rsidTr="7BDB84E4">
        <w:trPr>
          <w:trHeight w:val="132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362C5631" w14:textId="77777777" w:rsidR="00D42211" w:rsidRDefault="00D42211" w:rsidP="00D42211">
            <w:pPr>
              <w:pStyle w:val="Marginlie"/>
              <w:rPr>
                <w:color w:val="0D0D0D" w:themeColor="text1" w:themeTint="F2"/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Mzdový růst v Praze patřil k relativně nižším, svižněji zde však rostla zaměstnanost.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5DF359FC" w14:textId="77777777" w:rsidR="00D42211" w:rsidRPr="00016778" w:rsidRDefault="00D42211" w:rsidP="00D42211">
            <w:pPr>
              <w:pStyle w:val="Textpoznpodarou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5BCFFDA0" w14:textId="77777777" w:rsidR="00D42211" w:rsidRPr="00E63E2E" w:rsidRDefault="00D42211" w:rsidP="00D42211">
            <w:pPr>
              <w:spacing w:after="200"/>
              <w:rPr>
                <w:color w:val="0D0D0D" w:themeColor="text1" w:themeTint="F2"/>
              </w:rPr>
            </w:pPr>
            <w:r w:rsidRPr="00E63E2E">
              <w:rPr>
                <w:color w:val="0D0D0D" w:themeColor="text1" w:themeTint="F2"/>
              </w:rPr>
              <w:t xml:space="preserve">Mzdový růst v regionech se ve 2. čtvrtletí mezi kraji pohyboval od 5,5 % (Praha), </w:t>
            </w:r>
            <w:r>
              <w:rPr>
                <w:color w:val="0D0D0D" w:themeColor="text1" w:themeTint="F2"/>
              </w:rPr>
              <w:br/>
            </w:r>
            <w:r w:rsidRPr="00E63E2E">
              <w:rPr>
                <w:color w:val="0D0D0D" w:themeColor="text1" w:themeTint="F2"/>
              </w:rPr>
              <w:t xml:space="preserve">resp. 5,7 % (Vysočina) do 8,1 % (Ústecký kraj). Z pohledu úrovně průměrné mzdy je rozpětí krajů dlouhodobě beze změn – </w:t>
            </w:r>
            <w:r>
              <w:rPr>
                <w:color w:val="0D0D0D" w:themeColor="text1" w:themeTint="F2"/>
              </w:rPr>
              <w:t xml:space="preserve">průměrná </w:t>
            </w:r>
            <w:r w:rsidRPr="00E63E2E">
              <w:rPr>
                <w:color w:val="0D0D0D" w:themeColor="text1" w:themeTint="F2"/>
              </w:rPr>
              <w:t>mzda v Praze (56,1 tis. korun) aktuálně převyšuje mzdu v Karlovarské</w:t>
            </w:r>
            <w:r>
              <w:rPr>
                <w:color w:val="0D0D0D" w:themeColor="text1" w:themeTint="F2"/>
              </w:rPr>
              <w:t>m</w:t>
            </w:r>
            <w:r w:rsidRPr="00E63E2E">
              <w:rPr>
                <w:color w:val="0D0D0D" w:themeColor="text1" w:themeTint="F2"/>
              </w:rPr>
              <w:t xml:space="preserve"> kraji (39,0 tis.) o 44 %. Karlovarskému kraji zatím zřejmě příliš nepomohlo oživení turismu, celková mzda zde vzrostla meziročně jen </w:t>
            </w:r>
            <w:r>
              <w:rPr>
                <w:color w:val="0D0D0D" w:themeColor="text1" w:themeTint="F2"/>
              </w:rPr>
              <w:t>o </w:t>
            </w:r>
            <w:r w:rsidRPr="00E63E2E">
              <w:rPr>
                <w:color w:val="0D0D0D" w:themeColor="text1" w:themeTint="F2"/>
              </w:rPr>
              <w:t>6,0</w:t>
            </w:r>
            <w:r>
              <w:rPr>
                <w:color w:val="0D0D0D" w:themeColor="text1" w:themeTint="F2"/>
              </w:rPr>
              <w:t> </w:t>
            </w:r>
            <w:r w:rsidRPr="00E63E2E">
              <w:rPr>
                <w:color w:val="0D0D0D" w:themeColor="text1" w:themeTint="F2"/>
              </w:rPr>
              <w:t xml:space="preserve">%. Naopak do svižnějšího růstu ve středních Čechách (+7,9 %) se zčásti promítá i zrychlení tempa výdělků v automobilovém průmyslu. </w:t>
            </w:r>
          </w:p>
        </w:tc>
      </w:tr>
      <w:tr w:rsidR="00D42211" w:rsidRPr="00716203" w14:paraId="07AC9AF5" w14:textId="77777777" w:rsidTr="7BDB84E4">
        <w:trPr>
          <w:trHeight w:val="132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562BFF34" w14:textId="77777777" w:rsidR="00D42211" w:rsidRPr="00A90A79" w:rsidRDefault="00D42211" w:rsidP="00D42211">
            <w:pPr>
              <w:pStyle w:val="Marginlie"/>
              <w:rPr>
                <w:spacing w:val="-4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70EA4DF2" w14:textId="77777777" w:rsidR="00D42211" w:rsidRPr="00B43216" w:rsidRDefault="00D42211" w:rsidP="00D4221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611542B2" w14:textId="72285906" w:rsidR="00D42211" w:rsidRPr="00282974" w:rsidRDefault="00D42211" w:rsidP="00625F8F">
            <w:pPr>
              <w:spacing w:after="0"/>
              <w:rPr>
                <w:b/>
                <w:spacing w:val="-2"/>
              </w:rPr>
            </w:pPr>
            <w:r w:rsidRPr="00A90A79"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  <w:t xml:space="preserve">Graf č. 15 Průměrná nominální i reálná mzda a </w:t>
            </w:r>
            <w:r w:rsidR="00625F8F">
              <w:rPr>
                <w:rFonts w:cs="Arial"/>
                <w:b/>
                <w:color w:val="0D0D0D" w:themeColor="text1" w:themeTint="F2"/>
                <w:spacing w:val="-4"/>
                <w:szCs w:val="20"/>
              </w:rPr>
              <w:t xml:space="preserve">mzdový medián </w:t>
            </w: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>(</w:t>
            </w:r>
            <w:r>
              <w:rPr>
                <w:rFonts w:cs="Arial"/>
                <w:color w:val="0D0D0D" w:themeColor="text1" w:themeTint="F2"/>
                <w:spacing w:val="-4"/>
                <w:szCs w:val="20"/>
              </w:rPr>
              <w:t>meziroční změna</w:t>
            </w:r>
            <w:r w:rsidRPr="00A90A79">
              <w:rPr>
                <w:rFonts w:cs="Arial"/>
                <w:color w:val="0D0D0D" w:themeColor="text1" w:themeTint="F2"/>
                <w:spacing w:val="-4"/>
                <w:szCs w:val="20"/>
              </w:rPr>
              <w:t xml:space="preserve"> v %)</w:t>
            </w:r>
          </w:p>
        </w:tc>
      </w:tr>
      <w:tr w:rsidR="00D42211" w:rsidRPr="003E01D3" w14:paraId="58461845" w14:textId="77777777" w:rsidTr="7BDB84E4">
        <w:tblPrEx>
          <w:tblCellMar>
            <w:left w:w="70" w:type="dxa"/>
            <w:right w:w="70" w:type="dxa"/>
          </w:tblCellMar>
        </w:tblPrEx>
        <w:trPr>
          <w:trHeight w:val="132"/>
        </w:trPr>
        <w:tc>
          <w:tcPr>
            <w:tcW w:w="1747" w:type="dxa"/>
            <w:shd w:val="clear" w:color="auto" w:fill="auto"/>
          </w:tcPr>
          <w:p w14:paraId="03C158E3" w14:textId="77777777" w:rsidR="00D42211" w:rsidRPr="00A90A79" w:rsidRDefault="00D42211" w:rsidP="00D42211">
            <w:pPr>
              <w:pStyle w:val="Marginlie"/>
              <w:rPr>
                <w:spacing w:val="-4"/>
              </w:rPr>
            </w:pPr>
          </w:p>
        </w:tc>
        <w:tc>
          <w:tcPr>
            <w:tcW w:w="212" w:type="dxa"/>
            <w:shd w:val="clear" w:color="auto" w:fill="auto"/>
          </w:tcPr>
          <w:p w14:paraId="2B7BB291" w14:textId="77777777" w:rsidR="00D42211" w:rsidRPr="00B43216" w:rsidRDefault="00D42211" w:rsidP="00D4221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15" w:type="dxa"/>
            <w:shd w:val="clear" w:color="auto" w:fill="auto"/>
          </w:tcPr>
          <w:p w14:paraId="437E1DB2" w14:textId="77777777" w:rsidR="00D42211" w:rsidRPr="00A90A79" w:rsidRDefault="00D42211" w:rsidP="00D42211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04DC2D71" wp14:editId="0DC807BE">
                  <wp:extent cx="4772537" cy="3752929"/>
                  <wp:effectExtent l="0" t="0" r="0" b="0"/>
                  <wp:docPr id="40" name="Graf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D42211" w:rsidRPr="00F6560A" w14:paraId="6B059F7B" w14:textId="77777777" w:rsidTr="7BDB84E4">
        <w:trPr>
          <w:trHeight w:val="132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141DEA68" w14:textId="77777777" w:rsidR="00D42211" w:rsidRPr="00A90A79" w:rsidRDefault="00D42211" w:rsidP="00D42211">
            <w:pPr>
              <w:pStyle w:val="Marginlie"/>
              <w:rPr>
                <w:spacing w:val="-4"/>
              </w:rPr>
            </w:pP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5AB65B5E" w14:textId="77777777" w:rsidR="00D42211" w:rsidRPr="00B43216" w:rsidRDefault="00D42211" w:rsidP="00D4221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20DBF8D8" w14:textId="77777777" w:rsidR="00D42211" w:rsidRDefault="00D42211" w:rsidP="00D42211">
            <w:pPr>
              <w:spacing w:after="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*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Zahrnuj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e odvětví s významnou rolí vládního sektoru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: Veřejná správa a obrana, povinné sociální zabezpečení; Vzdělávání; Zdravotní a sociální péče; Kulturn</w:t>
            </w: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í, zábavní a rekreační činnosti.</w:t>
            </w:r>
          </w:p>
          <w:p w14:paraId="31E64C30" w14:textId="77777777" w:rsidR="00D42211" w:rsidRPr="00A90A79" w:rsidRDefault="00D42211" w:rsidP="00D42211">
            <w:pPr>
              <w:spacing w:after="200" w:line="240" w:lineRule="auto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**Vyjadřuje HDP (ve stálých cenách) vztažený na 1 pracovníka (ve fyzických osobách)                                                       </w:t>
            </w:r>
            <w:r w:rsidRPr="00A90A79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>Zdroj: ČSÚ</w:t>
            </w:r>
          </w:p>
        </w:tc>
      </w:tr>
      <w:tr w:rsidR="00D42211" w:rsidRPr="00F6560A" w14:paraId="25D4C638" w14:textId="77777777" w:rsidTr="7BDB84E4">
        <w:trPr>
          <w:trHeight w:val="132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51C42DEA" w14:textId="77777777" w:rsidR="00D42211" w:rsidRPr="00A90A79" w:rsidRDefault="00D42211" w:rsidP="00D42211">
            <w:pPr>
              <w:pStyle w:val="Marginlie"/>
              <w:rPr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t>Nominální růst mediánové mzdy se letos držel pod 6 %. Nadále se zvyšoval mírně vyšším tempem u žen.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6E224A23" w14:textId="77777777" w:rsidR="00D42211" w:rsidRPr="00B43216" w:rsidRDefault="00D42211" w:rsidP="00D4221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348322A4" w14:textId="77777777" w:rsidR="00D42211" w:rsidRPr="001C7F03" w:rsidRDefault="00D42211" w:rsidP="00D42211">
            <w:pPr>
              <w:rPr>
                <w:color w:val="0D0D0D" w:themeColor="text1" w:themeTint="F2"/>
                <w:spacing w:val="-4"/>
              </w:rPr>
            </w:pPr>
            <w:r w:rsidRPr="00E63E2E">
              <w:rPr>
                <w:color w:val="0D0D0D" w:themeColor="text1" w:themeTint="F2"/>
                <w:spacing w:val="-4"/>
              </w:rPr>
              <w:t xml:space="preserve">Medián mezd se ve 2. čtvrtletí zvýšil o 5,8 % (na 38,5 tis. korun měsíčně). </w:t>
            </w:r>
            <w:r>
              <w:rPr>
                <w:color w:val="0D0D0D" w:themeColor="text1" w:themeTint="F2"/>
                <w:spacing w:val="-4"/>
              </w:rPr>
              <w:t>Stejně jako po většinu loňského</w:t>
            </w:r>
            <w:r w:rsidRPr="00E63E2E">
              <w:rPr>
                <w:color w:val="0D0D0D" w:themeColor="text1" w:themeTint="F2"/>
                <w:spacing w:val="-4"/>
              </w:rPr>
              <w:t xml:space="preserve"> roku rostl mírně vyšším tempem u žen (i díky situaci ve zdravotní a sociální péči či v cestovním ruchu). Mezera prostřední výše výdělků mezi pohlavími se tak meziročně snížila o 0,4 p. b., na stále však významných 14,4 % (u nízkovýdělkových pracovníků – v nejnižším decilu – však ženy pobíraly oproti mužům </w:t>
            </w:r>
            <w:r>
              <w:rPr>
                <w:color w:val="0D0D0D" w:themeColor="text1" w:themeTint="F2"/>
                <w:spacing w:val="-4"/>
              </w:rPr>
              <w:t>„</w:t>
            </w:r>
            <w:r w:rsidRPr="00E63E2E">
              <w:rPr>
                <w:color w:val="0D0D0D" w:themeColor="text1" w:themeTint="F2"/>
                <w:spacing w:val="-4"/>
              </w:rPr>
              <w:t>jen</w:t>
            </w:r>
            <w:r>
              <w:rPr>
                <w:color w:val="0D0D0D" w:themeColor="text1" w:themeTint="F2"/>
                <w:spacing w:val="-4"/>
              </w:rPr>
              <w:t>“</w:t>
            </w:r>
            <w:r w:rsidRPr="00E63E2E">
              <w:rPr>
                <w:color w:val="0D0D0D" w:themeColor="text1" w:themeTint="F2"/>
                <w:spacing w:val="-4"/>
              </w:rPr>
              <w:t xml:space="preserve"> o 6,5 % méně). Mzdová distribuce v ekonomice se celkově mírně rozšířila (v 1. čtvrtletí 2024 tomu bylo naopak). Horní mzdový decil </w:t>
            </w:r>
            <w:r>
              <w:rPr>
                <w:color w:val="0D0D0D" w:themeColor="text1" w:themeTint="F2"/>
                <w:spacing w:val="-4"/>
              </w:rPr>
              <w:t>totiž ve 2.</w:t>
            </w:r>
            <w:r w:rsidRPr="00E63E2E">
              <w:rPr>
                <w:color w:val="0D0D0D" w:themeColor="text1" w:themeTint="F2"/>
                <w:spacing w:val="-4"/>
              </w:rPr>
              <w:t xml:space="preserve"> čtvrtletí meziročně narostl o 8,9 %, dolní decil </w:t>
            </w:r>
            <w:r>
              <w:rPr>
                <w:color w:val="0D0D0D" w:themeColor="text1" w:themeTint="F2"/>
                <w:spacing w:val="-4"/>
              </w:rPr>
              <w:t xml:space="preserve">ale </w:t>
            </w:r>
            <w:r w:rsidRPr="00E63E2E">
              <w:rPr>
                <w:color w:val="0D0D0D" w:themeColor="text1" w:themeTint="F2"/>
                <w:spacing w:val="-4"/>
              </w:rPr>
              <w:t xml:space="preserve">jen </w:t>
            </w:r>
            <w:r>
              <w:rPr>
                <w:color w:val="0D0D0D" w:themeColor="text1" w:themeTint="F2"/>
                <w:spacing w:val="-4"/>
              </w:rPr>
              <w:t>o</w:t>
            </w:r>
            <w:r w:rsidRPr="007F303C">
              <w:rPr>
                <w:color w:val="0D0D0D" w:themeColor="text1" w:themeTint="F2"/>
                <w:spacing w:val="-4"/>
              </w:rPr>
              <w:t> </w:t>
            </w:r>
            <w:r w:rsidRPr="00E63E2E">
              <w:rPr>
                <w:color w:val="0D0D0D" w:themeColor="text1" w:themeTint="F2"/>
                <w:spacing w:val="-4"/>
              </w:rPr>
              <w:t>6,2 %. To</w:t>
            </w:r>
            <w:r>
              <w:rPr>
                <w:color w:val="0D0D0D" w:themeColor="text1" w:themeTint="F2"/>
                <w:spacing w:val="-4"/>
              </w:rPr>
              <w:t xml:space="preserve"> souvisí i s tím, že za celé 1.</w:t>
            </w:r>
            <w:r w:rsidRPr="00E63E2E">
              <w:rPr>
                <w:color w:val="0D0D0D" w:themeColor="text1" w:themeTint="F2"/>
                <w:spacing w:val="-4"/>
              </w:rPr>
              <w:t> pololetí rostly nejméně mediánové výdělky pracovníkům v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E63E2E">
              <w:rPr>
                <w:color w:val="0D0D0D" w:themeColor="text1" w:themeTint="F2"/>
                <w:spacing w:val="-4"/>
              </w:rPr>
              <w:t>zemědělství</w:t>
            </w:r>
            <w:r>
              <w:rPr>
                <w:color w:val="0D0D0D" w:themeColor="text1" w:themeTint="F2"/>
                <w:spacing w:val="-4"/>
              </w:rPr>
              <w:t>,</w:t>
            </w:r>
            <w:r w:rsidRPr="00E63E2E">
              <w:rPr>
                <w:color w:val="0D0D0D" w:themeColor="text1" w:themeTint="F2"/>
                <w:spacing w:val="-4"/>
              </w:rPr>
              <w:t xml:space="preserve"> lesnictví a rybářství (+4,4 %) a též </w:t>
            </w:r>
            <w:r>
              <w:rPr>
                <w:color w:val="0D0D0D" w:themeColor="text1" w:themeTint="F2"/>
                <w:spacing w:val="-4"/>
              </w:rPr>
              <w:t>nekvalifikovaným a</w:t>
            </w:r>
            <w:r w:rsidRPr="007F303C">
              <w:rPr>
                <w:color w:val="0D0D0D" w:themeColor="text1" w:themeTint="F2"/>
                <w:spacing w:val="-4"/>
              </w:rPr>
              <w:t> </w:t>
            </w:r>
            <w:r w:rsidRPr="00E63E2E">
              <w:rPr>
                <w:color w:val="0D0D0D" w:themeColor="text1" w:themeTint="F2"/>
                <w:spacing w:val="-4"/>
              </w:rPr>
              <w:t>pomocným pracovníkům (+4,8 %). Nejvíce rostly střední výdělky úředníkům (+6,7 %)</w:t>
            </w:r>
            <w:r>
              <w:rPr>
                <w:color w:val="0D0D0D" w:themeColor="text1" w:themeTint="F2"/>
                <w:spacing w:val="-4"/>
              </w:rPr>
              <w:t>. V</w:t>
            </w:r>
            <w:r w:rsidRPr="00E63E2E">
              <w:rPr>
                <w:color w:val="0D0D0D" w:themeColor="text1" w:themeTint="F2"/>
                <w:spacing w:val="-4"/>
              </w:rPr>
              <w:t xml:space="preserve"> této kategorii </w:t>
            </w:r>
            <w:r>
              <w:rPr>
                <w:color w:val="0D0D0D" w:themeColor="text1" w:themeTint="F2"/>
                <w:spacing w:val="-4"/>
              </w:rPr>
              <w:t xml:space="preserve">dlouhodobě </w:t>
            </w:r>
            <w:r w:rsidRPr="00E63E2E">
              <w:rPr>
                <w:color w:val="0D0D0D" w:themeColor="text1" w:themeTint="F2"/>
                <w:spacing w:val="-4"/>
              </w:rPr>
              <w:t>výrazně převaž</w:t>
            </w:r>
            <w:r>
              <w:rPr>
                <w:color w:val="0D0D0D" w:themeColor="text1" w:themeTint="F2"/>
                <w:spacing w:val="-4"/>
              </w:rPr>
              <w:t>ují</w:t>
            </w:r>
            <w:r w:rsidRPr="00E63E2E">
              <w:rPr>
                <w:color w:val="0D0D0D" w:themeColor="text1" w:themeTint="F2"/>
                <w:spacing w:val="-4"/>
              </w:rPr>
              <w:t xml:space="preserve"> pracovníci v podnikatelské sféře (zejména v obchodu, dopravě a skladování).</w:t>
            </w:r>
          </w:p>
        </w:tc>
      </w:tr>
      <w:tr w:rsidR="00D42211" w:rsidRPr="00F6560A" w14:paraId="601C9405" w14:textId="77777777" w:rsidTr="7BDB84E4">
        <w:trPr>
          <w:trHeight w:val="132"/>
        </w:trPr>
        <w:tc>
          <w:tcPr>
            <w:tcW w:w="1747" w:type="dxa"/>
            <w:shd w:val="clear" w:color="auto" w:fill="auto"/>
            <w:tcMar>
              <w:left w:w="0" w:type="dxa"/>
            </w:tcMar>
          </w:tcPr>
          <w:p w14:paraId="6EC5279C" w14:textId="77777777" w:rsidR="00D42211" w:rsidRPr="00A90A79" w:rsidRDefault="00D42211" w:rsidP="00D42211">
            <w:pPr>
              <w:pStyle w:val="Marginlie"/>
              <w:rPr>
                <w:spacing w:val="-4"/>
              </w:rPr>
            </w:pPr>
            <w:r>
              <w:rPr>
                <w:color w:val="0D0D0D" w:themeColor="text1" w:themeTint="F2"/>
                <w:spacing w:val="-4"/>
              </w:rPr>
              <w:lastRenderedPageBreak/>
              <w:t>Výše mezd u většin hlavních skupin cizinců v Česku je dlouhodobě podprůměrná, v procentním vyjádření ale letos rostla svižněji než v případě tuzemských občanů.</w:t>
            </w:r>
          </w:p>
        </w:tc>
        <w:tc>
          <w:tcPr>
            <w:tcW w:w="212" w:type="dxa"/>
            <w:shd w:val="clear" w:color="auto" w:fill="auto"/>
            <w:tcMar>
              <w:left w:w="0" w:type="dxa"/>
            </w:tcMar>
          </w:tcPr>
          <w:p w14:paraId="1C8D80A3" w14:textId="77777777" w:rsidR="00D42211" w:rsidRPr="00B43216" w:rsidRDefault="00D42211" w:rsidP="00D42211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15" w:type="dxa"/>
            <w:shd w:val="clear" w:color="auto" w:fill="auto"/>
            <w:tcMar>
              <w:left w:w="0" w:type="dxa"/>
            </w:tcMar>
          </w:tcPr>
          <w:p w14:paraId="7B8CB584" w14:textId="77777777" w:rsidR="00D42211" w:rsidRDefault="00D42211" w:rsidP="00D42211">
            <w:pPr>
              <w:spacing w:after="0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 w:rsidRPr="00E63E2E">
              <w:rPr>
                <w:color w:val="0D0D0D" w:themeColor="text1" w:themeTint="F2"/>
                <w:spacing w:val="-4"/>
              </w:rPr>
              <w:t>Údaje z Informačního systému o průměrném výdělk</w:t>
            </w:r>
            <w:r>
              <w:rPr>
                <w:color w:val="0D0D0D" w:themeColor="text1" w:themeTint="F2"/>
                <w:spacing w:val="-4"/>
              </w:rPr>
              <w:t>u</w:t>
            </w:r>
            <w:r w:rsidRPr="00E63E2E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 xml:space="preserve">MPSV </w:t>
            </w:r>
            <w:r w:rsidRPr="00E63E2E">
              <w:rPr>
                <w:color w:val="0D0D0D" w:themeColor="text1" w:themeTint="F2"/>
                <w:spacing w:val="-4"/>
              </w:rPr>
              <w:t>potvrzují pokračující trend rostoucího zapojení cizinců na tuzemský trh práce. Počet zaměstnaných Ukrajinců se na výběrovém vzorku v 1. pololetí meziročně zvýšil o 12,5 %, medián jejich mzdy byl však jen 31,3 tis. korun (o 22 % nižší než u českých občanů). Podprůměrné úrovně výdělků dosáhly tradičně i další významné skupin</w:t>
            </w:r>
            <w:r>
              <w:rPr>
                <w:color w:val="0D0D0D" w:themeColor="text1" w:themeTint="F2"/>
                <w:spacing w:val="-4"/>
              </w:rPr>
              <w:t>y</w:t>
            </w:r>
            <w:r w:rsidRPr="00E63E2E">
              <w:rPr>
                <w:color w:val="0D0D0D" w:themeColor="text1" w:themeTint="F2"/>
                <w:spacing w:val="-4"/>
              </w:rPr>
              <w:t xml:space="preserve"> cizinců v zaměstnaneckém postavení (vyjma Slováků s 46,0 tis. korun), meziročně však jejich mzdy rostl</w:t>
            </w:r>
            <w:r>
              <w:rPr>
                <w:color w:val="0D0D0D" w:themeColor="text1" w:themeTint="F2"/>
                <w:spacing w:val="-4"/>
              </w:rPr>
              <w:t>y relativně svižněji než u tuzemských občanů</w:t>
            </w:r>
            <w:r w:rsidRPr="00E63E2E">
              <w:rPr>
                <w:color w:val="0D0D0D" w:themeColor="text1" w:themeTint="F2"/>
                <w:spacing w:val="-4"/>
              </w:rPr>
              <w:t xml:space="preserve"> (Ukrajinci +7 %, Poláci,</w:t>
            </w:r>
            <w:r>
              <w:rPr>
                <w:color w:val="0D0D0D" w:themeColor="text1" w:themeTint="F2"/>
                <w:spacing w:val="-4"/>
              </w:rPr>
              <w:t xml:space="preserve"> Rumuni, Bulhaři – kolem 10 %).</w:t>
            </w:r>
          </w:p>
        </w:tc>
      </w:tr>
    </w:tbl>
    <w:p w14:paraId="43676273" w14:textId="77777777" w:rsidR="00D42211" w:rsidRPr="007F303C" w:rsidRDefault="00D42211" w:rsidP="00D42211">
      <w:pPr>
        <w:spacing w:after="0" w:line="240" w:lineRule="auto"/>
        <w:jc w:val="left"/>
        <w:rPr>
          <w:sz w:val="2"/>
          <w:szCs w:val="2"/>
        </w:rPr>
      </w:pPr>
      <w:bookmarkStart w:id="3" w:name="_GoBack"/>
      <w:bookmarkEnd w:id="1"/>
      <w:bookmarkEnd w:id="3"/>
    </w:p>
    <w:bookmarkEnd w:id="2"/>
    <w:bookmarkEnd w:id="0"/>
    <w:sectPr w:rsidR="00D42211" w:rsidRPr="007F303C" w:rsidSect="00FC43EE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680" w:footer="68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32984" w14:textId="77777777" w:rsidR="00D42211" w:rsidRDefault="00D42211" w:rsidP="00E71A58">
      <w:r>
        <w:separator/>
      </w:r>
    </w:p>
  </w:endnote>
  <w:endnote w:type="continuationSeparator" w:id="0">
    <w:p w14:paraId="21432985" w14:textId="77777777" w:rsidR="00D42211" w:rsidRDefault="00D42211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8" w14:textId="2B60B920" w:rsidR="00D42211" w:rsidRPr="00932443" w:rsidRDefault="00D4221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143298A" wp14:editId="2143298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1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FC43EE">
      <w:rPr>
        <w:szCs w:val="16"/>
      </w:rPr>
      <w:t>36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pololetí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9" w14:textId="02465CE8" w:rsidR="00D42211" w:rsidRPr="00932443" w:rsidRDefault="00D42211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143298C" wp14:editId="2143298D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2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1. pololetí 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FC43EE">
      <w:rPr>
        <w:rStyle w:val="ZpatChar"/>
        <w:szCs w:val="16"/>
      </w:rPr>
      <w:t>35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32982" w14:textId="77777777" w:rsidR="00D42211" w:rsidRDefault="00D42211" w:rsidP="00EA4302">
      <w:pPr>
        <w:spacing w:after="0"/>
      </w:pPr>
      <w:r>
        <w:separator/>
      </w:r>
    </w:p>
  </w:footnote>
  <w:footnote w:type="continuationSeparator" w:id="0">
    <w:p w14:paraId="21432983" w14:textId="77777777" w:rsidR="00D42211" w:rsidRDefault="00D42211" w:rsidP="00E71A58">
      <w:r>
        <w:continuationSeparator/>
      </w:r>
    </w:p>
  </w:footnote>
  <w:footnote w:id="1">
    <w:p w14:paraId="4DDDC6A2" w14:textId="77777777" w:rsidR="00D42211" w:rsidRPr="00F72E52" w:rsidRDefault="00D42211" w:rsidP="00D42211">
      <w:pPr>
        <w:pStyle w:val="Textpoznpodarou"/>
        <w:jc w:val="both"/>
        <w:rPr>
          <w:color w:val="0D0D0D" w:themeColor="text1" w:themeTint="F2"/>
          <w:spacing w:val="-2"/>
          <w:sz w:val="16"/>
          <w:szCs w:val="16"/>
        </w:rPr>
      </w:pPr>
      <w:r w:rsidRPr="00F72E52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F72E52">
        <w:rPr>
          <w:color w:val="0D0D0D" w:themeColor="text1" w:themeTint="F2"/>
          <w:spacing w:val="-2"/>
          <w:sz w:val="16"/>
          <w:szCs w:val="16"/>
        </w:rPr>
        <w:t xml:space="preserve"> Údaje </w:t>
      </w:r>
      <w:r>
        <w:rPr>
          <w:color w:val="0D0D0D" w:themeColor="text1" w:themeTint="F2"/>
          <w:spacing w:val="-2"/>
          <w:sz w:val="16"/>
          <w:szCs w:val="16"/>
        </w:rPr>
        <w:t xml:space="preserve">o zaměstnanosti </w:t>
      </w:r>
      <w:r w:rsidRPr="00F72E52">
        <w:rPr>
          <w:color w:val="0D0D0D" w:themeColor="text1" w:themeTint="F2"/>
          <w:spacing w:val="-2"/>
          <w:sz w:val="16"/>
          <w:szCs w:val="16"/>
        </w:rPr>
        <w:t>vycház</w:t>
      </w:r>
      <w:r>
        <w:rPr>
          <w:color w:val="0D0D0D" w:themeColor="text1" w:themeTint="F2"/>
          <w:spacing w:val="-2"/>
          <w:sz w:val="16"/>
          <w:szCs w:val="16"/>
        </w:rPr>
        <w:t>ej</w:t>
      </w:r>
      <w:r w:rsidRPr="00F72E52">
        <w:rPr>
          <w:color w:val="0D0D0D" w:themeColor="text1" w:themeTint="F2"/>
          <w:spacing w:val="-2"/>
          <w:sz w:val="16"/>
          <w:szCs w:val="16"/>
        </w:rPr>
        <w:t>í z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pojetí národních účtů. Jsou vyjádřeny ve fyzických osobách a</w:t>
      </w:r>
      <w:r>
        <w:rPr>
          <w:color w:val="0D0D0D" w:themeColor="text1" w:themeTint="F2"/>
          <w:spacing w:val="-2"/>
          <w:sz w:val="16"/>
          <w:szCs w:val="16"/>
        </w:rPr>
        <w:t> </w:t>
      </w:r>
      <w:r w:rsidRPr="00F72E52">
        <w:rPr>
          <w:color w:val="0D0D0D" w:themeColor="text1" w:themeTint="F2"/>
          <w:spacing w:val="-2"/>
          <w:sz w:val="16"/>
          <w:szCs w:val="16"/>
        </w:rPr>
        <w:t>očištěny o sezónní vlivy.</w:t>
      </w:r>
      <w:r>
        <w:rPr>
          <w:color w:val="0D0D0D" w:themeColor="text1" w:themeTint="F2"/>
          <w:spacing w:val="-2"/>
          <w:sz w:val="16"/>
          <w:szCs w:val="16"/>
        </w:rPr>
        <w:t xml:space="preserve"> Na rozdíl od údajů z podnikové statistiky či z </w:t>
      </w:r>
      <w:r w:rsidRPr="00946AFA">
        <w:rPr>
          <w:sz w:val="16"/>
          <w:szCs w:val="16"/>
        </w:rPr>
        <w:t xml:space="preserve">výběrového šetření pracovních sil </w:t>
      </w:r>
      <w:r>
        <w:rPr>
          <w:sz w:val="16"/>
          <w:szCs w:val="16"/>
        </w:rPr>
        <w:t>(VŠPS) zahrnují např. i odhad vlivu šedé ekonomiky.</w:t>
      </w:r>
    </w:p>
  </w:footnote>
  <w:footnote w:id="2">
    <w:p w14:paraId="501A210C" w14:textId="77777777" w:rsidR="00D42211" w:rsidRPr="000B4BE2" w:rsidRDefault="00D42211" w:rsidP="00D42211">
      <w:pPr>
        <w:pStyle w:val="Textpoznpodarou"/>
        <w:rPr>
          <w:spacing w:val="-3"/>
          <w:sz w:val="16"/>
          <w:szCs w:val="16"/>
        </w:rPr>
      </w:pPr>
      <w:r w:rsidRPr="000B4BE2">
        <w:rPr>
          <w:rStyle w:val="Znakapoznpodarou"/>
          <w:spacing w:val="-3"/>
          <w:sz w:val="16"/>
          <w:szCs w:val="16"/>
        </w:rPr>
        <w:footnoteRef/>
      </w:r>
      <w:r w:rsidRPr="000B4BE2">
        <w:rPr>
          <w:spacing w:val="-3"/>
          <w:sz w:val="16"/>
          <w:szCs w:val="16"/>
        </w:rPr>
        <w:t xml:space="preserve"> Zaměstnanost v Česku roste dlouhodobě pomaleji než v EU. V celé Unii se ve 2. čtvrtletí </w:t>
      </w:r>
      <w:r>
        <w:rPr>
          <w:spacing w:val="-3"/>
          <w:sz w:val="16"/>
          <w:szCs w:val="16"/>
        </w:rPr>
        <w:t xml:space="preserve">2024 </w:t>
      </w:r>
      <w:r w:rsidRPr="000B4BE2">
        <w:rPr>
          <w:spacing w:val="-3"/>
          <w:sz w:val="16"/>
          <w:szCs w:val="16"/>
        </w:rPr>
        <w:t xml:space="preserve">počet pracovníků meziročně zvýšil o 1,0 % (podobně jako v tuzemsku šlo o jedno z nejnižších temp od jara 2021). Také v EU spočívalo těžiště růstu zaměstnanosti ve službách – nejvíce se zvyšovala v informačních a komunikačních činnostech a ve finančnictví. Průmysl pouze stagnoval. Z jednotlivých států vzrostl celkový počet pracovníků nejvíce v Litvě (o 2,8 %) a Chorvatsku (+2,6 %), </w:t>
      </w:r>
      <w:r>
        <w:rPr>
          <w:spacing w:val="-3"/>
          <w:sz w:val="16"/>
          <w:szCs w:val="16"/>
        </w:rPr>
        <w:t>z významných ekonomik</w:t>
      </w:r>
      <w:r w:rsidRPr="000B4BE2">
        <w:rPr>
          <w:spacing w:val="-3"/>
          <w:sz w:val="16"/>
          <w:szCs w:val="16"/>
        </w:rPr>
        <w:t xml:space="preserve"> ve Španělsku (+2,2 %)</w:t>
      </w:r>
      <w:r>
        <w:rPr>
          <w:spacing w:val="-3"/>
          <w:sz w:val="16"/>
          <w:szCs w:val="16"/>
        </w:rPr>
        <w:t xml:space="preserve"> a</w:t>
      </w:r>
      <w:r w:rsidRPr="000B4BE2">
        <w:rPr>
          <w:spacing w:val="-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 xml:space="preserve">v </w:t>
      </w:r>
      <w:r w:rsidRPr="000B4BE2">
        <w:rPr>
          <w:spacing w:val="-3"/>
          <w:sz w:val="16"/>
          <w:szCs w:val="16"/>
        </w:rPr>
        <w:t xml:space="preserve">Itálii (+1,4 %). Počet pracovníků klesl jen v pěti vesměs menších zemích – zejména ve Finsku (−1,5 %), ale také </w:t>
      </w:r>
      <w:r>
        <w:rPr>
          <w:spacing w:val="-3"/>
          <w:sz w:val="16"/>
          <w:szCs w:val="16"/>
        </w:rPr>
        <w:t xml:space="preserve">v </w:t>
      </w:r>
      <w:r w:rsidRPr="000B4BE2">
        <w:rPr>
          <w:spacing w:val="-3"/>
          <w:sz w:val="16"/>
          <w:szCs w:val="16"/>
        </w:rPr>
        <w:t xml:space="preserve">Polsku (−0,8 %) či </w:t>
      </w:r>
      <w:r>
        <w:rPr>
          <w:spacing w:val="-3"/>
          <w:sz w:val="16"/>
          <w:szCs w:val="16"/>
        </w:rPr>
        <w:t xml:space="preserve">na </w:t>
      </w:r>
      <w:r w:rsidRPr="000B4BE2">
        <w:rPr>
          <w:spacing w:val="-3"/>
          <w:sz w:val="16"/>
          <w:szCs w:val="16"/>
        </w:rPr>
        <w:t xml:space="preserve">Slovensku </w:t>
      </w:r>
      <w:r>
        <w:rPr>
          <w:spacing w:val="-3"/>
          <w:sz w:val="16"/>
          <w:szCs w:val="16"/>
        </w:rPr>
        <w:br/>
      </w:r>
      <w:r w:rsidRPr="000B4BE2">
        <w:rPr>
          <w:spacing w:val="-3"/>
          <w:sz w:val="16"/>
          <w:szCs w:val="16"/>
        </w:rPr>
        <w:t xml:space="preserve">(−0,2 %). V Německu, shodně jako v tuzemsku, se ve velmi mírném </w:t>
      </w:r>
      <w:r>
        <w:rPr>
          <w:spacing w:val="-3"/>
          <w:sz w:val="16"/>
          <w:szCs w:val="16"/>
        </w:rPr>
        <w:t xml:space="preserve">celkovém </w:t>
      </w:r>
      <w:r w:rsidRPr="000B4BE2">
        <w:rPr>
          <w:spacing w:val="-3"/>
          <w:sz w:val="16"/>
          <w:szCs w:val="16"/>
        </w:rPr>
        <w:t>růstu (+0,4 %) odrážely problémy průmyslu i stavebnictví</w:t>
      </w:r>
      <w:r>
        <w:rPr>
          <w:spacing w:val="-3"/>
          <w:sz w:val="16"/>
          <w:szCs w:val="16"/>
        </w:rPr>
        <w:t>, které ztrácely pracovníky</w:t>
      </w:r>
      <w:r w:rsidRPr="000B4BE2">
        <w:rPr>
          <w:spacing w:val="-3"/>
          <w:sz w:val="16"/>
          <w:szCs w:val="16"/>
        </w:rPr>
        <w:t>. Počet samotných zaměstnanců se v EU zvyšoval</w:t>
      </w:r>
      <w:r>
        <w:rPr>
          <w:spacing w:val="-3"/>
          <w:sz w:val="16"/>
          <w:szCs w:val="16"/>
        </w:rPr>
        <w:t xml:space="preserve"> procentuálně obdobně jako stav</w:t>
      </w:r>
      <w:r w:rsidRPr="000B4BE2">
        <w:rPr>
          <w:spacing w:val="-3"/>
          <w:sz w:val="16"/>
          <w:szCs w:val="16"/>
        </w:rPr>
        <w:t xml:space="preserve"> sebezaměstnaných.</w:t>
      </w:r>
    </w:p>
  </w:footnote>
  <w:footnote w:id="3">
    <w:p w14:paraId="1572AE4A" w14:textId="77777777" w:rsidR="00D42211" w:rsidRDefault="00D42211" w:rsidP="00D42211">
      <w:pPr>
        <w:pStyle w:val="Textpoznpodarou"/>
      </w:pPr>
      <w:r w:rsidRPr="00442EDD">
        <w:rPr>
          <w:rStyle w:val="Znakapoznpodarou"/>
          <w:sz w:val="16"/>
          <w:szCs w:val="16"/>
        </w:rPr>
        <w:footnoteRef/>
      </w:r>
      <w:r w:rsidRPr="00442EDD">
        <w:rPr>
          <w:sz w:val="16"/>
          <w:szCs w:val="16"/>
        </w:rPr>
        <w:t xml:space="preserve"> </w:t>
      </w:r>
      <w:r w:rsidRPr="00442EDD">
        <w:rPr>
          <w:spacing w:val="-2"/>
          <w:sz w:val="16"/>
          <w:szCs w:val="16"/>
        </w:rPr>
        <w:t>Zahrnují odvětví Veřejná správa a obrana, vzdělávání, zdravotní a sociální péče.</w:t>
      </w:r>
    </w:p>
  </w:footnote>
  <w:footnote w:id="4">
    <w:p w14:paraId="6B951A0E" w14:textId="7ABF60AF" w:rsidR="00D42211" w:rsidRPr="00FD646B" w:rsidRDefault="00D42211" w:rsidP="00D42211">
      <w:pPr>
        <w:pStyle w:val="Textpoznpodarou"/>
        <w:rPr>
          <w:sz w:val="16"/>
          <w:szCs w:val="16"/>
        </w:rPr>
      </w:pPr>
      <w:r w:rsidRPr="00FD646B">
        <w:rPr>
          <w:rStyle w:val="Znakapoznpodarou"/>
          <w:sz w:val="16"/>
          <w:szCs w:val="16"/>
        </w:rPr>
        <w:footnoteRef/>
      </w:r>
      <w:r w:rsidR="7BDB84E4" w:rsidRPr="00FD646B">
        <w:rPr>
          <w:sz w:val="16"/>
          <w:szCs w:val="16"/>
        </w:rPr>
        <w:t xml:space="preserve"> Pracovníků přibylo nejvíce ve skupině odvětví</w:t>
      </w:r>
      <w:r w:rsidR="7BDB84E4">
        <w:rPr>
          <w:sz w:val="16"/>
          <w:szCs w:val="16"/>
        </w:rPr>
        <w:t xml:space="preserve"> Ostatní</w:t>
      </w:r>
      <w:r w:rsidR="7BDB84E4" w:rsidRPr="00FD646B">
        <w:rPr>
          <w:sz w:val="16"/>
          <w:szCs w:val="16"/>
        </w:rPr>
        <w:t xml:space="preserve"> </w:t>
      </w:r>
      <w:r w:rsidR="7BDB84E4">
        <w:rPr>
          <w:sz w:val="16"/>
          <w:szCs w:val="16"/>
        </w:rPr>
        <w:t>služby</w:t>
      </w:r>
      <w:r w:rsidR="7BDB84E4" w:rsidRPr="00FD646B">
        <w:rPr>
          <w:sz w:val="16"/>
          <w:szCs w:val="16"/>
        </w:rPr>
        <w:t xml:space="preserve"> (+2,0 %) zahrnujíc</w:t>
      </w:r>
      <w:r w:rsidR="7BDB84E4">
        <w:rPr>
          <w:sz w:val="16"/>
          <w:szCs w:val="16"/>
        </w:rPr>
        <w:t>í</w:t>
      </w:r>
      <w:r w:rsidR="7BDB84E4" w:rsidRPr="00FD646B">
        <w:rPr>
          <w:sz w:val="16"/>
          <w:szCs w:val="16"/>
        </w:rPr>
        <w:t xml:space="preserve"> vedle kulturních, záb</w:t>
      </w:r>
      <w:r w:rsidR="7BDB84E4">
        <w:rPr>
          <w:sz w:val="16"/>
          <w:szCs w:val="16"/>
        </w:rPr>
        <w:t>avních a rekreačních činností např.</w:t>
      </w:r>
      <w:r w:rsidR="7BDB84E4" w:rsidRPr="00FD646B">
        <w:rPr>
          <w:sz w:val="16"/>
          <w:szCs w:val="16"/>
        </w:rPr>
        <w:t xml:space="preserve"> různé služby pro domácnosti (opravy výrobků, kadeřnické a kosmetické činnosti aj.).</w:t>
      </w:r>
      <w:r w:rsidR="7BDB84E4">
        <w:rPr>
          <w:sz w:val="16"/>
          <w:szCs w:val="16"/>
        </w:rPr>
        <w:t xml:space="preserve"> Zaměstnanost v této skupině, citelně postižené v období protipandemických restrikcí, ovšem stále mírně zaostávala za úrovní z roku 2019. </w:t>
      </w:r>
    </w:p>
  </w:footnote>
  <w:footnote w:id="5">
    <w:p w14:paraId="52158EBC" w14:textId="77777777" w:rsidR="00D42211" w:rsidRPr="008131BD" w:rsidRDefault="00D42211" w:rsidP="00D42211">
      <w:pPr>
        <w:pStyle w:val="Textpoznpodarou"/>
        <w:rPr>
          <w:sz w:val="16"/>
          <w:szCs w:val="16"/>
        </w:rPr>
      </w:pPr>
      <w:r w:rsidRPr="008131BD">
        <w:rPr>
          <w:rStyle w:val="Znakapoznpodarou"/>
          <w:sz w:val="16"/>
          <w:szCs w:val="16"/>
        </w:rPr>
        <w:footnoteRef/>
      </w:r>
      <w:r w:rsidRPr="008131BD">
        <w:rPr>
          <w:sz w:val="16"/>
          <w:szCs w:val="16"/>
        </w:rPr>
        <w:t xml:space="preserve"> Naopak v některých menších oborech p</w:t>
      </w:r>
      <w:r>
        <w:rPr>
          <w:sz w:val="16"/>
          <w:szCs w:val="16"/>
        </w:rPr>
        <w:t>racovníků přibývalo (energetika</w:t>
      </w:r>
      <w:r w:rsidRPr="008131BD">
        <w:rPr>
          <w:sz w:val="16"/>
          <w:szCs w:val="16"/>
        </w:rPr>
        <w:t>, vodní a odpadové hospodářství, potravinářství).</w:t>
      </w:r>
    </w:p>
  </w:footnote>
  <w:footnote w:id="6">
    <w:p w14:paraId="2011A1AF" w14:textId="77777777" w:rsidR="00D42211" w:rsidRPr="004F321F" w:rsidRDefault="00D42211" w:rsidP="00D42211">
      <w:pPr>
        <w:pStyle w:val="Textpoznpodarou"/>
        <w:rPr>
          <w:sz w:val="16"/>
          <w:szCs w:val="16"/>
        </w:rPr>
      </w:pPr>
      <w:r w:rsidRPr="004F321F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D</w:t>
      </w:r>
      <w:r w:rsidRPr="004F321F">
        <w:rPr>
          <w:sz w:val="16"/>
          <w:szCs w:val="16"/>
        </w:rPr>
        <w:t>le údajů</w:t>
      </w:r>
      <w:r w:rsidRPr="00B04E9B">
        <w:rPr>
          <w:sz w:val="16"/>
          <w:szCs w:val="16"/>
        </w:rPr>
        <w:t xml:space="preserve"> z</w:t>
      </w:r>
      <w:r>
        <w:rPr>
          <w:sz w:val="16"/>
          <w:szCs w:val="16"/>
        </w:rPr>
        <w:t xml:space="preserve"> VŠPS vzrostl mezi 4. čtvrtletím 2022 a 1. čtvrtletím 2024 podíl žen ve věku 15 a více let pracujících na zkrácené úvazky z 12,0 % na rekordních 13,9 %. Spolu se Slovenskem jde o nejvýraznější nárůst v rámci EU. Zastoupení těchto úvazků v ČR je ovšem v evropském kontextu stále nízké. V EU dosahovalo 29,6 %, z toho v eurozóně 34,5 %. Mezi státy, které vstoupily do EU po roce 2000, mělo však aktuálně vyšší podíl takto pracujících žen jen Estonsko (21 %) a Malta (19 %). </w:t>
      </w:r>
    </w:p>
  </w:footnote>
  <w:footnote w:id="7">
    <w:p w14:paraId="5F7472D1" w14:textId="77777777" w:rsidR="00D42211" w:rsidRPr="00F24215" w:rsidRDefault="00D42211" w:rsidP="00D42211">
      <w:pPr>
        <w:pStyle w:val="Textpoznpodarou"/>
        <w:rPr>
          <w:sz w:val="16"/>
          <w:szCs w:val="16"/>
        </w:rPr>
      </w:pPr>
      <w:r w:rsidRPr="00F24215">
        <w:rPr>
          <w:rStyle w:val="Znakapoznpodarou"/>
          <w:sz w:val="16"/>
          <w:szCs w:val="16"/>
        </w:rPr>
        <w:footnoteRef/>
      </w:r>
      <w:r w:rsidRPr="00F24215">
        <w:rPr>
          <w:sz w:val="16"/>
          <w:szCs w:val="16"/>
        </w:rPr>
        <w:t xml:space="preserve"> Dle experimentální statistiky ČSÚ klesl v 1. </w:t>
      </w:r>
      <w:r>
        <w:rPr>
          <w:sz w:val="16"/>
          <w:szCs w:val="16"/>
        </w:rPr>
        <w:t xml:space="preserve">pololetí </w:t>
      </w:r>
      <w:r w:rsidRPr="00F24215">
        <w:rPr>
          <w:sz w:val="16"/>
          <w:szCs w:val="16"/>
        </w:rPr>
        <w:t>2024 počet osob pracujících na dohodu</w:t>
      </w:r>
      <w:r>
        <w:rPr>
          <w:sz w:val="16"/>
          <w:szCs w:val="16"/>
        </w:rPr>
        <w:t xml:space="preserve"> o provedení práce meziročně o 10 %, obdobně se snížil</w:t>
      </w:r>
      <w:r w:rsidRPr="00F24215">
        <w:rPr>
          <w:sz w:val="16"/>
          <w:szCs w:val="16"/>
        </w:rPr>
        <w:t xml:space="preserve"> i počet jimi odpracovaných hodin. </w:t>
      </w:r>
      <w:r>
        <w:rPr>
          <w:sz w:val="16"/>
          <w:szCs w:val="16"/>
        </w:rPr>
        <w:t>Poznámka: o</w:t>
      </w:r>
      <w:r w:rsidRPr="00F24215">
        <w:rPr>
          <w:sz w:val="16"/>
          <w:szCs w:val="16"/>
        </w:rPr>
        <w:t xml:space="preserve">soby pracující na dohody </w:t>
      </w:r>
      <w:r>
        <w:rPr>
          <w:sz w:val="16"/>
          <w:szCs w:val="16"/>
        </w:rPr>
        <w:t xml:space="preserve">současně </w:t>
      </w:r>
      <w:r w:rsidRPr="00F24215">
        <w:rPr>
          <w:sz w:val="16"/>
          <w:szCs w:val="16"/>
        </w:rPr>
        <w:t xml:space="preserve">u více zaměstnavatelů </w:t>
      </w:r>
      <w:r>
        <w:rPr>
          <w:sz w:val="16"/>
          <w:szCs w:val="16"/>
        </w:rPr>
        <w:t>jsou zahrnuty vícenásobně (tj. samostatně u každého zaměstnavatele).</w:t>
      </w:r>
    </w:p>
  </w:footnote>
  <w:footnote w:id="8">
    <w:p w14:paraId="11659744" w14:textId="77777777" w:rsidR="00D42211" w:rsidRPr="00AD3730" w:rsidRDefault="00D42211" w:rsidP="00D42211">
      <w:pPr>
        <w:pStyle w:val="Textpoznpodarou"/>
        <w:rPr>
          <w:sz w:val="16"/>
          <w:szCs w:val="16"/>
        </w:rPr>
      </w:pPr>
      <w:r w:rsidRPr="00AD3730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Více než 76 % veškerých</w:t>
      </w:r>
      <w:r w:rsidRPr="00AD3730">
        <w:rPr>
          <w:sz w:val="16"/>
          <w:szCs w:val="16"/>
        </w:rPr>
        <w:t xml:space="preserve"> občanů Ukrajiny působících </w:t>
      </w:r>
      <w:r>
        <w:rPr>
          <w:sz w:val="16"/>
          <w:szCs w:val="16"/>
        </w:rPr>
        <w:t xml:space="preserve">v ČR v zaměstnaneckém postavení </w:t>
      </w:r>
      <w:r w:rsidRPr="00AD3730">
        <w:rPr>
          <w:sz w:val="16"/>
          <w:szCs w:val="16"/>
        </w:rPr>
        <w:t xml:space="preserve">nepotřebovalo </w:t>
      </w:r>
      <w:r>
        <w:rPr>
          <w:sz w:val="16"/>
          <w:szCs w:val="16"/>
        </w:rPr>
        <w:t xml:space="preserve">na konci 2. čtvrtletí 2024 oprávnění k zaměstnání (pracovní povolení, zaměstnanecké či modré karty). </w:t>
      </w:r>
    </w:p>
  </w:footnote>
  <w:footnote w:id="9">
    <w:p w14:paraId="0168CF4B" w14:textId="77777777" w:rsidR="00D42211" w:rsidRPr="00223F13" w:rsidRDefault="00D42211" w:rsidP="00D42211">
      <w:pPr>
        <w:pStyle w:val="Textpoznpodarou"/>
        <w:rPr>
          <w:sz w:val="16"/>
          <w:szCs w:val="16"/>
        </w:rPr>
      </w:pPr>
      <w:r w:rsidRPr="00223F13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Od 1. července 2024 nově nepotřebují </w:t>
      </w:r>
      <w:r w:rsidRPr="00223F13">
        <w:rPr>
          <w:sz w:val="16"/>
          <w:szCs w:val="16"/>
        </w:rPr>
        <w:t xml:space="preserve">v Česku pracovní povolení </w:t>
      </w:r>
      <w:r>
        <w:rPr>
          <w:sz w:val="16"/>
          <w:szCs w:val="16"/>
        </w:rPr>
        <w:t>ani zaměstnanecké karty</w:t>
      </w:r>
      <w:r w:rsidRPr="00223F13">
        <w:rPr>
          <w:sz w:val="16"/>
          <w:szCs w:val="16"/>
        </w:rPr>
        <w:t xml:space="preserve"> cizinci z některých ekonomicky vyspělých zemí mimo EU (USA, Velká Británie, Kanada, Austrálie, Nový Zéland, Japonsko, Jižní Korea, Izrael a Singapur).</w:t>
      </w:r>
    </w:p>
  </w:footnote>
  <w:footnote w:id="10">
    <w:p w14:paraId="2CE51D94" w14:textId="77777777" w:rsidR="00D42211" w:rsidRPr="00675ACD" w:rsidRDefault="00D42211" w:rsidP="00D42211">
      <w:pPr>
        <w:pStyle w:val="Textpoznpodarou"/>
        <w:rPr>
          <w:sz w:val="16"/>
          <w:szCs w:val="16"/>
        </w:rPr>
      </w:pPr>
      <w:r w:rsidRPr="00675ACD">
        <w:rPr>
          <w:rStyle w:val="Znakapoznpodarou"/>
          <w:sz w:val="16"/>
          <w:szCs w:val="16"/>
        </w:rPr>
        <w:footnoteRef/>
      </w:r>
      <w:r w:rsidRPr="00675ACD">
        <w:rPr>
          <w:sz w:val="16"/>
          <w:szCs w:val="16"/>
        </w:rPr>
        <w:t xml:space="preserve"> Vedle toho evidovalo MPO ve stejném období 124,5 tis. </w:t>
      </w:r>
      <w:r w:rsidRPr="00675ACD">
        <w:rPr>
          <w:color w:val="0D0D0D" w:themeColor="text1" w:themeTint="F2"/>
          <w:spacing w:val="-6"/>
          <w:sz w:val="16"/>
          <w:szCs w:val="16"/>
        </w:rPr>
        <w:t>cizích státních příslušníků s živnostenským oprávněním v Česku. K jejich meziročnímu růstu (+</w:t>
      </w:r>
      <w:r>
        <w:rPr>
          <w:color w:val="0D0D0D" w:themeColor="text1" w:themeTint="F2"/>
          <w:spacing w:val="-6"/>
          <w:sz w:val="16"/>
          <w:szCs w:val="16"/>
        </w:rPr>
        <w:t>9,3 %) skoro z 60 %</w:t>
      </w:r>
      <w:r w:rsidRPr="00675ACD">
        <w:rPr>
          <w:color w:val="0D0D0D" w:themeColor="text1" w:themeTint="F2"/>
          <w:spacing w:val="-6"/>
          <w:sz w:val="16"/>
          <w:szCs w:val="16"/>
        </w:rPr>
        <w:t xml:space="preserve"> přispěli Ukrajinci. Mezi podnikajícími cizinci se na rozdíl od </w:t>
      </w:r>
      <w:r w:rsidRPr="00675ACD">
        <w:rPr>
          <w:sz w:val="16"/>
          <w:szCs w:val="16"/>
        </w:rPr>
        <w:t>cizinců v zaměstnaneckém postavení častěji vyskytují lidé v Česku dlouhodobě usazení (např. Vietnamci).</w:t>
      </w:r>
    </w:p>
  </w:footnote>
  <w:footnote w:id="11">
    <w:p w14:paraId="6CAC8C7B" w14:textId="77777777" w:rsidR="00D42211" w:rsidRPr="00DF391D" w:rsidRDefault="00D42211" w:rsidP="00D42211">
      <w:pPr>
        <w:pStyle w:val="Textpoznpodarou"/>
        <w:rPr>
          <w:color w:val="0D0D0D" w:themeColor="text1" w:themeTint="F2"/>
          <w:spacing w:val="-2"/>
          <w:sz w:val="16"/>
          <w:szCs w:val="16"/>
        </w:rPr>
      </w:pPr>
      <w:r w:rsidRPr="00A20936">
        <w:rPr>
          <w:rStyle w:val="Znakapoznpodarou"/>
          <w:color w:val="0D0D0D" w:themeColor="text1" w:themeTint="F2"/>
          <w:spacing w:val="-2"/>
          <w:sz w:val="16"/>
          <w:szCs w:val="16"/>
        </w:rPr>
        <w:footnoteRef/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 </w:t>
      </w:r>
      <w:r>
        <w:rPr>
          <w:color w:val="0D0D0D" w:themeColor="text1" w:themeTint="F2"/>
          <w:spacing w:val="-2"/>
          <w:sz w:val="16"/>
          <w:szCs w:val="16"/>
        </w:rPr>
        <w:t xml:space="preserve">Převažující negativní očekávání zaměstnanosti vyjádřily (dle šetření ze srpna 2024) podniky ve dvou třetinách zpracovatelských 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průmyslových oborů – jak </w:t>
      </w:r>
      <w:r>
        <w:rPr>
          <w:color w:val="0D0D0D" w:themeColor="text1" w:themeTint="F2"/>
          <w:spacing w:val="-2"/>
          <w:sz w:val="16"/>
          <w:szCs w:val="16"/>
        </w:rPr>
        <w:t>v</w:t>
      </w:r>
      <w:r w:rsidRPr="002377B1">
        <w:rPr>
          <w:sz w:val="16"/>
          <w:szCs w:val="16"/>
        </w:rPr>
        <w:t> </w:t>
      </w:r>
      <w:r w:rsidRPr="00A20936">
        <w:rPr>
          <w:color w:val="0D0D0D" w:themeColor="text1" w:themeTint="F2"/>
          <w:spacing w:val="-2"/>
          <w:sz w:val="16"/>
          <w:szCs w:val="16"/>
        </w:rPr>
        <w:t>energeticky ná</w:t>
      </w:r>
      <w:r>
        <w:rPr>
          <w:color w:val="0D0D0D" w:themeColor="text1" w:themeTint="F2"/>
          <w:spacing w:val="-2"/>
          <w:sz w:val="16"/>
          <w:szCs w:val="16"/>
        </w:rPr>
        <w:t xml:space="preserve">ročných (hutnictví, výroba stavebních materiálů, </w:t>
      </w:r>
      <w:r w:rsidRPr="00A20936">
        <w:rPr>
          <w:color w:val="0D0D0D" w:themeColor="text1" w:themeTint="F2"/>
          <w:spacing w:val="-2"/>
          <w:sz w:val="16"/>
          <w:szCs w:val="16"/>
        </w:rPr>
        <w:t>ch</w:t>
      </w:r>
      <w:r>
        <w:rPr>
          <w:color w:val="0D0D0D" w:themeColor="text1" w:themeTint="F2"/>
          <w:spacing w:val="-2"/>
          <w:sz w:val="16"/>
          <w:szCs w:val="16"/>
        </w:rPr>
        <w:t>emický průmysl), tak ve strojírenství, elektronickém průmyslu a v subdodavatelských oborech pro automobilový průmysl či v řadě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 </w:t>
      </w:r>
      <w:r>
        <w:rPr>
          <w:color w:val="0D0D0D" w:themeColor="text1" w:themeTint="F2"/>
          <w:spacing w:val="-2"/>
          <w:sz w:val="16"/>
          <w:szCs w:val="16"/>
        </w:rPr>
        <w:t xml:space="preserve">vesměs menších oborů, jejichž odbyt závisí z velké části na spotřebě domácností (nábytkářský, oděvní, textilní a nápojový 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průmysl). </w:t>
      </w:r>
      <w:r>
        <w:rPr>
          <w:color w:val="0D0D0D" w:themeColor="text1" w:themeTint="F2"/>
          <w:spacing w:val="-2"/>
          <w:sz w:val="16"/>
          <w:szCs w:val="16"/>
        </w:rPr>
        <w:t xml:space="preserve">Naopak </w:t>
      </w:r>
      <w:r w:rsidRPr="00A20936">
        <w:rPr>
          <w:color w:val="0D0D0D" w:themeColor="text1" w:themeTint="F2"/>
          <w:spacing w:val="-2"/>
          <w:sz w:val="16"/>
          <w:szCs w:val="16"/>
        </w:rPr>
        <w:t xml:space="preserve">pozitivní výhledy přetrvávaly </w:t>
      </w:r>
      <w:r>
        <w:rPr>
          <w:color w:val="0D0D0D" w:themeColor="text1" w:themeTint="F2"/>
          <w:spacing w:val="-2"/>
          <w:sz w:val="16"/>
          <w:szCs w:val="16"/>
        </w:rPr>
        <w:t xml:space="preserve">dlouhodobě </w:t>
      </w:r>
      <w:r w:rsidRPr="00DF391D">
        <w:rPr>
          <w:color w:val="0D0D0D" w:themeColor="text1" w:themeTint="F2"/>
          <w:spacing w:val="-2"/>
          <w:sz w:val="16"/>
          <w:szCs w:val="16"/>
        </w:rPr>
        <w:t>zejména ve výrobě kolejových dopravních prostředků, s odstupem dále ve farmacii, ostatním průmyslu či v opravě a instalaci strojů a zařízení. K náznaku pozitivního obratu došlo v kovodělném průmyslu, který zahrnuje i malý segment zbrojní výroby.</w:t>
      </w:r>
    </w:p>
    <w:p w14:paraId="32964E99" w14:textId="77777777" w:rsidR="00D42211" w:rsidRPr="0046167D" w:rsidRDefault="00D42211" w:rsidP="00D42211">
      <w:pPr>
        <w:pStyle w:val="Textpoznpodarou"/>
        <w:rPr>
          <w:color w:val="0D0D0D" w:themeColor="text1" w:themeTint="F2"/>
          <w:spacing w:val="-5"/>
          <w:sz w:val="16"/>
          <w:szCs w:val="16"/>
        </w:rPr>
      </w:pPr>
      <w:r w:rsidRPr="00DF391D">
        <w:rPr>
          <w:color w:val="0D0D0D" w:themeColor="text1" w:themeTint="F2"/>
          <w:spacing w:val="-2"/>
          <w:sz w:val="16"/>
          <w:szCs w:val="16"/>
        </w:rPr>
        <w:t xml:space="preserve">Ve službách převažovala negativní očekávání v polovině dílčích odvětví. Nejvíce byla patrná v peněžnictví, dále v kulturních, zábavních </w:t>
      </w:r>
      <w:r w:rsidRPr="00DF391D">
        <w:rPr>
          <w:color w:val="0D0D0D" w:themeColor="text1" w:themeTint="F2"/>
          <w:spacing w:val="-2"/>
          <w:sz w:val="16"/>
          <w:szCs w:val="16"/>
        </w:rPr>
        <w:br/>
        <w:t>a rekreačních činnostech, ve většině administrativních a podpůrných činností či v reklamě. Naopak u řady jiných podnikových služeb (architektonické a inženýrské činnosti, pracovní agentury), v oblasti programování, telekomunikací, v kurýrních činnostech, pohostinství či ubytování podniky očekávaly spíše vyšší zaměstnanost.</w:t>
      </w:r>
    </w:p>
  </w:footnote>
  <w:footnote w:id="12">
    <w:p w14:paraId="4B5201D9" w14:textId="77777777" w:rsidR="00D42211" w:rsidRPr="00A4613D" w:rsidRDefault="00D42211" w:rsidP="00D42211">
      <w:pPr>
        <w:pStyle w:val="Textpoznpodarou"/>
        <w:rPr>
          <w:sz w:val="16"/>
          <w:szCs w:val="16"/>
        </w:rPr>
      </w:pPr>
      <w:r w:rsidRPr="00A4613D">
        <w:rPr>
          <w:rStyle w:val="Znakapoznpodarou"/>
          <w:sz w:val="16"/>
          <w:szCs w:val="16"/>
        </w:rPr>
        <w:footnoteRef/>
      </w:r>
      <w:r w:rsidRPr="00A4613D">
        <w:rPr>
          <w:sz w:val="16"/>
          <w:szCs w:val="16"/>
        </w:rPr>
        <w:t xml:space="preserve"> Podniky mohly uvést více bariér současně.</w:t>
      </w:r>
    </w:p>
  </w:footnote>
  <w:footnote w:id="13">
    <w:p w14:paraId="241DB980" w14:textId="77777777" w:rsidR="00D42211" w:rsidRPr="004E68B1" w:rsidRDefault="00D42211" w:rsidP="00D42211">
      <w:pPr>
        <w:pStyle w:val="Textpoznpodarou"/>
        <w:rPr>
          <w:spacing w:val="-3"/>
          <w:sz w:val="16"/>
          <w:szCs w:val="16"/>
        </w:rPr>
      </w:pPr>
      <w:r w:rsidRPr="004E68B1">
        <w:rPr>
          <w:rStyle w:val="Znakapoznpodarou"/>
          <w:spacing w:val="-3"/>
          <w:sz w:val="16"/>
          <w:szCs w:val="16"/>
        </w:rPr>
        <w:footnoteRef/>
      </w:r>
      <w:r>
        <w:rPr>
          <w:spacing w:val="-3"/>
          <w:sz w:val="16"/>
          <w:szCs w:val="16"/>
        </w:rPr>
        <w:t xml:space="preserve"> Není-li uvedeno jinak, vycházejí v</w:t>
      </w:r>
      <w:r w:rsidRPr="004E68B1">
        <w:rPr>
          <w:spacing w:val="-3"/>
          <w:sz w:val="16"/>
          <w:szCs w:val="16"/>
        </w:rPr>
        <w:t>šechny údaje o </w:t>
      </w:r>
      <w:r>
        <w:rPr>
          <w:spacing w:val="-3"/>
          <w:sz w:val="16"/>
          <w:szCs w:val="16"/>
        </w:rPr>
        <w:t xml:space="preserve">mírách </w:t>
      </w:r>
      <w:r w:rsidRPr="004E68B1">
        <w:rPr>
          <w:spacing w:val="-3"/>
          <w:sz w:val="16"/>
          <w:szCs w:val="16"/>
        </w:rPr>
        <w:t>nezaměstnanosti z</w:t>
      </w:r>
      <w:r>
        <w:rPr>
          <w:spacing w:val="-3"/>
          <w:sz w:val="16"/>
          <w:szCs w:val="16"/>
        </w:rPr>
        <w:t> VŠPS (dle metodiky ILO) a jsou očištěny o sezónní vlivy.</w:t>
      </w:r>
    </w:p>
  </w:footnote>
  <w:footnote w:id="14">
    <w:p w14:paraId="23622AE9" w14:textId="77777777" w:rsidR="00D42211" w:rsidRPr="00A9733E" w:rsidRDefault="00D42211" w:rsidP="00D42211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/>
          <w:spacing w:val="-3"/>
          <w:sz w:val="16"/>
          <w:szCs w:val="16"/>
        </w:rPr>
      </w:pPr>
      <w:r w:rsidRPr="002E40D7">
        <w:rPr>
          <w:rStyle w:val="Znakapoznpodarou"/>
          <w:sz w:val="16"/>
          <w:szCs w:val="16"/>
        </w:rPr>
        <w:footnoteRef/>
      </w:r>
      <w:r w:rsidRPr="002E40D7">
        <w:rPr>
          <w:sz w:val="16"/>
          <w:szCs w:val="16"/>
        </w:rPr>
        <w:t xml:space="preserve"> </w:t>
      </w:r>
      <w:r w:rsidRPr="004B0481">
        <w:rPr>
          <w:rFonts w:ascii="Arial" w:eastAsia="Calibri" w:hAnsi="Arial"/>
          <w:spacing w:val="-3"/>
          <w:sz w:val="16"/>
          <w:szCs w:val="16"/>
        </w:rPr>
        <w:t xml:space="preserve">Nízká nezaměstnanost přetrvává rovněž v EU – letos v červenci dosáhla ve skupině 15 až 74letých rovných 6 % (v eurozóně 6,4 %). Meziměsíčně i meziročně se nezměnila. Nezaměstnanost tak fakticky stagnuje již zhruba 2 roky. Nachází se blízko historického minima </w:t>
      </w:r>
      <w:r>
        <w:rPr>
          <w:rFonts w:ascii="Arial" w:eastAsia="Calibri" w:hAnsi="Arial"/>
          <w:spacing w:val="-3"/>
          <w:sz w:val="16"/>
          <w:szCs w:val="16"/>
        </w:rPr>
        <w:br/>
      </w:r>
      <w:r w:rsidRPr="004B0481">
        <w:rPr>
          <w:rFonts w:ascii="Arial" w:eastAsia="Calibri" w:hAnsi="Arial"/>
          <w:spacing w:val="-3"/>
          <w:sz w:val="16"/>
          <w:szCs w:val="16"/>
        </w:rPr>
        <w:t xml:space="preserve">a proti roku 2008 je nižší o 1 p. b. (v EU i eurozóně). Nezaměstnanost ČR (2,7 %) byla v rámci států EU nadále nejnižší, </w:t>
      </w:r>
      <w:r>
        <w:rPr>
          <w:rFonts w:ascii="Arial" w:eastAsia="Calibri" w:hAnsi="Arial"/>
          <w:spacing w:val="-3"/>
          <w:sz w:val="16"/>
          <w:szCs w:val="16"/>
        </w:rPr>
        <w:t xml:space="preserve">a to </w:t>
      </w:r>
      <w:r w:rsidRPr="004B0481">
        <w:rPr>
          <w:rFonts w:ascii="Arial" w:eastAsia="Calibri" w:hAnsi="Arial"/>
          <w:spacing w:val="-3"/>
          <w:sz w:val="16"/>
          <w:szCs w:val="16"/>
        </w:rPr>
        <w:t>hlavně díky mužům</w:t>
      </w:r>
      <w:r>
        <w:rPr>
          <w:rFonts w:ascii="Arial" w:eastAsia="Calibri" w:hAnsi="Arial"/>
          <w:spacing w:val="-3"/>
          <w:sz w:val="16"/>
          <w:szCs w:val="16"/>
        </w:rPr>
        <w:t xml:space="preserve"> (2,5 %)</w:t>
      </w:r>
      <w:r w:rsidRPr="004B0481">
        <w:rPr>
          <w:rFonts w:ascii="Arial" w:eastAsia="Calibri" w:hAnsi="Arial"/>
          <w:spacing w:val="-3"/>
          <w:sz w:val="16"/>
          <w:szCs w:val="16"/>
        </w:rPr>
        <w:t>. U žen, kde nezaměstnanost tradičn</w:t>
      </w:r>
      <w:r>
        <w:rPr>
          <w:rFonts w:ascii="Arial" w:eastAsia="Calibri" w:hAnsi="Arial"/>
          <w:spacing w:val="-3"/>
          <w:sz w:val="16"/>
          <w:szCs w:val="16"/>
        </w:rPr>
        <w:t>ě více kolísá, dosáhla v</w:t>
      </w:r>
      <w:r w:rsidRPr="004B0481">
        <w:rPr>
          <w:rFonts w:ascii="Arial" w:eastAsia="Calibri" w:hAnsi="Arial"/>
          <w:spacing w:val="-3"/>
          <w:sz w:val="16"/>
          <w:szCs w:val="16"/>
        </w:rPr>
        <w:t xml:space="preserve"> </w:t>
      </w:r>
      <w:r>
        <w:rPr>
          <w:rFonts w:ascii="Arial" w:eastAsia="Calibri" w:hAnsi="Arial"/>
          <w:spacing w:val="-3"/>
          <w:sz w:val="16"/>
          <w:szCs w:val="16"/>
        </w:rPr>
        <w:t xml:space="preserve">Polsku a na Maltě </w:t>
      </w:r>
      <w:r w:rsidRPr="004B0481">
        <w:rPr>
          <w:rFonts w:ascii="Arial" w:eastAsia="Calibri" w:hAnsi="Arial"/>
          <w:spacing w:val="-3"/>
          <w:sz w:val="16"/>
          <w:szCs w:val="16"/>
        </w:rPr>
        <w:t xml:space="preserve">aktuálně lehce nižší úrovně než v tuzemsku </w:t>
      </w:r>
      <w:r>
        <w:rPr>
          <w:rFonts w:ascii="Arial" w:eastAsia="Calibri" w:hAnsi="Arial"/>
          <w:spacing w:val="-3"/>
          <w:sz w:val="16"/>
          <w:szCs w:val="16"/>
        </w:rPr>
        <w:br/>
      </w:r>
      <w:r w:rsidRPr="004B0481">
        <w:rPr>
          <w:rFonts w:ascii="Arial" w:eastAsia="Calibri" w:hAnsi="Arial"/>
          <w:spacing w:val="-3"/>
          <w:sz w:val="16"/>
          <w:szCs w:val="16"/>
        </w:rPr>
        <w:t>(3,1 %)</w:t>
      </w:r>
      <w:r>
        <w:rPr>
          <w:rFonts w:ascii="Arial" w:eastAsia="Calibri" w:hAnsi="Arial"/>
          <w:spacing w:val="-3"/>
          <w:sz w:val="16"/>
          <w:szCs w:val="16"/>
        </w:rPr>
        <w:t>.</w:t>
      </w:r>
      <w:r w:rsidRPr="004B0481">
        <w:rPr>
          <w:rFonts w:ascii="Arial" w:eastAsia="Calibri" w:hAnsi="Arial"/>
          <w:spacing w:val="-3"/>
          <w:sz w:val="16"/>
          <w:szCs w:val="16"/>
        </w:rPr>
        <w:t xml:space="preserve"> Již více než 3 roky trpí nejvyšší nezaměstnaností v rámci EU Španělsko, aktuálně činí 11,5 % (je nejvyšší mezi muži i ženami). Následuje Řecko (9,9 %), jehož pozici ovlivňuje vysoká nezaměstnanost žen (12</w:t>
      </w:r>
      <w:r w:rsidRPr="00A9733E">
        <w:rPr>
          <w:rFonts w:ascii="Arial" w:eastAsia="Calibri" w:hAnsi="Arial"/>
          <w:spacing w:val="-3"/>
          <w:sz w:val="16"/>
          <w:szCs w:val="16"/>
        </w:rPr>
        <w:t xml:space="preserve">,5 %). Naopak ve Švédsku a Finsku a Litvě táhnou více než 8% celkovou nezaměstnanost vzhůru hlavně muži (8,9 %, resp. 10,1 % a 8,4 %). Meziroční pokles celkové nezaměstnanosti nastal </w:t>
      </w:r>
      <w:r>
        <w:rPr>
          <w:rFonts w:ascii="Arial" w:eastAsia="Calibri" w:hAnsi="Arial"/>
          <w:spacing w:val="-3"/>
          <w:sz w:val="16"/>
          <w:szCs w:val="16"/>
        </w:rPr>
        <w:br/>
      </w:r>
      <w:r w:rsidRPr="00A9733E">
        <w:rPr>
          <w:rFonts w:ascii="Arial" w:eastAsia="Calibri" w:hAnsi="Arial"/>
          <w:spacing w:val="-3"/>
          <w:sz w:val="16"/>
          <w:szCs w:val="16"/>
        </w:rPr>
        <w:t xml:space="preserve">v červenci ve 12 státech Unie – významnější byl však pouze v Itálii (o 1,3 p. b.), </w:t>
      </w:r>
      <w:r>
        <w:rPr>
          <w:rFonts w:ascii="Arial" w:eastAsia="Calibri" w:hAnsi="Arial"/>
          <w:spacing w:val="-3"/>
          <w:sz w:val="16"/>
          <w:szCs w:val="16"/>
        </w:rPr>
        <w:t xml:space="preserve">v </w:t>
      </w:r>
      <w:r w:rsidRPr="00A9733E">
        <w:rPr>
          <w:rFonts w:ascii="Arial" w:eastAsia="Calibri" w:hAnsi="Arial"/>
          <w:spacing w:val="-3"/>
          <w:sz w:val="16"/>
          <w:szCs w:val="16"/>
        </w:rPr>
        <w:t xml:space="preserve">Řecku (-1,2) a Chorvatsku (-1,1). Naopak o více než 1 p. b. se zhoršila nezaměstnanost na severu Evropy – ve Švédsku, </w:t>
      </w:r>
      <w:r>
        <w:rPr>
          <w:rFonts w:ascii="Arial" w:eastAsia="Calibri" w:hAnsi="Arial"/>
          <w:spacing w:val="-3"/>
          <w:sz w:val="16"/>
          <w:szCs w:val="16"/>
        </w:rPr>
        <w:t xml:space="preserve">v </w:t>
      </w:r>
      <w:r w:rsidRPr="00A9733E">
        <w:rPr>
          <w:rFonts w:ascii="Arial" w:eastAsia="Calibri" w:hAnsi="Arial"/>
          <w:spacing w:val="-3"/>
          <w:sz w:val="16"/>
          <w:szCs w:val="16"/>
        </w:rPr>
        <w:t xml:space="preserve">Litvě a </w:t>
      </w:r>
      <w:r>
        <w:rPr>
          <w:rFonts w:ascii="Arial" w:eastAsia="Calibri" w:hAnsi="Arial"/>
          <w:spacing w:val="-3"/>
          <w:sz w:val="16"/>
          <w:szCs w:val="16"/>
        </w:rPr>
        <w:t xml:space="preserve">ve </w:t>
      </w:r>
      <w:r w:rsidRPr="00A9733E">
        <w:rPr>
          <w:rFonts w:ascii="Arial" w:eastAsia="Calibri" w:hAnsi="Arial"/>
          <w:spacing w:val="-3"/>
          <w:sz w:val="16"/>
          <w:szCs w:val="16"/>
        </w:rPr>
        <w:t xml:space="preserve">Finsku. V Německu nezaměstnanost rostla sice jen pozvolně </w:t>
      </w:r>
      <w:r>
        <w:rPr>
          <w:rFonts w:ascii="Arial" w:eastAsia="Calibri" w:hAnsi="Arial"/>
          <w:spacing w:val="-3"/>
          <w:sz w:val="16"/>
          <w:szCs w:val="16"/>
        </w:rPr>
        <w:br/>
      </w:r>
      <w:r w:rsidRPr="00A9733E">
        <w:rPr>
          <w:rFonts w:ascii="Arial" w:eastAsia="Calibri" w:hAnsi="Arial"/>
          <w:spacing w:val="-3"/>
          <w:sz w:val="16"/>
          <w:szCs w:val="16"/>
        </w:rPr>
        <w:t xml:space="preserve">(+0,4 p. b.), avšak aktuálně je na tříletém maximu (3,4 %). Příznivé postavení má Česko i v nezaměstnanosti </w:t>
      </w:r>
      <w:r>
        <w:rPr>
          <w:rFonts w:ascii="Arial" w:eastAsia="Calibri" w:hAnsi="Arial"/>
          <w:spacing w:val="-3"/>
          <w:sz w:val="16"/>
          <w:szCs w:val="16"/>
        </w:rPr>
        <w:t xml:space="preserve">osob </w:t>
      </w:r>
      <w:r w:rsidRPr="00A9733E">
        <w:rPr>
          <w:rFonts w:ascii="Arial" w:eastAsia="Calibri" w:hAnsi="Arial"/>
          <w:spacing w:val="-3"/>
          <w:sz w:val="16"/>
          <w:szCs w:val="16"/>
        </w:rPr>
        <w:t>do 25 let, neboť dlouhodobě patří do třetiny zemí Unie s nejnižší nezaměstnaností mladých. Ta aktuálně dosahovala 11,6 % (v EU 14,5 %, ví</w:t>
      </w:r>
      <w:r>
        <w:rPr>
          <w:rFonts w:ascii="Arial" w:eastAsia="Calibri" w:hAnsi="Arial"/>
          <w:spacing w:val="-3"/>
          <w:sz w:val="16"/>
          <w:szCs w:val="16"/>
        </w:rPr>
        <w:t>ce než 20% nezaměstnanost</w:t>
      </w:r>
      <w:r w:rsidRPr="00A9733E">
        <w:rPr>
          <w:rFonts w:ascii="Arial" w:eastAsia="Calibri" w:hAnsi="Arial"/>
          <w:spacing w:val="-3"/>
          <w:sz w:val="16"/>
          <w:szCs w:val="16"/>
        </w:rPr>
        <w:t xml:space="preserve"> sužovala hned sedm členských zemí – zejména Španělsko a Švédsko – kolem 25 %).</w:t>
      </w:r>
    </w:p>
  </w:footnote>
  <w:footnote w:id="15">
    <w:p w14:paraId="0814E418" w14:textId="77777777" w:rsidR="00D42211" w:rsidRPr="004A5CB3" w:rsidRDefault="00D42211" w:rsidP="00D42211">
      <w:pPr>
        <w:pStyle w:val="Textpoznpodarou"/>
        <w:rPr>
          <w:sz w:val="16"/>
          <w:szCs w:val="16"/>
        </w:rPr>
      </w:pPr>
      <w:r w:rsidRPr="004A5CB3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Pouze necelá pětina z tohoto počtu je ovšem schop</w:t>
      </w:r>
      <w:r w:rsidRPr="004A5CB3">
        <w:rPr>
          <w:sz w:val="16"/>
          <w:szCs w:val="16"/>
        </w:rPr>
        <w:t>n</w:t>
      </w:r>
      <w:r>
        <w:rPr>
          <w:sz w:val="16"/>
          <w:szCs w:val="16"/>
        </w:rPr>
        <w:t>a</w:t>
      </w:r>
      <w:r w:rsidRPr="004A5CB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nastoupit </w:t>
      </w:r>
      <w:r w:rsidRPr="004A5CB3">
        <w:rPr>
          <w:sz w:val="16"/>
          <w:szCs w:val="16"/>
        </w:rPr>
        <w:t>bezprostředně do práce</w:t>
      </w:r>
      <w:r>
        <w:rPr>
          <w:sz w:val="16"/>
          <w:szCs w:val="16"/>
        </w:rPr>
        <w:t>.</w:t>
      </w:r>
      <w:r w:rsidRPr="004A5CB3">
        <w:rPr>
          <w:sz w:val="16"/>
          <w:szCs w:val="16"/>
        </w:rPr>
        <w:t xml:space="preserve"> Významnou část pracovních rezerv totiž tvoří studenti a ženy na rodičovské dovolené.</w:t>
      </w:r>
    </w:p>
  </w:footnote>
  <w:footnote w:id="16">
    <w:p w14:paraId="247F3015" w14:textId="77777777" w:rsidR="00D42211" w:rsidRPr="000B0BEA" w:rsidRDefault="00D42211" w:rsidP="00D42211">
      <w:pPr>
        <w:pStyle w:val="Textpoznpodarou"/>
        <w:rPr>
          <w:sz w:val="16"/>
          <w:szCs w:val="16"/>
        </w:rPr>
      </w:pPr>
      <w:r w:rsidRPr="000B0BEA">
        <w:rPr>
          <w:rStyle w:val="Znakapoznpodarou"/>
          <w:sz w:val="16"/>
          <w:szCs w:val="16"/>
        </w:rPr>
        <w:footnoteRef/>
      </w:r>
      <w:r w:rsidRPr="000B0BEA">
        <w:rPr>
          <w:sz w:val="16"/>
          <w:szCs w:val="16"/>
        </w:rPr>
        <w:t xml:space="preserve"> </w:t>
      </w:r>
      <w:r w:rsidRPr="000B0BEA">
        <w:rPr>
          <w:rStyle w:val="eop"/>
          <w:rFonts w:cs="Arial"/>
          <w:sz w:val="16"/>
          <w:szCs w:val="16"/>
        </w:rPr>
        <w:t xml:space="preserve">Jen menší část míst lze považovat za aktivní – méně než půl </w:t>
      </w:r>
      <w:r>
        <w:rPr>
          <w:rStyle w:val="eop"/>
          <w:rFonts w:cs="Arial"/>
          <w:sz w:val="16"/>
          <w:szCs w:val="16"/>
        </w:rPr>
        <w:t>roku bylo na ÚP inzerováno</w:t>
      </w:r>
      <w:r w:rsidRPr="000B0BEA">
        <w:rPr>
          <w:rStyle w:val="eop"/>
          <w:rFonts w:cs="Arial"/>
          <w:sz w:val="16"/>
          <w:szCs w:val="16"/>
        </w:rPr>
        <w:t xml:space="preserve"> jen 122 tis. míst. Dle experimentální statistiky ČSÚ (šetření u podniků</w:t>
      </w:r>
      <w:r>
        <w:rPr>
          <w:rStyle w:val="eop"/>
          <w:rFonts w:cs="Arial"/>
          <w:sz w:val="16"/>
          <w:szCs w:val="16"/>
        </w:rPr>
        <w:t xml:space="preserve"> od roku 2020) byla</w:t>
      </w:r>
      <w:r w:rsidRPr="000B0BEA">
        <w:rPr>
          <w:rStyle w:val="eop"/>
          <w:rFonts w:cs="Arial"/>
          <w:sz w:val="16"/>
          <w:szCs w:val="16"/>
        </w:rPr>
        <w:t xml:space="preserve"> ve 2</w:t>
      </w:r>
      <w:r>
        <w:rPr>
          <w:rStyle w:val="eop"/>
          <w:rFonts w:cs="Arial"/>
          <w:sz w:val="16"/>
          <w:szCs w:val="16"/>
        </w:rPr>
        <w:t>. čtvrtletí 2024 nabídka tuzemských firem odhadnuta na</w:t>
      </w:r>
      <w:r w:rsidRPr="000B0BEA">
        <w:rPr>
          <w:rStyle w:val="eop"/>
          <w:rFonts w:cs="Arial"/>
          <w:sz w:val="16"/>
          <w:szCs w:val="16"/>
        </w:rPr>
        <w:t xml:space="preserve"> 111 tis. volných míst (je</w:t>
      </w:r>
      <w:r>
        <w:rPr>
          <w:rStyle w:val="eop"/>
          <w:rFonts w:cs="Arial"/>
          <w:sz w:val="16"/>
          <w:szCs w:val="16"/>
        </w:rPr>
        <w:t>dná se je</w:t>
      </w:r>
      <w:r w:rsidRPr="000B0BEA">
        <w:rPr>
          <w:rStyle w:val="eop"/>
          <w:rFonts w:cs="Arial"/>
          <w:sz w:val="16"/>
          <w:szCs w:val="16"/>
        </w:rPr>
        <w:t xml:space="preserve">n </w:t>
      </w:r>
      <w:r>
        <w:rPr>
          <w:rStyle w:val="eop"/>
          <w:rFonts w:cs="Arial"/>
          <w:sz w:val="16"/>
          <w:szCs w:val="16"/>
        </w:rPr>
        <w:t xml:space="preserve">o </w:t>
      </w:r>
      <w:r w:rsidRPr="000B0BEA">
        <w:rPr>
          <w:rStyle w:val="eop"/>
          <w:rFonts w:cs="Arial"/>
          <w:sz w:val="16"/>
          <w:szCs w:val="16"/>
        </w:rPr>
        <w:t>místa v pracovním poměru, nejde o přechodná zaměstnání, např. různé typy dohod). Počet míst se</w:t>
      </w:r>
      <w:r>
        <w:rPr>
          <w:rStyle w:val="eop"/>
          <w:rFonts w:cs="Arial"/>
          <w:sz w:val="16"/>
          <w:szCs w:val="16"/>
        </w:rPr>
        <w:t xml:space="preserve"> meziročně zvýšil o 10 % (rostl</w:t>
      </w:r>
      <w:r w:rsidRPr="000B0BEA">
        <w:rPr>
          <w:rStyle w:val="eop"/>
          <w:rFonts w:cs="Arial"/>
          <w:sz w:val="16"/>
          <w:szCs w:val="16"/>
        </w:rPr>
        <w:t>i v 1. čtvrtletí, naopak během loňska klesa</w:t>
      </w:r>
      <w:r>
        <w:rPr>
          <w:rStyle w:val="eop"/>
          <w:rFonts w:cs="Arial"/>
          <w:sz w:val="16"/>
          <w:szCs w:val="16"/>
        </w:rPr>
        <w:t>l či stagnoval). Aktuálně se zvýšila zejména nabídka míst</w:t>
      </w:r>
      <w:r w:rsidRPr="000B0BEA">
        <w:rPr>
          <w:rStyle w:val="eop"/>
          <w:rFonts w:cs="Arial"/>
          <w:sz w:val="16"/>
          <w:szCs w:val="16"/>
        </w:rPr>
        <w:t xml:space="preserve"> ve veřejných službách (hlavně</w:t>
      </w:r>
      <w:r>
        <w:rPr>
          <w:rStyle w:val="eop"/>
          <w:rFonts w:cs="Arial"/>
          <w:sz w:val="16"/>
          <w:szCs w:val="16"/>
        </w:rPr>
        <w:t xml:space="preserve"> ve zdravotnictví a sociální péči</w:t>
      </w:r>
      <w:r w:rsidRPr="000B0BEA">
        <w:rPr>
          <w:rStyle w:val="eop"/>
          <w:rFonts w:cs="Arial"/>
          <w:sz w:val="16"/>
          <w:szCs w:val="16"/>
        </w:rPr>
        <w:t xml:space="preserve">), dále v obchodě, cestovním ruchu, </w:t>
      </w:r>
      <w:r>
        <w:rPr>
          <w:rStyle w:val="eop"/>
          <w:rFonts w:cs="Arial"/>
          <w:sz w:val="16"/>
          <w:szCs w:val="16"/>
        </w:rPr>
        <w:t xml:space="preserve">v </w:t>
      </w:r>
      <w:r w:rsidRPr="000B0BEA">
        <w:rPr>
          <w:rStyle w:val="eop"/>
          <w:rFonts w:cs="Arial"/>
          <w:sz w:val="16"/>
          <w:szCs w:val="16"/>
        </w:rPr>
        <w:t>administrativních a podpůrných činnostech a tak</w:t>
      </w:r>
      <w:r>
        <w:rPr>
          <w:rStyle w:val="eop"/>
          <w:rFonts w:cs="Arial"/>
          <w:sz w:val="16"/>
          <w:szCs w:val="16"/>
        </w:rPr>
        <w:t xml:space="preserve">é v zemědělství.  Stejně jako loni naopak klesl počet míst především </w:t>
      </w:r>
      <w:r w:rsidRPr="000B0BEA">
        <w:rPr>
          <w:rStyle w:val="eop"/>
          <w:rFonts w:cs="Arial"/>
          <w:sz w:val="16"/>
          <w:szCs w:val="16"/>
        </w:rPr>
        <w:t>v průmyslu.</w:t>
      </w:r>
    </w:p>
  </w:footnote>
  <w:footnote w:id="17">
    <w:p w14:paraId="3E64546B" w14:textId="77777777" w:rsidR="00D42211" w:rsidRPr="007F303C" w:rsidRDefault="00D42211" w:rsidP="00D42211">
      <w:pPr>
        <w:pStyle w:val="Textpoznpodarou"/>
        <w:rPr>
          <w:sz w:val="16"/>
          <w:szCs w:val="16"/>
        </w:rPr>
      </w:pPr>
      <w:r w:rsidRPr="007F303C">
        <w:rPr>
          <w:rStyle w:val="Znakapoznpodarou"/>
          <w:sz w:val="16"/>
          <w:szCs w:val="16"/>
        </w:rPr>
        <w:footnoteRef/>
      </w:r>
      <w:r w:rsidRPr="007F303C">
        <w:rPr>
          <w:sz w:val="16"/>
          <w:szCs w:val="16"/>
        </w:rPr>
        <w:t xml:space="preserve"> </w:t>
      </w:r>
      <w:r w:rsidRPr="007F303C">
        <w:rPr>
          <w:rFonts w:eastAsia="Times New Roman"/>
          <w:color w:val="0D0D0D" w:themeColor="text1" w:themeTint="F2"/>
          <w:sz w:val="16"/>
          <w:szCs w:val="16"/>
        </w:rPr>
        <w:t>Od ledna 2024 zde došlo k úpravám tarifů a u velké části zaměstnanců se zvýšily osobní příplatky.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3AB5" w14:textId="77777777" w:rsidR="00FC43EE" w:rsidRDefault="00FC43EE" w:rsidP="00FC43EE">
    <w:pPr>
      <w:pStyle w:val="Zhlav"/>
    </w:pPr>
    <w:r>
      <w:t>Vývoj ekonomiky České republiky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84961" w14:textId="77777777" w:rsidR="00FC43EE" w:rsidRDefault="00FC43EE" w:rsidP="00FC43EE">
    <w:pPr>
      <w:pStyle w:val="Zhlav"/>
    </w:pPr>
    <w:r>
      <w:t>Vývoj ekonomiky 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48D2"/>
    <w:multiLevelType w:val="hybridMultilevel"/>
    <w:tmpl w:val="D2A0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747AF"/>
    <w:multiLevelType w:val="hybridMultilevel"/>
    <w:tmpl w:val="76204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20"/>
  </w:num>
  <w:num w:numId="14">
    <w:abstractNumId w:val="10"/>
  </w:num>
  <w:num w:numId="15">
    <w:abstractNumId w:val="16"/>
  </w:num>
  <w:num w:numId="16">
    <w:abstractNumId w:val="12"/>
  </w:num>
  <w:num w:numId="17">
    <w:abstractNumId w:val="21"/>
  </w:num>
  <w:num w:numId="18">
    <w:abstractNumId w:val="17"/>
  </w:num>
  <w:num w:numId="19">
    <w:abstractNumId w:val="22"/>
  </w:num>
  <w:num w:numId="20">
    <w:abstractNumId w:val="25"/>
  </w:num>
  <w:num w:numId="21">
    <w:abstractNumId w:val="19"/>
  </w:num>
  <w:num w:numId="22">
    <w:abstractNumId w:val="15"/>
  </w:num>
  <w:num w:numId="23">
    <w:abstractNumId w:val="13"/>
  </w:num>
  <w:num w:numId="24">
    <w:abstractNumId w:val="14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00209D"/>
    <w:rsid w:val="00004D5A"/>
    <w:rsid w:val="000056D5"/>
    <w:rsid w:val="00006ABD"/>
    <w:rsid w:val="0000767A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0D1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135"/>
    <w:rsid w:val="000974D1"/>
    <w:rsid w:val="0009799E"/>
    <w:rsid w:val="000A1183"/>
    <w:rsid w:val="000A256D"/>
    <w:rsid w:val="000A3A2C"/>
    <w:rsid w:val="000A57D4"/>
    <w:rsid w:val="000B7C8D"/>
    <w:rsid w:val="000C3408"/>
    <w:rsid w:val="000C6AFD"/>
    <w:rsid w:val="000D5637"/>
    <w:rsid w:val="000E6FBD"/>
    <w:rsid w:val="00100F5C"/>
    <w:rsid w:val="00101CDA"/>
    <w:rsid w:val="00104C4C"/>
    <w:rsid w:val="00117623"/>
    <w:rsid w:val="0012192F"/>
    <w:rsid w:val="00125D69"/>
    <w:rsid w:val="001405FA"/>
    <w:rsid w:val="001425C3"/>
    <w:rsid w:val="001476BD"/>
    <w:rsid w:val="001612F4"/>
    <w:rsid w:val="0016256B"/>
    <w:rsid w:val="00163793"/>
    <w:rsid w:val="001706D6"/>
    <w:rsid w:val="001714F2"/>
    <w:rsid w:val="00175B9F"/>
    <w:rsid w:val="00181BBC"/>
    <w:rsid w:val="00184B08"/>
    <w:rsid w:val="00185010"/>
    <w:rsid w:val="0019143B"/>
    <w:rsid w:val="001A0487"/>
    <w:rsid w:val="001A552F"/>
    <w:rsid w:val="001B2CA9"/>
    <w:rsid w:val="001B3110"/>
    <w:rsid w:val="001B4729"/>
    <w:rsid w:val="001B6310"/>
    <w:rsid w:val="001B6C09"/>
    <w:rsid w:val="001C05CD"/>
    <w:rsid w:val="001D48D4"/>
    <w:rsid w:val="001D68B2"/>
    <w:rsid w:val="001E504C"/>
    <w:rsid w:val="001E6062"/>
    <w:rsid w:val="001F4597"/>
    <w:rsid w:val="00203DA4"/>
    <w:rsid w:val="002118B9"/>
    <w:rsid w:val="00214CF7"/>
    <w:rsid w:val="00217C5B"/>
    <w:rsid w:val="0022139E"/>
    <w:rsid w:val="00222729"/>
    <w:rsid w:val="002252E0"/>
    <w:rsid w:val="002255F6"/>
    <w:rsid w:val="00227850"/>
    <w:rsid w:val="00227A53"/>
    <w:rsid w:val="00230C6E"/>
    <w:rsid w:val="00236443"/>
    <w:rsid w:val="00241B06"/>
    <w:rsid w:val="002436BA"/>
    <w:rsid w:val="00244A15"/>
    <w:rsid w:val="00247319"/>
    <w:rsid w:val="0024799E"/>
    <w:rsid w:val="00253C0F"/>
    <w:rsid w:val="002558C1"/>
    <w:rsid w:val="00271465"/>
    <w:rsid w:val="00285412"/>
    <w:rsid w:val="00291640"/>
    <w:rsid w:val="002A16D4"/>
    <w:rsid w:val="002A230C"/>
    <w:rsid w:val="002B2299"/>
    <w:rsid w:val="002B4845"/>
    <w:rsid w:val="002C43BD"/>
    <w:rsid w:val="002D0E59"/>
    <w:rsid w:val="002E02A1"/>
    <w:rsid w:val="002E42AC"/>
    <w:rsid w:val="002E4E4C"/>
    <w:rsid w:val="00302ADD"/>
    <w:rsid w:val="00304771"/>
    <w:rsid w:val="0030495D"/>
    <w:rsid w:val="003052D4"/>
    <w:rsid w:val="00306C5B"/>
    <w:rsid w:val="003103E0"/>
    <w:rsid w:val="00314F9F"/>
    <w:rsid w:val="003209D6"/>
    <w:rsid w:val="00321924"/>
    <w:rsid w:val="0032656E"/>
    <w:rsid w:val="00332190"/>
    <w:rsid w:val="0034335E"/>
    <w:rsid w:val="00344668"/>
    <w:rsid w:val="003462D9"/>
    <w:rsid w:val="00360C86"/>
    <w:rsid w:val="00360FBC"/>
    <w:rsid w:val="00362E90"/>
    <w:rsid w:val="00364FA0"/>
    <w:rsid w:val="003657F3"/>
    <w:rsid w:val="003818DC"/>
    <w:rsid w:val="00384327"/>
    <w:rsid w:val="00385D98"/>
    <w:rsid w:val="003A2B4D"/>
    <w:rsid w:val="003A2D12"/>
    <w:rsid w:val="003A478C"/>
    <w:rsid w:val="003A5525"/>
    <w:rsid w:val="003A6B38"/>
    <w:rsid w:val="003B461F"/>
    <w:rsid w:val="003B5A32"/>
    <w:rsid w:val="003C3490"/>
    <w:rsid w:val="003C7E62"/>
    <w:rsid w:val="003D6920"/>
    <w:rsid w:val="003E48F2"/>
    <w:rsid w:val="003E4C91"/>
    <w:rsid w:val="003F313C"/>
    <w:rsid w:val="003F37FC"/>
    <w:rsid w:val="003F4B2C"/>
    <w:rsid w:val="003F551C"/>
    <w:rsid w:val="003F72ED"/>
    <w:rsid w:val="003F7D23"/>
    <w:rsid w:val="00407C13"/>
    <w:rsid w:val="0041041D"/>
    <w:rsid w:val="00410638"/>
    <w:rsid w:val="0041501E"/>
    <w:rsid w:val="004159C3"/>
    <w:rsid w:val="00432A58"/>
    <w:rsid w:val="00434617"/>
    <w:rsid w:val="00440900"/>
    <w:rsid w:val="00441BF6"/>
    <w:rsid w:val="004441A0"/>
    <w:rsid w:val="004455BA"/>
    <w:rsid w:val="0045078A"/>
    <w:rsid w:val="0045086D"/>
    <w:rsid w:val="00451504"/>
    <w:rsid w:val="00460FB3"/>
    <w:rsid w:val="0046627E"/>
    <w:rsid w:val="00476240"/>
    <w:rsid w:val="00476439"/>
    <w:rsid w:val="0047735C"/>
    <w:rsid w:val="004776BC"/>
    <w:rsid w:val="0048139F"/>
    <w:rsid w:val="00481E40"/>
    <w:rsid w:val="00484ECE"/>
    <w:rsid w:val="004915CB"/>
    <w:rsid w:val="004924DC"/>
    <w:rsid w:val="004A14E4"/>
    <w:rsid w:val="004A3212"/>
    <w:rsid w:val="004A5494"/>
    <w:rsid w:val="004A61C5"/>
    <w:rsid w:val="004A77DF"/>
    <w:rsid w:val="004B1417"/>
    <w:rsid w:val="004B55B7"/>
    <w:rsid w:val="004B6468"/>
    <w:rsid w:val="004B7125"/>
    <w:rsid w:val="004C384C"/>
    <w:rsid w:val="004C3867"/>
    <w:rsid w:val="004C4CD0"/>
    <w:rsid w:val="004C70DC"/>
    <w:rsid w:val="004D0211"/>
    <w:rsid w:val="004D0794"/>
    <w:rsid w:val="004F06F5"/>
    <w:rsid w:val="004F33A0"/>
    <w:rsid w:val="0050689D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43498"/>
    <w:rsid w:val="0055599F"/>
    <w:rsid w:val="00556D68"/>
    <w:rsid w:val="00563EB8"/>
    <w:rsid w:val="005647BF"/>
    <w:rsid w:val="00564A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A7038"/>
    <w:rsid w:val="005B121D"/>
    <w:rsid w:val="005C06ED"/>
    <w:rsid w:val="005C2609"/>
    <w:rsid w:val="005D5802"/>
    <w:rsid w:val="005D7119"/>
    <w:rsid w:val="005D7890"/>
    <w:rsid w:val="005E7C78"/>
    <w:rsid w:val="005F18C5"/>
    <w:rsid w:val="005F3EB1"/>
    <w:rsid w:val="005F46D8"/>
    <w:rsid w:val="005F5469"/>
    <w:rsid w:val="00604307"/>
    <w:rsid w:val="0060487F"/>
    <w:rsid w:val="00604EAD"/>
    <w:rsid w:val="006104FB"/>
    <w:rsid w:val="00612A2F"/>
    <w:rsid w:val="00616E05"/>
    <w:rsid w:val="00624093"/>
    <w:rsid w:val="00625F8F"/>
    <w:rsid w:val="006350D5"/>
    <w:rsid w:val="006404A7"/>
    <w:rsid w:val="006451E4"/>
    <w:rsid w:val="00645B33"/>
    <w:rsid w:val="006516CB"/>
    <w:rsid w:val="00656FC8"/>
    <w:rsid w:val="00657E87"/>
    <w:rsid w:val="00664803"/>
    <w:rsid w:val="00665BA4"/>
    <w:rsid w:val="00667AF2"/>
    <w:rsid w:val="006710C9"/>
    <w:rsid w:val="006741AC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0F92"/>
    <w:rsid w:val="006B344A"/>
    <w:rsid w:val="006B78D8"/>
    <w:rsid w:val="006C113F"/>
    <w:rsid w:val="006C123E"/>
    <w:rsid w:val="006C1752"/>
    <w:rsid w:val="006C56D4"/>
    <w:rsid w:val="006C6924"/>
    <w:rsid w:val="006C7CA6"/>
    <w:rsid w:val="006D3E8A"/>
    <w:rsid w:val="006D61F6"/>
    <w:rsid w:val="006E279A"/>
    <w:rsid w:val="006E313B"/>
    <w:rsid w:val="006E7227"/>
    <w:rsid w:val="006F438E"/>
    <w:rsid w:val="006F5416"/>
    <w:rsid w:val="006F7076"/>
    <w:rsid w:val="00705242"/>
    <w:rsid w:val="00706AD4"/>
    <w:rsid w:val="00707150"/>
    <w:rsid w:val="007140BE"/>
    <w:rsid w:val="007211F5"/>
    <w:rsid w:val="00723946"/>
    <w:rsid w:val="007240E2"/>
    <w:rsid w:val="00725BB5"/>
    <w:rsid w:val="00730AE8"/>
    <w:rsid w:val="00730F1B"/>
    <w:rsid w:val="00741493"/>
    <w:rsid w:val="00752180"/>
    <w:rsid w:val="00753CAB"/>
    <w:rsid w:val="00755202"/>
    <w:rsid w:val="00755D3A"/>
    <w:rsid w:val="007578D3"/>
    <w:rsid w:val="007609C6"/>
    <w:rsid w:val="00760EA4"/>
    <w:rsid w:val="0076175D"/>
    <w:rsid w:val="00763B85"/>
    <w:rsid w:val="0076521E"/>
    <w:rsid w:val="007661E9"/>
    <w:rsid w:val="00776169"/>
    <w:rsid w:val="00776527"/>
    <w:rsid w:val="00780EF1"/>
    <w:rsid w:val="00790764"/>
    <w:rsid w:val="0079453C"/>
    <w:rsid w:val="00794677"/>
    <w:rsid w:val="00797445"/>
    <w:rsid w:val="007A516D"/>
    <w:rsid w:val="007B6689"/>
    <w:rsid w:val="007C6BBD"/>
    <w:rsid w:val="007D40DF"/>
    <w:rsid w:val="007E29B4"/>
    <w:rsid w:val="007E435A"/>
    <w:rsid w:val="007E7E61"/>
    <w:rsid w:val="007E7FCE"/>
    <w:rsid w:val="007F0845"/>
    <w:rsid w:val="007F708D"/>
    <w:rsid w:val="00800216"/>
    <w:rsid w:val="00801E13"/>
    <w:rsid w:val="00807C82"/>
    <w:rsid w:val="00814B15"/>
    <w:rsid w:val="00816905"/>
    <w:rsid w:val="00821777"/>
    <w:rsid w:val="00821FF6"/>
    <w:rsid w:val="00822574"/>
    <w:rsid w:val="00825C4D"/>
    <w:rsid w:val="0083143E"/>
    <w:rsid w:val="00831CDE"/>
    <w:rsid w:val="00834304"/>
    <w:rsid w:val="00834FAA"/>
    <w:rsid w:val="00836086"/>
    <w:rsid w:val="00846121"/>
    <w:rsid w:val="0084708F"/>
    <w:rsid w:val="008477C8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1069"/>
    <w:rsid w:val="00875A32"/>
    <w:rsid w:val="00876086"/>
    <w:rsid w:val="008825B0"/>
    <w:rsid w:val="00884AD6"/>
    <w:rsid w:val="008873D4"/>
    <w:rsid w:val="0089126C"/>
    <w:rsid w:val="0089296D"/>
    <w:rsid w:val="00893E85"/>
    <w:rsid w:val="00894031"/>
    <w:rsid w:val="00895508"/>
    <w:rsid w:val="008A6CB4"/>
    <w:rsid w:val="008B5CF6"/>
    <w:rsid w:val="008B7C02"/>
    <w:rsid w:val="008B7D2B"/>
    <w:rsid w:val="008C0049"/>
    <w:rsid w:val="008C0E88"/>
    <w:rsid w:val="008C53CB"/>
    <w:rsid w:val="008D1E6A"/>
    <w:rsid w:val="008D2A16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1A3"/>
    <w:rsid w:val="00924AC8"/>
    <w:rsid w:val="0092597A"/>
    <w:rsid w:val="00930FB1"/>
    <w:rsid w:val="0093139F"/>
    <w:rsid w:val="00932443"/>
    <w:rsid w:val="00937AE2"/>
    <w:rsid w:val="0094427A"/>
    <w:rsid w:val="00945245"/>
    <w:rsid w:val="0095759C"/>
    <w:rsid w:val="009721DB"/>
    <w:rsid w:val="00974923"/>
    <w:rsid w:val="00980D3D"/>
    <w:rsid w:val="00987A30"/>
    <w:rsid w:val="00992CF3"/>
    <w:rsid w:val="00994868"/>
    <w:rsid w:val="009968D6"/>
    <w:rsid w:val="009A1CAB"/>
    <w:rsid w:val="009A60D1"/>
    <w:rsid w:val="009B6FD3"/>
    <w:rsid w:val="009C1750"/>
    <w:rsid w:val="009C2E29"/>
    <w:rsid w:val="009C554B"/>
    <w:rsid w:val="009C719E"/>
    <w:rsid w:val="009C7A10"/>
    <w:rsid w:val="009D3ACD"/>
    <w:rsid w:val="009E5273"/>
    <w:rsid w:val="009E5DDB"/>
    <w:rsid w:val="009F4CA7"/>
    <w:rsid w:val="00A10D66"/>
    <w:rsid w:val="00A14114"/>
    <w:rsid w:val="00A16413"/>
    <w:rsid w:val="00A16E1D"/>
    <w:rsid w:val="00A17D5B"/>
    <w:rsid w:val="00A23E43"/>
    <w:rsid w:val="00A25216"/>
    <w:rsid w:val="00A30F65"/>
    <w:rsid w:val="00A33A89"/>
    <w:rsid w:val="00A40EAC"/>
    <w:rsid w:val="00A418BC"/>
    <w:rsid w:val="00A46DE0"/>
    <w:rsid w:val="00A50D73"/>
    <w:rsid w:val="00A52CAD"/>
    <w:rsid w:val="00A53FC7"/>
    <w:rsid w:val="00A62CE1"/>
    <w:rsid w:val="00A668A3"/>
    <w:rsid w:val="00A6741E"/>
    <w:rsid w:val="00A75E40"/>
    <w:rsid w:val="00A77D1D"/>
    <w:rsid w:val="00A84A6A"/>
    <w:rsid w:val="00A857C0"/>
    <w:rsid w:val="00A90FED"/>
    <w:rsid w:val="00AA2996"/>
    <w:rsid w:val="00AA52BF"/>
    <w:rsid w:val="00AA559A"/>
    <w:rsid w:val="00AB2AF1"/>
    <w:rsid w:val="00AC45BD"/>
    <w:rsid w:val="00AD168E"/>
    <w:rsid w:val="00AD306C"/>
    <w:rsid w:val="00AD68C4"/>
    <w:rsid w:val="00AE09B3"/>
    <w:rsid w:val="00AE0ED3"/>
    <w:rsid w:val="00AE1A83"/>
    <w:rsid w:val="00AE31A7"/>
    <w:rsid w:val="00AF6128"/>
    <w:rsid w:val="00B00913"/>
    <w:rsid w:val="00B01593"/>
    <w:rsid w:val="00B023F2"/>
    <w:rsid w:val="00B04705"/>
    <w:rsid w:val="00B10A4D"/>
    <w:rsid w:val="00B14BC1"/>
    <w:rsid w:val="00B17E71"/>
    <w:rsid w:val="00B17FDE"/>
    <w:rsid w:val="00B2379C"/>
    <w:rsid w:val="00B25189"/>
    <w:rsid w:val="00B2687D"/>
    <w:rsid w:val="00B32DDB"/>
    <w:rsid w:val="00B34528"/>
    <w:rsid w:val="00B34CC9"/>
    <w:rsid w:val="00B402FC"/>
    <w:rsid w:val="00B439DA"/>
    <w:rsid w:val="00B46604"/>
    <w:rsid w:val="00B530CD"/>
    <w:rsid w:val="00B55F5E"/>
    <w:rsid w:val="00B5752E"/>
    <w:rsid w:val="00B63A11"/>
    <w:rsid w:val="00B63B6A"/>
    <w:rsid w:val="00B64C24"/>
    <w:rsid w:val="00B6608F"/>
    <w:rsid w:val="00B679FB"/>
    <w:rsid w:val="00B76D1E"/>
    <w:rsid w:val="00B80EC6"/>
    <w:rsid w:val="00B84CF6"/>
    <w:rsid w:val="00B92D1D"/>
    <w:rsid w:val="00B938C5"/>
    <w:rsid w:val="00B95940"/>
    <w:rsid w:val="00BA6C2B"/>
    <w:rsid w:val="00BB46F3"/>
    <w:rsid w:val="00BB4CB1"/>
    <w:rsid w:val="00BB4F98"/>
    <w:rsid w:val="00BC5C12"/>
    <w:rsid w:val="00BC7154"/>
    <w:rsid w:val="00BC731E"/>
    <w:rsid w:val="00BD366B"/>
    <w:rsid w:val="00BD6D50"/>
    <w:rsid w:val="00BE18B9"/>
    <w:rsid w:val="00BE2495"/>
    <w:rsid w:val="00BF1578"/>
    <w:rsid w:val="00C21F94"/>
    <w:rsid w:val="00C27913"/>
    <w:rsid w:val="00C32964"/>
    <w:rsid w:val="00C33B68"/>
    <w:rsid w:val="00C36A79"/>
    <w:rsid w:val="00C401D2"/>
    <w:rsid w:val="00C405D4"/>
    <w:rsid w:val="00C4431F"/>
    <w:rsid w:val="00C4513B"/>
    <w:rsid w:val="00C5390B"/>
    <w:rsid w:val="00C54697"/>
    <w:rsid w:val="00C65535"/>
    <w:rsid w:val="00C71E85"/>
    <w:rsid w:val="00C72884"/>
    <w:rsid w:val="00C73885"/>
    <w:rsid w:val="00C747B1"/>
    <w:rsid w:val="00C82191"/>
    <w:rsid w:val="00C83134"/>
    <w:rsid w:val="00C85545"/>
    <w:rsid w:val="00C90CF4"/>
    <w:rsid w:val="00C92EB6"/>
    <w:rsid w:val="00C93389"/>
    <w:rsid w:val="00CA0914"/>
    <w:rsid w:val="00CA6AB4"/>
    <w:rsid w:val="00CB4930"/>
    <w:rsid w:val="00CC2E7D"/>
    <w:rsid w:val="00CD10A5"/>
    <w:rsid w:val="00CD2076"/>
    <w:rsid w:val="00CD29B5"/>
    <w:rsid w:val="00CD6331"/>
    <w:rsid w:val="00CE670B"/>
    <w:rsid w:val="00CF4908"/>
    <w:rsid w:val="00CF51EC"/>
    <w:rsid w:val="00CF73AE"/>
    <w:rsid w:val="00D040DD"/>
    <w:rsid w:val="00D075BE"/>
    <w:rsid w:val="00D13986"/>
    <w:rsid w:val="00D21D83"/>
    <w:rsid w:val="00D235B7"/>
    <w:rsid w:val="00D23C02"/>
    <w:rsid w:val="00D25F28"/>
    <w:rsid w:val="00D26071"/>
    <w:rsid w:val="00D27973"/>
    <w:rsid w:val="00D35E1A"/>
    <w:rsid w:val="00D42211"/>
    <w:rsid w:val="00D50F46"/>
    <w:rsid w:val="00D57677"/>
    <w:rsid w:val="00D66223"/>
    <w:rsid w:val="00D71625"/>
    <w:rsid w:val="00D8084C"/>
    <w:rsid w:val="00D915EA"/>
    <w:rsid w:val="00DA7C0C"/>
    <w:rsid w:val="00DB08A9"/>
    <w:rsid w:val="00DB2EC8"/>
    <w:rsid w:val="00DC5B3B"/>
    <w:rsid w:val="00DD129F"/>
    <w:rsid w:val="00DE02BD"/>
    <w:rsid w:val="00DF42FF"/>
    <w:rsid w:val="00E01C0E"/>
    <w:rsid w:val="00E03F9A"/>
    <w:rsid w:val="00E04694"/>
    <w:rsid w:val="00E063CE"/>
    <w:rsid w:val="00E12B1E"/>
    <w:rsid w:val="00E17262"/>
    <w:rsid w:val="00E253A2"/>
    <w:rsid w:val="00E3309D"/>
    <w:rsid w:val="00E43C1C"/>
    <w:rsid w:val="00E47EBA"/>
    <w:rsid w:val="00E50156"/>
    <w:rsid w:val="00E51643"/>
    <w:rsid w:val="00E53470"/>
    <w:rsid w:val="00E539F6"/>
    <w:rsid w:val="00E6519D"/>
    <w:rsid w:val="00E67696"/>
    <w:rsid w:val="00E71A58"/>
    <w:rsid w:val="00E72A7A"/>
    <w:rsid w:val="00E75C94"/>
    <w:rsid w:val="00E93820"/>
    <w:rsid w:val="00E94A86"/>
    <w:rsid w:val="00E96143"/>
    <w:rsid w:val="00EA0987"/>
    <w:rsid w:val="00EA0C68"/>
    <w:rsid w:val="00EA32BC"/>
    <w:rsid w:val="00EA4302"/>
    <w:rsid w:val="00EB4511"/>
    <w:rsid w:val="00EC03D7"/>
    <w:rsid w:val="00ED62C6"/>
    <w:rsid w:val="00ED64C1"/>
    <w:rsid w:val="00EE3446"/>
    <w:rsid w:val="00EE3E78"/>
    <w:rsid w:val="00EE4B1B"/>
    <w:rsid w:val="00EE7F19"/>
    <w:rsid w:val="00EF150D"/>
    <w:rsid w:val="00EF1F5A"/>
    <w:rsid w:val="00EF47BF"/>
    <w:rsid w:val="00F04811"/>
    <w:rsid w:val="00F0488C"/>
    <w:rsid w:val="00F10F11"/>
    <w:rsid w:val="00F15AAA"/>
    <w:rsid w:val="00F15BEF"/>
    <w:rsid w:val="00F24407"/>
    <w:rsid w:val="00F24931"/>
    <w:rsid w:val="00F24FAA"/>
    <w:rsid w:val="00F3364D"/>
    <w:rsid w:val="00F437CC"/>
    <w:rsid w:val="00F44537"/>
    <w:rsid w:val="00F44B6A"/>
    <w:rsid w:val="00F47067"/>
    <w:rsid w:val="00F50FC3"/>
    <w:rsid w:val="00F525EB"/>
    <w:rsid w:val="00F63DDE"/>
    <w:rsid w:val="00F63FB7"/>
    <w:rsid w:val="00F6421B"/>
    <w:rsid w:val="00F649D2"/>
    <w:rsid w:val="00F6602B"/>
    <w:rsid w:val="00F73A0C"/>
    <w:rsid w:val="00F756DB"/>
    <w:rsid w:val="00F84E7D"/>
    <w:rsid w:val="00F85066"/>
    <w:rsid w:val="00F87A4D"/>
    <w:rsid w:val="00F9785E"/>
    <w:rsid w:val="00FA5D4D"/>
    <w:rsid w:val="00FB0EE2"/>
    <w:rsid w:val="00FB542E"/>
    <w:rsid w:val="00FC0E5F"/>
    <w:rsid w:val="00FC1A95"/>
    <w:rsid w:val="00FC43EE"/>
    <w:rsid w:val="00FC56DE"/>
    <w:rsid w:val="00FC684B"/>
    <w:rsid w:val="00FD3265"/>
    <w:rsid w:val="00FD5F92"/>
    <w:rsid w:val="00FE2F78"/>
    <w:rsid w:val="00FF7B96"/>
    <w:rsid w:val="11D0C0D9"/>
    <w:rsid w:val="7BDB8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21432897"/>
  <w15:docId w15:val="{3A7C6927-7F52-4209-ABA9-A0ACA86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0987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86BF5E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EA0987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86BF5E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A0987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86BF5E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1041D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86BF5E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A0987"/>
    <w:rPr>
      <w:rFonts w:ascii="Arial" w:eastAsia="MS Gothic" w:hAnsi="Arial"/>
      <w:b/>
      <w:bCs/>
      <w:color w:val="86BF5E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A0987"/>
    <w:rPr>
      <w:rFonts w:ascii="Arial" w:eastAsia="MS Gothic" w:hAnsi="Arial"/>
      <w:b/>
      <w:bCs/>
      <w:color w:val="86BF5E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EA0987"/>
    <w:rPr>
      <w:rFonts w:ascii="Arial" w:eastAsia="MS Gothic" w:hAnsi="Arial"/>
      <w:b/>
      <w:bCs/>
      <w:color w:val="86BF5E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1041D"/>
    <w:rPr>
      <w:rFonts w:ascii="Arial" w:eastAsia="MS Gothic" w:hAnsi="Arial"/>
      <w:b/>
      <w:bCs/>
      <w:iCs/>
      <w:color w:val="86BF5E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0A57D4"/>
    <w:pPr>
      <w:spacing w:after="80" w:line="288" w:lineRule="auto"/>
    </w:pPr>
    <w:rPr>
      <w:rFonts w:ascii="Arial" w:eastAsia="Times New Roman" w:hAnsi="Arial"/>
      <w:b/>
      <w:color w:val="86BF5E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EA0987"/>
    <w:pPr>
      <w:shd w:val="clear" w:color="auto" w:fill="F0F6E9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EA0987"/>
    <w:pPr>
      <w:spacing w:before="240" w:after="240" w:line="276" w:lineRule="auto"/>
      <w:contextualSpacing/>
      <w:jc w:val="both"/>
    </w:pPr>
    <w:rPr>
      <w:rFonts w:ascii="Arial" w:hAnsi="Arial" w:cs="Arial"/>
      <w:color w:val="86BF5E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0A57D4"/>
    <w:pPr>
      <w:spacing w:after="40"/>
      <w:contextualSpacing/>
    </w:pPr>
    <w:rPr>
      <w:b/>
      <w:caps/>
      <w:sz w:val="24"/>
    </w:rPr>
  </w:style>
  <w:style w:type="paragraph" w:customStyle="1" w:styleId="TLKontakty">
    <w:name w:val="TL Kontakty"/>
    <w:qFormat/>
    <w:rsid w:val="000A57D4"/>
    <w:pPr>
      <w:spacing w:after="160" w:line="259" w:lineRule="auto"/>
      <w:contextualSpacing/>
    </w:pPr>
    <w:rPr>
      <w:rFonts w:ascii="Arial" w:eastAsia="Times New Roman" w:hAnsi="Arial"/>
      <w:b/>
      <w:color w:val="86BF5E"/>
      <w:lang w:eastAsia="cs-CZ"/>
    </w:rPr>
  </w:style>
  <w:style w:type="paragraph" w:styleId="Nzev">
    <w:name w:val="Title"/>
    <w:link w:val="NzevChar"/>
    <w:uiPriority w:val="10"/>
    <w:qFormat/>
    <w:rsid w:val="001E6062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1E6062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E6062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E6062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EA0987"/>
    <w:pPr>
      <w:shd w:val="clear" w:color="auto" w:fill="F0F6E9"/>
      <w:spacing w:before="240" w:after="240" w:line="276" w:lineRule="auto"/>
      <w:ind w:left="709"/>
      <w:contextualSpacing/>
      <w:jc w:val="both"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EA0987"/>
    <w:pPr>
      <w:spacing w:before="240" w:after="240" w:line="276" w:lineRule="auto"/>
      <w:ind w:left="709"/>
      <w:contextualSpacing/>
      <w:jc w:val="both"/>
    </w:pPr>
    <w:rPr>
      <w:rFonts w:ascii="Arial" w:hAnsi="Arial" w:cs="Arial"/>
      <w:b/>
      <w:color w:val="86BF5E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E6062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1E6062"/>
    <w:rPr>
      <w:b/>
      <w:bCs/>
      <w:smallCaps/>
      <w:color w:val="000000" w:themeColor="text1"/>
      <w:spacing w:val="5"/>
    </w:rPr>
  </w:style>
  <w:style w:type="character" w:styleId="Znakapoznpodarou">
    <w:name w:val="footnote reference"/>
    <w:basedOn w:val="Standardnpsmoodstavce"/>
    <w:rsid w:val="00E063CE"/>
    <w:rPr>
      <w:rFonts w:cs="Times New Roman"/>
      <w:vertAlign w:val="superscript"/>
    </w:rPr>
  </w:style>
  <w:style w:type="paragraph" w:customStyle="1" w:styleId="Nadpis11">
    <w:name w:val="Nadpis 11"/>
    <w:basedOn w:val="Normln"/>
    <w:uiPriority w:val="9"/>
    <w:qFormat/>
    <w:rsid w:val="008A6CB4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8A6CB4"/>
    <w:pPr>
      <w:spacing w:after="0" w:line="240" w:lineRule="auto"/>
      <w:jc w:val="left"/>
    </w:pPr>
    <w:rPr>
      <w:rFonts w:eastAsia="Calibri"/>
      <w:szCs w:val="20"/>
    </w:rPr>
  </w:style>
  <w:style w:type="character" w:styleId="Zdraznn">
    <w:name w:val="Emphasis"/>
    <w:basedOn w:val="Standardnpsmoodstavce"/>
    <w:uiPriority w:val="20"/>
    <w:qFormat/>
    <w:rsid w:val="00C4431F"/>
    <w:rPr>
      <w:i/>
      <w:iCs/>
    </w:rPr>
  </w:style>
  <w:style w:type="character" w:customStyle="1" w:styleId="normaltextrun">
    <w:name w:val="normaltextrun"/>
    <w:basedOn w:val="Standardnpsmoodstavce"/>
    <w:rsid w:val="00C4431F"/>
  </w:style>
  <w:style w:type="paragraph" w:customStyle="1" w:styleId="paragraph">
    <w:name w:val="paragraph"/>
    <w:basedOn w:val="Normln"/>
    <w:rsid w:val="00C443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C4431F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Qmakro-2024\1.%20pololet&#237;\Trh%20pr&#225;ce\Grafy-TRH%20PR&#193;CE%20celorok-rok-2q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Qmakro-2024\1.%20pololet&#237;\Trh%20pr&#225;ce\Grafy-TRH%20PR&#193;CE%20celorok-rok-2q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Qmakro-2024\1.%20pololet&#237;\Trh%20pr&#225;ce\Grafy-TRH%20PR&#193;CE%20celorok-rok-2q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88731014312048E-2"/>
          <c:y val="1.4522051060224651E-2"/>
          <c:w val="0.84495121574960907"/>
          <c:h val="0.6755713073945954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'Trh práce 1-SNÚ'!$AC$7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1-SNÚ'!$AC$28:$AC$66</c:f>
              <c:numCache>
                <c:formatCode>#\ ##0.0</c:formatCode>
                <c:ptCount val="39"/>
                <c:pt idx="0">
                  <c:v>-6.1573326356334918E-2</c:v>
                </c:pt>
                <c:pt idx="1">
                  <c:v>-5.9676888347252419E-2</c:v>
                </c:pt>
                <c:pt idx="2">
                  <c:v>-7.707844703464159E-2</c:v>
                </c:pt>
                <c:pt idx="3">
                  <c:v>-0.14243709499262253</c:v>
                </c:pt>
                <c:pt idx="4">
                  <c:v>-0.13840014711933823</c:v>
                </c:pt>
                <c:pt idx="5">
                  <c:v>-4.8650842041975666E-2</c:v>
                </c:pt>
                <c:pt idx="6">
                  <c:v>-5.6369916424211908E-2</c:v>
                </c:pt>
                <c:pt idx="7">
                  <c:v>5.3611107528481909E-2</c:v>
                </c:pt>
                <c:pt idx="8">
                  <c:v>0.11362815565462964</c:v>
                </c:pt>
                <c:pt idx="9">
                  <c:v>5.0071347365045656E-2</c:v>
                </c:pt>
                <c:pt idx="10">
                  <c:v>4.1044524794336977E-2</c:v>
                </c:pt>
                <c:pt idx="11">
                  <c:v>-6.8207996146105745E-2</c:v>
                </c:pt>
                <c:pt idx="12">
                  <c:v>1.1563918372028041E-2</c:v>
                </c:pt>
                <c:pt idx="13">
                  <c:v>9.9469652773378076E-3</c:v>
                </c:pt>
                <c:pt idx="14">
                  <c:v>-4.5877079510242644E-3</c:v>
                </c:pt>
                <c:pt idx="15">
                  <c:v>6.1002100013741969E-2</c:v>
                </c:pt>
                <c:pt idx="16">
                  <c:v>-7.7206500491187602E-2</c:v>
                </c:pt>
                <c:pt idx="17">
                  <c:v>-0.12546310619157755</c:v>
                </c:pt>
                <c:pt idx="18">
                  <c:v>-0.15916772896693915</c:v>
                </c:pt>
                <c:pt idx="19">
                  <c:v>-0.17729355041451639</c:v>
                </c:pt>
                <c:pt idx="20">
                  <c:v>-0.22963797478861914</c:v>
                </c:pt>
                <c:pt idx="21">
                  <c:v>-0.16486981249577076</c:v>
                </c:pt>
                <c:pt idx="22">
                  <c:v>-7.1458262303198058E-2</c:v>
                </c:pt>
                <c:pt idx="23">
                  <c:v>-7.1155713762608958E-2</c:v>
                </c:pt>
                <c:pt idx="24">
                  <c:v>1.988648589111628E-2</c:v>
                </c:pt>
                <c:pt idx="25">
                  <c:v>-4.5264025753272527E-2</c:v>
                </c:pt>
                <c:pt idx="26">
                  <c:v>-5.6861720003765062E-2</c:v>
                </c:pt>
                <c:pt idx="27">
                  <c:v>-7.103915889635871E-4</c:v>
                </c:pt>
                <c:pt idx="28">
                  <c:v>0.1001903961167062</c:v>
                </c:pt>
                <c:pt idx="29">
                  <c:v>0.19187936731668201</c:v>
                </c:pt>
                <c:pt idx="30">
                  <c:v>0.16694191816358248</c:v>
                </c:pt>
                <c:pt idx="31">
                  <c:v>8.0972483290481317E-2</c:v>
                </c:pt>
                <c:pt idx="32">
                  <c:v>2.7154047787342289E-2</c:v>
                </c:pt>
                <c:pt idx="33">
                  <c:v>1.721751485384958E-3</c:v>
                </c:pt>
                <c:pt idx="34">
                  <c:v>-7.2914232297264774E-3</c:v>
                </c:pt>
                <c:pt idx="35">
                  <c:v>2.8663087455489521E-2</c:v>
                </c:pt>
                <c:pt idx="36">
                  <c:v>5.2660373376390415E-2</c:v>
                </c:pt>
                <c:pt idx="37">
                  <c:v>4.7286611297760767E-2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E7-4FF2-B3A3-E05FE11525CF}"/>
            </c:ext>
          </c:extLst>
        </c:ser>
        <c:ser>
          <c:idx val="1"/>
          <c:order val="1"/>
          <c:tx>
            <c:strRef>
              <c:f>'Trh práce 1-SNÚ'!$AD$7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1-SNÚ'!$AD$28:$AD$66</c:f>
              <c:numCache>
                <c:formatCode>#\ ##0.0</c:formatCode>
                <c:ptCount val="39"/>
                <c:pt idx="0">
                  <c:v>0.88665589953122292</c:v>
                </c:pt>
                <c:pt idx="1">
                  <c:v>0.90523042979145274</c:v>
                </c:pt>
                <c:pt idx="2">
                  <c:v>0.77326960941049294</c:v>
                </c:pt>
                <c:pt idx="3">
                  <c:v>0.91244318301403449</c:v>
                </c:pt>
                <c:pt idx="4">
                  <c:v>0.62615046214619641</c:v>
                </c:pt>
                <c:pt idx="5">
                  <c:v>0.36311412514139912</c:v>
                </c:pt>
                <c:pt idx="6">
                  <c:v>0.36892459176709286</c:v>
                </c:pt>
                <c:pt idx="7">
                  <c:v>0.20801494720027841</c:v>
                </c:pt>
                <c:pt idx="8">
                  <c:v>0.34123025002420737</c:v>
                </c:pt>
                <c:pt idx="9">
                  <c:v>0.52235302041005405</c:v>
                </c:pt>
                <c:pt idx="10">
                  <c:v>0.6007043202184712</c:v>
                </c:pt>
                <c:pt idx="11">
                  <c:v>0.58624629993025279</c:v>
                </c:pt>
                <c:pt idx="12">
                  <c:v>0.11964573015131148</c:v>
                </c:pt>
                <c:pt idx="13">
                  <c:v>7.6152907170797243E-2</c:v>
                </c:pt>
                <c:pt idx="14">
                  <c:v>-0.12298441683462999</c:v>
                </c:pt>
                <c:pt idx="15">
                  <c:v>-0.10363777422981803</c:v>
                </c:pt>
                <c:pt idx="16">
                  <c:v>-4.3879683818856575E-2</c:v>
                </c:pt>
                <c:pt idx="17">
                  <c:v>-0.13090182754073737</c:v>
                </c:pt>
                <c:pt idx="18">
                  <c:v>-0.222700438793799</c:v>
                </c:pt>
                <c:pt idx="19">
                  <c:v>-0.5875860652367344</c:v>
                </c:pt>
                <c:pt idx="20">
                  <c:v>-1.0288745963154016</c:v>
                </c:pt>
                <c:pt idx="21">
                  <c:v>-1.3602085728947291</c:v>
                </c:pt>
                <c:pt idx="22">
                  <c:v>-1.3450219745832801</c:v>
                </c:pt>
                <c:pt idx="23">
                  <c:v>-1.0779931429042369</c:v>
                </c:pt>
                <c:pt idx="24">
                  <c:v>-0.34893294500656458</c:v>
                </c:pt>
                <c:pt idx="25">
                  <c:v>2.32270870065563E-3</c:v>
                </c:pt>
                <c:pt idx="26">
                  <c:v>0.30744821432919089</c:v>
                </c:pt>
                <c:pt idx="27">
                  <c:v>0.30287641394325915</c:v>
                </c:pt>
                <c:pt idx="28">
                  <c:v>-3.0965857946131374E-2</c:v>
                </c:pt>
                <c:pt idx="29">
                  <c:v>0.16543682902296636</c:v>
                </c:pt>
                <c:pt idx="30">
                  <c:v>-2.5206250094264231E-2</c:v>
                </c:pt>
                <c:pt idx="31">
                  <c:v>-8.6847696031558105E-2</c:v>
                </c:pt>
                <c:pt idx="32">
                  <c:v>0.20651069351362475</c:v>
                </c:pt>
                <c:pt idx="33">
                  <c:v>-2.3281074432813999E-2</c:v>
                </c:pt>
                <c:pt idx="34">
                  <c:v>-0.23904650619303264</c:v>
                </c:pt>
                <c:pt idx="35">
                  <c:v>-0.18165745517748966</c:v>
                </c:pt>
                <c:pt idx="36">
                  <c:v>-0.56622475044999632</c:v>
                </c:pt>
                <c:pt idx="37">
                  <c:v>-0.6585132748737107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E7-4FF2-B3A3-E05FE11525CF}"/>
            </c:ext>
          </c:extLst>
        </c:ser>
        <c:ser>
          <c:idx val="2"/>
          <c:order val="2"/>
          <c:tx>
            <c:strRef>
              <c:f>'Trh práce 1-SNÚ'!$AE$7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48AEE7"/>
            </a:solidFill>
            <a:ln w="19050">
              <a:noFill/>
            </a:ln>
          </c:spPr>
          <c:invertIfNegative val="0"/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1-SNÚ'!$AE$28:$AE$66</c:f>
              <c:numCache>
                <c:formatCode>#\ ##0.0</c:formatCode>
                <c:ptCount val="39"/>
                <c:pt idx="0">
                  <c:v>-0.10117304071905125</c:v>
                </c:pt>
                <c:pt idx="1">
                  <c:v>-9.1106454297089121E-2</c:v>
                </c:pt>
                <c:pt idx="2">
                  <c:v>-0.14253348773808819</c:v>
                </c:pt>
                <c:pt idx="3">
                  <c:v>-0.16445842723255458</c:v>
                </c:pt>
                <c:pt idx="4">
                  <c:v>-0.1244766301438134</c:v>
                </c:pt>
                <c:pt idx="5">
                  <c:v>-0.14361558611517708</c:v>
                </c:pt>
                <c:pt idx="6">
                  <c:v>-5.3202850205105789E-2</c:v>
                </c:pt>
                <c:pt idx="7">
                  <c:v>-1.892269971292557E-2</c:v>
                </c:pt>
                <c:pt idx="8">
                  <c:v>-2.522295323322548E-2</c:v>
                </c:pt>
                <c:pt idx="9">
                  <c:v>-4.955475341057251E-3</c:v>
                </c:pt>
                <c:pt idx="10">
                  <c:v>4.3264182079252173E-2</c:v>
                </c:pt>
                <c:pt idx="11">
                  <c:v>-9.7203529235831032E-2</c:v>
                </c:pt>
                <c:pt idx="12">
                  <c:v>5.0774905955341509E-2</c:v>
                </c:pt>
                <c:pt idx="13">
                  <c:v>9.1527209015807957E-3</c:v>
                </c:pt>
                <c:pt idx="14">
                  <c:v>-5.7910411840798107E-3</c:v>
                </c:pt>
                <c:pt idx="15">
                  <c:v>5.1320718963795246E-2</c:v>
                </c:pt>
                <c:pt idx="16">
                  <c:v>-4.7853409991260497E-2</c:v>
                </c:pt>
                <c:pt idx="17">
                  <c:v>2.6839717342942881E-2</c:v>
                </c:pt>
                <c:pt idx="18">
                  <c:v>4.1303727040787566E-2</c:v>
                </c:pt>
                <c:pt idx="19">
                  <c:v>5.3863451406236225E-2</c:v>
                </c:pt>
                <c:pt idx="20">
                  <c:v>-5.219809701293044E-2</c:v>
                </c:pt>
                <c:pt idx="21">
                  <c:v>-0.28539533059612732</c:v>
                </c:pt>
                <c:pt idx="22">
                  <c:v>-0.16438202614531755</c:v>
                </c:pt>
                <c:pt idx="23">
                  <c:v>-8.379854260961106E-2</c:v>
                </c:pt>
                <c:pt idx="24">
                  <c:v>0.10062675606296018</c:v>
                </c:pt>
                <c:pt idx="25">
                  <c:v>0.31345049895046107</c:v>
                </c:pt>
                <c:pt idx="26">
                  <c:v>0.17250227801546797</c:v>
                </c:pt>
                <c:pt idx="27">
                  <c:v>0.23625320276207945</c:v>
                </c:pt>
                <c:pt idx="28">
                  <c:v>0.12256523305435475</c:v>
                </c:pt>
                <c:pt idx="29">
                  <c:v>0.14558592922631924</c:v>
                </c:pt>
                <c:pt idx="30">
                  <c:v>0.1425086346017527</c:v>
                </c:pt>
                <c:pt idx="31">
                  <c:v>0.1263359047432184</c:v>
                </c:pt>
                <c:pt idx="32">
                  <c:v>0.27042481713564209</c:v>
                </c:pt>
                <c:pt idx="33">
                  <c:v>0.23488807492463704</c:v>
                </c:pt>
                <c:pt idx="34">
                  <c:v>0.19670016358962122</c:v>
                </c:pt>
                <c:pt idx="35">
                  <c:v>9.2659876591768275E-2</c:v>
                </c:pt>
                <c:pt idx="36">
                  <c:v>-9.6882420208916353E-2</c:v>
                </c:pt>
                <c:pt idx="37">
                  <c:v>-6.2709378412496367E-2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E7-4FF2-B3A3-E05FE11525CF}"/>
            </c:ext>
          </c:extLst>
        </c:ser>
        <c:ser>
          <c:idx val="3"/>
          <c:order val="3"/>
          <c:tx>
            <c:strRef>
              <c:f>'Trh práce 1-SNÚ'!$AF$7</c:f>
              <c:strCache>
                <c:ptCount val="1"/>
                <c:pt idx="0">
                  <c:v>Obchod, doprava, ubytování a pohost.</c:v>
                </c:pt>
              </c:strCache>
            </c:strRef>
          </c:tx>
          <c:spPr>
            <a:solidFill>
              <a:srgbClr val="FDDEB3"/>
            </a:solidFill>
            <a:ln w="19050">
              <a:noFill/>
            </a:ln>
          </c:spPr>
          <c:invertIfNegative val="0"/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1-SNÚ'!$AF$28:$AF$66</c:f>
              <c:numCache>
                <c:formatCode>#\ ##0.0</c:formatCode>
                <c:ptCount val="39"/>
                <c:pt idx="0">
                  <c:v>0.25998500994419238</c:v>
                </c:pt>
                <c:pt idx="1">
                  <c:v>0.48955477662614383</c:v>
                </c:pt>
                <c:pt idx="2">
                  <c:v>0.32600328194900458</c:v>
                </c:pt>
                <c:pt idx="3">
                  <c:v>0.15828076146259132</c:v>
                </c:pt>
                <c:pt idx="4">
                  <c:v>-5.6703862717618583E-2</c:v>
                </c:pt>
                <c:pt idx="5">
                  <c:v>7.8393714906065587E-2</c:v>
                </c:pt>
                <c:pt idx="6">
                  <c:v>-0.13956333881390184</c:v>
                </c:pt>
                <c:pt idx="7">
                  <c:v>-7.6460796805432718E-2</c:v>
                </c:pt>
                <c:pt idx="8">
                  <c:v>0.15973256369708291</c:v>
                </c:pt>
                <c:pt idx="9">
                  <c:v>-1.5191688883395588E-2</c:v>
                </c:pt>
                <c:pt idx="10">
                  <c:v>0.35531738037577776</c:v>
                </c:pt>
                <c:pt idx="11">
                  <c:v>0.17142372253177482</c:v>
                </c:pt>
                <c:pt idx="12">
                  <c:v>0.11459482327617278</c:v>
                </c:pt>
                <c:pt idx="13">
                  <c:v>0.34360524541678317</c:v>
                </c:pt>
                <c:pt idx="14">
                  <c:v>0.13954905087091021</c:v>
                </c:pt>
                <c:pt idx="15">
                  <c:v>0.16123729177746221</c:v>
                </c:pt>
                <c:pt idx="16">
                  <c:v>9.5669331999762464E-2</c:v>
                </c:pt>
                <c:pt idx="17">
                  <c:v>-0.18752413199774384</c:v>
                </c:pt>
                <c:pt idx="18">
                  <c:v>-0.32173233019841657</c:v>
                </c:pt>
                <c:pt idx="19">
                  <c:v>-0.34416791851901818</c:v>
                </c:pt>
                <c:pt idx="20">
                  <c:v>-0.17007381394220211</c:v>
                </c:pt>
                <c:pt idx="21">
                  <c:v>-0.68801691905386031</c:v>
                </c:pt>
                <c:pt idx="22">
                  <c:v>-0.5805213183815886</c:v>
                </c:pt>
                <c:pt idx="23">
                  <c:v>-1.024799611162776</c:v>
                </c:pt>
                <c:pt idx="24">
                  <c:v>-0.89384919901442583</c:v>
                </c:pt>
                <c:pt idx="25">
                  <c:v>-0.27162254639898481</c:v>
                </c:pt>
                <c:pt idx="26">
                  <c:v>0.18479100442221555</c:v>
                </c:pt>
                <c:pt idx="27">
                  <c:v>0.62815896259788329</c:v>
                </c:pt>
                <c:pt idx="28">
                  <c:v>6.9644543642100654E-2</c:v>
                </c:pt>
                <c:pt idx="29">
                  <c:v>0.38341680525887634</c:v>
                </c:pt>
                <c:pt idx="30">
                  <c:v>-5.4710948222554075E-2</c:v>
                </c:pt>
                <c:pt idx="31">
                  <c:v>-0.15716194082380397</c:v>
                </c:pt>
                <c:pt idx="32">
                  <c:v>0.22884281777327048</c:v>
                </c:pt>
                <c:pt idx="33">
                  <c:v>0.16863807211743323</c:v>
                </c:pt>
                <c:pt idx="34">
                  <c:v>0.26428604814208584</c:v>
                </c:pt>
                <c:pt idx="35">
                  <c:v>0.30836175507036739</c:v>
                </c:pt>
                <c:pt idx="36">
                  <c:v>0.34109094336578877</c:v>
                </c:pt>
                <c:pt idx="37">
                  <c:v>0.37864467018422299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BE7-4FF2-B3A3-E05FE11525CF}"/>
            </c:ext>
          </c:extLst>
        </c:ser>
        <c:ser>
          <c:idx val="4"/>
          <c:order val="4"/>
          <c:tx>
            <c:strRef>
              <c:f>'Trh práce 1-SNÚ'!$AG$7</c:f>
              <c:strCache>
                <c:ptCount val="1"/>
                <c:pt idx="0">
                  <c:v>Informační a komunikač. čin.</c:v>
                </c:pt>
              </c:strCache>
            </c:strRef>
          </c:tx>
          <c:spPr>
            <a:solidFill>
              <a:srgbClr val="F8A124"/>
            </a:solidFill>
            <a:ln w="19050">
              <a:noFill/>
            </a:ln>
          </c:spPr>
          <c:invertIfNegative val="0"/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1-SNÚ'!$AG$28:$AG$66</c:f>
              <c:numCache>
                <c:formatCode>#\ ##0.0</c:formatCode>
                <c:ptCount val="39"/>
                <c:pt idx="0">
                  <c:v>1.4183504250133379E-2</c:v>
                </c:pt>
                <c:pt idx="1">
                  <c:v>5.629821000764499E-2</c:v>
                </c:pt>
                <c:pt idx="2">
                  <c:v>6.26372452292175E-2</c:v>
                </c:pt>
                <c:pt idx="3">
                  <c:v>9.4516337489973887E-2</c:v>
                </c:pt>
                <c:pt idx="4">
                  <c:v>0.10299907118296198</c:v>
                </c:pt>
                <c:pt idx="5">
                  <c:v>9.0773702896897832E-2</c:v>
                </c:pt>
                <c:pt idx="6">
                  <c:v>0.11426543181982249</c:v>
                </c:pt>
                <c:pt idx="7">
                  <c:v>0.13630888775913119</c:v>
                </c:pt>
                <c:pt idx="8">
                  <c:v>0.10306256214490077</c:v>
                </c:pt>
                <c:pt idx="9">
                  <c:v>0.113076676701345</c:v>
                </c:pt>
                <c:pt idx="10">
                  <c:v>0.14247903571964249</c:v>
                </c:pt>
                <c:pt idx="11">
                  <c:v>0.13951722056886845</c:v>
                </c:pt>
                <c:pt idx="12">
                  <c:v>0.13227299733915818</c:v>
                </c:pt>
                <c:pt idx="13">
                  <c:v>0.14892082045443958</c:v>
                </c:pt>
                <c:pt idx="14">
                  <c:v>0.10555488703709108</c:v>
                </c:pt>
                <c:pt idx="15">
                  <c:v>0.12454203777844085</c:v>
                </c:pt>
                <c:pt idx="16">
                  <c:v>0.1256784621979638</c:v>
                </c:pt>
                <c:pt idx="17">
                  <c:v>7.6458736775003838E-2</c:v>
                </c:pt>
                <c:pt idx="18">
                  <c:v>0.11512037432787062</c:v>
                </c:pt>
                <c:pt idx="19">
                  <c:v>0.12022992158448997</c:v>
                </c:pt>
                <c:pt idx="20">
                  <c:v>9.8320126142908748E-2</c:v>
                </c:pt>
                <c:pt idx="21">
                  <c:v>5.3757438014449162E-2</c:v>
                </c:pt>
                <c:pt idx="22">
                  <c:v>7.7959563030390977E-2</c:v>
                </c:pt>
                <c:pt idx="23">
                  <c:v>5.8793836667762431E-2</c:v>
                </c:pt>
                <c:pt idx="24">
                  <c:v>2.8455305359929017E-2</c:v>
                </c:pt>
                <c:pt idx="25">
                  <c:v>8.2292993386038724E-2</c:v>
                </c:pt>
                <c:pt idx="26">
                  <c:v>6.4760246180956965E-2</c:v>
                </c:pt>
                <c:pt idx="27">
                  <c:v>-2.2214136984618119E-2</c:v>
                </c:pt>
                <c:pt idx="28">
                  <c:v>0.19577982320442494</c:v>
                </c:pt>
                <c:pt idx="29">
                  <c:v>0.1773093767482338</c:v>
                </c:pt>
                <c:pt idx="30">
                  <c:v>0.17446420222312728</c:v>
                </c:pt>
                <c:pt idx="31">
                  <c:v>0.25679575689123113</c:v>
                </c:pt>
                <c:pt idx="32">
                  <c:v>0.141934737250551</c:v>
                </c:pt>
                <c:pt idx="33">
                  <c:v>6.7279310760423094E-2</c:v>
                </c:pt>
                <c:pt idx="34">
                  <c:v>2.9427436316896094E-2</c:v>
                </c:pt>
                <c:pt idx="35">
                  <c:v>1.8012526927700064E-2</c:v>
                </c:pt>
                <c:pt idx="36">
                  <c:v>4.7016194694732727E-2</c:v>
                </c:pt>
                <c:pt idx="37">
                  <c:v>1.3904559547618768E-2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BE7-4FF2-B3A3-E05FE11525CF}"/>
            </c:ext>
          </c:extLst>
        </c:ser>
        <c:ser>
          <c:idx val="5"/>
          <c:order val="5"/>
          <c:tx>
            <c:strRef>
              <c:f>'Trh práce 1-SNÚ'!$AH$7</c:f>
              <c:strCache>
                <c:ptCount val="1"/>
                <c:pt idx="0">
                  <c:v>Profesní, vědec., techn. a admin. čin.</c:v>
                </c:pt>
              </c:strCache>
            </c:strRef>
          </c:tx>
          <c:spPr>
            <a:solidFill>
              <a:srgbClr val="E8C0BE"/>
            </a:solidFill>
            <a:ln w="19050">
              <a:noFill/>
            </a:ln>
          </c:spPr>
          <c:invertIfNegative val="0"/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1-SNÚ'!$AH$28:$AH$66</c:f>
              <c:numCache>
                <c:formatCode>#\ ##0.0</c:formatCode>
                <c:ptCount val="39"/>
                <c:pt idx="0">
                  <c:v>0.11759915174382432</c:v>
                </c:pt>
                <c:pt idx="1">
                  <c:v>0.14665821211342547</c:v>
                </c:pt>
                <c:pt idx="2">
                  <c:v>0.27033225330885341</c:v>
                </c:pt>
                <c:pt idx="3">
                  <c:v>0.34628057749677232</c:v>
                </c:pt>
                <c:pt idx="4">
                  <c:v>0.1873751956720211</c:v>
                </c:pt>
                <c:pt idx="5">
                  <c:v>0.20516788210079692</c:v>
                </c:pt>
                <c:pt idx="6">
                  <c:v>0.18977292521436465</c:v>
                </c:pt>
                <c:pt idx="7">
                  <c:v>0.2038377083012908</c:v>
                </c:pt>
                <c:pt idx="8">
                  <c:v>0.29841078105477886</c:v>
                </c:pt>
                <c:pt idx="9">
                  <c:v>0.23426579179886092</c:v>
                </c:pt>
                <c:pt idx="10">
                  <c:v>0.20577753829291368</c:v>
                </c:pt>
                <c:pt idx="11">
                  <c:v>5.6773405997204894E-2</c:v>
                </c:pt>
                <c:pt idx="12">
                  <c:v>0.10777799783190666</c:v>
                </c:pt>
                <c:pt idx="13">
                  <c:v>0.10518064804667848</c:v>
                </c:pt>
                <c:pt idx="14">
                  <c:v>9.8748533437620648E-2</c:v>
                </c:pt>
                <c:pt idx="15">
                  <c:v>0.22141224467237378</c:v>
                </c:pt>
                <c:pt idx="16">
                  <c:v>3.724431087059718E-2</c:v>
                </c:pt>
                <c:pt idx="17">
                  <c:v>2.5573165795878261E-2</c:v>
                </c:pt>
                <c:pt idx="18">
                  <c:v>2.2396959985967045E-2</c:v>
                </c:pt>
                <c:pt idx="19">
                  <c:v>-0.18724759065711963</c:v>
                </c:pt>
                <c:pt idx="20">
                  <c:v>-0.19133070373579164</c:v>
                </c:pt>
                <c:pt idx="21">
                  <c:v>-0.3504112611767094</c:v>
                </c:pt>
                <c:pt idx="22">
                  <c:v>-0.52251402310016892</c:v>
                </c:pt>
                <c:pt idx="23">
                  <c:v>-0.24405342203916677</c:v>
                </c:pt>
                <c:pt idx="24">
                  <c:v>-0.10997283570482894</c:v>
                </c:pt>
                <c:pt idx="25">
                  <c:v>0.14882612029903389</c:v>
                </c:pt>
                <c:pt idx="26">
                  <c:v>0.28609151976270597</c:v>
                </c:pt>
                <c:pt idx="27">
                  <c:v>0.12335853943489318</c:v>
                </c:pt>
                <c:pt idx="28">
                  <c:v>0.16279030253185092</c:v>
                </c:pt>
                <c:pt idx="29">
                  <c:v>0.11160194861751378</c:v>
                </c:pt>
                <c:pt idx="30">
                  <c:v>0.16264347012955688</c:v>
                </c:pt>
                <c:pt idx="31">
                  <c:v>0.22346522307166092</c:v>
                </c:pt>
                <c:pt idx="32">
                  <c:v>0.25007819079916555</c:v>
                </c:pt>
                <c:pt idx="33">
                  <c:v>0.24783864044514128</c:v>
                </c:pt>
                <c:pt idx="34">
                  <c:v>0.2914886655760654</c:v>
                </c:pt>
                <c:pt idx="35">
                  <c:v>0.29023711697921695</c:v>
                </c:pt>
                <c:pt idx="36">
                  <c:v>0.1729577526705996</c:v>
                </c:pt>
                <c:pt idx="37">
                  <c:v>6.998566589880019E-2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BE7-4FF2-B3A3-E05FE11525CF}"/>
            </c:ext>
          </c:extLst>
        </c:ser>
        <c:ser>
          <c:idx val="6"/>
          <c:order val="6"/>
          <c:tx>
            <c:strRef>
              <c:f>'Trh práce 1-SNÚ'!$AI$7</c:f>
              <c:strCache>
                <c:ptCount val="1"/>
                <c:pt idx="0">
                  <c:v>Veř.spr.,obrana, vzděl.,zdrav.a soc.péče</c:v>
                </c:pt>
              </c:strCache>
            </c:strRef>
          </c:tx>
          <c:spPr>
            <a:solidFill>
              <a:srgbClr val="D58D8B"/>
            </a:solidFill>
            <a:ln>
              <a:noFill/>
            </a:ln>
          </c:spPr>
          <c:invertIfNegative val="0"/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1-SNÚ'!$AI$28:$AI$66</c:f>
              <c:numCache>
                <c:formatCode>#\ ##0.0</c:formatCode>
                <c:ptCount val="39"/>
                <c:pt idx="0">
                  <c:v>0.29810932511306687</c:v>
                </c:pt>
                <c:pt idx="1">
                  <c:v>0.22837508358300088</c:v>
                </c:pt>
                <c:pt idx="2">
                  <c:v>8.7664748087127292E-2</c:v>
                </c:pt>
                <c:pt idx="3">
                  <c:v>6.3608520735520563E-2</c:v>
                </c:pt>
                <c:pt idx="4">
                  <c:v>0.31886213213126613</c:v>
                </c:pt>
                <c:pt idx="5">
                  <c:v>0.28817753636693877</c:v>
                </c:pt>
                <c:pt idx="6">
                  <c:v>0.36508162726951909</c:v>
                </c:pt>
                <c:pt idx="7">
                  <c:v>0.46049727622848979</c:v>
                </c:pt>
                <c:pt idx="8">
                  <c:v>0.25543763072520886</c:v>
                </c:pt>
                <c:pt idx="9">
                  <c:v>0.32021171933565312</c:v>
                </c:pt>
                <c:pt idx="10">
                  <c:v>0.40612074323310393</c:v>
                </c:pt>
                <c:pt idx="11">
                  <c:v>0.45188510919558089</c:v>
                </c:pt>
                <c:pt idx="12">
                  <c:v>0.60669746453968465</c:v>
                </c:pt>
                <c:pt idx="13">
                  <c:v>0.67766064774410706</c:v>
                </c:pt>
                <c:pt idx="14">
                  <c:v>0.54779865226677038</c:v>
                </c:pt>
                <c:pt idx="15">
                  <c:v>0.53702526690063701</c:v>
                </c:pt>
                <c:pt idx="16">
                  <c:v>0.28440258119756973</c:v>
                </c:pt>
                <c:pt idx="17">
                  <c:v>0.27707677667843045</c:v>
                </c:pt>
                <c:pt idx="18">
                  <c:v>0.33524516272328342</c:v>
                </c:pt>
                <c:pt idx="19">
                  <c:v>0.37920241903644225</c:v>
                </c:pt>
                <c:pt idx="20">
                  <c:v>0.39000877571158382</c:v>
                </c:pt>
                <c:pt idx="21">
                  <c:v>0.31581562839071159</c:v>
                </c:pt>
                <c:pt idx="22">
                  <c:v>0.4292913488797877</c:v>
                </c:pt>
                <c:pt idx="23">
                  <c:v>0.43905266815196531</c:v>
                </c:pt>
                <c:pt idx="24">
                  <c:v>0.48013825373146052</c:v>
                </c:pt>
                <c:pt idx="25">
                  <c:v>0.61638162295910981</c:v>
                </c:pt>
                <c:pt idx="26">
                  <c:v>0.58629302803612371</c:v>
                </c:pt>
                <c:pt idx="27">
                  <c:v>0.47863113300738547</c:v>
                </c:pt>
                <c:pt idx="28">
                  <c:v>0.23949857455870413</c:v>
                </c:pt>
                <c:pt idx="29">
                  <c:v>0.19858498227191301</c:v>
                </c:pt>
                <c:pt idx="30">
                  <c:v>0.21793885646200037</c:v>
                </c:pt>
                <c:pt idx="31">
                  <c:v>0.27781094092662112</c:v>
                </c:pt>
                <c:pt idx="32">
                  <c:v>0.47818353791525892</c:v>
                </c:pt>
                <c:pt idx="33">
                  <c:v>0.43397494776730211</c:v>
                </c:pt>
                <c:pt idx="34">
                  <c:v>0.2680065435849463</c:v>
                </c:pt>
                <c:pt idx="35">
                  <c:v>0.25837886136539057</c:v>
                </c:pt>
                <c:pt idx="36">
                  <c:v>0.31968777074128485</c:v>
                </c:pt>
                <c:pt idx="37">
                  <c:v>0.29247713338712877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BE7-4FF2-B3A3-E05FE11525CF}"/>
            </c:ext>
          </c:extLst>
        </c:ser>
        <c:ser>
          <c:idx val="7"/>
          <c:order val="7"/>
          <c:tx>
            <c:strRef>
              <c:f>'Trh práce 1-SNÚ'!$AJ$7</c:f>
              <c:strCache>
                <c:ptCount val="1"/>
                <c:pt idx="0">
                  <c:v>Ostatní odvětví*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</c:spPr>
          <c:invertIfNegative val="0"/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1-SNÚ'!$AJ$28:$AJ$66</c:f>
              <c:numCache>
                <c:formatCode>#\ ##0.0</c:formatCode>
                <c:ptCount val="39"/>
                <c:pt idx="0">
                  <c:v>-0.11167788297920554</c:v>
                </c:pt>
                <c:pt idx="1">
                  <c:v>3.2922470332453942E-2</c:v>
                </c:pt>
                <c:pt idx="2">
                  <c:v>2.8686723369582272E-2</c:v>
                </c:pt>
                <c:pt idx="3">
                  <c:v>-3.2096578937316919E-2</c:v>
                </c:pt>
                <c:pt idx="4">
                  <c:v>0.1719564056042851</c:v>
                </c:pt>
                <c:pt idx="5">
                  <c:v>0.10973961273620712</c:v>
                </c:pt>
                <c:pt idx="6">
                  <c:v>0.13297815844368727</c:v>
                </c:pt>
                <c:pt idx="7">
                  <c:v>0.21049819060105912</c:v>
                </c:pt>
                <c:pt idx="8">
                  <c:v>-7.8204602142011373E-2</c:v>
                </c:pt>
                <c:pt idx="9">
                  <c:v>-4.3087762424945671E-2</c:v>
                </c:pt>
                <c:pt idx="10">
                  <c:v>-2.4186610414937963E-2</c:v>
                </c:pt>
                <c:pt idx="11">
                  <c:v>-3.215383918742503E-2</c:v>
                </c:pt>
                <c:pt idx="12">
                  <c:v>0.16045174095835293</c:v>
                </c:pt>
                <c:pt idx="13">
                  <c:v>0.15856521644577473</c:v>
                </c:pt>
                <c:pt idx="14">
                  <c:v>-1.9178123401822754E-2</c:v>
                </c:pt>
                <c:pt idx="15">
                  <c:v>-1.4963843331568139E-2</c:v>
                </c:pt>
                <c:pt idx="16">
                  <c:v>-0.11518182702557608</c:v>
                </c:pt>
                <c:pt idx="17">
                  <c:v>-3.7866166105623093E-2</c:v>
                </c:pt>
                <c:pt idx="18">
                  <c:v>9.4440514607494364E-2</c:v>
                </c:pt>
                <c:pt idx="19">
                  <c:v>7.8646220757913818E-2</c:v>
                </c:pt>
                <c:pt idx="20">
                  <c:v>-0.19809850857772601</c:v>
                </c:pt>
                <c:pt idx="21">
                  <c:v>-0.41738438003451656</c:v>
                </c:pt>
                <c:pt idx="22">
                  <c:v>-0.37552484458995661</c:v>
                </c:pt>
                <c:pt idx="23">
                  <c:v>-0.44219932777610815</c:v>
                </c:pt>
                <c:pt idx="24">
                  <c:v>2.3886532147575315E-2</c:v>
                </c:pt>
                <c:pt idx="25">
                  <c:v>0.20574208143493422</c:v>
                </c:pt>
                <c:pt idx="26">
                  <c:v>0.14351545379237532</c:v>
                </c:pt>
                <c:pt idx="27">
                  <c:v>0.21300227805302802</c:v>
                </c:pt>
                <c:pt idx="28">
                  <c:v>0.10114495400653761</c:v>
                </c:pt>
                <c:pt idx="29">
                  <c:v>0.12974320154172242</c:v>
                </c:pt>
                <c:pt idx="30">
                  <c:v>5.4560125484518086E-2</c:v>
                </c:pt>
                <c:pt idx="31">
                  <c:v>5.7942402577863039E-2</c:v>
                </c:pt>
                <c:pt idx="32">
                  <c:v>-9.0047058191729826E-2</c:v>
                </c:pt>
                <c:pt idx="33">
                  <c:v>-5.1034959789617189E-2</c:v>
                </c:pt>
                <c:pt idx="34">
                  <c:v>-6.212666510866946E-2</c:v>
                </c:pt>
                <c:pt idx="35">
                  <c:v>-3.0568977234146574E-2</c:v>
                </c:pt>
                <c:pt idx="36">
                  <c:v>4.4035770308378831E-2</c:v>
                </c:pt>
                <c:pt idx="37">
                  <c:v>0.14602564733963946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BE7-4FF2-B3A3-E05FE11525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overlap val="100"/>
        <c:axId val="101898496"/>
        <c:axId val="101781504"/>
      </c:barChart>
      <c:lineChart>
        <c:grouping val="standard"/>
        <c:varyColors val="0"/>
        <c:ser>
          <c:idx val="8"/>
          <c:order val="8"/>
          <c:tx>
            <c:strRef>
              <c:f>'Trh práce 1-SNÚ'!$AK$7</c:f>
              <c:strCache>
                <c:ptCount val="1"/>
                <c:pt idx="0">
                  <c:v>Zaměstnanost celkem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1-SNÚ'!$AK$28:$AK$66</c:f>
              <c:numCache>
                <c:formatCode>#\ ##0.0</c:formatCode>
                <c:ptCount val="39"/>
                <c:pt idx="0">
                  <c:v>1.3021086405278481</c:v>
                </c:pt>
                <c:pt idx="1">
                  <c:v>1.7082558398097802</c:v>
                </c:pt>
                <c:pt idx="2">
                  <c:v>1.3289819265815481</c:v>
                </c:pt>
                <c:pt idx="3">
                  <c:v>1.2361372790363987</c:v>
                </c:pt>
                <c:pt idx="4">
                  <c:v>1.0877626267559606</c:v>
                </c:pt>
                <c:pt idx="5">
                  <c:v>0.94310014599115277</c:v>
                </c:pt>
                <c:pt idx="6">
                  <c:v>0.92188662907126684</c:v>
                </c:pt>
                <c:pt idx="7">
                  <c:v>1.1773846211003729</c:v>
                </c:pt>
                <c:pt idx="8">
                  <c:v>1.1680743879255715</c:v>
                </c:pt>
                <c:pt idx="9">
                  <c:v>1.1767436289615603</c:v>
                </c:pt>
                <c:pt idx="10">
                  <c:v>1.7705211142985604</c:v>
                </c:pt>
                <c:pt idx="11">
                  <c:v>1.2082803936543201</c:v>
                </c:pt>
                <c:pt idx="12">
                  <c:v>1.3037795784239563</c:v>
                </c:pt>
                <c:pt idx="13">
                  <c:v>1.5291851714574989</c:v>
                </c:pt>
                <c:pt idx="14">
                  <c:v>0.73910983424083554</c:v>
                </c:pt>
                <c:pt idx="15">
                  <c:v>1.0379380425450648</c:v>
                </c:pt>
                <c:pt idx="16">
                  <c:v>0.25887326493901242</c:v>
                </c:pt>
                <c:pt idx="17">
                  <c:v>-7.5806835243426463E-2</c:v>
                </c:pt>
                <c:pt idx="18">
                  <c:v>-9.5093759273751743E-2</c:v>
                </c:pt>
                <c:pt idx="19">
                  <c:v>-0.66435311204230629</c:v>
                </c:pt>
                <c:pt idx="20">
                  <c:v>-1.3818847925181785</c:v>
                </c:pt>
                <c:pt idx="21">
                  <c:v>-2.8967132098465527</c:v>
                </c:pt>
                <c:pt idx="22">
                  <c:v>-2.5521715371933311</c:v>
                </c:pt>
                <c:pt idx="23">
                  <c:v>-2.4461532554347798</c:v>
                </c:pt>
                <c:pt idx="24">
                  <c:v>-0.69976164653277806</c:v>
                </c:pt>
                <c:pt idx="25">
                  <c:v>1.0521294535779759</c:v>
                </c:pt>
                <c:pt idx="26">
                  <c:v>1.6885400245352713</c:v>
                </c:pt>
                <c:pt idx="27">
                  <c:v>1.9593560012249469</c:v>
                </c:pt>
                <c:pt idx="28">
                  <c:v>0.96064796916854789</c:v>
                </c:pt>
                <c:pt idx="29">
                  <c:v>1.5035584400042268</c:v>
                </c:pt>
                <c:pt idx="30">
                  <c:v>0.83914000874771943</c:v>
                </c:pt>
                <c:pt idx="31">
                  <c:v>0.77931307464571375</c:v>
                </c:pt>
                <c:pt idx="32">
                  <c:v>1.5130817839831252</c:v>
                </c:pt>
                <c:pt idx="33">
                  <c:v>1.0800247632778905</c:v>
                </c:pt>
                <c:pt idx="34">
                  <c:v>0.74144426267818631</c:v>
                </c:pt>
                <c:pt idx="35">
                  <c:v>0.78408679197829656</c:v>
                </c:pt>
                <c:pt idx="36">
                  <c:v>0.31434163449826258</c:v>
                </c:pt>
                <c:pt idx="37">
                  <c:v>0.2271016343689638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5BE7-4FF2-B3A3-E05FE11525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898496"/>
        <c:axId val="101781504"/>
      </c:lineChart>
      <c:lineChart>
        <c:grouping val="standard"/>
        <c:varyColors val="0"/>
        <c:ser>
          <c:idx val="9"/>
          <c:order val="9"/>
          <c:tx>
            <c:strRef>
              <c:f>'Trh práce 1-SNÚ'!$AL$7</c:f>
              <c:strCache>
                <c:ptCount val="1"/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1-SNÚ'!$AL$28:$AL$66</c:f>
              <c:numCache>
                <c:formatCode>General</c:formatCode>
                <c:ptCount val="39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5BE7-4FF2-B3A3-E05FE11525CF}"/>
            </c:ext>
          </c:extLst>
        </c:ser>
        <c:ser>
          <c:idx val="10"/>
          <c:order val="10"/>
          <c:tx>
            <c:strRef>
              <c:f>'Trh práce 1-SNÚ'!$AM$7</c:f>
              <c:strCache>
                <c:ptCount val="1"/>
                <c:pt idx="0">
                  <c:v>Očekávání zaměstnanosti (průmysl)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1-SNÚ'!$AM$28:$AM$66</c:f>
              <c:numCache>
                <c:formatCode>#\ ##0.0</c:formatCode>
                <c:ptCount val="39"/>
                <c:pt idx="0">
                  <c:v>-3</c:v>
                </c:pt>
                <c:pt idx="1">
                  <c:v>4.3</c:v>
                </c:pt>
                <c:pt idx="2">
                  <c:v>5.5</c:v>
                </c:pt>
                <c:pt idx="3">
                  <c:v>7.8</c:v>
                </c:pt>
                <c:pt idx="4">
                  <c:v>8.1999999999999993</c:v>
                </c:pt>
                <c:pt idx="5">
                  <c:v>9.9</c:v>
                </c:pt>
                <c:pt idx="6">
                  <c:v>3.8</c:v>
                </c:pt>
                <c:pt idx="7">
                  <c:v>9.5</c:v>
                </c:pt>
                <c:pt idx="8">
                  <c:v>11.1</c:v>
                </c:pt>
                <c:pt idx="9">
                  <c:v>5.7</c:v>
                </c:pt>
                <c:pt idx="10">
                  <c:v>8.1999999999999993</c:v>
                </c:pt>
                <c:pt idx="11">
                  <c:v>7.3</c:v>
                </c:pt>
                <c:pt idx="12">
                  <c:v>9.8000000000000007</c:v>
                </c:pt>
                <c:pt idx="13">
                  <c:v>9.4</c:v>
                </c:pt>
                <c:pt idx="14">
                  <c:v>6.2</c:v>
                </c:pt>
                <c:pt idx="15">
                  <c:v>6.3</c:v>
                </c:pt>
                <c:pt idx="16">
                  <c:v>2.5</c:v>
                </c:pt>
                <c:pt idx="17">
                  <c:v>2.6</c:v>
                </c:pt>
                <c:pt idx="18">
                  <c:v>0.5</c:v>
                </c:pt>
                <c:pt idx="19">
                  <c:v>-2.8</c:v>
                </c:pt>
                <c:pt idx="20">
                  <c:v>2.9</c:v>
                </c:pt>
                <c:pt idx="21">
                  <c:v>-19</c:v>
                </c:pt>
                <c:pt idx="22">
                  <c:v>-10.9</c:v>
                </c:pt>
                <c:pt idx="23">
                  <c:v>-3.5</c:v>
                </c:pt>
                <c:pt idx="24">
                  <c:v>4.4000000000000004</c:v>
                </c:pt>
                <c:pt idx="25">
                  <c:v>8.6</c:v>
                </c:pt>
                <c:pt idx="26">
                  <c:v>4.7</c:v>
                </c:pt>
                <c:pt idx="27">
                  <c:v>1.8</c:v>
                </c:pt>
                <c:pt idx="28">
                  <c:v>11.2</c:v>
                </c:pt>
                <c:pt idx="29">
                  <c:v>2.2999999999999998</c:v>
                </c:pt>
                <c:pt idx="30">
                  <c:v>2.1</c:v>
                </c:pt>
                <c:pt idx="31">
                  <c:v>-9.9</c:v>
                </c:pt>
                <c:pt idx="32">
                  <c:v>-13.6</c:v>
                </c:pt>
                <c:pt idx="33">
                  <c:v>-5.8</c:v>
                </c:pt>
                <c:pt idx="34">
                  <c:v>-4.3</c:v>
                </c:pt>
                <c:pt idx="35">
                  <c:v>-8.3000000000000007</c:v>
                </c:pt>
                <c:pt idx="36">
                  <c:v>-6</c:v>
                </c:pt>
                <c:pt idx="37">
                  <c:v>-9.6</c:v>
                </c:pt>
                <c:pt idx="38">
                  <c:v>-10.7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5BE7-4FF2-B3A3-E05FE11525CF}"/>
            </c:ext>
          </c:extLst>
        </c:ser>
        <c:ser>
          <c:idx val="11"/>
          <c:order val="11"/>
          <c:tx>
            <c:strRef>
              <c:f>'Trh práce 1-SNÚ'!$AN$7</c:f>
              <c:strCache>
                <c:ptCount val="1"/>
                <c:pt idx="0">
                  <c:v>Očekávání zaměstnanosti (stavebnictví)</c:v>
                </c:pt>
              </c:strCache>
            </c:strRef>
          </c:tx>
          <c:spPr>
            <a:ln w="15875">
              <a:solidFill>
                <a:srgbClr val="00B0F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1-SNÚ'!$AN$28:$AN$66</c:f>
              <c:numCache>
                <c:formatCode>#\ ##0.0</c:formatCode>
                <c:ptCount val="39"/>
                <c:pt idx="0">
                  <c:v>-4.2</c:v>
                </c:pt>
                <c:pt idx="1">
                  <c:v>7.4</c:v>
                </c:pt>
                <c:pt idx="2">
                  <c:v>1</c:v>
                </c:pt>
                <c:pt idx="3">
                  <c:v>-0.1</c:v>
                </c:pt>
                <c:pt idx="4">
                  <c:v>-3.5</c:v>
                </c:pt>
                <c:pt idx="5">
                  <c:v>-6.4</c:v>
                </c:pt>
                <c:pt idx="6">
                  <c:v>-4.7</c:v>
                </c:pt>
                <c:pt idx="7">
                  <c:v>-6.9</c:v>
                </c:pt>
                <c:pt idx="8">
                  <c:v>-7.5</c:v>
                </c:pt>
                <c:pt idx="9">
                  <c:v>-12.2</c:v>
                </c:pt>
                <c:pt idx="10">
                  <c:v>-6.2</c:v>
                </c:pt>
                <c:pt idx="11">
                  <c:v>-2.8</c:v>
                </c:pt>
                <c:pt idx="12">
                  <c:v>4.3</c:v>
                </c:pt>
                <c:pt idx="13">
                  <c:v>5.5</c:v>
                </c:pt>
                <c:pt idx="14">
                  <c:v>8.8000000000000007</c:v>
                </c:pt>
                <c:pt idx="15">
                  <c:v>9.6</c:v>
                </c:pt>
                <c:pt idx="16">
                  <c:v>6.4</c:v>
                </c:pt>
                <c:pt idx="17">
                  <c:v>9.6</c:v>
                </c:pt>
                <c:pt idx="18">
                  <c:v>3.8</c:v>
                </c:pt>
                <c:pt idx="19">
                  <c:v>10.7</c:v>
                </c:pt>
                <c:pt idx="20">
                  <c:v>5.7</c:v>
                </c:pt>
                <c:pt idx="21">
                  <c:v>-4.2</c:v>
                </c:pt>
                <c:pt idx="22">
                  <c:v>1.5</c:v>
                </c:pt>
                <c:pt idx="23">
                  <c:v>-1.5</c:v>
                </c:pt>
                <c:pt idx="24">
                  <c:v>3.9</c:v>
                </c:pt>
                <c:pt idx="25">
                  <c:v>4.4000000000000004</c:v>
                </c:pt>
                <c:pt idx="26">
                  <c:v>4.0999999999999996</c:v>
                </c:pt>
                <c:pt idx="27">
                  <c:v>8.3000000000000007</c:v>
                </c:pt>
                <c:pt idx="28">
                  <c:v>9.1999999999999993</c:v>
                </c:pt>
                <c:pt idx="29">
                  <c:v>8.6</c:v>
                </c:pt>
                <c:pt idx="30">
                  <c:v>1.4</c:v>
                </c:pt>
                <c:pt idx="31">
                  <c:v>-1.9</c:v>
                </c:pt>
                <c:pt idx="32">
                  <c:v>-12.8</c:v>
                </c:pt>
                <c:pt idx="33">
                  <c:v>-12.4</c:v>
                </c:pt>
                <c:pt idx="34">
                  <c:v>-8.3000000000000007</c:v>
                </c:pt>
                <c:pt idx="35">
                  <c:v>-0.3</c:v>
                </c:pt>
                <c:pt idx="36">
                  <c:v>-0.6</c:v>
                </c:pt>
                <c:pt idx="37">
                  <c:v>-8.3000000000000007</c:v>
                </c:pt>
                <c:pt idx="38">
                  <c:v>-6.8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BE7-4FF2-B3A3-E05FE11525CF}"/>
            </c:ext>
          </c:extLst>
        </c:ser>
        <c:ser>
          <c:idx val="12"/>
          <c:order val="12"/>
          <c:tx>
            <c:strRef>
              <c:f>'Trh práce 1-SNÚ'!$AO$7</c:f>
              <c:strCache>
                <c:ptCount val="1"/>
                <c:pt idx="0">
                  <c:v>Očekávání zaměstnanosti (obchod)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1-SNÚ'!$AO$28:$AO$66</c:f>
              <c:numCache>
                <c:formatCode>#\ ##0.0</c:formatCode>
                <c:ptCount val="39"/>
                <c:pt idx="0">
                  <c:v>11.9</c:v>
                </c:pt>
                <c:pt idx="1">
                  <c:v>3.7</c:v>
                </c:pt>
                <c:pt idx="2">
                  <c:v>0.8</c:v>
                </c:pt>
                <c:pt idx="3">
                  <c:v>2.2999999999999998</c:v>
                </c:pt>
                <c:pt idx="4">
                  <c:v>14.8</c:v>
                </c:pt>
                <c:pt idx="5">
                  <c:v>18.2</c:v>
                </c:pt>
                <c:pt idx="6">
                  <c:v>18.7</c:v>
                </c:pt>
                <c:pt idx="7">
                  <c:v>21.4</c:v>
                </c:pt>
                <c:pt idx="8">
                  <c:v>14.5</c:v>
                </c:pt>
                <c:pt idx="9">
                  <c:v>17.100000000000001</c:v>
                </c:pt>
                <c:pt idx="10">
                  <c:v>18.8</c:v>
                </c:pt>
                <c:pt idx="11">
                  <c:v>15.3</c:v>
                </c:pt>
                <c:pt idx="12">
                  <c:v>29.9</c:v>
                </c:pt>
                <c:pt idx="13">
                  <c:v>32.5</c:v>
                </c:pt>
                <c:pt idx="14">
                  <c:v>27.1</c:v>
                </c:pt>
                <c:pt idx="15">
                  <c:v>15.3</c:v>
                </c:pt>
                <c:pt idx="16">
                  <c:v>11.9</c:v>
                </c:pt>
                <c:pt idx="17">
                  <c:v>15.9</c:v>
                </c:pt>
                <c:pt idx="18">
                  <c:v>13.7</c:v>
                </c:pt>
                <c:pt idx="19">
                  <c:v>13</c:v>
                </c:pt>
                <c:pt idx="20">
                  <c:v>11.4</c:v>
                </c:pt>
                <c:pt idx="21">
                  <c:v>-5.9</c:v>
                </c:pt>
                <c:pt idx="22">
                  <c:v>-3.5</c:v>
                </c:pt>
                <c:pt idx="23">
                  <c:v>0.7</c:v>
                </c:pt>
                <c:pt idx="24">
                  <c:v>5.3</c:v>
                </c:pt>
                <c:pt idx="25">
                  <c:v>13.1</c:v>
                </c:pt>
                <c:pt idx="26">
                  <c:v>10.8</c:v>
                </c:pt>
                <c:pt idx="27">
                  <c:v>8.5</c:v>
                </c:pt>
                <c:pt idx="28">
                  <c:v>10.3</c:v>
                </c:pt>
                <c:pt idx="29">
                  <c:v>3.3</c:v>
                </c:pt>
                <c:pt idx="30">
                  <c:v>5.2</c:v>
                </c:pt>
                <c:pt idx="31">
                  <c:v>12.6</c:v>
                </c:pt>
                <c:pt idx="32">
                  <c:v>11.2</c:v>
                </c:pt>
                <c:pt idx="33">
                  <c:v>9</c:v>
                </c:pt>
                <c:pt idx="34">
                  <c:v>11.4</c:v>
                </c:pt>
                <c:pt idx="35">
                  <c:v>10.6</c:v>
                </c:pt>
                <c:pt idx="36">
                  <c:v>5.9</c:v>
                </c:pt>
                <c:pt idx="37">
                  <c:v>9.1</c:v>
                </c:pt>
                <c:pt idx="38">
                  <c:v>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BE7-4FF2-B3A3-E05FE11525CF}"/>
            </c:ext>
          </c:extLst>
        </c:ser>
        <c:ser>
          <c:idx val="13"/>
          <c:order val="13"/>
          <c:tx>
            <c:strRef>
              <c:f>'Trh práce 1-SNÚ'!$AP$7</c:f>
              <c:strCache>
                <c:ptCount val="1"/>
                <c:pt idx="0">
                  <c:v>Očekávání zaměstnanosti (vybr. služby)</c:v>
                </c:pt>
              </c:strCache>
            </c:strRef>
          </c:tx>
          <c:spPr>
            <a:ln w="15875"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1-SNÚ'!$AA$28:$AB$66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1-SNÚ'!$AP$28:$AP$66</c:f>
              <c:numCache>
                <c:formatCode>#\ ##0.0</c:formatCode>
                <c:ptCount val="39"/>
                <c:pt idx="0">
                  <c:v>-16.2</c:v>
                </c:pt>
                <c:pt idx="1">
                  <c:v>-24.6</c:v>
                </c:pt>
                <c:pt idx="2">
                  <c:v>5.2</c:v>
                </c:pt>
                <c:pt idx="3">
                  <c:v>5.2</c:v>
                </c:pt>
                <c:pt idx="4">
                  <c:v>2.8</c:v>
                </c:pt>
                <c:pt idx="5">
                  <c:v>21.8</c:v>
                </c:pt>
                <c:pt idx="6">
                  <c:v>-4.8</c:v>
                </c:pt>
                <c:pt idx="7">
                  <c:v>7.9</c:v>
                </c:pt>
                <c:pt idx="8">
                  <c:v>11.1</c:v>
                </c:pt>
                <c:pt idx="9">
                  <c:v>11</c:v>
                </c:pt>
                <c:pt idx="10">
                  <c:v>19.7</c:v>
                </c:pt>
                <c:pt idx="11">
                  <c:v>3.1</c:v>
                </c:pt>
                <c:pt idx="12">
                  <c:v>15.7</c:v>
                </c:pt>
                <c:pt idx="13">
                  <c:v>10.5</c:v>
                </c:pt>
                <c:pt idx="14">
                  <c:v>9.5</c:v>
                </c:pt>
                <c:pt idx="15">
                  <c:v>-7.6</c:v>
                </c:pt>
                <c:pt idx="16">
                  <c:v>-6.5</c:v>
                </c:pt>
                <c:pt idx="17">
                  <c:v>-1.1000000000000001</c:v>
                </c:pt>
                <c:pt idx="18">
                  <c:v>-4.5999999999999996</c:v>
                </c:pt>
                <c:pt idx="19">
                  <c:v>-15.4</c:v>
                </c:pt>
                <c:pt idx="20">
                  <c:v>-20.5</c:v>
                </c:pt>
                <c:pt idx="21">
                  <c:v>-32.299999999999997</c:v>
                </c:pt>
                <c:pt idx="22">
                  <c:v>-28.6</c:v>
                </c:pt>
                <c:pt idx="23">
                  <c:v>-30.1</c:v>
                </c:pt>
                <c:pt idx="24">
                  <c:v>-27</c:v>
                </c:pt>
                <c:pt idx="25">
                  <c:v>-27.7</c:v>
                </c:pt>
                <c:pt idx="26">
                  <c:v>-12.1</c:v>
                </c:pt>
                <c:pt idx="27">
                  <c:v>-15.8</c:v>
                </c:pt>
                <c:pt idx="28">
                  <c:v>-6.8</c:v>
                </c:pt>
                <c:pt idx="29">
                  <c:v>-3.5</c:v>
                </c:pt>
                <c:pt idx="30">
                  <c:v>-6.1</c:v>
                </c:pt>
                <c:pt idx="31">
                  <c:v>-6.4</c:v>
                </c:pt>
                <c:pt idx="32">
                  <c:v>-10.7</c:v>
                </c:pt>
                <c:pt idx="33">
                  <c:v>-16.7</c:v>
                </c:pt>
                <c:pt idx="34">
                  <c:v>-14.5</c:v>
                </c:pt>
                <c:pt idx="35">
                  <c:v>-15.2</c:v>
                </c:pt>
                <c:pt idx="36">
                  <c:v>-23.7</c:v>
                </c:pt>
                <c:pt idx="37">
                  <c:v>-16</c:v>
                </c:pt>
                <c:pt idx="38">
                  <c:v>-15.7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5BE7-4FF2-B3A3-E05FE11525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2941824"/>
        <c:axId val="332936832"/>
      </c:lineChart>
      <c:catAx>
        <c:axId val="10189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01781504"/>
        <c:crosses val="autoZero"/>
        <c:auto val="1"/>
        <c:lblAlgn val="ctr"/>
        <c:lblOffset val="10"/>
        <c:noMultiLvlLbl val="0"/>
      </c:catAx>
      <c:valAx>
        <c:axId val="101781504"/>
        <c:scaling>
          <c:orientation val="minMax"/>
          <c:max val="2.5"/>
          <c:min val="-4.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Příspěvek k růstu zaměstnanosti</a:t>
                </a:r>
              </a:p>
            </c:rich>
          </c:tx>
          <c:layout/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1898496"/>
        <c:crosses val="autoZero"/>
        <c:crossBetween val="between"/>
        <c:majorUnit val="0.5"/>
      </c:valAx>
      <c:valAx>
        <c:axId val="332936832"/>
        <c:scaling>
          <c:orientation val="minMax"/>
          <c:max val="100"/>
          <c:min val="-4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Očekávání vývoje zaměstnanosti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332941824"/>
        <c:crosses val="max"/>
        <c:crossBetween val="between"/>
        <c:majorUnit val="10"/>
      </c:valAx>
      <c:catAx>
        <c:axId val="332941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32936832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1.5472441370721637E-2"/>
          <c:y val="0.77992823117070742"/>
          <c:w val="0.96005692595618608"/>
          <c:h val="0.21194618315349945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036417007492182E-2"/>
          <c:y val="1.6081916099773243E-2"/>
          <c:w val="0.84656372322027451"/>
          <c:h val="0.764940823491389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'Trh práce-2b'!$A$32</c:f>
              <c:strCache>
                <c:ptCount val="1"/>
                <c:pt idx="0">
                  <c:v>Míra nezaměstnanosti mužů</c:v>
                </c:pt>
              </c:strCache>
            </c:strRef>
          </c:tx>
          <c:spPr>
            <a:solidFill>
              <a:srgbClr val="BCBCBC"/>
            </a:solidFill>
          </c:spPr>
          <c:invertIfNegative val="0"/>
          <c:cat>
            <c:multiLvlStrRef>
              <c:f>'Trh práce-2b'!$B$30:$AN$31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práce-2b'!$B$32:$AN$32</c:f>
              <c:numCache>
                <c:formatCode>0.0</c:formatCode>
                <c:ptCount val="39"/>
                <c:pt idx="0">
                  <c:v>5.0116834356202711</c:v>
                </c:pt>
                <c:pt idx="1">
                  <c:v>4.3144171499961006</c:v>
                </c:pt>
                <c:pt idx="2">
                  <c:v>4.0699746498252383</c:v>
                </c:pt>
                <c:pt idx="3">
                  <c:v>3.788181157882581</c:v>
                </c:pt>
                <c:pt idx="4">
                  <c:v>3.6422518091247906</c:v>
                </c:pt>
                <c:pt idx="5">
                  <c:v>3.5638435908152037</c:v>
                </c:pt>
                <c:pt idx="6">
                  <c:v>3.4025925990827304</c:v>
                </c:pt>
                <c:pt idx="7">
                  <c:v>3.1529010237125679</c:v>
                </c:pt>
                <c:pt idx="8">
                  <c:v>2.6882635524440506</c:v>
                </c:pt>
                <c:pt idx="9">
                  <c:v>2.4873275349702868</c:v>
                </c:pt>
                <c:pt idx="10">
                  <c:v>2.2565941418714899</c:v>
                </c:pt>
                <c:pt idx="11">
                  <c:v>2.0813168878012083</c:v>
                </c:pt>
                <c:pt idx="12">
                  <c:v>1.8912512679597702</c:v>
                </c:pt>
                <c:pt idx="13">
                  <c:v>1.8276752649046539</c:v>
                </c:pt>
                <c:pt idx="14">
                  <c:v>1.8939194395031631</c:v>
                </c:pt>
                <c:pt idx="15">
                  <c:v>1.6782847964860206</c:v>
                </c:pt>
                <c:pt idx="16">
                  <c:v>1.8009051131350233</c:v>
                </c:pt>
                <c:pt idx="17">
                  <c:v>1.6740402528100713</c:v>
                </c:pt>
                <c:pt idx="18">
                  <c:v>1.7696924435634074</c:v>
                </c:pt>
                <c:pt idx="19">
                  <c:v>1.8537329598795036</c:v>
                </c:pt>
                <c:pt idx="20">
                  <c:v>1.8415714826171661</c:v>
                </c:pt>
                <c:pt idx="21">
                  <c:v>2.2782884607539797</c:v>
                </c:pt>
                <c:pt idx="22">
                  <c:v>2.5160163484602922</c:v>
                </c:pt>
                <c:pt idx="23">
                  <c:v>2.5627694319040919</c:v>
                </c:pt>
                <c:pt idx="24">
                  <c:v>2.6539228447108481</c:v>
                </c:pt>
                <c:pt idx="25">
                  <c:v>2.5479223676372951</c:v>
                </c:pt>
                <c:pt idx="26">
                  <c:v>2.2824742673948308</c:v>
                </c:pt>
                <c:pt idx="27">
                  <c:v>1.957707379533411</c:v>
                </c:pt>
                <c:pt idx="28">
                  <c:v>1.9827325378513576</c:v>
                </c:pt>
                <c:pt idx="29">
                  <c:v>1.8850313203109046</c:v>
                </c:pt>
                <c:pt idx="30">
                  <c:v>1.900165270330973</c:v>
                </c:pt>
                <c:pt idx="31">
                  <c:v>2.0945872255105722</c:v>
                </c:pt>
                <c:pt idx="32">
                  <c:v>2.1816558358367728</c:v>
                </c:pt>
                <c:pt idx="33">
                  <c:v>2.2471673118848834</c:v>
                </c:pt>
                <c:pt idx="34">
                  <c:v>2.318554497142125</c:v>
                </c:pt>
                <c:pt idx="35">
                  <c:v>2.355575597618718</c:v>
                </c:pt>
                <c:pt idx="36">
                  <c:v>2.4338145992567601</c:v>
                </c:pt>
                <c:pt idx="37">
                  <c:v>2.4830067209308866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BE-41F1-97FF-FC70BF346FDD}"/>
            </c:ext>
          </c:extLst>
        </c:ser>
        <c:ser>
          <c:idx val="1"/>
          <c:order val="1"/>
          <c:tx>
            <c:strRef>
              <c:f>'Trh práce-2b'!$A$33</c:f>
              <c:strCache>
                <c:ptCount val="1"/>
                <c:pt idx="0">
                  <c:v>Míra nezaměstnanosti žen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cat>
            <c:multiLvlStrRef>
              <c:f>'Trh práce-2b'!$B$30:$AN$31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práce-2b'!$B$33:$AN$33</c:f>
              <c:numCache>
                <c:formatCode>0.0</c:formatCode>
                <c:ptCount val="39"/>
                <c:pt idx="0">
                  <c:v>6.9167370955668472</c:v>
                </c:pt>
                <c:pt idx="1">
                  <c:v>6.1502064445681066</c:v>
                </c:pt>
                <c:pt idx="2">
                  <c:v>5.9839702762481792</c:v>
                </c:pt>
                <c:pt idx="3">
                  <c:v>5.6693800297492487</c:v>
                </c:pt>
                <c:pt idx="4">
                  <c:v>5.0615432640052243</c:v>
                </c:pt>
                <c:pt idx="5">
                  <c:v>4.7962841495875521</c:v>
                </c:pt>
                <c:pt idx="6">
                  <c:v>4.8166680310125551</c:v>
                </c:pt>
                <c:pt idx="7">
                  <c:v>4.3736174018530916</c:v>
                </c:pt>
                <c:pt idx="8">
                  <c:v>4.2602157089566015</c:v>
                </c:pt>
                <c:pt idx="9">
                  <c:v>3.8863748200461621</c:v>
                </c:pt>
                <c:pt idx="10">
                  <c:v>3.4171467662038459</c:v>
                </c:pt>
                <c:pt idx="11">
                  <c:v>3.0348244863363938</c:v>
                </c:pt>
                <c:pt idx="12">
                  <c:v>2.9313401764553944</c:v>
                </c:pt>
                <c:pt idx="13">
                  <c:v>2.8833100157381772</c:v>
                </c:pt>
                <c:pt idx="14">
                  <c:v>2.8659110366928537</c:v>
                </c:pt>
                <c:pt idx="15">
                  <c:v>2.6899917309070567</c:v>
                </c:pt>
                <c:pt idx="16">
                  <c:v>2.2363695446447416</c:v>
                </c:pt>
                <c:pt idx="17">
                  <c:v>2.4627784154123873</c:v>
                </c:pt>
                <c:pt idx="18">
                  <c:v>2.5739133097610503</c:v>
                </c:pt>
                <c:pt idx="19">
                  <c:v>2.4454526419656264</c:v>
                </c:pt>
                <c:pt idx="20">
                  <c:v>2.0344410292522253</c:v>
                </c:pt>
                <c:pt idx="21">
                  <c:v>2.8017898963096233</c:v>
                </c:pt>
                <c:pt idx="22">
                  <c:v>3.3786935724421236</c:v>
                </c:pt>
                <c:pt idx="23">
                  <c:v>3.9084647466352336</c:v>
                </c:pt>
                <c:pt idx="24">
                  <c:v>4.1399659954972456</c:v>
                </c:pt>
                <c:pt idx="25">
                  <c:v>3.8956044477176626</c:v>
                </c:pt>
                <c:pt idx="26">
                  <c:v>3.2699358178156586</c:v>
                </c:pt>
                <c:pt idx="27">
                  <c:v>2.7480957830745378</c:v>
                </c:pt>
                <c:pt idx="28">
                  <c:v>2.9825670027236391</c:v>
                </c:pt>
                <c:pt idx="29">
                  <c:v>3.199371338415451</c:v>
                </c:pt>
                <c:pt idx="30">
                  <c:v>2.9049841886011145</c:v>
                </c:pt>
                <c:pt idx="31">
                  <c:v>2.8106218880042451</c:v>
                </c:pt>
                <c:pt idx="32">
                  <c:v>3.0139871339214444</c:v>
                </c:pt>
                <c:pt idx="33">
                  <c:v>3.1834039918089965</c:v>
                </c:pt>
                <c:pt idx="34">
                  <c:v>3.2231424303778895</c:v>
                </c:pt>
                <c:pt idx="35">
                  <c:v>3.3137277250512422</c:v>
                </c:pt>
                <c:pt idx="36">
                  <c:v>3.5203258225787226</c:v>
                </c:pt>
                <c:pt idx="37">
                  <c:v>3.2089044506205635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E-41F1-97FF-FC70BF346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100654464"/>
        <c:axId val="101647488"/>
      </c:barChart>
      <c:lineChart>
        <c:grouping val="standard"/>
        <c:varyColors val="0"/>
        <c:ser>
          <c:idx val="4"/>
          <c:order val="2"/>
          <c:tx>
            <c:strRef>
              <c:f>'Trh práce-2b'!$A$34</c:f>
              <c:strCache>
                <c:ptCount val="1"/>
                <c:pt idx="0">
                  <c:v>VPM pro vyučené a SŠ bez mat.</c:v>
                </c:pt>
              </c:strCache>
            </c:strRef>
          </c:tx>
          <c:spPr>
            <a:ln w="19050">
              <a:noFill/>
              <a:prstDash val="sysDash"/>
            </a:ln>
          </c:spPr>
          <c:marker>
            <c:symbol val="circle"/>
            <c:size val="4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</c:spPr>
          </c:marker>
          <c:cat>
            <c:multiLvlStrRef>
              <c:f>'Trh práce-2b'!$B$30:$AN$31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práce-2b'!$B$34:$AN$34</c:f>
              <c:numCache>
                <c:formatCode>0.0</c:formatCode>
                <c:ptCount val="39"/>
                <c:pt idx="0">
                  <c:v>31.7</c:v>
                </c:pt>
                <c:pt idx="1">
                  <c:v>39.700000000000003</c:v>
                </c:pt>
                <c:pt idx="2">
                  <c:v>44.4</c:v>
                </c:pt>
                <c:pt idx="3">
                  <c:v>41.2</c:v>
                </c:pt>
                <c:pt idx="4">
                  <c:v>45.3</c:v>
                </c:pt>
                <c:pt idx="5">
                  <c:v>51.4</c:v>
                </c:pt>
                <c:pt idx="6">
                  <c:v>52.8</c:v>
                </c:pt>
                <c:pt idx="7">
                  <c:v>47.2</c:v>
                </c:pt>
                <c:pt idx="8">
                  <c:v>51.5</c:v>
                </c:pt>
                <c:pt idx="9">
                  <c:v>59.1</c:v>
                </c:pt>
                <c:pt idx="10">
                  <c:v>63.1</c:v>
                </c:pt>
                <c:pt idx="11">
                  <c:v>60.9</c:v>
                </c:pt>
                <c:pt idx="12">
                  <c:v>65.3</c:v>
                </c:pt>
                <c:pt idx="13">
                  <c:v>73.3</c:v>
                </c:pt>
                <c:pt idx="14">
                  <c:v>74.2</c:v>
                </c:pt>
                <c:pt idx="15">
                  <c:v>70.400000000000006</c:v>
                </c:pt>
                <c:pt idx="16">
                  <c:v>70.2</c:v>
                </c:pt>
                <c:pt idx="17">
                  <c:v>68</c:v>
                </c:pt>
                <c:pt idx="18">
                  <c:v>65.8</c:v>
                </c:pt>
                <c:pt idx="19">
                  <c:v>59.1</c:v>
                </c:pt>
                <c:pt idx="20">
                  <c:v>57.7</c:v>
                </c:pt>
                <c:pt idx="21">
                  <c:v>54.3</c:v>
                </c:pt>
                <c:pt idx="22">
                  <c:v>49.1</c:v>
                </c:pt>
                <c:pt idx="23">
                  <c:v>46.6</c:v>
                </c:pt>
                <c:pt idx="24">
                  <c:v>47.9</c:v>
                </c:pt>
                <c:pt idx="25">
                  <c:v>53.9</c:v>
                </c:pt>
                <c:pt idx="26">
                  <c:v>55.5</c:v>
                </c:pt>
                <c:pt idx="27">
                  <c:v>48.9</c:v>
                </c:pt>
                <c:pt idx="28">
                  <c:v>53.7</c:v>
                </c:pt>
                <c:pt idx="29">
                  <c:v>51.3</c:v>
                </c:pt>
                <c:pt idx="30">
                  <c:v>48.2</c:v>
                </c:pt>
                <c:pt idx="31">
                  <c:v>43.887</c:v>
                </c:pt>
                <c:pt idx="32">
                  <c:v>43.122</c:v>
                </c:pt>
                <c:pt idx="33">
                  <c:v>42.853999999999999</c:v>
                </c:pt>
                <c:pt idx="34">
                  <c:v>41.186</c:v>
                </c:pt>
                <c:pt idx="35">
                  <c:v>38.177999999999997</c:v>
                </c:pt>
                <c:pt idx="36">
                  <c:v>37.228000000000002</c:v>
                </c:pt>
                <c:pt idx="37">
                  <c:v>36.956000000000003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EBE-41F1-97FF-FC70BF346FDD}"/>
            </c:ext>
          </c:extLst>
        </c:ser>
        <c:ser>
          <c:idx val="5"/>
          <c:order val="3"/>
          <c:tx>
            <c:strRef>
              <c:f>'Trh práce-2b'!$A$35</c:f>
              <c:strCache>
                <c:ptCount val="1"/>
                <c:pt idx="0">
                  <c:v>VPM pro SŠ s mat., VOŠ a VŠ</c:v>
                </c:pt>
              </c:strCache>
            </c:strRef>
          </c:tx>
          <c:spPr>
            <a:ln w="19050">
              <a:noFill/>
              <a:prstDash val="dash"/>
            </a:ln>
          </c:spPr>
          <c:marker>
            <c:symbol val="triangle"/>
            <c:size val="5"/>
            <c:spPr>
              <a:solidFill>
                <a:srgbClr val="00B050"/>
              </a:solidFill>
              <a:ln>
                <a:noFill/>
              </a:ln>
            </c:spPr>
          </c:marker>
          <c:cat>
            <c:multiLvlStrRef>
              <c:f>'Trh práce-2b'!$B$30:$AN$31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práce-2b'!$B$35:$AN$35</c:f>
              <c:numCache>
                <c:formatCode>0.0</c:formatCode>
                <c:ptCount val="39"/>
                <c:pt idx="0">
                  <c:v>16.600000000000001</c:v>
                </c:pt>
                <c:pt idx="1">
                  <c:v>19.3</c:v>
                </c:pt>
                <c:pt idx="2">
                  <c:v>20</c:v>
                </c:pt>
                <c:pt idx="3">
                  <c:v>19.600000000000001</c:v>
                </c:pt>
                <c:pt idx="4">
                  <c:v>23.4</c:v>
                </c:pt>
                <c:pt idx="5">
                  <c:v>24.8</c:v>
                </c:pt>
                <c:pt idx="6">
                  <c:v>25.2</c:v>
                </c:pt>
                <c:pt idx="7">
                  <c:v>23.5</c:v>
                </c:pt>
                <c:pt idx="8">
                  <c:v>25.9</c:v>
                </c:pt>
                <c:pt idx="9">
                  <c:v>30.3</c:v>
                </c:pt>
                <c:pt idx="10">
                  <c:v>31.4</c:v>
                </c:pt>
                <c:pt idx="11">
                  <c:v>31.8</c:v>
                </c:pt>
                <c:pt idx="12">
                  <c:v>34.299999999999997</c:v>
                </c:pt>
                <c:pt idx="13">
                  <c:v>38</c:v>
                </c:pt>
                <c:pt idx="14">
                  <c:v>37.200000000000003</c:v>
                </c:pt>
                <c:pt idx="15">
                  <c:v>36.6</c:v>
                </c:pt>
                <c:pt idx="16">
                  <c:v>37.299999999999997</c:v>
                </c:pt>
                <c:pt idx="17">
                  <c:v>38.299999999999997</c:v>
                </c:pt>
                <c:pt idx="18">
                  <c:v>38.6</c:v>
                </c:pt>
                <c:pt idx="19">
                  <c:v>36.299999999999997</c:v>
                </c:pt>
                <c:pt idx="20">
                  <c:v>37.700000000000003</c:v>
                </c:pt>
                <c:pt idx="21">
                  <c:v>38.1</c:v>
                </c:pt>
                <c:pt idx="22">
                  <c:v>34.4</c:v>
                </c:pt>
                <c:pt idx="23">
                  <c:v>34.1</c:v>
                </c:pt>
                <c:pt idx="24">
                  <c:v>36.299999999999997</c:v>
                </c:pt>
                <c:pt idx="25">
                  <c:v>39.6</c:v>
                </c:pt>
                <c:pt idx="26">
                  <c:v>40.299999999999997</c:v>
                </c:pt>
                <c:pt idx="27">
                  <c:v>39.200000000000003</c:v>
                </c:pt>
                <c:pt idx="28">
                  <c:v>42.5</c:v>
                </c:pt>
                <c:pt idx="29">
                  <c:v>41</c:v>
                </c:pt>
                <c:pt idx="30">
                  <c:v>38.5</c:v>
                </c:pt>
                <c:pt idx="31">
                  <c:v>36.56</c:v>
                </c:pt>
                <c:pt idx="32">
                  <c:v>37.613</c:v>
                </c:pt>
                <c:pt idx="33">
                  <c:v>38.130000000000003</c:v>
                </c:pt>
                <c:pt idx="34">
                  <c:v>36.289000000000001</c:v>
                </c:pt>
                <c:pt idx="35">
                  <c:v>34.274000000000001</c:v>
                </c:pt>
                <c:pt idx="36">
                  <c:v>35.200000000000003</c:v>
                </c:pt>
                <c:pt idx="37">
                  <c:v>33.491999999999997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EBE-41F1-97FF-FC70BF346FDD}"/>
            </c:ext>
          </c:extLst>
        </c:ser>
        <c:ser>
          <c:idx val="6"/>
          <c:order val="4"/>
          <c:tx>
            <c:strRef>
              <c:f>'Trh práce-2b'!$A$36</c:f>
              <c:strCache>
                <c:ptCount val="1"/>
                <c:pt idx="0">
                  <c:v>Pracující cizinci (Ukrajinci)</c:v>
                </c:pt>
              </c:strCache>
            </c:strRef>
          </c:tx>
          <c:spPr>
            <a:ln w="15875">
              <a:solidFill>
                <a:srgbClr val="FFC000"/>
              </a:solidFill>
              <a:prstDash val="sysDash"/>
            </a:ln>
          </c:spPr>
          <c:marker>
            <c:symbol val="none"/>
          </c:marker>
          <c:cat>
            <c:multiLvlStrRef>
              <c:f>'Trh práce-2b'!$B$30:$AN$31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práce-2b'!$B$36:$AN$36</c:f>
              <c:numCache>
                <c:formatCode>#,##0</c:formatCode>
                <c:ptCount val="39"/>
                <c:pt idx="0">
                  <c:v>35.723999999999997</c:v>
                </c:pt>
                <c:pt idx="1">
                  <c:v>38.613999999999997</c:v>
                </c:pt>
                <c:pt idx="2">
                  <c:v>40.725999999999999</c:v>
                </c:pt>
                <c:pt idx="3">
                  <c:v>41.776000000000003</c:v>
                </c:pt>
                <c:pt idx="4">
                  <c:v>43.104999999999997</c:v>
                </c:pt>
                <c:pt idx="5">
                  <c:v>49.847000000000001</c:v>
                </c:pt>
                <c:pt idx="6">
                  <c:v>54.764000000000003</c:v>
                </c:pt>
                <c:pt idx="7">
                  <c:v>54.540999999999997</c:v>
                </c:pt>
                <c:pt idx="8">
                  <c:v>59.363</c:v>
                </c:pt>
                <c:pt idx="9">
                  <c:v>69.864000000000004</c:v>
                </c:pt>
                <c:pt idx="10">
                  <c:v>76.724000000000004</c:v>
                </c:pt>
                <c:pt idx="11">
                  <c:v>81.688999999999993</c:v>
                </c:pt>
                <c:pt idx="12">
                  <c:v>97.317999999999998</c:v>
                </c:pt>
                <c:pt idx="13">
                  <c:v>115.39100000000001</c:v>
                </c:pt>
                <c:pt idx="14">
                  <c:v>134.202</c:v>
                </c:pt>
                <c:pt idx="15">
                  <c:v>121.08499999999999</c:v>
                </c:pt>
                <c:pt idx="16">
                  <c:v>146.08500000000001</c:v>
                </c:pt>
                <c:pt idx="17">
                  <c:v>152.69800000000001</c:v>
                </c:pt>
                <c:pt idx="18">
                  <c:v>164.92400000000001</c:v>
                </c:pt>
                <c:pt idx="19">
                  <c:v>144.114</c:v>
                </c:pt>
                <c:pt idx="20">
                  <c:v>169.14699999999999</c:v>
                </c:pt>
                <c:pt idx="21">
                  <c:v>133.08600000000001</c:v>
                </c:pt>
                <c:pt idx="22">
                  <c:v>173.584</c:v>
                </c:pt>
                <c:pt idx="23">
                  <c:v>159.46799999999999</c:v>
                </c:pt>
                <c:pt idx="24">
                  <c:v>186.35599999999999</c:v>
                </c:pt>
                <c:pt idx="25">
                  <c:v>191.58500000000001</c:v>
                </c:pt>
                <c:pt idx="26">
                  <c:v>214.10599999999999</c:v>
                </c:pt>
                <c:pt idx="27">
                  <c:v>195.11600000000001</c:v>
                </c:pt>
                <c:pt idx="28">
                  <c:v>238.024</c:v>
                </c:pt>
                <c:pt idx="29">
                  <c:v>248.58799999999999</c:v>
                </c:pt>
                <c:pt idx="30">
                  <c:v>262.17899999999997</c:v>
                </c:pt>
                <c:pt idx="31">
                  <c:v>269.911</c:v>
                </c:pt>
                <c:pt idx="32">
                  <c:v>261.31299999999999</c:v>
                </c:pt>
                <c:pt idx="33">
                  <c:v>269.04500000000002</c:v>
                </c:pt>
                <c:pt idx="34">
                  <c:v>282.22300000000001</c:v>
                </c:pt>
                <c:pt idx="35">
                  <c:v>285.54500000000002</c:v>
                </c:pt>
                <c:pt idx="36">
                  <c:v>283.649</c:v>
                </c:pt>
                <c:pt idx="37">
                  <c:v>286.25599999999997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EBE-41F1-97FF-FC70BF346FDD}"/>
            </c:ext>
          </c:extLst>
        </c:ser>
        <c:ser>
          <c:idx val="7"/>
          <c:order val="5"/>
          <c:tx>
            <c:strRef>
              <c:f>'Trh práce-2b'!$A$37</c:f>
              <c:strCache>
                <c:ptCount val="1"/>
                <c:pt idx="0">
                  <c:v>Pracující cizinci (Slováci)</c:v>
                </c:pt>
              </c:strCache>
            </c:strRef>
          </c:tx>
          <c:spPr>
            <a:ln w="19050">
              <a:solidFill>
                <a:schemeClr val="accent2">
                  <a:lumMod val="60000"/>
                  <a:lumOff val="40000"/>
                </a:schemeClr>
              </a:solidFill>
              <a:prstDash val="sysDash"/>
            </a:ln>
          </c:spPr>
          <c:marker>
            <c:symbol val="none"/>
          </c:marker>
          <c:cat>
            <c:multiLvlStrRef>
              <c:f>'Trh práce-2b'!$B$30:$AN$31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práce-2b'!$B$37:$AN$37</c:f>
              <c:numCache>
                <c:formatCode>#,##0</c:formatCode>
                <c:ptCount val="39"/>
                <c:pt idx="0">
                  <c:v>132.65199999999999</c:v>
                </c:pt>
                <c:pt idx="1">
                  <c:v>141.858</c:v>
                </c:pt>
                <c:pt idx="2">
                  <c:v>148.23099999999999</c:v>
                </c:pt>
                <c:pt idx="3">
                  <c:v>150.31700000000001</c:v>
                </c:pt>
                <c:pt idx="4">
                  <c:v>148.67500000000001</c:v>
                </c:pt>
                <c:pt idx="5">
                  <c:v>153.64599999999999</c:v>
                </c:pt>
                <c:pt idx="6">
                  <c:v>159.30099999999999</c:v>
                </c:pt>
                <c:pt idx="7">
                  <c:v>161.559</c:v>
                </c:pt>
                <c:pt idx="8">
                  <c:v>159.88200000000001</c:v>
                </c:pt>
                <c:pt idx="9">
                  <c:v>165.69800000000001</c:v>
                </c:pt>
                <c:pt idx="10">
                  <c:v>170.643</c:v>
                </c:pt>
                <c:pt idx="11">
                  <c:v>177.059</c:v>
                </c:pt>
                <c:pt idx="12">
                  <c:v>180.01900000000001</c:v>
                </c:pt>
                <c:pt idx="13">
                  <c:v>187.33799999999999</c:v>
                </c:pt>
                <c:pt idx="14">
                  <c:v>192.66499999999999</c:v>
                </c:pt>
                <c:pt idx="15">
                  <c:v>191.81800000000001</c:v>
                </c:pt>
                <c:pt idx="16">
                  <c:v>187.18299999999999</c:v>
                </c:pt>
                <c:pt idx="17">
                  <c:v>191.41800000000001</c:v>
                </c:pt>
                <c:pt idx="18">
                  <c:v>199.02799999999999</c:v>
                </c:pt>
                <c:pt idx="19">
                  <c:v>201.952</c:v>
                </c:pt>
                <c:pt idx="20">
                  <c:v>198.05799999999999</c:v>
                </c:pt>
                <c:pt idx="21">
                  <c:v>199.249</c:v>
                </c:pt>
                <c:pt idx="22">
                  <c:v>202.91</c:v>
                </c:pt>
                <c:pt idx="23">
                  <c:v>204.29400000000001</c:v>
                </c:pt>
                <c:pt idx="24">
                  <c:v>201.91800000000001</c:v>
                </c:pt>
                <c:pt idx="25">
                  <c:v>204.476</c:v>
                </c:pt>
                <c:pt idx="26">
                  <c:v>208.249</c:v>
                </c:pt>
                <c:pt idx="27">
                  <c:v>209.273</c:v>
                </c:pt>
                <c:pt idx="28">
                  <c:v>207.86</c:v>
                </c:pt>
                <c:pt idx="29">
                  <c:v>211.31700000000001</c:v>
                </c:pt>
                <c:pt idx="30">
                  <c:v>212.55099999999999</c:v>
                </c:pt>
                <c:pt idx="31">
                  <c:v>213.447</c:v>
                </c:pt>
                <c:pt idx="32">
                  <c:v>209.79599999999999</c:v>
                </c:pt>
                <c:pt idx="33">
                  <c:v>212.12299999999999</c:v>
                </c:pt>
                <c:pt idx="34">
                  <c:v>215.20599999999999</c:v>
                </c:pt>
                <c:pt idx="35">
                  <c:v>216.239</c:v>
                </c:pt>
                <c:pt idx="36">
                  <c:v>213.9</c:v>
                </c:pt>
                <c:pt idx="37">
                  <c:v>216.68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EBE-41F1-97FF-FC70BF346FDD}"/>
            </c:ext>
          </c:extLst>
        </c:ser>
        <c:ser>
          <c:idx val="2"/>
          <c:order val="6"/>
          <c:tx>
            <c:strRef>
              <c:f>'Trh práce-2b'!$A$38</c:f>
              <c:strCache>
                <c:ptCount val="1"/>
                <c:pt idx="0">
                  <c:v>Pracující cizinci (občané ostat. zemí)</c:v>
                </c:pt>
              </c:strCache>
            </c:strRef>
          </c:tx>
          <c:spPr>
            <a:ln w="19050">
              <a:solidFill>
                <a:srgbClr val="D4A97E"/>
              </a:solidFill>
              <a:prstDash val="sysDash"/>
            </a:ln>
          </c:spPr>
          <c:marker>
            <c:symbol val="none"/>
          </c:marker>
          <c:cat>
            <c:multiLvlStrRef>
              <c:f>'Trh práce-2b'!$B$30:$AN$31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práce-2b'!$B$38:$AN$38</c:f>
              <c:numCache>
                <c:formatCode>#,##0</c:formatCode>
                <c:ptCount val="39"/>
                <c:pt idx="0">
                  <c:v>100.735</c:v>
                </c:pt>
                <c:pt idx="1">
                  <c:v>113.586</c:v>
                </c:pt>
                <c:pt idx="2">
                  <c:v>124.599</c:v>
                </c:pt>
                <c:pt idx="3">
                  <c:v>129.863</c:v>
                </c:pt>
                <c:pt idx="4">
                  <c:v>134.048</c:v>
                </c:pt>
                <c:pt idx="5">
                  <c:v>145.23599999999999</c:v>
                </c:pt>
                <c:pt idx="6">
                  <c:v>159.786</c:v>
                </c:pt>
                <c:pt idx="7">
                  <c:v>165.274</c:v>
                </c:pt>
                <c:pt idx="8">
                  <c:v>173.614</c:v>
                </c:pt>
                <c:pt idx="9">
                  <c:v>187.52799999999999</c:v>
                </c:pt>
                <c:pt idx="10">
                  <c:v>199.11799999999999</c:v>
                </c:pt>
                <c:pt idx="11">
                  <c:v>213.59899999999999</c:v>
                </c:pt>
                <c:pt idx="12">
                  <c:v>228.61600000000001</c:v>
                </c:pt>
                <c:pt idx="13">
                  <c:v>244.029</c:v>
                </c:pt>
                <c:pt idx="14">
                  <c:v>258.82100000000003</c:v>
                </c:pt>
                <c:pt idx="15">
                  <c:v>255.77199999999999</c:v>
                </c:pt>
                <c:pt idx="16">
                  <c:v>255.12200000000001</c:v>
                </c:pt>
                <c:pt idx="17">
                  <c:v>262.36599999999999</c:v>
                </c:pt>
                <c:pt idx="18">
                  <c:v>277.37400000000002</c:v>
                </c:pt>
                <c:pt idx="19">
                  <c:v>275.80399999999997</c:v>
                </c:pt>
                <c:pt idx="20">
                  <c:v>277.709</c:v>
                </c:pt>
                <c:pt idx="21">
                  <c:v>270.178</c:v>
                </c:pt>
                <c:pt idx="22">
                  <c:v>278.71699999999998</c:v>
                </c:pt>
                <c:pt idx="23">
                  <c:v>280.40199999999999</c:v>
                </c:pt>
                <c:pt idx="24">
                  <c:v>281.459</c:v>
                </c:pt>
                <c:pt idx="25">
                  <c:v>285.55</c:v>
                </c:pt>
                <c:pt idx="26">
                  <c:v>297.53500000000003</c:v>
                </c:pt>
                <c:pt idx="27">
                  <c:v>297.44099999999997</c:v>
                </c:pt>
                <c:pt idx="28">
                  <c:v>300.39299999999997</c:v>
                </c:pt>
                <c:pt idx="29">
                  <c:v>307.61</c:v>
                </c:pt>
                <c:pt idx="30">
                  <c:v>310.33499999999998</c:v>
                </c:pt>
                <c:pt idx="31">
                  <c:v>309.93200000000002</c:v>
                </c:pt>
                <c:pt idx="32">
                  <c:v>308.2</c:v>
                </c:pt>
                <c:pt idx="33">
                  <c:v>314.923</c:v>
                </c:pt>
                <c:pt idx="34">
                  <c:v>320.48399999999998</c:v>
                </c:pt>
                <c:pt idx="35">
                  <c:v>322.161</c:v>
                </c:pt>
                <c:pt idx="36">
                  <c:v>320.39100000000002</c:v>
                </c:pt>
                <c:pt idx="37">
                  <c:v>324.68299999999999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EBE-41F1-97FF-FC70BF346FDD}"/>
            </c:ext>
          </c:extLst>
        </c:ser>
        <c:ser>
          <c:idx val="3"/>
          <c:order val="7"/>
          <c:tx>
            <c:strRef>
              <c:f>'Trh práce-2b'!$A$39</c:f>
              <c:strCache>
                <c:ptCount val="1"/>
                <c:pt idx="0">
                  <c:v>Očekávání vývoje nezaměstnanosti</c:v>
                </c:pt>
              </c:strCache>
            </c:strRef>
          </c:tx>
          <c:spPr>
            <a:ln w="19050">
              <a:solidFill>
                <a:schemeClr val="tx1">
                  <a:lumMod val="85000"/>
                  <a:lumOff val="15000"/>
                </a:schemeClr>
              </a:solidFill>
              <a:prstDash val="dash"/>
            </a:ln>
          </c:spPr>
          <c:marker>
            <c:symbol val="none"/>
          </c:marker>
          <c:cat>
            <c:multiLvlStrRef>
              <c:f>'Trh práce-2b'!$B$30:$AN$31</c:f>
              <c:multiLvlStrCache>
                <c:ptCount val="3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práce-2b'!$B$39:$AN$39</c:f>
              <c:numCache>
                <c:formatCode>0.0</c:formatCode>
                <c:ptCount val="39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  <c:pt idx="5">
                  <c:v>10</c:v>
                </c:pt>
                <c:pt idx="6">
                  <c:v>5</c:v>
                </c:pt>
                <c:pt idx="7">
                  <c:v>4</c:v>
                </c:pt>
                <c:pt idx="8">
                  <c:v>1</c:v>
                </c:pt>
                <c:pt idx="9">
                  <c:v>-3</c:v>
                </c:pt>
                <c:pt idx="10">
                  <c:v>0</c:v>
                </c:pt>
                <c:pt idx="11">
                  <c:v>-1</c:v>
                </c:pt>
                <c:pt idx="12">
                  <c:v>-1</c:v>
                </c:pt>
                <c:pt idx="13">
                  <c:v>-2</c:v>
                </c:pt>
                <c:pt idx="14">
                  <c:v>-2</c:v>
                </c:pt>
                <c:pt idx="15">
                  <c:v>4</c:v>
                </c:pt>
                <c:pt idx="16">
                  <c:v>8</c:v>
                </c:pt>
                <c:pt idx="17">
                  <c:v>8</c:v>
                </c:pt>
                <c:pt idx="18">
                  <c:v>11</c:v>
                </c:pt>
                <c:pt idx="19">
                  <c:v>12</c:v>
                </c:pt>
                <c:pt idx="20">
                  <c:v>18</c:v>
                </c:pt>
                <c:pt idx="21">
                  <c:v>49</c:v>
                </c:pt>
                <c:pt idx="22">
                  <c:v>46</c:v>
                </c:pt>
                <c:pt idx="23">
                  <c:v>60</c:v>
                </c:pt>
                <c:pt idx="24">
                  <c:v>57</c:v>
                </c:pt>
                <c:pt idx="25">
                  <c:v>24</c:v>
                </c:pt>
                <c:pt idx="26">
                  <c:v>16</c:v>
                </c:pt>
                <c:pt idx="27">
                  <c:v>20</c:v>
                </c:pt>
                <c:pt idx="28">
                  <c:v>14</c:v>
                </c:pt>
                <c:pt idx="29">
                  <c:v>20</c:v>
                </c:pt>
                <c:pt idx="30">
                  <c:v>26</c:v>
                </c:pt>
                <c:pt idx="31">
                  <c:v>40</c:v>
                </c:pt>
                <c:pt idx="32">
                  <c:v>35</c:v>
                </c:pt>
                <c:pt idx="33">
                  <c:v>29</c:v>
                </c:pt>
                <c:pt idx="34">
                  <c:v>25</c:v>
                </c:pt>
                <c:pt idx="35">
                  <c:v>17</c:v>
                </c:pt>
                <c:pt idx="36">
                  <c:v>25</c:v>
                </c:pt>
                <c:pt idx="37">
                  <c:v>22</c:v>
                </c:pt>
                <c:pt idx="38">
                  <c:v>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EBE-41F1-97FF-FC70BF346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1670576"/>
        <c:axId val="323971328"/>
      </c:lineChart>
      <c:catAx>
        <c:axId val="10065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01647488"/>
        <c:crossesAt val="-50"/>
        <c:auto val="1"/>
        <c:lblAlgn val="ctr"/>
        <c:lblOffset val="0"/>
        <c:noMultiLvlLbl val="0"/>
      </c:catAx>
      <c:valAx>
        <c:axId val="101647488"/>
        <c:scaling>
          <c:orientation val="minMax"/>
          <c:max val="7.5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 nezaměstnanosti</a:t>
                </a:r>
              </a:p>
            </c:rich>
          </c:tx>
          <c:layout/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0654464"/>
        <c:crosses val="autoZero"/>
        <c:crossBetween val="between"/>
        <c:majorUnit val="0.5"/>
      </c:valAx>
      <c:valAx>
        <c:axId val="323971328"/>
        <c:scaling>
          <c:orientation val="minMax"/>
          <c:max val="350"/>
          <c:min val="-25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Volná</a:t>
                </a:r>
                <a:r>
                  <a:rPr lang="cs-CZ" sz="700" b="0" i="1" baseline="0"/>
                  <a:t> pracovní místa, zaměstnaní cizinci</a:t>
                </a:r>
                <a:endParaRPr lang="cs-CZ" sz="700" b="0" i="1"/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331670576"/>
        <c:crosses val="max"/>
        <c:crossBetween val="between"/>
        <c:majorUnit val="25"/>
      </c:valAx>
      <c:catAx>
        <c:axId val="331670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3971328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7.2346890231882358E-2"/>
          <c:y val="0.87065667466923102"/>
          <c:w val="0.85260043993190393"/>
          <c:h val="0.12573975955987693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7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411162452186132E-2"/>
          <c:y val="2.0203894786331125E-2"/>
          <c:w val="0.94100987714831696"/>
          <c:h val="0.76395209750566906"/>
        </c:manualLayout>
      </c:layout>
      <c:barChart>
        <c:barDir val="col"/>
        <c:grouping val="clustered"/>
        <c:varyColors val="0"/>
        <c:ser>
          <c:idx val="4"/>
          <c:order val="1"/>
          <c:tx>
            <c:strRef>
              <c:f>'Trh práce 3'!$D$8</c:f>
              <c:strCache>
                <c:ptCount val="1"/>
                <c:pt idx="0">
                  <c:v>Průměrná mzda celkem (reálně)</c:v>
                </c:pt>
              </c:strCache>
            </c:strRef>
          </c:tx>
          <c:spPr>
            <a:solidFill>
              <a:srgbClr val="DBDBDB"/>
            </a:solidFill>
            <a:ln w="19050">
              <a:noFill/>
            </a:ln>
          </c:spPr>
          <c:invertIfNegative val="0"/>
          <c:cat>
            <c:multiLvlStrRef>
              <c:f>'Trh práce 3'!$A$29:$B$66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3'!$D$29:$D$66</c:f>
              <c:numCache>
                <c:formatCode>#\ ##0.0</c:formatCode>
                <c:ptCount val="38"/>
                <c:pt idx="0">
                  <c:v>2.2000000000000028</c:v>
                </c:pt>
                <c:pt idx="1">
                  <c:v>2.5999999999999943</c:v>
                </c:pt>
                <c:pt idx="2">
                  <c:v>3.0999999999999943</c:v>
                </c:pt>
                <c:pt idx="3">
                  <c:v>3.5999999999999943</c:v>
                </c:pt>
                <c:pt idx="4">
                  <c:v>4.2000000000000028</c:v>
                </c:pt>
                <c:pt idx="5">
                  <c:v>3.7999999999999972</c:v>
                </c:pt>
                <c:pt idx="6">
                  <c:v>4.2000000000000028</c:v>
                </c:pt>
                <c:pt idx="7">
                  <c:v>3</c:v>
                </c:pt>
                <c:pt idx="8">
                  <c:v>2.5999999999999943</c:v>
                </c:pt>
                <c:pt idx="9">
                  <c:v>4.9000000000000057</c:v>
                </c:pt>
                <c:pt idx="10">
                  <c:v>4.0999999999999943</c:v>
                </c:pt>
                <c:pt idx="11">
                  <c:v>5.0999999999999943</c:v>
                </c:pt>
                <c:pt idx="12">
                  <c:v>6.5</c:v>
                </c:pt>
                <c:pt idx="13">
                  <c:v>6.2999999999999972</c:v>
                </c:pt>
                <c:pt idx="14">
                  <c:v>5.9000000000000057</c:v>
                </c:pt>
                <c:pt idx="15">
                  <c:v>4.9000000000000057</c:v>
                </c:pt>
                <c:pt idx="16">
                  <c:v>5.5</c:v>
                </c:pt>
                <c:pt idx="17">
                  <c:v>5.0999999999999943</c:v>
                </c:pt>
                <c:pt idx="18">
                  <c:v>4.7999999999999972</c:v>
                </c:pt>
                <c:pt idx="19">
                  <c:v>4.5</c:v>
                </c:pt>
                <c:pt idx="20">
                  <c:v>1.7999999999999972</c:v>
                </c:pt>
                <c:pt idx="21">
                  <c:v>-2.0999999999999943</c:v>
                </c:pt>
                <c:pt idx="22">
                  <c:v>2</c:v>
                </c:pt>
                <c:pt idx="23">
                  <c:v>4</c:v>
                </c:pt>
                <c:pt idx="24">
                  <c:v>0.79999999999999716</c:v>
                </c:pt>
                <c:pt idx="25">
                  <c:v>8.0999999999999943</c:v>
                </c:pt>
                <c:pt idx="26">
                  <c:v>1.2000000000000028</c:v>
                </c:pt>
                <c:pt idx="27">
                  <c:v>-2.0999999999999943</c:v>
                </c:pt>
                <c:pt idx="28">
                  <c:v>-5.2999999999999972</c:v>
                </c:pt>
                <c:pt idx="29">
                  <c:v>-11.5</c:v>
                </c:pt>
                <c:pt idx="30">
                  <c:v>-11.599999999999994</c:v>
                </c:pt>
                <c:pt idx="31">
                  <c:v>-8.7000000000000028</c:v>
                </c:pt>
                <c:pt idx="32">
                  <c:v>-6.4000000000000057</c:v>
                </c:pt>
                <c:pt idx="33">
                  <c:v>-2.4000000000000057</c:v>
                </c:pt>
                <c:pt idx="34">
                  <c:v>-0.20000000000000284</c:v>
                </c:pt>
                <c:pt idx="35">
                  <c:v>-0.5</c:v>
                </c:pt>
                <c:pt idx="36">
                  <c:v>5</c:v>
                </c:pt>
                <c:pt idx="37">
                  <c:v>3.9000000000000057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83-478A-A8C5-5D1C84B588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7"/>
        <c:axId val="100688640"/>
        <c:axId val="100690560"/>
      </c:barChart>
      <c:lineChart>
        <c:grouping val="standard"/>
        <c:varyColors val="0"/>
        <c:ser>
          <c:idx val="0"/>
          <c:order val="0"/>
          <c:tx>
            <c:strRef>
              <c:f>'Trh práce 3'!$C$8</c:f>
              <c:strCache>
                <c:ptCount val="1"/>
                <c:pt idx="0">
                  <c:v>Průměrná mzda celkem (nominálně)</c:v>
                </c:pt>
              </c:strCache>
            </c:strRef>
          </c:tx>
          <c:spPr>
            <a:ln w="19050">
              <a:solidFill>
                <a:schemeClr val="tx1">
                  <a:lumMod val="65000"/>
                  <a:lumOff val="35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'Trh práce 3'!$A$29:$B$66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3'!$C$29:$C$66</c:f>
              <c:numCache>
                <c:formatCode>#\ ##0.0</c:formatCode>
                <c:ptCount val="38"/>
                <c:pt idx="0">
                  <c:v>2.2999999999999972</c:v>
                </c:pt>
                <c:pt idx="1">
                  <c:v>3.2999999999999972</c:v>
                </c:pt>
                <c:pt idx="2">
                  <c:v>3.5</c:v>
                </c:pt>
                <c:pt idx="3">
                  <c:v>3.7000000000000028</c:v>
                </c:pt>
                <c:pt idx="4">
                  <c:v>4.7000000000000028</c:v>
                </c:pt>
                <c:pt idx="5">
                  <c:v>4</c:v>
                </c:pt>
                <c:pt idx="6">
                  <c:v>4.7000000000000028</c:v>
                </c:pt>
                <c:pt idx="7">
                  <c:v>4.4000000000000057</c:v>
                </c:pt>
                <c:pt idx="8">
                  <c:v>5.0999999999999943</c:v>
                </c:pt>
                <c:pt idx="9">
                  <c:v>7.2000000000000028</c:v>
                </c:pt>
                <c:pt idx="10">
                  <c:v>6.7000000000000028</c:v>
                </c:pt>
                <c:pt idx="11">
                  <c:v>7.7999999999999972</c:v>
                </c:pt>
                <c:pt idx="12">
                  <c:v>8.5</c:v>
                </c:pt>
                <c:pt idx="13">
                  <c:v>8.7000000000000028</c:v>
                </c:pt>
                <c:pt idx="14">
                  <c:v>8.4000000000000057</c:v>
                </c:pt>
                <c:pt idx="15">
                  <c:v>7.0999999999999943</c:v>
                </c:pt>
                <c:pt idx="16">
                  <c:v>8.2999999999999972</c:v>
                </c:pt>
                <c:pt idx="17">
                  <c:v>8</c:v>
                </c:pt>
                <c:pt idx="18">
                  <c:v>7.7000000000000028</c:v>
                </c:pt>
                <c:pt idx="19">
                  <c:v>7.5999999999999943</c:v>
                </c:pt>
                <c:pt idx="20">
                  <c:v>5.5</c:v>
                </c:pt>
                <c:pt idx="21">
                  <c:v>0.90000000000000568</c:v>
                </c:pt>
                <c:pt idx="22">
                  <c:v>5.4000000000000057</c:v>
                </c:pt>
                <c:pt idx="23">
                  <c:v>6.7000000000000028</c:v>
                </c:pt>
                <c:pt idx="24">
                  <c:v>3</c:v>
                </c:pt>
                <c:pt idx="25">
                  <c:v>11.200000000000003</c:v>
                </c:pt>
                <c:pt idx="26">
                  <c:v>5.2999999999999972</c:v>
                </c:pt>
                <c:pt idx="27">
                  <c:v>3.9000000000000057</c:v>
                </c:pt>
                <c:pt idx="28">
                  <c:v>5.2999999999999972</c:v>
                </c:pt>
                <c:pt idx="29">
                  <c:v>2.5</c:v>
                </c:pt>
                <c:pt idx="30">
                  <c:v>3.9000000000000057</c:v>
                </c:pt>
                <c:pt idx="31">
                  <c:v>5.5999999999999943</c:v>
                </c:pt>
                <c:pt idx="32">
                  <c:v>8.9000000000000057</c:v>
                </c:pt>
                <c:pt idx="33">
                  <c:v>8.4000000000000057</c:v>
                </c:pt>
                <c:pt idx="34">
                  <c:v>7.7999999999999972</c:v>
                </c:pt>
                <c:pt idx="35">
                  <c:v>7.0999999999999943</c:v>
                </c:pt>
                <c:pt idx="36">
                  <c:v>7.2000000000000028</c:v>
                </c:pt>
                <c:pt idx="37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583-478A-A8C5-5D1C84B588B7}"/>
            </c:ext>
          </c:extLst>
        </c:ser>
        <c:ser>
          <c:idx val="5"/>
          <c:order val="2"/>
          <c:tx>
            <c:strRef>
              <c:f>'Trh práce 3'!$E$8</c:f>
              <c:strCache>
                <c:ptCount val="1"/>
                <c:pt idx="0">
                  <c:v>Prům. mzda v průmyslu (nominálně)</c:v>
                </c:pt>
              </c:strCache>
            </c:strRef>
          </c:tx>
          <c:spPr>
            <a:ln w="19050"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multiLvlStrRef>
              <c:f>'Trh práce 3'!$A$29:$B$66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3'!$E$29:$E$66</c:f>
              <c:numCache>
                <c:formatCode>#\ ##0.0</c:formatCode>
                <c:ptCount val="38"/>
                <c:pt idx="0">
                  <c:v>1.6381118189372046</c:v>
                </c:pt>
                <c:pt idx="1">
                  <c:v>2.6920877025738719</c:v>
                </c:pt>
                <c:pt idx="2">
                  <c:v>3.010059729644766</c:v>
                </c:pt>
                <c:pt idx="3">
                  <c:v>2.9788308269320822</c:v>
                </c:pt>
                <c:pt idx="4">
                  <c:v>4.6482656596722052</c:v>
                </c:pt>
                <c:pt idx="5">
                  <c:v>3.9508373250157831</c:v>
                </c:pt>
                <c:pt idx="6">
                  <c:v>4.6540016784924205</c:v>
                </c:pt>
                <c:pt idx="7">
                  <c:v>3.8977412011906836</c:v>
                </c:pt>
                <c:pt idx="8">
                  <c:v>5.1746586808526445</c:v>
                </c:pt>
                <c:pt idx="9">
                  <c:v>8.0728701553848907</c:v>
                </c:pt>
                <c:pt idx="10">
                  <c:v>6.8272945979441602</c:v>
                </c:pt>
                <c:pt idx="11">
                  <c:v>7.0884454631252538</c:v>
                </c:pt>
                <c:pt idx="12">
                  <c:v>7.9018109790605564</c:v>
                </c:pt>
                <c:pt idx="13">
                  <c:v>8.1936869938853221</c:v>
                </c:pt>
                <c:pt idx="14">
                  <c:v>7.3566042242467802</c:v>
                </c:pt>
                <c:pt idx="15">
                  <c:v>7.6170092222467076</c:v>
                </c:pt>
                <c:pt idx="16">
                  <c:v>7.1985838851373387</c:v>
                </c:pt>
                <c:pt idx="17">
                  <c:v>7.0904869554591556</c:v>
                </c:pt>
                <c:pt idx="18">
                  <c:v>6.753964974732213</c:v>
                </c:pt>
                <c:pt idx="19">
                  <c:v>5.6242870930946793</c:v>
                </c:pt>
                <c:pt idx="20">
                  <c:v>4.8529141948504844</c:v>
                </c:pt>
                <c:pt idx="21">
                  <c:v>-3.4830979888746327</c:v>
                </c:pt>
                <c:pt idx="22">
                  <c:v>2.956413004644503</c:v>
                </c:pt>
                <c:pt idx="23">
                  <c:v>4.0067563825663086</c:v>
                </c:pt>
                <c:pt idx="24">
                  <c:v>1.8985680538948344</c:v>
                </c:pt>
                <c:pt idx="25">
                  <c:v>10.170242950877807</c:v>
                </c:pt>
                <c:pt idx="26">
                  <c:v>4.7656227408114233</c:v>
                </c:pt>
                <c:pt idx="27">
                  <c:v>3.7112962913660397</c:v>
                </c:pt>
                <c:pt idx="28">
                  <c:v>4.9627933600457936</c:v>
                </c:pt>
                <c:pt idx="29">
                  <c:v>5.8242790073776121</c:v>
                </c:pt>
                <c:pt idx="30">
                  <c:v>5.6391288746584252</c:v>
                </c:pt>
                <c:pt idx="31">
                  <c:v>7.3649082274419158</c:v>
                </c:pt>
                <c:pt idx="32">
                  <c:v>10.686044609259966</c:v>
                </c:pt>
                <c:pt idx="33">
                  <c:v>9.9249607057749785</c:v>
                </c:pt>
                <c:pt idx="34">
                  <c:v>8.8289088628762613</c:v>
                </c:pt>
                <c:pt idx="35">
                  <c:v>7.7850038255547105</c:v>
                </c:pt>
                <c:pt idx="36">
                  <c:v>8.0703569580962125</c:v>
                </c:pt>
                <c:pt idx="37">
                  <c:v>7.474458614884341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583-478A-A8C5-5D1C84B588B7}"/>
            </c:ext>
          </c:extLst>
        </c:ser>
        <c:ser>
          <c:idx val="1"/>
          <c:order val="3"/>
          <c:tx>
            <c:strRef>
              <c:f>'Trh práce 3'!$F$8</c:f>
              <c:strCache>
                <c:ptCount val="1"/>
                <c:pt idx="0">
                  <c:v>Prům. mzda v obchodu (nominálně)</c:v>
                </c:pt>
              </c:strCache>
            </c:strRef>
          </c:tx>
          <c:spPr>
            <a:ln w="19050">
              <a:solidFill>
                <a:srgbClr val="0070C0"/>
              </a:solidFill>
              <a:prstDash val="sysDot"/>
            </a:ln>
          </c:spPr>
          <c:marker>
            <c:symbol val="none"/>
          </c:marker>
          <c:cat>
            <c:multiLvlStrRef>
              <c:f>'Trh práce 3'!$A$29:$B$66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3'!$F$29:$F$66</c:f>
              <c:numCache>
                <c:formatCode>#\ ##0.0</c:formatCode>
                <c:ptCount val="38"/>
                <c:pt idx="0">
                  <c:v>3.1055099144049194</c:v>
                </c:pt>
                <c:pt idx="1">
                  <c:v>3.9141414141414117</c:v>
                </c:pt>
                <c:pt idx="2">
                  <c:v>3.949146815340427</c:v>
                </c:pt>
                <c:pt idx="3">
                  <c:v>5.7916298497871423</c:v>
                </c:pt>
                <c:pt idx="4">
                  <c:v>5.6443202202661524</c:v>
                </c:pt>
                <c:pt idx="5">
                  <c:v>3.9570676387201189</c:v>
                </c:pt>
                <c:pt idx="6">
                  <c:v>4.9977652269310511</c:v>
                </c:pt>
                <c:pt idx="7">
                  <c:v>4.4950645406226215</c:v>
                </c:pt>
                <c:pt idx="8">
                  <c:v>5.6231243089559229</c:v>
                </c:pt>
                <c:pt idx="9">
                  <c:v>7.9284684614485457</c:v>
                </c:pt>
                <c:pt idx="10">
                  <c:v>7.693200727526019</c:v>
                </c:pt>
                <c:pt idx="11">
                  <c:v>8.3926754832146457</c:v>
                </c:pt>
                <c:pt idx="12">
                  <c:v>7.2416629280693883</c:v>
                </c:pt>
                <c:pt idx="13">
                  <c:v>7.0392029456356937</c:v>
                </c:pt>
                <c:pt idx="14">
                  <c:v>6.8381903769449082</c:v>
                </c:pt>
                <c:pt idx="15">
                  <c:v>6.6970570490044992</c:v>
                </c:pt>
                <c:pt idx="16">
                  <c:v>9.5345999651385682</c:v>
                </c:pt>
                <c:pt idx="17">
                  <c:v>7.4227708080399282</c:v>
                </c:pt>
                <c:pt idx="18">
                  <c:v>8.1629221041302316</c:v>
                </c:pt>
                <c:pt idx="19">
                  <c:v>6.3018346318170444</c:v>
                </c:pt>
                <c:pt idx="20">
                  <c:v>6.3685550604710528</c:v>
                </c:pt>
                <c:pt idx="21">
                  <c:v>0.91357172008916621</c:v>
                </c:pt>
                <c:pt idx="22">
                  <c:v>4.7389533256631182</c:v>
                </c:pt>
                <c:pt idx="23">
                  <c:v>2.446953129617583</c:v>
                </c:pt>
                <c:pt idx="24">
                  <c:v>2.2321294994165299</c:v>
                </c:pt>
                <c:pt idx="25">
                  <c:v>9.8898705823792881</c:v>
                </c:pt>
                <c:pt idx="26">
                  <c:v>6.6146127126443588</c:v>
                </c:pt>
                <c:pt idx="27">
                  <c:v>8.7059366526279263</c:v>
                </c:pt>
                <c:pt idx="28">
                  <c:v>6.7609096496619543</c:v>
                </c:pt>
                <c:pt idx="29">
                  <c:v>5.6167369702460093</c:v>
                </c:pt>
                <c:pt idx="30">
                  <c:v>3.4585503049205073</c:v>
                </c:pt>
                <c:pt idx="31">
                  <c:v>5.3444432650461664</c:v>
                </c:pt>
                <c:pt idx="32">
                  <c:v>8.065356251884765</c:v>
                </c:pt>
                <c:pt idx="33">
                  <c:v>6.8137346878601903</c:v>
                </c:pt>
                <c:pt idx="34">
                  <c:v>6.2713643581944893</c:v>
                </c:pt>
                <c:pt idx="35">
                  <c:v>5.3226862814247653</c:v>
                </c:pt>
                <c:pt idx="36">
                  <c:v>7.321342499809731</c:v>
                </c:pt>
                <c:pt idx="37">
                  <c:v>6.2485884212903642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583-478A-A8C5-5D1C84B588B7}"/>
            </c:ext>
          </c:extLst>
        </c:ser>
        <c:ser>
          <c:idx val="2"/>
          <c:order val="4"/>
          <c:tx>
            <c:strRef>
              <c:f>'Trh práce 3'!$G$8</c:f>
              <c:strCache>
                <c:ptCount val="1"/>
                <c:pt idx="0">
                  <c:v>Prům. mzda ve veř. službách (nominálně)*</c:v>
                </c:pt>
              </c:strCache>
            </c:strRef>
          </c:tx>
          <c:spPr>
            <a:ln w="19050">
              <a:solidFill>
                <a:srgbClr val="00B050"/>
              </a:solidFill>
              <a:prstDash val="sysDot"/>
            </a:ln>
          </c:spPr>
          <c:marker>
            <c:symbol val="none"/>
          </c:marker>
          <c:cat>
            <c:multiLvlStrRef>
              <c:f>'Trh práce 3'!$A$29:$B$66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3'!$G$29:$G$66</c:f>
              <c:numCache>
                <c:formatCode>#\ ##0.0</c:formatCode>
                <c:ptCount val="38"/>
                <c:pt idx="0">
                  <c:v>3.2925091204842687</c:v>
                </c:pt>
                <c:pt idx="1">
                  <c:v>4.3135889286729565</c:v>
                </c:pt>
                <c:pt idx="2">
                  <c:v>3.8145419077079765</c:v>
                </c:pt>
                <c:pt idx="3">
                  <c:v>3.6381766938736746</c:v>
                </c:pt>
                <c:pt idx="4">
                  <c:v>4.64178325585614</c:v>
                </c:pt>
                <c:pt idx="5">
                  <c:v>3.8061258933532116</c:v>
                </c:pt>
                <c:pt idx="6">
                  <c:v>4.8526374704253925</c:v>
                </c:pt>
                <c:pt idx="7">
                  <c:v>6.1351981806606233</c:v>
                </c:pt>
                <c:pt idx="8">
                  <c:v>5.4566112929362163</c:v>
                </c:pt>
                <c:pt idx="9">
                  <c:v>7.3192456135909225</c:v>
                </c:pt>
                <c:pt idx="10">
                  <c:v>7.9981713137873953</c:v>
                </c:pt>
                <c:pt idx="11">
                  <c:v>10.484072576559427</c:v>
                </c:pt>
                <c:pt idx="12">
                  <c:v>12.179699393983398</c:v>
                </c:pt>
                <c:pt idx="13">
                  <c:v>11.89217733254111</c:v>
                </c:pt>
                <c:pt idx="14">
                  <c:v>11.361326321628667</c:v>
                </c:pt>
                <c:pt idx="15">
                  <c:v>6.1282038917470629</c:v>
                </c:pt>
                <c:pt idx="16">
                  <c:v>9.4162908795776019</c:v>
                </c:pt>
                <c:pt idx="17">
                  <c:v>9.3022383570098555</c:v>
                </c:pt>
                <c:pt idx="18">
                  <c:v>8.3925247282538464</c:v>
                </c:pt>
                <c:pt idx="19">
                  <c:v>11.041060141001239</c:v>
                </c:pt>
                <c:pt idx="20">
                  <c:v>5.2296117021426483</c:v>
                </c:pt>
                <c:pt idx="21">
                  <c:v>4.9937922145909539</c:v>
                </c:pt>
                <c:pt idx="22">
                  <c:v>8.8109946466096574</c:v>
                </c:pt>
                <c:pt idx="23">
                  <c:v>13.948630451066606</c:v>
                </c:pt>
                <c:pt idx="24">
                  <c:v>4.5485385483402752</c:v>
                </c:pt>
                <c:pt idx="25">
                  <c:v>17.785684079315018</c:v>
                </c:pt>
                <c:pt idx="26">
                  <c:v>5.4643357321226631</c:v>
                </c:pt>
                <c:pt idx="27">
                  <c:v>-0.40508430459891542</c:v>
                </c:pt>
                <c:pt idx="28">
                  <c:v>2.3050985414715655</c:v>
                </c:pt>
                <c:pt idx="29">
                  <c:v>-7.0315803873919265</c:v>
                </c:pt>
                <c:pt idx="30">
                  <c:v>0.30518367768182486</c:v>
                </c:pt>
                <c:pt idx="31">
                  <c:v>3.4014494016982155</c:v>
                </c:pt>
                <c:pt idx="32">
                  <c:v>7.1236563240183841</c:v>
                </c:pt>
                <c:pt idx="33">
                  <c:v>5.8159573906736455</c:v>
                </c:pt>
                <c:pt idx="34">
                  <c:v>5.5362187961367937</c:v>
                </c:pt>
                <c:pt idx="35">
                  <c:v>4.6740026435620194</c:v>
                </c:pt>
                <c:pt idx="36">
                  <c:v>5.4155520574538798</c:v>
                </c:pt>
                <c:pt idx="37">
                  <c:v>5.5868869577609672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583-478A-A8C5-5D1C84B588B7}"/>
            </c:ext>
          </c:extLst>
        </c:ser>
        <c:ser>
          <c:idx val="3"/>
          <c:order val="5"/>
          <c:tx>
            <c:strRef>
              <c:f>'Trh práce 3'!$H$8</c:f>
              <c:strCache>
                <c:ptCount val="1"/>
                <c:pt idx="0">
                  <c:v>Mediánová mzda celkem (nominálně)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FF00"/>
              </a:solidFill>
              <a:ln w="6350"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multiLvlStrRef>
              <c:f>'Trh práce 3'!$A$29:$B$66</c:f>
              <c:multiLvlStrCache>
                <c:ptCount val="3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1</c:v>
                  </c:pt>
                  <c:pt idx="29">
                    <c:v>2</c:v>
                  </c:pt>
                  <c:pt idx="30">
                    <c:v>3</c:v>
                  </c:pt>
                  <c:pt idx="31">
                    <c:v>4</c:v>
                  </c:pt>
                  <c:pt idx="32">
                    <c:v>1</c:v>
                  </c:pt>
                  <c:pt idx="33">
                    <c:v>2</c:v>
                  </c:pt>
                  <c:pt idx="34">
                    <c:v>3</c:v>
                  </c:pt>
                  <c:pt idx="35">
                    <c:v>4</c:v>
                  </c:pt>
                  <c:pt idx="36">
                    <c:v>1</c:v>
                  </c:pt>
                  <c:pt idx="37">
                    <c:v>2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  <c:pt idx="28">
                    <c:v>2022</c:v>
                  </c:pt>
                  <c:pt idx="32">
                    <c:v>2023</c:v>
                  </c:pt>
                  <c:pt idx="36">
                    <c:v>2024</c:v>
                  </c:pt>
                </c:lvl>
              </c:multiLvlStrCache>
            </c:multiLvlStrRef>
          </c:cat>
          <c:val>
            <c:numRef>
              <c:f>'Trh práce 3'!$H$29:$H$66</c:f>
              <c:numCache>
                <c:formatCode>#\ ##0.0</c:formatCode>
                <c:ptCount val="38"/>
                <c:pt idx="0">
                  <c:v>0.70000000000000284</c:v>
                </c:pt>
                <c:pt idx="1">
                  <c:v>2.2999999999999972</c:v>
                </c:pt>
                <c:pt idx="2">
                  <c:v>3.7999999999999972</c:v>
                </c:pt>
                <c:pt idx="3">
                  <c:v>4.7000000000000028</c:v>
                </c:pt>
                <c:pt idx="4">
                  <c:v>6.7000000000000028</c:v>
                </c:pt>
                <c:pt idx="5">
                  <c:v>4.5999999999999943</c:v>
                </c:pt>
                <c:pt idx="6">
                  <c:v>5.2999999999999972</c:v>
                </c:pt>
                <c:pt idx="7">
                  <c:v>6.2000000000000028</c:v>
                </c:pt>
                <c:pt idx="8">
                  <c:v>4.9000000000000057</c:v>
                </c:pt>
                <c:pt idx="9">
                  <c:v>7.7000000000000028</c:v>
                </c:pt>
                <c:pt idx="10">
                  <c:v>7</c:v>
                </c:pt>
                <c:pt idx="11">
                  <c:v>8.9000000000000057</c:v>
                </c:pt>
                <c:pt idx="12">
                  <c:v>8.7000000000000028</c:v>
                </c:pt>
                <c:pt idx="13">
                  <c:v>9.7000000000000028</c:v>
                </c:pt>
                <c:pt idx="14">
                  <c:v>9.2999999999999972</c:v>
                </c:pt>
                <c:pt idx="15">
                  <c:v>6.7000000000000028</c:v>
                </c:pt>
                <c:pt idx="16">
                  <c:v>7.2000000000000028</c:v>
                </c:pt>
                <c:pt idx="17">
                  <c:v>6.4000000000000057</c:v>
                </c:pt>
                <c:pt idx="18">
                  <c:v>7.2999999999999972</c:v>
                </c:pt>
                <c:pt idx="19">
                  <c:v>6.4000000000000057</c:v>
                </c:pt>
                <c:pt idx="20">
                  <c:v>7</c:v>
                </c:pt>
                <c:pt idx="21">
                  <c:v>1.4000000000000057</c:v>
                </c:pt>
                <c:pt idx="22">
                  <c:v>6.7000000000000028</c:v>
                </c:pt>
                <c:pt idx="23">
                  <c:v>6.7000000000000028</c:v>
                </c:pt>
                <c:pt idx="24">
                  <c:v>2.2999999999999972</c:v>
                </c:pt>
                <c:pt idx="25">
                  <c:v>11.099999999999994</c:v>
                </c:pt>
                <c:pt idx="26">
                  <c:v>4.7000000000000028</c:v>
                </c:pt>
                <c:pt idx="27">
                  <c:v>4.5999999999999943</c:v>
                </c:pt>
                <c:pt idx="28">
                  <c:v>4.2999999999999972</c:v>
                </c:pt>
                <c:pt idx="29">
                  <c:v>3.2000000000000028</c:v>
                </c:pt>
                <c:pt idx="30">
                  <c:v>4.2000000000000028</c:v>
                </c:pt>
                <c:pt idx="31">
                  <c:v>6.2999999999999972</c:v>
                </c:pt>
                <c:pt idx="32">
                  <c:v>9.5999999999999943</c:v>
                </c:pt>
                <c:pt idx="33">
                  <c:v>7.5999999999999943</c:v>
                </c:pt>
                <c:pt idx="34">
                  <c:v>7.7999999999999972</c:v>
                </c:pt>
                <c:pt idx="35">
                  <c:v>7.0999999999999943</c:v>
                </c:pt>
                <c:pt idx="36">
                  <c:v>5.7000000000000028</c:v>
                </c:pt>
                <c:pt idx="37">
                  <c:v>5.7999999999999972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583-478A-A8C5-5D1C84B588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688640"/>
        <c:axId val="100690560"/>
      </c:lineChart>
      <c:catAx>
        <c:axId val="10068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00690560"/>
        <c:crosses val="autoZero"/>
        <c:auto val="1"/>
        <c:lblAlgn val="ctr"/>
        <c:lblOffset val="0"/>
        <c:tickMarkSkip val="4"/>
        <c:noMultiLvlLbl val="0"/>
      </c:catAx>
      <c:valAx>
        <c:axId val="100690560"/>
        <c:scaling>
          <c:orientation val="minMax"/>
          <c:max val="18"/>
          <c:min val="-12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0688640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9.1292133366733495E-3"/>
          <c:y val="0.87578174603174608"/>
          <c:w val="0.97744446685490061"/>
          <c:h val="0.11341893424036281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81AD-41B0-431A-9D34-CF6700A12FAC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b8c0c86d-151e-4fca-b0d5-747e6692fa1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A8A1E1-1E99-4B4F-B9B5-70567730A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3242F-3FB6-473C-87F1-89DD6C1DF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4B112-1832-4BB8-9EF4-F7F0ABB6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2842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cp:lastModifiedBy>Zábojníková Karolína</cp:lastModifiedBy>
  <cp:revision>4</cp:revision>
  <cp:lastPrinted>2014-07-17T14:07:00Z</cp:lastPrinted>
  <dcterms:created xsi:type="dcterms:W3CDTF">2024-09-13T09:25:00Z</dcterms:created>
  <dcterms:modified xsi:type="dcterms:W3CDTF">2024-09-13T09:45:00Z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Publikace CZ barevné - vícetematické analýzy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2018-04-17T07:00:00Z</vt:filetime>
  </property>
  <property fmtid="{D5CDD505-2E9C-101B-9397-08002B2CF9AE}" pid="8" name="Označení">
    <vt:lpwstr>Form_c444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