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8E0" w:rsidRDefault="00EE38E0" w:rsidP="00A0693C">
      <w:pPr>
        <w:pStyle w:val="Nadpis1"/>
        <w:numPr>
          <w:ilvl w:val="0"/>
          <w:numId w:val="40"/>
        </w:numPr>
        <w:jc w:val="left"/>
      </w:pPr>
      <w:r>
        <w:t>Vliv nepříznivých přírodních podmínek na nehodovost</w:t>
      </w:r>
    </w:p>
    <w:p w:rsidR="00EE38E0" w:rsidRPr="00FA28AE" w:rsidRDefault="00EE38E0"/>
    <w:tbl>
      <w:tblPr>
        <w:tblW w:w="5000" w:type="pct"/>
        <w:tblCellMar>
          <w:left w:w="28" w:type="dxa"/>
          <w:right w:w="28" w:type="dxa"/>
        </w:tblCellMar>
        <w:tblLook w:val="04A0"/>
      </w:tblPr>
      <w:tblGrid>
        <w:gridCol w:w="2044"/>
        <w:gridCol w:w="275"/>
        <w:gridCol w:w="7375"/>
      </w:tblGrid>
      <w:tr w:rsidR="00EE38E0">
        <w:tc>
          <w:tcPr>
            <w:tcW w:w="1054" w:type="pct"/>
          </w:tcPr>
          <w:p w:rsidR="00EE38E0" w:rsidRDefault="00706359">
            <w:pPr>
              <w:jc w:val="left"/>
              <w:rPr>
                <w:sz w:val="16"/>
                <w:szCs w:val="16"/>
              </w:rPr>
            </w:pPr>
            <w:r>
              <w:rPr>
                <w:sz w:val="16"/>
                <w:szCs w:val="16"/>
              </w:rPr>
              <w:t>Stav vozovky, počasí, nepříznivý výhled mají jako „objektivní“ příčiny nehod</w:t>
            </w:r>
          </w:p>
        </w:tc>
        <w:tc>
          <w:tcPr>
            <w:tcW w:w="142" w:type="pct"/>
          </w:tcPr>
          <w:p w:rsidR="00EE38E0" w:rsidRDefault="00EE38E0">
            <w:pPr>
              <w:pStyle w:val="Textpoznpodarou"/>
              <w:jc w:val="both"/>
              <w:rPr>
                <w:lang w:val="cs-CZ" w:eastAsia="cs-CZ"/>
              </w:rPr>
            </w:pPr>
          </w:p>
        </w:tc>
        <w:tc>
          <w:tcPr>
            <w:tcW w:w="3804" w:type="pct"/>
          </w:tcPr>
          <w:p w:rsidR="00D61589" w:rsidRDefault="00D61589" w:rsidP="00D61589">
            <w:pPr>
              <w:autoSpaceDE w:val="0"/>
              <w:autoSpaceDN w:val="0"/>
              <w:adjustRightInd w:val="0"/>
              <w:rPr>
                <w:rFonts w:cs="Arial"/>
                <w:szCs w:val="16"/>
              </w:rPr>
            </w:pPr>
            <w:r>
              <w:rPr>
                <w:rFonts w:cs="Arial"/>
                <w:szCs w:val="16"/>
              </w:rPr>
              <w:t>Nehody, které vznikly vlivem nepříznivých přírodních podmínek, můžeme rozčlenit do několika skupin. Účastníků silničního provozu se nejvíce dotýká stav vozovky (mokro, sníh, náledí, ale i suchá znečištěná komunikace – např. olejem či naftou). Se stavem vozovky souvisí i povětrnostní podmínky (déšť, sněžení, mlha či nárazový vítr), s počasím pak do značné míry i viditelnost, která je vedle toho ovlivněná především denním cyklem a četností, intenzitou a vhodným rozmístěním veřejného osvětlení.</w:t>
            </w:r>
            <w:r w:rsidR="00706359">
              <w:rPr>
                <w:rFonts w:cs="Arial"/>
                <w:szCs w:val="16"/>
              </w:rPr>
              <w:t xml:space="preserve"> </w:t>
            </w:r>
            <w:r>
              <w:rPr>
                <w:rFonts w:cs="Arial"/>
                <w:szCs w:val="16"/>
              </w:rPr>
              <w:t xml:space="preserve">Environmentální vlivy na bezpečnost dopravy nacházíme i u rozhledových podmínek (ztížený rozhled vlivem profilu komunikace, umístění vegetace či zástavby). Rozhledové podmínky na rozdíl od předchozích faktorů mohou být lidskou činností významně ovlivněny (např. vhodným trasováním komunikací či úpravou vegetace v jejich okolí). </w:t>
            </w:r>
            <w:r w:rsidR="00706359">
              <w:rPr>
                <w:rFonts w:cs="Arial"/>
                <w:szCs w:val="16"/>
              </w:rPr>
              <w:t xml:space="preserve"> </w:t>
            </w:r>
            <w:r w:rsidR="00FA28AE">
              <w:rPr>
                <w:rFonts w:cs="Arial"/>
                <w:szCs w:val="16"/>
              </w:rPr>
              <w:t>Konečně na pomez</w:t>
            </w:r>
            <w:r>
              <w:rPr>
                <w:rFonts w:cs="Arial"/>
                <w:szCs w:val="16"/>
              </w:rPr>
              <w:t>í lidského a přírodního vlivu lze zařad</w:t>
            </w:r>
            <w:r w:rsidR="00FA28AE">
              <w:rPr>
                <w:rFonts w:cs="Arial"/>
                <w:szCs w:val="16"/>
              </w:rPr>
              <w:t>it technický stav vozovky, na jejímž</w:t>
            </w:r>
            <w:r>
              <w:rPr>
                <w:rFonts w:cs="Arial"/>
                <w:szCs w:val="16"/>
              </w:rPr>
              <w:t xml:space="preserve"> opotřebování se podílí jak intenzivní doprava (především těžkých vozidel), tak i počasí. Četnost nehod způsobených primárně technickou závadou komunikace je však dlouhodobě nízká (v roce 2011 se na celkové nehodovosti podílela 0,6 %) a jejich následky jsou méně závažné (pouze 5 % takových nehod končí s následky na zdraví osob). </w:t>
            </w:r>
          </w:p>
          <w:p w:rsidR="00EE38E0" w:rsidRDefault="00EE38E0">
            <w:pPr>
              <w:pStyle w:val="Textpoznpodarou"/>
              <w:jc w:val="both"/>
              <w:rPr>
                <w:lang w:val="cs-CZ" w:eastAsia="cs-CZ"/>
              </w:rPr>
            </w:pPr>
          </w:p>
        </w:tc>
      </w:tr>
    </w:tbl>
    <w:p w:rsidR="00EE38E0" w:rsidRDefault="00EE38E0">
      <w:pPr>
        <w:pStyle w:val="Bezmezer"/>
        <w:spacing w:line="120" w:lineRule="auto"/>
        <w:rPr>
          <w:lang/>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3969"/>
        <w:gridCol w:w="711"/>
        <w:gridCol w:w="4251"/>
      </w:tblGrid>
      <w:tr w:rsidR="006F366C" w:rsidTr="00547B96">
        <w:tblPrEx>
          <w:tblCellMar>
            <w:top w:w="0" w:type="dxa"/>
            <w:bottom w:w="0" w:type="dxa"/>
          </w:tblCellMar>
        </w:tblPrEx>
        <w:trPr>
          <w:trHeight w:val="479"/>
        </w:trPr>
        <w:tc>
          <w:tcPr>
            <w:tcW w:w="401" w:type="pct"/>
            <w:tcBorders>
              <w:top w:val="nil"/>
              <w:left w:val="nil"/>
              <w:bottom w:val="nil"/>
              <w:right w:val="nil"/>
            </w:tcBorders>
          </w:tcPr>
          <w:p w:rsidR="006F366C" w:rsidRPr="00547B96" w:rsidRDefault="00547B96" w:rsidP="00D61589">
            <w:pPr>
              <w:pStyle w:val="Nadpis5"/>
              <w:numPr>
                <w:ilvl w:val="0"/>
                <w:numId w:val="0"/>
              </w:numPr>
              <w:spacing w:before="0" w:after="0"/>
              <w:jc w:val="left"/>
              <w:rPr>
                <w:rFonts w:ascii="Arial" w:hAnsi="Arial" w:cs="Arial"/>
                <w:b w:val="0"/>
                <w:i w:val="0"/>
                <w:iCs w:val="0"/>
                <w:sz w:val="20"/>
                <w:szCs w:val="20"/>
                <w:lang w:val="cs-CZ"/>
              </w:rPr>
            </w:pPr>
            <w:r w:rsidRPr="00547B96">
              <w:rPr>
                <w:rFonts w:ascii="Arial" w:hAnsi="Arial" w:cs="Arial"/>
                <w:b w:val="0"/>
                <w:i w:val="0"/>
                <w:iCs w:val="0"/>
                <w:sz w:val="20"/>
                <w:szCs w:val="20"/>
              </w:rPr>
              <w:t xml:space="preserve">Graf </w:t>
            </w:r>
            <w:r w:rsidRPr="00547B96">
              <w:rPr>
                <w:rFonts w:ascii="Arial" w:hAnsi="Arial" w:cs="Arial"/>
                <w:b w:val="0"/>
                <w:i w:val="0"/>
                <w:iCs w:val="0"/>
                <w:sz w:val="20"/>
                <w:szCs w:val="20"/>
                <w:lang w:val="cs-CZ"/>
              </w:rPr>
              <w:t>č. 8</w:t>
            </w:r>
            <w:r w:rsidR="004C313C">
              <w:rPr>
                <w:rFonts w:ascii="Arial" w:hAnsi="Arial" w:cs="Arial"/>
                <w:b w:val="0"/>
                <w:i w:val="0"/>
                <w:iCs w:val="0"/>
                <w:sz w:val="20"/>
                <w:szCs w:val="20"/>
                <w:lang w:val="cs-CZ"/>
              </w:rPr>
              <w:t>3</w:t>
            </w:r>
          </w:p>
        </w:tc>
        <w:tc>
          <w:tcPr>
            <w:tcW w:w="2044" w:type="pct"/>
            <w:tcBorders>
              <w:top w:val="nil"/>
              <w:left w:val="nil"/>
              <w:bottom w:val="nil"/>
              <w:right w:val="nil"/>
            </w:tcBorders>
          </w:tcPr>
          <w:p w:rsidR="006F366C" w:rsidRPr="00D61589" w:rsidRDefault="006F366C" w:rsidP="00D61589">
            <w:pPr>
              <w:tabs>
                <w:tab w:val="left" w:pos="1072"/>
              </w:tabs>
              <w:jc w:val="left"/>
              <w:rPr>
                <w:rFonts w:cs="Arial"/>
                <w:b/>
                <w:bCs/>
                <w:szCs w:val="20"/>
              </w:rPr>
            </w:pPr>
            <w:r w:rsidRPr="00D61589">
              <w:rPr>
                <w:rFonts w:cs="Arial"/>
                <w:b/>
                <w:bCs/>
                <w:szCs w:val="20"/>
              </w:rPr>
              <w:t>Vývoj počtu nehod s následky na zdraví celkem a při nepříznivých podmínkách</w:t>
            </w:r>
          </w:p>
        </w:tc>
        <w:tc>
          <w:tcPr>
            <w:tcW w:w="366" w:type="pct"/>
            <w:tcBorders>
              <w:top w:val="nil"/>
              <w:left w:val="nil"/>
              <w:bottom w:val="nil"/>
              <w:right w:val="nil"/>
            </w:tcBorders>
          </w:tcPr>
          <w:p w:rsidR="006F366C" w:rsidRPr="002062BD" w:rsidRDefault="00547B96" w:rsidP="00BB5CCA">
            <w:pPr>
              <w:pStyle w:val="Nadpis5"/>
              <w:numPr>
                <w:ilvl w:val="0"/>
                <w:numId w:val="0"/>
              </w:numPr>
              <w:spacing w:before="0" w:after="0"/>
              <w:jc w:val="left"/>
              <w:rPr>
                <w:rFonts w:ascii="Arial" w:hAnsi="Arial" w:cs="Arial"/>
                <w:i w:val="0"/>
                <w:sz w:val="20"/>
                <w:szCs w:val="20"/>
              </w:rPr>
            </w:pPr>
            <w:r w:rsidRPr="00547B96">
              <w:rPr>
                <w:rFonts w:ascii="Arial" w:hAnsi="Arial" w:cs="Arial"/>
                <w:b w:val="0"/>
                <w:i w:val="0"/>
                <w:iCs w:val="0"/>
                <w:sz w:val="20"/>
                <w:szCs w:val="20"/>
              </w:rPr>
              <w:t xml:space="preserve">Graf </w:t>
            </w:r>
            <w:r w:rsidRPr="00547B96">
              <w:rPr>
                <w:rFonts w:ascii="Arial" w:hAnsi="Arial" w:cs="Arial"/>
                <w:b w:val="0"/>
                <w:i w:val="0"/>
                <w:iCs w:val="0"/>
                <w:sz w:val="20"/>
                <w:szCs w:val="20"/>
                <w:lang w:val="cs-CZ"/>
              </w:rPr>
              <w:t>č. 8</w:t>
            </w:r>
            <w:r w:rsidR="004C313C">
              <w:rPr>
                <w:rFonts w:ascii="Arial" w:hAnsi="Arial" w:cs="Arial"/>
                <w:b w:val="0"/>
                <w:i w:val="0"/>
                <w:iCs w:val="0"/>
                <w:sz w:val="20"/>
                <w:szCs w:val="20"/>
                <w:lang w:val="cs-CZ"/>
              </w:rPr>
              <w:t>4</w:t>
            </w:r>
          </w:p>
        </w:tc>
        <w:tc>
          <w:tcPr>
            <w:tcW w:w="2189" w:type="pct"/>
            <w:tcBorders>
              <w:top w:val="nil"/>
              <w:left w:val="nil"/>
              <w:bottom w:val="nil"/>
              <w:right w:val="nil"/>
            </w:tcBorders>
          </w:tcPr>
          <w:p w:rsidR="006F366C" w:rsidRPr="002062BD" w:rsidRDefault="006F366C" w:rsidP="00BB5CCA">
            <w:pPr>
              <w:pStyle w:val="Nadpis2"/>
              <w:numPr>
                <w:ilvl w:val="0"/>
                <w:numId w:val="0"/>
              </w:numPr>
              <w:spacing w:before="0" w:after="0"/>
              <w:jc w:val="left"/>
              <w:rPr>
                <w:rFonts w:cs="Arial"/>
                <w:sz w:val="20"/>
                <w:szCs w:val="20"/>
              </w:rPr>
            </w:pPr>
            <w:r w:rsidRPr="002062BD">
              <w:rPr>
                <w:rFonts w:cs="Arial"/>
                <w:sz w:val="20"/>
                <w:szCs w:val="20"/>
              </w:rPr>
              <w:t>Podíl nehod při nep</w:t>
            </w:r>
            <w:r w:rsidR="00DD1E2B">
              <w:rPr>
                <w:rFonts w:cs="Arial"/>
                <w:sz w:val="20"/>
                <w:szCs w:val="20"/>
              </w:rPr>
              <w:t>říznivých podmínkách v </w:t>
            </w:r>
            <w:r w:rsidR="00DD1E2B">
              <w:rPr>
                <w:rFonts w:cs="Arial"/>
                <w:sz w:val="20"/>
                <w:szCs w:val="20"/>
                <w:lang w:val="cs-CZ"/>
              </w:rPr>
              <w:t xml:space="preserve">období 2011-2012 </w:t>
            </w:r>
            <w:r w:rsidRPr="002062BD">
              <w:rPr>
                <w:rFonts w:cs="Arial"/>
                <w:sz w:val="20"/>
                <w:szCs w:val="20"/>
              </w:rPr>
              <w:t xml:space="preserve">podle krajů </w:t>
            </w:r>
            <w:r w:rsidRPr="002062BD">
              <w:rPr>
                <w:rFonts w:cs="Arial"/>
                <w:b w:val="0"/>
                <w:bCs w:val="0"/>
                <w:sz w:val="20"/>
                <w:szCs w:val="20"/>
              </w:rPr>
              <w:t xml:space="preserve">(ČR=100) </w:t>
            </w:r>
          </w:p>
        </w:tc>
      </w:tr>
    </w:tbl>
    <w:p w:rsidR="00D61589" w:rsidRDefault="00FF31B0" w:rsidP="00D61589">
      <w:r w:rsidRPr="00FF31B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5pt;height:205.65pt">
            <v:imagedata r:id="rId8" o:title=""/>
          </v:shape>
        </w:pict>
      </w:r>
      <w:r w:rsidR="006F366C" w:rsidRPr="006F366C">
        <w:pict>
          <v:shape id="_x0000_i1026" type="#_x0000_t75" style="width:234.45pt;height:206.8pt">
            <v:imagedata r:id="rId9" o:title=""/>
          </v:shape>
        </w:pict>
      </w:r>
    </w:p>
    <w:p w:rsidR="00EE38E0" w:rsidRDefault="00D61589">
      <w:r>
        <w:rPr>
          <w:sz w:val="18"/>
        </w:rPr>
        <w:t>Pramen: Policejní</w:t>
      </w:r>
      <w:r w:rsidR="00493E93">
        <w:rPr>
          <w:sz w:val="18"/>
        </w:rPr>
        <w:t xml:space="preserve"> prezidium ČR, vlastní výpočty</w:t>
      </w:r>
    </w:p>
    <w:p w:rsidR="006F366C" w:rsidRDefault="006F366C">
      <w:pPr>
        <w:rPr>
          <w:lang/>
        </w:rPr>
      </w:pPr>
    </w:p>
    <w:tbl>
      <w:tblPr>
        <w:tblW w:w="48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8"/>
        <w:gridCol w:w="4252"/>
        <w:gridCol w:w="709"/>
        <w:gridCol w:w="3833"/>
      </w:tblGrid>
      <w:tr w:rsidR="006F366C" w:rsidTr="00547B96">
        <w:tblPrEx>
          <w:tblCellMar>
            <w:top w:w="0" w:type="dxa"/>
            <w:bottom w:w="0" w:type="dxa"/>
          </w:tblCellMar>
        </w:tblPrEx>
        <w:trPr>
          <w:trHeight w:val="479"/>
        </w:trPr>
        <w:tc>
          <w:tcPr>
            <w:tcW w:w="338" w:type="pct"/>
            <w:tcBorders>
              <w:top w:val="nil"/>
              <w:left w:val="nil"/>
              <w:bottom w:val="nil"/>
              <w:right w:val="nil"/>
            </w:tcBorders>
          </w:tcPr>
          <w:p w:rsidR="006F366C" w:rsidRPr="00D61589" w:rsidRDefault="00547B96" w:rsidP="00BB5CCA">
            <w:pPr>
              <w:pStyle w:val="Nadpis5"/>
              <w:numPr>
                <w:ilvl w:val="0"/>
                <w:numId w:val="0"/>
              </w:numPr>
              <w:spacing w:before="0" w:after="0"/>
              <w:jc w:val="left"/>
              <w:rPr>
                <w:rFonts w:ascii="Arial" w:hAnsi="Arial" w:cs="Arial"/>
                <w:i w:val="0"/>
                <w:iCs w:val="0"/>
                <w:sz w:val="20"/>
                <w:szCs w:val="20"/>
              </w:rPr>
            </w:pPr>
            <w:r w:rsidRPr="00547B96">
              <w:rPr>
                <w:rFonts w:ascii="Arial" w:hAnsi="Arial" w:cs="Arial"/>
                <w:b w:val="0"/>
                <w:i w:val="0"/>
                <w:iCs w:val="0"/>
                <w:sz w:val="20"/>
                <w:szCs w:val="20"/>
              </w:rPr>
              <w:t xml:space="preserve">Graf </w:t>
            </w:r>
            <w:r w:rsidRPr="00547B96">
              <w:rPr>
                <w:rFonts w:ascii="Arial" w:hAnsi="Arial" w:cs="Arial"/>
                <w:b w:val="0"/>
                <w:i w:val="0"/>
                <w:iCs w:val="0"/>
                <w:sz w:val="20"/>
                <w:szCs w:val="20"/>
                <w:lang w:val="cs-CZ"/>
              </w:rPr>
              <w:t>č. 8</w:t>
            </w:r>
            <w:r w:rsidR="004C313C">
              <w:rPr>
                <w:rFonts w:ascii="Arial" w:hAnsi="Arial" w:cs="Arial"/>
                <w:b w:val="0"/>
                <w:i w:val="0"/>
                <w:iCs w:val="0"/>
                <w:sz w:val="20"/>
                <w:szCs w:val="20"/>
                <w:lang w:val="cs-CZ"/>
              </w:rPr>
              <w:t>5</w:t>
            </w:r>
          </w:p>
        </w:tc>
        <w:tc>
          <w:tcPr>
            <w:tcW w:w="2254" w:type="pct"/>
            <w:tcBorders>
              <w:top w:val="nil"/>
              <w:left w:val="nil"/>
              <w:bottom w:val="nil"/>
              <w:right w:val="nil"/>
            </w:tcBorders>
          </w:tcPr>
          <w:p w:rsidR="006F366C" w:rsidRPr="00DD1E2B" w:rsidRDefault="00DD1E2B" w:rsidP="00DD1E2B">
            <w:pPr>
              <w:tabs>
                <w:tab w:val="left" w:pos="1072"/>
              </w:tabs>
              <w:jc w:val="left"/>
              <w:rPr>
                <w:rFonts w:cs="Arial"/>
                <w:b/>
                <w:bCs/>
                <w:szCs w:val="20"/>
              </w:rPr>
            </w:pPr>
            <w:r w:rsidRPr="00DD1E2B">
              <w:rPr>
                <w:rFonts w:cs="Arial"/>
                <w:b/>
                <w:szCs w:val="20"/>
              </w:rPr>
              <w:t xml:space="preserve">Vývoj usmrcených a těžce zraněných osob v ČR dle druhu povětrnostních podmínek </w:t>
            </w:r>
          </w:p>
        </w:tc>
        <w:tc>
          <w:tcPr>
            <w:tcW w:w="376" w:type="pct"/>
            <w:tcBorders>
              <w:top w:val="nil"/>
              <w:left w:val="nil"/>
              <w:bottom w:val="nil"/>
              <w:right w:val="nil"/>
            </w:tcBorders>
          </w:tcPr>
          <w:p w:rsidR="006F366C" w:rsidRPr="00D61589" w:rsidRDefault="00547B96" w:rsidP="00BB5CCA">
            <w:pPr>
              <w:pStyle w:val="Nadpis5"/>
              <w:numPr>
                <w:ilvl w:val="0"/>
                <w:numId w:val="0"/>
              </w:numPr>
              <w:spacing w:before="0" w:after="0"/>
              <w:jc w:val="left"/>
              <w:rPr>
                <w:rFonts w:ascii="Arial" w:hAnsi="Arial" w:cs="Arial"/>
                <w:i w:val="0"/>
                <w:sz w:val="20"/>
                <w:szCs w:val="20"/>
              </w:rPr>
            </w:pPr>
            <w:r w:rsidRPr="00547B96">
              <w:rPr>
                <w:rFonts w:ascii="Arial" w:hAnsi="Arial" w:cs="Arial"/>
                <w:b w:val="0"/>
                <w:i w:val="0"/>
                <w:iCs w:val="0"/>
                <w:sz w:val="20"/>
                <w:szCs w:val="20"/>
              </w:rPr>
              <w:t xml:space="preserve">Graf </w:t>
            </w:r>
            <w:r w:rsidRPr="00547B96">
              <w:rPr>
                <w:rFonts w:ascii="Arial" w:hAnsi="Arial" w:cs="Arial"/>
                <w:b w:val="0"/>
                <w:i w:val="0"/>
                <w:iCs w:val="0"/>
                <w:sz w:val="20"/>
                <w:szCs w:val="20"/>
                <w:lang w:val="cs-CZ"/>
              </w:rPr>
              <w:t>č. 8</w:t>
            </w:r>
            <w:r w:rsidR="004C313C">
              <w:rPr>
                <w:rFonts w:ascii="Arial" w:hAnsi="Arial" w:cs="Arial"/>
                <w:b w:val="0"/>
                <w:i w:val="0"/>
                <w:iCs w:val="0"/>
                <w:sz w:val="20"/>
                <w:szCs w:val="20"/>
                <w:lang w:val="cs-CZ"/>
              </w:rPr>
              <w:t>6</w:t>
            </w:r>
          </w:p>
        </w:tc>
        <w:tc>
          <w:tcPr>
            <w:tcW w:w="2032" w:type="pct"/>
            <w:tcBorders>
              <w:top w:val="nil"/>
              <w:left w:val="nil"/>
              <w:bottom w:val="nil"/>
              <w:right w:val="nil"/>
            </w:tcBorders>
          </w:tcPr>
          <w:p w:rsidR="006F366C" w:rsidRPr="00DD1E2B" w:rsidRDefault="00DD1E2B" w:rsidP="00DD1E2B">
            <w:pPr>
              <w:pStyle w:val="Nadpis2"/>
              <w:numPr>
                <w:ilvl w:val="0"/>
                <w:numId w:val="0"/>
              </w:numPr>
              <w:spacing w:before="0" w:after="0"/>
              <w:jc w:val="left"/>
              <w:rPr>
                <w:rFonts w:cs="Arial"/>
                <w:sz w:val="20"/>
                <w:szCs w:val="20"/>
                <w:lang w:val="cs-CZ"/>
              </w:rPr>
            </w:pPr>
            <w:r w:rsidRPr="00DD1E2B">
              <w:rPr>
                <w:rFonts w:cs="Arial"/>
                <w:bCs w:val="0"/>
                <w:iCs w:val="0"/>
                <w:sz w:val="20"/>
                <w:szCs w:val="20"/>
                <w:lang w:val="cs-CZ" w:eastAsia="cs-CZ"/>
              </w:rPr>
              <w:t>Vývoj usmrcených a těžce zraněných osob v ČR dle stavu vozovky</w:t>
            </w:r>
          </w:p>
        </w:tc>
      </w:tr>
    </w:tbl>
    <w:p w:rsidR="006F366C" w:rsidRPr="00706359" w:rsidRDefault="006F366C">
      <w:pPr>
        <w:rPr>
          <w:sz w:val="4"/>
          <w:szCs w:val="4"/>
          <w:lang/>
        </w:rPr>
      </w:pPr>
    </w:p>
    <w:p w:rsidR="006F366C" w:rsidRDefault="00E71DC8">
      <w:pPr>
        <w:rPr>
          <w:lang/>
        </w:rPr>
      </w:pPr>
      <w:r w:rsidRPr="00E71DC8">
        <w:pict>
          <v:shape id="_x0000_i1027" type="#_x0000_t75" style="width:243.65pt;height:194.1pt">
            <v:imagedata r:id="rId10" o:title=""/>
          </v:shape>
        </w:pict>
      </w:r>
      <w:r w:rsidRPr="00E71DC8">
        <w:pict>
          <v:shape id="_x0000_i1028" type="#_x0000_t75" style="width:232.7pt;height:194.1pt">
            <v:imagedata r:id="rId11" o:title=""/>
          </v:shape>
        </w:pict>
      </w:r>
    </w:p>
    <w:p w:rsidR="00DD1E2B" w:rsidRDefault="00DD1E2B">
      <w:pPr>
        <w:rPr>
          <w:lang/>
        </w:rPr>
      </w:pPr>
      <w:r>
        <w:rPr>
          <w:sz w:val="18"/>
        </w:rPr>
        <w:t>Pramen: Policejní prezidium ČR, vlastní výpočty</w:t>
      </w:r>
    </w:p>
    <w:p w:rsidR="00706359" w:rsidRDefault="00706359">
      <w:pPr>
        <w:rPr>
          <w:lang/>
        </w:rPr>
      </w:pPr>
    </w:p>
    <w:tbl>
      <w:tblPr>
        <w:tblW w:w="48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8"/>
        <w:gridCol w:w="4110"/>
        <w:gridCol w:w="709"/>
        <w:gridCol w:w="3975"/>
      </w:tblGrid>
      <w:tr w:rsidR="00DD1E2B" w:rsidTr="00DD1E2B">
        <w:tblPrEx>
          <w:tblCellMar>
            <w:top w:w="0" w:type="dxa"/>
            <w:bottom w:w="0" w:type="dxa"/>
          </w:tblCellMar>
        </w:tblPrEx>
        <w:trPr>
          <w:trHeight w:val="479"/>
        </w:trPr>
        <w:tc>
          <w:tcPr>
            <w:tcW w:w="338" w:type="pct"/>
            <w:tcBorders>
              <w:top w:val="nil"/>
              <w:left w:val="nil"/>
              <w:bottom w:val="nil"/>
              <w:right w:val="nil"/>
            </w:tcBorders>
          </w:tcPr>
          <w:p w:rsidR="00DD1E2B" w:rsidRPr="00D61589" w:rsidRDefault="00547B96" w:rsidP="00B03872">
            <w:pPr>
              <w:pStyle w:val="Nadpis5"/>
              <w:numPr>
                <w:ilvl w:val="0"/>
                <w:numId w:val="0"/>
              </w:numPr>
              <w:spacing w:before="0" w:after="0"/>
              <w:jc w:val="left"/>
              <w:rPr>
                <w:rFonts w:ascii="Arial" w:hAnsi="Arial" w:cs="Arial"/>
                <w:i w:val="0"/>
                <w:iCs w:val="0"/>
                <w:sz w:val="20"/>
                <w:szCs w:val="20"/>
              </w:rPr>
            </w:pPr>
            <w:r w:rsidRPr="00547B96">
              <w:rPr>
                <w:rFonts w:ascii="Arial" w:hAnsi="Arial" w:cs="Arial"/>
                <w:b w:val="0"/>
                <w:i w:val="0"/>
                <w:iCs w:val="0"/>
                <w:sz w:val="20"/>
                <w:szCs w:val="20"/>
              </w:rPr>
              <w:t xml:space="preserve">Graf </w:t>
            </w:r>
            <w:r w:rsidRPr="00547B96">
              <w:rPr>
                <w:rFonts w:ascii="Arial" w:hAnsi="Arial" w:cs="Arial"/>
                <w:b w:val="0"/>
                <w:i w:val="0"/>
                <w:iCs w:val="0"/>
                <w:sz w:val="20"/>
                <w:szCs w:val="20"/>
                <w:lang w:val="cs-CZ"/>
              </w:rPr>
              <w:t>č. 8</w:t>
            </w:r>
            <w:r w:rsidR="004C313C">
              <w:rPr>
                <w:rFonts w:ascii="Arial" w:hAnsi="Arial" w:cs="Arial"/>
                <w:b w:val="0"/>
                <w:i w:val="0"/>
                <w:iCs w:val="0"/>
                <w:sz w:val="20"/>
                <w:szCs w:val="20"/>
                <w:lang w:val="cs-CZ"/>
              </w:rPr>
              <w:t>7</w:t>
            </w:r>
          </w:p>
        </w:tc>
        <w:tc>
          <w:tcPr>
            <w:tcW w:w="2179" w:type="pct"/>
            <w:tcBorders>
              <w:top w:val="nil"/>
              <w:left w:val="nil"/>
              <w:bottom w:val="nil"/>
              <w:right w:val="nil"/>
            </w:tcBorders>
          </w:tcPr>
          <w:p w:rsidR="00DD1E2B" w:rsidRPr="00DD1E2B" w:rsidRDefault="00DD1E2B" w:rsidP="00DD1E2B">
            <w:pPr>
              <w:tabs>
                <w:tab w:val="left" w:pos="1072"/>
              </w:tabs>
              <w:jc w:val="left"/>
              <w:rPr>
                <w:rFonts w:cs="Arial"/>
                <w:b/>
                <w:bCs/>
                <w:szCs w:val="20"/>
              </w:rPr>
            </w:pPr>
            <w:r w:rsidRPr="00DD1E2B">
              <w:rPr>
                <w:rFonts w:cs="Arial"/>
                <w:b/>
                <w:szCs w:val="20"/>
              </w:rPr>
              <w:t xml:space="preserve">Vývoj usmrcených a těžce zraněných osob v ČR </w:t>
            </w:r>
            <w:r>
              <w:rPr>
                <w:rFonts w:cs="Arial"/>
                <w:b/>
                <w:szCs w:val="20"/>
              </w:rPr>
              <w:t>dle viditelnosti</w:t>
            </w:r>
            <w:r w:rsidRPr="00DD1E2B">
              <w:rPr>
                <w:rFonts w:cs="Arial"/>
                <w:b/>
                <w:szCs w:val="20"/>
              </w:rPr>
              <w:t xml:space="preserve"> </w:t>
            </w:r>
          </w:p>
        </w:tc>
        <w:tc>
          <w:tcPr>
            <w:tcW w:w="376" w:type="pct"/>
            <w:tcBorders>
              <w:top w:val="nil"/>
              <w:left w:val="nil"/>
              <w:bottom w:val="nil"/>
              <w:right w:val="nil"/>
            </w:tcBorders>
          </w:tcPr>
          <w:p w:rsidR="00DD1E2B" w:rsidRPr="00D61589" w:rsidRDefault="00547B96" w:rsidP="00B03872">
            <w:pPr>
              <w:pStyle w:val="Nadpis5"/>
              <w:numPr>
                <w:ilvl w:val="0"/>
                <w:numId w:val="0"/>
              </w:numPr>
              <w:spacing w:before="0" w:after="0"/>
              <w:jc w:val="left"/>
              <w:rPr>
                <w:rFonts w:ascii="Arial" w:hAnsi="Arial" w:cs="Arial"/>
                <w:i w:val="0"/>
                <w:sz w:val="20"/>
                <w:szCs w:val="20"/>
              </w:rPr>
            </w:pPr>
            <w:r w:rsidRPr="00547B96">
              <w:rPr>
                <w:rFonts w:ascii="Arial" w:hAnsi="Arial" w:cs="Arial"/>
                <w:b w:val="0"/>
                <w:i w:val="0"/>
                <w:iCs w:val="0"/>
                <w:sz w:val="20"/>
                <w:szCs w:val="20"/>
              </w:rPr>
              <w:t xml:space="preserve">Graf </w:t>
            </w:r>
            <w:r w:rsidRPr="00547B96">
              <w:rPr>
                <w:rFonts w:ascii="Arial" w:hAnsi="Arial" w:cs="Arial"/>
                <w:b w:val="0"/>
                <w:i w:val="0"/>
                <w:iCs w:val="0"/>
                <w:sz w:val="20"/>
                <w:szCs w:val="20"/>
                <w:lang w:val="cs-CZ"/>
              </w:rPr>
              <w:t>č. 8</w:t>
            </w:r>
            <w:r w:rsidR="00F925BA">
              <w:rPr>
                <w:rFonts w:ascii="Arial" w:hAnsi="Arial" w:cs="Arial"/>
                <w:b w:val="0"/>
                <w:i w:val="0"/>
                <w:iCs w:val="0"/>
                <w:sz w:val="20"/>
                <w:szCs w:val="20"/>
                <w:lang w:val="cs-CZ"/>
              </w:rPr>
              <w:t>8</w:t>
            </w:r>
          </w:p>
        </w:tc>
        <w:tc>
          <w:tcPr>
            <w:tcW w:w="2107" w:type="pct"/>
            <w:tcBorders>
              <w:top w:val="nil"/>
              <w:left w:val="nil"/>
              <w:bottom w:val="nil"/>
              <w:right w:val="nil"/>
            </w:tcBorders>
          </w:tcPr>
          <w:p w:rsidR="00DD1E2B" w:rsidRPr="00DD1E2B" w:rsidRDefault="00DD1E2B" w:rsidP="00DD1E2B">
            <w:pPr>
              <w:pStyle w:val="Nadpis2"/>
              <w:numPr>
                <w:ilvl w:val="0"/>
                <w:numId w:val="0"/>
              </w:numPr>
              <w:spacing w:before="0" w:after="0"/>
              <w:jc w:val="left"/>
              <w:rPr>
                <w:rFonts w:cs="Arial"/>
                <w:sz w:val="20"/>
                <w:szCs w:val="20"/>
                <w:lang w:val="cs-CZ"/>
              </w:rPr>
            </w:pPr>
            <w:r w:rsidRPr="00DD1E2B">
              <w:rPr>
                <w:rFonts w:cs="Arial"/>
                <w:bCs w:val="0"/>
                <w:iCs w:val="0"/>
                <w:sz w:val="20"/>
                <w:szCs w:val="20"/>
                <w:lang w:val="cs-CZ" w:eastAsia="cs-CZ"/>
              </w:rPr>
              <w:t>Vývoj usmrcených a těžce zraněných osob v ČR dle</w:t>
            </w:r>
            <w:r>
              <w:rPr>
                <w:rFonts w:cs="Arial"/>
                <w:bCs w:val="0"/>
                <w:iCs w:val="0"/>
                <w:sz w:val="20"/>
                <w:szCs w:val="20"/>
                <w:lang w:val="cs-CZ" w:eastAsia="cs-CZ"/>
              </w:rPr>
              <w:t xml:space="preserve"> rozhledových podmínek</w:t>
            </w:r>
          </w:p>
        </w:tc>
      </w:tr>
    </w:tbl>
    <w:p w:rsidR="00DD1E2B" w:rsidRDefault="001B38C6">
      <w:pPr>
        <w:rPr>
          <w:lang/>
        </w:rPr>
      </w:pPr>
      <w:r w:rsidRPr="001B38C6">
        <w:pict>
          <v:shape id="_x0000_i1029" type="#_x0000_t75" style="width:233.3pt;height:197.55pt">
            <v:imagedata r:id="rId12" o:title=""/>
          </v:shape>
        </w:pict>
      </w:r>
      <w:r w:rsidRPr="001B38C6">
        <w:pict>
          <v:shape id="_x0000_i1030" type="#_x0000_t75" style="width:236.75pt;height:197.55pt">
            <v:imagedata r:id="rId13" o:title=""/>
          </v:shape>
        </w:pict>
      </w:r>
    </w:p>
    <w:p w:rsidR="00DD1E2B" w:rsidRDefault="00DD1E2B" w:rsidP="00DD1E2B">
      <w:pPr>
        <w:rPr>
          <w:sz w:val="18"/>
        </w:rPr>
      </w:pPr>
      <w:proofErr w:type="spellStart"/>
      <w:r>
        <w:rPr>
          <w:sz w:val="18"/>
        </w:rPr>
        <w:t>Pozn</w:t>
      </w:r>
      <w:proofErr w:type="spellEnd"/>
      <w:r>
        <w:rPr>
          <w:sz w:val="18"/>
        </w:rPr>
        <w:t>: údaje o rozhledových podmínkách za rok 2010 nebyl</w:t>
      </w:r>
      <w:r w:rsidR="001B38C6">
        <w:rPr>
          <w:sz w:val="18"/>
        </w:rPr>
        <w:t>y kvůli nižší spolehlivosti k di</w:t>
      </w:r>
      <w:r>
        <w:rPr>
          <w:sz w:val="18"/>
        </w:rPr>
        <w:t>spozici</w:t>
      </w:r>
    </w:p>
    <w:p w:rsidR="00DD1E2B" w:rsidRDefault="00DD1E2B" w:rsidP="00DD1E2B">
      <w:pPr>
        <w:rPr>
          <w:lang/>
        </w:rPr>
      </w:pPr>
      <w:r>
        <w:rPr>
          <w:sz w:val="18"/>
        </w:rPr>
        <w:t>Pramen: Policejní prezidium ČR, vlastní výpočty</w:t>
      </w:r>
    </w:p>
    <w:p w:rsidR="00706359" w:rsidRDefault="00706359">
      <w:pPr>
        <w:rPr>
          <w:lang/>
        </w:rPr>
      </w:pPr>
    </w:p>
    <w:tbl>
      <w:tblPr>
        <w:tblW w:w="5000" w:type="pct"/>
        <w:tblCellMar>
          <w:left w:w="28" w:type="dxa"/>
          <w:right w:w="28" w:type="dxa"/>
        </w:tblCellMar>
        <w:tblLook w:val="04A0"/>
      </w:tblPr>
      <w:tblGrid>
        <w:gridCol w:w="2044"/>
        <w:gridCol w:w="275"/>
        <w:gridCol w:w="7375"/>
      </w:tblGrid>
      <w:tr w:rsidR="00EE38E0">
        <w:tc>
          <w:tcPr>
            <w:tcW w:w="1054" w:type="pct"/>
          </w:tcPr>
          <w:p w:rsidR="00EE38E0" w:rsidRDefault="00706359" w:rsidP="00706359">
            <w:pPr>
              <w:jc w:val="left"/>
              <w:rPr>
                <w:sz w:val="16"/>
                <w:szCs w:val="16"/>
              </w:rPr>
            </w:pPr>
            <w:r>
              <w:rPr>
                <w:sz w:val="16"/>
                <w:szCs w:val="16"/>
              </w:rPr>
              <w:t>Z příčin dominují vlivy zhoršené viditelnosti…</w:t>
            </w:r>
          </w:p>
        </w:tc>
        <w:tc>
          <w:tcPr>
            <w:tcW w:w="142" w:type="pct"/>
          </w:tcPr>
          <w:p w:rsidR="00EE38E0" w:rsidRDefault="00EE38E0">
            <w:pPr>
              <w:pStyle w:val="Textpoznpodarou"/>
              <w:jc w:val="both"/>
              <w:rPr>
                <w:lang w:val="cs-CZ" w:eastAsia="cs-CZ"/>
              </w:rPr>
            </w:pPr>
          </w:p>
        </w:tc>
        <w:tc>
          <w:tcPr>
            <w:tcW w:w="3804" w:type="pct"/>
          </w:tcPr>
          <w:p w:rsidR="00706359" w:rsidRDefault="002062BD" w:rsidP="00706359">
            <w:r>
              <w:t>Nejčetnější skupinu nehod s vlivem přírodních podmínek tvoří nehody se zhoršenou viditelností, které se v roce 2011 podílely z jedné třetiny na celkovém počtu nehod, i počtu lehce a těžce zraněných osob. Vyžádaly si však plných 45 % všech životů na pozemních komunikací</w:t>
            </w:r>
            <w:r w:rsidR="00FE1CCC">
              <w:t>ch</w:t>
            </w:r>
            <w:r>
              <w:t xml:space="preserve">, v Ústeckém kraji téměř dvě třetiny. </w:t>
            </w:r>
          </w:p>
          <w:p w:rsidR="00706359" w:rsidRDefault="00706359" w:rsidP="00706359"/>
          <w:p w:rsidR="00706359" w:rsidRDefault="002062BD" w:rsidP="00706359">
            <w:r>
              <w:t>Není př</w:t>
            </w:r>
            <w:r w:rsidR="00C133E6">
              <w:t>ekvapivé, že nejvíce jsou</w:t>
            </w:r>
            <w:r>
              <w:t xml:space="preserve"> ohroženi účastníci silničního provozu v noci bez veřejného osvětlení</w:t>
            </w:r>
            <w:r w:rsidR="00FE1CCC">
              <w:t>,</w:t>
            </w:r>
            <w:r>
              <w:t xml:space="preserve"> kde viditelnost navíc zhoršují i povětrnostní poměry. Úmrtím v těchto podmínkách končí v posledních letech 2,5 % nehod, přičemž jen v roce 2011 tvořili plnou třetinu jejich obětí chodci, těžkým zraněním každá dvacátá nehoda. </w:t>
            </w:r>
          </w:p>
          <w:p w:rsidR="00EE38E0" w:rsidRDefault="002062BD" w:rsidP="00706359">
            <w:r>
              <w:t xml:space="preserve"> </w:t>
            </w:r>
          </w:p>
        </w:tc>
      </w:tr>
      <w:tr w:rsidR="00706359">
        <w:tc>
          <w:tcPr>
            <w:tcW w:w="1054" w:type="pct"/>
          </w:tcPr>
          <w:p w:rsidR="00706359" w:rsidRDefault="00706359" w:rsidP="00706359">
            <w:pPr>
              <w:jc w:val="left"/>
              <w:rPr>
                <w:sz w:val="16"/>
                <w:szCs w:val="16"/>
              </w:rPr>
            </w:pPr>
            <w:r>
              <w:rPr>
                <w:sz w:val="16"/>
                <w:szCs w:val="16"/>
              </w:rPr>
              <w:t>…v noci…</w:t>
            </w:r>
          </w:p>
        </w:tc>
        <w:tc>
          <w:tcPr>
            <w:tcW w:w="142" w:type="pct"/>
          </w:tcPr>
          <w:p w:rsidR="00706359" w:rsidRDefault="00706359">
            <w:pPr>
              <w:pStyle w:val="Textpoznpodarou"/>
              <w:jc w:val="both"/>
              <w:rPr>
                <w:lang w:val="cs-CZ" w:eastAsia="cs-CZ"/>
              </w:rPr>
            </w:pPr>
          </w:p>
        </w:tc>
        <w:tc>
          <w:tcPr>
            <w:tcW w:w="3804" w:type="pct"/>
          </w:tcPr>
          <w:p w:rsidR="00706359" w:rsidRDefault="00706359" w:rsidP="00706359">
            <w:r>
              <w:t>Dopravní nehody v noci si v posledních třech letech v úhrnu vyžádaly třetinu veškerých úmrtí a téměř čtvrtinu všech lehce i těžce zraněných. Zatímco počty lehce a těžce zraněných osob z nočního provozu byly rovnoměrně rozloženy mezi komunikace s veřejným osvětlením a mimo ně, v případě úmrtí připadly dvě třetiny obětí na nehody mimo obec.</w:t>
            </w:r>
          </w:p>
          <w:p w:rsidR="00706359" w:rsidRDefault="00706359" w:rsidP="00706359"/>
        </w:tc>
      </w:tr>
      <w:tr w:rsidR="00706359">
        <w:tc>
          <w:tcPr>
            <w:tcW w:w="1054" w:type="pct"/>
          </w:tcPr>
          <w:p w:rsidR="00706359" w:rsidRDefault="00706359" w:rsidP="00706359">
            <w:pPr>
              <w:jc w:val="left"/>
              <w:rPr>
                <w:sz w:val="16"/>
                <w:szCs w:val="16"/>
              </w:rPr>
            </w:pPr>
            <w:r>
              <w:rPr>
                <w:sz w:val="16"/>
                <w:szCs w:val="16"/>
              </w:rPr>
              <w:t>…za soumraku a svítání</w:t>
            </w:r>
          </w:p>
        </w:tc>
        <w:tc>
          <w:tcPr>
            <w:tcW w:w="142" w:type="pct"/>
          </w:tcPr>
          <w:p w:rsidR="00706359" w:rsidRDefault="00706359">
            <w:pPr>
              <w:pStyle w:val="Textpoznpodarou"/>
              <w:jc w:val="both"/>
              <w:rPr>
                <w:lang w:val="cs-CZ" w:eastAsia="cs-CZ"/>
              </w:rPr>
            </w:pPr>
          </w:p>
        </w:tc>
        <w:tc>
          <w:tcPr>
            <w:tcW w:w="3804" w:type="pct"/>
          </w:tcPr>
          <w:p w:rsidR="00706359" w:rsidRDefault="00706359" w:rsidP="00706359">
            <w:r>
              <w:t>Druhými rizikovými okolnosti jsou rychlé změny viditelnosti (při soumraky, svítání), při kterých mají nehody vážnější následky (v letech 2009-2011 skončila v těchto podmínkách s usmrcením či těžkým zraněním každá čtrnáctá nehoda, u veškerých nehod to pak každá dvacátá). Příčinou je horší adaptace řidičů na rychlé změny viditelnosti a časté podcenění situace.</w:t>
            </w:r>
          </w:p>
          <w:p w:rsidR="00706359" w:rsidRDefault="00706359" w:rsidP="002062BD"/>
        </w:tc>
      </w:tr>
      <w:tr w:rsidR="00EE38E0">
        <w:tc>
          <w:tcPr>
            <w:tcW w:w="1054" w:type="pct"/>
          </w:tcPr>
          <w:p w:rsidR="00EE38E0" w:rsidRDefault="00706359">
            <w:pPr>
              <w:jc w:val="left"/>
              <w:rPr>
                <w:sz w:val="16"/>
                <w:szCs w:val="16"/>
              </w:rPr>
            </w:pPr>
            <w:r>
              <w:rPr>
                <w:sz w:val="16"/>
                <w:szCs w:val="16"/>
              </w:rPr>
              <w:t>Na zhoršené počasí připadal v roce 2011 každá sedmá nehoda…</w:t>
            </w:r>
          </w:p>
        </w:tc>
        <w:tc>
          <w:tcPr>
            <w:tcW w:w="142" w:type="pct"/>
          </w:tcPr>
          <w:p w:rsidR="00EE38E0" w:rsidRDefault="00EE38E0">
            <w:pPr>
              <w:pStyle w:val="Textpoznpodarou"/>
              <w:jc w:val="both"/>
              <w:rPr>
                <w:lang w:val="cs-CZ" w:eastAsia="cs-CZ"/>
              </w:rPr>
            </w:pPr>
          </w:p>
        </w:tc>
        <w:tc>
          <w:tcPr>
            <w:tcW w:w="3804" w:type="pct"/>
          </w:tcPr>
          <w:p w:rsidR="00706359" w:rsidRDefault="00706359" w:rsidP="00706359">
            <w:r>
              <w:t xml:space="preserve">Zhoršeným povětrnostním podmínkám šla v roce 2011 na vrub každá sedmá nehoda, na celkovém počtu usmrcených se podílely téměř 19 %. Mezi nejrizikovější patří nehody při mlze, které v letech 2009-2011 končily úmrtím dvakrát častěji (2 %) než všechny nehody. </w:t>
            </w:r>
          </w:p>
          <w:p w:rsidR="00EE38E0" w:rsidRDefault="00EE38E0" w:rsidP="00F169A6"/>
        </w:tc>
      </w:tr>
      <w:tr w:rsidR="00F169A6">
        <w:tc>
          <w:tcPr>
            <w:tcW w:w="1054" w:type="pct"/>
          </w:tcPr>
          <w:p w:rsidR="00F169A6" w:rsidRDefault="00F169A6">
            <w:pPr>
              <w:jc w:val="left"/>
              <w:rPr>
                <w:sz w:val="16"/>
                <w:szCs w:val="16"/>
              </w:rPr>
            </w:pPr>
            <w:r>
              <w:rPr>
                <w:sz w:val="16"/>
                <w:szCs w:val="16"/>
              </w:rPr>
              <w:t>… s přek</w:t>
            </w:r>
            <w:r w:rsidR="00FA28AE">
              <w:rPr>
                <w:sz w:val="16"/>
                <w:szCs w:val="16"/>
              </w:rPr>
              <w:t xml:space="preserve">vapivě dobrými konci nehod při </w:t>
            </w:r>
            <w:r>
              <w:rPr>
                <w:sz w:val="16"/>
                <w:szCs w:val="16"/>
              </w:rPr>
              <w:t>sněžení či nárazovém větu</w:t>
            </w:r>
          </w:p>
        </w:tc>
        <w:tc>
          <w:tcPr>
            <w:tcW w:w="142" w:type="pct"/>
          </w:tcPr>
          <w:p w:rsidR="00F169A6" w:rsidRDefault="00F169A6">
            <w:pPr>
              <w:pStyle w:val="Textpoznpodarou"/>
              <w:jc w:val="both"/>
              <w:rPr>
                <w:lang w:val="cs-CZ" w:eastAsia="cs-CZ"/>
              </w:rPr>
            </w:pPr>
          </w:p>
        </w:tc>
        <w:tc>
          <w:tcPr>
            <w:tcW w:w="3804" w:type="pct"/>
          </w:tcPr>
          <w:p w:rsidR="00F169A6" w:rsidRDefault="00F169A6" w:rsidP="00F169A6">
            <w:r>
              <w:t xml:space="preserve">Tragičtější jsou také následky nehod za deště, zejména při dešti slabém či jeho počátcích, jehož zrádnost je umocněna častou tendencí k podcenění situace za strany řidiče. Na první pohled překvapivě </w:t>
            </w:r>
            <w:r w:rsidR="00FA28AE">
              <w:t>„</w:t>
            </w:r>
            <w:r>
              <w:t>dobře</w:t>
            </w:r>
            <w:r w:rsidR="00FA28AE">
              <w:t>“</w:t>
            </w:r>
            <w:r>
              <w:t xml:space="preserve"> končí nehody při sněžení či nárazovém větru, což lze vysvětlit </w:t>
            </w:r>
            <w:r w:rsidR="00FA28AE">
              <w:t xml:space="preserve">mj. i </w:t>
            </w:r>
            <w:r>
              <w:t xml:space="preserve">tím, že </w:t>
            </w:r>
            <w:r w:rsidR="00FA28AE">
              <w:t xml:space="preserve">na </w:t>
            </w:r>
            <w:r>
              <w:t xml:space="preserve">takové podmínky </w:t>
            </w:r>
            <w:r w:rsidR="00FA28AE">
              <w:t xml:space="preserve">řidiči </w:t>
            </w:r>
            <w:r>
              <w:t>lépe s předstihem reagují (např. zpomalením rychlosti či úplným odložením jízdy).</w:t>
            </w:r>
          </w:p>
          <w:p w:rsidR="00F169A6" w:rsidRDefault="00F169A6" w:rsidP="00706359"/>
        </w:tc>
      </w:tr>
    </w:tbl>
    <w:p w:rsidR="00F169A6" w:rsidRDefault="00F169A6" w:rsidP="002062BD"/>
    <w:p w:rsidR="00F169A6" w:rsidRDefault="00F169A6" w:rsidP="002062BD"/>
    <w:p w:rsidR="00FA28AE" w:rsidRDefault="00FA28AE" w:rsidP="002062BD"/>
    <w:p w:rsidR="00FA28AE" w:rsidRDefault="00FA28AE" w:rsidP="002062BD"/>
    <w:p w:rsidR="00FA28AE" w:rsidRDefault="00FA28AE" w:rsidP="002062BD"/>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81"/>
        <w:gridCol w:w="8929"/>
      </w:tblGrid>
      <w:tr w:rsidR="00BE582F" w:rsidTr="00BE582F">
        <w:tblPrEx>
          <w:tblCellMar>
            <w:top w:w="0" w:type="dxa"/>
            <w:bottom w:w="0" w:type="dxa"/>
          </w:tblCellMar>
        </w:tblPrEx>
        <w:trPr>
          <w:trHeight w:val="479"/>
        </w:trPr>
        <w:tc>
          <w:tcPr>
            <w:tcW w:w="402" w:type="pct"/>
            <w:tcBorders>
              <w:top w:val="nil"/>
              <w:left w:val="nil"/>
              <w:bottom w:val="nil"/>
              <w:right w:val="nil"/>
            </w:tcBorders>
          </w:tcPr>
          <w:p w:rsidR="00BE582F" w:rsidRPr="002062BD" w:rsidRDefault="00547B96" w:rsidP="002062BD">
            <w:pPr>
              <w:pStyle w:val="Nadpis5"/>
              <w:numPr>
                <w:ilvl w:val="0"/>
                <w:numId w:val="0"/>
              </w:numPr>
              <w:spacing w:before="0" w:after="0"/>
              <w:jc w:val="left"/>
              <w:rPr>
                <w:rFonts w:ascii="Arial" w:hAnsi="Arial" w:cs="Arial"/>
                <w:i w:val="0"/>
                <w:iCs w:val="0"/>
                <w:sz w:val="20"/>
                <w:szCs w:val="20"/>
              </w:rPr>
            </w:pPr>
            <w:r w:rsidRPr="00547B96">
              <w:rPr>
                <w:rFonts w:ascii="Arial" w:hAnsi="Arial" w:cs="Arial"/>
                <w:b w:val="0"/>
                <w:i w:val="0"/>
                <w:iCs w:val="0"/>
                <w:sz w:val="20"/>
                <w:szCs w:val="20"/>
              </w:rPr>
              <w:lastRenderedPageBreak/>
              <w:t xml:space="preserve">Graf </w:t>
            </w:r>
            <w:r w:rsidRPr="00547B96">
              <w:rPr>
                <w:rFonts w:ascii="Arial" w:hAnsi="Arial" w:cs="Arial"/>
                <w:b w:val="0"/>
                <w:i w:val="0"/>
                <w:iCs w:val="0"/>
                <w:sz w:val="20"/>
                <w:szCs w:val="20"/>
                <w:lang w:val="cs-CZ"/>
              </w:rPr>
              <w:t>č. 8</w:t>
            </w:r>
            <w:r w:rsidR="00F925BA">
              <w:rPr>
                <w:rFonts w:ascii="Arial" w:hAnsi="Arial" w:cs="Arial"/>
                <w:b w:val="0"/>
                <w:i w:val="0"/>
                <w:iCs w:val="0"/>
                <w:sz w:val="20"/>
                <w:szCs w:val="20"/>
                <w:lang w:val="cs-CZ"/>
              </w:rPr>
              <w:t>9</w:t>
            </w:r>
          </w:p>
        </w:tc>
        <w:tc>
          <w:tcPr>
            <w:tcW w:w="4598" w:type="pct"/>
            <w:tcBorders>
              <w:top w:val="nil"/>
              <w:left w:val="nil"/>
              <w:bottom w:val="nil"/>
              <w:right w:val="nil"/>
            </w:tcBorders>
          </w:tcPr>
          <w:p w:rsidR="00BE582F" w:rsidRDefault="00BE582F" w:rsidP="002062BD">
            <w:pPr>
              <w:pStyle w:val="Nadpis2"/>
              <w:numPr>
                <w:ilvl w:val="0"/>
                <w:numId w:val="0"/>
              </w:numPr>
              <w:spacing w:before="0" w:after="0"/>
              <w:jc w:val="left"/>
              <w:rPr>
                <w:rFonts w:cs="Arial"/>
                <w:b w:val="0"/>
                <w:bCs w:val="0"/>
                <w:sz w:val="20"/>
                <w:szCs w:val="20"/>
                <w:lang w:val="cs-CZ"/>
              </w:rPr>
            </w:pPr>
            <w:r w:rsidRPr="00BE582F">
              <w:rPr>
                <w:rFonts w:cs="Arial"/>
                <w:bCs w:val="0"/>
                <w:sz w:val="20"/>
                <w:szCs w:val="20"/>
                <w:lang w:val="cs-CZ"/>
              </w:rPr>
              <w:t>Závažnost dopravních nehod</w:t>
            </w:r>
            <w:r w:rsidRPr="00BE582F">
              <w:rPr>
                <w:rFonts w:cs="Arial"/>
                <w:bCs w:val="0"/>
                <w:sz w:val="20"/>
                <w:szCs w:val="20"/>
              </w:rPr>
              <w:t xml:space="preserve"> při </w:t>
            </w:r>
            <w:r w:rsidRPr="00BE582F">
              <w:rPr>
                <w:rFonts w:cs="Arial"/>
                <w:bCs w:val="0"/>
                <w:sz w:val="20"/>
                <w:szCs w:val="20"/>
                <w:lang w:val="cs-CZ"/>
              </w:rPr>
              <w:t xml:space="preserve">různých druzích </w:t>
            </w:r>
            <w:r w:rsidRPr="00BE582F">
              <w:rPr>
                <w:rFonts w:cs="Arial"/>
                <w:bCs w:val="0"/>
                <w:sz w:val="20"/>
                <w:szCs w:val="20"/>
              </w:rPr>
              <w:t>nepříznivých podmín</w:t>
            </w:r>
            <w:r w:rsidRPr="00BE582F">
              <w:rPr>
                <w:rFonts w:cs="Arial"/>
                <w:bCs w:val="0"/>
                <w:sz w:val="20"/>
                <w:szCs w:val="20"/>
                <w:lang w:val="cs-CZ"/>
              </w:rPr>
              <w:t>ek</w:t>
            </w:r>
            <w:r w:rsidRPr="00BE582F">
              <w:rPr>
                <w:rFonts w:cs="Arial"/>
                <w:b w:val="0"/>
                <w:bCs w:val="0"/>
                <w:sz w:val="20"/>
                <w:szCs w:val="20"/>
              </w:rPr>
              <w:t xml:space="preserve"> </w:t>
            </w:r>
          </w:p>
          <w:p w:rsidR="00BE582F" w:rsidRPr="00BE582F" w:rsidRDefault="00BE582F" w:rsidP="002062BD">
            <w:pPr>
              <w:pStyle w:val="Nadpis2"/>
              <w:numPr>
                <w:ilvl w:val="0"/>
                <w:numId w:val="0"/>
              </w:numPr>
              <w:spacing w:before="0" w:after="0"/>
              <w:jc w:val="left"/>
              <w:rPr>
                <w:rFonts w:cs="Arial"/>
                <w:b w:val="0"/>
                <w:sz w:val="20"/>
                <w:szCs w:val="20"/>
              </w:rPr>
            </w:pPr>
            <w:r w:rsidRPr="00BE582F">
              <w:rPr>
                <w:rFonts w:cs="Arial"/>
                <w:b w:val="0"/>
                <w:sz w:val="20"/>
                <w:szCs w:val="20"/>
              </w:rPr>
              <w:t>(ČR, obd</w:t>
            </w:r>
            <w:r w:rsidR="001B38C6">
              <w:rPr>
                <w:rFonts w:cs="Arial"/>
                <w:b w:val="0"/>
                <w:sz w:val="20"/>
                <w:szCs w:val="20"/>
              </w:rPr>
              <w:t>obí 2009-201</w:t>
            </w:r>
            <w:r w:rsidR="001B38C6">
              <w:rPr>
                <w:rFonts w:cs="Arial"/>
                <w:b w:val="0"/>
                <w:sz w:val="20"/>
                <w:szCs w:val="20"/>
                <w:lang w:val="cs-CZ"/>
              </w:rPr>
              <w:t>2</w:t>
            </w:r>
            <w:r w:rsidRPr="00BE582F">
              <w:rPr>
                <w:rFonts w:cs="Arial"/>
                <w:b w:val="0"/>
                <w:sz w:val="20"/>
                <w:szCs w:val="20"/>
              </w:rPr>
              <w:t>)</w:t>
            </w:r>
          </w:p>
        </w:tc>
      </w:tr>
    </w:tbl>
    <w:p w:rsidR="002062BD" w:rsidRDefault="00BE582F" w:rsidP="002062BD">
      <w:r w:rsidRPr="00BE582F">
        <w:pict>
          <v:shape id="_x0000_i1031" type="#_x0000_t75" style="width:412.4pt;height:233.85pt">
            <v:imagedata r:id="rId14" o:title=""/>
          </v:shape>
        </w:pict>
      </w:r>
    </w:p>
    <w:p w:rsidR="002062BD" w:rsidRDefault="002062BD" w:rsidP="002062BD">
      <w:r>
        <w:rPr>
          <w:sz w:val="18"/>
        </w:rPr>
        <w:t>Pramen: Policejní prezidium ČR, vlastní výpočty</w:t>
      </w:r>
    </w:p>
    <w:p w:rsidR="002062BD" w:rsidRDefault="002062BD">
      <w:pPr>
        <w:rPr>
          <w:lang/>
        </w:rPr>
      </w:pPr>
    </w:p>
    <w:tbl>
      <w:tblPr>
        <w:tblW w:w="5000" w:type="pct"/>
        <w:tblCellMar>
          <w:left w:w="28" w:type="dxa"/>
          <w:right w:w="28" w:type="dxa"/>
        </w:tblCellMar>
        <w:tblLook w:val="04A0"/>
      </w:tblPr>
      <w:tblGrid>
        <w:gridCol w:w="2044"/>
        <w:gridCol w:w="275"/>
        <w:gridCol w:w="7375"/>
      </w:tblGrid>
      <w:tr w:rsidR="00EE38E0">
        <w:tc>
          <w:tcPr>
            <w:tcW w:w="1054" w:type="pct"/>
          </w:tcPr>
          <w:p w:rsidR="00EE38E0" w:rsidRDefault="00F169A6">
            <w:pPr>
              <w:jc w:val="left"/>
              <w:rPr>
                <w:sz w:val="16"/>
                <w:szCs w:val="16"/>
              </w:rPr>
            </w:pPr>
            <w:r>
              <w:rPr>
                <w:sz w:val="16"/>
                <w:szCs w:val="16"/>
              </w:rPr>
              <w:t xml:space="preserve">Zhoršený stav vozovky stál za nehodami z jedné  čtvrtiny až jedné třetiny </w:t>
            </w:r>
          </w:p>
        </w:tc>
        <w:tc>
          <w:tcPr>
            <w:tcW w:w="142" w:type="pct"/>
          </w:tcPr>
          <w:p w:rsidR="00EE38E0" w:rsidRDefault="00EE38E0">
            <w:pPr>
              <w:pStyle w:val="Textpoznpodarou"/>
              <w:jc w:val="both"/>
              <w:rPr>
                <w:lang w:val="cs-CZ" w:eastAsia="cs-CZ"/>
              </w:rPr>
            </w:pPr>
          </w:p>
        </w:tc>
        <w:tc>
          <w:tcPr>
            <w:tcW w:w="3804" w:type="pct"/>
          </w:tcPr>
          <w:p w:rsidR="00F169A6" w:rsidRDefault="002062BD" w:rsidP="002062BD">
            <w:r>
              <w:t>V roce 2011</w:t>
            </w:r>
            <w:r w:rsidR="00F169A6">
              <w:t xml:space="preserve"> </w:t>
            </w:r>
            <w:r>
              <w:t xml:space="preserve">tvořily nehody při zhoršeném stavu vozovky 28,5 %. Jejich následky však nebyly v porovnání s veškerými nehodami horší. Mírně vyšší byl při nich pouze podíl zemřelých (32 %), a to vlivem nepatrně horší bilance u nehod na mokré vozovce – tyto nehody jsou však velmi časté, tři ze čtyř nehod při zhoršeném stavu vozovky má na svědomí mokro. </w:t>
            </w:r>
          </w:p>
          <w:p w:rsidR="00F169A6" w:rsidRDefault="00F169A6" w:rsidP="002062BD"/>
          <w:p w:rsidR="002062BD" w:rsidRDefault="002062BD" w:rsidP="002062BD">
            <w:r>
              <w:t>Horší důsledky mají také relativně málo četné nehody na suché znečištěné vozovce (převážně pevným materiálem, např. odpad ze zemědělské či stavební činnosti). Naopak zasněžená či zledovatělá vozovky vzbuzuje u řidičů respekt, podíl úmrtí je při nich v porovnání s veškerými nehodami o více než polovinu nižší, lepší je však i bilance u zraněných osob. Podíl událostí s vážnými následky na zdraví se přitom významně nelišil tím</w:t>
            </w:r>
            <w:r w:rsidR="00E82D6F">
              <w:t>,</w:t>
            </w:r>
            <w:r>
              <w:t xml:space="preserve"> jestli byl povrch vozovky posypán, rozdílná však byla četnost nehod (na povrch s ochranným posypem připadá dlouhodobě čtvrtina všech nehod na náledí a sněhu). </w:t>
            </w:r>
          </w:p>
          <w:p w:rsidR="00EE38E0" w:rsidRDefault="00EE38E0">
            <w:pPr>
              <w:pStyle w:val="Textpoznpodarou"/>
              <w:jc w:val="both"/>
              <w:rPr>
                <w:lang w:val="cs-CZ" w:eastAsia="cs-CZ"/>
              </w:rPr>
            </w:pPr>
          </w:p>
        </w:tc>
      </w:tr>
      <w:tr w:rsidR="00EE38E0">
        <w:tc>
          <w:tcPr>
            <w:tcW w:w="1054" w:type="pct"/>
          </w:tcPr>
          <w:p w:rsidR="00EE38E0" w:rsidRDefault="00F169A6">
            <w:pPr>
              <w:jc w:val="left"/>
              <w:rPr>
                <w:sz w:val="16"/>
                <w:szCs w:val="16"/>
              </w:rPr>
            </w:pPr>
            <w:r>
              <w:rPr>
                <w:sz w:val="16"/>
                <w:szCs w:val="16"/>
              </w:rPr>
              <w:t>Nehody, za nimiž stojí „horizont“ vozovky</w:t>
            </w:r>
          </w:p>
        </w:tc>
        <w:tc>
          <w:tcPr>
            <w:tcW w:w="142" w:type="pct"/>
          </w:tcPr>
          <w:p w:rsidR="00EE38E0" w:rsidRDefault="00EE38E0">
            <w:pPr>
              <w:pStyle w:val="Textpoznpodarou"/>
              <w:jc w:val="both"/>
              <w:rPr>
                <w:lang w:val="cs-CZ" w:eastAsia="cs-CZ"/>
              </w:rPr>
            </w:pPr>
          </w:p>
        </w:tc>
        <w:tc>
          <w:tcPr>
            <w:tcW w:w="3804" w:type="pct"/>
          </w:tcPr>
          <w:p w:rsidR="002062BD" w:rsidRDefault="002062BD" w:rsidP="002062BD">
            <w:r>
              <w:t xml:space="preserve">Negativní vliv na následky nehod mají i kolize při zhoršených rozhledových podmínkách, byť v roce 2011 tvořily pouze 5,2 % všech nehod s následky na zdraví. Nejčetnější skupiny s dlouhodobě nejvážnějšími důsledky zde představují nehody, kde rozhled ztížen profilem komunikace. Posouzení rozhledových podmínek je však na rozdíl od předchozích kategorií více subjektivní a s ohledem na nižší četnost takových nehod je vhodné k jejich údajům přistupovat opatrněji. </w:t>
            </w:r>
          </w:p>
          <w:p w:rsidR="00EE38E0" w:rsidRDefault="00EE38E0">
            <w:pPr>
              <w:pStyle w:val="Textpoznpodarou"/>
              <w:jc w:val="both"/>
              <w:rPr>
                <w:lang w:val="cs-CZ" w:eastAsia="cs-CZ"/>
              </w:rPr>
            </w:pPr>
          </w:p>
        </w:tc>
      </w:tr>
      <w:tr w:rsidR="00EE38E0">
        <w:tc>
          <w:tcPr>
            <w:tcW w:w="1054" w:type="pct"/>
          </w:tcPr>
          <w:p w:rsidR="00EE38E0" w:rsidRDefault="00F169A6">
            <w:pPr>
              <w:jc w:val="left"/>
              <w:rPr>
                <w:sz w:val="16"/>
                <w:szCs w:val="16"/>
              </w:rPr>
            </w:pPr>
            <w:r>
              <w:rPr>
                <w:sz w:val="16"/>
                <w:szCs w:val="16"/>
              </w:rPr>
              <w:t xml:space="preserve">Smrt při nehodě vlivem zhoršeného stavu </w:t>
            </w:r>
            <w:proofErr w:type="spellStart"/>
            <w:r>
              <w:rPr>
                <w:sz w:val="16"/>
                <w:szCs w:val="16"/>
              </w:rPr>
              <w:t>voozvky</w:t>
            </w:r>
            <w:proofErr w:type="spellEnd"/>
            <w:r>
              <w:rPr>
                <w:sz w:val="16"/>
                <w:szCs w:val="16"/>
              </w:rPr>
              <w:t xml:space="preserve"> mají na svědomí třetinu všech silničních obětí</w:t>
            </w:r>
          </w:p>
        </w:tc>
        <w:tc>
          <w:tcPr>
            <w:tcW w:w="142" w:type="pct"/>
          </w:tcPr>
          <w:p w:rsidR="00EE38E0" w:rsidRDefault="00EE38E0">
            <w:pPr>
              <w:pStyle w:val="Textpoznpodarou"/>
              <w:jc w:val="both"/>
              <w:rPr>
                <w:lang w:val="cs-CZ" w:eastAsia="cs-CZ"/>
              </w:rPr>
            </w:pPr>
          </w:p>
        </w:tc>
        <w:tc>
          <w:tcPr>
            <w:tcW w:w="3804" w:type="pct"/>
          </w:tcPr>
          <w:p w:rsidR="002062BD" w:rsidRDefault="002062BD" w:rsidP="002062BD">
            <w:r>
              <w:t>Nehody při zhoršených přírodních podmínkách v úhrnu se na usmrceních a těžkých zraněních osob při veškerých nehodách v ČR podílí stále méně. Platí to především u nehod při zhoršené viditelnosti, které měly v roce 2000 na svědomí 53 % všech úmrtí na silnicích a 46 % těžkých zranění. V roce 2011 si vyžádaly 45 % životů a třetinu všech těžkých zranění z dopravních nehod. K mírnému zlepšení ale dochází u všech následků na zdraví napříč všemi hlavními skupinami nepříznivých přírodních podmínek. Výjimku představují počty usmrcených při nehodách na zhoršeném stavu vozovky, které mají stabilně dlouhodobě na svědomí třetinu všech silničních obětí. Na vině je zde pomalejším tempo pokles počtu usmrcených na mokré vozovce.</w:t>
            </w:r>
          </w:p>
          <w:p w:rsidR="00EE38E0" w:rsidRDefault="00EE38E0">
            <w:pPr>
              <w:pStyle w:val="Textpoznpodarou"/>
              <w:jc w:val="both"/>
              <w:rPr>
                <w:lang w:val="cs-CZ" w:eastAsia="cs-CZ"/>
              </w:rPr>
            </w:pPr>
          </w:p>
        </w:tc>
      </w:tr>
      <w:tr w:rsidR="00EE38E0">
        <w:trPr>
          <w:cantSplit/>
          <w:trHeight w:val="110"/>
        </w:trPr>
        <w:tc>
          <w:tcPr>
            <w:tcW w:w="1054" w:type="pct"/>
          </w:tcPr>
          <w:p w:rsidR="00EE38E0" w:rsidRDefault="00F169A6">
            <w:pPr>
              <w:jc w:val="left"/>
              <w:rPr>
                <w:sz w:val="16"/>
                <w:szCs w:val="16"/>
              </w:rPr>
            </w:pPr>
            <w:r>
              <w:rPr>
                <w:sz w:val="16"/>
                <w:szCs w:val="16"/>
              </w:rPr>
              <w:lastRenderedPageBreak/>
              <w:t>Horší přírodní podmínky ovlivňují nehodovat především v pohraničí</w:t>
            </w:r>
          </w:p>
        </w:tc>
        <w:tc>
          <w:tcPr>
            <w:tcW w:w="142" w:type="pct"/>
          </w:tcPr>
          <w:p w:rsidR="00EE38E0" w:rsidRDefault="00EE38E0">
            <w:pPr>
              <w:pStyle w:val="Textpoznpodarou"/>
              <w:jc w:val="both"/>
              <w:rPr>
                <w:spacing w:val="-2"/>
                <w:lang w:val="cs-CZ" w:eastAsia="cs-CZ"/>
              </w:rPr>
            </w:pPr>
          </w:p>
        </w:tc>
        <w:tc>
          <w:tcPr>
            <w:tcW w:w="3804" w:type="pct"/>
          </w:tcPr>
          <w:p w:rsidR="002062BD" w:rsidRDefault="002062BD" w:rsidP="002062BD">
            <w:r>
              <w:t>Zastoupení nehody při zhoršených přírodních podmínkách</w:t>
            </w:r>
            <w:r>
              <w:rPr>
                <w:rFonts w:cs="Arial"/>
                <w:szCs w:val="16"/>
              </w:rPr>
              <w:t xml:space="preserve"> na celkové nehodovosti se regionálně významně odlišuje. Vyšší jsou v oblastech, kde je dopravní síť negativně ovlivněna terénními a klimatickými podmínkami (především v českém pohraničí, jižní části Středočeského kraje a západu Vysočiny, moravskoslovenském pomezí), na krajské úrovni na Karlovarsku, Liberecku a Vysočině). Nehody tohoto typu se častěji vyskytují ve venkovském prostoru se soustředěním na komunikace v </w:t>
            </w:r>
            <w:proofErr w:type="spellStart"/>
            <w:r>
              <w:rPr>
                <w:rFonts w:cs="Arial"/>
                <w:szCs w:val="16"/>
              </w:rPr>
              <w:t>extravilánu</w:t>
            </w:r>
            <w:proofErr w:type="spellEnd"/>
            <w:r>
              <w:rPr>
                <w:rFonts w:cs="Arial"/>
                <w:szCs w:val="16"/>
              </w:rPr>
              <w:t>.</w:t>
            </w:r>
          </w:p>
          <w:p w:rsidR="00EE38E0" w:rsidRDefault="00EE38E0">
            <w:pPr>
              <w:pStyle w:val="Textpoznpodarou"/>
              <w:jc w:val="both"/>
              <w:rPr>
                <w:lang w:val="cs-CZ" w:eastAsia="cs-CZ"/>
              </w:rPr>
            </w:pPr>
          </w:p>
        </w:tc>
      </w:tr>
      <w:tr w:rsidR="00EE38E0">
        <w:trPr>
          <w:cantSplit/>
          <w:trHeight w:val="107"/>
        </w:trPr>
        <w:tc>
          <w:tcPr>
            <w:tcW w:w="1054" w:type="pct"/>
          </w:tcPr>
          <w:p w:rsidR="00EE38E0" w:rsidRDefault="00F169A6">
            <w:pPr>
              <w:jc w:val="left"/>
              <w:rPr>
                <w:bCs/>
                <w:iCs/>
                <w:sz w:val="16"/>
                <w:szCs w:val="16"/>
              </w:rPr>
            </w:pPr>
            <w:r>
              <w:rPr>
                <w:bCs/>
                <w:iCs/>
                <w:sz w:val="16"/>
                <w:szCs w:val="16"/>
              </w:rPr>
              <w:t>Těžká ovlivnitelnost nehod způsobovaných přírodními podmínkami</w:t>
            </w:r>
          </w:p>
        </w:tc>
        <w:tc>
          <w:tcPr>
            <w:tcW w:w="142" w:type="pct"/>
          </w:tcPr>
          <w:p w:rsidR="00EE38E0" w:rsidRDefault="00EE38E0">
            <w:pPr>
              <w:jc w:val="left"/>
              <w:rPr>
                <w:bCs/>
                <w:iCs/>
                <w:sz w:val="16"/>
                <w:szCs w:val="16"/>
              </w:rPr>
            </w:pPr>
          </w:p>
        </w:tc>
        <w:tc>
          <w:tcPr>
            <w:tcW w:w="3804" w:type="pct"/>
          </w:tcPr>
          <w:p w:rsidR="002062BD" w:rsidRDefault="002062BD" w:rsidP="002062BD">
            <w:r>
              <w:t>Výskyt dopravních kolizi zapříčiněných nepříznivými přírodními podmínkami nemohou účastnící silničního provozu zcela ovlivnit (odhlédneme-li od možnosti zcela se vyhýbat rizikovým úsekům – např. v zimě). Existuje však celá řada jiných rizikových faktorů nehodovosti, u kterých mohou tito účastníci svým uvědomělým přístupem ochránit zdraví – jak vlastní, tak i ostatních osob pohybujících se na komunikacích a v jejich bezprostředním okolí.</w:t>
            </w:r>
          </w:p>
          <w:p w:rsidR="00EE38E0" w:rsidRPr="002062BD" w:rsidRDefault="00EE38E0">
            <w:pPr>
              <w:pStyle w:val="Bezmezer"/>
              <w:rPr>
                <w:rFonts w:cs="Arial"/>
                <w:bCs/>
                <w:iCs/>
                <w:szCs w:val="20"/>
                <w:lang/>
              </w:rPr>
            </w:pPr>
          </w:p>
        </w:tc>
      </w:tr>
    </w:tbl>
    <w:p w:rsidR="00493E93" w:rsidRPr="00493E93" w:rsidRDefault="00F925BA" w:rsidP="00493E93">
      <w:pPr>
        <w:rPr>
          <w:b/>
          <w:bCs/>
        </w:rPr>
      </w:pPr>
      <w:r>
        <w:rPr>
          <w:b/>
          <w:bCs/>
        </w:rPr>
        <w:t>Kartogram č.22</w:t>
      </w:r>
      <w:r w:rsidR="00493E93">
        <w:rPr>
          <w:b/>
          <w:bCs/>
        </w:rPr>
        <w:t>: Podíl nehod při zhoršené viditelnosti</w:t>
      </w:r>
      <w:r w:rsidR="00493E93" w:rsidRPr="00493E93">
        <w:rPr>
          <w:b/>
          <w:bCs/>
          <w:vertAlign w:val="superscript"/>
        </w:rPr>
        <w:t>*)</w:t>
      </w:r>
      <w:r w:rsidR="00245159">
        <w:rPr>
          <w:b/>
          <w:bCs/>
        </w:rPr>
        <w:t xml:space="preserve"> v roce 2013</w:t>
      </w:r>
    </w:p>
    <w:p w:rsidR="00EE38E0" w:rsidRDefault="00245159">
      <w:pPr>
        <w:rPr>
          <w:lang/>
        </w:rPr>
      </w:pPr>
      <w:r>
        <w:rPr>
          <w:noProof/>
        </w:rPr>
        <w:pict>
          <v:shape id="_x0000_i1032" type="#_x0000_t75" style="width:436.05pt;height:308.75pt">
            <v:imagedata r:id="rId15" o:title="Mapa-8"/>
          </v:shape>
        </w:pict>
      </w:r>
    </w:p>
    <w:p w:rsidR="00493E93" w:rsidRDefault="00493E93" w:rsidP="00493E93">
      <w:pPr>
        <w:rPr>
          <w:sz w:val="18"/>
        </w:rPr>
      </w:pPr>
      <w:r w:rsidRPr="00493E93">
        <w:rPr>
          <w:b/>
          <w:bCs/>
          <w:vertAlign w:val="superscript"/>
        </w:rPr>
        <w:t>*)</w:t>
      </w:r>
      <w:r>
        <w:rPr>
          <w:b/>
          <w:bCs/>
          <w:vertAlign w:val="superscript"/>
        </w:rPr>
        <w:t xml:space="preserve"> </w:t>
      </w:r>
      <w:r>
        <w:rPr>
          <w:sz w:val="18"/>
        </w:rPr>
        <w:t xml:space="preserve">Zahrnuje všechny nehody v noční dobu a také denní nehody při snížené viditelnosti vlivem povětrnostních podmínek (mlha, déšť, sněžení) </w:t>
      </w:r>
      <w:r w:rsidR="00F9085F">
        <w:rPr>
          <w:sz w:val="18"/>
        </w:rPr>
        <w:t>a nehody při svítání či soumraku</w:t>
      </w:r>
    </w:p>
    <w:p w:rsidR="00493E93" w:rsidRDefault="00493E93" w:rsidP="00493E93">
      <w:r>
        <w:rPr>
          <w:sz w:val="18"/>
        </w:rPr>
        <w:t>Pramen: Policejní prezidium ČR, vlastní výpočty</w:t>
      </w:r>
    </w:p>
    <w:p w:rsidR="00493E93" w:rsidRDefault="00493E93">
      <w:pPr>
        <w:rPr>
          <w:lang/>
        </w:rPr>
      </w:pPr>
    </w:p>
    <w:p w:rsidR="00493E93" w:rsidRDefault="00493E93">
      <w:pPr>
        <w:rPr>
          <w:lang/>
        </w:rPr>
      </w:pPr>
    </w:p>
    <w:p w:rsidR="00493E93" w:rsidRDefault="00493E93">
      <w:pPr>
        <w:rPr>
          <w:lang/>
        </w:rPr>
      </w:pPr>
    </w:p>
    <w:p w:rsidR="00EE38E0" w:rsidRPr="004C2D1E" w:rsidRDefault="00EE38E0" w:rsidP="004C2D1E">
      <w:pPr>
        <w:pStyle w:val="Nadpis1"/>
        <w:numPr>
          <w:ilvl w:val="0"/>
          <w:numId w:val="0"/>
        </w:numPr>
        <w:jc w:val="left"/>
        <w:rPr>
          <w:lang w:val="cs-CZ"/>
        </w:rPr>
      </w:pPr>
    </w:p>
    <w:sectPr w:rsidR="00EE38E0" w:rsidRPr="004C2D1E">
      <w:headerReference w:type="even" r:id="rId16"/>
      <w:headerReference w:type="default" r:id="rId17"/>
      <w:footerReference w:type="even" r:id="rId18"/>
      <w:footerReference w:type="default" r:id="rId19"/>
      <w:pgSz w:w="11906" w:h="16838" w:code="9"/>
      <w:pgMar w:top="1134" w:right="1134" w:bottom="1134" w:left="1134"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EA6" w:rsidRDefault="008E0EA6">
      <w:r>
        <w:separator/>
      </w:r>
    </w:p>
  </w:endnote>
  <w:endnote w:type="continuationSeparator" w:id="0">
    <w:p w:rsidR="008E0EA6" w:rsidRDefault="008E0E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94" w:rsidRDefault="00685B94">
    <w:pPr>
      <w:pStyle w:val="Zpat"/>
      <w:tabs>
        <w:tab w:val="clear" w:pos="4536"/>
        <w:tab w:val="clear" w:pos="9072"/>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45.7pt;margin-top:-4.15pt;width:36.75pt;height:17.25pt;z-index:2">
          <v:imagedata r:id="rId1" o:title="3"/>
        </v:shape>
      </w:pict>
    </w:r>
    <w:r>
      <w:rPr>
        <w:rFonts w:ascii="Arial" w:hAnsi="Arial" w:cs="Arial"/>
        <w:sz w:val="16"/>
        <w:szCs w:val="16"/>
      </w:rPr>
      <w:tab/>
    </w:r>
    <w:r w:rsidR="0086691A">
      <w:rPr>
        <w:rFonts w:ascii="Arial" w:hAnsi="Arial" w:cs="Arial"/>
        <w:sz w:val="16"/>
        <w:szCs w:val="16"/>
      </w:rPr>
      <w:t>říjen 2014</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94" w:rsidRDefault="00685B94">
    <w:pPr>
      <w:pStyle w:val="Zpat"/>
      <w:tabs>
        <w:tab w:val="clear" w:pos="4536"/>
        <w:tab w:val="clear" w:pos="9072"/>
        <w:tab w:val="left" w:pos="1134"/>
        <w:tab w:val="left" w:pos="1920"/>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pt;margin-top:7.1pt;width:39pt;height:21pt;z-index:1">
          <v:imagedata r:id="rId1" o:title="3"/>
        </v:shape>
      </w:pict>
    </w:r>
    <w:r>
      <w:tab/>
    </w:r>
    <w:r>
      <w:tab/>
    </w:r>
  </w:p>
  <w:p w:rsidR="00685B94" w:rsidRDefault="0086691A">
    <w:pPr>
      <w:pStyle w:val="Zpat"/>
      <w:tabs>
        <w:tab w:val="clear" w:pos="4536"/>
        <w:tab w:val="clear" w:pos="9072"/>
        <w:tab w:val="left" w:pos="1134"/>
        <w:tab w:val="left" w:pos="1920"/>
        <w:tab w:val="center" w:pos="4820"/>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říjen</w:t>
    </w:r>
    <w:r w:rsidR="00685B94">
      <w:rPr>
        <w:rFonts w:ascii="Arial" w:hAnsi="Arial" w:cs="Arial"/>
        <w:sz w:val="16"/>
        <w:szCs w:val="16"/>
      </w:rPr>
      <w:t xml:space="preserve"> 2014</w:t>
    </w:r>
    <w:r w:rsidR="00685B94">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EA6" w:rsidRDefault="008E0EA6">
      <w:r>
        <w:separator/>
      </w:r>
    </w:p>
  </w:footnote>
  <w:footnote w:type="continuationSeparator" w:id="0">
    <w:p w:rsidR="008E0EA6" w:rsidRDefault="008E0E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518"/>
      <w:gridCol w:w="3260"/>
    </w:tblGrid>
    <w:tr w:rsidR="00685B94">
      <w:tc>
        <w:tcPr>
          <w:tcW w:w="6518" w:type="dxa"/>
        </w:tcPr>
        <w:p w:rsidR="00685B94" w:rsidRDefault="00685B94">
          <w:pPr>
            <w:pStyle w:val="Zhlav"/>
            <w:tabs>
              <w:tab w:val="clear" w:pos="4536"/>
              <w:tab w:val="clear" w:pos="9072"/>
              <w:tab w:val="left" w:pos="-6379"/>
              <w:tab w:val="center" w:pos="4820"/>
              <w:tab w:val="right" w:pos="9639"/>
            </w:tabs>
            <w:rPr>
              <w:rFonts w:ascii="Arial" w:hAnsi="Arial" w:cs="Arial"/>
              <w:b/>
              <w:sz w:val="16"/>
              <w:szCs w:val="16"/>
            </w:rPr>
          </w:pPr>
          <w:r>
            <w:rPr>
              <w:rFonts w:ascii="Arial" w:hAnsi="Arial" w:cs="Arial"/>
              <w:sz w:val="16"/>
              <w:szCs w:val="16"/>
            </w:rPr>
            <w:t>Dopravní nehodovost a její důsledky v ČR v dlouhodobém pohledu</w:t>
          </w:r>
        </w:p>
      </w:tc>
      <w:tc>
        <w:tcPr>
          <w:tcW w:w="3260" w:type="dxa"/>
        </w:tcPr>
        <w:p w:rsidR="00685B94" w:rsidRDefault="0086691A">
          <w:pPr>
            <w:pStyle w:val="Zhlav"/>
            <w:tabs>
              <w:tab w:val="clear" w:pos="4536"/>
              <w:tab w:val="clear" w:pos="9072"/>
              <w:tab w:val="left" w:pos="-6379"/>
              <w:tab w:val="center" w:pos="4820"/>
              <w:tab w:val="right" w:pos="9639"/>
            </w:tabs>
            <w:jc w:val="right"/>
            <w:rPr>
              <w:rFonts w:ascii="Arial" w:hAnsi="Arial" w:cs="Arial"/>
              <w:sz w:val="16"/>
              <w:szCs w:val="16"/>
            </w:rPr>
          </w:pPr>
          <w:r w:rsidRPr="0086691A">
            <w:rPr>
              <w:rFonts w:ascii="Arial" w:hAnsi="Arial" w:cs="Arial"/>
              <w:sz w:val="16"/>
              <w:szCs w:val="16"/>
            </w:rPr>
            <w:t>kód : 320254-14</w:t>
          </w:r>
        </w:p>
      </w:tc>
    </w:tr>
  </w:tbl>
  <w:p w:rsidR="00685B94" w:rsidRDefault="00685B94">
    <w:pPr>
      <w:pStyle w:val="Zhlav"/>
      <w:rPr>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518"/>
      <w:gridCol w:w="3260"/>
    </w:tblGrid>
    <w:tr w:rsidR="00685B94" w:rsidRPr="0086691A">
      <w:tc>
        <w:tcPr>
          <w:tcW w:w="6518" w:type="dxa"/>
        </w:tcPr>
        <w:p w:rsidR="00685B94" w:rsidRDefault="00685B94" w:rsidP="00B75BBF">
          <w:pPr>
            <w:pStyle w:val="Zhlav"/>
            <w:tabs>
              <w:tab w:val="clear" w:pos="4536"/>
              <w:tab w:val="clear" w:pos="9072"/>
              <w:tab w:val="left" w:pos="-6379"/>
              <w:tab w:val="center" w:pos="4820"/>
              <w:tab w:val="right" w:pos="9639"/>
            </w:tabs>
            <w:rPr>
              <w:rFonts w:ascii="Arial" w:hAnsi="Arial" w:cs="Arial"/>
              <w:b/>
              <w:sz w:val="16"/>
              <w:szCs w:val="16"/>
            </w:rPr>
          </w:pPr>
          <w:r>
            <w:rPr>
              <w:rFonts w:ascii="Arial" w:hAnsi="Arial" w:cs="Arial"/>
              <w:sz w:val="16"/>
              <w:szCs w:val="16"/>
            </w:rPr>
            <w:t>Dopravní nehodovost a její důsledky v ČR v dlouhodobém pohledu</w:t>
          </w:r>
        </w:p>
      </w:tc>
      <w:tc>
        <w:tcPr>
          <w:tcW w:w="3260" w:type="dxa"/>
        </w:tcPr>
        <w:p w:rsidR="00685B94" w:rsidRDefault="0086691A">
          <w:pPr>
            <w:pStyle w:val="Zhlav"/>
            <w:tabs>
              <w:tab w:val="clear" w:pos="4536"/>
              <w:tab w:val="clear" w:pos="9072"/>
              <w:tab w:val="left" w:pos="-6379"/>
              <w:tab w:val="center" w:pos="4820"/>
              <w:tab w:val="right" w:pos="9639"/>
            </w:tabs>
            <w:jc w:val="right"/>
            <w:rPr>
              <w:rFonts w:ascii="Arial" w:hAnsi="Arial" w:cs="Arial"/>
              <w:sz w:val="16"/>
              <w:szCs w:val="16"/>
              <w:highlight w:val="yellow"/>
            </w:rPr>
          </w:pPr>
          <w:r w:rsidRPr="0086691A">
            <w:rPr>
              <w:rFonts w:ascii="Arial" w:hAnsi="Arial" w:cs="Arial"/>
              <w:sz w:val="16"/>
              <w:szCs w:val="16"/>
            </w:rPr>
            <w:t>kód : 320254-14</w:t>
          </w:r>
        </w:p>
      </w:tc>
    </w:tr>
  </w:tbl>
  <w:p w:rsidR="00685B94" w:rsidRDefault="00685B94">
    <w:pPr>
      <w:pStyle w:val="Zhlav"/>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F6E"/>
    <w:multiLevelType w:val="multilevel"/>
    <w:tmpl w:val="37645148"/>
    <w:lvl w:ilvl="0">
      <w:start w:val="1"/>
      <w:numFmt w:val="decimal"/>
      <w:lvlText w:val="%1"/>
      <w:lvlJc w:val="left"/>
      <w:pPr>
        <w:ind w:left="432" w:hanging="432"/>
      </w:pPr>
    </w:lvl>
    <w:lvl w:ilvl="1">
      <w:start w:val="1"/>
      <w:numFmt w:val="decimal"/>
      <w:pStyle w:val="Nadpis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sz w:val="20"/>
        <w:szCs w:val="20"/>
        <w:u w:val="none"/>
        <w:vertAlign w:val="baseline"/>
        <w:em w:val="none"/>
      </w:rPr>
    </w:lvl>
    <w:lvl w:ilvl="2">
      <w:start w:val="1"/>
      <w:numFmt w:val="decimal"/>
      <w:pStyle w:val="Nadpis3"/>
      <w:lvlText w:val="%1.%2.%3"/>
      <w:lvlJc w:val="left"/>
      <w:pPr>
        <w:ind w:left="1854"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04F43100"/>
    <w:multiLevelType w:val="hybridMultilevel"/>
    <w:tmpl w:val="A346433C"/>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9E64123"/>
    <w:multiLevelType w:val="hybridMultilevel"/>
    <w:tmpl w:val="F96EBE1C"/>
    <w:lvl w:ilvl="0" w:tplc="04050017">
      <w:start w:val="1"/>
      <w:numFmt w:val="lowerLetter"/>
      <w:lvlText w:val="%1)"/>
      <w:lvlJc w:val="left"/>
      <w:pPr>
        <w:ind w:left="720" w:hanging="360"/>
      </w:pPr>
      <w:rPr>
        <w:rFonts w:hint="default"/>
      </w:rPr>
    </w:lvl>
    <w:lvl w:ilvl="1" w:tplc="A8E4B7A8">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63F00B0"/>
    <w:multiLevelType w:val="hybridMultilevel"/>
    <w:tmpl w:val="0290A02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2791254A"/>
    <w:multiLevelType w:val="hybridMultilevel"/>
    <w:tmpl w:val="196EFAB4"/>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A2D4816"/>
    <w:multiLevelType w:val="multilevel"/>
    <w:tmpl w:val="0B66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A12F56"/>
    <w:multiLevelType w:val="multilevel"/>
    <w:tmpl w:val="B7724A2A"/>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3EB0369"/>
    <w:multiLevelType w:val="hybridMultilevel"/>
    <w:tmpl w:val="E920128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7FF602B"/>
    <w:multiLevelType w:val="hybridMultilevel"/>
    <w:tmpl w:val="C4D0FCCE"/>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019423F"/>
    <w:multiLevelType w:val="hybridMultilevel"/>
    <w:tmpl w:val="80D04F0A"/>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85F2685"/>
    <w:multiLevelType w:val="hybridMultilevel"/>
    <w:tmpl w:val="0290A026"/>
    <w:lvl w:ilvl="0" w:tplc="E3860FD4">
      <w:start w:val="1"/>
      <w:numFmt w:val="bullet"/>
      <w:lvlText w:val=""/>
      <w:lvlJc w:val="left"/>
      <w:pPr>
        <w:tabs>
          <w:tab w:val="num" w:pos="417"/>
        </w:tabs>
        <w:ind w:left="0" w:firstLine="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F203756"/>
    <w:multiLevelType w:val="hybridMultilevel"/>
    <w:tmpl w:val="1E04F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0767461"/>
    <w:multiLevelType w:val="hybridMultilevel"/>
    <w:tmpl w:val="61845866"/>
    <w:lvl w:ilvl="0" w:tplc="69566B4A">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0AE612E"/>
    <w:multiLevelType w:val="hybridMultilevel"/>
    <w:tmpl w:val="98160A84"/>
    <w:lvl w:ilvl="0" w:tplc="F642FA9A">
      <w:start w:val="1"/>
      <w:numFmt w:val="bullet"/>
      <w:lvlText w:val=""/>
      <w:lvlJc w:val="left"/>
      <w:pPr>
        <w:tabs>
          <w:tab w:val="num" w:pos="417"/>
        </w:tabs>
        <w:ind w:left="0" w:firstLine="57"/>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51AC7CE2"/>
    <w:multiLevelType w:val="hybridMultilevel"/>
    <w:tmpl w:val="5DE0B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5D34C17"/>
    <w:multiLevelType w:val="hybridMultilevel"/>
    <w:tmpl w:val="F490C59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85F6C65"/>
    <w:multiLevelType w:val="multilevel"/>
    <w:tmpl w:val="41584756"/>
    <w:lvl w:ilvl="0">
      <w:start w:val="1"/>
      <w:numFmt w:val="decimal"/>
      <w:pStyle w:val="Nadpis1"/>
      <w:lvlText w:val="%1."/>
      <w:lvlJc w:val="left"/>
      <w:pPr>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5BEF31DE"/>
    <w:multiLevelType w:val="hybridMultilevel"/>
    <w:tmpl w:val="280C96CA"/>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F5A591A"/>
    <w:multiLevelType w:val="hybridMultilevel"/>
    <w:tmpl w:val="605AD6D0"/>
    <w:lvl w:ilvl="0" w:tplc="1974D260">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3306567"/>
    <w:multiLevelType w:val="hybridMultilevel"/>
    <w:tmpl w:val="213C4E38"/>
    <w:lvl w:ilvl="0" w:tplc="9D96ED3E">
      <w:numFmt w:val="bullet"/>
      <w:lvlText w:val=""/>
      <w:lvlJc w:val="left"/>
      <w:pPr>
        <w:ind w:left="720" w:hanging="360"/>
      </w:pPr>
      <w:rPr>
        <w:rFonts w:ascii="Symbol" w:eastAsia="Calibri" w:hAnsi="Symbol" w:cs="Times New Roman" w:hint="default"/>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69636F2"/>
    <w:multiLevelType w:val="hybridMultilevel"/>
    <w:tmpl w:val="DFBCC8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C550A0F"/>
    <w:multiLevelType w:val="hybridMultilevel"/>
    <w:tmpl w:val="5A76F2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7"/>
  </w:num>
  <w:num w:numId="4">
    <w:abstractNumId w:val="0"/>
  </w:num>
  <w:num w:numId="5">
    <w:abstractNumId w:val="18"/>
  </w:num>
  <w:num w:numId="6">
    <w:abstractNumId w:val="23"/>
  </w:num>
  <w:num w:numId="7">
    <w:abstractNumId w:val="12"/>
  </w:num>
  <w:num w:numId="8">
    <w:abstractNumId w:val="15"/>
  </w:num>
  <w:num w:numId="9">
    <w:abstractNumId w:val="4"/>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22"/>
  </w:num>
  <w:num w:numId="18">
    <w:abstractNumId w:val="2"/>
  </w:num>
  <w:num w:numId="19">
    <w:abstractNumId w:val="3"/>
  </w:num>
  <w:num w:numId="20">
    <w:abstractNumId w:val="0"/>
  </w:num>
  <w:num w:numId="21">
    <w:abstractNumId w:val="0"/>
  </w:num>
  <w:num w:numId="22">
    <w:abstractNumId w:val="0"/>
  </w:num>
  <w:num w:numId="23">
    <w:abstractNumId w:val="18"/>
  </w:num>
  <w:num w:numId="24">
    <w:abstractNumId w:val="0"/>
  </w:num>
  <w:num w:numId="25">
    <w:abstractNumId w:val="0"/>
  </w:num>
  <w:num w:numId="26">
    <w:abstractNumId w:val="0"/>
  </w:num>
  <w:num w:numId="27">
    <w:abstractNumId w:val="20"/>
  </w:num>
  <w:num w:numId="28">
    <w:abstractNumId w:val="14"/>
  </w:num>
  <w:num w:numId="29">
    <w:abstractNumId w:val="21"/>
  </w:num>
  <w:num w:numId="30">
    <w:abstractNumId w:val="8"/>
  </w:num>
  <w:num w:numId="31">
    <w:abstractNumId w:val="19"/>
  </w:num>
  <w:num w:numId="32">
    <w:abstractNumId w:val="6"/>
  </w:num>
  <w:num w:numId="33">
    <w:abstractNumId w:val="17"/>
  </w:num>
  <w:num w:numId="34">
    <w:abstractNumId w:val="1"/>
  </w:num>
  <w:num w:numId="35">
    <w:abstractNumId w:val="0"/>
  </w:num>
  <w:num w:numId="36">
    <w:abstractNumId w:val="0"/>
  </w:num>
  <w:num w:numId="37">
    <w:abstractNumId w:val="10"/>
  </w:num>
  <w:num w:numId="38">
    <w:abstractNumId w:val="16"/>
  </w:num>
  <w:num w:numId="39">
    <w:abstractNumId w:val="5"/>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08"/>
  <w:hyphenationZone w:val="425"/>
  <w:evenAndOddHeaders/>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59AB"/>
    <w:rsid w:val="00001DD7"/>
    <w:rsid w:val="0000373F"/>
    <w:rsid w:val="00005800"/>
    <w:rsid w:val="0001070A"/>
    <w:rsid w:val="000124A7"/>
    <w:rsid w:val="00014521"/>
    <w:rsid w:val="0001612E"/>
    <w:rsid w:val="000162DA"/>
    <w:rsid w:val="00016E79"/>
    <w:rsid w:val="00020310"/>
    <w:rsid w:val="00020843"/>
    <w:rsid w:val="000217A8"/>
    <w:rsid w:val="00022498"/>
    <w:rsid w:val="0002336E"/>
    <w:rsid w:val="00030A7A"/>
    <w:rsid w:val="00032F16"/>
    <w:rsid w:val="00040F48"/>
    <w:rsid w:val="000421B1"/>
    <w:rsid w:val="00043998"/>
    <w:rsid w:val="00045D51"/>
    <w:rsid w:val="00051290"/>
    <w:rsid w:val="00053458"/>
    <w:rsid w:val="00054809"/>
    <w:rsid w:val="00054B25"/>
    <w:rsid w:val="00054D5B"/>
    <w:rsid w:val="0005570C"/>
    <w:rsid w:val="00055719"/>
    <w:rsid w:val="00056F9B"/>
    <w:rsid w:val="00057357"/>
    <w:rsid w:val="00060D72"/>
    <w:rsid w:val="000616DD"/>
    <w:rsid w:val="000630F4"/>
    <w:rsid w:val="00063196"/>
    <w:rsid w:val="000705C4"/>
    <w:rsid w:val="00071465"/>
    <w:rsid w:val="00074EB7"/>
    <w:rsid w:val="00074ED6"/>
    <w:rsid w:val="00080BC0"/>
    <w:rsid w:val="00081687"/>
    <w:rsid w:val="00083E44"/>
    <w:rsid w:val="000862A6"/>
    <w:rsid w:val="00087E95"/>
    <w:rsid w:val="000905B3"/>
    <w:rsid w:val="00090E50"/>
    <w:rsid w:val="00092F94"/>
    <w:rsid w:val="00094786"/>
    <w:rsid w:val="0009665E"/>
    <w:rsid w:val="00097BAA"/>
    <w:rsid w:val="000A03AF"/>
    <w:rsid w:val="000A2679"/>
    <w:rsid w:val="000B0A1A"/>
    <w:rsid w:val="000B1272"/>
    <w:rsid w:val="000B1A54"/>
    <w:rsid w:val="000B4A49"/>
    <w:rsid w:val="000B6A1C"/>
    <w:rsid w:val="000B7F7B"/>
    <w:rsid w:val="000C126C"/>
    <w:rsid w:val="000C44D3"/>
    <w:rsid w:val="000C46AC"/>
    <w:rsid w:val="000C7133"/>
    <w:rsid w:val="000D222D"/>
    <w:rsid w:val="000D2717"/>
    <w:rsid w:val="000D3038"/>
    <w:rsid w:val="000D3A1D"/>
    <w:rsid w:val="000D56D3"/>
    <w:rsid w:val="000E0F6F"/>
    <w:rsid w:val="000E21C6"/>
    <w:rsid w:val="000E3FAF"/>
    <w:rsid w:val="000E4BA2"/>
    <w:rsid w:val="000E54EF"/>
    <w:rsid w:val="000F1280"/>
    <w:rsid w:val="000F1499"/>
    <w:rsid w:val="001000EA"/>
    <w:rsid w:val="00100E80"/>
    <w:rsid w:val="00101017"/>
    <w:rsid w:val="00103AE8"/>
    <w:rsid w:val="00106185"/>
    <w:rsid w:val="00107C20"/>
    <w:rsid w:val="0011597C"/>
    <w:rsid w:val="00116DE8"/>
    <w:rsid w:val="00120887"/>
    <w:rsid w:val="00131152"/>
    <w:rsid w:val="00131AE5"/>
    <w:rsid w:val="001324DB"/>
    <w:rsid w:val="001328B8"/>
    <w:rsid w:val="00136973"/>
    <w:rsid w:val="00140349"/>
    <w:rsid w:val="001406A6"/>
    <w:rsid w:val="00141D9C"/>
    <w:rsid w:val="001429DB"/>
    <w:rsid w:val="00142D85"/>
    <w:rsid w:val="001463C5"/>
    <w:rsid w:val="0015495A"/>
    <w:rsid w:val="001549E6"/>
    <w:rsid w:val="0016051F"/>
    <w:rsid w:val="00160668"/>
    <w:rsid w:val="001642DB"/>
    <w:rsid w:val="001649F5"/>
    <w:rsid w:val="00164B15"/>
    <w:rsid w:val="00170306"/>
    <w:rsid w:val="00175609"/>
    <w:rsid w:val="001764CB"/>
    <w:rsid w:val="001768D4"/>
    <w:rsid w:val="001779B6"/>
    <w:rsid w:val="00181BF3"/>
    <w:rsid w:val="001843E0"/>
    <w:rsid w:val="00184967"/>
    <w:rsid w:val="00184B9C"/>
    <w:rsid w:val="00185232"/>
    <w:rsid w:val="00194858"/>
    <w:rsid w:val="001972EE"/>
    <w:rsid w:val="001A0112"/>
    <w:rsid w:val="001A0382"/>
    <w:rsid w:val="001A6A25"/>
    <w:rsid w:val="001B11BB"/>
    <w:rsid w:val="001B30E3"/>
    <w:rsid w:val="001B38C6"/>
    <w:rsid w:val="001B497C"/>
    <w:rsid w:val="001B5961"/>
    <w:rsid w:val="001B7668"/>
    <w:rsid w:val="001B7D59"/>
    <w:rsid w:val="001C6A8E"/>
    <w:rsid w:val="001D0EA9"/>
    <w:rsid w:val="001D433E"/>
    <w:rsid w:val="001D4BFC"/>
    <w:rsid w:val="001D5E35"/>
    <w:rsid w:val="001D7367"/>
    <w:rsid w:val="001E4717"/>
    <w:rsid w:val="001E5CAB"/>
    <w:rsid w:val="001F1E91"/>
    <w:rsid w:val="001F1EF2"/>
    <w:rsid w:val="001F1F74"/>
    <w:rsid w:val="001F4705"/>
    <w:rsid w:val="00203FF4"/>
    <w:rsid w:val="00205BAC"/>
    <w:rsid w:val="00205DEC"/>
    <w:rsid w:val="002062BD"/>
    <w:rsid w:val="00213FE7"/>
    <w:rsid w:val="00214A41"/>
    <w:rsid w:val="00217B11"/>
    <w:rsid w:val="00220C0E"/>
    <w:rsid w:val="00222C70"/>
    <w:rsid w:val="00224F57"/>
    <w:rsid w:val="00225892"/>
    <w:rsid w:val="00226758"/>
    <w:rsid w:val="0023076D"/>
    <w:rsid w:val="002329D5"/>
    <w:rsid w:val="00233029"/>
    <w:rsid w:val="002335A9"/>
    <w:rsid w:val="0023708F"/>
    <w:rsid w:val="0024140C"/>
    <w:rsid w:val="0024249F"/>
    <w:rsid w:val="00244340"/>
    <w:rsid w:val="00245159"/>
    <w:rsid w:val="00257C4F"/>
    <w:rsid w:val="00265D38"/>
    <w:rsid w:val="002706D0"/>
    <w:rsid w:val="002802C9"/>
    <w:rsid w:val="00281A9A"/>
    <w:rsid w:val="00284B2E"/>
    <w:rsid w:val="00286F00"/>
    <w:rsid w:val="00287D8E"/>
    <w:rsid w:val="002915E0"/>
    <w:rsid w:val="0029731D"/>
    <w:rsid w:val="002A7920"/>
    <w:rsid w:val="002B13EC"/>
    <w:rsid w:val="002B1C65"/>
    <w:rsid w:val="002B4B5F"/>
    <w:rsid w:val="002C4EA8"/>
    <w:rsid w:val="002C6ED9"/>
    <w:rsid w:val="002C72CA"/>
    <w:rsid w:val="002C75DC"/>
    <w:rsid w:val="002C7F6E"/>
    <w:rsid w:val="002D1957"/>
    <w:rsid w:val="002D1D14"/>
    <w:rsid w:val="002D1D44"/>
    <w:rsid w:val="002D32BC"/>
    <w:rsid w:val="002D5139"/>
    <w:rsid w:val="002D786E"/>
    <w:rsid w:val="002E0962"/>
    <w:rsid w:val="002E2960"/>
    <w:rsid w:val="002E2B63"/>
    <w:rsid w:val="002E5831"/>
    <w:rsid w:val="002E5F5C"/>
    <w:rsid w:val="002F2741"/>
    <w:rsid w:val="002F60B4"/>
    <w:rsid w:val="002F6845"/>
    <w:rsid w:val="002F70E5"/>
    <w:rsid w:val="0030074E"/>
    <w:rsid w:val="00300C48"/>
    <w:rsid w:val="003024D4"/>
    <w:rsid w:val="003026CD"/>
    <w:rsid w:val="00304881"/>
    <w:rsid w:val="00306810"/>
    <w:rsid w:val="00311401"/>
    <w:rsid w:val="00311BF5"/>
    <w:rsid w:val="00316C37"/>
    <w:rsid w:val="003175FF"/>
    <w:rsid w:val="00322507"/>
    <w:rsid w:val="003266F3"/>
    <w:rsid w:val="00326794"/>
    <w:rsid w:val="003270C2"/>
    <w:rsid w:val="003279AA"/>
    <w:rsid w:val="003304FF"/>
    <w:rsid w:val="00331834"/>
    <w:rsid w:val="003321B5"/>
    <w:rsid w:val="00334A30"/>
    <w:rsid w:val="00334F6C"/>
    <w:rsid w:val="00336BAF"/>
    <w:rsid w:val="00337330"/>
    <w:rsid w:val="00342A90"/>
    <w:rsid w:val="00343A08"/>
    <w:rsid w:val="00346F3E"/>
    <w:rsid w:val="00350C31"/>
    <w:rsid w:val="00352B50"/>
    <w:rsid w:val="00353088"/>
    <w:rsid w:val="003557B5"/>
    <w:rsid w:val="00355DEB"/>
    <w:rsid w:val="003611E9"/>
    <w:rsid w:val="00364A29"/>
    <w:rsid w:val="00365894"/>
    <w:rsid w:val="00366A7A"/>
    <w:rsid w:val="0036731C"/>
    <w:rsid w:val="00370CCC"/>
    <w:rsid w:val="003710FC"/>
    <w:rsid w:val="00371BEE"/>
    <w:rsid w:val="003722A4"/>
    <w:rsid w:val="00372502"/>
    <w:rsid w:val="00375009"/>
    <w:rsid w:val="00376262"/>
    <w:rsid w:val="00380CDD"/>
    <w:rsid w:val="0038416B"/>
    <w:rsid w:val="003876A7"/>
    <w:rsid w:val="00387B5E"/>
    <w:rsid w:val="003921B0"/>
    <w:rsid w:val="0039431A"/>
    <w:rsid w:val="00394840"/>
    <w:rsid w:val="00395C0E"/>
    <w:rsid w:val="0039614C"/>
    <w:rsid w:val="003A1872"/>
    <w:rsid w:val="003A1E81"/>
    <w:rsid w:val="003A21A8"/>
    <w:rsid w:val="003A328F"/>
    <w:rsid w:val="003B2F98"/>
    <w:rsid w:val="003B3FD1"/>
    <w:rsid w:val="003B5C56"/>
    <w:rsid w:val="003C2C27"/>
    <w:rsid w:val="003C2E72"/>
    <w:rsid w:val="003C331A"/>
    <w:rsid w:val="003C5C58"/>
    <w:rsid w:val="003C648B"/>
    <w:rsid w:val="003C719F"/>
    <w:rsid w:val="003C7C62"/>
    <w:rsid w:val="003D0B76"/>
    <w:rsid w:val="003D5184"/>
    <w:rsid w:val="003D6B07"/>
    <w:rsid w:val="003E13D1"/>
    <w:rsid w:val="003E17E1"/>
    <w:rsid w:val="003E20FD"/>
    <w:rsid w:val="003E3C3B"/>
    <w:rsid w:val="003E5662"/>
    <w:rsid w:val="003E78AD"/>
    <w:rsid w:val="003F0DC6"/>
    <w:rsid w:val="003F160E"/>
    <w:rsid w:val="003F3007"/>
    <w:rsid w:val="00400252"/>
    <w:rsid w:val="00402542"/>
    <w:rsid w:val="004026AE"/>
    <w:rsid w:val="0040316B"/>
    <w:rsid w:val="00404D35"/>
    <w:rsid w:val="00411890"/>
    <w:rsid w:val="004130CC"/>
    <w:rsid w:val="00415163"/>
    <w:rsid w:val="00417003"/>
    <w:rsid w:val="00417553"/>
    <w:rsid w:val="004178F2"/>
    <w:rsid w:val="00421BB3"/>
    <w:rsid w:val="0042352F"/>
    <w:rsid w:val="00437986"/>
    <w:rsid w:val="004419BC"/>
    <w:rsid w:val="00447192"/>
    <w:rsid w:val="00450385"/>
    <w:rsid w:val="004519F0"/>
    <w:rsid w:val="00452EF4"/>
    <w:rsid w:val="00460619"/>
    <w:rsid w:val="0046132E"/>
    <w:rsid w:val="00461BE8"/>
    <w:rsid w:val="00465185"/>
    <w:rsid w:val="00467F46"/>
    <w:rsid w:val="00470380"/>
    <w:rsid w:val="004711BA"/>
    <w:rsid w:val="00471A7C"/>
    <w:rsid w:val="004724A0"/>
    <w:rsid w:val="00476322"/>
    <w:rsid w:val="004779D0"/>
    <w:rsid w:val="00481DC9"/>
    <w:rsid w:val="00483783"/>
    <w:rsid w:val="00486E71"/>
    <w:rsid w:val="00493E93"/>
    <w:rsid w:val="004947B9"/>
    <w:rsid w:val="004A3F65"/>
    <w:rsid w:val="004A40F8"/>
    <w:rsid w:val="004A5847"/>
    <w:rsid w:val="004A6CCA"/>
    <w:rsid w:val="004B16F6"/>
    <w:rsid w:val="004B3EFB"/>
    <w:rsid w:val="004B42B5"/>
    <w:rsid w:val="004B435A"/>
    <w:rsid w:val="004B7927"/>
    <w:rsid w:val="004C259A"/>
    <w:rsid w:val="004C2D1E"/>
    <w:rsid w:val="004C313C"/>
    <w:rsid w:val="004C4BCC"/>
    <w:rsid w:val="004C526C"/>
    <w:rsid w:val="004C5C1F"/>
    <w:rsid w:val="004D03E4"/>
    <w:rsid w:val="004D39F8"/>
    <w:rsid w:val="004D560B"/>
    <w:rsid w:val="004E0E01"/>
    <w:rsid w:val="004E3CF7"/>
    <w:rsid w:val="004E64B1"/>
    <w:rsid w:val="004F08FD"/>
    <w:rsid w:val="004F1BFA"/>
    <w:rsid w:val="004F24C3"/>
    <w:rsid w:val="004F5E15"/>
    <w:rsid w:val="004F6603"/>
    <w:rsid w:val="0050158F"/>
    <w:rsid w:val="00503CD7"/>
    <w:rsid w:val="00503DE4"/>
    <w:rsid w:val="0050498C"/>
    <w:rsid w:val="00504F27"/>
    <w:rsid w:val="00506508"/>
    <w:rsid w:val="0051155F"/>
    <w:rsid w:val="00512422"/>
    <w:rsid w:val="005154B4"/>
    <w:rsid w:val="00516BF8"/>
    <w:rsid w:val="00517914"/>
    <w:rsid w:val="005208C1"/>
    <w:rsid w:val="0052140D"/>
    <w:rsid w:val="00522F6B"/>
    <w:rsid w:val="00524A3E"/>
    <w:rsid w:val="00535E17"/>
    <w:rsid w:val="005368B9"/>
    <w:rsid w:val="005405FF"/>
    <w:rsid w:val="0054160F"/>
    <w:rsid w:val="0054384C"/>
    <w:rsid w:val="00543C96"/>
    <w:rsid w:val="00544FF0"/>
    <w:rsid w:val="00545DD6"/>
    <w:rsid w:val="005461F2"/>
    <w:rsid w:val="00547418"/>
    <w:rsid w:val="00547B96"/>
    <w:rsid w:val="00550C2F"/>
    <w:rsid w:val="00550F22"/>
    <w:rsid w:val="00552459"/>
    <w:rsid w:val="00552C98"/>
    <w:rsid w:val="00555455"/>
    <w:rsid w:val="005573FD"/>
    <w:rsid w:val="00557ACF"/>
    <w:rsid w:val="00562C45"/>
    <w:rsid w:val="00562FE3"/>
    <w:rsid w:val="0056786E"/>
    <w:rsid w:val="00570106"/>
    <w:rsid w:val="00575C06"/>
    <w:rsid w:val="00580054"/>
    <w:rsid w:val="005811EC"/>
    <w:rsid w:val="005828A6"/>
    <w:rsid w:val="00585E3A"/>
    <w:rsid w:val="00587618"/>
    <w:rsid w:val="00591383"/>
    <w:rsid w:val="00591B2B"/>
    <w:rsid w:val="00594F0B"/>
    <w:rsid w:val="005952D0"/>
    <w:rsid w:val="005973F6"/>
    <w:rsid w:val="005A1F89"/>
    <w:rsid w:val="005A2384"/>
    <w:rsid w:val="005A2824"/>
    <w:rsid w:val="005A3E80"/>
    <w:rsid w:val="005A738A"/>
    <w:rsid w:val="005B2ADF"/>
    <w:rsid w:val="005B3B6C"/>
    <w:rsid w:val="005B5E1F"/>
    <w:rsid w:val="005C1B29"/>
    <w:rsid w:val="005C2E7E"/>
    <w:rsid w:val="005C4AB5"/>
    <w:rsid w:val="005C521B"/>
    <w:rsid w:val="005D019B"/>
    <w:rsid w:val="005D3516"/>
    <w:rsid w:val="005D5D20"/>
    <w:rsid w:val="005E0B29"/>
    <w:rsid w:val="005E1C26"/>
    <w:rsid w:val="005E1E8A"/>
    <w:rsid w:val="005E21C7"/>
    <w:rsid w:val="005E6E54"/>
    <w:rsid w:val="005F18E4"/>
    <w:rsid w:val="005F5282"/>
    <w:rsid w:val="00602D54"/>
    <w:rsid w:val="00604EA3"/>
    <w:rsid w:val="00605801"/>
    <w:rsid w:val="006059AB"/>
    <w:rsid w:val="0060740F"/>
    <w:rsid w:val="0061176D"/>
    <w:rsid w:val="00614128"/>
    <w:rsid w:val="0061755D"/>
    <w:rsid w:val="00620024"/>
    <w:rsid w:val="00625FDD"/>
    <w:rsid w:val="006266FB"/>
    <w:rsid w:val="006267A5"/>
    <w:rsid w:val="0063254B"/>
    <w:rsid w:val="006416FA"/>
    <w:rsid w:val="00645582"/>
    <w:rsid w:val="0064571A"/>
    <w:rsid w:val="006457C5"/>
    <w:rsid w:val="00647E04"/>
    <w:rsid w:val="006512E9"/>
    <w:rsid w:val="006532F4"/>
    <w:rsid w:val="0065586C"/>
    <w:rsid w:val="006649E5"/>
    <w:rsid w:val="00666A4A"/>
    <w:rsid w:val="006700A2"/>
    <w:rsid w:val="006704BC"/>
    <w:rsid w:val="006722A1"/>
    <w:rsid w:val="00683B9E"/>
    <w:rsid w:val="00683CD2"/>
    <w:rsid w:val="00685B94"/>
    <w:rsid w:val="006873F2"/>
    <w:rsid w:val="00690C2A"/>
    <w:rsid w:val="00691B43"/>
    <w:rsid w:val="00692045"/>
    <w:rsid w:val="006921FF"/>
    <w:rsid w:val="0069221A"/>
    <w:rsid w:val="006933AC"/>
    <w:rsid w:val="00697393"/>
    <w:rsid w:val="0069784E"/>
    <w:rsid w:val="006A4820"/>
    <w:rsid w:val="006B24FC"/>
    <w:rsid w:val="006C1611"/>
    <w:rsid w:val="006C66FB"/>
    <w:rsid w:val="006D38BE"/>
    <w:rsid w:val="006D3EAA"/>
    <w:rsid w:val="006D419F"/>
    <w:rsid w:val="006D52BA"/>
    <w:rsid w:val="006E0372"/>
    <w:rsid w:val="006E0539"/>
    <w:rsid w:val="006E22F0"/>
    <w:rsid w:val="006F0A06"/>
    <w:rsid w:val="006F0FAD"/>
    <w:rsid w:val="006F1330"/>
    <w:rsid w:val="006F13C6"/>
    <w:rsid w:val="006F1942"/>
    <w:rsid w:val="006F366C"/>
    <w:rsid w:val="006F52AC"/>
    <w:rsid w:val="006F5C2E"/>
    <w:rsid w:val="006F762F"/>
    <w:rsid w:val="006F7EF0"/>
    <w:rsid w:val="0070242E"/>
    <w:rsid w:val="00704198"/>
    <w:rsid w:val="007053F7"/>
    <w:rsid w:val="00706359"/>
    <w:rsid w:val="0071217B"/>
    <w:rsid w:val="00714AEB"/>
    <w:rsid w:val="00715D94"/>
    <w:rsid w:val="00717295"/>
    <w:rsid w:val="00720C53"/>
    <w:rsid w:val="00721EBD"/>
    <w:rsid w:val="0072216C"/>
    <w:rsid w:val="00722EFB"/>
    <w:rsid w:val="007252DF"/>
    <w:rsid w:val="0072626E"/>
    <w:rsid w:val="00736072"/>
    <w:rsid w:val="00736D3F"/>
    <w:rsid w:val="00741E1C"/>
    <w:rsid w:val="00743F52"/>
    <w:rsid w:val="00744AAD"/>
    <w:rsid w:val="00745816"/>
    <w:rsid w:val="00746384"/>
    <w:rsid w:val="00750525"/>
    <w:rsid w:val="00762235"/>
    <w:rsid w:val="007649BD"/>
    <w:rsid w:val="00765B01"/>
    <w:rsid w:val="00765BCF"/>
    <w:rsid w:val="00771297"/>
    <w:rsid w:val="00771514"/>
    <w:rsid w:val="00773740"/>
    <w:rsid w:val="00773D36"/>
    <w:rsid w:val="00775A37"/>
    <w:rsid w:val="00775EB8"/>
    <w:rsid w:val="00776983"/>
    <w:rsid w:val="00780C60"/>
    <w:rsid w:val="00782697"/>
    <w:rsid w:val="00791527"/>
    <w:rsid w:val="00792DA6"/>
    <w:rsid w:val="00796D59"/>
    <w:rsid w:val="00796F09"/>
    <w:rsid w:val="007A0371"/>
    <w:rsid w:val="007A1117"/>
    <w:rsid w:val="007A11E2"/>
    <w:rsid w:val="007A72D7"/>
    <w:rsid w:val="007B304C"/>
    <w:rsid w:val="007B394C"/>
    <w:rsid w:val="007C11BE"/>
    <w:rsid w:val="007C43C0"/>
    <w:rsid w:val="007C529E"/>
    <w:rsid w:val="007D1C2C"/>
    <w:rsid w:val="007D49C2"/>
    <w:rsid w:val="007D53D8"/>
    <w:rsid w:val="007D73DF"/>
    <w:rsid w:val="007E4BCB"/>
    <w:rsid w:val="007E51AC"/>
    <w:rsid w:val="007E5C2D"/>
    <w:rsid w:val="007E6854"/>
    <w:rsid w:val="007E6BDA"/>
    <w:rsid w:val="007E7B58"/>
    <w:rsid w:val="007F2B54"/>
    <w:rsid w:val="007F2F60"/>
    <w:rsid w:val="007F6AEB"/>
    <w:rsid w:val="00813973"/>
    <w:rsid w:val="008146D3"/>
    <w:rsid w:val="00816636"/>
    <w:rsid w:val="00816A7D"/>
    <w:rsid w:val="00817BAF"/>
    <w:rsid w:val="00820D0F"/>
    <w:rsid w:val="008238A2"/>
    <w:rsid w:val="00825290"/>
    <w:rsid w:val="00827E30"/>
    <w:rsid w:val="00827E5E"/>
    <w:rsid w:val="008373CC"/>
    <w:rsid w:val="00837660"/>
    <w:rsid w:val="00837BDE"/>
    <w:rsid w:val="00837F6F"/>
    <w:rsid w:val="008421EE"/>
    <w:rsid w:val="00843397"/>
    <w:rsid w:val="008449EC"/>
    <w:rsid w:val="00845380"/>
    <w:rsid w:val="00854197"/>
    <w:rsid w:val="00855AB2"/>
    <w:rsid w:val="0085794E"/>
    <w:rsid w:val="0086085B"/>
    <w:rsid w:val="00861142"/>
    <w:rsid w:val="00861E37"/>
    <w:rsid w:val="00862AFC"/>
    <w:rsid w:val="008636B6"/>
    <w:rsid w:val="0086453F"/>
    <w:rsid w:val="0086691A"/>
    <w:rsid w:val="008701C7"/>
    <w:rsid w:val="0087031C"/>
    <w:rsid w:val="00870DB2"/>
    <w:rsid w:val="00871E2D"/>
    <w:rsid w:val="00876E08"/>
    <w:rsid w:val="00877613"/>
    <w:rsid w:val="00881E38"/>
    <w:rsid w:val="00884794"/>
    <w:rsid w:val="00884908"/>
    <w:rsid w:val="008855AD"/>
    <w:rsid w:val="00885F79"/>
    <w:rsid w:val="008912E5"/>
    <w:rsid w:val="00892ACB"/>
    <w:rsid w:val="00892BEE"/>
    <w:rsid w:val="00895F97"/>
    <w:rsid w:val="008A1905"/>
    <w:rsid w:val="008A536F"/>
    <w:rsid w:val="008A74E1"/>
    <w:rsid w:val="008B0B07"/>
    <w:rsid w:val="008B1F5C"/>
    <w:rsid w:val="008B55C7"/>
    <w:rsid w:val="008C031C"/>
    <w:rsid w:val="008C2BFE"/>
    <w:rsid w:val="008D12E0"/>
    <w:rsid w:val="008D53BC"/>
    <w:rsid w:val="008D7AE7"/>
    <w:rsid w:val="008D7CAB"/>
    <w:rsid w:val="008E0EA6"/>
    <w:rsid w:val="008E12B1"/>
    <w:rsid w:val="008E43BC"/>
    <w:rsid w:val="008E4E91"/>
    <w:rsid w:val="008E64F8"/>
    <w:rsid w:val="008F14A6"/>
    <w:rsid w:val="0090254C"/>
    <w:rsid w:val="00902DB1"/>
    <w:rsid w:val="009079AE"/>
    <w:rsid w:val="00916222"/>
    <w:rsid w:val="00916CBB"/>
    <w:rsid w:val="00916ECB"/>
    <w:rsid w:val="0092001D"/>
    <w:rsid w:val="00921B55"/>
    <w:rsid w:val="009239E0"/>
    <w:rsid w:val="00924182"/>
    <w:rsid w:val="009245E2"/>
    <w:rsid w:val="0092520F"/>
    <w:rsid w:val="009264B0"/>
    <w:rsid w:val="0092726A"/>
    <w:rsid w:val="00927836"/>
    <w:rsid w:val="009304B6"/>
    <w:rsid w:val="009324A3"/>
    <w:rsid w:val="009331C6"/>
    <w:rsid w:val="00933576"/>
    <w:rsid w:val="00934ED7"/>
    <w:rsid w:val="00940137"/>
    <w:rsid w:val="009409A3"/>
    <w:rsid w:val="009427BC"/>
    <w:rsid w:val="0094690C"/>
    <w:rsid w:val="00947700"/>
    <w:rsid w:val="0095013C"/>
    <w:rsid w:val="009513F0"/>
    <w:rsid w:val="009530DD"/>
    <w:rsid w:val="00956A39"/>
    <w:rsid w:val="00960330"/>
    <w:rsid w:val="00961BE8"/>
    <w:rsid w:val="00963403"/>
    <w:rsid w:val="00967824"/>
    <w:rsid w:val="0097040D"/>
    <w:rsid w:val="0097075F"/>
    <w:rsid w:val="009778C7"/>
    <w:rsid w:val="00981FEA"/>
    <w:rsid w:val="0098217E"/>
    <w:rsid w:val="0098243E"/>
    <w:rsid w:val="00982DE4"/>
    <w:rsid w:val="00985308"/>
    <w:rsid w:val="00991BC1"/>
    <w:rsid w:val="00991DF7"/>
    <w:rsid w:val="00996925"/>
    <w:rsid w:val="009A62AC"/>
    <w:rsid w:val="009B2451"/>
    <w:rsid w:val="009B478E"/>
    <w:rsid w:val="009D5203"/>
    <w:rsid w:val="009D5370"/>
    <w:rsid w:val="009D735E"/>
    <w:rsid w:val="009D765C"/>
    <w:rsid w:val="009E5FC0"/>
    <w:rsid w:val="009E623E"/>
    <w:rsid w:val="009F3BAE"/>
    <w:rsid w:val="009F5C2B"/>
    <w:rsid w:val="00A006E5"/>
    <w:rsid w:val="00A01751"/>
    <w:rsid w:val="00A03078"/>
    <w:rsid w:val="00A049CA"/>
    <w:rsid w:val="00A0693C"/>
    <w:rsid w:val="00A238DA"/>
    <w:rsid w:val="00A256CB"/>
    <w:rsid w:val="00A25A9E"/>
    <w:rsid w:val="00A2738E"/>
    <w:rsid w:val="00A32AC9"/>
    <w:rsid w:val="00A353EF"/>
    <w:rsid w:val="00A36231"/>
    <w:rsid w:val="00A376EE"/>
    <w:rsid w:val="00A41341"/>
    <w:rsid w:val="00A4326D"/>
    <w:rsid w:val="00A44044"/>
    <w:rsid w:val="00A45812"/>
    <w:rsid w:val="00A535DC"/>
    <w:rsid w:val="00A57BE3"/>
    <w:rsid w:val="00A64FE3"/>
    <w:rsid w:val="00A653CB"/>
    <w:rsid w:val="00A71933"/>
    <w:rsid w:val="00A7266D"/>
    <w:rsid w:val="00A77556"/>
    <w:rsid w:val="00A80FAA"/>
    <w:rsid w:val="00A84610"/>
    <w:rsid w:val="00A847BA"/>
    <w:rsid w:val="00A851DA"/>
    <w:rsid w:val="00A87325"/>
    <w:rsid w:val="00A92C50"/>
    <w:rsid w:val="00A937FE"/>
    <w:rsid w:val="00A93871"/>
    <w:rsid w:val="00A945D6"/>
    <w:rsid w:val="00A95852"/>
    <w:rsid w:val="00A964D6"/>
    <w:rsid w:val="00A966CF"/>
    <w:rsid w:val="00AA0882"/>
    <w:rsid w:val="00AA13E4"/>
    <w:rsid w:val="00AA3E9A"/>
    <w:rsid w:val="00AA400D"/>
    <w:rsid w:val="00AA4835"/>
    <w:rsid w:val="00AA5B67"/>
    <w:rsid w:val="00AA64D1"/>
    <w:rsid w:val="00AB4406"/>
    <w:rsid w:val="00AB57A2"/>
    <w:rsid w:val="00AB5E18"/>
    <w:rsid w:val="00AC3783"/>
    <w:rsid w:val="00AC3A84"/>
    <w:rsid w:val="00AC5721"/>
    <w:rsid w:val="00AC639F"/>
    <w:rsid w:val="00AD0B0C"/>
    <w:rsid w:val="00AD308E"/>
    <w:rsid w:val="00AD42CE"/>
    <w:rsid w:val="00AD485A"/>
    <w:rsid w:val="00AD5288"/>
    <w:rsid w:val="00AD5715"/>
    <w:rsid w:val="00AD78FE"/>
    <w:rsid w:val="00AD7EE2"/>
    <w:rsid w:val="00AE3DBC"/>
    <w:rsid w:val="00AE3F7F"/>
    <w:rsid w:val="00AE7B7B"/>
    <w:rsid w:val="00AE7DA7"/>
    <w:rsid w:val="00AF1C70"/>
    <w:rsid w:val="00AF32AA"/>
    <w:rsid w:val="00AF36DA"/>
    <w:rsid w:val="00AF3B7D"/>
    <w:rsid w:val="00AF5FBF"/>
    <w:rsid w:val="00AF63C0"/>
    <w:rsid w:val="00AF683F"/>
    <w:rsid w:val="00AF7AF5"/>
    <w:rsid w:val="00B00B48"/>
    <w:rsid w:val="00B03872"/>
    <w:rsid w:val="00B041C4"/>
    <w:rsid w:val="00B05CBF"/>
    <w:rsid w:val="00B109F9"/>
    <w:rsid w:val="00B171F3"/>
    <w:rsid w:val="00B177CD"/>
    <w:rsid w:val="00B202DB"/>
    <w:rsid w:val="00B22640"/>
    <w:rsid w:val="00B23763"/>
    <w:rsid w:val="00B27BAF"/>
    <w:rsid w:val="00B3089E"/>
    <w:rsid w:val="00B320B3"/>
    <w:rsid w:val="00B3351F"/>
    <w:rsid w:val="00B361BB"/>
    <w:rsid w:val="00B40662"/>
    <w:rsid w:val="00B40861"/>
    <w:rsid w:val="00B50E03"/>
    <w:rsid w:val="00B51F46"/>
    <w:rsid w:val="00B529BE"/>
    <w:rsid w:val="00B52E36"/>
    <w:rsid w:val="00B53005"/>
    <w:rsid w:val="00B54AFA"/>
    <w:rsid w:val="00B56A51"/>
    <w:rsid w:val="00B604A7"/>
    <w:rsid w:val="00B657C2"/>
    <w:rsid w:val="00B74975"/>
    <w:rsid w:val="00B75185"/>
    <w:rsid w:val="00B75BBF"/>
    <w:rsid w:val="00B76512"/>
    <w:rsid w:val="00B817D3"/>
    <w:rsid w:val="00B81B15"/>
    <w:rsid w:val="00B8469E"/>
    <w:rsid w:val="00B85627"/>
    <w:rsid w:val="00B8657F"/>
    <w:rsid w:val="00B91650"/>
    <w:rsid w:val="00B93604"/>
    <w:rsid w:val="00BA4771"/>
    <w:rsid w:val="00BB007D"/>
    <w:rsid w:val="00BB5CCA"/>
    <w:rsid w:val="00BB6ADE"/>
    <w:rsid w:val="00BC0071"/>
    <w:rsid w:val="00BC2CD5"/>
    <w:rsid w:val="00BC322D"/>
    <w:rsid w:val="00BC4383"/>
    <w:rsid w:val="00BC578F"/>
    <w:rsid w:val="00BD1290"/>
    <w:rsid w:val="00BE2CC0"/>
    <w:rsid w:val="00BE582F"/>
    <w:rsid w:val="00BE7EF1"/>
    <w:rsid w:val="00BF173F"/>
    <w:rsid w:val="00BF198B"/>
    <w:rsid w:val="00C04BCE"/>
    <w:rsid w:val="00C133E6"/>
    <w:rsid w:val="00C13ABB"/>
    <w:rsid w:val="00C151CD"/>
    <w:rsid w:val="00C246F0"/>
    <w:rsid w:val="00C33A45"/>
    <w:rsid w:val="00C40D0B"/>
    <w:rsid w:val="00C43AB7"/>
    <w:rsid w:val="00C45B2E"/>
    <w:rsid w:val="00C539A6"/>
    <w:rsid w:val="00C5600A"/>
    <w:rsid w:val="00C6183C"/>
    <w:rsid w:val="00C6237C"/>
    <w:rsid w:val="00C62FFA"/>
    <w:rsid w:val="00C718DA"/>
    <w:rsid w:val="00C7399D"/>
    <w:rsid w:val="00C77E52"/>
    <w:rsid w:val="00C809E8"/>
    <w:rsid w:val="00C839C1"/>
    <w:rsid w:val="00C83D48"/>
    <w:rsid w:val="00C84569"/>
    <w:rsid w:val="00C84785"/>
    <w:rsid w:val="00C9082F"/>
    <w:rsid w:val="00C92CDD"/>
    <w:rsid w:val="00C97722"/>
    <w:rsid w:val="00CA022A"/>
    <w:rsid w:val="00CA24C4"/>
    <w:rsid w:val="00CA33FE"/>
    <w:rsid w:val="00CA401B"/>
    <w:rsid w:val="00CA473A"/>
    <w:rsid w:val="00CA5ABC"/>
    <w:rsid w:val="00CA6D70"/>
    <w:rsid w:val="00CB20B5"/>
    <w:rsid w:val="00CB2ACF"/>
    <w:rsid w:val="00CB3257"/>
    <w:rsid w:val="00CB3AA8"/>
    <w:rsid w:val="00CB5878"/>
    <w:rsid w:val="00CB7FEA"/>
    <w:rsid w:val="00CD2D5C"/>
    <w:rsid w:val="00CD30C2"/>
    <w:rsid w:val="00CD33C2"/>
    <w:rsid w:val="00CD6B5E"/>
    <w:rsid w:val="00CD6D77"/>
    <w:rsid w:val="00CE059E"/>
    <w:rsid w:val="00CE1BA5"/>
    <w:rsid w:val="00CE296E"/>
    <w:rsid w:val="00CE2DAD"/>
    <w:rsid w:val="00CE2DB1"/>
    <w:rsid w:val="00CE33C0"/>
    <w:rsid w:val="00CE3E47"/>
    <w:rsid w:val="00CE504D"/>
    <w:rsid w:val="00CE56C1"/>
    <w:rsid w:val="00CF0CE5"/>
    <w:rsid w:val="00CF5C9C"/>
    <w:rsid w:val="00D00D87"/>
    <w:rsid w:val="00D02105"/>
    <w:rsid w:val="00D0275F"/>
    <w:rsid w:val="00D02FE2"/>
    <w:rsid w:val="00D10A3F"/>
    <w:rsid w:val="00D115B6"/>
    <w:rsid w:val="00D123C1"/>
    <w:rsid w:val="00D15E58"/>
    <w:rsid w:val="00D1762B"/>
    <w:rsid w:val="00D22067"/>
    <w:rsid w:val="00D2277F"/>
    <w:rsid w:val="00D254FC"/>
    <w:rsid w:val="00D26F91"/>
    <w:rsid w:val="00D27CDB"/>
    <w:rsid w:val="00D338D7"/>
    <w:rsid w:val="00D36ED0"/>
    <w:rsid w:val="00D50CB6"/>
    <w:rsid w:val="00D54271"/>
    <w:rsid w:val="00D6000C"/>
    <w:rsid w:val="00D60951"/>
    <w:rsid w:val="00D60C33"/>
    <w:rsid w:val="00D61589"/>
    <w:rsid w:val="00D6212A"/>
    <w:rsid w:val="00D63523"/>
    <w:rsid w:val="00D6376B"/>
    <w:rsid w:val="00D639FD"/>
    <w:rsid w:val="00D652F8"/>
    <w:rsid w:val="00D6563D"/>
    <w:rsid w:val="00D66335"/>
    <w:rsid w:val="00D6768E"/>
    <w:rsid w:val="00D72091"/>
    <w:rsid w:val="00D75F5B"/>
    <w:rsid w:val="00D76415"/>
    <w:rsid w:val="00D8144F"/>
    <w:rsid w:val="00D818A3"/>
    <w:rsid w:val="00D93460"/>
    <w:rsid w:val="00D93D32"/>
    <w:rsid w:val="00D95B3E"/>
    <w:rsid w:val="00DA0967"/>
    <w:rsid w:val="00DA0DD3"/>
    <w:rsid w:val="00DA1FBA"/>
    <w:rsid w:val="00DA2910"/>
    <w:rsid w:val="00DA3E19"/>
    <w:rsid w:val="00DA6281"/>
    <w:rsid w:val="00DB5179"/>
    <w:rsid w:val="00DB5798"/>
    <w:rsid w:val="00DB58DB"/>
    <w:rsid w:val="00DB7E77"/>
    <w:rsid w:val="00DC338D"/>
    <w:rsid w:val="00DD022C"/>
    <w:rsid w:val="00DD0B20"/>
    <w:rsid w:val="00DD0CEC"/>
    <w:rsid w:val="00DD1E2B"/>
    <w:rsid w:val="00DD2F40"/>
    <w:rsid w:val="00DD6077"/>
    <w:rsid w:val="00DD66B3"/>
    <w:rsid w:val="00DF08CE"/>
    <w:rsid w:val="00DF1599"/>
    <w:rsid w:val="00DF1B0C"/>
    <w:rsid w:val="00DF2DE2"/>
    <w:rsid w:val="00DF4F68"/>
    <w:rsid w:val="00E01837"/>
    <w:rsid w:val="00E04FDF"/>
    <w:rsid w:val="00E052B8"/>
    <w:rsid w:val="00E05343"/>
    <w:rsid w:val="00E068AD"/>
    <w:rsid w:val="00E10159"/>
    <w:rsid w:val="00E118A7"/>
    <w:rsid w:val="00E27382"/>
    <w:rsid w:val="00E27589"/>
    <w:rsid w:val="00E32EE9"/>
    <w:rsid w:val="00E3510D"/>
    <w:rsid w:val="00E41C0F"/>
    <w:rsid w:val="00E41E11"/>
    <w:rsid w:val="00E4391D"/>
    <w:rsid w:val="00E43CD8"/>
    <w:rsid w:val="00E46E44"/>
    <w:rsid w:val="00E473DC"/>
    <w:rsid w:val="00E51805"/>
    <w:rsid w:val="00E55A30"/>
    <w:rsid w:val="00E55E8D"/>
    <w:rsid w:val="00E56C74"/>
    <w:rsid w:val="00E57DCA"/>
    <w:rsid w:val="00E615DF"/>
    <w:rsid w:val="00E647CF"/>
    <w:rsid w:val="00E64D14"/>
    <w:rsid w:val="00E70305"/>
    <w:rsid w:val="00E71DC8"/>
    <w:rsid w:val="00E775EF"/>
    <w:rsid w:val="00E8107A"/>
    <w:rsid w:val="00E82D6F"/>
    <w:rsid w:val="00E82EC2"/>
    <w:rsid w:val="00E85786"/>
    <w:rsid w:val="00E877E4"/>
    <w:rsid w:val="00E87CEE"/>
    <w:rsid w:val="00E94247"/>
    <w:rsid w:val="00E97183"/>
    <w:rsid w:val="00EA21A6"/>
    <w:rsid w:val="00EA5BF5"/>
    <w:rsid w:val="00EA76B0"/>
    <w:rsid w:val="00EB1E28"/>
    <w:rsid w:val="00EB23A7"/>
    <w:rsid w:val="00EB53D5"/>
    <w:rsid w:val="00EB651F"/>
    <w:rsid w:val="00EC1AEE"/>
    <w:rsid w:val="00ED0BD0"/>
    <w:rsid w:val="00ED397C"/>
    <w:rsid w:val="00ED5D81"/>
    <w:rsid w:val="00ED63CA"/>
    <w:rsid w:val="00ED6D4C"/>
    <w:rsid w:val="00EE295E"/>
    <w:rsid w:val="00EE38E0"/>
    <w:rsid w:val="00EE6AAC"/>
    <w:rsid w:val="00EF2CFF"/>
    <w:rsid w:val="00EF3975"/>
    <w:rsid w:val="00EF7DE7"/>
    <w:rsid w:val="00EF7DF4"/>
    <w:rsid w:val="00F01023"/>
    <w:rsid w:val="00F03E6D"/>
    <w:rsid w:val="00F056D4"/>
    <w:rsid w:val="00F05DAC"/>
    <w:rsid w:val="00F1295F"/>
    <w:rsid w:val="00F169A6"/>
    <w:rsid w:val="00F21BE0"/>
    <w:rsid w:val="00F23A60"/>
    <w:rsid w:val="00F23DBB"/>
    <w:rsid w:val="00F2751F"/>
    <w:rsid w:val="00F32831"/>
    <w:rsid w:val="00F41529"/>
    <w:rsid w:val="00F42750"/>
    <w:rsid w:val="00F45E96"/>
    <w:rsid w:val="00F5026B"/>
    <w:rsid w:val="00F50406"/>
    <w:rsid w:val="00F50B68"/>
    <w:rsid w:val="00F52766"/>
    <w:rsid w:val="00F537CF"/>
    <w:rsid w:val="00F56770"/>
    <w:rsid w:val="00F667D7"/>
    <w:rsid w:val="00F71D4D"/>
    <w:rsid w:val="00F76F2C"/>
    <w:rsid w:val="00F773BE"/>
    <w:rsid w:val="00F77B2C"/>
    <w:rsid w:val="00F804D3"/>
    <w:rsid w:val="00F85E54"/>
    <w:rsid w:val="00F9085F"/>
    <w:rsid w:val="00F90C69"/>
    <w:rsid w:val="00F91490"/>
    <w:rsid w:val="00F925BA"/>
    <w:rsid w:val="00F937A7"/>
    <w:rsid w:val="00F947E2"/>
    <w:rsid w:val="00F97EA2"/>
    <w:rsid w:val="00FA28AE"/>
    <w:rsid w:val="00FA35A9"/>
    <w:rsid w:val="00FA5D55"/>
    <w:rsid w:val="00FA5F6A"/>
    <w:rsid w:val="00FA7710"/>
    <w:rsid w:val="00FB3A9D"/>
    <w:rsid w:val="00FB6D44"/>
    <w:rsid w:val="00FB7488"/>
    <w:rsid w:val="00FC0100"/>
    <w:rsid w:val="00FC2924"/>
    <w:rsid w:val="00FC48CD"/>
    <w:rsid w:val="00FC4DD1"/>
    <w:rsid w:val="00FC5124"/>
    <w:rsid w:val="00FC6912"/>
    <w:rsid w:val="00FC70D9"/>
    <w:rsid w:val="00FD3FE8"/>
    <w:rsid w:val="00FD6A7E"/>
    <w:rsid w:val="00FD7B8F"/>
    <w:rsid w:val="00FE1CCC"/>
    <w:rsid w:val="00FE2B3B"/>
    <w:rsid w:val="00FF19D7"/>
    <w:rsid w:val="00FF2BC9"/>
    <w:rsid w:val="00FF31B0"/>
    <w:rsid w:val="00FF711D"/>
    <w:rsid w:val="00FF730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pPr>
      <w:jc w:val="both"/>
    </w:pPr>
    <w:rPr>
      <w:rFonts w:ascii="Arial" w:eastAsia="Times New Roman" w:hAnsi="Arial"/>
      <w:szCs w:val="24"/>
    </w:rPr>
  </w:style>
  <w:style w:type="paragraph" w:styleId="Nadpis1">
    <w:name w:val="heading 1"/>
    <w:basedOn w:val="Normln"/>
    <w:next w:val="Normln"/>
    <w:qFormat/>
    <w:pPr>
      <w:keepNext/>
      <w:numPr>
        <w:numId w:val="5"/>
      </w:numPr>
      <w:outlineLvl w:val="0"/>
    </w:pPr>
    <w:rPr>
      <w:b/>
      <w:bCs/>
      <w:sz w:val="28"/>
      <w:szCs w:val="28"/>
      <w:lang/>
    </w:rPr>
  </w:style>
  <w:style w:type="paragraph" w:styleId="Nadpis2">
    <w:name w:val="heading 2"/>
    <w:basedOn w:val="Normln"/>
    <w:next w:val="Normln"/>
    <w:qFormat/>
    <w:pPr>
      <w:keepNext/>
      <w:numPr>
        <w:ilvl w:val="1"/>
        <w:numId w:val="4"/>
      </w:numPr>
      <w:spacing w:before="240" w:after="60"/>
      <w:outlineLvl w:val="1"/>
    </w:pPr>
    <w:rPr>
      <w:b/>
      <w:bCs/>
      <w:iCs/>
      <w:sz w:val="24"/>
      <w:lang/>
    </w:rPr>
  </w:style>
  <w:style w:type="paragraph" w:styleId="Nadpis3">
    <w:name w:val="heading 3"/>
    <w:basedOn w:val="Normln"/>
    <w:next w:val="Normln"/>
    <w:qFormat/>
    <w:pPr>
      <w:keepNext/>
      <w:numPr>
        <w:ilvl w:val="2"/>
        <w:numId w:val="4"/>
      </w:numPr>
      <w:spacing w:before="240" w:after="60"/>
      <w:outlineLvl w:val="2"/>
    </w:pPr>
    <w:rPr>
      <w:rFonts w:ascii="Cambria" w:hAnsi="Cambria"/>
      <w:b/>
      <w:bCs/>
      <w:sz w:val="26"/>
      <w:szCs w:val="26"/>
      <w:lang/>
    </w:rPr>
  </w:style>
  <w:style w:type="paragraph" w:styleId="Nadpis4">
    <w:name w:val="heading 4"/>
    <w:basedOn w:val="Normln"/>
    <w:next w:val="Normln"/>
    <w:qFormat/>
    <w:pPr>
      <w:keepNext/>
      <w:numPr>
        <w:ilvl w:val="3"/>
        <w:numId w:val="4"/>
      </w:numPr>
      <w:spacing w:before="240" w:after="60"/>
      <w:outlineLvl w:val="3"/>
    </w:pPr>
    <w:rPr>
      <w:rFonts w:ascii="Calibri" w:hAnsi="Calibri"/>
      <w:b/>
      <w:bCs/>
      <w:sz w:val="28"/>
      <w:szCs w:val="28"/>
      <w:lang/>
    </w:rPr>
  </w:style>
  <w:style w:type="paragraph" w:styleId="Nadpis5">
    <w:name w:val="heading 5"/>
    <w:basedOn w:val="Normln"/>
    <w:next w:val="Normln"/>
    <w:qFormat/>
    <w:pPr>
      <w:numPr>
        <w:ilvl w:val="4"/>
        <w:numId w:val="4"/>
      </w:numPr>
      <w:spacing w:before="240" w:after="60"/>
      <w:outlineLvl w:val="4"/>
    </w:pPr>
    <w:rPr>
      <w:rFonts w:ascii="Calibri" w:hAnsi="Calibri"/>
      <w:b/>
      <w:bCs/>
      <w:i/>
      <w:iCs/>
      <w:sz w:val="26"/>
      <w:szCs w:val="26"/>
      <w:lang/>
    </w:rPr>
  </w:style>
  <w:style w:type="paragraph" w:styleId="Nadpis6">
    <w:name w:val="heading 6"/>
    <w:basedOn w:val="Normln"/>
    <w:next w:val="Normln"/>
    <w:qFormat/>
    <w:pPr>
      <w:numPr>
        <w:ilvl w:val="5"/>
        <w:numId w:val="4"/>
      </w:numPr>
      <w:spacing w:before="240" w:after="60"/>
      <w:outlineLvl w:val="5"/>
    </w:pPr>
    <w:rPr>
      <w:rFonts w:ascii="Calibri" w:hAnsi="Calibri"/>
      <w:b/>
      <w:bCs/>
      <w:sz w:val="22"/>
      <w:szCs w:val="22"/>
      <w:lang/>
    </w:rPr>
  </w:style>
  <w:style w:type="paragraph" w:styleId="Nadpis7">
    <w:name w:val="heading 7"/>
    <w:basedOn w:val="Normln"/>
    <w:next w:val="Normln"/>
    <w:qFormat/>
    <w:pPr>
      <w:numPr>
        <w:ilvl w:val="6"/>
        <w:numId w:val="4"/>
      </w:numPr>
      <w:spacing w:before="240" w:after="60"/>
      <w:outlineLvl w:val="6"/>
    </w:pPr>
    <w:rPr>
      <w:rFonts w:ascii="Calibri" w:hAnsi="Calibri"/>
      <w:sz w:val="24"/>
      <w:lang/>
    </w:rPr>
  </w:style>
  <w:style w:type="paragraph" w:styleId="Nadpis8">
    <w:name w:val="heading 8"/>
    <w:basedOn w:val="Normln"/>
    <w:next w:val="Normln"/>
    <w:qFormat/>
    <w:pPr>
      <w:numPr>
        <w:ilvl w:val="7"/>
        <w:numId w:val="4"/>
      </w:numPr>
      <w:spacing w:before="240" w:after="60"/>
      <w:outlineLvl w:val="7"/>
    </w:pPr>
    <w:rPr>
      <w:rFonts w:ascii="Calibri" w:hAnsi="Calibri"/>
      <w:i/>
      <w:iCs/>
      <w:sz w:val="24"/>
      <w:lang/>
    </w:rPr>
  </w:style>
  <w:style w:type="paragraph" w:styleId="Nadpis9">
    <w:name w:val="heading 9"/>
    <w:basedOn w:val="Normln"/>
    <w:next w:val="Normln"/>
    <w:qFormat/>
    <w:pPr>
      <w:numPr>
        <w:ilvl w:val="8"/>
        <w:numId w:val="4"/>
      </w:numPr>
      <w:spacing w:before="240" w:after="60"/>
      <w:outlineLvl w:val="8"/>
    </w:pPr>
    <w:rPr>
      <w:rFonts w:ascii="Cambria" w:hAnsi="Cambria"/>
      <w:sz w:val="22"/>
      <w:szCs w:val="22"/>
      <w:lang/>
    </w:rPr>
  </w:style>
  <w:style w:type="character" w:default="1" w:styleId="Standardnpsmoodstavce">
    <w:name w:val="Default Paragraph Font"/>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Pr>
      <w:color w:val="0000FF"/>
      <w:u w:val="single"/>
    </w:rPr>
  </w:style>
  <w:style w:type="paragraph" w:customStyle="1" w:styleId="Styl1">
    <w:name w:val="Styl1"/>
    <w:pPr>
      <w:suppressAutoHyphens/>
      <w:autoSpaceDE w:val="0"/>
    </w:pPr>
    <w:rPr>
      <w:rFonts w:ascii="Arial" w:eastAsia="Times New Roman" w:hAnsi="Arial"/>
      <w:sz w:val="24"/>
      <w:szCs w:val="24"/>
      <w:lang w:eastAsia="ar-SA"/>
    </w:rPr>
  </w:style>
  <w:style w:type="paragraph" w:styleId="Zhlav">
    <w:name w:val="header"/>
    <w:basedOn w:val="Normln"/>
    <w:unhideWhenUsed/>
    <w:pPr>
      <w:tabs>
        <w:tab w:val="center" w:pos="4536"/>
        <w:tab w:val="right" w:pos="9072"/>
      </w:tabs>
      <w:jc w:val="left"/>
    </w:pPr>
    <w:rPr>
      <w:rFonts w:ascii="Calibri" w:eastAsia="Calibri" w:hAnsi="Calibri"/>
      <w:sz w:val="22"/>
      <w:szCs w:val="22"/>
      <w:lang w:eastAsia="en-US"/>
    </w:rPr>
  </w:style>
  <w:style w:type="character" w:customStyle="1" w:styleId="ZhlavChar">
    <w:name w:val="Záhlaví Char"/>
    <w:basedOn w:val="Standardnpsmoodstavce"/>
  </w:style>
  <w:style w:type="paragraph" w:styleId="Zpat">
    <w:name w:val="footer"/>
    <w:basedOn w:val="Normln"/>
    <w:unhideWhenUsed/>
    <w:pPr>
      <w:tabs>
        <w:tab w:val="center" w:pos="4536"/>
        <w:tab w:val="right" w:pos="9072"/>
      </w:tabs>
      <w:jc w:val="left"/>
    </w:pPr>
    <w:rPr>
      <w:rFonts w:ascii="Calibri" w:eastAsia="Calibri" w:hAnsi="Calibri"/>
      <w:sz w:val="22"/>
      <w:szCs w:val="22"/>
      <w:lang w:eastAsia="en-US"/>
    </w:rPr>
  </w:style>
  <w:style w:type="character" w:customStyle="1" w:styleId="ZpatChar">
    <w:name w:val="Zápatí Char"/>
    <w:basedOn w:val="Standardnpsmoodstavce"/>
  </w:style>
  <w:style w:type="paragraph" w:styleId="Textbubliny">
    <w:name w:val="Balloon Text"/>
    <w:basedOn w:val="Normln"/>
    <w:semiHidden/>
    <w:unhideWhenUsed/>
    <w:rPr>
      <w:rFonts w:ascii="Tahoma" w:eastAsia="Calibri" w:hAnsi="Tahoma"/>
      <w:sz w:val="16"/>
      <w:szCs w:val="16"/>
      <w:lang/>
    </w:rPr>
  </w:style>
  <w:style w:type="character" w:customStyle="1" w:styleId="TextbublinyChar">
    <w:name w:val="Text bubliny Char"/>
    <w:semiHidden/>
    <w:rPr>
      <w:rFonts w:ascii="Tahoma" w:hAnsi="Tahoma" w:cs="Tahoma"/>
      <w:sz w:val="16"/>
      <w:szCs w:val="16"/>
    </w:rPr>
  </w:style>
  <w:style w:type="paragraph" w:customStyle="1" w:styleId="Zkladnodstavec">
    <w:name w:val="[Základní odstavec]"/>
    <w:basedOn w:val="Normln"/>
    <w:pPr>
      <w:autoSpaceDE w:val="0"/>
      <w:autoSpaceDN w:val="0"/>
      <w:adjustRightInd w:val="0"/>
      <w:spacing w:line="288" w:lineRule="auto"/>
      <w:jc w:val="left"/>
      <w:textAlignment w:val="center"/>
    </w:pPr>
    <w:rPr>
      <w:rFonts w:ascii="Minion Pro" w:eastAsia="Calibri" w:hAnsi="Minion Pro" w:cs="Minion Pro"/>
      <w:color w:val="000000"/>
      <w:sz w:val="24"/>
    </w:rPr>
  </w:style>
  <w:style w:type="character" w:customStyle="1" w:styleId="Nadpis1Char">
    <w:name w:val="Nadpis 1 Char"/>
    <w:rPr>
      <w:rFonts w:ascii="Arial" w:eastAsia="Times New Roman" w:hAnsi="Arial" w:cs="Arial"/>
      <w:b/>
      <w:bCs/>
      <w:sz w:val="28"/>
      <w:szCs w:val="28"/>
    </w:rPr>
  </w:style>
  <w:style w:type="paragraph" w:styleId="Textpoznpodarou">
    <w:name w:val="footnote text"/>
    <w:aliases w:val="Text pozn. pod čarou_martin_ang"/>
    <w:basedOn w:val="Normln"/>
    <w:semiHidden/>
    <w:pPr>
      <w:jc w:val="left"/>
    </w:pPr>
    <w:rPr>
      <w:szCs w:val="20"/>
      <w:lang/>
    </w:rPr>
  </w:style>
  <w:style w:type="character" w:customStyle="1" w:styleId="TextpoznpodarouChar">
    <w:name w:val="Text pozn. pod čarou Char"/>
    <w:aliases w:val="Text pozn. pod čarou_martin_ang Char1"/>
    <w:semiHidden/>
    <w:rPr>
      <w:rFonts w:ascii="Arial" w:eastAsia="Times New Roman" w:hAnsi="Arial"/>
    </w:rPr>
  </w:style>
  <w:style w:type="character" w:styleId="Znakapoznpodarou">
    <w:name w:val="footnote reference"/>
    <w:semiHidden/>
    <w:rPr>
      <w:vertAlign w:val="superscript"/>
    </w:rPr>
  </w:style>
  <w:style w:type="paragraph" w:styleId="Odstavecseseznamem">
    <w:name w:val="List Paragraph"/>
    <w:basedOn w:val="Normln"/>
    <w:qFormat/>
    <w:pPr>
      <w:ind w:left="708"/>
      <w:jc w:val="left"/>
    </w:pPr>
    <w:rPr>
      <w:sz w:val="18"/>
      <w:szCs w:val="20"/>
    </w:rPr>
  </w:style>
  <w:style w:type="character" w:styleId="Odkaznakoment">
    <w:name w:val="annotation reference"/>
    <w:semiHidden/>
    <w:unhideWhenUsed/>
    <w:rPr>
      <w:sz w:val="16"/>
      <w:szCs w:val="16"/>
    </w:rPr>
  </w:style>
  <w:style w:type="paragraph" w:styleId="Textkomente">
    <w:name w:val="annotation text"/>
    <w:basedOn w:val="Normln"/>
    <w:semiHidden/>
    <w:unhideWhenUsed/>
    <w:pPr>
      <w:jc w:val="left"/>
    </w:pPr>
    <w:rPr>
      <w:szCs w:val="20"/>
      <w:lang/>
    </w:rPr>
  </w:style>
  <w:style w:type="character" w:customStyle="1" w:styleId="TextkomenteChar">
    <w:name w:val="Text komentáře Char"/>
    <w:semiHidden/>
    <w:rPr>
      <w:rFonts w:ascii="Arial" w:eastAsia="Times New Roman" w:hAnsi="Arial"/>
    </w:rPr>
  </w:style>
  <w:style w:type="character" w:customStyle="1" w:styleId="Nadpis2Char">
    <w:name w:val="Nadpis 2 Char"/>
    <w:rPr>
      <w:rFonts w:ascii="Arial" w:eastAsia="Times New Roman" w:hAnsi="Arial" w:cs="Arial"/>
      <w:b/>
      <w:bCs/>
      <w:iCs/>
      <w:sz w:val="24"/>
      <w:szCs w:val="24"/>
    </w:rPr>
  </w:style>
  <w:style w:type="character" w:customStyle="1" w:styleId="Nadpis3Char">
    <w:name w:val="Nadpis 3 Char"/>
    <w:rPr>
      <w:rFonts w:ascii="Cambria" w:eastAsia="Times New Roman" w:hAnsi="Cambria" w:cs="Times New Roman"/>
      <w:b/>
      <w:bCs/>
      <w:sz w:val="26"/>
      <w:szCs w:val="26"/>
    </w:rPr>
  </w:style>
  <w:style w:type="character" w:customStyle="1" w:styleId="Nadpis4Char">
    <w:name w:val="Nadpis 4 Char"/>
    <w:semiHidden/>
    <w:rPr>
      <w:rFonts w:ascii="Calibri" w:eastAsia="Times New Roman" w:hAnsi="Calibri" w:cs="Times New Roman"/>
      <w:b/>
      <w:bCs/>
      <w:sz w:val="28"/>
      <w:szCs w:val="28"/>
    </w:rPr>
  </w:style>
  <w:style w:type="character" w:customStyle="1" w:styleId="Nadpis5Char">
    <w:name w:val="Nadpis 5 Char"/>
    <w:semiHidden/>
    <w:rPr>
      <w:rFonts w:ascii="Calibri" w:eastAsia="Times New Roman" w:hAnsi="Calibri" w:cs="Times New Roman"/>
      <w:b/>
      <w:bCs/>
      <w:i/>
      <w:iCs/>
      <w:sz w:val="26"/>
      <w:szCs w:val="26"/>
    </w:rPr>
  </w:style>
  <w:style w:type="character" w:customStyle="1" w:styleId="Nadpis6Char">
    <w:name w:val="Nadpis 6 Char"/>
    <w:semiHidden/>
    <w:rPr>
      <w:rFonts w:ascii="Calibri" w:eastAsia="Times New Roman" w:hAnsi="Calibri" w:cs="Times New Roman"/>
      <w:b/>
      <w:bCs/>
      <w:sz w:val="22"/>
      <w:szCs w:val="22"/>
    </w:rPr>
  </w:style>
  <w:style w:type="character" w:customStyle="1" w:styleId="Nadpis7Char">
    <w:name w:val="Nadpis 7 Char"/>
    <w:semiHidden/>
    <w:rPr>
      <w:rFonts w:ascii="Calibri" w:eastAsia="Times New Roman" w:hAnsi="Calibri" w:cs="Times New Roman"/>
      <w:sz w:val="24"/>
      <w:szCs w:val="24"/>
    </w:rPr>
  </w:style>
  <w:style w:type="character" w:customStyle="1" w:styleId="Nadpis8Char">
    <w:name w:val="Nadpis 8 Char"/>
    <w:semiHidden/>
    <w:rPr>
      <w:rFonts w:ascii="Calibri" w:eastAsia="Times New Roman" w:hAnsi="Calibri" w:cs="Times New Roman"/>
      <w:i/>
      <w:iCs/>
      <w:sz w:val="24"/>
      <w:szCs w:val="24"/>
    </w:rPr>
  </w:style>
  <w:style w:type="character" w:customStyle="1" w:styleId="Nadpis9Char">
    <w:name w:val="Nadpis 9 Char"/>
    <w:semiHidden/>
    <w:rPr>
      <w:rFonts w:ascii="Cambria" w:eastAsia="Times New Roman" w:hAnsi="Cambria" w:cs="Times New Roman"/>
      <w:sz w:val="22"/>
      <w:szCs w:val="22"/>
    </w:rPr>
  </w:style>
  <w:style w:type="paragraph" w:styleId="Nadpisobsahu">
    <w:name w:val="TOC Heading"/>
    <w:basedOn w:val="Nadpis1"/>
    <w:next w:val="Normln"/>
    <w:qFormat/>
    <w:pPr>
      <w:keepLines/>
      <w:numPr>
        <w:numId w:val="0"/>
      </w:numPr>
      <w:spacing w:before="480" w:line="276" w:lineRule="auto"/>
      <w:jc w:val="left"/>
      <w:outlineLvl w:val="9"/>
    </w:pPr>
    <w:rPr>
      <w:rFonts w:ascii="Cambria" w:hAnsi="Cambria"/>
      <w:color w:val="365F91"/>
    </w:rPr>
  </w:style>
  <w:style w:type="paragraph" w:styleId="Obsah2">
    <w:name w:val="toc 2"/>
    <w:basedOn w:val="Normln"/>
    <w:next w:val="Normln"/>
    <w:autoRedefine/>
    <w:semiHidden/>
    <w:unhideWhenUsed/>
    <w:qFormat/>
    <w:pPr>
      <w:tabs>
        <w:tab w:val="left" w:pos="880"/>
        <w:tab w:val="right" w:leader="dot" w:pos="9628"/>
      </w:tabs>
      <w:spacing w:after="100" w:line="276" w:lineRule="auto"/>
      <w:ind w:left="851" w:hanging="567"/>
      <w:jc w:val="left"/>
    </w:pPr>
    <w:rPr>
      <w:rFonts w:ascii="Calibri" w:hAnsi="Calibri"/>
      <w:sz w:val="22"/>
      <w:szCs w:val="22"/>
    </w:rPr>
  </w:style>
  <w:style w:type="paragraph" w:styleId="Obsah1">
    <w:name w:val="toc 1"/>
    <w:basedOn w:val="Normln"/>
    <w:next w:val="Normln"/>
    <w:autoRedefine/>
    <w:semiHidden/>
    <w:unhideWhenUsed/>
    <w:qFormat/>
    <w:pPr>
      <w:tabs>
        <w:tab w:val="left" w:pos="851"/>
        <w:tab w:val="right" w:leader="dot" w:pos="9628"/>
      </w:tabs>
      <w:spacing w:after="100" w:line="276" w:lineRule="auto"/>
      <w:jc w:val="left"/>
    </w:pPr>
    <w:rPr>
      <w:szCs w:val="22"/>
    </w:rPr>
  </w:style>
  <w:style w:type="paragraph" w:styleId="Obsah3">
    <w:name w:val="toc 3"/>
    <w:basedOn w:val="Normln"/>
    <w:next w:val="Normln"/>
    <w:autoRedefine/>
    <w:semiHidden/>
    <w:unhideWhenUsed/>
    <w:qFormat/>
    <w:pPr>
      <w:tabs>
        <w:tab w:val="right" w:leader="dot" w:pos="9638"/>
      </w:tabs>
      <w:spacing w:after="100" w:line="276" w:lineRule="auto"/>
      <w:ind w:left="446"/>
      <w:jc w:val="left"/>
    </w:pPr>
    <w:rPr>
      <w:rFonts w:ascii="Calibri" w:hAnsi="Calibri"/>
      <w:sz w:val="22"/>
      <w:szCs w:val="22"/>
    </w:rPr>
  </w:style>
  <w:style w:type="paragraph" w:styleId="Bezmezer">
    <w:name w:val="No Spacing"/>
    <w:qFormat/>
    <w:pPr>
      <w:jc w:val="both"/>
    </w:pPr>
    <w:rPr>
      <w:rFonts w:ascii="Arial" w:eastAsia="Times New Roman" w:hAnsi="Arial"/>
      <w:szCs w:val="24"/>
    </w:rPr>
  </w:style>
  <w:style w:type="paragraph" w:styleId="Obsah10">
    <w:name w:val="toc 1"/>
    <w:basedOn w:val="Normln"/>
    <w:next w:val="Normln"/>
    <w:autoRedefine/>
    <w:semiHidden/>
    <w:unhideWhenUsed/>
    <w:qFormat/>
    <w:pPr>
      <w:tabs>
        <w:tab w:val="left" w:pos="851"/>
        <w:tab w:val="right" w:leader="dot" w:pos="9498"/>
      </w:tabs>
      <w:spacing w:after="100" w:line="276" w:lineRule="auto"/>
      <w:jc w:val="left"/>
    </w:pPr>
    <w:rPr>
      <w:szCs w:val="22"/>
    </w:rPr>
  </w:style>
  <w:style w:type="paragraph" w:styleId="Zkladntext">
    <w:name w:val="Body Text"/>
    <w:basedOn w:val="Normln"/>
    <w:semiHidden/>
    <w:rPr>
      <w:color w:val="000000"/>
    </w:rPr>
  </w:style>
  <w:style w:type="paragraph" w:styleId="Zkladntext3">
    <w:name w:val="Body Text 3"/>
    <w:basedOn w:val="Normln"/>
    <w:semiHidden/>
    <w:rPr>
      <w:sz w:val="18"/>
    </w:rPr>
  </w:style>
  <w:style w:type="character" w:styleId="Sledovanodkaz">
    <w:name w:val="FollowedHyperlink"/>
    <w:semiHidden/>
    <w:rPr>
      <w:color w:val="800080"/>
      <w:u w:val="single"/>
    </w:rPr>
  </w:style>
  <w:style w:type="character" w:customStyle="1" w:styleId="card">
    <w:name w:val="card"/>
    <w:basedOn w:val="Standardnpsmoodstavce"/>
  </w:style>
  <w:style w:type="paragraph" w:styleId="Zkladntext2">
    <w:name w:val="Body Text 2"/>
    <w:basedOn w:val="Normln"/>
    <w:semiHidden/>
    <w:pPr>
      <w:jc w:val="left"/>
    </w:pPr>
    <w:rPr>
      <w:b/>
      <w:bCs/>
    </w:rPr>
  </w:style>
  <w:style w:type="paragraph" w:customStyle="1" w:styleId="normalnsodrkami">
    <w:name w:val="normalní s odrážkami"/>
    <w:basedOn w:val="Normln"/>
    <w:pPr>
      <w:numPr>
        <w:numId w:val="19"/>
      </w:numPr>
    </w:pPr>
  </w:style>
  <w:style w:type="paragraph" w:styleId="Normlnweb">
    <w:name w:val="Normal (Web)"/>
    <w:basedOn w:val="Normln"/>
    <w:uiPriority w:val="99"/>
    <w:semiHidden/>
    <w:pPr>
      <w:spacing w:before="100" w:beforeAutospacing="1" w:after="100" w:afterAutospacing="1"/>
      <w:jc w:val="left"/>
    </w:pPr>
    <w:rPr>
      <w:rFonts w:ascii="Arial Unicode MS" w:eastAsia="Arial Unicode MS" w:hAnsi="Arial Unicode MS" w:cs="Arial Unicode MS"/>
      <w:sz w:val="24"/>
    </w:rPr>
  </w:style>
  <w:style w:type="character" w:styleId="Siln">
    <w:name w:val="Strong"/>
    <w:uiPriority w:val="22"/>
    <w:qFormat/>
    <w:rPr>
      <w:b/>
      <w:bCs/>
    </w:rPr>
  </w:style>
  <w:style w:type="paragraph" w:customStyle="1" w:styleId="Default">
    <w:name w:val="Default"/>
    <w:rsid w:val="004D03E4"/>
    <w:pPr>
      <w:autoSpaceDE w:val="0"/>
      <w:autoSpaceDN w:val="0"/>
      <w:adjustRightInd w:val="0"/>
    </w:pPr>
    <w:rPr>
      <w:rFonts w:ascii="Times New Roman" w:hAnsi="Times New Roman"/>
      <w:color w:val="000000"/>
      <w:sz w:val="24"/>
      <w:szCs w:val="24"/>
    </w:rPr>
  </w:style>
  <w:style w:type="paragraph" w:styleId="Textvysvtlivek">
    <w:name w:val="endnote text"/>
    <w:basedOn w:val="Normln"/>
    <w:link w:val="TextvysvtlivekChar"/>
    <w:uiPriority w:val="99"/>
    <w:semiHidden/>
    <w:unhideWhenUsed/>
    <w:rsid w:val="003E13D1"/>
    <w:rPr>
      <w:szCs w:val="20"/>
    </w:rPr>
  </w:style>
  <w:style w:type="character" w:customStyle="1" w:styleId="TextvysvtlivekChar">
    <w:name w:val="Text vysvětlivek Char"/>
    <w:basedOn w:val="Standardnpsmoodstavce"/>
    <w:link w:val="Textvysvtlivek"/>
    <w:uiPriority w:val="99"/>
    <w:semiHidden/>
    <w:rsid w:val="003E13D1"/>
    <w:rPr>
      <w:rFonts w:ascii="Arial" w:eastAsia="Times New Roman" w:hAnsi="Arial"/>
    </w:rPr>
  </w:style>
  <w:style w:type="character" w:styleId="Odkaznavysvtlivky">
    <w:name w:val="endnote reference"/>
    <w:basedOn w:val="Standardnpsmoodstavce"/>
    <w:uiPriority w:val="99"/>
    <w:semiHidden/>
    <w:unhideWhenUsed/>
    <w:rsid w:val="003E13D1"/>
    <w:rPr>
      <w:vertAlign w:val="superscript"/>
    </w:rPr>
  </w:style>
  <w:style w:type="character" w:customStyle="1" w:styleId="hps">
    <w:name w:val="hps"/>
    <w:basedOn w:val="Standardnpsmoodstavce"/>
    <w:rsid w:val="00FF19D7"/>
  </w:style>
</w:styles>
</file>

<file path=word/webSettings.xml><?xml version="1.0" encoding="utf-8"?>
<w:webSettings xmlns:r="http://schemas.openxmlformats.org/officeDocument/2006/relationships" xmlns:w="http://schemas.openxmlformats.org/wordprocessingml/2006/main">
  <w:divs>
    <w:div w:id="239101744">
      <w:bodyDiv w:val="1"/>
      <w:marLeft w:val="0"/>
      <w:marRight w:val="0"/>
      <w:marTop w:val="0"/>
      <w:marBottom w:val="0"/>
      <w:divBdr>
        <w:top w:val="none" w:sz="0" w:space="0" w:color="auto"/>
        <w:left w:val="none" w:sz="0" w:space="0" w:color="auto"/>
        <w:bottom w:val="none" w:sz="0" w:space="0" w:color="auto"/>
        <w:right w:val="none" w:sz="0" w:space="0" w:color="auto"/>
      </w:divBdr>
    </w:div>
    <w:div w:id="445664477">
      <w:bodyDiv w:val="1"/>
      <w:marLeft w:val="0"/>
      <w:marRight w:val="0"/>
      <w:marTop w:val="0"/>
      <w:marBottom w:val="0"/>
      <w:divBdr>
        <w:top w:val="none" w:sz="0" w:space="0" w:color="auto"/>
        <w:left w:val="none" w:sz="0" w:space="0" w:color="auto"/>
        <w:bottom w:val="none" w:sz="0" w:space="0" w:color="auto"/>
        <w:right w:val="none" w:sz="0" w:space="0" w:color="auto"/>
      </w:divBdr>
      <w:divsChild>
        <w:div w:id="779766456">
          <w:marLeft w:val="0"/>
          <w:marRight w:val="0"/>
          <w:marTop w:val="0"/>
          <w:marBottom w:val="0"/>
          <w:divBdr>
            <w:top w:val="none" w:sz="0" w:space="0" w:color="auto"/>
            <w:left w:val="none" w:sz="0" w:space="0" w:color="auto"/>
            <w:bottom w:val="none" w:sz="0" w:space="0" w:color="auto"/>
            <w:right w:val="none" w:sz="0" w:space="0" w:color="auto"/>
          </w:divBdr>
          <w:divsChild>
            <w:div w:id="403795093">
              <w:marLeft w:val="0"/>
              <w:marRight w:val="0"/>
              <w:marTop w:val="0"/>
              <w:marBottom w:val="0"/>
              <w:divBdr>
                <w:top w:val="none" w:sz="0" w:space="0" w:color="auto"/>
                <w:left w:val="none" w:sz="0" w:space="0" w:color="auto"/>
                <w:bottom w:val="none" w:sz="0" w:space="0" w:color="auto"/>
                <w:right w:val="none" w:sz="0" w:space="0" w:color="auto"/>
              </w:divBdr>
              <w:divsChild>
                <w:div w:id="344290132">
                  <w:marLeft w:val="0"/>
                  <w:marRight w:val="0"/>
                  <w:marTop w:val="0"/>
                  <w:marBottom w:val="0"/>
                  <w:divBdr>
                    <w:top w:val="none" w:sz="0" w:space="0" w:color="auto"/>
                    <w:left w:val="none" w:sz="0" w:space="0" w:color="auto"/>
                    <w:bottom w:val="none" w:sz="0" w:space="0" w:color="auto"/>
                    <w:right w:val="none" w:sz="0" w:space="0" w:color="auto"/>
                  </w:divBdr>
                  <w:divsChild>
                    <w:div w:id="1851987086">
                      <w:marLeft w:val="0"/>
                      <w:marRight w:val="0"/>
                      <w:marTop w:val="0"/>
                      <w:marBottom w:val="0"/>
                      <w:divBdr>
                        <w:top w:val="none" w:sz="0" w:space="0" w:color="auto"/>
                        <w:left w:val="none" w:sz="0" w:space="0" w:color="auto"/>
                        <w:bottom w:val="none" w:sz="0" w:space="0" w:color="auto"/>
                        <w:right w:val="none" w:sz="0" w:space="0" w:color="auto"/>
                      </w:divBdr>
                      <w:divsChild>
                        <w:div w:id="783614495">
                          <w:marLeft w:val="0"/>
                          <w:marRight w:val="0"/>
                          <w:marTop w:val="0"/>
                          <w:marBottom w:val="0"/>
                          <w:divBdr>
                            <w:top w:val="none" w:sz="0" w:space="0" w:color="auto"/>
                            <w:left w:val="none" w:sz="0" w:space="0" w:color="auto"/>
                            <w:bottom w:val="none" w:sz="0" w:space="0" w:color="auto"/>
                            <w:right w:val="none" w:sz="0" w:space="0" w:color="auto"/>
                          </w:divBdr>
                          <w:divsChild>
                            <w:div w:id="54382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263967">
      <w:bodyDiv w:val="1"/>
      <w:marLeft w:val="0"/>
      <w:marRight w:val="0"/>
      <w:marTop w:val="0"/>
      <w:marBottom w:val="0"/>
      <w:divBdr>
        <w:top w:val="none" w:sz="0" w:space="0" w:color="auto"/>
        <w:left w:val="none" w:sz="0" w:space="0" w:color="auto"/>
        <w:bottom w:val="none" w:sz="0" w:space="0" w:color="auto"/>
        <w:right w:val="none" w:sz="0" w:space="0" w:color="auto"/>
      </w:divBdr>
    </w:div>
    <w:div w:id="550651446">
      <w:bodyDiv w:val="1"/>
      <w:marLeft w:val="0"/>
      <w:marRight w:val="0"/>
      <w:marTop w:val="0"/>
      <w:marBottom w:val="0"/>
      <w:divBdr>
        <w:top w:val="none" w:sz="0" w:space="0" w:color="auto"/>
        <w:left w:val="none" w:sz="0" w:space="0" w:color="auto"/>
        <w:bottom w:val="none" w:sz="0" w:space="0" w:color="auto"/>
        <w:right w:val="none" w:sz="0" w:space="0" w:color="auto"/>
      </w:divBdr>
    </w:div>
    <w:div w:id="628896432">
      <w:bodyDiv w:val="1"/>
      <w:marLeft w:val="0"/>
      <w:marRight w:val="0"/>
      <w:marTop w:val="0"/>
      <w:marBottom w:val="0"/>
      <w:divBdr>
        <w:top w:val="none" w:sz="0" w:space="0" w:color="auto"/>
        <w:left w:val="none" w:sz="0" w:space="0" w:color="auto"/>
        <w:bottom w:val="none" w:sz="0" w:space="0" w:color="auto"/>
        <w:right w:val="none" w:sz="0" w:space="0" w:color="auto"/>
      </w:divBdr>
    </w:div>
    <w:div w:id="850142910">
      <w:bodyDiv w:val="1"/>
      <w:marLeft w:val="0"/>
      <w:marRight w:val="0"/>
      <w:marTop w:val="0"/>
      <w:marBottom w:val="0"/>
      <w:divBdr>
        <w:top w:val="none" w:sz="0" w:space="0" w:color="auto"/>
        <w:left w:val="none" w:sz="0" w:space="0" w:color="auto"/>
        <w:bottom w:val="none" w:sz="0" w:space="0" w:color="auto"/>
        <w:right w:val="none" w:sz="0" w:space="0" w:color="auto"/>
      </w:divBdr>
    </w:div>
    <w:div w:id="894587641">
      <w:bodyDiv w:val="1"/>
      <w:marLeft w:val="0"/>
      <w:marRight w:val="0"/>
      <w:marTop w:val="0"/>
      <w:marBottom w:val="0"/>
      <w:divBdr>
        <w:top w:val="none" w:sz="0" w:space="0" w:color="auto"/>
        <w:left w:val="none" w:sz="0" w:space="0" w:color="auto"/>
        <w:bottom w:val="none" w:sz="0" w:space="0" w:color="auto"/>
        <w:right w:val="none" w:sz="0" w:space="0" w:color="auto"/>
      </w:divBdr>
    </w:div>
    <w:div w:id="939989794">
      <w:bodyDiv w:val="1"/>
      <w:marLeft w:val="0"/>
      <w:marRight w:val="0"/>
      <w:marTop w:val="0"/>
      <w:marBottom w:val="0"/>
      <w:divBdr>
        <w:top w:val="none" w:sz="0" w:space="0" w:color="auto"/>
        <w:left w:val="none" w:sz="0" w:space="0" w:color="auto"/>
        <w:bottom w:val="none" w:sz="0" w:space="0" w:color="auto"/>
        <w:right w:val="none" w:sz="0" w:space="0" w:color="auto"/>
      </w:divBdr>
    </w:div>
    <w:div w:id="996956910">
      <w:bodyDiv w:val="1"/>
      <w:marLeft w:val="0"/>
      <w:marRight w:val="0"/>
      <w:marTop w:val="0"/>
      <w:marBottom w:val="0"/>
      <w:divBdr>
        <w:top w:val="none" w:sz="0" w:space="0" w:color="auto"/>
        <w:left w:val="none" w:sz="0" w:space="0" w:color="auto"/>
        <w:bottom w:val="none" w:sz="0" w:space="0" w:color="auto"/>
        <w:right w:val="none" w:sz="0" w:space="0" w:color="auto"/>
      </w:divBdr>
    </w:div>
    <w:div w:id="1004750243">
      <w:bodyDiv w:val="1"/>
      <w:marLeft w:val="0"/>
      <w:marRight w:val="0"/>
      <w:marTop w:val="0"/>
      <w:marBottom w:val="0"/>
      <w:divBdr>
        <w:top w:val="none" w:sz="0" w:space="0" w:color="auto"/>
        <w:left w:val="none" w:sz="0" w:space="0" w:color="auto"/>
        <w:bottom w:val="none" w:sz="0" w:space="0" w:color="auto"/>
        <w:right w:val="none" w:sz="0" w:space="0" w:color="auto"/>
      </w:divBdr>
    </w:div>
    <w:div w:id="1141574737">
      <w:bodyDiv w:val="1"/>
      <w:marLeft w:val="0"/>
      <w:marRight w:val="0"/>
      <w:marTop w:val="0"/>
      <w:marBottom w:val="0"/>
      <w:divBdr>
        <w:top w:val="none" w:sz="0" w:space="0" w:color="auto"/>
        <w:left w:val="none" w:sz="0" w:space="0" w:color="auto"/>
        <w:bottom w:val="none" w:sz="0" w:space="0" w:color="auto"/>
        <w:right w:val="none" w:sz="0" w:space="0" w:color="auto"/>
      </w:divBdr>
      <w:divsChild>
        <w:div w:id="447747906">
          <w:marLeft w:val="0"/>
          <w:marRight w:val="0"/>
          <w:marTop w:val="0"/>
          <w:marBottom w:val="0"/>
          <w:divBdr>
            <w:top w:val="none" w:sz="0" w:space="0" w:color="auto"/>
            <w:left w:val="none" w:sz="0" w:space="0" w:color="auto"/>
            <w:bottom w:val="none" w:sz="0" w:space="0" w:color="auto"/>
            <w:right w:val="none" w:sz="0" w:space="0" w:color="auto"/>
          </w:divBdr>
          <w:divsChild>
            <w:div w:id="1726223405">
              <w:marLeft w:val="0"/>
              <w:marRight w:val="0"/>
              <w:marTop w:val="0"/>
              <w:marBottom w:val="0"/>
              <w:divBdr>
                <w:top w:val="none" w:sz="0" w:space="0" w:color="auto"/>
                <w:left w:val="none" w:sz="0" w:space="0" w:color="auto"/>
                <w:bottom w:val="none" w:sz="0" w:space="0" w:color="auto"/>
                <w:right w:val="none" w:sz="0" w:space="0" w:color="auto"/>
              </w:divBdr>
              <w:divsChild>
                <w:div w:id="1306357570">
                  <w:marLeft w:val="0"/>
                  <w:marRight w:val="0"/>
                  <w:marTop w:val="0"/>
                  <w:marBottom w:val="0"/>
                  <w:divBdr>
                    <w:top w:val="none" w:sz="0" w:space="0" w:color="auto"/>
                    <w:left w:val="none" w:sz="0" w:space="0" w:color="auto"/>
                    <w:bottom w:val="none" w:sz="0" w:space="0" w:color="auto"/>
                    <w:right w:val="none" w:sz="0" w:space="0" w:color="auto"/>
                  </w:divBdr>
                  <w:divsChild>
                    <w:div w:id="1593928260">
                      <w:marLeft w:val="0"/>
                      <w:marRight w:val="0"/>
                      <w:marTop w:val="0"/>
                      <w:marBottom w:val="0"/>
                      <w:divBdr>
                        <w:top w:val="none" w:sz="0" w:space="0" w:color="auto"/>
                        <w:left w:val="none" w:sz="0" w:space="0" w:color="auto"/>
                        <w:bottom w:val="none" w:sz="0" w:space="0" w:color="auto"/>
                        <w:right w:val="none" w:sz="0" w:space="0" w:color="auto"/>
                      </w:divBdr>
                      <w:divsChild>
                        <w:div w:id="1835995717">
                          <w:marLeft w:val="0"/>
                          <w:marRight w:val="0"/>
                          <w:marTop w:val="0"/>
                          <w:marBottom w:val="0"/>
                          <w:divBdr>
                            <w:top w:val="none" w:sz="0" w:space="0" w:color="auto"/>
                            <w:left w:val="none" w:sz="0" w:space="0" w:color="auto"/>
                            <w:bottom w:val="none" w:sz="0" w:space="0" w:color="auto"/>
                            <w:right w:val="none" w:sz="0" w:space="0" w:color="auto"/>
                          </w:divBdr>
                          <w:divsChild>
                            <w:div w:id="13457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23828">
      <w:bodyDiv w:val="1"/>
      <w:marLeft w:val="0"/>
      <w:marRight w:val="0"/>
      <w:marTop w:val="0"/>
      <w:marBottom w:val="0"/>
      <w:divBdr>
        <w:top w:val="none" w:sz="0" w:space="0" w:color="auto"/>
        <w:left w:val="none" w:sz="0" w:space="0" w:color="auto"/>
        <w:bottom w:val="none" w:sz="0" w:space="0" w:color="auto"/>
        <w:right w:val="none" w:sz="0" w:space="0" w:color="auto"/>
      </w:divBdr>
    </w:div>
    <w:div w:id="1270157837">
      <w:bodyDiv w:val="1"/>
      <w:marLeft w:val="0"/>
      <w:marRight w:val="0"/>
      <w:marTop w:val="0"/>
      <w:marBottom w:val="0"/>
      <w:divBdr>
        <w:top w:val="none" w:sz="0" w:space="0" w:color="auto"/>
        <w:left w:val="none" w:sz="0" w:space="0" w:color="auto"/>
        <w:bottom w:val="none" w:sz="0" w:space="0" w:color="auto"/>
        <w:right w:val="none" w:sz="0" w:space="0" w:color="auto"/>
      </w:divBdr>
    </w:div>
    <w:div w:id="1372924770">
      <w:bodyDiv w:val="1"/>
      <w:marLeft w:val="0"/>
      <w:marRight w:val="0"/>
      <w:marTop w:val="0"/>
      <w:marBottom w:val="0"/>
      <w:divBdr>
        <w:top w:val="none" w:sz="0" w:space="0" w:color="auto"/>
        <w:left w:val="none" w:sz="0" w:space="0" w:color="auto"/>
        <w:bottom w:val="none" w:sz="0" w:space="0" w:color="auto"/>
        <w:right w:val="none" w:sz="0" w:space="0" w:color="auto"/>
      </w:divBdr>
    </w:div>
    <w:div w:id="1414812567">
      <w:bodyDiv w:val="1"/>
      <w:marLeft w:val="0"/>
      <w:marRight w:val="0"/>
      <w:marTop w:val="0"/>
      <w:marBottom w:val="0"/>
      <w:divBdr>
        <w:top w:val="none" w:sz="0" w:space="0" w:color="auto"/>
        <w:left w:val="none" w:sz="0" w:space="0" w:color="auto"/>
        <w:bottom w:val="none" w:sz="0" w:space="0" w:color="auto"/>
        <w:right w:val="none" w:sz="0" w:space="0" w:color="auto"/>
      </w:divBdr>
    </w:div>
    <w:div w:id="1432818069">
      <w:bodyDiv w:val="1"/>
      <w:marLeft w:val="0"/>
      <w:marRight w:val="0"/>
      <w:marTop w:val="0"/>
      <w:marBottom w:val="0"/>
      <w:divBdr>
        <w:top w:val="none" w:sz="0" w:space="0" w:color="auto"/>
        <w:left w:val="none" w:sz="0" w:space="0" w:color="auto"/>
        <w:bottom w:val="none" w:sz="0" w:space="0" w:color="auto"/>
        <w:right w:val="none" w:sz="0" w:space="0" w:color="auto"/>
      </w:divBdr>
    </w:div>
    <w:div w:id="1445727807">
      <w:bodyDiv w:val="1"/>
      <w:marLeft w:val="0"/>
      <w:marRight w:val="0"/>
      <w:marTop w:val="0"/>
      <w:marBottom w:val="0"/>
      <w:divBdr>
        <w:top w:val="none" w:sz="0" w:space="0" w:color="auto"/>
        <w:left w:val="none" w:sz="0" w:space="0" w:color="auto"/>
        <w:bottom w:val="none" w:sz="0" w:space="0" w:color="auto"/>
        <w:right w:val="none" w:sz="0" w:space="0" w:color="auto"/>
      </w:divBdr>
    </w:div>
    <w:div w:id="1488861535">
      <w:bodyDiv w:val="1"/>
      <w:marLeft w:val="0"/>
      <w:marRight w:val="0"/>
      <w:marTop w:val="0"/>
      <w:marBottom w:val="0"/>
      <w:divBdr>
        <w:top w:val="none" w:sz="0" w:space="0" w:color="auto"/>
        <w:left w:val="none" w:sz="0" w:space="0" w:color="auto"/>
        <w:bottom w:val="none" w:sz="0" w:space="0" w:color="auto"/>
        <w:right w:val="none" w:sz="0" w:space="0" w:color="auto"/>
      </w:divBdr>
    </w:div>
    <w:div w:id="1497958471">
      <w:bodyDiv w:val="1"/>
      <w:marLeft w:val="0"/>
      <w:marRight w:val="0"/>
      <w:marTop w:val="0"/>
      <w:marBottom w:val="0"/>
      <w:divBdr>
        <w:top w:val="none" w:sz="0" w:space="0" w:color="auto"/>
        <w:left w:val="none" w:sz="0" w:space="0" w:color="auto"/>
        <w:bottom w:val="none" w:sz="0" w:space="0" w:color="auto"/>
        <w:right w:val="none" w:sz="0" w:space="0" w:color="auto"/>
      </w:divBdr>
    </w:div>
    <w:div w:id="1527715507">
      <w:bodyDiv w:val="1"/>
      <w:marLeft w:val="0"/>
      <w:marRight w:val="0"/>
      <w:marTop w:val="0"/>
      <w:marBottom w:val="0"/>
      <w:divBdr>
        <w:top w:val="none" w:sz="0" w:space="0" w:color="auto"/>
        <w:left w:val="none" w:sz="0" w:space="0" w:color="auto"/>
        <w:bottom w:val="none" w:sz="0" w:space="0" w:color="auto"/>
        <w:right w:val="none" w:sz="0" w:space="0" w:color="auto"/>
      </w:divBdr>
    </w:div>
    <w:div w:id="1578202072">
      <w:bodyDiv w:val="1"/>
      <w:marLeft w:val="0"/>
      <w:marRight w:val="0"/>
      <w:marTop w:val="0"/>
      <w:marBottom w:val="0"/>
      <w:divBdr>
        <w:top w:val="none" w:sz="0" w:space="0" w:color="auto"/>
        <w:left w:val="none" w:sz="0" w:space="0" w:color="auto"/>
        <w:bottom w:val="none" w:sz="0" w:space="0" w:color="auto"/>
        <w:right w:val="none" w:sz="0" w:space="0" w:color="auto"/>
      </w:divBdr>
    </w:div>
    <w:div w:id="1596356724">
      <w:bodyDiv w:val="1"/>
      <w:marLeft w:val="0"/>
      <w:marRight w:val="0"/>
      <w:marTop w:val="0"/>
      <w:marBottom w:val="0"/>
      <w:divBdr>
        <w:top w:val="none" w:sz="0" w:space="0" w:color="auto"/>
        <w:left w:val="none" w:sz="0" w:space="0" w:color="auto"/>
        <w:bottom w:val="none" w:sz="0" w:space="0" w:color="auto"/>
        <w:right w:val="none" w:sz="0" w:space="0" w:color="auto"/>
      </w:divBdr>
    </w:div>
    <w:div w:id="1713770986">
      <w:bodyDiv w:val="1"/>
      <w:marLeft w:val="0"/>
      <w:marRight w:val="0"/>
      <w:marTop w:val="0"/>
      <w:marBottom w:val="0"/>
      <w:divBdr>
        <w:top w:val="none" w:sz="0" w:space="0" w:color="auto"/>
        <w:left w:val="none" w:sz="0" w:space="0" w:color="auto"/>
        <w:bottom w:val="none" w:sz="0" w:space="0" w:color="auto"/>
        <w:right w:val="none" w:sz="0" w:space="0" w:color="auto"/>
      </w:divBdr>
    </w:div>
    <w:div w:id="1793011009">
      <w:bodyDiv w:val="1"/>
      <w:marLeft w:val="0"/>
      <w:marRight w:val="0"/>
      <w:marTop w:val="0"/>
      <w:marBottom w:val="0"/>
      <w:divBdr>
        <w:top w:val="none" w:sz="0" w:space="0" w:color="auto"/>
        <w:left w:val="none" w:sz="0" w:space="0" w:color="auto"/>
        <w:bottom w:val="none" w:sz="0" w:space="0" w:color="auto"/>
        <w:right w:val="none" w:sz="0" w:space="0" w:color="auto"/>
      </w:divBdr>
    </w:div>
    <w:div w:id="1851749484">
      <w:bodyDiv w:val="1"/>
      <w:marLeft w:val="0"/>
      <w:marRight w:val="0"/>
      <w:marTop w:val="0"/>
      <w:marBottom w:val="0"/>
      <w:divBdr>
        <w:top w:val="none" w:sz="0" w:space="0" w:color="auto"/>
        <w:left w:val="none" w:sz="0" w:space="0" w:color="auto"/>
        <w:bottom w:val="none" w:sz="0" w:space="0" w:color="auto"/>
        <w:right w:val="none" w:sz="0" w:space="0" w:color="auto"/>
      </w:divBdr>
      <w:divsChild>
        <w:div w:id="899826625">
          <w:marLeft w:val="0"/>
          <w:marRight w:val="0"/>
          <w:marTop w:val="0"/>
          <w:marBottom w:val="0"/>
          <w:divBdr>
            <w:top w:val="none" w:sz="0" w:space="0" w:color="auto"/>
            <w:left w:val="none" w:sz="0" w:space="0" w:color="auto"/>
            <w:bottom w:val="none" w:sz="0" w:space="0" w:color="auto"/>
            <w:right w:val="none" w:sz="0" w:space="0" w:color="auto"/>
          </w:divBdr>
          <w:divsChild>
            <w:div w:id="1126435972">
              <w:marLeft w:val="0"/>
              <w:marRight w:val="0"/>
              <w:marTop w:val="0"/>
              <w:marBottom w:val="0"/>
              <w:divBdr>
                <w:top w:val="none" w:sz="0" w:space="0" w:color="auto"/>
                <w:left w:val="none" w:sz="0" w:space="0" w:color="auto"/>
                <w:bottom w:val="none" w:sz="0" w:space="0" w:color="auto"/>
                <w:right w:val="none" w:sz="0" w:space="0" w:color="auto"/>
              </w:divBdr>
              <w:divsChild>
                <w:div w:id="1253735958">
                  <w:marLeft w:val="0"/>
                  <w:marRight w:val="0"/>
                  <w:marTop w:val="0"/>
                  <w:marBottom w:val="0"/>
                  <w:divBdr>
                    <w:top w:val="none" w:sz="0" w:space="0" w:color="auto"/>
                    <w:left w:val="none" w:sz="0" w:space="0" w:color="auto"/>
                    <w:bottom w:val="none" w:sz="0" w:space="0" w:color="auto"/>
                    <w:right w:val="none" w:sz="0" w:space="0" w:color="auto"/>
                  </w:divBdr>
                  <w:divsChild>
                    <w:div w:id="1136794698">
                      <w:marLeft w:val="0"/>
                      <w:marRight w:val="0"/>
                      <w:marTop w:val="0"/>
                      <w:marBottom w:val="0"/>
                      <w:divBdr>
                        <w:top w:val="none" w:sz="0" w:space="0" w:color="auto"/>
                        <w:left w:val="none" w:sz="0" w:space="0" w:color="auto"/>
                        <w:bottom w:val="none" w:sz="0" w:space="0" w:color="auto"/>
                        <w:right w:val="none" w:sz="0" w:space="0" w:color="auto"/>
                      </w:divBdr>
                      <w:divsChild>
                        <w:div w:id="545141742">
                          <w:marLeft w:val="0"/>
                          <w:marRight w:val="0"/>
                          <w:marTop w:val="0"/>
                          <w:marBottom w:val="0"/>
                          <w:divBdr>
                            <w:top w:val="none" w:sz="0" w:space="0" w:color="auto"/>
                            <w:left w:val="none" w:sz="0" w:space="0" w:color="auto"/>
                            <w:bottom w:val="none" w:sz="0" w:space="0" w:color="auto"/>
                            <w:right w:val="none" w:sz="0" w:space="0" w:color="auto"/>
                          </w:divBdr>
                          <w:divsChild>
                            <w:div w:id="3373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471729">
      <w:bodyDiv w:val="1"/>
      <w:marLeft w:val="0"/>
      <w:marRight w:val="0"/>
      <w:marTop w:val="0"/>
      <w:marBottom w:val="0"/>
      <w:divBdr>
        <w:top w:val="none" w:sz="0" w:space="0" w:color="auto"/>
        <w:left w:val="none" w:sz="0" w:space="0" w:color="auto"/>
        <w:bottom w:val="none" w:sz="0" w:space="0" w:color="auto"/>
        <w:right w:val="none" w:sz="0" w:space="0" w:color="auto"/>
      </w:divBdr>
    </w:div>
    <w:div w:id="2020741819">
      <w:bodyDiv w:val="1"/>
      <w:marLeft w:val="0"/>
      <w:marRight w:val="0"/>
      <w:marTop w:val="0"/>
      <w:marBottom w:val="0"/>
      <w:divBdr>
        <w:top w:val="none" w:sz="0" w:space="0" w:color="auto"/>
        <w:left w:val="none" w:sz="0" w:space="0" w:color="auto"/>
        <w:bottom w:val="none" w:sz="0" w:space="0" w:color="auto"/>
        <w:right w:val="none" w:sz="0" w:space="0" w:color="auto"/>
      </w:divBdr>
    </w:div>
    <w:div w:id="210961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FE917-50E5-46C5-B020-AA41C890E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1190</Words>
  <Characters>7021</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VÍCETÉMATICKÉ INFORMACE</vt:lpstr>
    </vt:vector>
  </TitlesOfParts>
  <Company>ČSÚ</Company>
  <LinksUpToDate>false</LinksUpToDate>
  <CharactersWithSpaces>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VÍCETÉMATICKÉ INFORMACE</dc:title>
  <dc:creator>SystemService</dc:creator>
  <cp:lastModifiedBy>Jiří Kamenický</cp:lastModifiedBy>
  <cp:revision>2</cp:revision>
  <cp:lastPrinted>2014-06-02T17:09:00Z</cp:lastPrinted>
  <dcterms:created xsi:type="dcterms:W3CDTF">2014-10-24T06:30:00Z</dcterms:created>
  <dcterms:modified xsi:type="dcterms:W3CDTF">2014-10-24T06:30:00Z</dcterms:modified>
</cp:coreProperties>
</file>