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DC5E2" w14:textId="77777777" w:rsidR="00BC7EFA" w:rsidRPr="009110F7" w:rsidRDefault="00BC7EFA" w:rsidP="00BC7EFA">
      <w:pPr>
        <w:pStyle w:val="Nadpis1"/>
      </w:pPr>
      <w:bookmarkStart w:id="0" w:name="_Toc58605374"/>
      <w:bookmarkStart w:id="1" w:name="_Toc66719930"/>
      <w:bookmarkStart w:id="2" w:name="_Toc532558287"/>
      <w:bookmarkStart w:id="3" w:name="_Toc58605375"/>
      <w:bookmarkStart w:id="4" w:name="_Toc82508186"/>
      <w:bookmarkStart w:id="5" w:name="_Toc114134045"/>
      <w:r w:rsidRPr="0077605B">
        <w:t>2</w:t>
      </w:r>
      <w:r>
        <w:t>. </w:t>
      </w:r>
      <w:r w:rsidRPr="0077605B">
        <w:t>Souhrnná výkonnost</w:t>
      </w:r>
      <w:bookmarkEnd w:id="5"/>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BC7EFA" w:rsidRPr="009110F7" w14:paraId="1AF72B89" w14:textId="77777777" w:rsidTr="000C7A79">
        <w:trPr>
          <w:trHeight w:val="145"/>
        </w:trPr>
        <w:tc>
          <w:tcPr>
            <w:tcW w:w="1806" w:type="dxa"/>
            <w:shd w:val="clear" w:color="auto" w:fill="auto"/>
            <w:tcMar>
              <w:left w:w="0" w:type="dxa"/>
            </w:tcMar>
          </w:tcPr>
          <w:p w14:paraId="3D1D64BD" w14:textId="77777777" w:rsidR="00BC7EFA" w:rsidRDefault="00BC7EFA" w:rsidP="000C7A79">
            <w:pPr>
              <w:pStyle w:val="Marginlie"/>
            </w:pPr>
            <w:r>
              <w:t>Česká ekonomika pokračovala v růstu.</w:t>
            </w:r>
          </w:p>
        </w:tc>
        <w:tc>
          <w:tcPr>
            <w:tcW w:w="223" w:type="dxa"/>
            <w:shd w:val="clear" w:color="auto" w:fill="auto"/>
            <w:tcMar>
              <w:left w:w="0" w:type="dxa"/>
            </w:tcMar>
          </w:tcPr>
          <w:p w14:paraId="2BAE873F" w14:textId="77777777" w:rsidR="00BC7EFA" w:rsidRDefault="00BC7EFA" w:rsidP="000C7A79">
            <w:pPr>
              <w:pStyle w:val="Textpoznpodarou"/>
              <w:jc w:val="both"/>
              <w:rPr>
                <w:spacing w:val="-4"/>
              </w:rPr>
            </w:pPr>
          </w:p>
        </w:tc>
        <w:tc>
          <w:tcPr>
            <w:tcW w:w="7610" w:type="dxa"/>
            <w:shd w:val="clear" w:color="auto" w:fill="auto"/>
            <w:tcMar>
              <w:left w:w="0" w:type="dxa"/>
            </w:tcMar>
          </w:tcPr>
          <w:p w14:paraId="61873488" w14:textId="370C7A18" w:rsidR="00BC7EFA" w:rsidRPr="00014ED0" w:rsidRDefault="00BC7EFA" w:rsidP="00BC7EFA">
            <w:pPr>
              <w:rPr>
                <w:spacing w:val="-2"/>
              </w:rPr>
            </w:pPr>
            <w:r>
              <w:rPr>
                <w:spacing w:val="-2"/>
              </w:rPr>
              <w:t>Hrubý domácí produkt (HDP) si ve 2. čtvrtletí 2022 udržel růst a mezičtvrtletně se reálně zvýšil o 0,5 %</w:t>
            </w:r>
            <w:r w:rsidRPr="00014ED0">
              <w:rPr>
                <w:rStyle w:val="Znakapoznpodarou"/>
                <w:rFonts w:cs="Arial"/>
                <w:spacing w:val="-2"/>
              </w:rPr>
              <w:footnoteReference w:id="1"/>
            </w:r>
            <w:r>
              <w:rPr>
                <w:spacing w:val="-2"/>
              </w:rPr>
              <w:t xml:space="preserve">. Ekonomický vývoj nesl známky rozšířené nejistoty. K mezičtvrtletnímu růstu HDP tak přispívala především tvorba hrubého kapitálu, zejména změna zásob. Naopak domácí spotřeba opět mírně mezičtvrtletně klesla. Nepokračoval ani pozitivní vliv zahraniční poptávky, která v posledních dvou kvartálech podpořila růst HDP. Meziroční přírůstek hrubého domácího produktu zpomalil na 3,7 %. Po delší době také z velké části vymizel vliv slabé srovnávací základny, který se do meziročního vývoje HDP promítal v posledním roce. Také meziroční dynamiku HDP pozitivně ovlivňovala tvorba hrubého kapitálu. Slabě přispěla i spotřeba, zejména ta vládní. Negativně působila zahraniční poptávka. Podle údajů ve stálých cenách ve 2. čtvrtletí HDP reálně překonal úroveň stejného období roku 2019 o 0,9 % a těsně se přiblížil celkovému předpandemickému vrcholu ze 4. kvartálu 2019. </w:t>
            </w:r>
          </w:p>
        </w:tc>
      </w:tr>
      <w:tr w:rsidR="00BC7EFA" w:rsidRPr="009110F7" w14:paraId="401122A6" w14:textId="77777777" w:rsidTr="000C7A79">
        <w:trPr>
          <w:trHeight w:val="170"/>
        </w:trPr>
        <w:tc>
          <w:tcPr>
            <w:tcW w:w="1806" w:type="dxa"/>
            <w:vMerge w:val="restart"/>
            <w:shd w:val="clear" w:color="auto" w:fill="auto"/>
            <w:tcMar>
              <w:left w:w="0" w:type="dxa"/>
            </w:tcMar>
          </w:tcPr>
          <w:p w14:paraId="174DF05A" w14:textId="77777777" w:rsidR="00BC7EFA" w:rsidRDefault="00BC7EFA" w:rsidP="000C7A79">
            <w:pPr>
              <w:pStyle w:val="Marginlie"/>
            </w:pPr>
          </w:p>
        </w:tc>
        <w:tc>
          <w:tcPr>
            <w:tcW w:w="223" w:type="dxa"/>
            <w:vMerge w:val="restart"/>
            <w:shd w:val="clear" w:color="auto" w:fill="auto"/>
            <w:tcMar>
              <w:left w:w="0" w:type="dxa"/>
            </w:tcMar>
          </w:tcPr>
          <w:p w14:paraId="240A6E69" w14:textId="77777777" w:rsidR="00BC7EFA" w:rsidRDefault="00BC7EFA" w:rsidP="000C7A79">
            <w:pPr>
              <w:pStyle w:val="Textpoznpodarou"/>
              <w:jc w:val="both"/>
              <w:rPr>
                <w:spacing w:val="-4"/>
              </w:rPr>
            </w:pPr>
          </w:p>
        </w:tc>
        <w:tc>
          <w:tcPr>
            <w:tcW w:w="7610" w:type="dxa"/>
            <w:shd w:val="clear" w:color="auto" w:fill="auto"/>
            <w:tcMar>
              <w:left w:w="0" w:type="dxa"/>
            </w:tcMar>
          </w:tcPr>
          <w:p w14:paraId="3F3A7116" w14:textId="77777777" w:rsidR="00BC7EFA" w:rsidRPr="00D721B4" w:rsidRDefault="00BC7EFA" w:rsidP="000C7A79">
            <w:pPr>
              <w:spacing w:after="0"/>
              <w:rPr>
                <w:b/>
                <w:szCs w:val="20"/>
              </w:rPr>
            </w:pPr>
            <w:r w:rsidRPr="00D721B4">
              <w:rPr>
                <w:rFonts w:cs="Arial"/>
                <w:b/>
                <w:bCs/>
                <w:color w:val="000000"/>
                <w:szCs w:val="20"/>
              </w:rPr>
              <w:t>Graf č. 1</w:t>
            </w:r>
            <w:r>
              <w:rPr>
                <w:rFonts w:cs="Arial"/>
                <w:b/>
                <w:bCs/>
                <w:color w:val="000000"/>
                <w:szCs w:val="20"/>
              </w:rPr>
              <w:t xml:space="preserve"> </w:t>
            </w:r>
            <w:r w:rsidRPr="00D721B4">
              <w:rPr>
                <w:rFonts w:cs="Arial"/>
                <w:b/>
                <w:szCs w:val="20"/>
                <w:lang w:eastAsia="en-US"/>
              </w:rPr>
              <w:t xml:space="preserve">HDP </w:t>
            </w:r>
            <w:r w:rsidRPr="00D721B4">
              <w:rPr>
                <w:rFonts w:cs="Arial"/>
                <w:bCs/>
                <w:szCs w:val="20"/>
                <w:lang w:eastAsia="en-US"/>
              </w:rPr>
              <w:t>(objemové indexy, očištěno o sezónní a kalendářní vlivy, v %)</w:t>
            </w:r>
          </w:p>
        </w:tc>
      </w:tr>
      <w:tr w:rsidR="00BC7EFA" w:rsidRPr="009110F7" w14:paraId="7F3FA9C2" w14:textId="77777777" w:rsidTr="000C7A79">
        <w:tblPrEx>
          <w:tblCellMar>
            <w:left w:w="70" w:type="dxa"/>
            <w:right w:w="70" w:type="dxa"/>
          </w:tblCellMar>
        </w:tblPrEx>
        <w:trPr>
          <w:trHeight w:val="170"/>
        </w:trPr>
        <w:tc>
          <w:tcPr>
            <w:tcW w:w="1806" w:type="dxa"/>
            <w:vMerge/>
            <w:shd w:val="clear" w:color="auto" w:fill="auto"/>
          </w:tcPr>
          <w:p w14:paraId="6C6B02FC" w14:textId="77777777" w:rsidR="00BC7EFA" w:rsidRPr="009110F7" w:rsidRDefault="00BC7EFA" w:rsidP="000C7A79">
            <w:pPr>
              <w:pStyle w:val="Marginlie"/>
            </w:pPr>
          </w:p>
        </w:tc>
        <w:tc>
          <w:tcPr>
            <w:tcW w:w="223" w:type="dxa"/>
            <w:vMerge/>
            <w:shd w:val="clear" w:color="auto" w:fill="auto"/>
          </w:tcPr>
          <w:p w14:paraId="605E5EBA" w14:textId="77777777" w:rsidR="00BC7EFA" w:rsidRPr="009110F7" w:rsidRDefault="00BC7EFA" w:rsidP="000C7A79">
            <w:pPr>
              <w:pStyle w:val="Textpoznpodarou"/>
              <w:jc w:val="both"/>
              <w:rPr>
                <w:spacing w:val="-4"/>
              </w:rPr>
            </w:pPr>
          </w:p>
        </w:tc>
        <w:tc>
          <w:tcPr>
            <w:tcW w:w="7610" w:type="dxa"/>
            <w:shd w:val="clear" w:color="auto" w:fill="auto"/>
          </w:tcPr>
          <w:p w14:paraId="1F64F60A" w14:textId="77777777" w:rsidR="00BC7EFA" w:rsidRPr="009110F7" w:rsidRDefault="00BC7EFA" w:rsidP="000C7A79">
            <w:pPr>
              <w:spacing w:after="0"/>
            </w:pPr>
            <w:r>
              <w:rPr>
                <w:noProof/>
              </w:rPr>
              <w:drawing>
                <wp:inline distT="0" distB="0" distL="0" distR="0" wp14:anchorId="48C37D4D" wp14:editId="0EAAC15A">
                  <wp:extent cx="4737600" cy="3553200"/>
                  <wp:effectExtent l="0" t="0" r="6350" b="0"/>
                  <wp:docPr id="26" name="Graf 26">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BC7EFA" w:rsidRPr="009110F7" w14:paraId="5B173CD9" w14:textId="77777777" w:rsidTr="000C7A79">
        <w:trPr>
          <w:trHeight w:val="170"/>
        </w:trPr>
        <w:tc>
          <w:tcPr>
            <w:tcW w:w="1806" w:type="dxa"/>
            <w:vMerge/>
            <w:shd w:val="clear" w:color="auto" w:fill="auto"/>
            <w:tcMar>
              <w:left w:w="0" w:type="dxa"/>
            </w:tcMar>
          </w:tcPr>
          <w:p w14:paraId="4860664C" w14:textId="77777777" w:rsidR="00BC7EFA" w:rsidRPr="009110F7" w:rsidRDefault="00BC7EFA" w:rsidP="000C7A79">
            <w:pPr>
              <w:pStyle w:val="Marginlie"/>
            </w:pPr>
          </w:p>
        </w:tc>
        <w:tc>
          <w:tcPr>
            <w:tcW w:w="223" w:type="dxa"/>
            <w:vMerge/>
            <w:shd w:val="clear" w:color="auto" w:fill="auto"/>
            <w:tcMar>
              <w:left w:w="0" w:type="dxa"/>
            </w:tcMar>
          </w:tcPr>
          <w:p w14:paraId="35413DF6" w14:textId="77777777" w:rsidR="00BC7EFA" w:rsidRPr="009110F7" w:rsidRDefault="00BC7EFA" w:rsidP="000C7A79">
            <w:pPr>
              <w:pStyle w:val="Textpoznpodarou"/>
              <w:jc w:val="both"/>
              <w:rPr>
                <w:spacing w:val="-4"/>
              </w:rPr>
            </w:pPr>
          </w:p>
        </w:tc>
        <w:tc>
          <w:tcPr>
            <w:tcW w:w="7610" w:type="dxa"/>
            <w:shd w:val="clear" w:color="auto" w:fill="auto"/>
            <w:tcMar>
              <w:left w:w="0" w:type="dxa"/>
            </w:tcMar>
          </w:tcPr>
          <w:p w14:paraId="22F2E3BB" w14:textId="77777777" w:rsidR="00BC7EFA" w:rsidRPr="009110F7" w:rsidRDefault="00BC7EFA" w:rsidP="000C7A79">
            <w:pPr>
              <w:spacing w:after="220"/>
              <w:rPr>
                <w:sz w:val="14"/>
                <w:szCs w:val="14"/>
              </w:rPr>
            </w:pPr>
            <w:r>
              <w:rPr>
                <w:sz w:val="14"/>
                <w:szCs w:val="14"/>
              </w:rPr>
              <w:t>Zdroj: ČSÚ, Eurostat</w:t>
            </w:r>
          </w:p>
        </w:tc>
      </w:tr>
      <w:tr w:rsidR="00BC7EFA" w:rsidRPr="009110F7" w14:paraId="38A8BAAD" w14:textId="77777777" w:rsidTr="000C7A79">
        <w:trPr>
          <w:trHeight w:val="145"/>
        </w:trPr>
        <w:tc>
          <w:tcPr>
            <w:tcW w:w="1806" w:type="dxa"/>
            <w:shd w:val="clear" w:color="auto" w:fill="auto"/>
            <w:tcMar>
              <w:left w:w="0" w:type="dxa"/>
            </w:tcMar>
          </w:tcPr>
          <w:p w14:paraId="2586285A" w14:textId="77777777" w:rsidR="00BC7EFA" w:rsidRDefault="00BC7EFA" w:rsidP="000C7A79">
            <w:pPr>
              <w:pStyle w:val="Marginlie"/>
            </w:pPr>
            <w:r>
              <w:t xml:space="preserve">Zejména ekonomiky EU se silným podílem průmyslu se potýkají s problémy. </w:t>
            </w:r>
          </w:p>
        </w:tc>
        <w:tc>
          <w:tcPr>
            <w:tcW w:w="223" w:type="dxa"/>
            <w:shd w:val="clear" w:color="auto" w:fill="auto"/>
            <w:tcMar>
              <w:left w:w="0" w:type="dxa"/>
            </w:tcMar>
          </w:tcPr>
          <w:p w14:paraId="26C6BE2B" w14:textId="77777777" w:rsidR="00BC7EFA" w:rsidRDefault="00BC7EFA" w:rsidP="000C7A79">
            <w:pPr>
              <w:pStyle w:val="Textpoznpodarou"/>
              <w:jc w:val="both"/>
              <w:rPr>
                <w:spacing w:val="-4"/>
              </w:rPr>
            </w:pPr>
          </w:p>
        </w:tc>
        <w:tc>
          <w:tcPr>
            <w:tcW w:w="7610" w:type="dxa"/>
            <w:shd w:val="clear" w:color="auto" w:fill="auto"/>
            <w:tcMar>
              <w:left w:w="0" w:type="dxa"/>
            </w:tcMar>
          </w:tcPr>
          <w:p w14:paraId="317A3750" w14:textId="77D8924A" w:rsidR="00BC7EFA" w:rsidRDefault="00BC7EFA" w:rsidP="001F7931">
            <w:r>
              <w:t>Meziroční růst HDP v Evropské unii ve 2. čtvrtletí zpomalil na 4,</w:t>
            </w:r>
            <w:r w:rsidR="001F7931">
              <w:t>2</w:t>
            </w:r>
            <w:r>
              <w:t xml:space="preserve"> %</w:t>
            </w:r>
            <w:r>
              <w:rPr>
                <w:rStyle w:val="Znakapoznpodarou"/>
              </w:rPr>
              <w:footnoteReference w:id="2"/>
            </w:r>
            <w:r>
              <w:t>. Protirůstové faktory, jako je nedostatek součástek nebo rostoucí ceny energií, dopadaly především na země s velkým podílem průmyslu. Nejmenší meziroční přírůstek HDP tak mělo Estonsko (0,3 %), Slovensko (1,</w:t>
            </w:r>
            <w:r w:rsidR="001F7931">
              <w:t>7</w:t>
            </w:r>
            <w:r>
              <w:t xml:space="preserve"> %) a Německo (1,7 %). Pod celoevropským průměrem se umístilo i Česko. Naopak nejvíce rostl HDP</w:t>
            </w:r>
            <w:r w:rsidR="001F7931">
              <w:t xml:space="preserve"> v Irsku (10,8 %), </w:t>
            </w:r>
            <w:r>
              <w:t>na Maltě (8,9 %)</w:t>
            </w:r>
            <w:r w:rsidR="001F7931">
              <w:t xml:space="preserve"> a</w:t>
            </w:r>
            <w:r>
              <w:t xml:space="preserve"> ve Slovinsku (8,3 %) a nad celoevropským průměrem byly i velké ekonomiky Jihu, jako je Španělsko (6,3 %) a Itálie (4,</w:t>
            </w:r>
            <w:r w:rsidR="001F7931">
              <w:t>7</w:t>
            </w:r>
            <w:r>
              <w:t xml:space="preserve"> %). Mezičtvrtletně se HDP v EU zvýšil o 0,</w:t>
            </w:r>
            <w:r w:rsidR="001F7931">
              <w:t>7</w:t>
            </w:r>
            <w:r w:rsidR="000C7A79">
              <w:t> </w:t>
            </w:r>
            <w:r>
              <w:t>% a stabilní tempo si tak držel již třetí čtvrtletí. Mezičtvrtletně klesla polská (−2,1 %), estonská (−1,3 %), lotyšská (−1,0 %) a litevská ekonomika (−0,5 %). Stagnovalo Portugalsko a jen mírně rostl HDP v Německu (0,1 %). Největší mezičtvrtletní nárůst HDP proběhl v Nizozemsku (2,6 %), Rumunsku (2,1 %) a v Chorvatsku (2,0 %).</w:t>
            </w:r>
          </w:p>
        </w:tc>
      </w:tr>
      <w:tr w:rsidR="00BC7EFA" w:rsidRPr="009110F7" w14:paraId="2036D0E7" w14:textId="77777777" w:rsidTr="000C7A79">
        <w:trPr>
          <w:trHeight w:val="145"/>
        </w:trPr>
        <w:tc>
          <w:tcPr>
            <w:tcW w:w="1806" w:type="dxa"/>
            <w:shd w:val="clear" w:color="auto" w:fill="auto"/>
            <w:tcMar>
              <w:left w:w="0" w:type="dxa"/>
            </w:tcMar>
          </w:tcPr>
          <w:p w14:paraId="3C0E44AE" w14:textId="77777777" w:rsidR="00BC7EFA" w:rsidRDefault="00BC7EFA" w:rsidP="000C7A79">
            <w:pPr>
              <w:pStyle w:val="Marginlie"/>
            </w:pPr>
            <w:r>
              <w:lastRenderedPageBreak/>
              <w:t>Ani poměrně výrazný nárůst mezd a platů nepokryl navýšení cen.</w:t>
            </w:r>
          </w:p>
        </w:tc>
        <w:tc>
          <w:tcPr>
            <w:tcW w:w="223" w:type="dxa"/>
            <w:shd w:val="clear" w:color="auto" w:fill="auto"/>
            <w:tcMar>
              <w:left w:w="0" w:type="dxa"/>
            </w:tcMar>
          </w:tcPr>
          <w:p w14:paraId="0A6DAC25" w14:textId="77777777" w:rsidR="00BC7EFA" w:rsidRDefault="00BC7EFA" w:rsidP="000C7A79">
            <w:pPr>
              <w:pStyle w:val="Textpoznpodarou"/>
              <w:jc w:val="both"/>
              <w:rPr>
                <w:spacing w:val="-4"/>
              </w:rPr>
            </w:pPr>
          </w:p>
        </w:tc>
        <w:tc>
          <w:tcPr>
            <w:tcW w:w="7610" w:type="dxa"/>
            <w:shd w:val="clear" w:color="auto" w:fill="auto"/>
            <w:tcMar>
              <w:left w:w="0" w:type="dxa"/>
            </w:tcMar>
          </w:tcPr>
          <w:p w14:paraId="2C71AE41" w14:textId="1F0F238D" w:rsidR="00BC7EFA" w:rsidRPr="00014ED0" w:rsidRDefault="00BC7EFA" w:rsidP="000C7A79">
            <w:pPr>
              <w:rPr>
                <w:spacing w:val="-2"/>
              </w:rPr>
            </w:pPr>
            <w:r>
              <w:rPr>
                <w:spacing w:val="-2"/>
              </w:rPr>
              <w:t>Objem vyplacených mezd a platů ve 2. čtvrtletí 2022 meziročně vzrostl o 8,5 %. Celková zaměstnanost byla meziročně vyšší o 2,5 %</w:t>
            </w:r>
            <w:r w:rsidRPr="00014ED0">
              <w:rPr>
                <w:rStyle w:val="Znakapoznpodarou"/>
                <w:spacing w:val="-2"/>
              </w:rPr>
              <w:footnoteReference w:id="3"/>
            </w:r>
            <w:r>
              <w:rPr>
                <w:spacing w:val="-2"/>
              </w:rPr>
              <w:t>. Ačkoli byl nominální přírůstek mezd a platů poměrně výrazný, nestačil pokrýt prudce rostoucí cenovou hladinu a reálně tak objem mezd a platů klesl o 6,7 %</w:t>
            </w:r>
            <w:r>
              <w:rPr>
                <w:rStyle w:val="Znakapoznpodarou"/>
                <w:spacing w:val="-2"/>
              </w:rPr>
              <w:footnoteReference w:id="4"/>
            </w:r>
            <w:r>
              <w:rPr>
                <w:spacing w:val="-2"/>
              </w:rPr>
              <w:t>. S výjimkou odvětví s převahou vládního sektoru</w:t>
            </w:r>
            <w:r>
              <w:rPr>
                <w:rStyle w:val="Znakapoznpodarou"/>
                <w:spacing w:val="-2"/>
              </w:rPr>
              <w:footnoteReference w:id="5"/>
            </w:r>
            <w:r>
              <w:rPr>
                <w:spacing w:val="-2"/>
              </w:rPr>
              <w:t>, kde pod vlivem vysoké srovnávací základny</w:t>
            </w:r>
            <w:r>
              <w:rPr>
                <w:rStyle w:val="Znakapoznpodarou"/>
                <w:spacing w:val="-2"/>
              </w:rPr>
              <w:footnoteReference w:id="6"/>
            </w:r>
            <w:r>
              <w:rPr>
                <w:spacing w:val="-2"/>
              </w:rPr>
              <w:t xml:space="preserve"> vyplacené mzdy meziročně klesly o 4,9 %, odměny pracovníkům rostly v celé ekonomice. V některých odvětvích, především ve službách, bylo navýšení objemu mezd a platů podpořeno i náborem zaměstnanců. Největší meziroční přírůstek měly mzdy a platy v ostatních činnostech (24,1 % při růstu zaměstnanosti o 2,9 %), v uskupení obchod, doprava, ubytování a pohostinství (21,3 % při navýšení zaměstnanosti o 4,1 %), činnostech v oblasti nemovitostí (18,3 %, přírůstek zaměstnanosti o 6,4 %) a v informačních a komunikačních činnostech (16,0 % při růstu zaměstnanosti o 3,3 %). Silně rostl i objem mezd a platů vyplacených v profesních, vědeckých, technických a administrativních činnostech (10,9 % při růstu zaměstnanosti o 0,5 %), ve stavebnictví (10,6 %, zaměstnanost se zvýšila o 3,8 %) a ve zpracovatelském průmyslu (9,3 %, navýšení zaměstnanosti o 1,6 %). Pod celkovým průměrem byl přírůstek mezd a platů v zemědělství, lesnictví a rybářství (8,3 % při růstu zaměstnanosti o 3,0 %) a v peněžnictví a pojišťovnictví (6,7 %). Peněžnictví a</w:t>
            </w:r>
            <w:r w:rsidR="000C7A79">
              <w:rPr>
                <w:spacing w:val="-2"/>
              </w:rPr>
              <w:t> </w:t>
            </w:r>
            <w:r>
              <w:rPr>
                <w:spacing w:val="-2"/>
              </w:rPr>
              <w:t>pojišťovnictví také bylo jediným odvětvím, kde meziročně klesla zaměstnanost (−1,4</w:t>
            </w:r>
            <w:r w:rsidR="000C7A79">
              <w:rPr>
                <w:spacing w:val="-2"/>
              </w:rPr>
              <w:t> </w:t>
            </w:r>
            <w:r>
              <w:rPr>
                <w:spacing w:val="-2"/>
              </w:rPr>
              <w:t xml:space="preserve">%).  </w:t>
            </w:r>
          </w:p>
        </w:tc>
      </w:tr>
      <w:tr w:rsidR="00BC7EFA" w:rsidRPr="009110F7" w14:paraId="73254951" w14:textId="77777777" w:rsidTr="000C7A79">
        <w:trPr>
          <w:trHeight w:val="170"/>
        </w:trPr>
        <w:tc>
          <w:tcPr>
            <w:tcW w:w="1806" w:type="dxa"/>
            <w:vMerge w:val="restart"/>
            <w:shd w:val="clear" w:color="auto" w:fill="auto"/>
            <w:tcMar>
              <w:left w:w="0" w:type="dxa"/>
            </w:tcMar>
          </w:tcPr>
          <w:p w14:paraId="71F8E6DC" w14:textId="77777777" w:rsidR="00BC7EFA" w:rsidRDefault="00BC7EFA" w:rsidP="000C7A79">
            <w:pPr>
              <w:pStyle w:val="Marginlie"/>
            </w:pPr>
          </w:p>
        </w:tc>
        <w:tc>
          <w:tcPr>
            <w:tcW w:w="223" w:type="dxa"/>
            <w:vMerge w:val="restart"/>
            <w:shd w:val="clear" w:color="auto" w:fill="auto"/>
            <w:tcMar>
              <w:left w:w="0" w:type="dxa"/>
            </w:tcMar>
          </w:tcPr>
          <w:p w14:paraId="74BD87EB" w14:textId="77777777" w:rsidR="00BC7EFA" w:rsidRDefault="00BC7EFA" w:rsidP="000C7A79">
            <w:pPr>
              <w:pStyle w:val="Textpoznpodarou"/>
              <w:jc w:val="both"/>
              <w:rPr>
                <w:spacing w:val="-4"/>
              </w:rPr>
            </w:pPr>
          </w:p>
        </w:tc>
        <w:tc>
          <w:tcPr>
            <w:tcW w:w="7610" w:type="dxa"/>
            <w:shd w:val="clear" w:color="auto" w:fill="auto"/>
            <w:tcMar>
              <w:left w:w="0" w:type="dxa"/>
            </w:tcMar>
          </w:tcPr>
          <w:p w14:paraId="26144845" w14:textId="77777777" w:rsidR="00BC7EFA" w:rsidRPr="00D721B4" w:rsidRDefault="00BC7EFA" w:rsidP="000C7A79">
            <w:pPr>
              <w:spacing w:after="0"/>
              <w:rPr>
                <w:szCs w:val="20"/>
              </w:rPr>
            </w:pPr>
            <w:r w:rsidRPr="00D721B4">
              <w:rPr>
                <w:b/>
                <w:szCs w:val="20"/>
              </w:rPr>
              <w:t>Graf č. 2</w:t>
            </w:r>
            <w:r>
              <w:rPr>
                <w:b/>
                <w:szCs w:val="20"/>
              </w:rPr>
              <w:t xml:space="preserve"> </w:t>
            </w:r>
            <w:r w:rsidRPr="00D721B4">
              <w:rPr>
                <w:rFonts w:cs="Arial"/>
                <w:b/>
                <w:szCs w:val="20"/>
                <w:lang w:eastAsia="en-US"/>
              </w:rPr>
              <w:t xml:space="preserve">Příspěvky výdajových složek k reálné změně HDP* </w:t>
            </w:r>
            <w:r w:rsidRPr="00D721B4">
              <w:rPr>
                <w:rFonts w:cs="Arial"/>
                <w:bCs/>
                <w:szCs w:val="20"/>
                <w:lang w:eastAsia="en-US"/>
              </w:rPr>
              <w:t>(objemové indexy, meziroční růst, příspěvky v p. b., HDP v %)</w:t>
            </w:r>
          </w:p>
        </w:tc>
      </w:tr>
      <w:tr w:rsidR="00BC7EFA" w:rsidRPr="009110F7" w14:paraId="7377F301" w14:textId="77777777" w:rsidTr="000C7A79">
        <w:tblPrEx>
          <w:tblCellMar>
            <w:left w:w="70" w:type="dxa"/>
            <w:right w:w="70" w:type="dxa"/>
          </w:tblCellMar>
        </w:tblPrEx>
        <w:trPr>
          <w:trHeight w:val="170"/>
        </w:trPr>
        <w:tc>
          <w:tcPr>
            <w:tcW w:w="1806" w:type="dxa"/>
            <w:vMerge/>
            <w:shd w:val="clear" w:color="auto" w:fill="auto"/>
          </w:tcPr>
          <w:p w14:paraId="787AA8DA" w14:textId="77777777" w:rsidR="00BC7EFA" w:rsidRDefault="00BC7EFA" w:rsidP="000C7A79">
            <w:pPr>
              <w:pStyle w:val="Marginlie"/>
            </w:pPr>
          </w:p>
        </w:tc>
        <w:tc>
          <w:tcPr>
            <w:tcW w:w="223" w:type="dxa"/>
            <w:vMerge/>
            <w:shd w:val="clear" w:color="auto" w:fill="auto"/>
          </w:tcPr>
          <w:p w14:paraId="14AC99ED" w14:textId="77777777" w:rsidR="00BC7EFA" w:rsidRDefault="00BC7EFA" w:rsidP="000C7A79">
            <w:pPr>
              <w:pStyle w:val="Textpoznpodarou"/>
              <w:jc w:val="both"/>
              <w:rPr>
                <w:spacing w:val="-4"/>
              </w:rPr>
            </w:pPr>
          </w:p>
        </w:tc>
        <w:tc>
          <w:tcPr>
            <w:tcW w:w="7610" w:type="dxa"/>
            <w:shd w:val="clear" w:color="auto" w:fill="auto"/>
          </w:tcPr>
          <w:p w14:paraId="3C99CDC6" w14:textId="77777777" w:rsidR="00BC7EFA" w:rsidRDefault="00BC7EFA" w:rsidP="000C7A79">
            <w:pPr>
              <w:spacing w:after="0"/>
            </w:pPr>
            <w:r>
              <w:rPr>
                <w:noProof/>
              </w:rPr>
              <w:drawing>
                <wp:inline distT="0" distB="0" distL="0" distR="0" wp14:anchorId="47C84D05" wp14:editId="6A3FA2EA">
                  <wp:extent cx="4737600" cy="3553200"/>
                  <wp:effectExtent l="0" t="0" r="6350" b="0"/>
                  <wp:docPr id="27" name="Graf 27">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BC7EFA" w:rsidRPr="009110F7" w14:paraId="2E06C547" w14:textId="77777777" w:rsidTr="000C7A79">
        <w:trPr>
          <w:trHeight w:val="170"/>
        </w:trPr>
        <w:tc>
          <w:tcPr>
            <w:tcW w:w="1806" w:type="dxa"/>
            <w:vMerge/>
            <w:shd w:val="clear" w:color="auto" w:fill="auto"/>
            <w:tcMar>
              <w:left w:w="0" w:type="dxa"/>
            </w:tcMar>
          </w:tcPr>
          <w:p w14:paraId="5BB2518B" w14:textId="77777777" w:rsidR="00BC7EFA" w:rsidRDefault="00BC7EFA" w:rsidP="000C7A79">
            <w:pPr>
              <w:pStyle w:val="Marginlie"/>
            </w:pPr>
          </w:p>
        </w:tc>
        <w:tc>
          <w:tcPr>
            <w:tcW w:w="223" w:type="dxa"/>
            <w:vMerge/>
            <w:shd w:val="clear" w:color="auto" w:fill="auto"/>
            <w:tcMar>
              <w:left w:w="0" w:type="dxa"/>
            </w:tcMar>
          </w:tcPr>
          <w:p w14:paraId="62EF15CA" w14:textId="77777777" w:rsidR="00BC7EFA" w:rsidRDefault="00BC7EFA" w:rsidP="000C7A79">
            <w:pPr>
              <w:pStyle w:val="Textpoznpodarou"/>
              <w:jc w:val="both"/>
              <w:rPr>
                <w:spacing w:val="-4"/>
              </w:rPr>
            </w:pPr>
          </w:p>
        </w:tc>
        <w:tc>
          <w:tcPr>
            <w:tcW w:w="7610" w:type="dxa"/>
            <w:shd w:val="clear" w:color="auto" w:fill="auto"/>
            <w:tcMar>
              <w:left w:w="0" w:type="dxa"/>
            </w:tcMar>
          </w:tcPr>
          <w:p w14:paraId="0923CD7D" w14:textId="77777777" w:rsidR="00BC7EFA" w:rsidRDefault="00BC7EFA" w:rsidP="000C7A79">
            <w:pPr>
              <w:spacing w:after="0"/>
              <w:rPr>
                <w:sz w:val="14"/>
                <w:szCs w:val="14"/>
              </w:rPr>
            </w:pPr>
            <w:r>
              <w:rPr>
                <w:sz w:val="14"/>
                <w:szCs w:val="14"/>
              </w:rPr>
              <w:t>Zdroj: ČSÚ</w:t>
            </w:r>
          </w:p>
          <w:p w14:paraId="3D8EE57D" w14:textId="77777777" w:rsidR="00BC7EFA" w:rsidRDefault="00BC7EFA" w:rsidP="000C7A79">
            <w:r>
              <w:rPr>
                <w:sz w:val="14"/>
                <w:szCs w:val="14"/>
              </w:rPr>
              <w:t>* po vyloučení dovozu pro konečné užití</w:t>
            </w:r>
          </w:p>
        </w:tc>
      </w:tr>
      <w:tr w:rsidR="00BC7EFA" w:rsidRPr="009110F7" w14:paraId="7F74F926" w14:textId="77777777" w:rsidTr="000C7A79">
        <w:trPr>
          <w:trHeight w:val="145"/>
        </w:trPr>
        <w:tc>
          <w:tcPr>
            <w:tcW w:w="1806" w:type="dxa"/>
            <w:shd w:val="clear" w:color="auto" w:fill="auto"/>
            <w:tcMar>
              <w:left w:w="0" w:type="dxa"/>
            </w:tcMar>
          </w:tcPr>
          <w:p w14:paraId="54CAF89A" w14:textId="77777777" w:rsidR="00BC7EFA" w:rsidRDefault="00BC7EFA" w:rsidP="000C7A79">
            <w:pPr>
              <w:pStyle w:val="Marginlie"/>
            </w:pPr>
            <w:r>
              <w:t>Domácí spotřeba meziročně rostla jen mírně.</w:t>
            </w:r>
          </w:p>
        </w:tc>
        <w:tc>
          <w:tcPr>
            <w:tcW w:w="223" w:type="dxa"/>
            <w:shd w:val="clear" w:color="auto" w:fill="auto"/>
            <w:tcMar>
              <w:left w:w="0" w:type="dxa"/>
            </w:tcMar>
          </w:tcPr>
          <w:p w14:paraId="09B0148D" w14:textId="77777777" w:rsidR="00BC7EFA" w:rsidRDefault="00BC7EFA" w:rsidP="000C7A79">
            <w:pPr>
              <w:pStyle w:val="Textpoznpodarou"/>
              <w:jc w:val="both"/>
              <w:rPr>
                <w:spacing w:val="-4"/>
              </w:rPr>
            </w:pPr>
          </w:p>
        </w:tc>
        <w:tc>
          <w:tcPr>
            <w:tcW w:w="7610" w:type="dxa"/>
            <w:shd w:val="clear" w:color="auto" w:fill="auto"/>
            <w:tcMar>
              <w:left w:w="0" w:type="dxa"/>
            </w:tcMar>
          </w:tcPr>
          <w:p w14:paraId="43110837" w14:textId="63430160" w:rsidR="00BC7EFA" w:rsidRDefault="00BC7EFA" w:rsidP="002F357F">
            <w:r>
              <w:rPr>
                <w:spacing w:val="-2"/>
              </w:rPr>
              <w:t>Domácí spotřeba byla ve 2. čtvrtletí meziročně vyšší o 0,7 %. To představovalo výrazné oslabení oproti předcházejícím čtyřem kvartálům, které byly ovlivněny slabou srovnávací základnou. V loňském 2. kvartálu bylo totiž zrušení restrikcí a otevření maloobchodu a</w:t>
            </w:r>
            <w:r w:rsidR="002F357F">
              <w:rPr>
                <w:spacing w:val="-2"/>
              </w:rPr>
              <w:t> </w:t>
            </w:r>
            <w:r>
              <w:rPr>
                <w:spacing w:val="-2"/>
              </w:rPr>
              <w:t xml:space="preserve">služeb spojeno také s masivní realizací odložené spotřeby domácností. Ve 2. čtvrtletí </w:t>
            </w:r>
            <w:r>
              <w:rPr>
                <w:spacing w:val="-2"/>
              </w:rPr>
              <w:lastRenderedPageBreak/>
              <w:t>spotřeba domácností meziročně stagnovala (0,2 %) a spotřeba vládních institucí mírně rostla (1,8 %). Celkový příspěvek spotřeby</w:t>
            </w:r>
            <w:r w:rsidRPr="00014ED0">
              <w:rPr>
                <w:rStyle w:val="Znakapoznpodarou"/>
                <w:spacing w:val="-2"/>
              </w:rPr>
              <w:footnoteReference w:id="7"/>
            </w:r>
            <w:r>
              <w:rPr>
                <w:spacing w:val="-2"/>
              </w:rPr>
              <w:t xml:space="preserve"> k meziročnímu růstu HDP dosáhl 0,4 p. b. Domácí spotřeba mezičtvrtletně klesla o 0,2 %, potřetí v řadě. Obavy domácností z růstu cen a dalšího ekonomického vývoje se překlopily do reálného propadu jejich příjmů, což spotřebu přirozeně negativně ovlivnilo. Přesto se mezičtvrtletní pokles zmírnil oproti předchozím dvěma kvartálům. Spotřeba domácností byla nižší o 0,1 %, zatímco vládní výdaje zaostávaly o 0,4 %. Z pohledu trvanlivosti nejvíce meziročně klesala spotřeba předmětů dlouhodobé spotřeby (−9,6 %)</w:t>
            </w:r>
            <w:r>
              <w:rPr>
                <w:rStyle w:val="Znakapoznpodarou"/>
              </w:rPr>
              <w:footnoteReference w:id="8"/>
            </w:r>
            <w:r>
              <w:rPr>
                <w:spacing w:val="-2"/>
              </w:rPr>
              <w:t xml:space="preserve">. Na obavy domácností z dalšího vývoje ukazuje i silný mezičtvrtletní propad (−12,1 %) u této kategorie. Spotřeba netrvanlivého zboží byla meziročně nižší o 7,5 % a střednědobých statků o 4,2 %. Naproti tomu pokračoval výrazný meziroční růst spotřeby služeb (12,2 %). Službám se navzdory nejistotě domácností zatím propad vyhýbá. </w:t>
            </w:r>
          </w:p>
        </w:tc>
      </w:tr>
      <w:tr w:rsidR="00BC7EFA" w:rsidRPr="009110F7" w14:paraId="75623131" w14:textId="77777777" w:rsidTr="000C7A79">
        <w:trPr>
          <w:trHeight w:val="145"/>
        </w:trPr>
        <w:tc>
          <w:tcPr>
            <w:tcW w:w="1806" w:type="dxa"/>
            <w:shd w:val="clear" w:color="auto" w:fill="auto"/>
            <w:tcMar>
              <w:left w:w="0" w:type="dxa"/>
            </w:tcMar>
          </w:tcPr>
          <w:p w14:paraId="45871879" w14:textId="77777777" w:rsidR="00BC7EFA" w:rsidRDefault="00BC7EFA" w:rsidP="000C7A79">
            <w:pPr>
              <w:pStyle w:val="Marginlie"/>
            </w:pPr>
            <w:r>
              <w:lastRenderedPageBreak/>
              <w:t>Rostly investice do ostatních budov a staveb a také strojů a zařízení.</w:t>
            </w:r>
          </w:p>
        </w:tc>
        <w:tc>
          <w:tcPr>
            <w:tcW w:w="223" w:type="dxa"/>
            <w:shd w:val="clear" w:color="auto" w:fill="auto"/>
            <w:tcMar>
              <w:left w:w="0" w:type="dxa"/>
            </w:tcMar>
          </w:tcPr>
          <w:p w14:paraId="6AC2A28F" w14:textId="77777777" w:rsidR="00BC7EFA" w:rsidRDefault="00BC7EFA" w:rsidP="000C7A79">
            <w:pPr>
              <w:pStyle w:val="Textpoznpodarou"/>
              <w:jc w:val="both"/>
              <w:rPr>
                <w:spacing w:val="-4"/>
              </w:rPr>
            </w:pPr>
          </w:p>
        </w:tc>
        <w:tc>
          <w:tcPr>
            <w:tcW w:w="7610" w:type="dxa"/>
            <w:shd w:val="clear" w:color="auto" w:fill="auto"/>
            <w:tcMar>
              <w:left w:w="0" w:type="dxa"/>
            </w:tcMar>
          </w:tcPr>
          <w:p w14:paraId="47E34887" w14:textId="1C813991" w:rsidR="00BC7EFA" w:rsidRDefault="00BC7EFA" w:rsidP="002F357F">
            <w:r>
              <w:t>Výdaje na tvorbu hrubého kapitálu se ve 2. čtvrtletí meziročně zvýšily o 12,8 %. Z toho tvorba hrubého fixního kapitálu vzrostla o 6,2 %. K meziročnímu růstu HDP tvorba hrubého kapitálu přispěla 3,8 p. b. Růst hrubého kapitálu i celkového HDP tak výrazně ovlivnila tvorba zásob</w:t>
            </w:r>
            <w:r>
              <w:rPr>
                <w:rStyle w:val="Znakapoznpodarou"/>
              </w:rPr>
              <w:footnoteReference w:id="9"/>
            </w:r>
            <w:r>
              <w:t>. Ta je posílená už více než rok v souvislosti s nedostatkem součástek v průmyslu. Podniky tak hromadily hotové výrobky čekající na dodávky a</w:t>
            </w:r>
            <w:r w:rsidR="002F357F">
              <w:t> </w:t>
            </w:r>
            <w:r>
              <w:t xml:space="preserve">finalizaci. Tato situace se částečně zlepšila, ale podniky nově cítí potřebu zásobit se materiálem pro případ dalších výpadků, ale také kvůli prudce rostoucím cenám. Mezičtvrtletně se výdaje na tvorbu hrubého kapitálu zvýšily o 3,0 %. Přitom tvorba hrubého fixního kapitálu vzrostla o 0,7 %. Také mezičtvrtletnímu srovnání tak silně napomohla tvorba zásob. Podle údajů o věcném členění tvorby hrubého fixního kapitálu se nejvíce meziročně zvýšily investice do dopravních prostředků a zařízení (17,5 %), dále do ostatních budov a staveb (7,4 %) a ICT a ostatních strojů a zařízení (4,7 %). Investice do obydlí byly vyšší o 4,6 % a o 3,7 % narostly výdaje na produkty duševního vlastnictví. Meziroční dynamice ale v některých případech pomohlo srovnání se slabším loňským 2. kvartálem. Mezičtvrtletní vývoj totiž ukázal na výrazný pokles výdajů na obydlí (−2,5 %) a snížení investic do dopravních prostředků a zařízení (−0,3 %). Výrazně mezičtvrtletně rostly investice do ostatních budov a staveb (3,1 %) a ICT a ostatních strojů a zařízení (1,6 %).    </w:t>
            </w:r>
          </w:p>
        </w:tc>
      </w:tr>
      <w:tr w:rsidR="00BC7EFA" w:rsidRPr="009110F7" w14:paraId="0BD0876D" w14:textId="77777777" w:rsidTr="000C7A79">
        <w:trPr>
          <w:trHeight w:val="145"/>
        </w:trPr>
        <w:tc>
          <w:tcPr>
            <w:tcW w:w="1806" w:type="dxa"/>
            <w:shd w:val="clear" w:color="auto" w:fill="auto"/>
            <w:tcMar>
              <w:left w:w="0" w:type="dxa"/>
            </w:tcMar>
          </w:tcPr>
          <w:p w14:paraId="53060FF3" w14:textId="77777777" w:rsidR="00BC7EFA" w:rsidRDefault="00BC7EFA" w:rsidP="000C7A79">
            <w:pPr>
              <w:pStyle w:val="Marginlie"/>
            </w:pPr>
            <w:r>
              <w:t xml:space="preserve">Bilance zahraničního obchodu se zbožím </w:t>
            </w:r>
            <w:r>
              <w:br/>
              <w:t>a službami se propadla do deficitu.</w:t>
            </w:r>
          </w:p>
        </w:tc>
        <w:tc>
          <w:tcPr>
            <w:tcW w:w="223" w:type="dxa"/>
            <w:shd w:val="clear" w:color="auto" w:fill="auto"/>
            <w:tcMar>
              <w:left w:w="0" w:type="dxa"/>
            </w:tcMar>
          </w:tcPr>
          <w:p w14:paraId="2A9EAD87" w14:textId="77777777" w:rsidR="00BC7EFA" w:rsidRDefault="00BC7EFA" w:rsidP="000C7A79">
            <w:pPr>
              <w:pStyle w:val="Textpoznpodarou"/>
              <w:jc w:val="both"/>
              <w:rPr>
                <w:spacing w:val="-4"/>
              </w:rPr>
            </w:pPr>
          </w:p>
        </w:tc>
        <w:tc>
          <w:tcPr>
            <w:tcW w:w="7610" w:type="dxa"/>
            <w:shd w:val="clear" w:color="auto" w:fill="auto"/>
            <w:tcMar>
              <w:left w:w="0" w:type="dxa"/>
            </w:tcMar>
          </w:tcPr>
          <w:p w14:paraId="2473DC20" w14:textId="42CF8BE4" w:rsidR="00BC7EFA" w:rsidRDefault="00BC7EFA" w:rsidP="000C7A79">
            <w:r>
              <w:t>Vývoz zboží a služeb se meziročně reálně zvýšil o 1,8 %</w:t>
            </w:r>
            <w:r w:rsidRPr="009110F7">
              <w:rPr>
                <w:rStyle w:val="Znakapoznpodarou"/>
              </w:rPr>
              <w:footnoteReference w:id="10"/>
            </w:r>
            <w:r>
              <w:t xml:space="preserve">. Rostl výhradně export služeb (15,7 %), který se v posledním roce stabilně zotavuje z pandemického propadu. Oproti tomu vývoz zboží dál meziročně klesal (−0,6 %). Meziroční přírůstek dovozu zboží a služeb dosáhl 2,7 % a opět tak překonal dynamiku vývozu. Mezičtvrtletně se vývoz zboží a služeb reálně zvýšil o 1,2 %. Mírně se zvýšil export zboží (0,5 %), ale službám se dařilo mnohem výrazněji (4,9 %). Dovoz byl mezičtvrtletně vyšší o 1,8 %, z toho import zboží vzrostl o 1,1 % a služeb o 5,7 %. Výsledná bilance obchodu se zbožím a službami se meziročně zhoršila o 77,3 mld. korun a spadla tak do deficitu 25,8 mld. </w:t>
            </w:r>
            <w:r w:rsidR="00005219">
              <w:t>Jde o první schodek bilance od 2. čtvrtletí roku 2004</w:t>
            </w:r>
            <w:r>
              <w:t>. Deficitní byla bilance obchodu se zbožím (−55,7 mld. korun), naopak obchod se službami dosáhl přebytku 29,9 mld.</w:t>
            </w:r>
          </w:p>
        </w:tc>
      </w:tr>
      <w:tr w:rsidR="00BC7EFA" w:rsidRPr="009110F7" w14:paraId="4A513668" w14:textId="77777777" w:rsidTr="000C7A79">
        <w:trPr>
          <w:trHeight w:val="145"/>
        </w:trPr>
        <w:tc>
          <w:tcPr>
            <w:tcW w:w="1806" w:type="dxa"/>
            <w:shd w:val="clear" w:color="auto" w:fill="auto"/>
            <w:tcMar>
              <w:left w:w="0" w:type="dxa"/>
            </w:tcMar>
          </w:tcPr>
          <w:p w14:paraId="59E8253B" w14:textId="77777777" w:rsidR="00BC7EFA" w:rsidRDefault="00BC7EFA" w:rsidP="000C7A79">
            <w:pPr>
              <w:pStyle w:val="Marginlie"/>
            </w:pPr>
            <w:r>
              <w:t>Ve většině odvětví se HPH meziročně zvyšovala.</w:t>
            </w:r>
          </w:p>
        </w:tc>
        <w:tc>
          <w:tcPr>
            <w:tcW w:w="223" w:type="dxa"/>
            <w:shd w:val="clear" w:color="auto" w:fill="auto"/>
            <w:tcMar>
              <w:left w:w="0" w:type="dxa"/>
            </w:tcMar>
          </w:tcPr>
          <w:p w14:paraId="39E930F6" w14:textId="77777777" w:rsidR="00BC7EFA" w:rsidRDefault="00BC7EFA" w:rsidP="000C7A79">
            <w:pPr>
              <w:pStyle w:val="Textpoznpodarou"/>
              <w:jc w:val="both"/>
              <w:rPr>
                <w:spacing w:val="-4"/>
              </w:rPr>
            </w:pPr>
          </w:p>
        </w:tc>
        <w:tc>
          <w:tcPr>
            <w:tcW w:w="7610" w:type="dxa"/>
            <w:shd w:val="clear" w:color="auto" w:fill="auto"/>
            <w:tcMar>
              <w:left w:w="0" w:type="dxa"/>
            </w:tcMar>
          </w:tcPr>
          <w:p w14:paraId="42080FC1" w14:textId="77777777" w:rsidR="00BC7EFA" w:rsidRPr="00F93F2C" w:rsidRDefault="00BC7EFA" w:rsidP="000C7A79">
            <w:r>
              <w:t xml:space="preserve">Hrubá přidaná hodnota (HPH) ve 2. čtvrtletí meziročně vzrostla o 3,4 %. Meziroční srovnání neovlivňuje nízká srovnávací základna do takové míry jako v předchozích kvartálech. S výjimkou zemědělství, lesnictví a rybářství (−0,7 %) se meziročně zvyšovala HPH u všech odvětví. Dařilo se zejména službám. Především u ostatních činností je na přírůstku patrný vliv nízké srovnávací základny (17,1 %), protože se </w:t>
            </w:r>
            <w:r>
              <w:lastRenderedPageBreak/>
              <w:t xml:space="preserve">odvětví loni teprve začalo zotavovat z pandemického propadu. Výrazně v letošním 2. kvartálu rostla HPH v uskupení obchod, doprava, ubytování a pohostinství (7,7 %), v informačních a komunikačních činnostech (6,6 %), profesních, vědeckých, technických a administrativních činnostech (5,7 %) a ve stavebnictví (5,1 %). V peněžnictví a pojišťovnictví se HPH meziročně zvýšila o 3,2 % a v odvětvích s převahou vládního sektoru o 1,1 %. Po více než dvou letech poklesů se mírně meziročně zvýšila HPH v činnostech v oblasti nemovitostí (0,8 %). Zpracovatelský průmysl také po dvou poklesech opět mírně vzrostl (0,8 %). </w:t>
            </w:r>
          </w:p>
        </w:tc>
      </w:tr>
      <w:tr w:rsidR="00BC7EFA" w:rsidRPr="009110F7" w14:paraId="11B15F5C" w14:textId="77777777" w:rsidTr="000C7A79">
        <w:trPr>
          <w:trHeight w:val="145"/>
        </w:trPr>
        <w:tc>
          <w:tcPr>
            <w:tcW w:w="1806" w:type="dxa"/>
            <w:shd w:val="clear" w:color="auto" w:fill="auto"/>
            <w:tcMar>
              <w:left w:w="0" w:type="dxa"/>
            </w:tcMar>
          </w:tcPr>
          <w:p w14:paraId="28A0FEB6" w14:textId="77777777" w:rsidR="00BC7EFA" w:rsidRDefault="00BC7EFA" w:rsidP="000C7A79">
            <w:pPr>
              <w:pStyle w:val="Marginlie"/>
            </w:pPr>
            <w:r>
              <w:lastRenderedPageBreak/>
              <w:t xml:space="preserve">Část služeb vykázala výrazné mezičtvrtletní oživení HPH. </w:t>
            </w:r>
          </w:p>
        </w:tc>
        <w:tc>
          <w:tcPr>
            <w:tcW w:w="223" w:type="dxa"/>
            <w:shd w:val="clear" w:color="auto" w:fill="auto"/>
            <w:tcMar>
              <w:left w:w="0" w:type="dxa"/>
            </w:tcMar>
          </w:tcPr>
          <w:p w14:paraId="4358582B" w14:textId="77777777" w:rsidR="00BC7EFA" w:rsidRDefault="00BC7EFA" w:rsidP="000C7A79">
            <w:pPr>
              <w:pStyle w:val="Textpoznpodarou"/>
              <w:jc w:val="both"/>
              <w:rPr>
                <w:spacing w:val="-4"/>
              </w:rPr>
            </w:pPr>
          </w:p>
        </w:tc>
        <w:tc>
          <w:tcPr>
            <w:tcW w:w="7610" w:type="dxa"/>
            <w:shd w:val="clear" w:color="auto" w:fill="auto"/>
            <w:tcMar>
              <w:left w:w="0" w:type="dxa"/>
            </w:tcMar>
          </w:tcPr>
          <w:p w14:paraId="2F3B5179" w14:textId="77777777" w:rsidR="00BC7EFA" w:rsidRDefault="00BC7EFA" w:rsidP="000C7A79">
            <w:r>
              <w:t xml:space="preserve">Ve srovnání s předchozím čtvrtletím se HPH zvýšila o 0,5 %. Rostla většina odvětví s výjimkou stavebnictví (−1,1 %), činností v oblasti nemovitostí (−0,5 %) a odvětví s převahou vládního sektoru (−0,3 %). Výrazné oživení HPH vykázaly profesní, vědecké, technické a administrativní činnosti (3,5 %), informační a komunikační činnosti (2,4 %), ostatní činnosti (2,4 %) a zemědělství, lesnictví a rybářství (2,3 %). Mírně mezičtvrtletně rostla HPH v peněžnictví a pojišťovnictví (0,5 %), v uskupení obchod, doprava, ubytování a pohostinství (0,4 %) a také ve zpracovatelském průmyslu (0,3 %).   </w:t>
            </w:r>
          </w:p>
        </w:tc>
      </w:tr>
      <w:tr w:rsidR="00BC7EFA" w:rsidRPr="009110F7" w14:paraId="4FAAF0C0" w14:textId="77777777" w:rsidTr="000C7A79">
        <w:trPr>
          <w:trHeight w:val="170"/>
        </w:trPr>
        <w:tc>
          <w:tcPr>
            <w:tcW w:w="1806" w:type="dxa"/>
            <w:vMerge w:val="restart"/>
            <w:shd w:val="clear" w:color="auto" w:fill="auto"/>
            <w:tcMar>
              <w:left w:w="0" w:type="dxa"/>
            </w:tcMar>
          </w:tcPr>
          <w:p w14:paraId="5CA3FC13" w14:textId="77777777" w:rsidR="00BC7EFA" w:rsidRDefault="00BC7EFA" w:rsidP="000C7A79">
            <w:pPr>
              <w:pStyle w:val="Marginlie"/>
            </w:pPr>
          </w:p>
        </w:tc>
        <w:tc>
          <w:tcPr>
            <w:tcW w:w="223" w:type="dxa"/>
            <w:vMerge w:val="restart"/>
            <w:shd w:val="clear" w:color="auto" w:fill="auto"/>
            <w:tcMar>
              <w:left w:w="0" w:type="dxa"/>
            </w:tcMar>
          </w:tcPr>
          <w:p w14:paraId="1A0A52D3" w14:textId="77777777" w:rsidR="00BC7EFA" w:rsidRDefault="00BC7EFA" w:rsidP="000C7A79">
            <w:pPr>
              <w:pStyle w:val="Textpoznpodarou"/>
              <w:jc w:val="both"/>
              <w:rPr>
                <w:spacing w:val="-4"/>
              </w:rPr>
            </w:pPr>
          </w:p>
        </w:tc>
        <w:tc>
          <w:tcPr>
            <w:tcW w:w="7610" w:type="dxa"/>
            <w:shd w:val="clear" w:color="auto" w:fill="auto"/>
            <w:tcMar>
              <w:left w:w="0" w:type="dxa"/>
            </w:tcMar>
          </w:tcPr>
          <w:p w14:paraId="19182E0A" w14:textId="77777777" w:rsidR="00BC7EFA" w:rsidRPr="00D721B4" w:rsidRDefault="00BC7EFA" w:rsidP="000C7A79">
            <w:pPr>
              <w:spacing w:after="0"/>
              <w:rPr>
                <w:szCs w:val="20"/>
              </w:rPr>
            </w:pPr>
            <w:r w:rsidRPr="00D721B4">
              <w:rPr>
                <w:b/>
                <w:szCs w:val="20"/>
              </w:rPr>
              <w:t>Graf č. 3</w:t>
            </w:r>
            <w:r>
              <w:rPr>
                <w:b/>
                <w:szCs w:val="20"/>
              </w:rPr>
              <w:t xml:space="preserve"> </w:t>
            </w:r>
            <w:r w:rsidRPr="00D721B4">
              <w:rPr>
                <w:rFonts w:cs="Arial"/>
                <w:b/>
                <w:szCs w:val="20"/>
                <w:lang w:eastAsia="en-US"/>
              </w:rPr>
              <w:t xml:space="preserve">Příspěvky odvětví k reálné změně HPH </w:t>
            </w:r>
            <w:r w:rsidRPr="00D721B4">
              <w:rPr>
                <w:rFonts w:cs="Arial"/>
                <w:bCs/>
                <w:szCs w:val="20"/>
                <w:lang w:eastAsia="en-US"/>
              </w:rPr>
              <w:t>(objemové indexy, meziroční příspěvky v p. b., HPH v %)</w:t>
            </w:r>
          </w:p>
        </w:tc>
      </w:tr>
      <w:tr w:rsidR="00BC7EFA" w:rsidRPr="009110F7" w14:paraId="643F9223" w14:textId="77777777" w:rsidTr="000C7A79">
        <w:tblPrEx>
          <w:tblCellMar>
            <w:left w:w="70" w:type="dxa"/>
            <w:right w:w="70" w:type="dxa"/>
          </w:tblCellMar>
        </w:tblPrEx>
        <w:trPr>
          <w:trHeight w:val="170"/>
        </w:trPr>
        <w:tc>
          <w:tcPr>
            <w:tcW w:w="1806" w:type="dxa"/>
            <w:vMerge/>
            <w:shd w:val="clear" w:color="auto" w:fill="auto"/>
          </w:tcPr>
          <w:p w14:paraId="6BE2DBA6" w14:textId="77777777" w:rsidR="00BC7EFA" w:rsidRPr="009110F7" w:rsidRDefault="00BC7EFA" w:rsidP="000C7A79">
            <w:pPr>
              <w:pStyle w:val="Marginlie"/>
            </w:pPr>
          </w:p>
        </w:tc>
        <w:tc>
          <w:tcPr>
            <w:tcW w:w="223" w:type="dxa"/>
            <w:vMerge/>
            <w:shd w:val="clear" w:color="auto" w:fill="auto"/>
          </w:tcPr>
          <w:p w14:paraId="791170B4" w14:textId="77777777" w:rsidR="00BC7EFA" w:rsidRPr="009110F7" w:rsidRDefault="00BC7EFA" w:rsidP="000C7A79">
            <w:pPr>
              <w:pStyle w:val="Textpoznpodarou"/>
              <w:jc w:val="both"/>
              <w:rPr>
                <w:spacing w:val="-4"/>
              </w:rPr>
            </w:pPr>
          </w:p>
        </w:tc>
        <w:tc>
          <w:tcPr>
            <w:tcW w:w="7610" w:type="dxa"/>
            <w:shd w:val="clear" w:color="auto" w:fill="auto"/>
          </w:tcPr>
          <w:p w14:paraId="2D1D9DE8" w14:textId="77777777" w:rsidR="00BC7EFA" w:rsidRPr="009110F7" w:rsidRDefault="00BC7EFA" w:rsidP="000C7A79">
            <w:pPr>
              <w:spacing w:after="0"/>
            </w:pPr>
            <w:r>
              <w:rPr>
                <w:noProof/>
              </w:rPr>
              <w:drawing>
                <wp:inline distT="0" distB="0" distL="0" distR="0" wp14:anchorId="2659CCA4" wp14:editId="5E0C7D0D">
                  <wp:extent cx="4737600" cy="3486525"/>
                  <wp:effectExtent l="0" t="0" r="6350" b="0"/>
                  <wp:docPr id="33" name="Graf 33">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BC7EFA" w:rsidRPr="009110F7" w14:paraId="3000888F" w14:textId="77777777" w:rsidTr="000C7A79">
        <w:trPr>
          <w:trHeight w:val="170"/>
        </w:trPr>
        <w:tc>
          <w:tcPr>
            <w:tcW w:w="1806" w:type="dxa"/>
            <w:vMerge/>
            <w:shd w:val="clear" w:color="auto" w:fill="auto"/>
            <w:tcMar>
              <w:left w:w="0" w:type="dxa"/>
            </w:tcMar>
          </w:tcPr>
          <w:p w14:paraId="75D64624" w14:textId="77777777" w:rsidR="00BC7EFA" w:rsidRPr="009110F7" w:rsidRDefault="00BC7EFA" w:rsidP="000C7A79">
            <w:pPr>
              <w:pStyle w:val="Marginlie"/>
            </w:pPr>
          </w:p>
        </w:tc>
        <w:tc>
          <w:tcPr>
            <w:tcW w:w="223" w:type="dxa"/>
            <w:vMerge/>
            <w:shd w:val="clear" w:color="auto" w:fill="auto"/>
            <w:tcMar>
              <w:left w:w="0" w:type="dxa"/>
            </w:tcMar>
          </w:tcPr>
          <w:p w14:paraId="384DD5D4" w14:textId="77777777" w:rsidR="00BC7EFA" w:rsidRPr="009110F7" w:rsidRDefault="00BC7EFA" w:rsidP="000C7A79">
            <w:pPr>
              <w:pStyle w:val="Textpoznpodarou"/>
              <w:jc w:val="both"/>
              <w:rPr>
                <w:spacing w:val="-4"/>
              </w:rPr>
            </w:pPr>
          </w:p>
        </w:tc>
        <w:tc>
          <w:tcPr>
            <w:tcW w:w="7610" w:type="dxa"/>
            <w:shd w:val="clear" w:color="auto" w:fill="auto"/>
            <w:tcMar>
              <w:left w:w="0" w:type="dxa"/>
            </w:tcMar>
          </w:tcPr>
          <w:p w14:paraId="1D10FE82" w14:textId="77777777" w:rsidR="00BC7EFA" w:rsidRPr="009110F7" w:rsidRDefault="00BC7EFA" w:rsidP="000C7A79">
            <w:pPr>
              <w:rPr>
                <w:sz w:val="14"/>
                <w:szCs w:val="14"/>
              </w:rPr>
            </w:pPr>
            <w:r w:rsidRPr="00A85DE1">
              <w:rPr>
                <w:sz w:val="14"/>
                <w:szCs w:val="14"/>
              </w:rPr>
              <w:t>Zdroj: ČSÚ</w:t>
            </w:r>
          </w:p>
        </w:tc>
      </w:tr>
    </w:tbl>
    <w:p w14:paraId="1988AF3B" w14:textId="77777777" w:rsidR="00BC7EFA" w:rsidRPr="00DA3ADF" w:rsidRDefault="00BC7EFA" w:rsidP="00BC7EFA">
      <w:pPr>
        <w:spacing w:after="0" w:line="240" w:lineRule="auto"/>
        <w:jc w:val="left"/>
        <w:rPr>
          <w:rFonts w:eastAsia="MS Gothic"/>
          <w:bCs/>
          <w:color w:val="71818C"/>
          <w:sz w:val="2"/>
          <w:szCs w:val="2"/>
          <w:highlight w:val="yellow"/>
        </w:rPr>
      </w:pPr>
      <w:bookmarkStart w:id="6" w:name="_GoBack"/>
      <w:bookmarkEnd w:id="6"/>
    </w:p>
    <w:p w14:paraId="2BB728DA" w14:textId="77777777" w:rsidR="00BC7EFA" w:rsidRDefault="00BC7EFA" w:rsidP="00BC7EFA">
      <w:pPr>
        <w:spacing w:after="0" w:line="240" w:lineRule="auto"/>
        <w:jc w:val="left"/>
        <w:rPr>
          <w:b/>
          <w:sz w:val="2"/>
          <w:szCs w:val="2"/>
          <w:highlight w:val="yellow"/>
        </w:rPr>
      </w:pPr>
    </w:p>
    <w:p w14:paraId="7C080676" w14:textId="77777777" w:rsidR="00C2272B" w:rsidRPr="00DA3ADF" w:rsidRDefault="00C2272B" w:rsidP="00C2272B">
      <w:pPr>
        <w:spacing w:after="0" w:line="240" w:lineRule="auto"/>
        <w:jc w:val="left"/>
        <w:rPr>
          <w:rFonts w:eastAsia="MS Gothic"/>
          <w:bCs/>
          <w:color w:val="71818C"/>
          <w:sz w:val="2"/>
          <w:szCs w:val="2"/>
          <w:highlight w:val="yellow"/>
        </w:rPr>
      </w:pPr>
      <w:bookmarkStart w:id="7" w:name="_Toc90395912"/>
      <w:bookmarkStart w:id="8" w:name="_Toc98245443"/>
      <w:bookmarkStart w:id="9" w:name="_Toc90395913"/>
      <w:bookmarkStart w:id="10" w:name="_Toc50712130"/>
      <w:bookmarkStart w:id="11" w:name="_Toc58605377"/>
      <w:bookmarkStart w:id="12" w:name="_Toc26865023"/>
      <w:bookmarkStart w:id="13" w:name="_Toc74246554"/>
      <w:bookmarkStart w:id="14" w:name="_Toc66719933"/>
      <w:bookmarkStart w:id="15" w:name="_Toc50712132"/>
      <w:bookmarkEnd w:id="0"/>
      <w:bookmarkEnd w:id="1"/>
      <w:bookmarkEnd w:id="2"/>
      <w:bookmarkEnd w:id="3"/>
      <w:bookmarkEnd w:id="4"/>
    </w:p>
    <w:p w14:paraId="5AECE5FC" w14:textId="77777777" w:rsidR="00C2272B" w:rsidRDefault="00C2272B" w:rsidP="00C2272B">
      <w:pPr>
        <w:spacing w:after="0" w:line="240" w:lineRule="auto"/>
        <w:jc w:val="left"/>
        <w:rPr>
          <w:b/>
          <w:sz w:val="2"/>
          <w:szCs w:val="2"/>
          <w:highlight w:val="yellow"/>
        </w:rPr>
      </w:pPr>
    </w:p>
    <w:bookmarkEnd w:id="7"/>
    <w:bookmarkEnd w:id="8"/>
    <w:bookmarkEnd w:id="9"/>
    <w:bookmarkEnd w:id="10"/>
    <w:bookmarkEnd w:id="11"/>
    <w:bookmarkEnd w:id="12"/>
    <w:bookmarkEnd w:id="13"/>
    <w:bookmarkEnd w:id="14"/>
    <w:bookmarkEnd w:id="15"/>
    <w:p w14:paraId="3409E2F5" w14:textId="77777777" w:rsidR="008F2E83" w:rsidRPr="000F45E7" w:rsidRDefault="008F2E83" w:rsidP="008F2E83">
      <w:pPr>
        <w:pStyle w:val="Nadpis11"/>
        <w:spacing w:after="0"/>
        <w:rPr>
          <w:b w:val="0"/>
          <w:sz w:val="2"/>
          <w:szCs w:val="2"/>
        </w:rPr>
      </w:pPr>
    </w:p>
    <w:p w14:paraId="5BAB8EA3" w14:textId="3E49B7A0" w:rsidR="000663F0" w:rsidRPr="00E42054" w:rsidRDefault="000663F0" w:rsidP="00A315D0">
      <w:pPr>
        <w:pStyle w:val="Nadpis11"/>
        <w:rPr>
          <w:b w:val="0"/>
          <w:sz w:val="2"/>
          <w:szCs w:val="2"/>
        </w:rPr>
      </w:pPr>
    </w:p>
    <w:sectPr w:rsidR="000663F0" w:rsidRPr="00E42054" w:rsidSect="003831DC">
      <w:headerReference w:type="even" r:id="rId12"/>
      <w:headerReference w:type="default" r:id="rId13"/>
      <w:footerReference w:type="even" r:id="rId14"/>
      <w:footerReference w:type="default" r:id="rId15"/>
      <w:pgSz w:w="11906" w:h="16838" w:code="9"/>
      <w:pgMar w:top="1134" w:right="1134" w:bottom="1418" w:left="1134" w:header="680" w:footer="737"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E5F99" w14:textId="77777777" w:rsidR="00EE79C5" w:rsidRDefault="00EE79C5" w:rsidP="00E71A58">
      <w:r>
        <w:separator/>
      </w:r>
    </w:p>
  </w:endnote>
  <w:endnote w:type="continuationSeparator" w:id="0">
    <w:p w14:paraId="63C09F6E" w14:textId="77777777" w:rsidR="00EE79C5" w:rsidRDefault="00EE79C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6997CA44" w:rsidR="00CF35A7" w:rsidRPr="00932443" w:rsidRDefault="00CF35A7"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3831DC">
      <w:rPr>
        <w:szCs w:val="16"/>
      </w:rPr>
      <w:t>8</w:t>
    </w:r>
    <w:r w:rsidRPr="00932443">
      <w:rPr>
        <w:szCs w:val="16"/>
      </w:rPr>
      <w:fldChar w:fldCharType="end"/>
    </w:r>
    <w:r w:rsidRPr="00932443">
      <w:rPr>
        <w:szCs w:val="16"/>
      </w:rPr>
      <w:tab/>
    </w:r>
    <w:r>
      <w:rPr>
        <w:szCs w:val="16"/>
      </w:rPr>
      <w:t>1. pololetí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0CCA5C7B" w:rsidR="00CF35A7" w:rsidRPr="00932443" w:rsidRDefault="00CF35A7" w:rsidP="00FA6CB6">
    <w:pPr>
      <w:pStyle w:val="Zpat"/>
      <w:rPr>
        <w:szCs w:val="16"/>
      </w:rPr>
    </w:pPr>
    <w:r w:rsidRPr="00FA6CB6">
      <w:rPr>
        <w:szCs w:val="16"/>
      </w:rPr>
      <w:tab/>
    </w:r>
    <w:r>
      <w:rPr>
        <w:szCs w:val="16"/>
      </w:rPr>
      <w:t>1. pololetí 202</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3831DC">
      <w:rPr>
        <w:rStyle w:val="ZpatChar"/>
        <w:szCs w:val="16"/>
      </w:rPr>
      <w:t>9</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8ACA5" w14:textId="77777777" w:rsidR="00EE79C5" w:rsidRDefault="00EE79C5" w:rsidP="00A21B4D">
      <w:pPr>
        <w:spacing w:after="0"/>
      </w:pPr>
      <w:r>
        <w:separator/>
      </w:r>
    </w:p>
  </w:footnote>
  <w:footnote w:type="continuationSeparator" w:id="0">
    <w:p w14:paraId="0E992FE2" w14:textId="77777777" w:rsidR="00EE79C5" w:rsidRDefault="00EE79C5" w:rsidP="00E71A58">
      <w:r>
        <w:continuationSeparator/>
      </w:r>
    </w:p>
  </w:footnote>
  <w:footnote w:id="1">
    <w:p w14:paraId="202654E2" w14:textId="77777777" w:rsidR="00CF35A7" w:rsidRPr="000348AF" w:rsidRDefault="00CF35A7" w:rsidP="00BC7EFA">
      <w:pPr>
        <w:pStyle w:val="Textpoznpodarou"/>
        <w:rPr>
          <w:sz w:val="16"/>
          <w:szCs w:val="16"/>
        </w:rPr>
      </w:pPr>
      <w:r w:rsidRPr="000348AF">
        <w:rPr>
          <w:rStyle w:val="Znakapoznpodarou"/>
          <w:sz w:val="16"/>
          <w:szCs w:val="16"/>
        </w:rPr>
        <w:footnoteRef/>
      </w:r>
      <w:r w:rsidRPr="000348AF">
        <w:rPr>
          <w:sz w:val="16"/>
          <w:szCs w:val="16"/>
        </w:rPr>
        <w:t xml:space="preserve"> Vývoj HDP, hrubé přidané hodnoty a jejich složek je vyjádřen prostřednictvím objemových indexů (tj. očištěn o vliv cen) a po očištění o sezónní a kalendářní vlivy. Údaje jsou platné k </w:t>
      </w:r>
      <w:r>
        <w:rPr>
          <w:sz w:val="16"/>
          <w:szCs w:val="16"/>
        </w:rPr>
        <w:t>30</w:t>
      </w:r>
      <w:r w:rsidRPr="000348AF">
        <w:rPr>
          <w:sz w:val="16"/>
          <w:szCs w:val="16"/>
        </w:rPr>
        <w:t>. </w:t>
      </w:r>
      <w:r>
        <w:rPr>
          <w:sz w:val="16"/>
          <w:szCs w:val="16"/>
        </w:rPr>
        <w:t>8</w:t>
      </w:r>
      <w:r w:rsidRPr="000348AF">
        <w:rPr>
          <w:sz w:val="16"/>
          <w:szCs w:val="16"/>
        </w:rPr>
        <w:t>. 202</w:t>
      </w:r>
      <w:r>
        <w:rPr>
          <w:sz w:val="16"/>
          <w:szCs w:val="16"/>
        </w:rPr>
        <w:t>2</w:t>
      </w:r>
      <w:r w:rsidRPr="000348AF">
        <w:rPr>
          <w:sz w:val="16"/>
          <w:szCs w:val="16"/>
        </w:rPr>
        <w:t>.</w:t>
      </w:r>
    </w:p>
  </w:footnote>
  <w:footnote w:id="2">
    <w:p w14:paraId="799330EC" w14:textId="68B80B58" w:rsidR="00CF35A7" w:rsidRPr="001E74E3" w:rsidRDefault="00CF35A7" w:rsidP="00BC7EFA">
      <w:pPr>
        <w:pStyle w:val="Textpoznpodarou"/>
        <w:rPr>
          <w:sz w:val="16"/>
          <w:szCs w:val="16"/>
        </w:rPr>
      </w:pPr>
      <w:r w:rsidRPr="001E74E3">
        <w:rPr>
          <w:rStyle w:val="Znakapoznpodarou"/>
          <w:sz w:val="16"/>
          <w:szCs w:val="16"/>
        </w:rPr>
        <w:footnoteRef/>
      </w:r>
      <w:r w:rsidRPr="001E74E3">
        <w:rPr>
          <w:sz w:val="16"/>
          <w:szCs w:val="16"/>
        </w:rPr>
        <w:t xml:space="preserve"> Data za </w:t>
      </w:r>
      <w:r>
        <w:rPr>
          <w:sz w:val="16"/>
          <w:szCs w:val="16"/>
        </w:rPr>
        <w:t xml:space="preserve">Lucembursko </w:t>
      </w:r>
      <w:r w:rsidRPr="001E74E3">
        <w:rPr>
          <w:sz w:val="16"/>
          <w:szCs w:val="16"/>
        </w:rPr>
        <w:t>nebyla dostupná.</w:t>
      </w:r>
    </w:p>
  </w:footnote>
  <w:footnote w:id="3">
    <w:p w14:paraId="1EC8D13C" w14:textId="77777777" w:rsidR="00CF35A7" w:rsidRDefault="00CF35A7" w:rsidP="00BC7EFA">
      <w:pPr>
        <w:pStyle w:val="Textpoznpodarou"/>
      </w:pPr>
      <w:r w:rsidRPr="009C6EA8">
        <w:rPr>
          <w:rStyle w:val="Znakapoznpodarou"/>
          <w:sz w:val="16"/>
          <w:szCs w:val="16"/>
        </w:rPr>
        <w:footnoteRef/>
      </w:r>
      <w:r w:rsidRPr="009C6EA8">
        <w:rPr>
          <w:sz w:val="16"/>
          <w:szCs w:val="16"/>
        </w:rPr>
        <w:t xml:space="preserve"> </w:t>
      </w:r>
      <w:r>
        <w:rPr>
          <w:sz w:val="16"/>
          <w:szCs w:val="16"/>
        </w:rPr>
        <w:t>Zaměstnanost v</w:t>
      </w:r>
      <w:r w:rsidRPr="009C6EA8">
        <w:rPr>
          <w:sz w:val="16"/>
          <w:szCs w:val="16"/>
        </w:rPr>
        <w:t> pojetí národních účtů</w:t>
      </w:r>
      <w:r>
        <w:rPr>
          <w:sz w:val="16"/>
          <w:szCs w:val="16"/>
        </w:rPr>
        <w:t xml:space="preserve"> (osoby)</w:t>
      </w:r>
      <w:r w:rsidRPr="009C6EA8">
        <w:rPr>
          <w:sz w:val="16"/>
          <w:szCs w:val="16"/>
        </w:rPr>
        <w:t xml:space="preserve">, </w:t>
      </w:r>
      <w:r>
        <w:rPr>
          <w:sz w:val="16"/>
          <w:szCs w:val="16"/>
        </w:rPr>
        <w:t xml:space="preserve">údaj je </w:t>
      </w:r>
      <w:r w:rsidRPr="009C6EA8">
        <w:rPr>
          <w:sz w:val="16"/>
          <w:szCs w:val="16"/>
        </w:rPr>
        <w:t>sezónně očištěn</w:t>
      </w:r>
      <w:r w:rsidRPr="00004BA8">
        <w:rPr>
          <w:sz w:val="16"/>
        </w:rPr>
        <w:t>.</w:t>
      </w:r>
    </w:p>
  </w:footnote>
  <w:footnote w:id="4">
    <w:p w14:paraId="190FBC3F" w14:textId="77777777" w:rsidR="00CF35A7" w:rsidRPr="005F75B1" w:rsidRDefault="00CF35A7" w:rsidP="00BC7EFA">
      <w:pPr>
        <w:pStyle w:val="Textpoznpodarou"/>
        <w:rPr>
          <w:sz w:val="16"/>
          <w:szCs w:val="16"/>
        </w:rPr>
      </w:pPr>
      <w:r w:rsidRPr="005F75B1">
        <w:rPr>
          <w:rStyle w:val="Znakapoznpodarou"/>
          <w:sz w:val="16"/>
          <w:szCs w:val="16"/>
        </w:rPr>
        <w:footnoteRef/>
      </w:r>
      <w:r w:rsidRPr="005F75B1">
        <w:rPr>
          <w:sz w:val="16"/>
          <w:szCs w:val="16"/>
        </w:rPr>
        <w:t xml:space="preserve"> Do reálného vyjádření převedeno s pomocí deflátoru spotřeby domácností.</w:t>
      </w:r>
    </w:p>
  </w:footnote>
  <w:footnote w:id="5">
    <w:p w14:paraId="0BB58160" w14:textId="77777777" w:rsidR="00CF35A7" w:rsidRPr="00771972" w:rsidRDefault="00CF35A7" w:rsidP="00BC7EFA">
      <w:pPr>
        <w:pStyle w:val="Textpoznpodarou"/>
        <w:rPr>
          <w:sz w:val="16"/>
          <w:szCs w:val="16"/>
        </w:rPr>
      </w:pPr>
      <w:r w:rsidRPr="00771972">
        <w:rPr>
          <w:rStyle w:val="Znakapoznpodarou"/>
          <w:sz w:val="16"/>
          <w:szCs w:val="16"/>
        </w:rPr>
        <w:footnoteRef/>
      </w:r>
      <w:r w:rsidRPr="00771972">
        <w:rPr>
          <w:sz w:val="16"/>
          <w:szCs w:val="16"/>
        </w:rPr>
        <w:t xml:space="preserve"> Veřejná správa a</w:t>
      </w:r>
      <w:r>
        <w:rPr>
          <w:sz w:val="16"/>
          <w:szCs w:val="16"/>
        </w:rPr>
        <w:t> </w:t>
      </w:r>
      <w:r w:rsidRPr="00771972">
        <w:rPr>
          <w:sz w:val="16"/>
          <w:szCs w:val="16"/>
        </w:rPr>
        <w:t>obrana, vzdělávání, zdravotní a</w:t>
      </w:r>
      <w:r>
        <w:rPr>
          <w:sz w:val="16"/>
          <w:szCs w:val="16"/>
        </w:rPr>
        <w:t> </w:t>
      </w:r>
      <w:r w:rsidRPr="00771972">
        <w:rPr>
          <w:sz w:val="16"/>
          <w:szCs w:val="16"/>
        </w:rPr>
        <w:t>sociální péče.</w:t>
      </w:r>
    </w:p>
  </w:footnote>
  <w:footnote w:id="6">
    <w:p w14:paraId="4D30F419" w14:textId="77777777" w:rsidR="00CF35A7" w:rsidRPr="00E518B4" w:rsidRDefault="00CF35A7" w:rsidP="00BC7EFA">
      <w:pPr>
        <w:pStyle w:val="Textpoznpodarou"/>
        <w:rPr>
          <w:sz w:val="16"/>
          <w:szCs w:val="16"/>
        </w:rPr>
      </w:pPr>
      <w:r w:rsidRPr="00E518B4">
        <w:rPr>
          <w:rStyle w:val="Znakapoznpodarou"/>
          <w:sz w:val="16"/>
          <w:szCs w:val="16"/>
        </w:rPr>
        <w:footnoteRef/>
      </w:r>
      <w:r w:rsidRPr="00E518B4">
        <w:rPr>
          <w:sz w:val="16"/>
          <w:szCs w:val="16"/>
        </w:rPr>
        <w:t xml:space="preserve"> </w:t>
      </w:r>
      <w:r>
        <w:rPr>
          <w:sz w:val="16"/>
          <w:szCs w:val="16"/>
        </w:rPr>
        <w:t>V</w:t>
      </w:r>
      <w:r w:rsidRPr="00E518B4">
        <w:rPr>
          <w:spacing w:val="-2"/>
          <w:sz w:val="16"/>
          <w:szCs w:val="16"/>
        </w:rPr>
        <w:t>yplácení covidových odměn zdravotnickému personálu</w:t>
      </w:r>
      <w:r>
        <w:rPr>
          <w:spacing w:val="-2"/>
          <w:sz w:val="16"/>
          <w:szCs w:val="16"/>
        </w:rPr>
        <w:t>.</w:t>
      </w:r>
    </w:p>
  </w:footnote>
  <w:footnote w:id="7">
    <w:p w14:paraId="6A115412" w14:textId="77777777" w:rsidR="00CF35A7" w:rsidRPr="009C6EA8" w:rsidRDefault="00CF35A7" w:rsidP="00BC7EFA">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8">
    <w:p w14:paraId="35D33372" w14:textId="77777777" w:rsidR="00CF35A7" w:rsidRPr="00954992" w:rsidRDefault="00CF35A7" w:rsidP="00BC7EFA">
      <w:pPr>
        <w:pStyle w:val="Textpoznpodarou"/>
        <w:rPr>
          <w:sz w:val="16"/>
          <w:szCs w:val="16"/>
        </w:rPr>
      </w:pPr>
      <w:r w:rsidRPr="00954992">
        <w:rPr>
          <w:rStyle w:val="Znakapoznpodarou"/>
          <w:sz w:val="16"/>
          <w:szCs w:val="16"/>
        </w:rPr>
        <w:footnoteRef/>
      </w:r>
      <w:r w:rsidRPr="00954992">
        <w:rPr>
          <w:sz w:val="16"/>
          <w:szCs w:val="16"/>
        </w:rPr>
        <w:t xml:space="preserve"> Údaje o</w:t>
      </w:r>
      <w:r>
        <w:rPr>
          <w:sz w:val="16"/>
          <w:szCs w:val="16"/>
        </w:rPr>
        <w:t> </w:t>
      </w:r>
      <w:r w:rsidRPr="00954992">
        <w:rPr>
          <w:sz w:val="16"/>
          <w:szCs w:val="16"/>
        </w:rPr>
        <w:t>spotřebě dle trvanlivosti jsou v domácím pojetí</w:t>
      </w:r>
      <w:r>
        <w:rPr>
          <w:sz w:val="16"/>
          <w:szCs w:val="16"/>
        </w:rPr>
        <w:t>.</w:t>
      </w:r>
    </w:p>
  </w:footnote>
  <w:footnote w:id="9">
    <w:p w14:paraId="02696E64" w14:textId="77777777" w:rsidR="00CF35A7" w:rsidRPr="004831F6" w:rsidRDefault="00CF35A7" w:rsidP="00BC7EFA">
      <w:pPr>
        <w:pStyle w:val="Textpoznpodarou"/>
        <w:rPr>
          <w:sz w:val="16"/>
          <w:szCs w:val="16"/>
        </w:rPr>
      </w:pPr>
      <w:r w:rsidRPr="004831F6">
        <w:rPr>
          <w:rStyle w:val="Znakapoznpodarou"/>
          <w:sz w:val="16"/>
          <w:szCs w:val="16"/>
        </w:rPr>
        <w:footnoteRef/>
      </w:r>
      <w:r w:rsidRPr="004831F6">
        <w:rPr>
          <w:sz w:val="16"/>
          <w:szCs w:val="16"/>
        </w:rPr>
        <w:t xml:space="preserve"> Změna zásob</w:t>
      </w:r>
      <w:r>
        <w:rPr>
          <w:sz w:val="16"/>
          <w:szCs w:val="16"/>
        </w:rPr>
        <w:t xml:space="preserve"> (v běžných cenách a sezónně očištěná)</w:t>
      </w:r>
      <w:r w:rsidRPr="004831F6">
        <w:rPr>
          <w:sz w:val="16"/>
          <w:szCs w:val="16"/>
        </w:rPr>
        <w:t xml:space="preserve"> dosáhla</w:t>
      </w:r>
      <w:r>
        <w:rPr>
          <w:sz w:val="16"/>
          <w:szCs w:val="16"/>
        </w:rPr>
        <w:t xml:space="preserve"> ve 2. čtvrtletí 92,8 mld. korun.</w:t>
      </w:r>
    </w:p>
  </w:footnote>
  <w:footnote w:id="10">
    <w:p w14:paraId="21BC9ADE" w14:textId="77777777" w:rsidR="00CF35A7" w:rsidRPr="00167B30" w:rsidRDefault="00CF35A7" w:rsidP="00BC7EFA">
      <w:pPr>
        <w:pStyle w:val="Textpoznpodarou"/>
        <w:rPr>
          <w:sz w:val="16"/>
          <w:szCs w:val="16"/>
        </w:rPr>
      </w:pPr>
      <w:r w:rsidRPr="00167B30">
        <w:rPr>
          <w:rStyle w:val="Znakapoznpodarou"/>
          <w:sz w:val="16"/>
          <w:szCs w:val="16"/>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 xml:space="preserve">. Bilance zahraničního obchodu v běžných cenách </w:t>
      </w:r>
      <w:r>
        <w:rPr>
          <w:sz w:val="16"/>
          <w:szCs w:val="16"/>
        </w:rPr>
        <w:br/>
        <w:t>a po sezónním očištění.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77777777" w:rsidR="00CF35A7" w:rsidRDefault="00CF35A7" w:rsidP="00937AE2">
    <w:pPr>
      <w:pStyle w:val="Zhlav"/>
    </w:pPr>
    <w:r>
      <w:t>Vývoj ekonomiky České republiky</w:t>
    </w:r>
  </w:p>
  <w:p w14:paraId="3E881AB3" w14:textId="77777777" w:rsidR="00CF35A7" w:rsidRPr="006F5416" w:rsidRDefault="00CF35A7"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7777777" w:rsidR="00CF35A7" w:rsidRDefault="00CF35A7" w:rsidP="00937AE2">
    <w:pPr>
      <w:pStyle w:val="Zhlav"/>
    </w:pPr>
    <w:r>
      <w:t>Vývoj ekonomiky České republiky</w:t>
    </w:r>
  </w:p>
  <w:p w14:paraId="57266714" w14:textId="77777777" w:rsidR="00CF35A7" w:rsidRPr="006F5416" w:rsidRDefault="00CF35A7"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70A"/>
    <w:rsid w:val="00003849"/>
    <w:rsid w:val="00003F5C"/>
    <w:rsid w:val="00004D5A"/>
    <w:rsid w:val="00005219"/>
    <w:rsid w:val="000056D5"/>
    <w:rsid w:val="00005D9E"/>
    <w:rsid w:val="000063D5"/>
    <w:rsid w:val="00006625"/>
    <w:rsid w:val="00006ABD"/>
    <w:rsid w:val="00006B67"/>
    <w:rsid w:val="00006C0B"/>
    <w:rsid w:val="000073A0"/>
    <w:rsid w:val="0000767A"/>
    <w:rsid w:val="00007ABE"/>
    <w:rsid w:val="00010256"/>
    <w:rsid w:val="00010702"/>
    <w:rsid w:val="00010A2C"/>
    <w:rsid w:val="0001128E"/>
    <w:rsid w:val="00011912"/>
    <w:rsid w:val="000129B7"/>
    <w:rsid w:val="0001387D"/>
    <w:rsid w:val="00014ED0"/>
    <w:rsid w:val="00016420"/>
    <w:rsid w:val="00016BDB"/>
    <w:rsid w:val="00017B01"/>
    <w:rsid w:val="000200BE"/>
    <w:rsid w:val="000205D1"/>
    <w:rsid w:val="00020F22"/>
    <w:rsid w:val="0002195D"/>
    <w:rsid w:val="00021F9B"/>
    <w:rsid w:val="000228AE"/>
    <w:rsid w:val="000233D1"/>
    <w:rsid w:val="000234D6"/>
    <w:rsid w:val="00023D29"/>
    <w:rsid w:val="00024348"/>
    <w:rsid w:val="00026109"/>
    <w:rsid w:val="0002622B"/>
    <w:rsid w:val="00026389"/>
    <w:rsid w:val="0002669F"/>
    <w:rsid w:val="000279E5"/>
    <w:rsid w:val="000305E0"/>
    <w:rsid w:val="00031AE0"/>
    <w:rsid w:val="00031BB2"/>
    <w:rsid w:val="000322EF"/>
    <w:rsid w:val="00033FCD"/>
    <w:rsid w:val="000348AF"/>
    <w:rsid w:val="00034B70"/>
    <w:rsid w:val="00034DF7"/>
    <w:rsid w:val="00034E68"/>
    <w:rsid w:val="000350C8"/>
    <w:rsid w:val="00036195"/>
    <w:rsid w:val="000374B2"/>
    <w:rsid w:val="000376C0"/>
    <w:rsid w:val="000403A7"/>
    <w:rsid w:val="00040632"/>
    <w:rsid w:val="00041AFC"/>
    <w:rsid w:val="00041CEC"/>
    <w:rsid w:val="00041D02"/>
    <w:rsid w:val="00042596"/>
    <w:rsid w:val="00042A4A"/>
    <w:rsid w:val="00044183"/>
    <w:rsid w:val="0004431D"/>
    <w:rsid w:val="00044AAC"/>
    <w:rsid w:val="0004694F"/>
    <w:rsid w:val="00046F2F"/>
    <w:rsid w:val="00047AD4"/>
    <w:rsid w:val="00047D54"/>
    <w:rsid w:val="0005054A"/>
    <w:rsid w:val="00050A87"/>
    <w:rsid w:val="00051506"/>
    <w:rsid w:val="000522E4"/>
    <w:rsid w:val="00053713"/>
    <w:rsid w:val="0005434E"/>
    <w:rsid w:val="00055CB6"/>
    <w:rsid w:val="000572DD"/>
    <w:rsid w:val="00057B1E"/>
    <w:rsid w:val="0006033F"/>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F0"/>
    <w:rsid w:val="00066558"/>
    <w:rsid w:val="000671DB"/>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457"/>
    <w:rsid w:val="000837CD"/>
    <w:rsid w:val="00083B7F"/>
    <w:rsid w:val="00084BFF"/>
    <w:rsid w:val="00085395"/>
    <w:rsid w:val="00086896"/>
    <w:rsid w:val="00086AC1"/>
    <w:rsid w:val="00086D19"/>
    <w:rsid w:val="00087634"/>
    <w:rsid w:val="00087F2B"/>
    <w:rsid w:val="00090694"/>
    <w:rsid w:val="00090EE2"/>
    <w:rsid w:val="00090FC6"/>
    <w:rsid w:val="000913B1"/>
    <w:rsid w:val="0009290F"/>
    <w:rsid w:val="00093241"/>
    <w:rsid w:val="00093868"/>
    <w:rsid w:val="00094A84"/>
    <w:rsid w:val="00095025"/>
    <w:rsid w:val="00095135"/>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A2C"/>
    <w:rsid w:val="000A3D9E"/>
    <w:rsid w:val="000A4A54"/>
    <w:rsid w:val="000A4ED9"/>
    <w:rsid w:val="000A5DB7"/>
    <w:rsid w:val="000A6753"/>
    <w:rsid w:val="000A6D94"/>
    <w:rsid w:val="000A7377"/>
    <w:rsid w:val="000A74A4"/>
    <w:rsid w:val="000A775A"/>
    <w:rsid w:val="000A7D63"/>
    <w:rsid w:val="000A7FF4"/>
    <w:rsid w:val="000B03CC"/>
    <w:rsid w:val="000B4212"/>
    <w:rsid w:val="000B67B7"/>
    <w:rsid w:val="000B6A0A"/>
    <w:rsid w:val="000C0127"/>
    <w:rsid w:val="000C0CA6"/>
    <w:rsid w:val="000C0EA8"/>
    <w:rsid w:val="000C13A2"/>
    <w:rsid w:val="000C21E7"/>
    <w:rsid w:val="000C23EC"/>
    <w:rsid w:val="000C26A2"/>
    <w:rsid w:val="000C290E"/>
    <w:rsid w:val="000C30C3"/>
    <w:rsid w:val="000C3408"/>
    <w:rsid w:val="000C35AB"/>
    <w:rsid w:val="000C3F7B"/>
    <w:rsid w:val="000C4769"/>
    <w:rsid w:val="000C4D56"/>
    <w:rsid w:val="000C5DFA"/>
    <w:rsid w:val="000C6AFD"/>
    <w:rsid w:val="000C6C90"/>
    <w:rsid w:val="000C72B7"/>
    <w:rsid w:val="000C7A79"/>
    <w:rsid w:val="000D0A26"/>
    <w:rsid w:val="000D13CB"/>
    <w:rsid w:val="000D2196"/>
    <w:rsid w:val="000D2C2E"/>
    <w:rsid w:val="000D3058"/>
    <w:rsid w:val="000D310A"/>
    <w:rsid w:val="000D3EF4"/>
    <w:rsid w:val="000D4761"/>
    <w:rsid w:val="000D4DC0"/>
    <w:rsid w:val="000D55BA"/>
    <w:rsid w:val="000D5637"/>
    <w:rsid w:val="000D5A03"/>
    <w:rsid w:val="000D5ED3"/>
    <w:rsid w:val="000D6F4E"/>
    <w:rsid w:val="000D6FDA"/>
    <w:rsid w:val="000D73BB"/>
    <w:rsid w:val="000E0E96"/>
    <w:rsid w:val="000E298B"/>
    <w:rsid w:val="000E2C7D"/>
    <w:rsid w:val="000E3E56"/>
    <w:rsid w:val="000E440D"/>
    <w:rsid w:val="000E4AC5"/>
    <w:rsid w:val="000E6253"/>
    <w:rsid w:val="000E6AC4"/>
    <w:rsid w:val="000E6E4D"/>
    <w:rsid w:val="000E6FBD"/>
    <w:rsid w:val="000E6FCB"/>
    <w:rsid w:val="000F090B"/>
    <w:rsid w:val="000F15F7"/>
    <w:rsid w:val="000F1AA2"/>
    <w:rsid w:val="000F378E"/>
    <w:rsid w:val="000F3F3B"/>
    <w:rsid w:val="000F4721"/>
    <w:rsid w:val="000F47E8"/>
    <w:rsid w:val="000F70E4"/>
    <w:rsid w:val="000F76EA"/>
    <w:rsid w:val="00100A8B"/>
    <w:rsid w:val="00100F5C"/>
    <w:rsid w:val="00101B15"/>
    <w:rsid w:val="00101CDA"/>
    <w:rsid w:val="00102037"/>
    <w:rsid w:val="00103DCB"/>
    <w:rsid w:val="00104C4C"/>
    <w:rsid w:val="00105015"/>
    <w:rsid w:val="001055D2"/>
    <w:rsid w:val="001057C2"/>
    <w:rsid w:val="00107124"/>
    <w:rsid w:val="0011038E"/>
    <w:rsid w:val="00111573"/>
    <w:rsid w:val="001125EF"/>
    <w:rsid w:val="00112CAB"/>
    <w:rsid w:val="0011440C"/>
    <w:rsid w:val="00114C33"/>
    <w:rsid w:val="00116D3F"/>
    <w:rsid w:val="00117474"/>
    <w:rsid w:val="00117623"/>
    <w:rsid w:val="00117FEA"/>
    <w:rsid w:val="001200CF"/>
    <w:rsid w:val="001208E3"/>
    <w:rsid w:val="00121609"/>
    <w:rsid w:val="0012192F"/>
    <w:rsid w:val="00122994"/>
    <w:rsid w:val="00123204"/>
    <w:rsid w:val="00124B46"/>
    <w:rsid w:val="001257BE"/>
    <w:rsid w:val="001257E0"/>
    <w:rsid w:val="00125D69"/>
    <w:rsid w:val="0012799C"/>
    <w:rsid w:val="00127BC2"/>
    <w:rsid w:val="00127E15"/>
    <w:rsid w:val="00130ADC"/>
    <w:rsid w:val="00130D9F"/>
    <w:rsid w:val="00132C4D"/>
    <w:rsid w:val="00133FC1"/>
    <w:rsid w:val="00134659"/>
    <w:rsid w:val="00135111"/>
    <w:rsid w:val="00136A6F"/>
    <w:rsid w:val="00136C1A"/>
    <w:rsid w:val="00137812"/>
    <w:rsid w:val="001405FA"/>
    <w:rsid w:val="00140D1A"/>
    <w:rsid w:val="00141184"/>
    <w:rsid w:val="00141315"/>
    <w:rsid w:val="00141AA0"/>
    <w:rsid w:val="001425C3"/>
    <w:rsid w:val="0014262D"/>
    <w:rsid w:val="00142B29"/>
    <w:rsid w:val="00144108"/>
    <w:rsid w:val="00144588"/>
    <w:rsid w:val="001447DD"/>
    <w:rsid w:val="00145358"/>
    <w:rsid w:val="001459BC"/>
    <w:rsid w:val="00150ECA"/>
    <w:rsid w:val="00151707"/>
    <w:rsid w:val="00152C86"/>
    <w:rsid w:val="00152F4F"/>
    <w:rsid w:val="00153264"/>
    <w:rsid w:val="0015329F"/>
    <w:rsid w:val="001544A1"/>
    <w:rsid w:val="001553B8"/>
    <w:rsid w:val="001554C2"/>
    <w:rsid w:val="00156D04"/>
    <w:rsid w:val="001571C0"/>
    <w:rsid w:val="0015753D"/>
    <w:rsid w:val="00157984"/>
    <w:rsid w:val="00157CC9"/>
    <w:rsid w:val="00160C21"/>
    <w:rsid w:val="001612F4"/>
    <w:rsid w:val="00161553"/>
    <w:rsid w:val="0016216F"/>
    <w:rsid w:val="0016256B"/>
    <w:rsid w:val="00162F81"/>
    <w:rsid w:val="00163793"/>
    <w:rsid w:val="00164CA1"/>
    <w:rsid w:val="00165313"/>
    <w:rsid w:val="001665AB"/>
    <w:rsid w:val="00167485"/>
    <w:rsid w:val="001679F5"/>
    <w:rsid w:val="00167B92"/>
    <w:rsid w:val="00167CB9"/>
    <w:rsid w:val="00167DD8"/>
    <w:rsid w:val="001705AD"/>
    <w:rsid w:val="001706D6"/>
    <w:rsid w:val="001714F2"/>
    <w:rsid w:val="00171FEA"/>
    <w:rsid w:val="00173622"/>
    <w:rsid w:val="00175B9F"/>
    <w:rsid w:val="001762F4"/>
    <w:rsid w:val="001777BA"/>
    <w:rsid w:val="00181029"/>
    <w:rsid w:val="00181BBC"/>
    <w:rsid w:val="0018385F"/>
    <w:rsid w:val="00183BCF"/>
    <w:rsid w:val="00184017"/>
    <w:rsid w:val="001847BB"/>
    <w:rsid w:val="00184B08"/>
    <w:rsid w:val="00185010"/>
    <w:rsid w:val="001854F2"/>
    <w:rsid w:val="00185C22"/>
    <w:rsid w:val="00186BA9"/>
    <w:rsid w:val="00187D50"/>
    <w:rsid w:val="00190B4D"/>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F68"/>
    <w:rsid w:val="001A21FA"/>
    <w:rsid w:val="001A4D7C"/>
    <w:rsid w:val="001A4EF0"/>
    <w:rsid w:val="001A552F"/>
    <w:rsid w:val="001A70B1"/>
    <w:rsid w:val="001A7672"/>
    <w:rsid w:val="001B0738"/>
    <w:rsid w:val="001B1235"/>
    <w:rsid w:val="001B158D"/>
    <w:rsid w:val="001B1BBB"/>
    <w:rsid w:val="001B2CA9"/>
    <w:rsid w:val="001B3110"/>
    <w:rsid w:val="001B3E38"/>
    <w:rsid w:val="001B40F5"/>
    <w:rsid w:val="001B4729"/>
    <w:rsid w:val="001B4F0E"/>
    <w:rsid w:val="001B5F40"/>
    <w:rsid w:val="001B6310"/>
    <w:rsid w:val="001B6C09"/>
    <w:rsid w:val="001B6E12"/>
    <w:rsid w:val="001C05CD"/>
    <w:rsid w:val="001C082B"/>
    <w:rsid w:val="001C0F17"/>
    <w:rsid w:val="001C11A6"/>
    <w:rsid w:val="001C1B24"/>
    <w:rsid w:val="001C1B66"/>
    <w:rsid w:val="001C1BB5"/>
    <w:rsid w:val="001C2732"/>
    <w:rsid w:val="001C31A2"/>
    <w:rsid w:val="001C351D"/>
    <w:rsid w:val="001C3794"/>
    <w:rsid w:val="001C4B8F"/>
    <w:rsid w:val="001C4BB8"/>
    <w:rsid w:val="001C4FD0"/>
    <w:rsid w:val="001C544D"/>
    <w:rsid w:val="001C5E46"/>
    <w:rsid w:val="001C6B3B"/>
    <w:rsid w:val="001C7A26"/>
    <w:rsid w:val="001C7E3F"/>
    <w:rsid w:val="001D0EF1"/>
    <w:rsid w:val="001D1A44"/>
    <w:rsid w:val="001D22C2"/>
    <w:rsid w:val="001D2C99"/>
    <w:rsid w:val="001D3B75"/>
    <w:rsid w:val="001D452E"/>
    <w:rsid w:val="001D54C1"/>
    <w:rsid w:val="001D556E"/>
    <w:rsid w:val="001D5DF2"/>
    <w:rsid w:val="001D6175"/>
    <w:rsid w:val="001D68B2"/>
    <w:rsid w:val="001D7EFD"/>
    <w:rsid w:val="001D7F60"/>
    <w:rsid w:val="001E085B"/>
    <w:rsid w:val="001E149B"/>
    <w:rsid w:val="001E15CB"/>
    <w:rsid w:val="001E3306"/>
    <w:rsid w:val="001E504C"/>
    <w:rsid w:val="001E56AC"/>
    <w:rsid w:val="001E5A17"/>
    <w:rsid w:val="001E74C5"/>
    <w:rsid w:val="001F1236"/>
    <w:rsid w:val="001F2F90"/>
    <w:rsid w:val="001F4597"/>
    <w:rsid w:val="001F4826"/>
    <w:rsid w:val="001F4933"/>
    <w:rsid w:val="001F59C8"/>
    <w:rsid w:val="001F6CD3"/>
    <w:rsid w:val="001F75DA"/>
    <w:rsid w:val="001F7931"/>
    <w:rsid w:val="001F7CE0"/>
    <w:rsid w:val="00200085"/>
    <w:rsid w:val="00201633"/>
    <w:rsid w:val="00203332"/>
    <w:rsid w:val="00203CD5"/>
    <w:rsid w:val="00203D8F"/>
    <w:rsid w:val="00203DA4"/>
    <w:rsid w:val="00204EA6"/>
    <w:rsid w:val="00205186"/>
    <w:rsid w:val="00206516"/>
    <w:rsid w:val="002070CF"/>
    <w:rsid w:val="002071D5"/>
    <w:rsid w:val="002111E5"/>
    <w:rsid w:val="0021149E"/>
    <w:rsid w:val="002118B9"/>
    <w:rsid w:val="00213691"/>
    <w:rsid w:val="002142C0"/>
    <w:rsid w:val="00217BED"/>
    <w:rsid w:val="00217C5B"/>
    <w:rsid w:val="00220A43"/>
    <w:rsid w:val="0022139E"/>
    <w:rsid w:val="00222729"/>
    <w:rsid w:val="0022287B"/>
    <w:rsid w:val="002228DB"/>
    <w:rsid w:val="00223185"/>
    <w:rsid w:val="00223264"/>
    <w:rsid w:val="002233D6"/>
    <w:rsid w:val="0022441D"/>
    <w:rsid w:val="00224574"/>
    <w:rsid w:val="00224E3F"/>
    <w:rsid w:val="00225000"/>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A15"/>
    <w:rsid w:val="002452D9"/>
    <w:rsid w:val="00247319"/>
    <w:rsid w:val="0024799E"/>
    <w:rsid w:val="00247E60"/>
    <w:rsid w:val="00251496"/>
    <w:rsid w:val="00251B08"/>
    <w:rsid w:val="00251C53"/>
    <w:rsid w:val="00252AB9"/>
    <w:rsid w:val="002532B1"/>
    <w:rsid w:val="00253C0F"/>
    <w:rsid w:val="002558C1"/>
    <w:rsid w:val="00256207"/>
    <w:rsid w:val="002575F3"/>
    <w:rsid w:val="002603E1"/>
    <w:rsid w:val="002605FE"/>
    <w:rsid w:val="0026120E"/>
    <w:rsid w:val="002617EE"/>
    <w:rsid w:val="00262582"/>
    <w:rsid w:val="0026291D"/>
    <w:rsid w:val="00262CF3"/>
    <w:rsid w:val="00264309"/>
    <w:rsid w:val="00264992"/>
    <w:rsid w:val="00264B4F"/>
    <w:rsid w:val="00264B85"/>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63A2"/>
    <w:rsid w:val="00276B33"/>
    <w:rsid w:val="00277669"/>
    <w:rsid w:val="002803A5"/>
    <w:rsid w:val="00280ACB"/>
    <w:rsid w:val="002812E3"/>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461A"/>
    <w:rsid w:val="0029509B"/>
    <w:rsid w:val="0029588F"/>
    <w:rsid w:val="00295E96"/>
    <w:rsid w:val="00297256"/>
    <w:rsid w:val="00297A5C"/>
    <w:rsid w:val="00297D51"/>
    <w:rsid w:val="002A0122"/>
    <w:rsid w:val="002A016B"/>
    <w:rsid w:val="002A103E"/>
    <w:rsid w:val="002A16D4"/>
    <w:rsid w:val="002A1E4F"/>
    <w:rsid w:val="002A230C"/>
    <w:rsid w:val="002A2AF7"/>
    <w:rsid w:val="002A3209"/>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638"/>
    <w:rsid w:val="002E37D1"/>
    <w:rsid w:val="002E3BEE"/>
    <w:rsid w:val="002E4DCE"/>
    <w:rsid w:val="002E4E4C"/>
    <w:rsid w:val="002E4EA7"/>
    <w:rsid w:val="002E5846"/>
    <w:rsid w:val="002E792B"/>
    <w:rsid w:val="002E7AEB"/>
    <w:rsid w:val="002E7B79"/>
    <w:rsid w:val="002F1B09"/>
    <w:rsid w:val="002F1D56"/>
    <w:rsid w:val="002F1DCB"/>
    <w:rsid w:val="002F1DE4"/>
    <w:rsid w:val="002F333D"/>
    <w:rsid w:val="002F351A"/>
    <w:rsid w:val="002F357F"/>
    <w:rsid w:val="002F46D6"/>
    <w:rsid w:val="002F498A"/>
    <w:rsid w:val="002F4AD8"/>
    <w:rsid w:val="002F5285"/>
    <w:rsid w:val="002F5820"/>
    <w:rsid w:val="002F64BB"/>
    <w:rsid w:val="002F7D9B"/>
    <w:rsid w:val="00300C31"/>
    <w:rsid w:val="003017EC"/>
    <w:rsid w:val="00302165"/>
    <w:rsid w:val="00303BB4"/>
    <w:rsid w:val="00304771"/>
    <w:rsid w:val="00304F9C"/>
    <w:rsid w:val="003052D4"/>
    <w:rsid w:val="00305863"/>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B3D"/>
    <w:rsid w:val="0032058C"/>
    <w:rsid w:val="003208D0"/>
    <w:rsid w:val="003209D6"/>
    <w:rsid w:val="003217B9"/>
    <w:rsid w:val="00321924"/>
    <w:rsid w:val="00321AF1"/>
    <w:rsid w:val="00321EB6"/>
    <w:rsid w:val="003220A5"/>
    <w:rsid w:val="003238E0"/>
    <w:rsid w:val="00323A1C"/>
    <w:rsid w:val="00323A2F"/>
    <w:rsid w:val="003247E1"/>
    <w:rsid w:val="00324B59"/>
    <w:rsid w:val="00325E46"/>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40BF3"/>
    <w:rsid w:val="00341D26"/>
    <w:rsid w:val="00341F05"/>
    <w:rsid w:val="0034335E"/>
    <w:rsid w:val="00344668"/>
    <w:rsid w:val="00344940"/>
    <w:rsid w:val="00346234"/>
    <w:rsid w:val="003462D9"/>
    <w:rsid w:val="0034723F"/>
    <w:rsid w:val="00347247"/>
    <w:rsid w:val="003474B6"/>
    <w:rsid w:val="00347DD4"/>
    <w:rsid w:val="00352B43"/>
    <w:rsid w:val="00352C28"/>
    <w:rsid w:val="003541BB"/>
    <w:rsid w:val="00354F89"/>
    <w:rsid w:val="0035506D"/>
    <w:rsid w:val="0036077F"/>
    <w:rsid w:val="00360C86"/>
    <w:rsid w:val="00360F7A"/>
    <w:rsid w:val="00360FBC"/>
    <w:rsid w:val="00361537"/>
    <w:rsid w:val="00361FB7"/>
    <w:rsid w:val="0036242A"/>
    <w:rsid w:val="00362C23"/>
    <w:rsid w:val="00362DCA"/>
    <w:rsid w:val="00362E90"/>
    <w:rsid w:val="00364FA0"/>
    <w:rsid w:val="003657F3"/>
    <w:rsid w:val="00365844"/>
    <w:rsid w:val="00365F61"/>
    <w:rsid w:val="0036624C"/>
    <w:rsid w:val="00367F84"/>
    <w:rsid w:val="003712BC"/>
    <w:rsid w:val="00372164"/>
    <w:rsid w:val="003738BD"/>
    <w:rsid w:val="00374263"/>
    <w:rsid w:val="003746F0"/>
    <w:rsid w:val="00374A20"/>
    <w:rsid w:val="00374B96"/>
    <w:rsid w:val="00374E21"/>
    <w:rsid w:val="0037537A"/>
    <w:rsid w:val="00377B2E"/>
    <w:rsid w:val="00380C9B"/>
    <w:rsid w:val="003810F0"/>
    <w:rsid w:val="003815D4"/>
    <w:rsid w:val="003818DC"/>
    <w:rsid w:val="00382513"/>
    <w:rsid w:val="003831DC"/>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402D"/>
    <w:rsid w:val="00396739"/>
    <w:rsid w:val="003978B1"/>
    <w:rsid w:val="003A04F6"/>
    <w:rsid w:val="003A0837"/>
    <w:rsid w:val="003A2B4D"/>
    <w:rsid w:val="003A2D12"/>
    <w:rsid w:val="003A2EBA"/>
    <w:rsid w:val="003A45E3"/>
    <w:rsid w:val="003A46B8"/>
    <w:rsid w:val="003A478C"/>
    <w:rsid w:val="003A4A38"/>
    <w:rsid w:val="003A5525"/>
    <w:rsid w:val="003A5889"/>
    <w:rsid w:val="003A5C8C"/>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09D"/>
    <w:rsid w:val="003B7B50"/>
    <w:rsid w:val="003C0B07"/>
    <w:rsid w:val="003C2CE7"/>
    <w:rsid w:val="003C2DB8"/>
    <w:rsid w:val="003C3490"/>
    <w:rsid w:val="003C3608"/>
    <w:rsid w:val="003C3AE8"/>
    <w:rsid w:val="003C3D2C"/>
    <w:rsid w:val="003C4058"/>
    <w:rsid w:val="003C4E13"/>
    <w:rsid w:val="003C58A5"/>
    <w:rsid w:val="003C6221"/>
    <w:rsid w:val="003C63D7"/>
    <w:rsid w:val="003C68CC"/>
    <w:rsid w:val="003C7E62"/>
    <w:rsid w:val="003D12B9"/>
    <w:rsid w:val="003D1E7A"/>
    <w:rsid w:val="003D242B"/>
    <w:rsid w:val="003D2492"/>
    <w:rsid w:val="003D29AA"/>
    <w:rsid w:val="003D2A99"/>
    <w:rsid w:val="003D6920"/>
    <w:rsid w:val="003E0249"/>
    <w:rsid w:val="003E08A4"/>
    <w:rsid w:val="003E1EF8"/>
    <w:rsid w:val="003E2DFB"/>
    <w:rsid w:val="003E4466"/>
    <w:rsid w:val="003E4C91"/>
    <w:rsid w:val="003E52D8"/>
    <w:rsid w:val="003E62F1"/>
    <w:rsid w:val="003E6F84"/>
    <w:rsid w:val="003F0148"/>
    <w:rsid w:val="003F313C"/>
    <w:rsid w:val="003F33B1"/>
    <w:rsid w:val="003F33B9"/>
    <w:rsid w:val="003F37FC"/>
    <w:rsid w:val="003F3E76"/>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17106"/>
    <w:rsid w:val="00420880"/>
    <w:rsid w:val="00421179"/>
    <w:rsid w:val="004225D7"/>
    <w:rsid w:val="00423623"/>
    <w:rsid w:val="0042470E"/>
    <w:rsid w:val="00425352"/>
    <w:rsid w:val="00426C99"/>
    <w:rsid w:val="004272BE"/>
    <w:rsid w:val="00430C96"/>
    <w:rsid w:val="0043174F"/>
    <w:rsid w:val="00431BFF"/>
    <w:rsid w:val="00432199"/>
    <w:rsid w:val="00432A58"/>
    <w:rsid w:val="004331C3"/>
    <w:rsid w:val="00433C17"/>
    <w:rsid w:val="00434617"/>
    <w:rsid w:val="00434DE9"/>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25"/>
    <w:rsid w:val="00451EF1"/>
    <w:rsid w:val="00452E60"/>
    <w:rsid w:val="0045321B"/>
    <w:rsid w:val="00456FE5"/>
    <w:rsid w:val="00457490"/>
    <w:rsid w:val="0045778B"/>
    <w:rsid w:val="0045786C"/>
    <w:rsid w:val="00457953"/>
    <w:rsid w:val="004604D8"/>
    <w:rsid w:val="00460656"/>
    <w:rsid w:val="00460FB3"/>
    <w:rsid w:val="00463D3C"/>
    <w:rsid w:val="00464851"/>
    <w:rsid w:val="00464BF5"/>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735C"/>
    <w:rsid w:val="004776BC"/>
    <w:rsid w:val="00477820"/>
    <w:rsid w:val="00477B96"/>
    <w:rsid w:val="00480802"/>
    <w:rsid w:val="00480BAE"/>
    <w:rsid w:val="00480D7F"/>
    <w:rsid w:val="0048139F"/>
    <w:rsid w:val="00481E40"/>
    <w:rsid w:val="00482405"/>
    <w:rsid w:val="004826A7"/>
    <w:rsid w:val="0048368C"/>
    <w:rsid w:val="0048372F"/>
    <w:rsid w:val="00483A0C"/>
    <w:rsid w:val="004841CC"/>
    <w:rsid w:val="00484ECE"/>
    <w:rsid w:val="00485E82"/>
    <w:rsid w:val="00486132"/>
    <w:rsid w:val="0048686D"/>
    <w:rsid w:val="00486A4D"/>
    <w:rsid w:val="004915CB"/>
    <w:rsid w:val="004924DC"/>
    <w:rsid w:val="00492879"/>
    <w:rsid w:val="00493E85"/>
    <w:rsid w:val="00495145"/>
    <w:rsid w:val="0049531F"/>
    <w:rsid w:val="004979A5"/>
    <w:rsid w:val="004A0144"/>
    <w:rsid w:val="004A036E"/>
    <w:rsid w:val="004A0498"/>
    <w:rsid w:val="004A06B0"/>
    <w:rsid w:val="004A0D0E"/>
    <w:rsid w:val="004A14E4"/>
    <w:rsid w:val="004A204E"/>
    <w:rsid w:val="004A26A5"/>
    <w:rsid w:val="004A27F0"/>
    <w:rsid w:val="004A3212"/>
    <w:rsid w:val="004A37CD"/>
    <w:rsid w:val="004A40D9"/>
    <w:rsid w:val="004A49A5"/>
    <w:rsid w:val="004A4F8A"/>
    <w:rsid w:val="004A52AB"/>
    <w:rsid w:val="004A5494"/>
    <w:rsid w:val="004A5D4E"/>
    <w:rsid w:val="004A61C5"/>
    <w:rsid w:val="004A62A0"/>
    <w:rsid w:val="004A77DF"/>
    <w:rsid w:val="004B1417"/>
    <w:rsid w:val="004B305C"/>
    <w:rsid w:val="004B31B8"/>
    <w:rsid w:val="004B339A"/>
    <w:rsid w:val="004B4C83"/>
    <w:rsid w:val="004B55B7"/>
    <w:rsid w:val="004B5BFA"/>
    <w:rsid w:val="004B619E"/>
    <w:rsid w:val="004B6468"/>
    <w:rsid w:val="004B6EF8"/>
    <w:rsid w:val="004B7125"/>
    <w:rsid w:val="004B756A"/>
    <w:rsid w:val="004B7FB1"/>
    <w:rsid w:val="004C0970"/>
    <w:rsid w:val="004C0B3F"/>
    <w:rsid w:val="004C0F87"/>
    <w:rsid w:val="004C25F9"/>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D31"/>
    <w:rsid w:val="004D2E03"/>
    <w:rsid w:val="004D3296"/>
    <w:rsid w:val="004D4056"/>
    <w:rsid w:val="004D4CB0"/>
    <w:rsid w:val="004D5B0F"/>
    <w:rsid w:val="004D7626"/>
    <w:rsid w:val="004E085C"/>
    <w:rsid w:val="004E12DF"/>
    <w:rsid w:val="004E186A"/>
    <w:rsid w:val="004E1A40"/>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484"/>
    <w:rsid w:val="004F6539"/>
    <w:rsid w:val="00503D54"/>
    <w:rsid w:val="005048E2"/>
    <w:rsid w:val="00505FC8"/>
    <w:rsid w:val="00506603"/>
    <w:rsid w:val="0050689D"/>
    <w:rsid w:val="005077F5"/>
    <w:rsid w:val="005108C0"/>
    <w:rsid w:val="0051094F"/>
    <w:rsid w:val="00511217"/>
    <w:rsid w:val="00511873"/>
    <w:rsid w:val="00511BAF"/>
    <w:rsid w:val="00512461"/>
    <w:rsid w:val="00512585"/>
    <w:rsid w:val="00512A2F"/>
    <w:rsid w:val="00513B7E"/>
    <w:rsid w:val="00513E9D"/>
    <w:rsid w:val="0051475D"/>
    <w:rsid w:val="00514B11"/>
    <w:rsid w:val="00514DED"/>
    <w:rsid w:val="00515485"/>
    <w:rsid w:val="00515BE9"/>
    <w:rsid w:val="00515C74"/>
    <w:rsid w:val="00515CEB"/>
    <w:rsid w:val="0051630F"/>
    <w:rsid w:val="00517113"/>
    <w:rsid w:val="0052007E"/>
    <w:rsid w:val="0052032E"/>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A68"/>
    <w:rsid w:val="00530AD4"/>
    <w:rsid w:val="0053129F"/>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3A3"/>
    <w:rsid w:val="005455F6"/>
    <w:rsid w:val="0054582F"/>
    <w:rsid w:val="00546FC7"/>
    <w:rsid w:val="005500F9"/>
    <w:rsid w:val="00550160"/>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60C41"/>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BC3"/>
    <w:rsid w:val="0057182A"/>
    <w:rsid w:val="00571E59"/>
    <w:rsid w:val="00572079"/>
    <w:rsid w:val="00572900"/>
    <w:rsid w:val="00573602"/>
    <w:rsid w:val="0057364B"/>
    <w:rsid w:val="00574773"/>
    <w:rsid w:val="005761EC"/>
    <w:rsid w:val="00576E34"/>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90608"/>
    <w:rsid w:val="00590B28"/>
    <w:rsid w:val="005911BE"/>
    <w:rsid w:val="00591273"/>
    <w:rsid w:val="00591E9E"/>
    <w:rsid w:val="005927A4"/>
    <w:rsid w:val="00593152"/>
    <w:rsid w:val="00593389"/>
    <w:rsid w:val="00593FE6"/>
    <w:rsid w:val="005956A3"/>
    <w:rsid w:val="00595958"/>
    <w:rsid w:val="00595CAB"/>
    <w:rsid w:val="0059622E"/>
    <w:rsid w:val="00597671"/>
    <w:rsid w:val="00597BBF"/>
    <w:rsid w:val="005A040C"/>
    <w:rsid w:val="005A0463"/>
    <w:rsid w:val="005A0948"/>
    <w:rsid w:val="005A0A03"/>
    <w:rsid w:val="005A10F2"/>
    <w:rsid w:val="005A16C0"/>
    <w:rsid w:val="005A2156"/>
    <w:rsid w:val="005A21E0"/>
    <w:rsid w:val="005A28FF"/>
    <w:rsid w:val="005A2C09"/>
    <w:rsid w:val="005A3778"/>
    <w:rsid w:val="005A37B0"/>
    <w:rsid w:val="005A3DF8"/>
    <w:rsid w:val="005A5549"/>
    <w:rsid w:val="005A566A"/>
    <w:rsid w:val="005A56E0"/>
    <w:rsid w:val="005A70CA"/>
    <w:rsid w:val="005A7ABD"/>
    <w:rsid w:val="005A7CF8"/>
    <w:rsid w:val="005B0EDA"/>
    <w:rsid w:val="005B121D"/>
    <w:rsid w:val="005B26B0"/>
    <w:rsid w:val="005B41C9"/>
    <w:rsid w:val="005B44E6"/>
    <w:rsid w:val="005B4853"/>
    <w:rsid w:val="005B6CA1"/>
    <w:rsid w:val="005B770C"/>
    <w:rsid w:val="005C06ED"/>
    <w:rsid w:val="005C0CE1"/>
    <w:rsid w:val="005C11B8"/>
    <w:rsid w:val="005C216C"/>
    <w:rsid w:val="005C2609"/>
    <w:rsid w:val="005C2B30"/>
    <w:rsid w:val="005C412B"/>
    <w:rsid w:val="005C43EC"/>
    <w:rsid w:val="005C45DD"/>
    <w:rsid w:val="005C4704"/>
    <w:rsid w:val="005C4CB1"/>
    <w:rsid w:val="005C70AB"/>
    <w:rsid w:val="005D015C"/>
    <w:rsid w:val="005D3F06"/>
    <w:rsid w:val="005D4608"/>
    <w:rsid w:val="005D4B73"/>
    <w:rsid w:val="005D533D"/>
    <w:rsid w:val="005D5645"/>
    <w:rsid w:val="005D5802"/>
    <w:rsid w:val="005D5AA9"/>
    <w:rsid w:val="005D66E6"/>
    <w:rsid w:val="005D7119"/>
    <w:rsid w:val="005D76C8"/>
    <w:rsid w:val="005D7890"/>
    <w:rsid w:val="005E19C1"/>
    <w:rsid w:val="005E2194"/>
    <w:rsid w:val="005E24F0"/>
    <w:rsid w:val="005E3113"/>
    <w:rsid w:val="005E36FE"/>
    <w:rsid w:val="005E3F66"/>
    <w:rsid w:val="005E490F"/>
    <w:rsid w:val="005E4BC9"/>
    <w:rsid w:val="005E531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D7F"/>
    <w:rsid w:val="005F6DFE"/>
    <w:rsid w:val="005F7174"/>
    <w:rsid w:val="0060120D"/>
    <w:rsid w:val="006017C1"/>
    <w:rsid w:val="00601ADE"/>
    <w:rsid w:val="00601EEF"/>
    <w:rsid w:val="0060255A"/>
    <w:rsid w:val="00602998"/>
    <w:rsid w:val="00602EB3"/>
    <w:rsid w:val="00604307"/>
    <w:rsid w:val="0060487F"/>
    <w:rsid w:val="00604EAD"/>
    <w:rsid w:val="0060513F"/>
    <w:rsid w:val="006065E2"/>
    <w:rsid w:val="0060694B"/>
    <w:rsid w:val="006104FB"/>
    <w:rsid w:val="0061176D"/>
    <w:rsid w:val="0061200F"/>
    <w:rsid w:val="00612756"/>
    <w:rsid w:val="00612A2F"/>
    <w:rsid w:val="00612AAE"/>
    <w:rsid w:val="00612B07"/>
    <w:rsid w:val="00612FD9"/>
    <w:rsid w:val="006139E0"/>
    <w:rsid w:val="00614D35"/>
    <w:rsid w:val="006156B4"/>
    <w:rsid w:val="00615DAF"/>
    <w:rsid w:val="00616254"/>
    <w:rsid w:val="0061672A"/>
    <w:rsid w:val="00616E05"/>
    <w:rsid w:val="00617985"/>
    <w:rsid w:val="00620B77"/>
    <w:rsid w:val="00621190"/>
    <w:rsid w:val="0062131B"/>
    <w:rsid w:val="00621E26"/>
    <w:rsid w:val="006224EA"/>
    <w:rsid w:val="0062263A"/>
    <w:rsid w:val="006227DF"/>
    <w:rsid w:val="006234A0"/>
    <w:rsid w:val="006236C8"/>
    <w:rsid w:val="00624093"/>
    <w:rsid w:val="00625A84"/>
    <w:rsid w:val="00626079"/>
    <w:rsid w:val="00631698"/>
    <w:rsid w:val="00631E44"/>
    <w:rsid w:val="00634C57"/>
    <w:rsid w:val="00634CE7"/>
    <w:rsid w:val="006350D5"/>
    <w:rsid w:val="0063642C"/>
    <w:rsid w:val="006376B3"/>
    <w:rsid w:val="00637858"/>
    <w:rsid w:val="006404A7"/>
    <w:rsid w:val="00640A38"/>
    <w:rsid w:val="00640E6B"/>
    <w:rsid w:val="00641787"/>
    <w:rsid w:val="0064179B"/>
    <w:rsid w:val="00642489"/>
    <w:rsid w:val="00644055"/>
    <w:rsid w:val="00644137"/>
    <w:rsid w:val="0064478C"/>
    <w:rsid w:val="00645160"/>
    <w:rsid w:val="006451E4"/>
    <w:rsid w:val="0064574B"/>
    <w:rsid w:val="00645B33"/>
    <w:rsid w:val="006516CB"/>
    <w:rsid w:val="00652E30"/>
    <w:rsid w:val="00653BD0"/>
    <w:rsid w:val="00654110"/>
    <w:rsid w:val="00656C5D"/>
    <w:rsid w:val="00656CFB"/>
    <w:rsid w:val="00656D25"/>
    <w:rsid w:val="00657E87"/>
    <w:rsid w:val="00660D2D"/>
    <w:rsid w:val="00661C41"/>
    <w:rsid w:val="00661EC9"/>
    <w:rsid w:val="00662469"/>
    <w:rsid w:val="0066411C"/>
    <w:rsid w:val="00664205"/>
    <w:rsid w:val="00664647"/>
    <w:rsid w:val="00664803"/>
    <w:rsid w:val="0066502F"/>
    <w:rsid w:val="006653CC"/>
    <w:rsid w:val="00665982"/>
    <w:rsid w:val="00665BA4"/>
    <w:rsid w:val="00666BF3"/>
    <w:rsid w:val="00667856"/>
    <w:rsid w:val="00667AF2"/>
    <w:rsid w:val="00670489"/>
    <w:rsid w:val="006710C9"/>
    <w:rsid w:val="00671D85"/>
    <w:rsid w:val="00672586"/>
    <w:rsid w:val="006727BC"/>
    <w:rsid w:val="006741CD"/>
    <w:rsid w:val="00674D89"/>
    <w:rsid w:val="0067514E"/>
    <w:rsid w:val="00675E37"/>
    <w:rsid w:val="0067635D"/>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B9B"/>
    <w:rsid w:val="00684D59"/>
    <w:rsid w:val="00684E25"/>
    <w:rsid w:val="006858A4"/>
    <w:rsid w:val="00685C08"/>
    <w:rsid w:val="00686718"/>
    <w:rsid w:val="00686BFA"/>
    <w:rsid w:val="00686DED"/>
    <w:rsid w:val="006875A0"/>
    <w:rsid w:val="006878C6"/>
    <w:rsid w:val="00687D27"/>
    <w:rsid w:val="00691943"/>
    <w:rsid w:val="00693550"/>
    <w:rsid w:val="00694622"/>
    <w:rsid w:val="00695065"/>
    <w:rsid w:val="00695BEF"/>
    <w:rsid w:val="00696251"/>
    <w:rsid w:val="006966C7"/>
    <w:rsid w:val="006968C1"/>
    <w:rsid w:val="006977F6"/>
    <w:rsid w:val="00697A13"/>
    <w:rsid w:val="006A0DD4"/>
    <w:rsid w:val="006A109C"/>
    <w:rsid w:val="006A4E91"/>
    <w:rsid w:val="006A5F4B"/>
    <w:rsid w:val="006A6114"/>
    <w:rsid w:val="006A6565"/>
    <w:rsid w:val="006A76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26CE"/>
    <w:rsid w:val="006D317E"/>
    <w:rsid w:val="006D3E8A"/>
    <w:rsid w:val="006D47D9"/>
    <w:rsid w:val="006D61F6"/>
    <w:rsid w:val="006E1081"/>
    <w:rsid w:val="006E1332"/>
    <w:rsid w:val="006E19CB"/>
    <w:rsid w:val="006E279A"/>
    <w:rsid w:val="006E313B"/>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398A"/>
    <w:rsid w:val="00705242"/>
    <w:rsid w:val="007055E0"/>
    <w:rsid w:val="007056ED"/>
    <w:rsid w:val="00705F4E"/>
    <w:rsid w:val="0070658E"/>
    <w:rsid w:val="007065C5"/>
    <w:rsid w:val="007068E1"/>
    <w:rsid w:val="00706AA0"/>
    <w:rsid w:val="00706AD4"/>
    <w:rsid w:val="00707150"/>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310"/>
    <w:rsid w:val="00720D7A"/>
    <w:rsid w:val="007211F5"/>
    <w:rsid w:val="007213C3"/>
    <w:rsid w:val="00721601"/>
    <w:rsid w:val="00722777"/>
    <w:rsid w:val="00723435"/>
    <w:rsid w:val="00723436"/>
    <w:rsid w:val="007240E2"/>
    <w:rsid w:val="0072454C"/>
    <w:rsid w:val="0072583E"/>
    <w:rsid w:val="00725BB5"/>
    <w:rsid w:val="00727C02"/>
    <w:rsid w:val="0073008E"/>
    <w:rsid w:val="00730A8B"/>
    <w:rsid w:val="00730AE8"/>
    <w:rsid w:val="00730F1B"/>
    <w:rsid w:val="0073186D"/>
    <w:rsid w:val="0073261D"/>
    <w:rsid w:val="0073333D"/>
    <w:rsid w:val="007343D9"/>
    <w:rsid w:val="00734F71"/>
    <w:rsid w:val="00735448"/>
    <w:rsid w:val="00736F07"/>
    <w:rsid w:val="007377BD"/>
    <w:rsid w:val="00737DEC"/>
    <w:rsid w:val="0074004D"/>
    <w:rsid w:val="00741493"/>
    <w:rsid w:val="007434E5"/>
    <w:rsid w:val="0074499B"/>
    <w:rsid w:val="0074501E"/>
    <w:rsid w:val="007450BF"/>
    <w:rsid w:val="0074599A"/>
    <w:rsid w:val="00746F45"/>
    <w:rsid w:val="007471A1"/>
    <w:rsid w:val="007477BD"/>
    <w:rsid w:val="007477DA"/>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4A2"/>
    <w:rsid w:val="00764974"/>
    <w:rsid w:val="00764D18"/>
    <w:rsid w:val="0076521E"/>
    <w:rsid w:val="00765BCC"/>
    <w:rsid w:val="0076600D"/>
    <w:rsid w:val="007661E9"/>
    <w:rsid w:val="00766460"/>
    <w:rsid w:val="00767062"/>
    <w:rsid w:val="00767601"/>
    <w:rsid w:val="00767777"/>
    <w:rsid w:val="00767933"/>
    <w:rsid w:val="00770AB9"/>
    <w:rsid w:val="00770CFC"/>
    <w:rsid w:val="0077130E"/>
    <w:rsid w:val="007715EE"/>
    <w:rsid w:val="00771972"/>
    <w:rsid w:val="00772279"/>
    <w:rsid w:val="00772DAB"/>
    <w:rsid w:val="00772FF9"/>
    <w:rsid w:val="0077348B"/>
    <w:rsid w:val="007743DB"/>
    <w:rsid w:val="00774D2C"/>
    <w:rsid w:val="00775E00"/>
    <w:rsid w:val="0077605B"/>
    <w:rsid w:val="00776169"/>
    <w:rsid w:val="00776527"/>
    <w:rsid w:val="00777040"/>
    <w:rsid w:val="00777CE6"/>
    <w:rsid w:val="00777D57"/>
    <w:rsid w:val="00780EF1"/>
    <w:rsid w:val="00781A91"/>
    <w:rsid w:val="00781AD3"/>
    <w:rsid w:val="00781F36"/>
    <w:rsid w:val="0078357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B04B0"/>
    <w:rsid w:val="007B0834"/>
    <w:rsid w:val="007B0E83"/>
    <w:rsid w:val="007B11FA"/>
    <w:rsid w:val="007B1396"/>
    <w:rsid w:val="007B16D6"/>
    <w:rsid w:val="007B1D1B"/>
    <w:rsid w:val="007B2011"/>
    <w:rsid w:val="007B2CFE"/>
    <w:rsid w:val="007B309B"/>
    <w:rsid w:val="007B3D5E"/>
    <w:rsid w:val="007B3DCB"/>
    <w:rsid w:val="007B54AE"/>
    <w:rsid w:val="007B5725"/>
    <w:rsid w:val="007B5C1F"/>
    <w:rsid w:val="007B6689"/>
    <w:rsid w:val="007B6747"/>
    <w:rsid w:val="007B6F72"/>
    <w:rsid w:val="007B74AA"/>
    <w:rsid w:val="007C10BD"/>
    <w:rsid w:val="007C162D"/>
    <w:rsid w:val="007C1F0C"/>
    <w:rsid w:val="007C1FFB"/>
    <w:rsid w:val="007C2D94"/>
    <w:rsid w:val="007C4A6B"/>
    <w:rsid w:val="007C5F92"/>
    <w:rsid w:val="007C6227"/>
    <w:rsid w:val="007C6BBD"/>
    <w:rsid w:val="007C6D89"/>
    <w:rsid w:val="007C6F5E"/>
    <w:rsid w:val="007D0382"/>
    <w:rsid w:val="007D0F6B"/>
    <w:rsid w:val="007D14FE"/>
    <w:rsid w:val="007D1A1F"/>
    <w:rsid w:val="007D213B"/>
    <w:rsid w:val="007D2783"/>
    <w:rsid w:val="007D2E18"/>
    <w:rsid w:val="007D3EF3"/>
    <w:rsid w:val="007D40DF"/>
    <w:rsid w:val="007D42E5"/>
    <w:rsid w:val="007D4458"/>
    <w:rsid w:val="007D6AF9"/>
    <w:rsid w:val="007D7763"/>
    <w:rsid w:val="007E0535"/>
    <w:rsid w:val="007E07F2"/>
    <w:rsid w:val="007E0D4A"/>
    <w:rsid w:val="007E1788"/>
    <w:rsid w:val="007E1EE3"/>
    <w:rsid w:val="007E29B4"/>
    <w:rsid w:val="007E2F12"/>
    <w:rsid w:val="007E435A"/>
    <w:rsid w:val="007E445C"/>
    <w:rsid w:val="007E49F7"/>
    <w:rsid w:val="007E4C70"/>
    <w:rsid w:val="007E5B5F"/>
    <w:rsid w:val="007E69C6"/>
    <w:rsid w:val="007E78B6"/>
    <w:rsid w:val="007E7E61"/>
    <w:rsid w:val="007F0845"/>
    <w:rsid w:val="007F0873"/>
    <w:rsid w:val="007F20F3"/>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34C"/>
    <w:rsid w:val="00807C82"/>
    <w:rsid w:val="008117CC"/>
    <w:rsid w:val="00811FF8"/>
    <w:rsid w:val="00813D58"/>
    <w:rsid w:val="00813DCA"/>
    <w:rsid w:val="008161A6"/>
    <w:rsid w:val="008165B8"/>
    <w:rsid w:val="00816905"/>
    <w:rsid w:val="00816D98"/>
    <w:rsid w:val="00816E42"/>
    <w:rsid w:val="00817040"/>
    <w:rsid w:val="00817A17"/>
    <w:rsid w:val="00817EC1"/>
    <w:rsid w:val="0082112D"/>
    <w:rsid w:val="00821624"/>
    <w:rsid w:val="00821FF6"/>
    <w:rsid w:val="00822574"/>
    <w:rsid w:val="00822980"/>
    <w:rsid w:val="00822F08"/>
    <w:rsid w:val="00824BA6"/>
    <w:rsid w:val="00825120"/>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1163"/>
    <w:rsid w:val="008520A8"/>
    <w:rsid w:val="00852217"/>
    <w:rsid w:val="00853282"/>
    <w:rsid w:val="0085334C"/>
    <w:rsid w:val="00854291"/>
    <w:rsid w:val="00855408"/>
    <w:rsid w:val="00855D03"/>
    <w:rsid w:val="00856D65"/>
    <w:rsid w:val="00856FA4"/>
    <w:rsid w:val="00860D79"/>
    <w:rsid w:val="00861B41"/>
    <w:rsid w:val="00861B9F"/>
    <w:rsid w:val="00861BE3"/>
    <w:rsid w:val="008625D3"/>
    <w:rsid w:val="00862C0A"/>
    <w:rsid w:val="00863434"/>
    <w:rsid w:val="0086344F"/>
    <w:rsid w:val="008641AC"/>
    <w:rsid w:val="00865E4C"/>
    <w:rsid w:val="00866074"/>
    <w:rsid w:val="00867546"/>
    <w:rsid w:val="0086796D"/>
    <w:rsid w:val="00867DAB"/>
    <w:rsid w:val="0087000B"/>
    <w:rsid w:val="008701E4"/>
    <w:rsid w:val="008704E9"/>
    <w:rsid w:val="008705FB"/>
    <w:rsid w:val="00870ECD"/>
    <w:rsid w:val="0087347C"/>
    <w:rsid w:val="008734E7"/>
    <w:rsid w:val="0087368D"/>
    <w:rsid w:val="008740CC"/>
    <w:rsid w:val="0087442A"/>
    <w:rsid w:val="00874578"/>
    <w:rsid w:val="00874FE8"/>
    <w:rsid w:val="00875A32"/>
    <w:rsid w:val="00875CC1"/>
    <w:rsid w:val="00876086"/>
    <w:rsid w:val="00876651"/>
    <w:rsid w:val="00876E83"/>
    <w:rsid w:val="008772BC"/>
    <w:rsid w:val="00880A0E"/>
    <w:rsid w:val="008817FE"/>
    <w:rsid w:val="00881CD7"/>
    <w:rsid w:val="00882911"/>
    <w:rsid w:val="00882F6E"/>
    <w:rsid w:val="00883202"/>
    <w:rsid w:val="00884E02"/>
    <w:rsid w:val="0088502B"/>
    <w:rsid w:val="00885D40"/>
    <w:rsid w:val="008873D4"/>
    <w:rsid w:val="00890CB1"/>
    <w:rsid w:val="00891EDF"/>
    <w:rsid w:val="00892872"/>
    <w:rsid w:val="0089296D"/>
    <w:rsid w:val="00893E85"/>
    <w:rsid w:val="00893EBE"/>
    <w:rsid w:val="00894031"/>
    <w:rsid w:val="00894C5D"/>
    <w:rsid w:val="00895508"/>
    <w:rsid w:val="008967E9"/>
    <w:rsid w:val="00896A5C"/>
    <w:rsid w:val="008972D2"/>
    <w:rsid w:val="0089754C"/>
    <w:rsid w:val="00897CFA"/>
    <w:rsid w:val="008A0659"/>
    <w:rsid w:val="008A0ADD"/>
    <w:rsid w:val="008A0D27"/>
    <w:rsid w:val="008A1C59"/>
    <w:rsid w:val="008A37E2"/>
    <w:rsid w:val="008A388E"/>
    <w:rsid w:val="008A394E"/>
    <w:rsid w:val="008A3CBA"/>
    <w:rsid w:val="008A4B59"/>
    <w:rsid w:val="008A63E1"/>
    <w:rsid w:val="008A66B7"/>
    <w:rsid w:val="008A68BB"/>
    <w:rsid w:val="008A6AA5"/>
    <w:rsid w:val="008A7127"/>
    <w:rsid w:val="008B0CBA"/>
    <w:rsid w:val="008B2639"/>
    <w:rsid w:val="008B3537"/>
    <w:rsid w:val="008B3690"/>
    <w:rsid w:val="008B3A80"/>
    <w:rsid w:val="008B3AEC"/>
    <w:rsid w:val="008B3C07"/>
    <w:rsid w:val="008B3F7B"/>
    <w:rsid w:val="008B43CA"/>
    <w:rsid w:val="008B5324"/>
    <w:rsid w:val="008B5C99"/>
    <w:rsid w:val="008B6106"/>
    <w:rsid w:val="008B7C02"/>
    <w:rsid w:val="008B7D2B"/>
    <w:rsid w:val="008B7EF9"/>
    <w:rsid w:val="008C0049"/>
    <w:rsid w:val="008C0314"/>
    <w:rsid w:val="008C0E88"/>
    <w:rsid w:val="008C0EBE"/>
    <w:rsid w:val="008C1717"/>
    <w:rsid w:val="008C17F0"/>
    <w:rsid w:val="008C3B05"/>
    <w:rsid w:val="008C4B50"/>
    <w:rsid w:val="008C5A37"/>
    <w:rsid w:val="008C7569"/>
    <w:rsid w:val="008C79C3"/>
    <w:rsid w:val="008D006F"/>
    <w:rsid w:val="008D033D"/>
    <w:rsid w:val="008D0DBD"/>
    <w:rsid w:val="008D117E"/>
    <w:rsid w:val="008D127E"/>
    <w:rsid w:val="008D1CA8"/>
    <w:rsid w:val="008D1E0A"/>
    <w:rsid w:val="008D1E6A"/>
    <w:rsid w:val="008D2407"/>
    <w:rsid w:val="008D2A16"/>
    <w:rsid w:val="008D2AEC"/>
    <w:rsid w:val="008D3295"/>
    <w:rsid w:val="008D33F5"/>
    <w:rsid w:val="008D35E4"/>
    <w:rsid w:val="008D3ACD"/>
    <w:rsid w:val="008D6C3A"/>
    <w:rsid w:val="008D70E2"/>
    <w:rsid w:val="008D7F47"/>
    <w:rsid w:val="008E0001"/>
    <w:rsid w:val="008E039E"/>
    <w:rsid w:val="008E292B"/>
    <w:rsid w:val="008E2C57"/>
    <w:rsid w:val="008E31FF"/>
    <w:rsid w:val="008E3287"/>
    <w:rsid w:val="008E38E4"/>
    <w:rsid w:val="008E3DFA"/>
    <w:rsid w:val="008E51EB"/>
    <w:rsid w:val="008E5746"/>
    <w:rsid w:val="008E64D7"/>
    <w:rsid w:val="008E6DCB"/>
    <w:rsid w:val="008E6F06"/>
    <w:rsid w:val="008E7000"/>
    <w:rsid w:val="008E723E"/>
    <w:rsid w:val="008E7B8E"/>
    <w:rsid w:val="008E7FC9"/>
    <w:rsid w:val="008F0107"/>
    <w:rsid w:val="008F029B"/>
    <w:rsid w:val="008F0589"/>
    <w:rsid w:val="008F2A5D"/>
    <w:rsid w:val="008F2BC7"/>
    <w:rsid w:val="008F2E83"/>
    <w:rsid w:val="008F3636"/>
    <w:rsid w:val="008F3FC9"/>
    <w:rsid w:val="008F509F"/>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239"/>
    <w:rsid w:val="00932443"/>
    <w:rsid w:val="00932B32"/>
    <w:rsid w:val="0093305E"/>
    <w:rsid w:val="00933F4A"/>
    <w:rsid w:val="009341F1"/>
    <w:rsid w:val="00934FF2"/>
    <w:rsid w:val="009358D7"/>
    <w:rsid w:val="00935BD4"/>
    <w:rsid w:val="00935DFE"/>
    <w:rsid w:val="00935F70"/>
    <w:rsid w:val="0093648B"/>
    <w:rsid w:val="00937017"/>
    <w:rsid w:val="009373B2"/>
    <w:rsid w:val="00937AE2"/>
    <w:rsid w:val="0094061F"/>
    <w:rsid w:val="00940F0F"/>
    <w:rsid w:val="00941912"/>
    <w:rsid w:val="0094416B"/>
    <w:rsid w:val="0094427A"/>
    <w:rsid w:val="009449C6"/>
    <w:rsid w:val="00944C7C"/>
    <w:rsid w:val="00945245"/>
    <w:rsid w:val="00945523"/>
    <w:rsid w:val="00946C43"/>
    <w:rsid w:val="00950921"/>
    <w:rsid w:val="00951D68"/>
    <w:rsid w:val="00951E5B"/>
    <w:rsid w:val="00952050"/>
    <w:rsid w:val="00952315"/>
    <w:rsid w:val="009523D9"/>
    <w:rsid w:val="00952B7B"/>
    <w:rsid w:val="0095357B"/>
    <w:rsid w:val="009538B3"/>
    <w:rsid w:val="00954F39"/>
    <w:rsid w:val="009555FD"/>
    <w:rsid w:val="00955BAD"/>
    <w:rsid w:val="0095664B"/>
    <w:rsid w:val="009568DC"/>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1D45"/>
    <w:rsid w:val="00992BB3"/>
    <w:rsid w:val="00992CF3"/>
    <w:rsid w:val="00993194"/>
    <w:rsid w:val="0099321E"/>
    <w:rsid w:val="00994171"/>
    <w:rsid w:val="00994868"/>
    <w:rsid w:val="00994976"/>
    <w:rsid w:val="00994D28"/>
    <w:rsid w:val="00994F2C"/>
    <w:rsid w:val="00995720"/>
    <w:rsid w:val="009957CC"/>
    <w:rsid w:val="009968D6"/>
    <w:rsid w:val="00997953"/>
    <w:rsid w:val="00997D55"/>
    <w:rsid w:val="009A0BFF"/>
    <w:rsid w:val="009A10A0"/>
    <w:rsid w:val="009A1CAB"/>
    <w:rsid w:val="009A2359"/>
    <w:rsid w:val="009A24F1"/>
    <w:rsid w:val="009A27E0"/>
    <w:rsid w:val="009A4D57"/>
    <w:rsid w:val="009A51A5"/>
    <w:rsid w:val="009A5309"/>
    <w:rsid w:val="009A5759"/>
    <w:rsid w:val="009A60D1"/>
    <w:rsid w:val="009A6225"/>
    <w:rsid w:val="009A64F5"/>
    <w:rsid w:val="009B00D2"/>
    <w:rsid w:val="009B05B3"/>
    <w:rsid w:val="009B0CAF"/>
    <w:rsid w:val="009B1324"/>
    <w:rsid w:val="009B2558"/>
    <w:rsid w:val="009B284F"/>
    <w:rsid w:val="009B3764"/>
    <w:rsid w:val="009B3840"/>
    <w:rsid w:val="009B52AC"/>
    <w:rsid w:val="009B553D"/>
    <w:rsid w:val="009B59EA"/>
    <w:rsid w:val="009B66CE"/>
    <w:rsid w:val="009B6FD3"/>
    <w:rsid w:val="009B72BE"/>
    <w:rsid w:val="009B78A4"/>
    <w:rsid w:val="009B7DB2"/>
    <w:rsid w:val="009C03DB"/>
    <w:rsid w:val="009C15AF"/>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6EA6"/>
    <w:rsid w:val="009D7731"/>
    <w:rsid w:val="009E1120"/>
    <w:rsid w:val="009E1393"/>
    <w:rsid w:val="009E1922"/>
    <w:rsid w:val="009E1A3D"/>
    <w:rsid w:val="009E4715"/>
    <w:rsid w:val="009E4A58"/>
    <w:rsid w:val="009E5273"/>
    <w:rsid w:val="009E57A8"/>
    <w:rsid w:val="009E5B85"/>
    <w:rsid w:val="009E5DDB"/>
    <w:rsid w:val="009F1CA6"/>
    <w:rsid w:val="009F2921"/>
    <w:rsid w:val="009F42CF"/>
    <w:rsid w:val="009F4982"/>
    <w:rsid w:val="009F4CA7"/>
    <w:rsid w:val="009F4F6A"/>
    <w:rsid w:val="009F55BA"/>
    <w:rsid w:val="009F7D36"/>
    <w:rsid w:val="009F7D61"/>
    <w:rsid w:val="00A00E71"/>
    <w:rsid w:val="00A0187B"/>
    <w:rsid w:val="00A02E8B"/>
    <w:rsid w:val="00A0306F"/>
    <w:rsid w:val="00A03511"/>
    <w:rsid w:val="00A03B10"/>
    <w:rsid w:val="00A03E2E"/>
    <w:rsid w:val="00A04616"/>
    <w:rsid w:val="00A04717"/>
    <w:rsid w:val="00A05D8F"/>
    <w:rsid w:val="00A05EE4"/>
    <w:rsid w:val="00A06F99"/>
    <w:rsid w:val="00A1053B"/>
    <w:rsid w:val="00A10D66"/>
    <w:rsid w:val="00A113A4"/>
    <w:rsid w:val="00A12A8E"/>
    <w:rsid w:val="00A133F9"/>
    <w:rsid w:val="00A1411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FE1"/>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628E"/>
    <w:rsid w:val="00A266BF"/>
    <w:rsid w:val="00A26777"/>
    <w:rsid w:val="00A2731E"/>
    <w:rsid w:val="00A309AC"/>
    <w:rsid w:val="00A30F65"/>
    <w:rsid w:val="00A315D0"/>
    <w:rsid w:val="00A3279E"/>
    <w:rsid w:val="00A33DB1"/>
    <w:rsid w:val="00A33EEB"/>
    <w:rsid w:val="00A35900"/>
    <w:rsid w:val="00A35F33"/>
    <w:rsid w:val="00A401A3"/>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8BA"/>
    <w:rsid w:val="00A50D73"/>
    <w:rsid w:val="00A518BB"/>
    <w:rsid w:val="00A52A88"/>
    <w:rsid w:val="00A52CAD"/>
    <w:rsid w:val="00A53340"/>
    <w:rsid w:val="00A53FC7"/>
    <w:rsid w:val="00A55569"/>
    <w:rsid w:val="00A55C36"/>
    <w:rsid w:val="00A5661B"/>
    <w:rsid w:val="00A566A0"/>
    <w:rsid w:val="00A601E7"/>
    <w:rsid w:val="00A60AC1"/>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77E6B"/>
    <w:rsid w:val="00A81652"/>
    <w:rsid w:val="00A82BF0"/>
    <w:rsid w:val="00A82C91"/>
    <w:rsid w:val="00A83150"/>
    <w:rsid w:val="00A83398"/>
    <w:rsid w:val="00A83D6E"/>
    <w:rsid w:val="00A83FD5"/>
    <w:rsid w:val="00A8521A"/>
    <w:rsid w:val="00A857C0"/>
    <w:rsid w:val="00A85ACB"/>
    <w:rsid w:val="00A9036F"/>
    <w:rsid w:val="00A9092B"/>
    <w:rsid w:val="00A90F2C"/>
    <w:rsid w:val="00A90FED"/>
    <w:rsid w:val="00A91482"/>
    <w:rsid w:val="00A9189D"/>
    <w:rsid w:val="00A91E71"/>
    <w:rsid w:val="00A925B1"/>
    <w:rsid w:val="00A92A3E"/>
    <w:rsid w:val="00A934F9"/>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4282"/>
    <w:rsid w:val="00AA43F2"/>
    <w:rsid w:val="00AA4790"/>
    <w:rsid w:val="00AA52BF"/>
    <w:rsid w:val="00AA559A"/>
    <w:rsid w:val="00AA6C31"/>
    <w:rsid w:val="00AA7752"/>
    <w:rsid w:val="00AA7CE8"/>
    <w:rsid w:val="00AB1457"/>
    <w:rsid w:val="00AB2AF1"/>
    <w:rsid w:val="00AB32CB"/>
    <w:rsid w:val="00AB3AD7"/>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C5256"/>
    <w:rsid w:val="00AC78F1"/>
    <w:rsid w:val="00AD0B22"/>
    <w:rsid w:val="00AD0EE7"/>
    <w:rsid w:val="00AD168E"/>
    <w:rsid w:val="00AD306C"/>
    <w:rsid w:val="00AD44CD"/>
    <w:rsid w:val="00AD47A7"/>
    <w:rsid w:val="00AD5AD2"/>
    <w:rsid w:val="00AD6462"/>
    <w:rsid w:val="00AD66C5"/>
    <w:rsid w:val="00AD68C4"/>
    <w:rsid w:val="00AD71F9"/>
    <w:rsid w:val="00AE09B3"/>
    <w:rsid w:val="00AE1A83"/>
    <w:rsid w:val="00AE30BE"/>
    <w:rsid w:val="00AE3E6A"/>
    <w:rsid w:val="00AE417E"/>
    <w:rsid w:val="00AE56EE"/>
    <w:rsid w:val="00AE6414"/>
    <w:rsid w:val="00AE7269"/>
    <w:rsid w:val="00AE797C"/>
    <w:rsid w:val="00AE7CE7"/>
    <w:rsid w:val="00AE7FAB"/>
    <w:rsid w:val="00AF0DE4"/>
    <w:rsid w:val="00AF12A0"/>
    <w:rsid w:val="00AF1E87"/>
    <w:rsid w:val="00AF436B"/>
    <w:rsid w:val="00AF5179"/>
    <w:rsid w:val="00AF5CC2"/>
    <w:rsid w:val="00AF660D"/>
    <w:rsid w:val="00AF6776"/>
    <w:rsid w:val="00AF6F98"/>
    <w:rsid w:val="00AF7277"/>
    <w:rsid w:val="00B00550"/>
    <w:rsid w:val="00B00913"/>
    <w:rsid w:val="00B00D4D"/>
    <w:rsid w:val="00B01593"/>
    <w:rsid w:val="00B01D0F"/>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3108D"/>
    <w:rsid w:val="00B32DDB"/>
    <w:rsid w:val="00B32F57"/>
    <w:rsid w:val="00B3345C"/>
    <w:rsid w:val="00B343C4"/>
    <w:rsid w:val="00B34528"/>
    <w:rsid w:val="00B34750"/>
    <w:rsid w:val="00B34CC9"/>
    <w:rsid w:val="00B34CDA"/>
    <w:rsid w:val="00B3563B"/>
    <w:rsid w:val="00B36BDC"/>
    <w:rsid w:val="00B37D3A"/>
    <w:rsid w:val="00B37D96"/>
    <w:rsid w:val="00B402FC"/>
    <w:rsid w:val="00B422E2"/>
    <w:rsid w:val="00B42517"/>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60AC1"/>
    <w:rsid w:val="00B61FF6"/>
    <w:rsid w:val="00B62316"/>
    <w:rsid w:val="00B63A11"/>
    <w:rsid w:val="00B64425"/>
    <w:rsid w:val="00B64C24"/>
    <w:rsid w:val="00B64E72"/>
    <w:rsid w:val="00B65CEF"/>
    <w:rsid w:val="00B6608F"/>
    <w:rsid w:val="00B67749"/>
    <w:rsid w:val="00B679FB"/>
    <w:rsid w:val="00B71FBF"/>
    <w:rsid w:val="00B734A0"/>
    <w:rsid w:val="00B73A14"/>
    <w:rsid w:val="00B748BD"/>
    <w:rsid w:val="00B76100"/>
    <w:rsid w:val="00B7680F"/>
    <w:rsid w:val="00B76B48"/>
    <w:rsid w:val="00B76D1E"/>
    <w:rsid w:val="00B77543"/>
    <w:rsid w:val="00B77584"/>
    <w:rsid w:val="00B77E34"/>
    <w:rsid w:val="00B80D44"/>
    <w:rsid w:val="00B80D89"/>
    <w:rsid w:val="00B80EC6"/>
    <w:rsid w:val="00B81288"/>
    <w:rsid w:val="00B81D70"/>
    <w:rsid w:val="00B833B9"/>
    <w:rsid w:val="00B83AAF"/>
    <w:rsid w:val="00B83E07"/>
    <w:rsid w:val="00B84CF6"/>
    <w:rsid w:val="00B85016"/>
    <w:rsid w:val="00B8561A"/>
    <w:rsid w:val="00B86628"/>
    <w:rsid w:val="00B86643"/>
    <w:rsid w:val="00B868F7"/>
    <w:rsid w:val="00B86EB1"/>
    <w:rsid w:val="00B871A7"/>
    <w:rsid w:val="00B90131"/>
    <w:rsid w:val="00B92951"/>
    <w:rsid w:val="00B92D1D"/>
    <w:rsid w:val="00B92D7E"/>
    <w:rsid w:val="00B930CE"/>
    <w:rsid w:val="00B938C5"/>
    <w:rsid w:val="00B940A8"/>
    <w:rsid w:val="00B9554A"/>
    <w:rsid w:val="00B95940"/>
    <w:rsid w:val="00B95ACA"/>
    <w:rsid w:val="00B95C12"/>
    <w:rsid w:val="00B96D74"/>
    <w:rsid w:val="00B9720E"/>
    <w:rsid w:val="00B97ACC"/>
    <w:rsid w:val="00B97FE2"/>
    <w:rsid w:val="00BA0E0B"/>
    <w:rsid w:val="00BA201A"/>
    <w:rsid w:val="00BA21DF"/>
    <w:rsid w:val="00BA361D"/>
    <w:rsid w:val="00BA3787"/>
    <w:rsid w:val="00BA403A"/>
    <w:rsid w:val="00BA46E8"/>
    <w:rsid w:val="00BA49DB"/>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0C0"/>
    <w:rsid w:val="00BB5AB2"/>
    <w:rsid w:val="00BB5ABF"/>
    <w:rsid w:val="00BB6EA2"/>
    <w:rsid w:val="00BB7142"/>
    <w:rsid w:val="00BB76F3"/>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C7EFA"/>
    <w:rsid w:val="00BD041B"/>
    <w:rsid w:val="00BD25BB"/>
    <w:rsid w:val="00BD2AF8"/>
    <w:rsid w:val="00BD366B"/>
    <w:rsid w:val="00BD3C09"/>
    <w:rsid w:val="00BD410B"/>
    <w:rsid w:val="00BD4A73"/>
    <w:rsid w:val="00BD4EDD"/>
    <w:rsid w:val="00BD4EF4"/>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7F5F"/>
    <w:rsid w:val="00BF02C8"/>
    <w:rsid w:val="00BF1578"/>
    <w:rsid w:val="00BF15CA"/>
    <w:rsid w:val="00BF1D12"/>
    <w:rsid w:val="00BF1D3A"/>
    <w:rsid w:val="00BF2B5B"/>
    <w:rsid w:val="00BF2D41"/>
    <w:rsid w:val="00BF3274"/>
    <w:rsid w:val="00BF32DC"/>
    <w:rsid w:val="00BF35C9"/>
    <w:rsid w:val="00BF4329"/>
    <w:rsid w:val="00BF4E43"/>
    <w:rsid w:val="00BF5C4C"/>
    <w:rsid w:val="00BF765C"/>
    <w:rsid w:val="00BF77FC"/>
    <w:rsid w:val="00C006D6"/>
    <w:rsid w:val="00C00BD7"/>
    <w:rsid w:val="00C01410"/>
    <w:rsid w:val="00C02D23"/>
    <w:rsid w:val="00C03D4D"/>
    <w:rsid w:val="00C044F4"/>
    <w:rsid w:val="00C04B78"/>
    <w:rsid w:val="00C052AA"/>
    <w:rsid w:val="00C06EE3"/>
    <w:rsid w:val="00C07279"/>
    <w:rsid w:val="00C07749"/>
    <w:rsid w:val="00C07C67"/>
    <w:rsid w:val="00C11244"/>
    <w:rsid w:val="00C118A9"/>
    <w:rsid w:val="00C11D48"/>
    <w:rsid w:val="00C12304"/>
    <w:rsid w:val="00C12316"/>
    <w:rsid w:val="00C1246C"/>
    <w:rsid w:val="00C1493E"/>
    <w:rsid w:val="00C15DBD"/>
    <w:rsid w:val="00C161C5"/>
    <w:rsid w:val="00C172F7"/>
    <w:rsid w:val="00C2010D"/>
    <w:rsid w:val="00C20CB5"/>
    <w:rsid w:val="00C21430"/>
    <w:rsid w:val="00C216DF"/>
    <w:rsid w:val="00C21E61"/>
    <w:rsid w:val="00C21F94"/>
    <w:rsid w:val="00C224BD"/>
    <w:rsid w:val="00C2272B"/>
    <w:rsid w:val="00C234DB"/>
    <w:rsid w:val="00C23C5C"/>
    <w:rsid w:val="00C2479A"/>
    <w:rsid w:val="00C24903"/>
    <w:rsid w:val="00C2590D"/>
    <w:rsid w:val="00C25D9C"/>
    <w:rsid w:val="00C27913"/>
    <w:rsid w:val="00C27FA7"/>
    <w:rsid w:val="00C300E2"/>
    <w:rsid w:val="00C31F21"/>
    <w:rsid w:val="00C32631"/>
    <w:rsid w:val="00C33301"/>
    <w:rsid w:val="00C33311"/>
    <w:rsid w:val="00C33B68"/>
    <w:rsid w:val="00C34AD4"/>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0AE3"/>
    <w:rsid w:val="00C61F47"/>
    <w:rsid w:val="00C62828"/>
    <w:rsid w:val="00C655DA"/>
    <w:rsid w:val="00C672C1"/>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1070"/>
    <w:rsid w:val="00C8174E"/>
    <w:rsid w:val="00C82191"/>
    <w:rsid w:val="00C83134"/>
    <w:rsid w:val="00C831E7"/>
    <w:rsid w:val="00C832F3"/>
    <w:rsid w:val="00C84307"/>
    <w:rsid w:val="00C845A4"/>
    <w:rsid w:val="00C85545"/>
    <w:rsid w:val="00C855B5"/>
    <w:rsid w:val="00C85F0E"/>
    <w:rsid w:val="00C867F9"/>
    <w:rsid w:val="00C872AA"/>
    <w:rsid w:val="00C87C6B"/>
    <w:rsid w:val="00C90357"/>
    <w:rsid w:val="00C90CF4"/>
    <w:rsid w:val="00C91C20"/>
    <w:rsid w:val="00C922DE"/>
    <w:rsid w:val="00C92843"/>
    <w:rsid w:val="00C92EB6"/>
    <w:rsid w:val="00C93389"/>
    <w:rsid w:val="00C948E6"/>
    <w:rsid w:val="00C94CDD"/>
    <w:rsid w:val="00C95123"/>
    <w:rsid w:val="00C97588"/>
    <w:rsid w:val="00CA0346"/>
    <w:rsid w:val="00CA0BD5"/>
    <w:rsid w:val="00CA0DA1"/>
    <w:rsid w:val="00CA1BD6"/>
    <w:rsid w:val="00CA37FF"/>
    <w:rsid w:val="00CA423A"/>
    <w:rsid w:val="00CA47BC"/>
    <w:rsid w:val="00CA5EAD"/>
    <w:rsid w:val="00CA6AB4"/>
    <w:rsid w:val="00CA7255"/>
    <w:rsid w:val="00CA79E2"/>
    <w:rsid w:val="00CB111E"/>
    <w:rsid w:val="00CB1BEE"/>
    <w:rsid w:val="00CB2351"/>
    <w:rsid w:val="00CB4022"/>
    <w:rsid w:val="00CB4930"/>
    <w:rsid w:val="00CB4BA9"/>
    <w:rsid w:val="00CB4C48"/>
    <w:rsid w:val="00CB4C63"/>
    <w:rsid w:val="00CB5A48"/>
    <w:rsid w:val="00CB5E10"/>
    <w:rsid w:val="00CB613B"/>
    <w:rsid w:val="00CB6152"/>
    <w:rsid w:val="00CB64E1"/>
    <w:rsid w:val="00CB6C6F"/>
    <w:rsid w:val="00CB6E4D"/>
    <w:rsid w:val="00CC009B"/>
    <w:rsid w:val="00CC0834"/>
    <w:rsid w:val="00CC0AEA"/>
    <w:rsid w:val="00CC20FE"/>
    <w:rsid w:val="00CC225C"/>
    <w:rsid w:val="00CC2E7D"/>
    <w:rsid w:val="00CC469E"/>
    <w:rsid w:val="00CC5BE8"/>
    <w:rsid w:val="00CC612B"/>
    <w:rsid w:val="00CC655F"/>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6331"/>
    <w:rsid w:val="00CD7E9E"/>
    <w:rsid w:val="00CE14BE"/>
    <w:rsid w:val="00CE17A4"/>
    <w:rsid w:val="00CE1BA9"/>
    <w:rsid w:val="00CE2D8F"/>
    <w:rsid w:val="00CE3532"/>
    <w:rsid w:val="00CE3E48"/>
    <w:rsid w:val="00CE46C0"/>
    <w:rsid w:val="00CE47B8"/>
    <w:rsid w:val="00CE54FD"/>
    <w:rsid w:val="00CE5C92"/>
    <w:rsid w:val="00CE5E12"/>
    <w:rsid w:val="00CE62FA"/>
    <w:rsid w:val="00CE670B"/>
    <w:rsid w:val="00CE6833"/>
    <w:rsid w:val="00CE7562"/>
    <w:rsid w:val="00CF020B"/>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011"/>
    <w:rsid w:val="00D11476"/>
    <w:rsid w:val="00D12C25"/>
    <w:rsid w:val="00D133B4"/>
    <w:rsid w:val="00D13986"/>
    <w:rsid w:val="00D13F3E"/>
    <w:rsid w:val="00D14C5B"/>
    <w:rsid w:val="00D15FED"/>
    <w:rsid w:val="00D16712"/>
    <w:rsid w:val="00D214EF"/>
    <w:rsid w:val="00D215B0"/>
    <w:rsid w:val="00D21D6D"/>
    <w:rsid w:val="00D21D83"/>
    <w:rsid w:val="00D22A47"/>
    <w:rsid w:val="00D235B7"/>
    <w:rsid w:val="00D23A99"/>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02A"/>
    <w:rsid w:val="00D533C4"/>
    <w:rsid w:val="00D5384E"/>
    <w:rsid w:val="00D544E7"/>
    <w:rsid w:val="00D5499F"/>
    <w:rsid w:val="00D5560A"/>
    <w:rsid w:val="00D56FBF"/>
    <w:rsid w:val="00D57677"/>
    <w:rsid w:val="00D5781F"/>
    <w:rsid w:val="00D60415"/>
    <w:rsid w:val="00D60E3C"/>
    <w:rsid w:val="00D60FA7"/>
    <w:rsid w:val="00D61FAB"/>
    <w:rsid w:val="00D63BE5"/>
    <w:rsid w:val="00D6475F"/>
    <w:rsid w:val="00D655D4"/>
    <w:rsid w:val="00D66223"/>
    <w:rsid w:val="00D667B8"/>
    <w:rsid w:val="00D67D55"/>
    <w:rsid w:val="00D70289"/>
    <w:rsid w:val="00D7041F"/>
    <w:rsid w:val="00D70822"/>
    <w:rsid w:val="00D72076"/>
    <w:rsid w:val="00D721B4"/>
    <w:rsid w:val="00D726A9"/>
    <w:rsid w:val="00D72DBA"/>
    <w:rsid w:val="00D743E0"/>
    <w:rsid w:val="00D7469D"/>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32B8"/>
    <w:rsid w:val="00D932F0"/>
    <w:rsid w:val="00D95302"/>
    <w:rsid w:val="00D95889"/>
    <w:rsid w:val="00D95C5D"/>
    <w:rsid w:val="00D97D00"/>
    <w:rsid w:val="00DA096C"/>
    <w:rsid w:val="00DA1AB6"/>
    <w:rsid w:val="00DA2E65"/>
    <w:rsid w:val="00DA37DE"/>
    <w:rsid w:val="00DA3ADF"/>
    <w:rsid w:val="00DA4174"/>
    <w:rsid w:val="00DA544C"/>
    <w:rsid w:val="00DA5F8E"/>
    <w:rsid w:val="00DA6364"/>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613B"/>
    <w:rsid w:val="00DB657E"/>
    <w:rsid w:val="00DB7342"/>
    <w:rsid w:val="00DB7489"/>
    <w:rsid w:val="00DC0B4D"/>
    <w:rsid w:val="00DC0CBB"/>
    <w:rsid w:val="00DC17D0"/>
    <w:rsid w:val="00DC1E5D"/>
    <w:rsid w:val="00DC2B41"/>
    <w:rsid w:val="00DC2EA7"/>
    <w:rsid w:val="00DC3128"/>
    <w:rsid w:val="00DC435B"/>
    <w:rsid w:val="00DC4AC4"/>
    <w:rsid w:val="00DC53D8"/>
    <w:rsid w:val="00DC56FE"/>
    <w:rsid w:val="00DC5B3B"/>
    <w:rsid w:val="00DC5F11"/>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3E5D"/>
    <w:rsid w:val="00DE450F"/>
    <w:rsid w:val="00DE4865"/>
    <w:rsid w:val="00DE5CA6"/>
    <w:rsid w:val="00DE5E55"/>
    <w:rsid w:val="00DE7156"/>
    <w:rsid w:val="00DE7AC8"/>
    <w:rsid w:val="00DF0830"/>
    <w:rsid w:val="00DF2C5D"/>
    <w:rsid w:val="00DF2CD3"/>
    <w:rsid w:val="00DF3643"/>
    <w:rsid w:val="00DF42FF"/>
    <w:rsid w:val="00DF4369"/>
    <w:rsid w:val="00DF4423"/>
    <w:rsid w:val="00DF4ADF"/>
    <w:rsid w:val="00DF57D6"/>
    <w:rsid w:val="00DF5D1E"/>
    <w:rsid w:val="00DF77E4"/>
    <w:rsid w:val="00DF7F88"/>
    <w:rsid w:val="00E00B88"/>
    <w:rsid w:val="00E01C0E"/>
    <w:rsid w:val="00E0368F"/>
    <w:rsid w:val="00E03D73"/>
    <w:rsid w:val="00E03F9A"/>
    <w:rsid w:val="00E040DA"/>
    <w:rsid w:val="00E04694"/>
    <w:rsid w:val="00E05333"/>
    <w:rsid w:val="00E1168B"/>
    <w:rsid w:val="00E12191"/>
    <w:rsid w:val="00E129E7"/>
    <w:rsid w:val="00E12ABE"/>
    <w:rsid w:val="00E12B1E"/>
    <w:rsid w:val="00E135EB"/>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179"/>
    <w:rsid w:val="00E417BE"/>
    <w:rsid w:val="00E41CD5"/>
    <w:rsid w:val="00E42054"/>
    <w:rsid w:val="00E4372D"/>
    <w:rsid w:val="00E43A9E"/>
    <w:rsid w:val="00E44243"/>
    <w:rsid w:val="00E453F9"/>
    <w:rsid w:val="00E45D7D"/>
    <w:rsid w:val="00E4623F"/>
    <w:rsid w:val="00E4665D"/>
    <w:rsid w:val="00E47854"/>
    <w:rsid w:val="00E478E2"/>
    <w:rsid w:val="00E47EBA"/>
    <w:rsid w:val="00E50156"/>
    <w:rsid w:val="00E504EB"/>
    <w:rsid w:val="00E5076C"/>
    <w:rsid w:val="00E50D2E"/>
    <w:rsid w:val="00E50D7D"/>
    <w:rsid w:val="00E51EF0"/>
    <w:rsid w:val="00E53470"/>
    <w:rsid w:val="00E5368D"/>
    <w:rsid w:val="00E539F6"/>
    <w:rsid w:val="00E54698"/>
    <w:rsid w:val="00E54BE9"/>
    <w:rsid w:val="00E54FB4"/>
    <w:rsid w:val="00E5539A"/>
    <w:rsid w:val="00E55791"/>
    <w:rsid w:val="00E55E1A"/>
    <w:rsid w:val="00E578A2"/>
    <w:rsid w:val="00E579ED"/>
    <w:rsid w:val="00E60043"/>
    <w:rsid w:val="00E61740"/>
    <w:rsid w:val="00E61EB5"/>
    <w:rsid w:val="00E6324D"/>
    <w:rsid w:val="00E65084"/>
    <w:rsid w:val="00E6519D"/>
    <w:rsid w:val="00E66062"/>
    <w:rsid w:val="00E6660E"/>
    <w:rsid w:val="00E66768"/>
    <w:rsid w:val="00E67305"/>
    <w:rsid w:val="00E67696"/>
    <w:rsid w:val="00E709AF"/>
    <w:rsid w:val="00E70C5F"/>
    <w:rsid w:val="00E71A58"/>
    <w:rsid w:val="00E728D7"/>
    <w:rsid w:val="00E72A26"/>
    <w:rsid w:val="00E72A7A"/>
    <w:rsid w:val="00E7335A"/>
    <w:rsid w:val="00E73986"/>
    <w:rsid w:val="00E7467D"/>
    <w:rsid w:val="00E747DC"/>
    <w:rsid w:val="00E74A2D"/>
    <w:rsid w:val="00E75C94"/>
    <w:rsid w:val="00E76A08"/>
    <w:rsid w:val="00E76B9B"/>
    <w:rsid w:val="00E76E61"/>
    <w:rsid w:val="00E76EE4"/>
    <w:rsid w:val="00E77CC0"/>
    <w:rsid w:val="00E80B3D"/>
    <w:rsid w:val="00E80CA3"/>
    <w:rsid w:val="00E81AAA"/>
    <w:rsid w:val="00E82618"/>
    <w:rsid w:val="00E82A42"/>
    <w:rsid w:val="00E84E09"/>
    <w:rsid w:val="00E87CE2"/>
    <w:rsid w:val="00E90CA8"/>
    <w:rsid w:val="00E911C6"/>
    <w:rsid w:val="00E920DE"/>
    <w:rsid w:val="00E930A1"/>
    <w:rsid w:val="00E93820"/>
    <w:rsid w:val="00E94A86"/>
    <w:rsid w:val="00E951AB"/>
    <w:rsid w:val="00E953F6"/>
    <w:rsid w:val="00E96143"/>
    <w:rsid w:val="00E96833"/>
    <w:rsid w:val="00E97506"/>
    <w:rsid w:val="00E97BB5"/>
    <w:rsid w:val="00E97D5B"/>
    <w:rsid w:val="00E97F14"/>
    <w:rsid w:val="00EA0C68"/>
    <w:rsid w:val="00EA0E39"/>
    <w:rsid w:val="00EA1D0E"/>
    <w:rsid w:val="00EA2072"/>
    <w:rsid w:val="00EA2841"/>
    <w:rsid w:val="00EA32BC"/>
    <w:rsid w:val="00EA35A7"/>
    <w:rsid w:val="00EA3B32"/>
    <w:rsid w:val="00EA3CEB"/>
    <w:rsid w:val="00EA3D05"/>
    <w:rsid w:val="00EA4222"/>
    <w:rsid w:val="00EA4402"/>
    <w:rsid w:val="00EA4B8D"/>
    <w:rsid w:val="00EA513E"/>
    <w:rsid w:val="00EA7419"/>
    <w:rsid w:val="00EB0E32"/>
    <w:rsid w:val="00EB1CDC"/>
    <w:rsid w:val="00EB1D89"/>
    <w:rsid w:val="00EB3E60"/>
    <w:rsid w:val="00EB4511"/>
    <w:rsid w:val="00EB48D7"/>
    <w:rsid w:val="00EB49F1"/>
    <w:rsid w:val="00EB4A8E"/>
    <w:rsid w:val="00EB4BC5"/>
    <w:rsid w:val="00EB5BF7"/>
    <w:rsid w:val="00EB5E79"/>
    <w:rsid w:val="00EB6FAC"/>
    <w:rsid w:val="00EB7BAC"/>
    <w:rsid w:val="00EB7CC9"/>
    <w:rsid w:val="00EC03D7"/>
    <w:rsid w:val="00EC13A7"/>
    <w:rsid w:val="00EC2EB6"/>
    <w:rsid w:val="00EC4FFF"/>
    <w:rsid w:val="00EC5517"/>
    <w:rsid w:val="00EC6E8C"/>
    <w:rsid w:val="00ED0962"/>
    <w:rsid w:val="00ED0EF0"/>
    <w:rsid w:val="00ED12B9"/>
    <w:rsid w:val="00ED16B8"/>
    <w:rsid w:val="00ED1959"/>
    <w:rsid w:val="00ED1A00"/>
    <w:rsid w:val="00ED1DF0"/>
    <w:rsid w:val="00ED2386"/>
    <w:rsid w:val="00ED2EA1"/>
    <w:rsid w:val="00ED3851"/>
    <w:rsid w:val="00ED3E51"/>
    <w:rsid w:val="00ED3F10"/>
    <w:rsid w:val="00ED3F9B"/>
    <w:rsid w:val="00ED3FB3"/>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01C"/>
    <w:rsid w:val="00EE6E06"/>
    <w:rsid w:val="00EE7179"/>
    <w:rsid w:val="00EE79C5"/>
    <w:rsid w:val="00EF0D90"/>
    <w:rsid w:val="00EF150D"/>
    <w:rsid w:val="00EF1F5A"/>
    <w:rsid w:val="00EF23B5"/>
    <w:rsid w:val="00EF326A"/>
    <w:rsid w:val="00EF3898"/>
    <w:rsid w:val="00EF47BF"/>
    <w:rsid w:val="00EF52F7"/>
    <w:rsid w:val="00EF59B1"/>
    <w:rsid w:val="00EF5A13"/>
    <w:rsid w:val="00EF5FF9"/>
    <w:rsid w:val="00EF77D4"/>
    <w:rsid w:val="00EF7CC7"/>
    <w:rsid w:val="00F00535"/>
    <w:rsid w:val="00F00853"/>
    <w:rsid w:val="00F00866"/>
    <w:rsid w:val="00F00EC8"/>
    <w:rsid w:val="00F0160B"/>
    <w:rsid w:val="00F0193E"/>
    <w:rsid w:val="00F03E2F"/>
    <w:rsid w:val="00F03F8D"/>
    <w:rsid w:val="00F04811"/>
    <w:rsid w:val="00F0488C"/>
    <w:rsid w:val="00F04955"/>
    <w:rsid w:val="00F073ED"/>
    <w:rsid w:val="00F07C4C"/>
    <w:rsid w:val="00F07E45"/>
    <w:rsid w:val="00F10F11"/>
    <w:rsid w:val="00F11159"/>
    <w:rsid w:val="00F115E4"/>
    <w:rsid w:val="00F11AC4"/>
    <w:rsid w:val="00F120A5"/>
    <w:rsid w:val="00F12CFB"/>
    <w:rsid w:val="00F13E60"/>
    <w:rsid w:val="00F13FDB"/>
    <w:rsid w:val="00F15AAA"/>
    <w:rsid w:val="00F15BEF"/>
    <w:rsid w:val="00F17898"/>
    <w:rsid w:val="00F204BF"/>
    <w:rsid w:val="00F207C2"/>
    <w:rsid w:val="00F21337"/>
    <w:rsid w:val="00F219A1"/>
    <w:rsid w:val="00F23E20"/>
    <w:rsid w:val="00F24407"/>
    <w:rsid w:val="00F249CE"/>
    <w:rsid w:val="00F24FAA"/>
    <w:rsid w:val="00F25040"/>
    <w:rsid w:val="00F269D7"/>
    <w:rsid w:val="00F27071"/>
    <w:rsid w:val="00F27331"/>
    <w:rsid w:val="00F276D3"/>
    <w:rsid w:val="00F27EE5"/>
    <w:rsid w:val="00F27FB1"/>
    <w:rsid w:val="00F27FD6"/>
    <w:rsid w:val="00F307CB"/>
    <w:rsid w:val="00F30C0C"/>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537"/>
    <w:rsid w:val="00F46185"/>
    <w:rsid w:val="00F46423"/>
    <w:rsid w:val="00F4696A"/>
    <w:rsid w:val="00F47067"/>
    <w:rsid w:val="00F47234"/>
    <w:rsid w:val="00F51ADD"/>
    <w:rsid w:val="00F525AB"/>
    <w:rsid w:val="00F525EB"/>
    <w:rsid w:val="00F52CB5"/>
    <w:rsid w:val="00F53378"/>
    <w:rsid w:val="00F53A68"/>
    <w:rsid w:val="00F54934"/>
    <w:rsid w:val="00F55A92"/>
    <w:rsid w:val="00F5615B"/>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77A50"/>
    <w:rsid w:val="00F82D14"/>
    <w:rsid w:val="00F84E7D"/>
    <w:rsid w:val="00F85066"/>
    <w:rsid w:val="00F874F8"/>
    <w:rsid w:val="00F87A4D"/>
    <w:rsid w:val="00F90EEB"/>
    <w:rsid w:val="00F91B66"/>
    <w:rsid w:val="00F93688"/>
    <w:rsid w:val="00F939F3"/>
    <w:rsid w:val="00F93C6E"/>
    <w:rsid w:val="00F93F2C"/>
    <w:rsid w:val="00F947E9"/>
    <w:rsid w:val="00F962AD"/>
    <w:rsid w:val="00F9644E"/>
    <w:rsid w:val="00FA0105"/>
    <w:rsid w:val="00FA05A0"/>
    <w:rsid w:val="00FA0AEF"/>
    <w:rsid w:val="00FA17CC"/>
    <w:rsid w:val="00FA1CFE"/>
    <w:rsid w:val="00FA1EE7"/>
    <w:rsid w:val="00FA1F01"/>
    <w:rsid w:val="00FA26DF"/>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580"/>
    <w:rsid w:val="00FB564F"/>
    <w:rsid w:val="00FB7DBB"/>
    <w:rsid w:val="00FC05F8"/>
    <w:rsid w:val="00FC077B"/>
    <w:rsid w:val="00FC0E5F"/>
    <w:rsid w:val="00FC1070"/>
    <w:rsid w:val="00FC1266"/>
    <w:rsid w:val="00FC1A95"/>
    <w:rsid w:val="00FC1ED4"/>
    <w:rsid w:val="00FC3BEC"/>
    <w:rsid w:val="00FC42C5"/>
    <w:rsid w:val="00FC440B"/>
    <w:rsid w:val="00FC56DE"/>
    <w:rsid w:val="00FC63D9"/>
    <w:rsid w:val="00FC64DE"/>
    <w:rsid w:val="00FC6785"/>
    <w:rsid w:val="00FC684B"/>
    <w:rsid w:val="00FC7D98"/>
    <w:rsid w:val="00FD1135"/>
    <w:rsid w:val="00FD3265"/>
    <w:rsid w:val="00FD3CF7"/>
    <w:rsid w:val="00FD4124"/>
    <w:rsid w:val="00FD4916"/>
    <w:rsid w:val="00FD4D12"/>
    <w:rsid w:val="00FD4F73"/>
    <w:rsid w:val="00FD595E"/>
    <w:rsid w:val="00FD7802"/>
    <w:rsid w:val="00FD7D3B"/>
    <w:rsid w:val="00FD7FBE"/>
    <w:rsid w:val="00FE27C7"/>
    <w:rsid w:val="00FE2C7E"/>
    <w:rsid w:val="00FE2F78"/>
    <w:rsid w:val="00FE3137"/>
    <w:rsid w:val="00FE346B"/>
    <w:rsid w:val="00FE346F"/>
    <w:rsid w:val="00FE431E"/>
    <w:rsid w:val="00FE460E"/>
    <w:rsid w:val="00FE48E4"/>
    <w:rsid w:val="00FE5466"/>
    <w:rsid w:val="00FE634C"/>
    <w:rsid w:val="00FE6E69"/>
    <w:rsid w:val="00FE6F59"/>
    <w:rsid w:val="00FF01B6"/>
    <w:rsid w:val="00FF0989"/>
    <w:rsid w:val="00FF0F79"/>
    <w:rsid w:val="00FF1136"/>
    <w:rsid w:val="00FF3D76"/>
    <w:rsid w:val="00FF5B8C"/>
    <w:rsid w:val="00FF63E6"/>
    <w:rsid w:val="00FF72DC"/>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zabojnikova31519\Documents\Anal&#253;za\Q\2022Q2\Makroanal&#253;za%20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zabojnikova31519\Documents\Anal&#253;za\Q\2022Q2\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zabojnikova31519\Documents\Anal&#253;za\Q\2022Q2\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324257007767694E-2"/>
          <c:y val="2.3046636085626963E-2"/>
          <c:w val="0.92008633063154344"/>
          <c:h val="0.74192840256671699"/>
        </c:manualLayout>
      </c:layout>
      <c:barChart>
        <c:barDir val="col"/>
        <c:grouping val="clustered"/>
        <c:varyColors val="0"/>
        <c:ser>
          <c:idx val="0"/>
          <c:order val="0"/>
          <c:tx>
            <c:strRef>
              <c:f>'souhrnná výkonnost 1'!$C$4</c:f>
              <c:strCache>
                <c:ptCount val="1"/>
                <c:pt idx="0">
                  <c:v>ČR meziroční změna</c:v>
                </c:pt>
              </c:strCache>
            </c:strRef>
          </c:tx>
          <c:spPr>
            <a:solidFill>
              <a:srgbClr val="A6A6A6"/>
            </a:solidFill>
            <a:ln>
              <a:noFill/>
            </a:ln>
          </c:spPr>
          <c:invertIfNegative val="0"/>
          <c:cat>
            <c:multiLvlStrRef>
              <c:f>'souhrnná výkonnost 1'!$A$25:$B$46</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1'!$C$25:$C$46</c:f>
              <c:numCache>
                <c:formatCode>#\ ##0.0</c:formatCode>
                <c:ptCount val="22"/>
                <c:pt idx="0">
                  <c:v>3.695024939296502</c:v>
                </c:pt>
                <c:pt idx="1">
                  <c:v>5.9154748938585575</c:v>
                </c:pt>
                <c:pt idx="2">
                  <c:v>5.8516412927584582</c:v>
                </c:pt>
                <c:pt idx="3">
                  <c:v>5.8958110920111153</c:v>
                </c:pt>
                <c:pt idx="4">
                  <c:v>4.7409332982438777</c:v>
                </c:pt>
                <c:pt idx="5" formatCode="General">
                  <c:v>2.821338885097731</c:v>
                </c:pt>
                <c:pt idx="6" formatCode="General">
                  <c:v>2.6959141687858912</c:v>
                </c:pt>
                <c:pt idx="7">
                  <c:v>2.6197437017841025</c:v>
                </c:pt>
                <c:pt idx="8">
                  <c:v>2.9978799448777949</c:v>
                </c:pt>
                <c:pt idx="9" formatCode="General">
                  <c:v>3.0712313540949912</c:v>
                </c:pt>
                <c:pt idx="10" formatCode="General">
                  <c:v>3.0292239015638387</c:v>
                </c:pt>
                <c:pt idx="11" formatCode="General">
                  <c:v>2.7681270582493673</c:v>
                </c:pt>
                <c:pt idx="12" formatCode="General">
                  <c:v>-1.4629386956710835</c:v>
                </c:pt>
                <c:pt idx="13" formatCode="General">
                  <c:v>-10.78290466571336</c:v>
                </c:pt>
                <c:pt idx="14" formatCode="General">
                  <c:v>-5.2159569739524967</c:v>
                </c:pt>
                <c:pt idx="15" formatCode="General">
                  <c:v>-4.5960804470275143</c:v>
                </c:pt>
                <c:pt idx="16" formatCode="General">
                  <c:v>-1.907389444167052</c:v>
                </c:pt>
                <c:pt idx="17" formatCode="General">
                  <c:v>9.1293353391871648</c:v>
                </c:pt>
                <c:pt idx="18" formatCode="General">
                  <c:v>3.7680361202100991</c:v>
                </c:pt>
                <c:pt idx="19" formatCode="General">
                  <c:v>3.4666809246014765</c:v>
                </c:pt>
                <c:pt idx="20" formatCode="General">
                  <c:v>4.6481213438552365</c:v>
                </c:pt>
                <c:pt idx="21" formatCode="General">
                  <c:v>3.6728342161133014</c:v>
                </c:pt>
              </c:numCache>
            </c:numRef>
          </c:val>
          <c:extLst>
            <c:ext xmlns:c16="http://schemas.microsoft.com/office/drawing/2014/chart" uri="{C3380CC4-5D6E-409C-BE32-E72D297353CC}">
              <c16:uniqueId val="{00000000-5FF4-4575-9D8D-59CB71061BC9}"/>
            </c:ext>
          </c:extLst>
        </c:ser>
        <c:ser>
          <c:idx val="1"/>
          <c:order val="1"/>
          <c:tx>
            <c:strRef>
              <c:f>'souhrnná výkonnost 1'!$D$4</c:f>
              <c:strCache>
                <c:ptCount val="1"/>
                <c:pt idx="0">
                  <c:v>EU27 meziroční změna</c:v>
                </c:pt>
              </c:strCache>
            </c:strRef>
          </c:tx>
          <c:spPr>
            <a:solidFill>
              <a:srgbClr val="808080"/>
            </a:solidFill>
            <a:ln>
              <a:noFill/>
            </a:ln>
          </c:spPr>
          <c:invertIfNegative val="0"/>
          <c:cat>
            <c:multiLvlStrRef>
              <c:f>'souhrnná výkonnost 1'!$A$25:$B$46</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1'!$D$25:$D$46</c:f>
              <c:numCache>
                <c:formatCode>#\ ##0.0</c:formatCode>
                <c:ptCount val="22"/>
                <c:pt idx="0">
                  <c:v>2.4</c:v>
                </c:pt>
                <c:pt idx="1">
                  <c:v>2.9</c:v>
                </c:pt>
                <c:pt idx="2">
                  <c:v>3.3</c:v>
                </c:pt>
                <c:pt idx="3">
                  <c:v>3.2</c:v>
                </c:pt>
                <c:pt idx="4">
                  <c:v>2.6</c:v>
                </c:pt>
                <c:pt idx="5">
                  <c:v>2.4</c:v>
                </c:pt>
                <c:pt idx="6">
                  <c:v>1.7000000000000004</c:v>
                </c:pt>
                <c:pt idx="7">
                  <c:v>1.5</c:v>
                </c:pt>
                <c:pt idx="8">
                  <c:v>2.1</c:v>
                </c:pt>
                <c:pt idx="9">
                  <c:v>1.9000000000000001</c:v>
                </c:pt>
                <c:pt idx="10">
                  <c:v>2</c:v>
                </c:pt>
                <c:pt idx="11">
                  <c:v>1.4</c:v>
                </c:pt>
                <c:pt idx="12">
                  <c:v>-2.5</c:v>
                </c:pt>
                <c:pt idx="13">
                  <c:v>-13.8</c:v>
                </c:pt>
                <c:pt idx="14">
                  <c:v>-3.8</c:v>
                </c:pt>
                <c:pt idx="15">
                  <c:v>-4</c:v>
                </c:pt>
                <c:pt idx="16">
                  <c:v>-0.9</c:v>
                </c:pt>
                <c:pt idx="17">
                  <c:v>14</c:v>
                </c:pt>
                <c:pt idx="18">
                  <c:v>4.0999999999999996</c:v>
                </c:pt>
                <c:pt idx="19">
                  <c:v>5</c:v>
                </c:pt>
                <c:pt idx="20">
                  <c:v>5.5</c:v>
                </c:pt>
                <c:pt idx="21">
                  <c:v>4</c:v>
                </c:pt>
              </c:numCache>
            </c:numRef>
          </c:val>
          <c:extLst>
            <c:ext xmlns:c16="http://schemas.microsoft.com/office/drawing/2014/chart" uri="{C3380CC4-5D6E-409C-BE32-E72D297353CC}">
              <c16:uniqueId val="{00000001-5FF4-4575-9D8D-59CB71061BC9}"/>
            </c:ext>
          </c:extLst>
        </c:ser>
        <c:dLbls>
          <c:showLegendKey val="0"/>
          <c:showVal val="0"/>
          <c:showCatName val="0"/>
          <c:showSerName val="0"/>
          <c:showPercent val="0"/>
          <c:showBubbleSize val="0"/>
        </c:dLbls>
        <c:gapWidth val="100"/>
        <c:axId val="74862976"/>
        <c:axId val="74864896"/>
      </c:barChart>
      <c:lineChart>
        <c:grouping val="standard"/>
        <c:varyColors val="0"/>
        <c:ser>
          <c:idx val="2"/>
          <c:order val="2"/>
          <c:tx>
            <c:strRef>
              <c:f>'souhrnná výkonnost 1'!$E$4</c:f>
              <c:strCache>
                <c:ptCount val="1"/>
                <c:pt idx="0">
                  <c:v>ČR mezičtvrtletní změna</c:v>
                </c:pt>
              </c:strCache>
            </c:strRef>
          </c:tx>
          <c:spPr>
            <a:ln w="19050">
              <a:noFill/>
            </a:ln>
          </c:spPr>
          <c:marker>
            <c:symbol val="dash"/>
            <c:size val="8"/>
            <c:spPr>
              <a:solidFill>
                <a:srgbClr val="0071BC"/>
              </a:solidFill>
              <a:ln>
                <a:noFill/>
              </a:ln>
            </c:spPr>
          </c:marker>
          <c:cat>
            <c:multiLvlStrRef>
              <c:f>'souhrnná výkonnost 1'!$A$25:$B$46</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1'!$E$25:$E$46</c:f>
              <c:numCache>
                <c:formatCode>#\ ##0.0</c:formatCode>
                <c:ptCount val="22"/>
                <c:pt idx="0">
                  <c:v>1.6501768420245779</c:v>
                </c:pt>
                <c:pt idx="1">
                  <c:v>2.4798258472657153</c:v>
                </c:pt>
                <c:pt idx="2">
                  <c:v>0.83559458693113697</c:v>
                </c:pt>
                <c:pt idx="3">
                  <c:v>0.81343215586227235</c:v>
                </c:pt>
                <c:pt idx="4">
                  <c:v>0.54160105647851386</c:v>
                </c:pt>
                <c:pt idx="5">
                  <c:v>0.6016709085804598</c:v>
                </c:pt>
                <c:pt idx="6">
                  <c:v>0.71259214422481421</c:v>
                </c:pt>
                <c:pt idx="7">
                  <c:v>0.73865794240386218</c:v>
                </c:pt>
                <c:pt idx="8">
                  <c:v>0.91207969856712678</c:v>
                </c:pt>
                <c:pt idx="9" formatCode="General">
                  <c:v>0.67331582335634765</c:v>
                </c:pt>
                <c:pt idx="10" formatCode="General">
                  <c:v>0.67154597277419825</c:v>
                </c:pt>
                <c:pt idx="11" formatCode="General">
                  <c:v>0.4833658554360909</c:v>
                </c:pt>
                <c:pt idx="12" formatCode="General">
                  <c:v>-3.2425707440501004</c:v>
                </c:pt>
                <c:pt idx="13" formatCode="General">
                  <c:v>-8.8487042688318489</c:v>
                </c:pt>
                <c:pt idx="14" formatCode="General">
                  <c:v>6.9532258277307895</c:v>
                </c:pt>
                <c:pt idx="15" formatCode="General">
                  <c:v>1.1405152853573952</c:v>
                </c:pt>
                <c:pt idx="16" formatCode="General">
                  <c:v>-0.51573487903165449</c:v>
                </c:pt>
                <c:pt idx="17" formatCode="General">
                  <c:v>1.40703017365631</c:v>
                </c:pt>
                <c:pt idx="18" formatCode="General">
                  <c:v>1.6988343818829179</c:v>
                </c:pt>
                <c:pt idx="19" formatCode="General">
                  <c:v>0.84679073483712863</c:v>
                </c:pt>
                <c:pt idx="20" formatCode="General">
                  <c:v>0.62023208969060306</c:v>
                </c:pt>
                <c:pt idx="21" formatCode="General">
                  <c:v>0.46194898231858894</c:v>
                </c:pt>
              </c:numCache>
            </c:numRef>
          </c:val>
          <c:smooth val="0"/>
          <c:extLst>
            <c:ext xmlns:c16="http://schemas.microsoft.com/office/drawing/2014/chart" uri="{C3380CC4-5D6E-409C-BE32-E72D297353CC}">
              <c16:uniqueId val="{00000002-5FF4-4575-9D8D-59CB71061BC9}"/>
            </c:ext>
          </c:extLst>
        </c:ser>
        <c:ser>
          <c:idx val="3"/>
          <c:order val="3"/>
          <c:tx>
            <c:strRef>
              <c:f>'souhrnná výkonnost 1'!$F$4</c:f>
              <c:strCache>
                <c:ptCount val="1"/>
                <c:pt idx="0">
                  <c:v>EU27 mezičtvrtletní změna</c:v>
                </c:pt>
              </c:strCache>
            </c:strRef>
          </c:tx>
          <c:spPr>
            <a:ln w="19050">
              <a:noFill/>
            </a:ln>
          </c:spPr>
          <c:marker>
            <c:symbol val="dash"/>
            <c:size val="8"/>
            <c:spPr>
              <a:solidFill>
                <a:srgbClr val="BD1B21"/>
              </a:solidFill>
              <a:ln>
                <a:noFill/>
              </a:ln>
            </c:spPr>
          </c:marker>
          <c:cat>
            <c:multiLvlStrRef>
              <c:f>'souhrnná výkonnost 1'!$A$25:$B$46</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1'!$F$25:$F$46</c:f>
              <c:numCache>
                <c:formatCode>#\ ##0.0</c:formatCode>
                <c:ptCount val="22"/>
                <c:pt idx="0">
                  <c:v>0.8</c:v>
                </c:pt>
                <c:pt idx="1">
                  <c:v>0.8</c:v>
                </c:pt>
                <c:pt idx="2">
                  <c:v>0.8</c:v>
                </c:pt>
                <c:pt idx="3">
                  <c:v>0.8</c:v>
                </c:pt>
                <c:pt idx="4">
                  <c:v>0.2</c:v>
                </c:pt>
                <c:pt idx="5">
                  <c:v>0.60000000000000042</c:v>
                </c:pt>
                <c:pt idx="6">
                  <c:v>0.2</c:v>
                </c:pt>
                <c:pt idx="7">
                  <c:v>0.60000000000000042</c:v>
                </c:pt>
                <c:pt idx="8">
                  <c:v>0.8</c:v>
                </c:pt>
                <c:pt idx="9">
                  <c:v>0.30000000000000021</c:v>
                </c:pt>
                <c:pt idx="10">
                  <c:v>0.30000000000000021</c:v>
                </c:pt>
                <c:pt idx="11">
                  <c:v>0</c:v>
                </c:pt>
                <c:pt idx="12">
                  <c:v>-3.1</c:v>
                </c:pt>
                <c:pt idx="13">
                  <c:v>-11.3</c:v>
                </c:pt>
                <c:pt idx="14">
                  <c:v>11.9</c:v>
                </c:pt>
                <c:pt idx="15">
                  <c:v>-0.2</c:v>
                </c:pt>
                <c:pt idx="16">
                  <c:v>0.1</c:v>
                </c:pt>
                <c:pt idx="17">
                  <c:v>2</c:v>
                </c:pt>
                <c:pt idx="18">
                  <c:v>2.2000000000000002</c:v>
                </c:pt>
                <c:pt idx="19">
                  <c:v>0.60000000000000042</c:v>
                </c:pt>
                <c:pt idx="20">
                  <c:v>0.60000000000000042</c:v>
                </c:pt>
                <c:pt idx="21">
                  <c:v>0.60000000000000042</c:v>
                </c:pt>
              </c:numCache>
            </c:numRef>
          </c:val>
          <c:smooth val="0"/>
          <c:extLst>
            <c:ext xmlns:c16="http://schemas.microsoft.com/office/drawing/2014/chart" uri="{C3380CC4-5D6E-409C-BE32-E72D297353CC}">
              <c16:uniqueId val="{00000003-5FF4-4575-9D8D-59CB71061BC9}"/>
            </c:ext>
          </c:extLst>
        </c:ser>
        <c:dLbls>
          <c:showLegendKey val="0"/>
          <c:showVal val="0"/>
          <c:showCatName val="0"/>
          <c:showSerName val="0"/>
          <c:showPercent val="0"/>
          <c:showBubbleSize val="0"/>
        </c:dLbls>
        <c:marker val="1"/>
        <c:smooth val="0"/>
        <c:axId val="74862976"/>
        <c:axId val="74864896"/>
      </c:lineChart>
      <c:catAx>
        <c:axId val="7486297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74864896"/>
        <c:crosses val="autoZero"/>
        <c:auto val="1"/>
        <c:lblAlgn val="ctr"/>
        <c:lblOffset val="100"/>
        <c:noMultiLvlLbl val="0"/>
      </c:catAx>
      <c:valAx>
        <c:axId val="74864896"/>
        <c:scaling>
          <c:orientation val="minMax"/>
          <c:max val="15"/>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74862976"/>
        <c:crosses val="autoZero"/>
        <c:crossBetween val="between"/>
        <c:majorUnit val="3"/>
      </c:valAx>
      <c:spPr>
        <a:ln>
          <a:solidFill>
            <a:schemeClr val="tx1"/>
          </a:solidFill>
        </a:ln>
      </c:spPr>
    </c:plotArea>
    <c:legend>
      <c:legendPos val="b"/>
      <c:layout>
        <c:manualLayout>
          <c:xMode val="edge"/>
          <c:yMode val="edge"/>
          <c:x val="5.8431906450523513E-2"/>
          <c:y val="0.89437255125718018"/>
          <c:w val="0.91838441404930771"/>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629137115839286E-2"/>
          <c:y val="2.8458510079622041E-2"/>
          <c:w val="0.93688386524822698"/>
          <c:h val="0.6497469886299676"/>
        </c:manualLayout>
      </c:layout>
      <c:barChart>
        <c:barDir val="col"/>
        <c:grouping val="stacked"/>
        <c:varyColors val="0"/>
        <c:ser>
          <c:idx val="5"/>
          <c:order val="1"/>
          <c:tx>
            <c:strRef>
              <c:f>'souhrnná výkonnost 3'!$D$5</c:f>
              <c:strCache>
                <c:ptCount val="1"/>
                <c:pt idx="0">
                  <c:v>Výdaje na konečnou spotřebu domácností (vč. nezisk. inst.)</c:v>
                </c:pt>
              </c:strCache>
            </c:strRef>
          </c:tx>
          <c:spPr>
            <a:solidFill>
              <a:srgbClr val="0071BC"/>
            </a:solidFill>
            <a:ln>
              <a:noFill/>
            </a:ln>
          </c:spPr>
          <c:invertIfNegative val="0"/>
          <c:val>
            <c:numRef>
              <c:f>'souhrnná výkonnost 3'!$D$26:$D$47</c:f>
              <c:numCache>
                <c:formatCode>#\ ##0.0</c:formatCode>
                <c:ptCount val="22"/>
                <c:pt idx="0">
                  <c:v>1.1724461062125433</c:v>
                </c:pt>
                <c:pt idx="1">
                  <c:v>1.3838280833932579</c:v>
                </c:pt>
                <c:pt idx="2">
                  <c:v>1.3029633342515601</c:v>
                </c:pt>
                <c:pt idx="3">
                  <c:v>1.0570981809373126</c:v>
                </c:pt>
                <c:pt idx="4">
                  <c:v>1.5755125159315502</c:v>
                </c:pt>
                <c:pt idx="5">
                  <c:v>1.2433932618107362</c:v>
                </c:pt>
                <c:pt idx="6">
                  <c:v>0.98503190180886557</c:v>
                </c:pt>
                <c:pt idx="7">
                  <c:v>0.86242373693181451</c:v>
                </c:pt>
                <c:pt idx="8">
                  <c:v>0.9340536063309256</c:v>
                </c:pt>
                <c:pt idx="9">
                  <c:v>1.3264749570937773</c:v>
                </c:pt>
                <c:pt idx="10">
                  <c:v>1.0320858874492613</c:v>
                </c:pt>
                <c:pt idx="11">
                  <c:v>1.1072516380596782</c:v>
                </c:pt>
                <c:pt idx="12">
                  <c:v>-1.0200898881441898</c:v>
                </c:pt>
                <c:pt idx="13">
                  <c:v>-3.319130632152298</c:v>
                </c:pt>
                <c:pt idx="14">
                  <c:v>-1.7922184957520035</c:v>
                </c:pt>
                <c:pt idx="15">
                  <c:v>-4.4205469928881964</c:v>
                </c:pt>
                <c:pt idx="16">
                  <c:v>-3.0401890570142882</c:v>
                </c:pt>
                <c:pt idx="17">
                  <c:v>1.8966230839871681</c:v>
                </c:pt>
                <c:pt idx="18">
                  <c:v>1.8963311636525799</c:v>
                </c:pt>
                <c:pt idx="19">
                  <c:v>3.3087731869590207</c:v>
                </c:pt>
                <c:pt idx="20">
                  <c:v>3.2721790822666383</c:v>
                </c:pt>
                <c:pt idx="21">
                  <c:v>4.2368615981477682E-2</c:v>
                </c:pt>
              </c:numCache>
            </c:numRef>
          </c:val>
          <c:extLst>
            <c:ext xmlns:c16="http://schemas.microsoft.com/office/drawing/2014/chart" uri="{C3380CC4-5D6E-409C-BE32-E72D297353CC}">
              <c16:uniqueId val="{00000000-613B-45B5-B4E1-C5844BA94DBB}"/>
            </c:ext>
          </c:extLst>
        </c:ser>
        <c:ser>
          <c:idx val="4"/>
          <c:order val="2"/>
          <c:tx>
            <c:strRef>
              <c:f>'souhrnná výkonnost 3'!$E$5</c:f>
              <c:strCache>
                <c:ptCount val="1"/>
                <c:pt idx="0">
                  <c:v>Výdaje na konečnou spotřebu vládních institucí</c:v>
                </c:pt>
              </c:strCache>
            </c:strRef>
          </c:tx>
          <c:spPr>
            <a:solidFill>
              <a:srgbClr val="A6CDE8"/>
            </a:solidFill>
            <a:ln>
              <a:noFill/>
            </a:ln>
          </c:spPr>
          <c:invertIfNegative val="0"/>
          <c:val>
            <c:numRef>
              <c:f>'souhrnná výkonnost 3'!$E$26:$E$47</c:f>
              <c:numCache>
                <c:formatCode>#\ ##0.0</c:formatCode>
                <c:ptCount val="22"/>
                <c:pt idx="0">
                  <c:v>0.43568874146674724</c:v>
                </c:pt>
                <c:pt idx="1">
                  <c:v>0.31651507948948138</c:v>
                </c:pt>
                <c:pt idx="2">
                  <c:v>0.23074272942367355</c:v>
                </c:pt>
                <c:pt idx="3">
                  <c:v>0.28553793240162234</c:v>
                </c:pt>
                <c:pt idx="4">
                  <c:v>0.57412630446352575</c:v>
                </c:pt>
                <c:pt idx="5">
                  <c:v>0.65995211680089294</c:v>
                </c:pt>
                <c:pt idx="6">
                  <c:v>0.81778085262984623</c:v>
                </c:pt>
                <c:pt idx="7">
                  <c:v>0.8108648897803995</c:v>
                </c:pt>
                <c:pt idx="8">
                  <c:v>0.45281581800869158</c:v>
                </c:pt>
                <c:pt idx="9">
                  <c:v>0.47909637272946892</c:v>
                </c:pt>
                <c:pt idx="10">
                  <c:v>0.44460153705879729</c:v>
                </c:pt>
                <c:pt idx="11">
                  <c:v>0.33726571383782228</c:v>
                </c:pt>
                <c:pt idx="12">
                  <c:v>0.8045128499268801</c:v>
                </c:pt>
                <c:pt idx="13">
                  <c:v>0.70708681585804789</c:v>
                </c:pt>
                <c:pt idx="14">
                  <c:v>0.41395179326421977</c:v>
                </c:pt>
                <c:pt idx="15">
                  <c:v>1.2239863422317079</c:v>
                </c:pt>
                <c:pt idx="16">
                  <c:v>0.23876321267224984</c:v>
                </c:pt>
                <c:pt idx="17">
                  <c:v>0.14798139922500303</c:v>
                </c:pt>
                <c:pt idx="18">
                  <c:v>0.72276006050732244</c:v>
                </c:pt>
                <c:pt idx="19">
                  <c:v>-1.5205554772728593E-2</c:v>
                </c:pt>
                <c:pt idx="20">
                  <c:v>0.44435097338040336</c:v>
                </c:pt>
                <c:pt idx="21">
                  <c:v>0.3636932650344275</c:v>
                </c:pt>
              </c:numCache>
            </c:numRef>
          </c:val>
          <c:extLst>
            <c:ext xmlns:c16="http://schemas.microsoft.com/office/drawing/2014/chart" uri="{C3380CC4-5D6E-409C-BE32-E72D297353CC}">
              <c16:uniqueId val="{00000001-613B-45B5-B4E1-C5844BA94DBB}"/>
            </c:ext>
          </c:extLst>
        </c:ser>
        <c:ser>
          <c:idx val="3"/>
          <c:order val="3"/>
          <c:tx>
            <c:strRef>
              <c:f>'souhrnná výkonnost 3'!$G$5</c:f>
              <c:strCache>
                <c:ptCount val="1"/>
                <c:pt idx="0">
                  <c:v>Tvorba hrubého kapitálu</c:v>
                </c:pt>
              </c:strCache>
            </c:strRef>
          </c:tx>
          <c:spPr>
            <a:solidFill>
              <a:srgbClr val="BD1B21"/>
            </a:solidFill>
            <a:ln>
              <a:noFill/>
            </a:ln>
          </c:spPr>
          <c:invertIfNegative val="0"/>
          <c:val>
            <c:numRef>
              <c:f>'souhrnná výkonnost 3'!$G$26:$G$47</c:f>
              <c:numCache>
                <c:formatCode>#\ ##0.0</c:formatCode>
                <c:ptCount val="22"/>
                <c:pt idx="0">
                  <c:v>-0.96460420103508704</c:v>
                </c:pt>
                <c:pt idx="1">
                  <c:v>0.50244635297633911</c:v>
                </c:pt>
                <c:pt idx="2">
                  <c:v>1.4868373962562362</c:v>
                </c:pt>
                <c:pt idx="3">
                  <c:v>2.3482189542959593</c:v>
                </c:pt>
                <c:pt idx="4">
                  <c:v>2.6506947871686042</c:v>
                </c:pt>
                <c:pt idx="5">
                  <c:v>1.7081773365114354</c:v>
                </c:pt>
                <c:pt idx="6">
                  <c:v>1.9279335844788141</c:v>
                </c:pt>
                <c:pt idx="7">
                  <c:v>0.67229902849734002</c:v>
                </c:pt>
                <c:pt idx="8">
                  <c:v>1.5906650874354973</c:v>
                </c:pt>
                <c:pt idx="9">
                  <c:v>-0.19146224798983871</c:v>
                </c:pt>
                <c:pt idx="10">
                  <c:v>0.25415698160207933</c:v>
                </c:pt>
                <c:pt idx="11">
                  <c:v>2.4122891717477368</c:v>
                </c:pt>
                <c:pt idx="12">
                  <c:v>0.69791730489126791</c:v>
                </c:pt>
                <c:pt idx="13">
                  <c:v>0.95595711935685235</c:v>
                </c:pt>
                <c:pt idx="14">
                  <c:v>-2.7554209500001341</c:v>
                </c:pt>
                <c:pt idx="15">
                  <c:v>-3.4824684565401771</c:v>
                </c:pt>
                <c:pt idx="16">
                  <c:v>1.1011189473188199</c:v>
                </c:pt>
                <c:pt idx="17">
                  <c:v>2.8854783221045768</c:v>
                </c:pt>
                <c:pt idx="18">
                  <c:v>6.8433224518195184</c:v>
                </c:pt>
                <c:pt idx="19">
                  <c:v>6.5998296681056825</c:v>
                </c:pt>
                <c:pt idx="20">
                  <c:v>3.8122397828583519</c:v>
                </c:pt>
                <c:pt idx="21">
                  <c:v>3.79817470113138</c:v>
                </c:pt>
              </c:numCache>
            </c:numRef>
          </c:val>
          <c:extLst>
            <c:ext xmlns:c16="http://schemas.microsoft.com/office/drawing/2014/chart" uri="{C3380CC4-5D6E-409C-BE32-E72D297353CC}">
              <c16:uniqueId val="{00000002-613B-45B5-B4E1-C5844BA94DBB}"/>
            </c:ext>
          </c:extLst>
        </c:ser>
        <c:ser>
          <c:idx val="1"/>
          <c:order val="4"/>
          <c:tx>
            <c:strRef>
              <c:f>'souhrnná výkonnost 3'!$F$5</c:f>
              <c:strCache>
                <c:ptCount val="1"/>
                <c:pt idx="0">
                  <c:v>Bilance zahraničního obchodu</c:v>
                </c:pt>
              </c:strCache>
            </c:strRef>
          </c:tx>
          <c:spPr>
            <a:solidFill>
              <a:srgbClr val="7DBB2D"/>
            </a:solidFill>
            <a:ln>
              <a:noFill/>
            </a:ln>
          </c:spPr>
          <c:invertIfNegative val="0"/>
          <c:val>
            <c:numRef>
              <c:f>'souhrnná výkonnost 3'!$F$26:$F$47</c:f>
              <c:numCache>
                <c:formatCode>#\ ##0.0</c:formatCode>
                <c:ptCount val="22"/>
                <c:pt idx="0">
                  <c:v>2.9754675891551927</c:v>
                </c:pt>
                <c:pt idx="1">
                  <c:v>3.63036253408232</c:v>
                </c:pt>
                <c:pt idx="2">
                  <c:v>2.7474075811976957</c:v>
                </c:pt>
                <c:pt idx="3">
                  <c:v>2.1271051366721982</c:v>
                </c:pt>
                <c:pt idx="4">
                  <c:v>-0.18190275978441595</c:v>
                </c:pt>
                <c:pt idx="5">
                  <c:v>-0.9011007424628219</c:v>
                </c:pt>
                <c:pt idx="6">
                  <c:v>-1.1419594143316307</c:v>
                </c:pt>
                <c:pt idx="7">
                  <c:v>0.16780244720397519</c:v>
                </c:pt>
                <c:pt idx="8">
                  <c:v>-3.0487770722796213E-2</c:v>
                </c:pt>
                <c:pt idx="9">
                  <c:v>1.401018621045631</c:v>
                </c:pt>
                <c:pt idx="10">
                  <c:v>1.245438224612009</c:v>
                </c:pt>
                <c:pt idx="11">
                  <c:v>-1.1377389757832601</c:v>
                </c:pt>
                <c:pt idx="12">
                  <c:v>-1.982621142964861</c:v>
                </c:pt>
                <c:pt idx="13">
                  <c:v>-9.1465234127285484</c:v>
                </c:pt>
                <c:pt idx="14">
                  <c:v>-1.0987632014143376</c:v>
                </c:pt>
                <c:pt idx="15">
                  <c:v>2.0622607746427408</c:v>
                </c:pt>
                <c:pt idx="16">
                  <c:v>-0.24354289734345669</c:v>
                </c:pt>
                <c:pt idx="17">
                  <c:v>4.1602944561301305</c:v>
                </c:pt>
                <c:pt idx="18">
                  <c:v>-5.7268617561215125</c:v>
                </c:pt>
                <c:pt idx="19">
                  <c:v>-6.4551933605702825</c:v>
                </c:pt>
                <c:pt idx="20">
                  <c:v>-2.8694513113123254</c:v>
                </c:pt>
                <c:pt idx="21">
                  <c:v>-0.56413347820443671</c:v>
                </c:pt>
              </c:numCache>
            </c:numRef>
          </c:val>
          <c:extLst>
            <c:ext xmlns:c16="http://schemas.microsoft.com/office/drawing/2014/chart" uri="{C3380CC4-5D6E-409C-BE32-E72D297353CC}">
              <c16:uniqueId val="{00000003-613B-45B5-B4E1-C5844BA94DBB}"/>
            </c:ext>
          </c:extLst>
        </c:ser>
        <c:dLbls>
          <c:showLegendKey val="0"/>
          <c:showVal val="0"/>
          <c:showCatName val="0"/>
          <c:showSerName val="0"/>
          <c:showPercent val="0"/>
          <c:showBubbleSize val="0"/>
        </c:dLbls>
        <c:gapWidth val="40"/>
        <c:overlap val="100"/>
        <c:axId val="101509760"/>
        <c:axId val="104068224"/>
      </c:barChart>
      <c:lineChart>
        <c:grouping val="standard"/>
        <c:varyColors val="0"/>
        <c:ser>
          <c:idx val="0"/>
          <c:order val="0"/>
          <c:tx>
            <c:strRef>
              <c:f>'souhrnná výkonnost 3'!$C$5</c:f>
              <c:strCache>
                <c:ptCount val="1"/>
                <c:pt idx="0">
                  <c:v>HDP</c:v>
                </c:pt>
              </c:strCache>
            </c:strRef>
          </c:tx>
          <c:spPr>
            <a:ln>
              <a:solidFill>
                <a:prstClr val="black"/>
              </a:solidFill>
            </a:ln>
          </c:spPr>
          <c:marker>
            <c:symbol val="none"/>
          </c:marker>
          <c:cat>
            <c:multiLvlStrRef>
              <c:f>'souhrnná výkonnost 3'!$A$26:$B$47</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3'!$C$26:$C$47</c:f>
              <c:numCache>
                <c:formatCode>#\ ##0.0</c:formatCode>
                <c:ptCount val="22"/>
                <c:pt idx="0">
                  <c:v>3.6950522088079953</c:v>
                </c:pt>
                <c:pt idx="1">
                  <c:v>5.9154979768352067</c:v>
                </c:pt>
                <c:pt idx="2">
                  <c:v>5.8516739490936533</c:v>
                </c:pt>
                <c:pt idx="3">
                  <c:v>5.8958373145450755</c:v>
                </c:pt>
                <c:pt idx="4">
                  <c:v>4.7409433615299719</c:v>
                </c:pt>
                <c:pt idx="5">
                  <c:v>2.8213141032059932</c:v>
                </c:pt>
                <c:pt idx="6">
                  <c:v>2.6958490566037767</c:v>
                </c:pt>
                <c:pt idx="7">
                  <c:v>2.6197232600124956</c:v>
                </c:pt>
                <c:pt idx="8">
                  <c:v>2.9978163782603549</c:v>
                </c:pt>
                <c:pt idx="9">
                  <c:v>3.0711985153536427</c:v>
                </c:pt>
                <c:pt idx="10">
                  <c:v>3.0292786172026638</c:v>
                </c:pt>
                <c:pt idx="11">
                  <c:v>2.7680914244993042</c:v>
                </c:pt>
                <c:pt idx="12">
                  <c:v>-1.4628912343715539</c:v>
                </c:pt>
                <c:pt idx="13">
                  <c:v>-10.782881996253849</c:v>
                </c:pt>
                <c:pt idx="14">
                  <c:v>-5.2160051898008994</c:v>
                </c:pt>
                <c:pt idx="15">
                  <c:v>-4.5960486594733538</c:v>
                </c:pt>
                <c:pt idx="16">
                  <c:v>-1.9074265997161177</c:v>
                </c:pt>
                <c:pt idx="17">
                  <c:v>9.1293352142031097</c:v>
                </c:pt>
                <c:pt idx="18">
                  <c:v>3.7680592280892995</c:v>
                </c:pt>
                <c:pt idx="19">
                  <c:v>3.4667113627178612</c:v>
                </c:pt>
                <c:pt idx="20">
                  <c:v>4.6481344872841674</c:v>
                </c:pt>
                <c:pt idx="21">
                  <c:v>3.672813124243516</c:v>
                </c:pt>
              </c:numCache>
            </c:numRef>
          </c:val>
          <c:smooth val="0"/>
          <c:extLst>
            <c:ext xmlns:c16="http://schemas.microsoft.com/office/drawing/2014/chart" uri="{C3380CC4-5D6E-409C-BE32-E72D297353CC}">
              <c16:uniqueId val="{00000004-613B-45B5-B4E1-C5844BA94DBB}"/>
            </c:ext>
          </c:extLst>
        </c:ser>
        <c:dLbls>
          <c:showLegendKey val="0"/>
          <c:showVal val="0"/>
          <c:showCatName val="0"/>
          <c:showSerName val="0"/>
          <c:showPercent val="0"/>
          <c:showBubbleSize val="0"/>
        </c:dLbls>
        <c:marker val="1"/>
        <c:smooth val="0"/>
        <c:axId val="101509760"/>
        <c:axId val="104068224"/>
      </c:lineChart>
      <c:catAx>
        <c:axId val="101509760"/>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04068224"/>
        <c:crosses val="autoZero"/>
        <c:auto val="1"/>
        <c:lblAlgn val="ctr"/>
        <c:lblOffset val="100"/>
        <c:noMultiLvlLbl val="0"/>
      </c:catAx>
      <c:valAx>
        <c:axId val="104068224"/>
        <c:scaling>
          <c:orientation val="minMax"/>
          <c:max val="10"/>
          <c:min val="-14"/>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01509760"/>
        <c:crosses val="autoZero"/>
        <c:crossBetween val="between"/>
        <c:majorUnit val="2"/>
      </c:valAx>
      <c:spPr>
        <a:ln>
          <a:solidFill>
            <a:schemeClr val="tx1"/>
          </a:solidFill>
        </a:ln>
      </c:spPr>
    </c:plotArea>
    <c:legend>
      <c:legendPos val="b"/>
      <c:layout>
        <c:manualLayout>
          <c:xMode val="edge"/>
          <c:yMode val="edge"/>
          <c:x val="4.7571766295170556E-2"/>
          <c:y val="0.79301446583361457"/>
          <c:w val="0.93781598277608913"/>
          <c:h val="0.1901432511538893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126857480580875E-2"/>
          <c:y val="2.9499886988623561E-2"/>
          <c:w val="0.9260266801756164"/>
          <c:h val="0.63445260610154264"/>
        </c:manualLayout>
      </c:layout>
      <c:barChart>
        <c:barDir val="col"/>
        <c:grouping val="stacked"/>
        <c:varyColors val="0"/>
        <c:ser>
          <c:idx val="4"/>
          <c:order val="0"/>
          <c:tx>
            <c:strRef>
              <c:f>'souhrnná výkonnost 4'!$C$5</c:f>
              <c:strCache>
                <c:ptCount val="1"/>
                <c:pt idx="0">
                  <c:v>Zemědělství, lesnictví a rybářství</c:v>
                </c:pt>
              </c:strCache>
            </c:strRef>
          </c:tx>
          <c:spPr>
            <a:solidFill>
              <a:srgbClr val="0071BC"/>
            </a:solidFill>
            <a:ln>
              <a:noFill/>
            </a:ln>
          </c:spPr>
          <c:invertIfNegative val="0"/>
          <c:val>
            <c:numRef>
              <c:f>'souhrnná výkonnost 4'!$C$26:$C$47</c:f>
              <c:numCache>
                <c:formatCode>#\ ##0.0</c:formatCode>
                <c:ptCount val="22"/>
                <c:pt idx="0">
                  <c:v>-1.3480202956280746E-2</c:v>
                </c:pt>
                <c:pt idx="1">
                  <c:v>-0.10834731479250068</c:v>
                </c:pt>
                <c:pt idx="2">
                  <c:v>-0.17283036507391236</c:v>
                </c:pt>
                <c:pt idx="3">
                  <c:v>-5.7499524058591947E-2</c:v>
                </c:pt>
                <c:pt idx="4">
                  <c:v>3.3101048510961691E-2</c:v>
                </c:pt>
                <c:pt idx="5">
                  <c:v>7.1756948575291107E-2</c:v>
                </c:pt>
                <c:pt idx="6">
                  <c:v>0.13149584386693977</c:v>
                </c:pt>
                <c:pt idx="7">
                  <c:v>0.13446361914513519</c:v>
                </c:pt>
                <c:pt idx="8">
                  <c:v>7.2918853884007803E-2</c:v>
                </c:pt>
                <c:pt idx="9">
                  <c:v>8.5676115253478527E-2</c:v>
                </c:pt>
                <c:pt idx="10">
                  <c:v>0.11352421571245842</c:v>
                </c:pt>
                <c:pt idx="11">
                  <c:v>0.1297955956354544</c:v>
                </c:pt>
                <c:pt idx="12">
                  <c:v>0.21206913343969153</c:v>
                </c:pt>
                <c:pt idx="13">
                  <c:v>0.23393026126693059</c:v>
                </c:pt>
                <c:pt idx="14">
                  <c:v>0.24441243980560479</c:v>
                </c:pt>
                <c:pt idx="15">
                  <c:v>0.21978387176272152</c:v>
                </c:pt>
                <c:pt idx="16">
                  <c:v>-0.18194845399556919</c:v>
                </c:pt>
                <c:pt idx="17">
                  <c:v>-0.33768164627213537</c:v>
                </c:pt>
                <c:pt idx="18">
                  <c:v>-0.36813605985710435</c:v>
                </c:pt>
                <c:pt idx="19">
                  <c:v>-0.39400715540029935</c:v>
                </c:pt>
                <c:pt idx="20">
                  <c:v>-0.1099425709718527</c:v>
                </c:pt>
                <c:pt idx="21">
                  <c:v>-1.4477928962529522E-2</c:v>
                </c:pt>
              </c:numCache>
            </c:numRef>
          </c:val>
          <c:extLst>
            <c:ext xmlns:c16="http://schemas.microsoft.com/office/drawing/2014/chart" uri="{C3380CC4-5D6E-409C-BE32-E72D297353CC}">
              <c16:uniqueId val="{00000000-00EC-48B2-95A8-EEAA6369373B}"/>
            </c:ext>
          </c:extLst>
        </c:ser>
        <c:ser>
          <c:idx val="3"/>
          <c:order val="1"/>
          <c:tx>
            <c:strRef>
              <c:f>'souhrnná výkonnost 4'!$D$5</c:f>
              <c:strCache>
                <c:ptCount val="1"/>
                <c:pt idx="0">
                  <c:v>Zpracovatelský průmysl (CZ-NACE C)</c:v>
                </c:pt>
              </c:strCache>
            </c:strRef>
          </c:tx>
          <c:spPr>
            <a:solidFill>
              <a:srgbClr val="A6CDE8"/>
            </a:solidFill>
            <a:ln>
              <a:noFill/>
            </a:ln>
          </c:spPr>
          <c:invertIfNegative val="0"/>
          <c:val>
            <c:numRef>
              <c:f>'souhrnná výkonnost 4'!$D$26:$D$47</c:f>
              <c:numCache>
                <c:formatCode>#\ ##0.0</c:formatCode>
                <c:ptCount val="22"/>
                <c:pt idx="0">
                  <c:v>1.4029354561354292</c:v>
                </c:pt>
                <c:pt idx="1">
                  <c:v>3.0521121696167981</c:v>
                </c:pt>
                <c:pt idx="2">
                  <c:v>3.0689947409685288</c:v>
                </c:pt>
                <c:pt idx="3">
                  <c:v>2.3434131051105536</c:v>
                </c:pt>
                <c:pt idx="4">
                  <c:v>1.4988954552402798</c:v>
                </c:pt>
                <c:pt idx="5">
                  <c:v>0.14865466019918347</c:v>
                </c:pt>
                <c:pt idx="6">
                  <c:v>8.6548845664065951E-3</c:v>
                </c:pt>
                <c:pt idx="7">
                  <c:v>0.32252729120432644</c:v>
                </c:pt>
                <c:pt idx="8">
                  <c:v>0.7840371444577291</c:v>
                </c:pt>
                <c:pt idx="9">
                  <c:v>1.3396178430313301</c:v>
                </c:pt>
                <c:pt idx="10">
                  <c:v>1.4312708537266536</c:v>
                </c:pt>
                <c:pt idx="11">
                  <c:v>0.95608213895270089</c:v>
                </c:pt>
                <c:pt idx="12">
                  <c:v>-1.2099063790338638</c:v>
                </c:pt>
                <c:pt idx="13">
                  <c:v>-5.9215879942171474</c:v>
                </c:pt>
                <c:pt idx="14">
                  <c:v>-2.4830139549614372</c:v>
                </c:pt>
                <c:pt idx="15">
                  <c:v>-1.8545602201995735</c:v>
                </c:pt>
                <c:pt idx="16">
                  <c:v>0.14475123724007072</c:v>
                </c:pt>
                <c:pt idx="17">
                  <c:v>4.8361073743358629</c:v>
                </c:pt>
                <c:pt idx="18">
                  <c:v>0.14490824443150044</c:v>
                </c:pt>
                <c:pt idx="19">
                  <c:v>-0.36463732746079763</c:v>
                </c:pt>
                <c:pt idx="20">
                  <c:v>-9.1950060354343777E-2</c:v>
                </c:pt>
                <c:pt idx="21">
                  <c:v>0.17225272314104773</c:v>
                </c:pt>
              </c:numCache>
            </c:numRef>
          </c:val>
          <c:extLst>
            <c:ext xmlns:c16="http://schemas.microsoft.com/office/drawing/2014/chart" uri="{C3380CC4-5D6E-409C-BE32-E72D297353CC}">
              <c16:uniqueId val="{00000001-00EC-48B2-95A8-EEAA6369373B}"/>
            </c:ext>
          </c:extLst>
        </c:ser>
        <c:ser>
          <c:idx val="2"/>
          <c:order val="2"/>
          <c:tx>
            <c:strRef>
              <c:f>'souhrnná výkonnost 4'!$E$5</c:f>
              <c:strCache>
                <c:ptCount val="1"/>
                <c:pt idx="0">
                  <c:v>Ostatní průmyslová odvětví (CZ-NACE B, D, E)</c:v>
                </c:pt>
              </c:strCache>
            </c:strRef>
          </c:tx>
          <c:spPr>
            <a:solidFill>
              <a:srgbClr val="BD1B21"/>
            </a:solidFill>
            <a:ln>
              <a:noFill/>
            </a:ln>
          </c:spPr>
          <c:invertIfNegative val="0"/>
          <c:val>
            <c:numRef>
              <c:f>'souhrnná výkonnost 4'!$E$26:$E$47</c:f>
              <c:numCache>
                <c:formatCode>#\ ##0.0</c:formatCode>
                <c:ptCount val="22"/>
                <c:pt idx="0">
                  <c:v>0.20896030591717274</c:v>
                </c:pt>
                <c:pt idx="1">
                  <c:v>7.6093021703350014E-2</c:v>
                </c:pt>
                <c:pt idx="2">
                  <c:v>0.11363564757057364</c:v>
                </c:pt>
                <c:pt idx="3">
                  <c:v>-2.1455946351557585E-2</c:v>
                </c:pt>
                <c:pt idx="4">
                  <c:v>-7.5503829252544341E-2</c:v>
                </c:pt>
                <c:pt idx="5">
                  <c:v>-2.145721847424681E-4</c:v>
                </c:pt>
                <c:pt idx="6" formatCode="General">
                  <c:v>0.11499031724354705</c:v>
                </c:pt>
                <c:pt idx="7" formatCode="General">
                  <c:v>-5.806378505018471E-2</c:v>
                </c:pt>
                <c:pt idx="8" formatCode="General">
                  <c:v>-0.20753253585572431</c:v>
                </c:pt>
                <c:pt idx="9" formatCode="General">
                  <c:v>-0.39259990964881197</c:v>
                </c:pt>
                <c:pt idx="10" formatCode="General">
                  <c:v>-0.6799719006843683</c:v>
                </c:pt>
                <c:pt idx="11" formatCode="General">
                  <c:v>-0.4722478303263028</c:v>
                </c:pt>
                <c:pt idx="12" formatCode="General">
                  <c:v>-0.35554388462432995</c:v>
                </c:pt>
                <c:pt idx="13" formatCode="General">
                  <c:v>-0.29945450798864276</c:v>
                </c:pt>
                <c:pt idx="14" formatCode="General">
                  <c:v>8.9909890553686964E-2</c:v>
                </c:pt>
                <c:pt idx="15" formatCode="General">
                  <c:v>0.40350778052436731</c:v>
                </c:pt>
                <c:pt idx="16" formatCode="General">
                  <c:v>0.12665493966344515</c:v>
                </c:pt>
                <c:pt idx="17" formatCode="General">
                  <c:v>0.22679919998026954</c:v>
                </c:pt>
                <c:pt idx="18" formatCode="General">
                  <c:v>-5.9676233810593391E-4</c:v>
                </c:pt>
                <c:pt idx="19" formatCode="General">
                  <c:v>-0.29674507348686718</c:v>
                </c:pt>
                <c:pt idx="20" formatCode="General">
                  <c:v>-2.2529413999941673E-2</c:v>
                </c:pt>
                <c:pt idx="21" formatCode="General">
                  <c:v>1.0127475680121522E-2</c:v>
                </c:pt>
              </c:numCache>
            </c:numRef>
          </c:val>
          <c:extLst>
            <c:ext xmlns:c16="http://schemas.microsoft.com/office/drawing/2014/chart" uri="{C3380CC4-5D6E-409C-BE32-E72D297353CC}">
              <c16:uniqueId val="{00000002-00EC-48B2-95A8-EEAA6369373B}"/>
            </c:ext>
          </c:extLst>
        </c:ser>
        <c:ser>
          <c:idx val="1"/>
          <c:order val="3"/>
          <c:tx>
            <c:strRef>
              <c:f>'souhrnná výkonnost 4'!$F$5</c:f>
              <c:strCache>
                <c:ptCount val="1"/>
                <c:pt idx="0">
                  <c:v>Stavebnictví</c:v>
                </c:pt>
              </c:strCache>
            </c:strRef>
          </c:tx>
          <c:spPr>
            <a:solidFill>
              <a:srgbClr val="E8AFB2"/>
            </a:solidFill>
            <a:ln>
              <a:noFill/>
            </a:ln>
          </c:spPr>
          <c:invertIfNegative val="0"/>
          <c:val>
            <c:numRef>
              <c:f>'souhrnná výkonnost 4'!$F$26:$F$47</c:f>
              <c:numCache>
                <c:formatCode>#\ ##0.0</c:formatCode>
                <c:ptCount val="22"/>
                <c:pt idx="0">
                  <c:v>-0.11971252971432786</c:v>
                </c:pt>
                <c:pt idx="1">
                  <c:v>0.12513537674207531</c:v>
                </c:pt>
                <c:pt idx="2">
                  <c:v>7.5639144896938418E-2</c:v>
                </c:pt>
                <c:pt idx="3">
                  <c:v>0.16915702258933871</c:v>
                </c:pt>
                <c:pt idx="4">
                  <c:v>0.12251647468928521</c:v>
                </c:pt>
                <c:pt idx="5">
                  <c:v>4.4465884869504171E-3</c:v>
                </c:pt>
                <c:pt idx="6">
                  <c:v>-1.6359859988612911E-2</c:v>
                </c:pt>
                <c:pt idx="7">
                  <c:v>-0.12156128779443696</c:v>
                </c:pt>
                <c:pt idx="8">
                  <c:v>-0.15734451118480144</c:v>
                </c:pt>
                <c:pt idx="9">
                  <c:v>-4.5532361519053814E-2</c:v>
                </c:pt>
                <c:pt idx="10">
                  <c:v>-9.8757103245276673E-2</c:v>
                </c:pt>
                <c:pt idx="11">
                  <c:v>-0.10368709258279589</c:v>
                </c:pt>
                <c:pt idx="12">
                  <c:v>-0.34540850854541627</c:v>
                </c:pt>
                <c:pt idx="13">
                  <c:v>-0.70801073477756959</c:v>
                </c:pt>
                <c:pt idx="14">
                  <c:v>-0.63145687961935903</c:v>
                </c:pt>
                <c:pt idx="15">
                  <c:v>-0.60465596754463635</c:v>
                </c:pt>
                <c:pt idx="16">
                  <c:v>-0.56214537489451932</c:v>
                </c:pt>
                <c:pt idx="17">
                  <c:v>-0.11692747497662009</c:v>
                </c:pt>
                <c:pt idx="18">
                  <c:v>-2.3744641328194087E-2</c:v>
                </c:pt>
                <c:pt idx="19">
                  <c:v>6.3997671725291888E-2</c:v>
                </c:pt>
                <c:pt idx="20">
                  <c:v>0.44573641172078676</c:v>
                </c:pt>
                <c:pt idx="21">
                  <c:v>0.28577811672487485</c:v>
                </c:pt>
              </c:numCache>
            </c:numRef>
          </c:val>
          <c:extLst>
            <c:ext xmlns:c16="http://schemas.microsoft.com/office/drawing/2014/chart" uri="{C3380CC4-5D6E-409C-BE32-E72D297353CC}">
              <c16:uniqueId val="{00000003-00EC-48B2-95A8-EEAA6369373B}"/>
            </c:ext>
          </c:extLst>
        </c:ser>
        <c:ser>
          <c:idx val="0"/>
          <c:order val="4"/>
          <c:tx>
            <c:strRef>
              <c:f>'souhrnná výkonnost 4'!$G$5</c:f>
              <c:strCache>
                <c:ptCount val="1"/>
                <c:pt idx="0">
                  <c:v>Služby (CZ-NACE G až U)</c:v>
                </c:pt>
              </c:strCache>
            </c:strRef>
          </c:tx>
          <c:spPr>
            <a:solidFill>
              <a:srgbClr val="7DBB2D"/>
            </a:solidFill>
            <a:ln>
              <a:noFill/>
            </a:ln>
          </c:spPr>
          <c:invertIfNegative val="0"/>
          <c:val>
            <c:numRef>
              <c:f>'souhrnná výkonnost 4'!$G$26:$G$47</c:f>
              <c:numCache>
                <c:formatCode>#\ ##0.0</c:formatCode>
                <c:ptCount val="22"/>
                <c:pt idx="0">
                  <c:v>2.2567846902239754</c:v>
                </c:pt>
                <c:pt idx="1">
                  <c:v>2.9186309791713847</c:v>
                </c:pt>
                <c:pt idx="2">
                  <c:v>2.9697548900570792</c:v>
                </c:pt>
                <c:pt idx="3">
                  <c:v>3.2819135077275576</c:v>
                </c:pt>
                <c:pt idx="4">
                  <c:v>3.1084812332896234</c:v>
                </c:pt>
                <c:pt idx="5">
                  <c:v>2.7563352038547313</c:v>
                </c:pt>
                <c:pt idx="6" formatCode="General">
                  <c:v>2.6924043929265342</c:v>
                </c:pt>
                <c:pt idx="7" formatCode="General">
                  <c:v>2.6316200146897137</c:v>
                </c:pt>
                <c:pt idx="8" formatCode="General">
                  <c:v>2.4919003926236432</c:v>
                </c:pt>
                <c:pt idx="9" formatCode="General">
                  <c:v>2.2093063938623412</c:v>
                </c:pt>
                <c:pt idx="10" formatCode="General">
                  <c:v>2.1316318226048487</c:v>
                </c:pt>
                <c:pt idx="11" formatCode="General">
                  <c:v>2.1602853151609636</c:v>
                </c:pt>
                <c:pt idx="12" formatCode="General">
                  <c:v>0.60230691969475514</c:v>
                </c:pt>
                <c:pt idx="13" formatCode="General">
                  <c:v>-4.2582563012779078</c:v>
                </c:pt>
                <c:pt idx="14" formatCode="General">
                  <c:v>-2.090267846950419</c:v>
                </c:pt>
                <c:pt idx="15" formatCode="General">
                  <c:v>-2.3497385311278536</c:v>
                </c:pt>
                <c:pt idx="16" formatCode="General">
                  <c:v>-1.3712021908072103</c:v>
                </c:pt>
                <c:pt idx="17" formatCode="General">
                  <c:v>4.7512811953342835</c:v>
                </c:pt>
                <c:pt idx="18" formatCode="General">
                  <c:v>3.6631661011885042</c:v>
                </c:pt>
                <c:pt idx="19" formatCode="General">
                  <c:v>4.0145526999127279</c:v>
                </c:pt>
                <c:pt idx="20" formatCode="General">
                  <c:v>3.7758161768203506</c:v>
                </c:pt>
                <c:pt idx="21" formatCode="General">
                  <c:v>2.9502590674859008</c:v>
                </c:pt>
              </c:numCache>
            </c:numRef>
          </c:val>
          <c:extLst>
            <c:ext xmlns:c16="http://schemas.microsoft.com/office/drawing/2014/chart" uri="{C3380CC4-5D6E-409C-BE32-E72D297353CC}">
              <c16:uniqueId val="{00000004-00EC-48B2-95A8-EEAA6369373B}"/>
            </c:ext>
          </c:extLst>
        </c:ser>
        <c:dLbls>
          <c:showLegendKey val="0"/>
          <c:showVal val="0"/>
          <c:showCatName val="0"/>
          <c:showSerName val="0"/>
          <c:showPercent val="0"/>
          <c:showBubbleSize val="0"/>
        </c:dLbls>
        <c:gapWidth val="70"/>
        <c:overlap val="100"/>
        <c:axId val="105485056"/>
        <c:axId val="105492480"/>
      </c:barChart>
      <c:lineChart>
        <c:grouping val="standard"/>
        <c:varyColors val="0"/>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4'!$A$26:$B$47</c:f>
              <c:multiLvlStrCache>
                <c:ptCount val="2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lvl>
                <c:lvl>
                  <c:pt idx="0">
                    <c:v>2017</c:v>
                  </c:pt>
                  <c:pt idx="4">
                    <c:v>2018</c:v>
                  </c:pt>
                  <c:pt idx="8">
                    <c:v>2019</c:v>
                  </c:pt>
                  <c:pt idx="12">
                    <c:v>2020</c:v>
                  </c:pt>
                  <c:pt idx="16">
                    <c:v>2021</c:v>
                  </c:pt>
                  <c:pt idx="20">
                    <c:v>2022</c:v>
                  </c:pt>
                </c:lvl>
              </c:multiLvlStrCache>
            </c:multiLvlStrRef>
          </c:cat>
          <c:val>
            <c:numRef>
              <c:f>'souhrnná výkonnost 4'!$H$26:$H$47</c:f>
              <c:numCache>
                <c:formatCode>#\ ##0.0</c:formatCode>
                <c:ptCount val="22"/>
                <c:pt idx="0">
                  <c:v>3.7354703358596737</c:v>
                </c:pt>
                <c:pt idx="1">
                  <c:v>6.0635693129024588</c:v>
                </c:pt>
                <c:pt idx="2">
                  <c:v>6.0551704530576105</c:v>
                </c:pt>
                <c:pt idx="3">
                  <c:v>5.7157111017319409</c:v>
                </c:pt>
                <c:pt idx="4">
                  <c:v>4.7985438750560263</c:v>
                </c:pt>
                <c:pt idx="5">
                  <c:v>2.9808255360502329</c:v>
                </c:pt>
                <c:pt idx="6">
                  <c:v>2.9311807438003412</c:v>
                </c:pt>
                <c:pt idx="7">
                  <c:v>2.9093096332303503</c:v>
                </c:pt>
                <c:pt idx="8">
                  <c:v>2.9841391815935912</c:v>
                </c:pt>
                <c:pt idx="9">
                  <c:v>3.1966587652537268</c:v>
                </c:pt>
                <c:pt idx="10">
                  <c:v>2.8977411942901767</c:v>
                </c:pt>
                <c:pt idx="11">
                  <c:v>2.6699223236542764</c:v>
                </c:pt>
                <c:pt idx="12">
                  <c:v>-1.0965543495417913</c:v>
                </c:pt>
                <c:pt idx="13">
                  <c:v>-10.953400191597822</c:v>
                </c:pt>
                <c:pt idx="14">
                  <c:v>-4.8704580385287244</c:v>
                </c:pt>
                <c:pt idx="15">
                  <c:v>-4.1854633683910549</c:v>
                </c:pt>
                <c:pt idx="16">
                  <c:v>-1.8438705492779799</c:v>
                </c:pt>
                <c:pt idx="17">
                  <c:v>9.3597124602441717</c:v>
                </c:pt>
                <c:pt idx="18">
                  <c:v>3.4156908050202177</c:v>
                </c:pt>
                <c:pt idx="19">
                  <c:v>3.0229281746453722</c:v>
                </c:pt>
                <c:pt idx="20">
                  <c:v>3.9972524486681777</c:v>
                </c:pt>
                <c:pt idx="21">
                  <c:v>3.403921595605456</c:v>
                </c:pt>
              </c:numCache>
            </c:numRef>
          </c:val>
          <c:smooth val="0"/>
          <c:extLst>
            <c:ext xmlns:c16="http://schemas.microsoft.com/office/drawing/2014/chart" uri="{C3380CC4-5D6E-409C-BE32-E72D297353CC}">
              <c16:uniqueId val="{00000005-00EC-48B2-95A8-EEAA6369373B}"/>
            </c:ext>
          </c:extLst>
        </c:ser>
        <c:dLbls>
          <c:showLegendKey val="0"/>
          <c:showVal val="0"/>
          <c:showCatName val="0"/>
          <c:showSerName val="0"/>
          <c:showPercent val="0"/>
          <c:showBubbleSize val="0"/>
        </c:dLbls>
        <c:marker val="1"/>
        <c:smooth val="0"/>
        <c:axId val="105485056"/>
        <c:axId val="105492480"/>
      </c:lineChart>
      <c:catAx>
        <c:axId val="105485056"/>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05492480"/>
        <c:crosses val="autoZero"/>
        <c:auto val="1"/>
        <c:lblAlgn val="ctr"/>
        <c:lblOffset val="100"/>
        <c:noMultiLvlLbl val="0"/>
      </c:catAx>
      <c:valAx>
        <c:axId val="105492480"/>
        <c:scaling>
          <c:orientation val="minMax"/>
          <c:max val="10"/>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05485056"/>
        <c:crosses val="autoZero"/>
        <c:crossBetween val="between"/>
        <c:majorUnit val="2"/>
      </c:valAx>
      <c:spPr>
        <a:ln>
          <a:solidFill>
            <a:schemeClr val="tx1"/>
          </a:solidFill>
        </a:ln>
      </c:spPr>
    </c:plotArea>
    <c:legend>
      <c:legendPos val="b"/>
      <c:layout>
        <c:manualLayout>
          <c:xMode val="edge"/>
          <c:yMode val="edge"/>
          <c:x val="5.4144292468760548E-2"/>
          <c:y val="0.79016604750647301"/>
          <c:w val="0.92386482607227283"/>
          <c:h val="0.1946248452099493"/>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A096E-3AB2-4871-A9E2-83A4F11714D9}">
  <ds:schemaRefs>
    <ds:schemaRef ds:uri="http://schemas.openxmlformats.org/officeDocument/2006/bibliography"/>
  </ds:schemaRefs>
</ds:datastoreItem>
</file>

<file path=customXml/itemProps2.xml><?xml version="1.0" encoding="utf-8"?>
<ds:datastoreItem xmlns:ds="http://schemas.openxmlformats.org/officeDocument/2006/customXml" ds:itemID="{7218CA1C-563B-483E-893F-20968E93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23</TotalTime>
  <Pages>4</Pages>
  <Words>1605</Words>
  <Characters>7945</Characters>
  <Application>Microsoft Office Word</Application>
  <DocSecurity>0</DocSecurity>
  <Lines>118</Lines>
  <Paragraphs>56</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9494</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Zábojníková Karolína</cp:lastModifiedBy>
  <cp:revision>5</cp:revision>
  <cp:lastPrinted>2019-04-08T10:52:00Z</cp:lastPrinted>
  <dcterms:created xsi:type="dcterms:W3CDTF">2022-09-15T09:40:00Z</dcterms:created>
  <dcterms:modified xsi:type="dcterms:W3CDTF">2022-09-15T10:00:00Z</dcterms:modified>
</cp:coreProperties>
</file>