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7D0E6B" w:rsidRDefault="00D271BB" w:rsidP="0097104F">
      <w:pPr>
        <w:pStyle w:val="Nadpis1"/>
      </w:pPr>
      <w:bookmarkStart w:id="0" w:name="_GoBack"/>
      <w:bookmarkEnd w:id="0"/>
      <w:r w:rsidRPr="00D271BB">
        <w:t>Meziroční růst spotřebitelských cen zpomalil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D271BB">
        <w:t>květ</w:t>
      </w:r>
      <w:r w:rsidR="007944EB">
        <w:t>en</w:t>
      </w:r>
      <w:r w:rsidR="00250429">
        <w:t> 20</w:t>
      </w:r>
      <w:r w:rsidR="00D563FA">
        <w:t>20</w:t>
      </w:r>
    </w:p>
    <w:p w:rsidR="00C031B4" w:rsidRPr="0072569E" w:rsidRDefault="00D271BB" w:rsidP="00C031B4">
      <w:pPr>
        <w:pStyle w:val="Perex"/>
        <w:rPr>
          <w:b w:val="0"/>
        </w:rPr>
      </w:pPr>
      <w:r w:rsidRPr="002E7BAD">
        <w:t xml:space="preserve">Spotřebitelské ceny </w:t>
      </w:r>
      <w:r>
        <w:t xml:space="preserve">vzrostly </w:t>
      </w:r>
      <w:r w:rsidRPr="002E7BAD">
        <w:t>v</w:t>
      </w:r>
      <w:r>
        <w:t xml:space="preserve"> květnu proti dubnu </w:t>
      </w:r>
      <w:r w:rsidRPr="002E7BAD">
        <w:t>o </w:t>
      </w:r>
      <w:r>
        <w:t>0,4</w:t>
      </w:r>
      <w:r w:rsidRPr="002E7BAD">
        <w:t> %</w:t>
      </w:r>
      <w:r>
        <w:t>. Tento vývoj byl ovlivněn zejména zvýšením cen v oddíle alkoholické nápoje, tabák.</w:t>
      </w:r>
      <w:r w:rsidRPr="00186648">
        <w:t xml:space="preserve"> </w:t>
      </w:r>
      <w:r w:rsidRPr="002E7BAD">
        <w:t>Meziročně vzrostly spotřebitelské ceny v</w:t>
      </w:r>
      <w:r>
        <w:t xml:space="preserve"> květnu </w:t>
      </w:r>
      <w:r w:rsidRPr="002E7BAD">
        <w:t>o </w:t>
      </w:r>
      <w:r>
        <w:t>2,9</w:t>
      </w:r>
      <w:r w:rsidRPr="002E7BAD">
        <w:t> %</w:t>
      </w:r>
      <w:r>
        <w:t>, což bylo o 0,3</w:t>
      </w:r>
      <w:r w:rsidRPr="00895A77">
        <w:t xml:space="preserve"> procentního bodu </w:t>
      </w:r>
      <w:r>
        <w:t xml:space="preserve">méně než </w:t>
      </w:r>
      <w:r w:rsidRPr="00895A77">
        <w:t>v</w:t>
      </w:r>
      <w:r>
        <w:t> dubnu</w:t>
      </w:r>
      <w:r w:rsidRPr="00FC7031">
        <w:t>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7A581E" w:rsidRDefault="007A581E" w:rsidP="007A581E">
      <w:pPr>
        <w:pStyle w:val="Zkladntextodsazen2"/>
        <w:spacing w:after="240" w:line="288" w:lineRule="auto"/>
        <w:ind w:left="0"/>
        <w:rPr>
          <w:rFonts w:cs="Arial"/>
          <w:b/>
          <w:szCs w:val="20"/>
        </w:rPr>
      </w:pPr>
      <w:r>
        <w:rPr>
          <w:rFonts w:cs="Arial"/>
          <w:szCs w:val="20"/>
        </w:rPr>
        <w:t>Meziměsíční r</w:t>
      </w:r>
      <w:r w:rsidRPr="0049363E">
        <w:rPr>
          <w:rFonts w:cs="Arial"/>
          <w:szCs w:val="20"/>
        </w:rPr>
        <w:t xml:space="preserve">ůst </w:t>
      </w:r>
      <w:r>
        <w:rPr>
          <w:rFonts w:cs="Arial"/>
          <w:szCs w:val="20"/>
        </w:rPr>
        <w:t xml:space="preserve">spotřebitelských </w:t>
      </w:r>
      <w:r w:rsidRPr="0049363E">
        <w:rPr>
          <w:rFonts w:cs="Arial"/>
          <w:szCs w:val="20"/>
        </w:rPr>
        <w:t xml:space="preserve">cen v oddíle </w:t>
      </w:r>
      <w:r>
        <w:rPr>
          <w:rFonts w:cs="Arial"/>
          <w:szCs w:val="20"/>
        </w:rPr>
        <w:t xml:space="preserve">alkoholické nápoje, tabák byl způsoben </w:t>
      </w:r>
      <w:r w:rsidRPr="00BC0045">
        <w:rPr>
          <w:rFonts w:cs="Arial"/>
          <w:szCs w:val="20"/>
        </w:rPr>
        <w:t>zvýšení</w:t>
      </w:r>
      <w:r>
        <w:rPr>
          <w:rFonts w:cs="Arial"/>
          <w:szCs w:val="20"/>
        </w:rPr>
        <w:t>m</w:t>
      </w:r>
      <w:r w:rsidRPr="00BC004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cen tabákových výrobků o 3,7 %, lihovin</w:t>
      </w:r>
      <w:r w:rsidRPr="00BC0045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3,3</w:t>
      </w:r>
      <w:r w:rsidRPr="00BC0045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 piva o 3,4 %. V oddíle potraviny a nealkoholické nápoje byly vyšší především ceny ovoce o 7,6 %, uzenin o 1,2 %, brambor o 5,1 % a vajec o 4,2 %. Vývoj cen v oddíle doprava byl ovlivněn zejména růstem cen automobilů o 1,8 %. V oddíle bytové vybavení, </w:t>
      </w:r>
      <w:r w:rsidRPr="00DF0F29">
        <w:rPr>
          <w:rFonts w:cs="Arial"/>
          <w:szCs w:val="20"/>
        </w:rPr>
        <w:t>zařízení domácnost</w:t>
      </w:r>
      <w:r>
        <w:rPr>
          <w:rFonts w:cs="Arial"/>
          <w:szCs w:val="20"/>
        </w:rPr>
        <w:t>i</w:t>
      </w:r>
      <w:r w:rsidRPr="00DF0F2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vzrostly</w:t>
      </w:r>
      <w:r w:rsidRPr="00DF0F2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především</w:t>
      </w:r>
      <w:r w:rsidRPr="00DF0F29">
        <w:rPr>
          <w:rFonts w:cs="Arial"/>
          <w:szCs w:val="20"/>
        </w:rPr>
        <w:t xml:space="preserve"> ceny </w:t>
      </w:r>
      <w:r>
        <w:rPr>
          <w:rFonts w:cs="Arial"/>
          <w:szCs w:val="20"/>
        </w:rPr>
        <w:t>přístrojů a spotřebičů pro domácnost o 1,3 %.</w:t>
      </w:r>
    </w:p>
    <w:p w:rsidR="007A581E" w:rsidRDefault="007A581E" w:rsidP="007A581E">
      <w:pPr>
        <w:pStyle w:val="Zkladntextodsazen2"/>
        <w:spacing w:after="240" w:line="288" w:lineRule="auto"/>
        <w:ind w:left="0"/>
        <w:rPr>
          <w:rFonts w:cs="Arial"/>
          <w:b/>
          <w:szCs w:val="20"/>
        </w:rPr>
      </w:pPr>
      <w:r w:rsidRPr="00895A77">
        <w:rPr>
          <w:rFonts w:cs="Arial"/>
          <w:szCs w:val="20"/>
        </w:rPr>
        <w:t>Na </w:t>
      </w:r>
      <w:r w:rsidRPr="006704E4">
        <w:rPr>
          <w:rFonts w:cs="Arial"/>
          <w:szCs w:val="20"/>
        </w:rPr>
        <w:t xml:space="preserve">snižování celkové úrovně </w:t>
      </w:r>
      <w:r w:rsidRPr="00D73799">
        <w:rPr>
          <w:rFonts w:cs="Arial"/>
          <w:szCs w:val="20"/>
        </w:rPr>
        <w:t>spotřebitelských cen v </w:t>
      </w:r>
      <w:r>
        <w:rPr>
          <w:rFonts w:cs="Arial"/>
          <w:szCs w:val="20"/>
        </w:rPr>
        <w:t>květnu</w:t>
      </w:r>
      <w:r w:rsidRPr="00D73799">
        <w:rPr>
          <w:rFonts w:cs="Arial"/>
          <w:szCs w:val="20"/>
        </w:rPr>
        <w:t xml:space="preserve"> působi</w:t>
      </w:r>
      <w:r>
        <w:rPr>
          <w:rFonts w:cs="Arial"/>
          <w:szCs w:val="20"/>
        </w:rPr>
        <w:t>l pokles cen v oddíle odívání a obuv, kde byly nižší ceny oděvů o 1,4 %. Z potravin klesly zejména ceny zeleniny o 1,2 % a ceny sýrů a tvarohů o 1,6 %.</w:t>
      </w:r>
      <w:r w:rsidRPr="009B5C80">
        <w:rPr>
          <w:rFonts w:cs="Arial"/>
          <w:szCs w:val="20"/>
        </w:rPr>
        <w:t xml:space="preserve"> </w:t>
      </w:r>
      <w:r w:rsidRPr="00C366F5">
        <w:rPr>
          <w:rFonts w:cs="Arial"/>
          <w:szCs w:val="20"/>
        </w:rPr>
        <w:t>V oddíle bydlení se snížily ceny vodného o 3,5</w:t>
      </w:r>
      <w:r>
        <w:rPr>
          <w:rFonts w:cs="Arial"/>
          <w:szCs w:val="20"/>
        </w:rPr>
        <w:t> % a </w:t>
      </w:r>
      <w:r w:rsidRPr="00C366F5">
        <w:rPr>
          <w:rFonts w:cs="Arial"/>
          <w:szCs w:val="20"/>
        </w:rPr>
        <w:t>stočného o </w:t>
      </w:r>
      <w:r>
        <w:rPr>
          <w:rFonts w:cs="Arial"/>
          <w:szCs w:val="20"/>
        </w:rPr>
        <w:t>3,0 %, a </w:t>
      </w:r>
      <w:r w:rsidRPr="00C366F5">
        <w:rPr>
          <w:rFonts w:cs="Arial"/>
          <w:szCs w:val="20"/>
        </w:rPr>
        <w:t xml:space="preserve">to částečně vlivem snížení </w:t>
      </w:r>
      <w:r>
        <w:rPr>
          <w:rFonts w:cs="Arial"/>
          <w:szCs w:val="20"/>
        </w:rPr>
        <w:t>DPH z 15 % na </w:t>
      </w:r>
      <w:r w:rsidRPr="00C366F5">
        <w:rPr>
          <w:rFonts w:cs="Arial"/>
          <w:szCs w:val="20"/>
        </w:rPr>
        <w:t>10 %.</w:t>
      </w:r>
    </w:p>
    <w:p w:rsidR="00D563FA" w:rsidRPr="00D563FA" w:rsidRDefault="007A581E" w:rsidP="007A581E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0,6 % a ceny služeb o 0,3 %</w:t>
      </w:r>
      <w:r w:rsidRPr="00D554D7">
        <w:rPr>
          <w:rFonts w:cs="Arial"/>
          <w:szCs w:val="20"/>
        </w:rPr>
        <w:t>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7A581E" w:rsidRPr="007A581E" w:rsidRDefault="007A581E" w:rsidP="007A581E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7A581E">
        <w:rPr>
          <w:rFonts w:cs="Arial"/>
          <w:szCs w:val="20"/>
        </w:rPr>
        <w:t>Meziročně vzrostly spotřebitelské ceny v květnu o 2,9 %, což bylo o 0,3 procentního bodu méně než v dubnu. Zpomalení meziročního cenového růstu nastalo především v oddíle potraviny a nealkoholické nápoje. Ceny masa vzrostly o 10,8 % (v dubnu o 12,8 %), sýrů a tvarohů o 2,1 % (v dubnu o 6,0 %), zeleniny o 4,0 % (v dubnu o 11,8 %) a cukru o 11,6 % (v dubnu o 16,2 %). Ceny másla byly nižší o 7,7 % (v dubnu o 3,5 %). V oddíle odívání a obuv se zvýšily ceny oděvů o 3,4 % (v dubnu o 4,5 %). V oddíle bydlení byly vyšší ceny vodného o 1,7 % (v dubnu o 5,3 %) a stočného o 1,5 % (v dubnu o 4,5 %). Naopak v oddíle alkoholické nápoje, tabák, meziroční růst cen zrychlil, a to zejména vlivem cen tabákových výrobků, které v květnu vzrostly o 7,1 % (v dubnu o 3,2 %).</w:t>
      </w:r>
    </w:p>
    <w:p w:rsidR="007A581E" w:rsidRPr="007A581E" w:rsidRDefault="007A581E" w:rsidP="007A581E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7A581E">
        <w:rPr>
          <w:rFonts w:cs="Arial"/>
          <w:szCs w:val="20"/>
        </w:rPr>
        <w:t xml:space="preserve">Na meziroční zvyšování cenové hladiny měly v květnu největší vliv ceny v oddíle potraviny a nealkoholické nápoje, kde byly vyšší ceny mouky o 13,9 %, vepřového masa o 13,7 %, uzenin o 13,6 % a ovoce o 25,4 %. Druhé v pořadí vlivu byly ceny v oddíle bydlení, kde se zvýšily ceny nájemného z bytu o 3,8 %, elektřiny o 8,0 % a zemního plynu o 0,4 %. Vliv na zvýšení celkové cenové hladiny měly také ceny v oddíle alkoholické nápoje, tabák, kde vzrostly ceny lihovin o 8,9 % a piva o 3,5 %. </w:t>
      </w:r>
      <w:r w:rsidRPr="007A581E">
        <w:rPr>
          <w:rFonts w:eastAsia="Calibri"/>
          <w:szCs w:val="20"/>
        </w:rPr>
        <w:t>Na meziroční snižování celkové cenové hladiny v květnu působily ceny v oddíle doprava, a to především vlivem cen pohonných hmot, které byly nižší o 21,7 %. V</w:t>
      </w:r>
      <w:r w:rsidRPr="007A581E">
        <w:rPr>
          <w:rFonts w:cs="Arial"/>
          <w:szCs w:val="20"/>
        </w:rPr>
        <w:t> oddíle pošty a telekomunikace klesly ceny telefonních a faxových služeb o 4,1 %.</w:t>
      </w:r>
    </w:p>
    <w:p w:rsidR="007A581E" w:rsidRPr="007A581E" w:rsidRDefault="007A581E" w:rsidP="007A581E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7A581E">
        <w:rPr>
          <w:rFonts w:cs="Arial"/>
          <w:szCs w:val="20"/>
        </w:rPr>
        <w:t>Ceny zboží úhrnem vzrostly o 2,7 % a ceny služeb o 3,3 %. Úhrnný index spotřebitelských cen bez započtení imputovaného nájemného (nákladů vlastnického bydlení) byl meziročně 103,0 %.</w:t>
      </w:r>
    </w:p>
    <w:p w:rsidR="007A581E" w:rsidRPr="007A581E" w:rsidRDefault="007A581E" w:rsidP="007A581E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7A581E">
        <w:rPr>
          <w:rFonts w:cs="Arial"/>
          <w:szCs w:val="20"/>
        </w:rPr>
        <w:t>Míra inflace vyjádřená přírůstkem průměrného indexu spotřebitelských cen za posledních 12 měsíců proti průměru předchozích 12 měsíců byla v květnu 3,1 %.</w:t>
      </w:r>
    </w:p>
    <w:p w:rsidR="007944EB" w:rsidRDefault="007A581E" w:rsidP="007A581E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7A581E">
        <w:rPr>
          <w:rFonts w:cs="Arial"/>
          <w:b/>
          <w:sz w:val="20"/>
          <w:szCs w:val="20"/>
        </w:rPr>
        <w:t>Meziroční</w:t>
      </w:r>
      <w:r w:rsidRPr="007A581E">
        <w:rPr>
          <w:rFonts w:cs="Arial"/>
          <w:sz w:val="20"/>
          <w:szCs w:val="20"/>
        </w:rPr>
        <w:t xml:space="preserve"> změna průměrného </w:t>
      </w:r>
      <w:r w:rsidRPr="007A581E">
        <w:rPr>
          <w:rFonts w:cs="Arial"/>
          <w:b/>
          <w:bCs/>
          <w:sz w:val="20"/>
          <w:szCs w:val="20"/>
        </w:rPr>
        <w:t>harmonizovaného indexu spotřebitelských cen</w:t>
      </w:r>
      <w:r w:rsidRPr="007A581E">
        <w:rPr>
          <w:rFonts w:cs="Arial"/>
          <w:sz w:val="20"/>
          <w:szCs w:val="20"/>
        </w:rPr>
        <w:t xml:space="preserve"> (HICP)</w:t>
      </w:r>
      <w:r w:rsidRPr="007A581E">
        <w:rPr>
          <w:rStyle w:val="Znakapoznpodarou"/>
          <w:rFonts w:cs="Arial"/>
          <w:sz w:val="20"/>
          <w:szCs w:val="20"/>
        </w:rPr>
        <w:footnoteReference w:id="1"/>
      </w:r>
      <w:r w:rsidRPr="007A581E">
        <w:rPr>
          <w:rFonts w:cs="Arial"/>
          <w:sz w:val="20"/>
          <w:szCs w:val="20"/>
          <w:vertAlign w:val="superscript"/>
        </w:rPr>
        <w:t>)</w:t>
      </w:r>
      <w:r w:rsidRPr="007A581E">
        <w:rPr>
          <w:rFonts w:cs="Arial"/>
          <w:sz w:val="20"/>
          <w:szCs w:val="20"/>
        </w:rPr>
        <w:t xml:space="preserve"> </w:t>
      </w:r>
      <w:r w:rsidRPr="007A581E">
        <w:rPr>
          <w:rFonts w:cs="Arial"/>
          <w:b/>
          <w:bCs/>
          <w:sz w:val="20"/>
          <w:szCs w:val="20"/>
        </w:rPr>
        <w:t>27 členských zemí EU</w:t>
      </w:r>
      <w:r w:rsidRPr="007A581E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7A581E">
        <w:rPr>
          <w:rFonts w:cs="Arial"/>
          <w:sz w:val="20"/>
          <w:szCs w:val="20"/>
        </w:rPr>
        <w:t>Eurostatu</w:t>
      </w:r>
      <w:proofErr w:type="spellEnd"/>
      <w:r w:rsidRPr="007A581E">
        <w:rPr>
          <w:rFonts w:cs="Arial"/>
          <w:sz w:val="20"/>
          <w:szCs w:val="20"/>
        </w:rPr>
        <w:t xml:space="preserve"> </w:t>
      </w:r>
      <w:r w:rsidRPr="007A581E">
        <w:rPr>
          <w:rFonts w:cs="Arial"/>
          <w:b/>
          <w:sz w:val="20"/>
          <w:szCs w:val="20"/>
        </w:rPr>
        <w:t xml:space="preserve">v dubnu </w:t>
      </w:r>
      <w:r w:rsidRPr="007A581E">
        <w:rPr>
          <w:rFonts w:cs="Arial"/>
          <w:sz w:val="20"/>
          <w:szCs w:val="20"/>
        </w:rPr>
        <w:t xml:space="preserve">0,6 %, což bylo o 0,5 procentního bodu méně než v březnu. </w:t>
      </w:r>
      <w:r w:rsidRPr="007A581E">
        <w:rPr>
          <w:rFonts w:cs="Arial"/>
          <w:bCs/>
          <w:sz w:val="20"/>
          <w:szCs w:val="20"/>
        </w:rPr>
        <w:t xml:space="preserve">Nejvíce ceny vzrostly v České republice a v Polsku (o 3,3 %, resp. o 2,9 %). </w:t>
      </w:r>
      <w:r w:rsidRPr="007A581E">
        <w:rPr>
          <w:rFonts w:cs="Arial"/>
          <w:sz w:val="20"/>
          <w:szCs w:val="20"/>
        </w:rPr>
        <w:t>Naopak největší pokles cen nastal ve Slovinsku (o 1,3 %) a </w:t>
      </w:r>
      <w:r w:rsidRPr="007A581E">
        <w:rPr>
          <w:sz w:val="20"/>
          <w:szCs w:val="20"/>
        </w:rPr>
        <w:t xml:space="preserve">na Kypru </w:t>
      </w:r>
      <w:r w:rsidRPr="007A581E">
        <w:rPr>
          <w:rFonts w:cs="Arial"/>
          <w:sz w:val="20"/>
          <w:szCs w:val="20"/>
        </w:rPr>
        <w:t>(o 1,2 %).</w:t>
      </w:r>
      <w:r w:rsidRPr="007A581E">
        <w:rPr>
          <w:rFonts w:cs="Arial"/>
          <w:bCs/>
          <w:sz w:val="20"/>
          <w:szCs w:val="20"/>
        </w:rPr>
        <w:t xml:space="preserve"> Na Slovensku cenový růst v dubnu zpomalil </w:t>
      </w:r>
      <w:r w:rsidRPr="007A581E">
        <w:rPr>
          <w:rFonts w:cs="Arial"/>
          <w:bCs/>
          <w:sz w:val="20"/>
          <w:szCs w:val="20"/>
        </w:rPr>
        <w:lastRenderedPageBreak/>
        <w:t>na 2,1 % z 2,4 % v březnu.</w:t>
      </w:r>
      <w:r w:rsidRPr="007A581E">
        <w:rPr>
          <w:rFonts w:cs="Arial"/>
          <w:sz w:val="20"/>
          <w:szCs w:val="20"/>
        </w:rPr>
        <w:t xml:space="preserve"> </w:t>
      </w:r>
      <w:r w:rsidRPr="007A581E">
        <w:rPr>
          <w:rFonts w:cs="Arial"/>
          <w:bCs/>
          <w:sz w:val="20"/>
          <w:szCs w:val="20"/>
        </w:rPr>
        <w:t>V Německu</w:t>
      </w:r>
      <w:r w:rsidRPr="007A581E">
        <w:rPr>
          <w:rFonts w:cs="Arial"/>
          <w:sz w:val="20"/>
          <w:szCs w:val="20"/>
        </w:rPr>
        <w:t xml:space="preserve"> byly ceny vyšší o 0,8 % (v březnu o 1,3 %)</w:t>
      </w:r>
      <w:r w:rsidRPr="007A581E">
        <w:rPr>
          <w:rFonts w:cs="Arial"/>
          <w:bCs/>
          <w:sz w:val="20"/>
          <w:szCs w:val="20"/>
        </w:rPr>
        <w:t xml:space="preserve">. </w:t>
      </w:r>
      <w:r w:rsidRPr="007A581E">
        <w:rPr>
          <w:rFonts w:cs="Arial"/>
          <w:sz w:val="20"/>
          <w:szCs w:val="20"/>
        </w:rPr>
        <w:t xml:space="preserve">Podle předběžných výpočtů vzrostl </w:t>
      </w:r>
      <w:r w:rsidRPr="007A581E">
        <w:rPr>
          <w:rFonts w:cs="Arial"/>
          <w:b/>
          <w:sz w:val="20"/>
          <w:szCs w:val="20"/>
        </w:rPr>
        <w:t xml:space="preserve">v květnu </w:t>
      </w:r>
      <w:r w:rsidRPr="007A581E">
        <w:rPr>
          <w:rFonts w:cs="Arial"/>
          <w:sz w:val="20"/>
          <w:szCs w:val="20"/>
        </w:rPr>
        <w:t>HICP v ČR</w:t>
      </w:r>
      <w:r w:rsidRPr="007A581E">
        <w:rPr>
          <w:rFonts w:cs="Arial"/>
          <w:b/>
          <w:sz w:val="20"/>
          <w:szCs w:val="20"/>
        </w:rPr>
        <w:t xml:space="preserve"> meziměsíčně </w:t>
      </w:r>
      <w:r w:rsidRPr="007A581E">
        <w:rPr>
          <w:rFonts w:cs="Arial"/>
          <w:sz w:val="20"/>
          <w:szCs w:val="20"/>
        </w:rPr>
        <w:t>o 0,5 % a </w:t>
      </w:r>
      <w:r w:rsidRPr="007A581E">
        <w:rPr>
          <w:rFonts w:cs="Arial"/>
          <w:b/>
          <w:sz w:val="20"/>
          <w:szCs w:val="20"/>
        </w:rPr>
        <w:t xml:space="preserve">meziročně </w:t>
      </w:r>
      <w:r w:rsidRPr="007A581E">
        <w:rPr>
          <w:rFonts w:cs="Arial"/>
          <w:sz w:val="20"/>
          <w:szCs w:val="20"/>
        </w:rPr>
        <w:t xml:space="preserve">o 3,1 %. Bleskový odhad meziroční změny HICP </w:t>
      </w:r>
      <w:r w:rsidRPr="007A581E">
        <w:rPr>
          <w:rFonts w:cs="Arial"/>
          <w:b/>
          <w:sz w:val="20"/>
          <w:szCs w:val="20"/>
        </w:rPr>
        <w:t>pro</w:t>
      </w:r>
      <w:r w:rsidRPr="007A581E">
        <w:rPr>
          <w:rFonts w:cs="Arial"/>
          <w:b/>
          <w:bCs/>
          <w:sz w:val="20"/>
          <w:szCs w:val="20"/>
        </w:rPr>
        <w:t xml:space="preserve"> eurozónu </w:t>
      </w:r>
      <w:r w:rsidRPr="007A581E">
        <w:rPr>
          <w:rFonts w:cs="Arial"/>
          <w:b/>
          <w:sz w:val="20"/>
          <w:szCs w:val="20"/>
        </w:rPr>
        <w:t>za</w:t>
      </w:r>
      <w:r w:rsidRPr="007A581E">
        <w:rPr>
          <w:rFonts w:cs="Arial"/>
          <w:b/>
          <w:bCs/>
          <w:sz w:val="20"/>
          <w:szCs w:val="20"/>
        </w:rPr>
        <w:t> květen 2020</w:t>
      </w:r>
      <w:r w:rsidRPr="007A581E">
        <w:rPr>
          <w:rFonts w:cs="Arial"/>
          <w:sz w:val="20"/>
          <w:szCs w:val="20"/>
        </w:rPr>
        <w:t xml:space="preserve"> je 0,1 %, jak uvedl </w:t>
      </w:r>
      <w:proofErr w:type="spellStart"/>
      <w:r w:rsidRPr="007A581E">
        <w:rPr>
          <w:rFonts w:cs="Arial"/>
          <w:sz w:val="20"/>
          <w:szCs w:val="20"/>
        </w:rPr>
        <w:t>Eurostat</w:t>
      </w:r>
      <w:proofErr w:type="spellEnd"/>
      <w:r w:rsidRPr="007A581E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7A581E">
        <w:rPr>
          <w:rFonts w:cs="Arial"/>
          <w:sz w:val="20"/>
          <w:szCs w:val="20"/>
        </w:rPr>
        <w:t>Eurostatu</w:t>
      </w:r>
      <w:proofErr w:type="spellEnd"/>
      <w:r w:rsidRPr="007A581E">
        <w:rPr>
          <w:rFonts w:cs="Arial"/>
          <w:sz w:val="20"/>
          <w:szCs w:val="20"/>
        </w:rPr>
        <w:t xml:space="preserve">: </w:t>
      </w:r>
      <w:hyperlink r:id="rId8" w:history="1">
        <w:r w:rsidRPr="007A581E">
          <w:rPr>
            <w:rStyle w:val="Hypertextovodkaz"/>
            <w:sz w:val="20"/>
            <w:szCs w:val="20"/>
          </w:rPr>
          <w:t>HICP</w:t>
        </w:r>
      </w:hyperlink>
      <w:r w:rsidRPr="007A581E">
        <w:rPr>
          <w:sz w:val="20"/>
          <w:szCs w:val="20"/>
        </w:rPr>
        <w:t>.</w:t>
      </w:r>
      <w:r w:rsidRPr="007A581E">
        <w:rPr>
          <w:rFonts w:cs="Arial"/>
          <w:sz w:val="20"/>
          <w:szCs w:val="20"/>
        </w:rPr>
        <w:t>)</w:t>
      </w:r>
    </w:p>
    <w:p w:rsidR="0096145B" w:rsidRPr="0096145B" w:rsidRDefault="0096145B" w:rsidP="0096145B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96145B">
        <w:rPr>
          <w:rFonts w:cs="Arial"/>
          <w:szCs w:val="20"/>
        </w:rPr>
        <w:t xml:space="preserve">Celková úroveň spotřebitelských cen </w:t>
      </w:r>
      <w:r w:rsidRPr="0096145B">
        <w:rPr>
          <w:rFonts w:cs="Arial"/>
          <w:b/>
          <w:bCs/>
          <w:szCs w:val="20"/>
        </w:rPr>
        <w:t>domácností důchodců</w:t>
      </w:r>
      <w:r w:rsidRPr="0096145B">
        <w:rPr>
          <w:rFonts w:cs="Arial"/>
          <w:szCs w:val="20"/>
        </w:rPr>
        <w:t xml:space="preserve"> v květnu ve srovnání s předcházejícím měsícem vzrostla o 0,5 %. Tento vývoj ovlivnily především ceny v oddíle alkoholické nápoje, tabák, které vzrostly o 3,0 %. V tomto oddíle se zvýšily ceny tabáku, piva a lihovin. V oddíle potraviny a nealkoholické nápoje ceny vzrostly o 0,5 %. V tomto oddíle se zvýšily zejména ceny ovoce, uzenin, brambor a vajec. V oddíle zdraví ceny vzrostly o 1,2 %. V oddíle bytové vybavení, zařízení domácnosti ceny vzrostly o 0,4 %. </w:t>
      </w:r>
      <w:r w:rsidRPr="0096145B">
        <w:rPr>
          <w:rFonts w:eastAsia="Calibri" w:cs="Arial"/>
          <w:szCs w:val="20"/>
        </w:rPr>
        <w:t>Opačný vliv na změnu cenové hladiny měl pokles cen v oddíle bydlení o 0,2 %. V tomto oddíle se snížily zejména ceny vodného a stočného.</w:t>
      </w:r>
    </w:p>
    <w:p w:rsidR="0096145B" w:rsidRPr="0096145B" w:rsidRDefault="0096145B" w:rsidP="0096145B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96145B">
        <w:rPr>
          <w:rFonts w:cs="Arial"/>
          <w:b/>
          <w:bCs/>
          <w:sz w:val="20"/>
          <w:szCs w:val="20"/>
        </w:rPr>
        <w:t>V hlavním městě Praze</w:t>
      </w:r>
      <w:r w:rsidRPr="0096145B">
        <w:rPr>
          <w:rFonts w:cs="Arial"/>
          <w:sz w:val="20"/>
          <w:szCs w:val="20"/>
        </w:rPr>
        <w:t xml:space="preserve"> spotřebitelské ceny úhrnem ve srovnání s minulým měsícem vzrostly o 0,4 %. (v ČR také o 0,4 %). Největší vliv na tento vývoj mělo zvýšení cen v oddíle alkoholické nápoje, tabák o 3,6 % (v ČR o 2,9 %). V tomto oddíle vzrostly ceny tabáku, lihovin a piva. V oddíle potraviny a nealkoholické nápoje se ceny zvýšily o 0,5 % (v ČR o 0,6 %). V tomto oddíle došlo především k růstu cen ovoce, uzenin, brambor a vajec. V oddíle bydlení ceny vzrostly o 0,2 % (v ČR změna o 0,0%). Na druhé straně došlo v Praze k poklesu spotřebitelských cen v oddíle odívání a oděvy o 0,4 % (v </w:t>
      </w:r>
      <w:proofErr w:type="gramStart"/>
      <w:r w:rsidRPr="0096145B">
        <w:rPr>
          <w:rFonts w:cs="Arial"/>
          <w:sz w:val="20"/>
          <w:szCs w:val="20"/>
        </w:rPr>
        <w:t>ČR</w:t>
      </w:r>
      <w:proofErr w:type="gramEnd"/>
      <w:r w:rsidRPr="0096145B">
        <w:rPr>
          <w:rFonts w:cs="Arial"/>
          <w:sz w:val="20"/>
          <w:szCs w:val="20"/>
        </w:rPr>
        <w:t xml:space="preserve"> –</w:t>
      </w:r>
      <w:proofErr w:type="gramStart"/>
      <w:r w:rsidRPr="0096145B">
        <w:rPr>
          <w:rFonts w:cs="Arial"/>
          <w:sz w:val="20"/>
          <w:szCs w:val="20"/>
        </w:rPr>
        <w:t>1,0</w:t>
      </w:r>
      <w:proofErr w:type="gramEnd"/>
      <w:r w:rsidRPr="0096145B">
        <w:rPr>
          <w:rFonts w:cs="Arial"/>
          <w:sz w:val="20"/>
          <w:szCs w:val="20"/>
        </w:rPr>
        <w:t> %). V tomto oddíle se snížily zejména ceny oděvů.</w:t>
      </w:r>
    </w:p>
    <w:p w:rsidR="007944EB" w:rsidRPr="007944EB" w:rsidRDefault="007944EB" w:rsidP="007A581E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D20C94" w:rsidRPr="007A581E" w:rsidRDefault="00EA2B16" w:rsidP="007A581E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hyperlink r:id="rId9" w:history="1">
        <w:r w:rsidR="007A581E" w:rsidRPr="00045C7F">
          <w:rPr>
            <w:rStyle w:val="Hypertextovodkaz"/>
            <w:rFonts w:cs="Arial"/>
            <w:bCs/>
            <w:sz w:val="20"/>
            <w:szCs w:val="22"/>
          </w:rPr>
          <w:t xml:space="preserve">Metodická poznámka k indexu spotřebitelských cen za </w:t>
        </w:r>
        <w:r w:rsidR="007A581E">
          <w:rPr>
            <w:rStyle w:val="Hypertextovodkaz"/>
            <w:rFonts w:cs="Arial"/>
            <w:bCs/>
            <w:sz w:val="20"/>
            <w:szCs w:val="22"/>
          </w:rPr>
          <w:t>květen</w:t>
        </w:r>
        <w:r w:rsidR="007A581E" w:rsidRPr="00045C7F">
          <w:rPr>
            <w:rStyle w:val="Hypertextovodkaz"/>
            <w:rFonts w:cs="Arial"/>
            <w:bCs/>
            <w:sz w:val="20"/>
            <w:szCs w:val="22"/>
          </w:rPr>
          <w:t xml:space="preserve"> 2020 (COVID-19)</w:t>
        </w:r>
      </w:hyperlink>
    </w:p>
    <w:sectPr w:rsidR="00D20C94" w:rsidRPr="007A581E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B16" w:rsidRDefault="00EA2B16" w:rsidP="00E71A58">
      <w:r>
        <w:separator/>
      </w:r>
    </w:p>
  </w:endnote>
  <w:endnote w:type="continuationSeparator" w:id="0">
    <w:p w:rsidR="00EA2B16" w:rsidRDefault="00EA2B16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5B7A04">
      <w:rPr>
        <w:szCs w:val="16"/>
      </w:rPr>
      <w:t>květ</w:t>
    </w:r>
    <w:r w:rsidR="00D07F46">
      <w:rPr>
        <w:szCs w:val="16"/>
      </w:rPr>
      <w:t>en</w:t>
    </w:r>
    <w:r w:rsidR="00A16F97">
      <w:rPr>
        <w:rStyle w:val="ZpatChar"/>
        <w:szCs w:val="16"/>
      </w:rPr>
      <w:t xml:space="preserve"> 2020</w:t>
    </w:r>
    <w:r w:rsidRPr="00F1639F">
      <w:rPr>
        <w:rStyle w:val="ZpatChar"/>
        <w:szCs w:val="16"/>
      </w:rPr>
      <w:t xml:space="preserve"> / </w:t>
    </w:r>
    <w:r w:rsidR="005B7A04">
      <w:rPr>
        <w:rStyle w:val="ZpatChar"/>
        <w:i/>
        <w:szCs w:val="16"/>
      </w:rPr>
      <w:t>May</w:t>
    </w:r>
    <w:r>
      <w:rPr>
        <w:rStyle w:val="ZpatChar"/>
        <w:i/>
        <w:szCs w:val="16"/>
      </w:rPr>
      <w:t xml:space="preserve"> 20</w:t>
    </w:r>
    <w:r w:rsidR="00A16F97">
      <w:rPr>
        <w:rStyle w:val="ZpatChar"/>
        <w:i/>
        <w:szCs w:val="16"/>
      </w:rPr>
      <w:t>20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B16" w:rsidRDefault="00EA2B16" w:rsidP="00E71A58">
      <w:r>
        <w:separator/>
      </w:r>
    </w:p>
  </w:footnote>
  <w:footnote w:type="continuationSeparator" w:id="0">
    <w:p w:rsidR="00EA2B16" w:rsidRDefault="00EA2B16" w:rsidP="00E71A58">
      <w:r>
        <w:continuationSeparator/>
      </w:r>
    </w:p>
  </w:footnote>
  <w:footnote w:id="1">
    <w:p w:rsidR="007A581E" w:rsidRDefault="007A581E" w:rsidP="007A581E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39C1"/>
    <w:rsid w:val="000C55F1"/>
    <w:rsid w:val="000C6AFD"/>
    <w:rsid w:val="000D5637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4715"/>
    <w:rsid w:val="00147D26"/>
    <w:rsid w:val="00155623"/>
    <w:rsid w:val="00157546"/>
    <w:rsid w:val="0016256B"/>
    <w:rsid w:val="00163793"/>
    <w:rsid w:val="001637B7"/>
    <w:rsid w:val="001706D6"/>
    <w:rsid w:val="001714F2"/>
    <w:rsid w:val="00176E2A"/>
    <w:rsid w:val="001778BB"/>
    <w:rsid w:val="001849F2"/>
    <w:rsid w:val="00184B08"/>
    <w:rsid w:val="00184B32"/>
    <w:rsid w:val="00185010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34DB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84581"/>
    <w:rsid w:val="00285412"/>
    <w:rsid w:val="002901CD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7127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6920"/>
    <w:rsid w:val="003E0D5C"/>
    <w:rsid w:val="003E4C91"/>
    <w:rsid w:val="003F313C"/>
    <w:rsid w:val="003F551C"/>
    <w:rsid w:val="0040015F"/>
    <w:rsid w:val="00407C13"/>
    <w:rsid w:val="00410638"/>
    <w:rsid w:val="00410DDA"/>
    <w:rsid w:val="0042164C"/>
    <w:rsid w:val="00432A58"/>
    <w:rsid w:val="00434617"/>
    <w:rsid w:val="00435DF6"/>
    <w:rsid w:val="00440900"/>
    <w:rsid w:val="004441A0"/>
    <w:rsid w:val="004472CA"/>
    <w:rsid w:val="004534F7"/>
    <w:rsid w:val="00456343"/>
    <w:rsid w:val="004568EB"/>
    <w:rsid w:val="004635FA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5F1"/>
    <w:rsid w:val="004847E4"/>
    <w:rsid w:val="00484ECE"/>
    <w:rsid w:val="00486A14"/>
    <w:rsid w:val="00486FFD"/>
    <w:rsid w:val="004915CB"/>
    <w:rsid w:val="00497660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0AA7"/>
    <w:rsid w:val="005B121D"/>
    <w:rsid w:val="005B336F"/>
    <w:rsid w:val="005B7A04"/>
    <w:rsid w:val="005C06ED"/>
    <w:rsid w:val="005C2A6E"/>
    <w:rsid w:val="005D5802"/>
    <w:rsid w:val="005D7890"/>
    <w:rsid w:val="005D7D83"/>
    <w:rsid w:val="005E3A03"/>
    <w:rsid w:val="005E7C7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2860"/>
    <w:rsid w:val="00685ACC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8D8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259A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B614A"/>
    <w:rsid w:val="007B6689"/>
    <w:rsid w:val="007B71A0"/>
    <w:rsid w:val="007C0501"/>
    <w:rsid w:val="007C2204"/>
    <w:rsid w:val="007D40DF"/>
    <w:rsid w:val="007E61EE"/>
    <w:rsid w:val="007E7E61"/>
    <w:rsid w:val="007F0845"/>
    <w:rsid w:val="00807C82"/>
    <w:rsid w:val="0081142E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31FF"/>
    <w:rsid w:val="008E6F06"/>
    <w:rsid w:val="008F029B"/>
    <w:rsid w:val="008F09C3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7AE2"/>
    <w:rsid w:val="00940DE4"/>
    <w:rsid w:val="0094427A"/>
    <w:rsid w:val="009459B2"/>
    <w:rsid w:val="00951F5F"/>
    <w:rsid w:val="00956240"/>
    <w:rsid w:val="0096145B"/>
    <w:rsid w:val="00965CD5"/>
    <w:rsid w:val="0097104F"/>
    <w:rsid w:val="00971E7D"/>
    <w:rsid w:val="00974923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3E43"/>
    <w:rsid w:val="00A25225"/>
    <w:rsid w:val="00A30F65"/>
    <w:rsid w:val="00A33C97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C04E1"/>
    <w:rsid w:val="00AC12B4"/>
    <w:rsid w:val="00AC1F42"/>
    <w:rsid w:val="00AD306C"/>
    <w:rsid w:val="00AE09B3"/>
    <w:rsid w:val="00AE1A83"/>
    <w:rsid w:val="00AE45C6"/>
    <w:rsid w:val="00AF7B3E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0E75"/>
    <w:rsid w:val="00B4155F"/>
    <w:rsid w:val="00B46604"/>
    <w:rsid w:val="00B47A70"/>
    <w:rsid w:val="00B51030"/>
    <w:rsid w:val="00B5316B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8B9"/>
    <w:rsid w:val="00BE239E"/>
    <w:rsid w:val="00BE2495"/>
    <w:rsid w:val="00BE3108"/>
    <w:rsid w:val="00BF1578"/>
    <w:rsid w:val="00C02ABF"/>
    <w:rsid w:val="00C031B4"/>
    <w:rsid w:val="00C03B89"/>
    <w:rsid w:val="00C21F94"/>
    <w:rsid w:val="00C224A7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5200"/>
    <w:rsid w:val="00D25F28"/>
    <w:rsid w:val="00D26279"/>
    <w:rsid w:val="00D271BB"/>
    <w:rsid w:val="00D27973"/>
    <w:rsid w:val="00D3124A"/>
    <w:rsid w:val="00D33DFB"/>
    <w:rsid w:val="00D50F46"/>
    <w:rsid w:val="00D559EE"/>
    <w:rsid w:val="00D563FA"/>
    <w:rsid w:val="00D66223"/>
    <w:rsid w:val="00D770D1"/>
    <w:rsid w:val="00D8084C"/>
    <w:rsid w:val="00D8694F"/>
    <w:rsid w:val="00DA41E3"/>
    <w:rsid w:val="00DA4E55"/>
    <w:rsid w:val="00DA7C0C"/>
    <w:rsid w:val="00DB0550"/>
    <w:rsid w:val="00DB2EC8"/>
    <w:rsid w:val="00DB5695"/>
    <w:rsid w:val="00DC5B3B"/>
    <w:rsid w:val="00DD129F"/>
    <w:rsid w:val="00DD1FAB"/>
    <w:rsid w:val="00DD263B"/>
    <w:rsid w:val="00DD685B"/>
    <w:rsid w:val="00DE40E0"/>
    <w:rsid w:val="00DF42FF"/>
    <w:rsid w:val="00DF5285"/>
    <w:rsid w:val="00DF5B53"/>
    <w:rsid w:val="00DF5CA0"/>
    <w:rsid w:val="00E003DF"/>
    <w:rsid w:val="00E01C0E"/>
    <w:rsid w:val="00E03F9A"/>
    <w:rsid w:val="00E04694"/>
    <w:rsid w:val="00E061E4"/>
    <w:rsid w:val="00E12B1E"/>
    <w:rsid w:val="00E1438A"/>
    <w:rsid w:val="00E17262"/>
    <w:rsid w:val="00E17D21"/>
    <w:rsid w:val="00E253A2"/>
    <w:rsid w:val="00E2708E"/>
    <w:rsid w:val="00E3309D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907D8"/>
    <w:rsid w:val="00E93820"/>
    <w:rsid w:val="00E93F6D"/>
    <w:rsid w:val="00E96E34"/>
    <w:rsid w:val="00EA0C68"/>
    <w:rsid w:val="00EA2B16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77CB6"/>
    <w:rsid w:val="00F85066"/>
    <w:rsid w:val="00F91B42"/>
    <w:rsid w:val="00F9241A"/>
    <w:rsid w:val="00F943EC"/>
    <w:rsid w:val="00F96717"/>
    <w:rsid w:val="00FA16F5"/>
    <w:rsid w:val="00FA1FD4"/>
    <w:rsid w:val="00FA5D4D"/>
    <w:rsid w:val="00FA6941"/>
    <w:rsid w:val="00FB1D79"/>
    <w:rsid w:val="00FC079A"/>
    <w:rsid w:val="00FC0E5F"/>
    <w:rsid w:val="00FC1A95"/>
    <w:rsid w:val="00FC56DE"/>
    <w:rsid w:val="00FC684B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4EFA8D27"/>
  <w15:docId w15:val="{BC4318A2-7E48-4E9F-85CA-DB373E28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todicka-poznamka-k-indexu-spotrebitelskych-cen-za-kveten-2020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EBF3E-177B-4A26-B4E1-1A971262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221</TotalTime>
  <Pages>2</Pages>
  <Words>779</Words>
  <Characters>4599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125</cp:revision>
  <cp:lastPrinted>2017-01-18T13:33:00Z</cp:lastPrinted>
  <dcterms:created xsi:type="dcterms:W3CDTF">2017-02-09T16:27:00Z</dcterms:created>
  <dcterms:modified xsi:type="dcterms:W3CDTF">2020-06-20T18:16:00Z</dcterms:modified>
</cp:coreProperties>
</file>