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B91595" w:rsidRDefault="00B75255" w:rsidP="00B91595">
      <w:pPr>
        <w:pStyle w:val="Nzev"/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B91595" w:rsidRPr="00B91595">
        <w:rPr>
          <w:color w:val="auto"/>
          <w:sz w:val="18"/>
          <w:szCs w:val="18"/>
        </w:rPr>
        <w:t xml:space="preserve"> </w:t>
      </w:r>
      <w:r w:rsidR="006F4E0E">
        <w:rPr>
          <w:color w:val="auto"/>
          <w:sz w:val="18"/>
          <w:szCs w:val="18"/>
        </w:rPr>
        <w:t>January</w:t>
      </w:r>
      <w:r w:rsidR="00B91595" w:rsidRPr="00B91595">
        <w:rPr>
          <w:color w:val="auto"/>
          <w:sz w:val="18"/>
          <w:szCs w:val="18"/>
        </w:rPr>
        <w:t xml:space="preserve"> 201</w:t>
      </w:r>
      <w:r w:rsidR="006F4E0E">
        <w:rPr>
          <w:color w:val="auto"/>
          <w:sz w:val="18"/>
          <w:szCs w:val="18"/>
        </w:rPr>
        <w:t>4</w:t>
      </w:r>
    </w:p>
    <w:p w:rsidR="00B91595" w:rsidRPr="00A57504" w:rsidRDefault="001A550E" w:rsidP="00B91595">
      <w:pPr>
        <w:pStyle w:val="Nzev"/>
      </w:pPr>
      <w:r w:rsidRPr="009413EF">
        <w:t>Average</w:t>
      </w:r>
      <w:r w:rsidR="00B91595" w:rsidRPr="009413EF">
        <w:t xml:space="preserve"> inflation </w:t>
      </w:r>
      <w:r w:rsidRPr="009413EF">
        <w:t>rate amounted to 1.4% in 2013</w:t>
      </w:r>
      <w:r w:rsidR="00B91595" w:rsidRPr="00A57504">
        <w:t xml:space="preserve"> </w:t>
      </w:r>
    </w:p>
    <w:p w:rsidR="00B91595" w:rsidRPr="00B91595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B91595">
        <w:rPr>
          <w:color w:val="auto"/>
          <w:sz w:val="28"/>
          <w:szCs w:val="28"/>
        </w:rPr>
        <w:t xml:space="preserve">Consumer price indices – </w:t>
      </w:r>
      <w:r w:rsidR="006F4E0E">
        <w:rPr>
          <w:color w:val="auto"/>
          <w:sz w:val="28"/>
          <w:szCs w:val="28"/>
        </w:rPr>
        <w:t>December</w:t>
      </w:r>
      <w:r w:rsidRPr="00B91595">
        <w:rPr>
          <w:color w:val="auto"/>
          <w:sz w:val="28"/>
          <w:szCs w:val="28"/>
        </w:rPr>
        <w:t xml:space="preserve"> 2013</w:t>
      </w:r>
      <w:r w:rsidRPr="00B91595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6732C5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732C5">
        <w:rPr>
          <w:rFonts w:ascii="Arial" w:hAnsi="Arial" w:cs="Arial"/>
          <w:b/>
          <w:sz w:val="20"/>
          <w:szCs w:val="20"/>
        </w:rPr>
        <w:t xml:space="preserve">Consumer prices in </w:t>
      </w:r>
      <w:r w:rsidR="006F4E0E">
        <w:rPr>
          <w:rFonts w:ascii="Arial" w:hAnsi="Arial" w:cs="Arial"/>
          <w:b/>
          <w:sz w:val="20"/>
          <w:szCs w:val="20"/>
        </w:rPr>
        <w:t>Dec</w:t>
      </w:r>
      <w:r w:rsidR="00B75255">
        <w:rPr>
          <w:rFonts w:ascii="Arial" w:hAnsi="Arial" w:cs="Arial"/>
          <w:b/>
          <w:sz w:val="20"/>
          <w:szCs w:val="20"/>
        </w:rPr>
        <w:t>ember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E2860" w:rsidRPr="00B8608C">
        <w:rPr>
          <w:rFonts w:ascii="Arial" w:hAnsi="Arial" w:cs="Arial"/>
          <w:b/>
          <w:sz w:val="20"/>
          <w:szCs w:val="20"/>
        </w:rPr>
        <w:t>ro</w:t>
      </w:r>
      <w:r w:rsidR="00B8608C" w:rsidRPr="00B8608C">
        <w:rPr>
          <w:rFonts w:ascii="Arial" w:hAnsi="Arial" w:cs="Arial"/>
          <w:b/>
          <w:sz w:val="20"/>
          <w:szCs w:val="20"/>
        </w:rPr>
        <w:t>s</w:t>
      </w:r>
      <w:r w:rsidRPr="00B8608C">
        <w:rPr>
          <w:rFonts w:ascii="Arial" w:hAnsi="Arial" w:cs="Arial"/>
          <w:b/>
          <w:sz w:val="20"/>
          <w:szCs w:val="20"/>
        </w:rPr>
        <w:t>e by 0.</w:t>
      </w:r>
      <w:r w:rsidR="00B8608C" w:rsidRPr="00B8608C">
        <w:rPr>
          <w:rFonts w:ascii="Arial" w:hAnsi="Arial" w:cs="Arial"/>
          <w:b/>
          <w:sz w:val="20"/>
          <w:szCs w:val="20"/>
        </w:rPr>
        <w:t>4</w:t>
      </w:r>
      <w:r w:rsidRPr="00B8608C">
        <w:rPr>
          <w:rFonts w:ascii="Arial" w:hAnsi="Arial" w:cs="Arial"/>
          <w:b/>
          <w:sz w:val="20"/>
          <w:szCs w:val="20"/>
        </w:rPr>
        <w:t>%</w:t>
      </w:r>
      <w:r w:rsidRPr="00E96CAB">
        <w:rPr>
          <w:rFonts w:ascii="Arial" w:hAnsi="Arial" w:cs="Arial"/>
          <w:b/>
          <w:sz w:val="20"/>
          <w:szCs w:val="20"/>
        </w:rPr>
        <w:t xml:space="preserve"> compared with </w:t>
      </w:r>
      <w:r w:rsidR="006F4E0E">
        <w:rPr>
          <w:rFonts w:ascii="Arial" w:hAnsi="Arial" w:cs="Arial"/>
          <w:b/>
          <w:sz w:val="20"/>
          <w:szCs w:val="20"/>
        </w:rPr>
        <w:t>Novem</w:t>
      </w:r>
      <w:r w:rsidR="00B75255">
        <w:rPr>
          <w:rFonts w:ascii="Arial" w:hAnsi="Arial" w:cs="Arial"/>
          <w:b/>
          <w:sz w:val="20"/>
          <w:szCs w:val="20"/>
        </w:rPr>
        <w:t>ber</w:t>
      </w:r>
      <w:r w:rsidRPr="00E96CAB">
        <w:rPr>
          <w:rFonts w:ascii="Arial" w:hAnsi="Arial" w:cs="Arial"/>
          <w:b/>
          <w:sz w:val="20"/>
          <w:szCs w:val="20"/>
        </w:rPr>
        <w:t xml:space="preserve">. </w:t>
      </w:r>
      <w:r w:rsidRPr="000E2860">
        <w:rPr>
          <w:rFonts w:ascii="Arial" w:hAnsi="Arial" w:cs="Arial"/>
          <w:b/>
          <w:sz w:val="20"/>
          <w:szCs w:val="20"/>
        </w:rPr>
        <w:t xml:space="preserve">This </w:t>
      </w:r>
      <w:r w:rsidR="00B8608C">
        <w:rPr>
          <w:rFonts w:ascii="Arial" w:hAnsi="Arial" w:cs="Arial"/>
          <w:b/>
          <w:sz w:val="20"/>
          <w:szCs w:val="20"/>
        </w:rPr>
        <w:t>in</w:t>
      </w:r>
      <w:r w:rsidRPr="00B8608C">
        <w:rPr>
          <w:rFonts w:ascii="Arial" w:hAnsi="Arial" w:cs="Arial"/>
          <w:b/>
          <w:sz w:val="20"/>
          <w:szCs w:val="20"/>
        </w:rPr>
        <w:t>crease</w:t>
      </w:r>
      <w:r w:rsidRPr="008E734D">
        <w:rPr>
          <w:rFonts w:ascii="Arial" w:hAnsi="Arial" w:cs="Arial"/>
          <w:b/>
          <w:sz w:val="20"/>
          <w:szCs w:val="20"/>
        </w:rPr>
        <w:t xml:space="preserve"> came </w:t>
      </w:r>
      <w:r w:rsidR="00B8608C">
        <w:rPr>
          <w:rFonts w:ascii="Arial" w:hAnsi="Arial" w:cs="Arial"/>
          <w:b/>
          <w:sz w:val="20"/>
          <w:szCs w:val="20"/>
        </w:rPr>
        <w:t xml:space="preserve">primarily </w:t>
      </w:r>
      <w:r w:rsidRPr="008E734D">
        <w:rPr>
          <w:rFonts w:ascii="Arial" w:hAnsi="Arial" w:cs="Arial"/>
          <w:b/>
          <w:sz w:val="20"/>
          <w:szCs w:val="20"/>
        </w:rPr>
        <w:t xml:space="preserve">from </w:t>
      </w:r>
      <w:r w:rsidRPr="00B8608C">
        <w:rPr>
          <w:rFonts w:ascii="Arial" w:hAnsi="Arial" w:cs="Arial"/>
          <w:b/>
          <w:sz w:val="20"/>
          <w:szCs w:val="20"/>
        </w:rPr>
        <w:t xml:space="preserve">a price </w:t>
      </w:r>
      <w:r w:rsidR="00B8608C" w:rsidRPr="00B8608C">
        <w:rPr>
          <w:rFonts w:ascii="Arial" w:hAnsi="Arial" w:cs="Arial"/>
          <w:b/>
          <w:sz w:val="20"/>
          <w:szCs w:val="20"/>
        </w:rPr>
        <w:t>rise</w:t>
      </w:r>
      <w:r w:rsidRPr="00B8608C">
        <w:rPr>
          <w:rFonts w:ascii="Arial" w:hAnsi="Arial" w:cs="Arial"/>
          <w:b/>
          <w:sz w:val="20"/>
          <w:szCs w:val="20"/>
        </w:rPr>
        <w:t xml:space="preserve"> in '</w:t>
      </w:r>
      <w:r w:rsidR="00B8608C">
        <w:rPr>
          <w:rFonts w:ascii="Arial" w:hAnsi="Arial" w:cs="Arial"/>
          <w:b/>
          <w:sz w:val="20"/>
          <w:szCs w:val="20"/>
        </w:rPr>
        <w:t>food and non-</w:t>
      </w:r>
      <w:r w:rsidRPr="00B8608C">
        <w:rPr>
          <w:rFonts w:ascii="Arial" w:hAnsi="Arial" w:cs="Arial"/>
          <w:b/>
          <w:sz w:val="20"/>
          <w:szCs w:val="20"/>
        </w:rPr>
        <w:t>alcoholic beverages' and '</w:t>
      </w:r>
      <w:r w:rsidR="00B8608C" w:rsidRPr="00B8608C">
        <w:rPr>
          <w:rFonts w:ascii="Arial" w:hAnsi="Arial" w:cs="Arial"/>
          <w:b/>
          <w:sz w:val="20"/>
          <w:szCs w:val="20"/>
        </w:rPr>
        <w:t>transport</w:t>
      </w:r>
      <w:r w:rsidRPr="00B8608C">
        <w:rPr>
          <w:rFonts w:ascii="Arial" w:hAnsi="Arial" w:cs="Arial"/>
          <w:b/>
          <w:sz w:val="20"/>
          <w:szCs w:val="20"/>
        </w:rPr>
        <w:t>'.</w:t>
      </w:r>
      <w:r w:rsidRPr="008E734D">
        <w:rPr>
          <w:rFonts w:ascii="Arial" w:hAnsi="Arial" w:cs="Arial"/>
          <w:b/>
          <w:sz w:val="20"/>
          <w:szCs w:val="20"/>
        </w:rPr>
        <w:t xml:space="preserve"> </w:t>
      </w:r>
      <w:r w:rsidR="00B8608C">
        <w:rPr>
          <w:rFonts w:ascii="Arial" w:hAnsi="Arial" w:cs="Arial"/>
          <w:b/>
          <w:sz w:val="20"/>
          <w:szCs w:val="20"/>
        </w:rPr>
        <w:t>T</w:t>
      </w:r>
      <w:r w:rsidRPr="008E734D">
        <w:rPr>
          <w:rFonts w:ascii="Arial" w:hAnsi="Arial" w:cs="Arial"/>
          <w:b/>
          <w:sz w:val="20"/>
          <w:szCs w:val="20"/>
        </w:rPr>
        <w:t xml:space="preserve">he year-on-year growth of consumer prices </w:t>
      </w:r>
      <w:r w:rsidR="009F6AC3" w:rsidRPr="00B8608C">
        <w:rPr>
          <w:rFonts w:ascii="Arial" w:hAnsi="Arial" w:cs="Arial"/>
          <w:b/>
          <w:sz w:val="20"/>
          <w:szCs w:val="20"/>
        </w:rPr>
        <w:t>ac</w:t>
      </w:r>
      <w:r w:rsidRPr="00B8608C">
        <w:rPr>
          <w:rFonts w:ascii="Arial" w:hAnsi="Arial" w:cs="Arial"/>
          <w:b/>
          <w:sz w:val="20"/>
          <w:szCs w:val="20"/>
        </w:rPr>
        <w:t xml:space="preserve">celerated to </w:t>
      </w:r>
      <w:r w:rsidR="009F6AC3" w:rsidRPr="00B8608C">
        <w:rPr>
          <w:rFonts w:ascii="Arial" w:hAnsi="Arial" w:cs="Arial"/>
          <w:b/>
          <w:sz w:val="20"/>
          <w:szCs w:val="20"/>
        </w:rPr>
        <w:t>1</w:t>
      </w:r>
      <w:r w:rsidRPr="00B8608C">
        <w:rPr>
          <w:rFonts w:ascii="Arial" w:hAnsi="Arial" w:cs="Arial"/>
          <w:b/>
          <w:sz w:val="20"/>
          <w:szCs w:val="20"/>
        </w:rPr>
        <w:t>.</w:t>
      </w:r>
      <w:r w:rsidR="00B8608C" w:rsidRPr="00B8608C">
        <w:rPr>
          <w:rFonts w:ascii="Arial" w:hAnsi="Arial" w:cs="Arial"/>
          <w:b/>
          <w:sz w:val="20"/>
          <w:szCs w:val="20"/>
        </w:rPr>
        <w:t>4</w:t>
      </w:r>
      <w:r w:rsidRPr="00B8608C">
        <w:rPr>
          <w:rFonts w:ascii="Arial" w:hAnsi="Arial" w:cs="Arial"/>
          <w:b/>
          <w:sz w:val="20"/>
          <w:szCs w:val="20"/>
        </w:rPr>
        <w:t>%</w:t>
      </w:r>
      <w:r w:rsidRPr="005A39AA">
        <w:rPr>
          <w:rFonts w:ascii="Arial" w:hAnsi="Arial" w:cs="Arial"/>
          <w:b/>
          <w:sz w:val="20"/>
          <w:szCs w:val="20"/>
        </w:rPr>
        <w:t xml:space="preserve"> in </w:t>
      </w:r>
      <w:r w:rsidR="006F4E0E">
        <w:rPr>
          <w:rFonts w:ascii="Arial" w:hAnsi="Arial" w:cs="Arial"/>
          <w:b/>
          <w:sz w:val="20"/>
          <w:szCs w:val="20"/>
        </w:rPr>
        <w:t>Dece</w:t>
      </w:r>
      <w:r w:rsidR="00B75255">
        <w:rPr>
          <w:rFonts w:ascii="Arial" w:hAnsi="Arial" w:cs="Arial"/>
          <w:b/>
          <w:sz w:val="20"/>
          <w:szCs w:val="20"/>
        </w:rPr>
        <w:t>mber</w:t>
      </w:r>
      <w:r w:rsidRPr="005A39AA">
        <w:rPr>
          <w:rFonts w:ascii="Arial" w:hAnsi="Arial" w:cs="Arial"/>
          <w:b/>
          <w:sz w:val="20"/>
          <w:szCs w:val="20"/>
        </w:rPr>
        <w:t xml:space="preserve"> (</w:t>
      </w:r>
      <w:r w:rsidR="006F4E0E">
        <w:rPr>
          <w:rFonts w:ascii="Arial" w:hAnsi="Arial" w:cs="Arial"/>
          <w:b/>
          <w:sz w:val="20"/>
          <w:szCs w:val="20"/>
        </w:rPr>
        <w:t>1</w:t>
      </w:r>
      <w:r w:rsidRPr="005A39AA">
        <w:rPr>
          <w:rFonts w:ascii="Arial" w:hAnsi="Arial" w:cs="Arial"/>
          <w:b/>
          <w:sz w:val="20"/>
          <w:szCs w:val="20"/>
        </w:rPr>
        <w:t>.</w:t>
      </w:r>
      <w:r w:rsidR="006F4E0E">
        <w:rPr>
          <w:rFonts w:ascii="Arial" w:hAnsi="Arial" w:cs="Arial"/>
          <w:b/>
          <w:sz w:val="20"/>
          <w:szCs w:val="20"/>
        </w:rPr>
        <w:t>1</w:t>
      </w:r>
      <w:r w:rsidRPr="005A39AA">
        <w:rPr>
          <w:rFonts w:ascii="Arial" w:hAnsi="Arial" w:cs="Arial"/>
          <w:b/>
          <w:sz w:val="20"/>
          <w:szCs w:val="20"/>
        </w:rPr>
        <w:t xml:space="preserve">% in </w:t>
      </w:r>
      <w:r w:rsidR="006F4E0E">
        <w:rPr>
          <w:rFonts w:ascii="Arial" w:hAnsi="Arial" w:cs="Arial"/>
          <w:b/>
          <w:sz w:val="20"/>
          <w:szCs w:val="20"/>
        </w:rPr>
        <w:t>Novem</w:t>
      </w:r>
      <w:r w:rsidR="00B75255">
        <w:rPr>
          <w:rFonts w:ascii="Arial" w:hAnsi="Arial" w:cs="Arial"/>
          <w:b/>
          <w:sz w:val="20"/>
          <w:szCs w:val="20"/>
        </w:rPr>
        <w:t>ber</w:t>
      </w:r>
      <w:r w:rsidRPr="005A39AA">
        <w:rPr>
          <w:rFonts w:ascii="Arial" w:hAnsi="Arial" w:cs="Arial"/>
          <w:b/>
          <w:sz w:val="20"/>
          <w:szCs w:val="20"/>
        </w:rPr>
        <w:t>)</w:t>
      </w:r>
      <w:r w:rsidR="00B8608C">
        <w:rPr>
          <w:rFonts w:ascii="Arial" w:hAnsi="Arial" w:cs="Arial"/>
          <w:b/>
          <w:sz w:val="20"/>
          <w:szCs w:val="20"/>
        </w:rPr>
        <w:t xml:space="preserve">. The same value, i.e. 1.4% reached also the average inflation rate </w:t>
      </w:r>
      <w:r w:rsidR="00A6296D">
        <w:rPr>
          <w:rFonts w:ascii="Arial" w:hAnsi="Arial" w:cs="Arial"/>
          <w:b/>
          <w:sz w:val="20"/>
          <w:szCs w:val="20"/>
        </w:rPr>
        <w:t>in 2013 and was the lowest since 2009.</w:t>
      </w:r>
    </w:p>
    <w:p w:rsidR="0075256E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302">
        <w:rPr>
          <w:rFonts w:ascii="Arial" w:hAnsi="Arial" w:cs="Arial"/>
          <w:sz w:val="20"/>
          <w:szCs w:val="20"/>
        </w:rPr>
        <w:t xml:space="preserve">The </w:t>
      </w:r>
      <w:r w:rsidRPr="00304302">
        <w:rPr>
          <w:rFonts w:ascii="Arial" w:hAnsi="Arial" w:cs="Arial"/>
          <w:b/>
          <w:sz w:val="20"/>
          <w:szCs w:val="20"/>
        </w:rPr>
        <w:t>month-on-month</w:t>
      </w:r>
      <w:r w:rsidRPr="00304302">
        <w:rPr>
          <w:rFonts w:ascii="Arial" w:hAnsi="Arial" w:cs="Arial"/>
          <w:sz w:val="20"/>
          <w:szCs w:val="20"/>
        </w:rPr>
        <w:t xml:space="preserve"> </w:t>
      </w:r>
      <w:r w:rsidR="00D7308B">
        <w:rPr>
          <w:rFonts w:ascii="Arial" w:hAnsi="Arial" w:cs="Arial"/>
          <w:sz w:val="20"/>
          <w:szCs w:val="20"/>
        </w:rPr>
        <w:t>in</w:t>
      </w:r>
      <w:r w:rsidR="00474A7D">
        <w:rPr>
          <w:rFonts w:ascii="Arial" w:hAnsi="Arial" w:cs="Arial"/>
          <w:sz w:val="20"/>
          <w:szCs w:val="20"/>
        </w:rPr>
        <w:t>crease in</w:t>
      </w:r>
      <w:r w:rsidRPr="00522A01">
        <w:rPr>
          <w:rFonts w:ascii="Arial" w:hAnsi="Arial" w:cs="Arial"/>
          <w:sz w:val="20"/>
          <w:szCs w:val="20"/>
        </w:rPr>
        <w:t xml:space="preserve"> </w:t>
      </w:r>
      <w:r w:rsidRPr="00174279">
        <w:rPr>
          <w:rFonts w:ascii="Arial" w:hAnsi="Arial" w:cs="Arial"/>
          <w:sz w:val="20"/>
          <w:szCs w:val="20"/>
        </w:rPr>
        <w:t>'</w:t>
      </w:r>
      <w:r w:rsidR="00D7308B" w:rsidRPr="00174279">
        <w:rPr>
          <w:rFonts w:ascii="Arial" w:hAnsi="Arial" w:cs="Arial"/>
          <w:sz w:val="20"/>
          <w:szCs w:val="20"/>
        </w:rPr>
        <w:t>food and non-</w:t>
      </w:r>
      <w:r w:rsidRPr="00174279">
        <w:rPr>
          <w:rFonts w:ascii="Arial" w:hAnsi="Arial" w:cs="Arial"/>
          <w:sz w:val="20"/>
          <w:szCs w:val="20"/>
        </w:rPr>
        <w:t xml:space="preserve">alcoholic beverages' came </w:t>
      </w:r>
      <w:r w:rsidR="0075256E">
        <w:rPr>
          <w:rFonts w:ascii="Arial" w:hAnsi="Arial" w:cs="Arial"/>
          <w:sz w:val="20"/>
          <w:szCs w:val="20"/>
        </w:rPr>
        <w:t xml:space="preserve">particularly </w:t>
      </w:r>
      <w:r w:rsidRPr="00174279">
        <w:rPr>
          <w:rFonts w:ascii="Arial" w:hAnsi="Arial" w:cs="Arial"/>
          <w:sz w:val="20"/>
          <w:szCs w:val="20"/>
        </w:rPr>
        <w:t xml:space="preserve">from the </w:t>
      </w:r>
      <w:r w:rsidR="0075256E">
        <w:rPr>
          <w:rFonts w:ascii="Arial" w:hAnsi="Arial" w:cs="Arial"/>
          <w:sz w:val="20"/>
          <w:szCs w:val="20"/>
        </w:rPr>
        <w:t xml:space="preserve">rise </w:t>
      </w:r>
      <w:r w:rsidRPr="00174279">
        <w:rPr>
          <w:rFonts w:ascii="Arial" w:hAnsi="Arial" w:cs="Arial"/>
          <w:sz w:val="20"/>
          <w:szCs w:val="20"/>
        </w:rPr>
        <w:t xml:space="preserve">in prices of </w:t>
      </w:r>
      <w:r w:rsidR="0075256E">
        <w:rPr>
          <w:rFonts w:ascii="Arial" w:hAnsi="Arial" w:cs="Arial"/>
          <w:sz w:val="20"/>
          <w:szCs w:val="20"/>
        </w:rPr>
        <w:t>vegetables and fruit</w:t>
      </w:r>
      <w:r w:rsidRPr="00174279">
        <w:rPr>
          <w:rFonts w:ascii="Arial" w:hAnsi="Arial" w:cs="Arial"/>
          <w:sz w:val="20"/>
          <w:szCs w:val="20"/>
        </w:rPr>
        <w:t xml:space="preserve"> (</w:t>
      </w:r>
      <w:r w:rsidR="0075256E">
        <w:rPr>
          <w:rFonts w:ascii="Arial" w:hAnsi="Arial" w:cs="Arial"/>
          <w:sz w:val="20"/>
          <w:szCs w:val="20"/>
        </w:rPr>
        <w:t>1</w:t>
      </w:r>
      <w:r w:rsidRPr="00174279">
        <w:rPr>
          <w:rFonts w:ascii="Arial" w:hAnsi="Arial" w:cs="Arial"/>
          <w:sz w:val="20"/>
          <w:szCs w:val="20"/>
        </w:rPr>
        <w:t>3.</w:t>
      </w:r>
      <w:r w:rsidR="0075256E">
        <w:rPr>
          <w:rFonts w:ascii="Arial" w:hAnsi="Arial" w:cs="Arial"/>
          <w:sz w:val="20"/>
          <w:szCs w:val="20"/>
        </w:rPr>
        <w:t>7</w:t>
      </w:r>
      <w:r w:rsidRPr="00174279">
        <w:rPr>
          <w:rFonts w:ascii="Arial" w:hAnsi="Arial" w:cs="Arial"/>
          <w:sz w:val="20"/>
          <w:szCs w:val="20"/>
        </w:rPr>
        <w:t xml:space="preserve">% and </w:t>
      </w:r>
      <w:r w:rsidR="0075256E">
        <w:rPr>
          <w:rFonts w:ascii="Arial" w:hAnsi="Arial" w:cs="Arial"/>
          <w:sz w:val="20"/>
          <w:szCs w:val="20"/>
        </w:rPr>
        <w:t>1</w:t>
      </w:r>
      <w:r w:rsidR="00CA1198" w:rsidRPr="00174279">
        <w:rPr>
          <w:rFonts w:ascii="Arial" w:hAnsi="Arial" w:cs="Arial"/>
          <w:sz w:val="20"/>
          <w:szCs w:val="20"/>
        </w:rPr>
        <w:t>0</w:t>
      </w:r>
      <w:r w:rsidRPr="00174279">
        <w:rPr>
          <w:rFonts w:ascii="Arial" w:hAnsi="Arial" w:cs="Arial"/>
          <w:sz w:val="20"/>
          <w:szCs w:val="20"/>
        </w:rPr>
        <w:t>.</w:t>
      </w:r>
      <w:r w:rsidR="0075256E">
        <w:rPr>
          <w:rFonts w:ascii="Arial" w:hAnsi="Arial" w:cs="Arial"/>
          <w:sz w:val="20"/>
          <w:szCs w:val="20"/>
        </w:rPr>
        <w:t>6</w:t>
      </w:r>
      <w:r w:rsidRPr="00174279">
        <w:rPr>
          <w:rFonts w:ascii="Arial" w:hAnsi="Arial" w:cs="Arial"/>
          <w:sz w:val="20"/>
          <w:szCs w:val="20"/>
        </w:rPr>
        <w:t xml:space="preserve">%, respectively). </w:t>
      </w:r>
      <w:r w:rsidR="00C52E16" w:rsidRPr="00174279">
        <w:rPr>
          <w:rFonts w:ascii="Arial" w:hAnsi="Arial" w:cs="Arial"/>
          <w:sz w:val="20"/>
          <w:szCs w:val="20"/>
        </w:rPr>
        <w:t xml:space="preserve">The </w:t>
      </w:r>
      <w:r w:rsidR="0075256E">
        <w:rPr>
          <w:rFonts w:ascii="Arial" w:hAnsi="Arial" w:cs="Arial"/>
          <w:sz w:val="20"/>
          <w:szCs w:val="20"/>
        </w:rPr>
        <w:t>growth of</w:t>
      </w:r>
      <w:r w:rsidR="00C52E16" w:rsidRPr="00174279">
        <w:rPr>
          <w:rFonts w:ascii="Arial" w:hAnsi="Arial" w:cs="Arial"/>
          <w:sz w:val="20"/>
          <w:szCs w:val="20"/>
        </w:rPr>
        <w:t xml:space="preserve"> </w:t>
      </w:r>
      <w:r w:rsidR="0075256E">
        <w:rPr>
          <w:rFonts w:ascii="Arial" w:hAnsi="Arial" w:cs="Arial"/>
          <w:sz w:val="20"/>
          <w:szCs w:val="20"/>
        </w:rPr>
        <w:t xml:space="preserve">milk </w:t>
      </w:r>
      <w:r w:rsidR="00C52E16" w:rsidRPr="00174279">
        <w:rPr>
          <w:rFonts w:ascii="Arial" w:hAnsi="Arial" w:cs="Arial"/>
          <w:sz w:val="20"/>
          <w:szCs w:val="20"/>
        </w:rPr>
        <w:t>p</w:t>
      </w:r>
      <w:r w:rsidRPr="00174279">
        <w:rPr>
          <w:rFonts w:ascii="Arial" w:hAnsi="Arial" w:cs="Arial"/>
          <w:sz w:val="20"/>
          <w:szCs w:val="20"/>
        </w:rPr>
        <w:t xml:space="preserve">rices </w:t>
      </w:r>
      <w:r w:rsidR="0075256E">
        <w:rPr>
          <w:rFonts w:ascii="Arial" w:hAnsi="Arial" w:cs="Arial"/>
          <w:sz w:val="20"/>
          <w:szCs w:val="20"/>
        </w:rPr>
        <w:t xml:space="preserve">continued by 3.6%, cheese by 2.2%, yoghurts by 3.2%, eggs by 2.5%. </w:t>
      </w:r>
      <w:r w:rsidR="00922A2E" w:rsidRPr="00174279">
        <w:rPr>
          <w:rFonts w:ascii="Arial" w:hAnsi="Arial" w:cs="Arial"/>
          <w:color w:val="000000"/>
          <w:sz w:val="20"/>
          <w:szCs w:val="20"/>
        </w:rPr>
        <w:t xml:space="preserve">In </w:t>
      </w:r>
      <w:r w:rsidR="00922A2E" w:rsidRPr="00174279">
        <w:rPr>
          <w:rFonts w:ascii="Arial" w:hAnsi="Arial" w:cs="Arial"/>
          <w:sz w:val="20"/>
          <w:szCs w:val="20"/>
        </w:rPr>
        <w:t>'transport', fuel prices r</w:t>
      </w:r>
      <w:r w:rsidR="0075256E">
        <w:rPr>
          <w:rFonts w:ascii="Arial" w:hAnsi="Arial" w:cs="Arial"/>
          <w:sz w:val="20"/>
          <w:szCs w:val="20"/>
        </w:rPr>
        <w:t>o</w:t>
      </w:r>
      <w:r w:rsidR="00922A2E" w:rsidRPr="00174279">
        <w:rPr>
          <w:rFonts w:ascii="Arial" w:hAnsi="Arial" w:cs="Arial"/>
          <w:sz w:val="20"/>
          <w:szCs w:val="20"/>
        </w:rPr>
        <w:t xml:space="preserve">se </w:t>
      </w:r>
      <w:r w:rsidR="0075256E">
        <w:rPr>
          <w:rFonts w:ascii="Arial" w:hAnsi="Arial" w:cs="Arial"/>
          <w:sz w:val="20"/>
          <w:szCs w:val="20"/>
        </w:rPr>
        <w:t>by 1.4%</w:t>
      </w:r>
      <w:r w:rsidR="00922A2E" w:rsidRPr="00174279">
        <w:rPr>
          <w:rFonts w:ascii="Arial" w:hAnsi="Arial" w:cs="Arial"/>
          <w:sz w:val="20"/>
          <w:szCs w:val="20"/>
        </w:rPr>
        <w:t>.</w:t>
      </w:r>
    </w:p>
    <w:p w:rsidR="0075256E" w:rsidRDefault="0075256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1254A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415A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>
        <w:rPr>
          <w:rFonts w:ascii="Arial" w:hAnsi="Arial" w:cs="Arial"/>
          <w:color w:val="000000"/>
          <w:sz w:val="20"/>
          <w:szCs w:val="20"/>
        </w:rPr>
        <w:t xml:space="preserve">overall </w:t>
      </w:r>
      <w:r>
        <w:rPr>
          <w:rFonts w:ascii="Arial" w:hAnsi="Arial" w:cs="Arial"/>
          <w:color w:val="000000"/>
          <w:sz w:val="20"/>
          <w:szCs w:val="20"/>
        </w:rPr>
        <w:t xml:space="preserve">consumer </w:t>
      </w:r>
      <w:r w:rsidRPr="00FF415A">
        <w:rPr>
          <w:rFonts w:ascii="Arial" w:hAnsi="Arial" w:cs="Arial"/>
          <w:color w:val="000000"/>
          <w:sz w:val="20"/>
          <w:szCs w:val="20"/>
        </w:rPr>
        <w:t xml:space="preserve">price level owed to </w:t>
      </w:r>
      <w:r w:rsidRPr="00EC478E">
        <w:rPr>
          <w:rFonts w:ascii="Arial" w:hAnsi="Arial" w:cs="Arial"/>
          <w:color w:val="000000"/>
          <w:sz w:val="20"/>
          <w:szCs w:val="20"/>
        </w:rPr>
        <w:t xml:space="preserve">a </w:t>
      </w:r>
      <w:r w:rsidR="00EC478E">
        <w:rPr>
          <w:rFonts w:ascii="Arial" w:hAnsi="Arial" w:cs="Arial"/>
          <w:color w:val="000000"/>
          <w:sz w:val="20"/>
          <w:szCs w:val="20"/>
        </w:rPr>
        <w:t>drop</w:t>
      </w:r>
      <w:r w:rsidRPr="00EC478E">
        <w:rPr>
          <w:rFonts w:ascii="Arial" w:hAnsi="Arial" w:cs="Arial"/>
          <w:color w:val="000000"/>
          <w:sz w:val="20"/>
          <w:szCs w:val="20"/>
        </w:rPr>
        <w:t xml:space="preserve"> in prices in </w:t>
      </w:r>
      <w:r w:rsidRPr="00EC478E">
        <w:rPr>
          <w:rFonts w:ascii="Arial" w:hAnsi="Arial" w:cs="Arial"/>
          <w:sz w:val="20"/>
          <w:szCs w:val="20"/>
        </w:rPr>
        <w:t>'</w:t>
      </w:r>
      <w:r w:rsidR="00EC478E">
        <w:rPr>
          <w:rFonts w:ascii="Arial" w:hAnsi="Arial" w:cs="Arial"/>
          <w:sz w:val="20"/>
          <w:szCs w:val="20"/>
        </w:rPr>
        <w:t>clothing</w:t>
      </w:r>
      <w:r w:rsidR="008500CD" w:rsidRPr="00EC478E">
        <w:rPr>
          <w:rFonts w:ascii="Arial" w:hAnsi="Arial" w:cs="Arial"/>
          <w:sz w:val="20"/>
          <w:szCs w:val="20"/>
        </w:rPr>
        <w:t xml:space="preserve"> and </w:t>
      </w:r>
      <w:r w:rsidR="00EC478E">
        <w:rPr>
          <w:rFonts w:ascii="Arial" w:hAnsi="Arial" w:cs="Arial"/>
          <w:sz w:val="20"/>
          <w:szCs w:val="20"/>
        </w:rPr>
        <w:t>footwear</w:t>
      </w:r>
      <w:r w:rsidRPr="00EC478E">
        <w:rPr>
          <w:rFonts w:ascii="Arial" w:hAnsi="Arial" w:cs="Arial"/>
          <w:sz w:val="20"/>
          <w:szCs w:val="20"/>
        </w:rPr>
        <w:t xml:space="preserve">', where prices </w:t>
      </w:r>
      <w:r w:rsidR="00D04327">
        <w:rPr>
          <w:rFonts w:ascii="Arial" w:hAnsi="Arial" w:cs="Arial"/>
          <w:sz w:val="20"/>
          <w:szCs w:val="20"/>
        </w:rPr>
        <w:t>of clothing and footwear were lower (-0.4% and -0.9%, respectively)</w:t>
      </w:r>
      <w:r w:rsidRPr="00EC478E">
        <w:rPr>
          <w:rFonts w:ascii="Arial" w:hAnsi="Arial" w:cs="Arial"/>
          <w:sz w:val="20"/>
          <w:szCs w:val="20"/>
        </w:rPr>
        <w:t xml:space="preserve">. </w:t>
      </w:r>
      <w:r w:rsidR="00D04327">
        <w:rPr>
          <w:rFonts w:ascii="Arial" w:hAnsi="Arial" w:cs="Arial"/>
          <w:sz w:val="20"/>
          <w:szCs w:val="20"/>
        </w:rPr>
        <w:t xml:space="preserve">In </w:t>
      </w:r>
      <w:r w:rsidR="00D04327" w:rsidRPr="00174279">
        <w:rPr>
          <w:rFonts w:ascii="Arial" w:hAnsi="Arial" w:cs="Arial"/>
          <w:sz w:val="20"/>
          <w:szCs w:val="20"/>
        </w:rPr>
        <w:t>'</w:t>
      </w:r>
      <w:r w:rsidR="00D04327">
        <w:rPr>
          <w:rFonts w:ascii="Arial" w:hAnsi="Arial" w:cs="Arial"/>
          <w:sz w:val="20"/>
          <w:szCs w:val="20"/>
        </w:rPr>
        <w:t>furnishings, household equipment and routine household maintenance</w:t>
      </w:r>
      <w:r w:rsidR="00D04327" w:rsidRPr="00174279">
        <w:rPr>
          <w:rFonts w:ascii="Arial" w:hAnsi="Arial" w:cs="Arial"/>
          <w:sz w:val="20"/>
          <w:szCs w:val="20"/>
        </w:rPr>
        <w:t>'</w:t>
      </w:r>
      <w:r w:rsidR="00D04327">
        <w:rPr>
          <w:rFonts w:ascii="Arial" w:hAnsi="Arial" w:cs="Arial"/>
          <w:sz w:val="20"/>
          <w:szCs w:val="20"/>
        </w:rPr>
        <w:t xml:space="preserve">, prices of </w:t>
      </w:r>
      <w:r w:rsidR="00F66AF2">
        <w:rPr>
          <w:rFonts w:ascii="Arial" w:hAnsi="Arial" w:cs="Arial"/>
          <w:sz w:val="20"/>
          <w:szCs w:val="20"/>
        </w:rPr>
        <w:t xml:space="preserve">household textiles dropped </w:t>
      </w:r>
      <w:r w:rsidR="00F67629">
        <w:rPr>
          <w:rFonts w:ascii="Arial" w:hAnsi="Arial" w:cs="Arial"/>
          <w:sz w:val="20"/>
          <w:szCs w:val="20"/>
        </w:rPr>
        <w:t xml:space="preserve">as well as prices of </w:t>
      </w:r>
      <w:r w:rsidR="00F66AF2">
        <w:rPr>
          <w:rFonts w:ascii="Arial" w:hAnsi="Arial" w:cs="Arial"/>
          <w:sz w:val="20"/>
          <w:szCs w:val="20"/>
        </w:rPr>
        <w:t>c</w:t>
      </w:r>
      <w:r w:rsidR="00F66AF2" w:rsidRPr="00F66AF2">
        <w:rPr>
          <w:rFonts w:ascii="Arial" w:hAnsi="Arial" w:cs="Arial"/>
          <w:sz w:val="20"/>
          <w:szCs w:val="20"/>
        </w:rPr>
        <w:t>leaning and maintenance products</w:t>
      </w:r>
      <w:r w:rsidR="00F66AF2">
        <w:rPr>
          <w:rFonts w:ascii="Arial" w:hAnsi="Arial" w:cs="Arial"/>
          <w:sz w:val="20"/>
          <w:szCs w:val="20"/>
        </w:rPr>
        <w:t xml:space="preserve"> </w:t>
      </w:r>
      <w:r w:rsidR="00F67629">
        <w:rPr>
          <w:rFonts w:ascii="Arial" w:hAnsi="Arial" w:cs="Arial"/>
          <w:sz w:val="20"/>
          <w:szCs w:val="20"/>
        </w:rPr>
        <w:t>(-0.8% and</w:t>
      </w:r>
      <w:r w:rsidR="00161D7C" w:rsidRPr="00EC478E">
        <w:rPr>
          <w:rFonts w:ascii="Arial" w:hAnsi="Arial" w:cs="Arial"/>
          <w:sz w:val="20"/>
          <w:szCs w:val="20"/>
        </w:rPr>
        <w:t xml:space="preserve"> </w:t>
      </w:r>
      <w:r w:rsidR="00F67629">
        <w:rPr>
          <w:rFonts w:ascii="Arial" w:hAnsi="Arial" w:cs="Arial"/>
          <w:sz w:val="20"/>
          <w:szCs w:val="20"/>
        </w:rPr>
        <w:t>-</w:t>
      </w:r>
      <w:r w:rsidR="00F66AF2">
        <w:rPr>
          <w:rFonts w:ascii="Arial" w:hAnsi="Arial" w:cs="Arial"/>
          <w:sz w:val="20"/>
          <w:szCs w:val="20"/>
        </w:rPr>
        <w:t>0</w:t>
      </w:r>
      <w:r w:rsidR="00161D7C" w:rsidRPr="00EC478E">
        <w:rPr>
          <w:rFonts w:ascii="Arial" w:hAnsi="Arial" w:cs="Arial"/>
          <w:sz w:val="20"/>
          <w:szCs w:val="20"/>
        </w:rPr>
        <w:t>.</w:t>
      </w:r>
      <w:r w:rsidR="00F66AF2">
        <w:rPr>
          <w:rFonts w:ascii="Arial" w:hAnsi="Arial" w:cs="Arial"/>
          <w:sz w:val="20"/>
          <w:szCs w:val="20"/>
        </w:rPr>
        <w:t>9</w:t>
      </w:r>
      <w:r w:rsidR="00161D7C" w:rsidRPr="00EC478E">
        <w:rPr>
          <w:rFonts w:ascii="Arial" w:hAnsi="Arial" w:cs="Arial"/>
          <w:sz w:val="20"/>
          <w:szCs w:val="20"/>
        </w:rPr>
        <w:t>%</w:t>
      </w:r>
      <w:r w:rsidR="00F67629">
        <w:rPr>
          <w:rFonts w:ascii="Arial" w:hAnsi="Arial" w:cs="Arial"/>
          <w:sz w:val="20"/>
          <w:szCs w:val="20"/>
        </w:rPr>
        <w:t>, respectively)</w:t>
      </w:r>
      <w:r w:rsidR="00F66AF2">
        <w:rPr>
          <w:rFonts w:ascii="Arial" w:hAnsi="Arial" w:cs="Arial"/>
          <w:sz w:val="20"/>
          <w:szCs w:val="20"/>
        </w:rPr>
        <w:t xml:space="preserve">. In </w:t>
      </w:r>
      <w:r w:rsidR="00277CA2" w:rsidRPr="004527D5">
        <w:rPr>
          <w:rFonts w:ascii="Arial" w:hAnsi="Arial" w:cs="Arial"/>
          <w:sz w:val="20"/>
          <w:szCs w:val="20"/>
        </w:rPr>
        <w:t>'</w:t>
      </w:r>
      <w:r w:rsidR="00277CA2">
        <w:rPr>
          <w:rFonts w:ascii="Arial" w:hAnsi="Arial" w:cs="Arial"/>
          <w:sz w:val="20"/>
          <w:szCs w:val="20"/>
        </w:rPr>
        <w:t>housing, water, electricity, gas and other fuels</w:t>
      </w:r>
      <w:r w:rsidR="00277CA2" w:rsidRPr="004527D5">
        <w:rPr>
          <w:rFonts w:ascii="Arial" w:hAnsi="Arial" w:cs="Arial"/>
          <w:sz w:val="20"/>
          <w:szCs w:val="20"/>
        </w:rPr>
        <w:t>'</w:t>
      </w:r>
      <w:r w:rsidR="006D3D2B" w:rsidRPr="00EC478E">
        <w:rPr>
          <w:rFonts w:ascii="Arial" w:hAnsi="Arial" w:cs="Arial"/>
          <w:sz w:val="20"/>
          <w:szCs w:val="20"/>
        </w:rPr>
        <w:t>,</w:t>
      </w:r>
      <w:r w:rsidR="00161D7C" w:rsidRPr="00EC478E">
        <w:rPr>
          <w:rFonts w:ascii="Arial" w:hAnsi="Arial" w:cs="Arial"/>
          <w:sz w:val="20"/>
          <w:szCs w:val="20"/>
        </w:rPr>
        <w:t xml:space="preserve"> </w:t>
      </w:r>
      <w:r w:rsidR="00F66AF2">
        <w:rPr>
          <w:rFonts w:ascii="Arial" w:hAnsi="Arial" w:cs="Arial"/>
          <w:sz w:val="20"/>
          <w:szCs w:val="20"/>
        </w:rPr>
        <w:t xml:space="preserve">prices of electricity decreased </w:t>
      </w:r>
      <w:r w:rsidR="00F67629">
        <w:rPr>
          <w:rFonts w:ascii="Arial" w:hAnsi="Arial" w:cs="Arial"/>
          <w:sz w:val="20"/>
          <w:szCs w:val="20"/>
        </w:rPr>
        <w:t>(-</w:t>
      </w:r>
      <w:r w:rsidR="00F66AF2">
        <w:rPr>
          <w:rFonts w:ascii="Arial" w:hAnsi="Arial" w:cs="Arial"/>
          <w:sz w:val="20"/>
          <w:szCs w:val="20"/>
        </w:rPr>
        <w:t>0.6%</w:t>
      </w:r>
      <w:r w:rsidR="00F67629">
        <w:rPr>
          <w:rFonts w:ascii="Arial" w:hAnsi="Arial" w:cs="Arial"/>
          <w:sz w:val="20"/>
          <w:szCs w:val="20"/>
        </w:rPr>
        <w:t>)</w:t>
      </w:r>
      <w:r w:rsidR="00F66AF2">
        <w:rPr>
          <w:rFonts w:ascii="Arial" w:hAnsi="Arial" w:cs="Arial"/>
          <w:sz w:val="20"/>
          <w:szCs w:val="20"/>
        </w:rPr>
        <w:t xml:space="preserve">. In food, prices of non-alcoholic beverages went </w:t>
      </w:r>
      <w:r w:rsidR="00F67629">
        <w:rPr>
          <w:rFonts w:ascii="Arial" w:hAnsi="Arial" w:cs="Arial"/>
          <w:sz w:val="20"/>
          <w:szCs w:val="20"/>
        </w:rPr>
        <w:t xml:space="preserve">primarily </w:t>
      </w:r>
      <w:r w:rsidR="00F66AF2">
        <w:rPr>
          <w:rFonts w:ascii="Arial" w:hAnsi="Arial" w:cs="Arial"/>
          <w:sz w:val="20"/>
          <w:szCs w:val="20"/>
        </w:rPr>
        <w:t xml:space="preserve">down </w:t>
      </w:r>
      <w:r w:rsidR="00F67629">
        <w:rPr>
          <w:rFonts w:ascii="Arial" w:hAnsi="Arial" w:cs="Arial"/>
          <w:sz w:val="20"/>
          <w:szCs w:val="20"/>
        </w:rPr>
        <w:t>(-</w:t>
      </w:r>
      <w:r w:rsidR="00F66AF2">
        <w:rPr>
          <w:rFonts w:ascii="Arial" w:hAnsi="Arial" w:cs="Arial"/>
          <w:sz w:val="20"/>
          <w:szCs w:val="20"/>
        </w:rPr>
        <w:t>1.9%</w:t>
      </w:r>
      <w:r w:rsidR="00F67629">
        <w:rPr>
          <w:rFonts w:ascii="Arial" w:hAnsi="Arial" w:cs="Arial"/>
          <w:sz w:val="20"/>
          <w:szCs w:val="20"/>
        </w:rPr>
        <w:t>)</w:t>
      </w:r>
      <w:r w:rsidR="006D3D2B" w:rsidRPr="00EC478E">
        <w:rPr>
          <w:rFonts w:ascii="Arial" w:hAnsi="Arial" w:cs="Arial"/>
          <w:sz w:val="20"/>
          <w:szCs w:val="20"/>
        </w:rPr>
        <w:t>.</w:t>
      </w:r>
    </w:p>
    <w:p w:rsidR="00B91595" w:rsidRPr="00BA6ADE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BA6ADE">
        <w:rPr>
          <w:rFonts w:ascii="Arial" w:hAnsi="Arial" w:cs="Arial"/>
          <w:sz w:val="20"/>
          <w:szCs w:val="20"/>
        </w:rPr>
        <w:t xml:space="preserve"> </w:t>
      </w:r>
    </w:p>
    <w:p w:rsidR="00B91595" w:rsidRPr="006545F4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6545F4">
        <w:rPr>
          <w:sz w:val="20"/>
          <w:szCs w:val="20"/>
        </w:rPr>
        <w:t xml:space="preserve">Prices of goods </w:t>
      </w:r>
      <w:r>
        <w:rPr>
          <w:sz w:val="20"/>
          <w:szCs w:val="20"/>
        </w:rPr>
        <w:t>in total</w:t>
      </w:r>
      <w:r w:rsidR="00447FD6">
        <w:rPr>
          <w:sz w:val="20"/>
          <w:szCs w:val="20"/>
        </w:rPr>
        <w:t xml:space="preserve"> and prices of services rose</w:t>
      </w:r>
      <w:r w:rsidR="00575EBB">
        <w:rPr>
          <w:sz w:val="20"/>
          <w:szCs w:val="20"/>
        </w:rPr>
        <w:t xml:space="preserve"> </w:t>
      </w:r>
      <w:r w:rsidR="00575EBB" w:rsidRPr="00447FD6">
        <w:rPr>
          <w:sz w:val="20"/>
          <w:szCs w:val="20"/>
        </w:rPr>
        <w:t>(</w:t>
      </w:r>
      <w:r w:rsidR="00447FD6">
        <w:rPr>
          <w:sz w:val="20"/>
          <w:szCs w:val="20"/>
        </w:rPr>
        <w:t xml:space="preserve">0.6% and </w:t>
      </w:r>
      <w:r w:rsidRPr="00447FD6">
        <w:rPr>
          <w:sz w:val="20"/>
          <w:szCs w:val="20"/>
        </w:rPr>
        <w:t>0.</w:t>
      </w:r>
      <w:r w:rsidR="00447FD6">
        <w:rPr>
          <w:sz w:val="20"/>
          <w:szCs w:val="20"/>
        </w:rPr>
        <w:t>1</w:t>
      </w:r>
      <w:r w:rsidRPr="00447FD6">
        <w:rPr>
          <w:sz w:val="20"/>
          <w:szCs w:val="20"/>
        </w:rPr>
        <w:t>%</w:t>
      </w:r>
      <w:r w:rsidR="00447FD6">
        <w:rPr>
          <w:sz w:val="20"/>
          <w:szCs w:val="20"/>
        </w:rPr>
        <w:t>, respectively</w:t>
      </w:r>
      <w:r w:rsidR="00575EBB" w:rsidRPr="00447FD6">
        <w:rPr>
          <w:sz w:val="20"/>
          <w:szCs w:val="20"/>
        </w:rPr>
        <w:t>)</w:t>
      </w:r>
      <w:r w:rsidRPr="00447FD6">
        <w:rPr>
          <w:sz w:val="20"/>
          <w:szCs w:val="20"/>
        </w:rPr>
        <w:t>.</w:t>
      </w:r>
      <w:r w:rsidRPr="006545F4">
        <w:rPr>
          <w:sz w:val="20"/>
          <w:szCs w:val="20"/>
        </w:rPr>
        <w:t xml:space="preserve"> </w:t>
      </w:r>
    </w:p>
    <w:p w:rsidR="00B91595" w:rsidRPr="006545F4" w:rsidRDefault="00B91595" w:rsidP="00B91595">
      <w:pPr>
        <w:pStyle w:val="Poznmkytext"/>
        <w:spacing w:line="276" w:lineRule="auto"/>
        <w:rPr>
          <w:sz w:val="20"/>
          <w:szCs w:val="20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7D32">
        <w:rPr>
          <w:rFonts w:ascii="Arial" w:hAnsi="Arial" w:cs="Arial"/>
          <w:sz w:val="20"/>
          <w:szCs w:val="20"/>
        </w:rPr>
        <w:t xml:space="preserve">In terms of the </w:t>
      </w:r>
      <w:r w:rsidRPr="00607D32">
        <w:rPr>
          <w:rFonts w:ascii="Arial" w:hAnsi="Arial" w:cs="Arial"/>
          <w:b/>
          <w:sz w:val="20"/>
          <w:szCs w:val="20"/>
        </w:rPr>
        <w:t>year-on-year</w:t>
      </w:r>
      <w:r w:rsidRPr="00607D32">
        <w:rPr>
          <w:rFonts w:ascii="Arial" w:hAnsi="Arial" w:cs="Arial"/>
          <w:sz w:val="20"/>
          <w:szCs w:val="20"/>
        </w:rPr>
        <w:t xml:space="preserve"> comparison, in </w:t>
      </w:r>
      <w:r w:rsidR="003326CA">
        <w:rPr>
          <w:rFonts w:ascii="Arial" w:hAnsi="Arial" w:cs="Arial"/>
          <w:sz w:val="20"/>
          <w:szCs w:val="20"/>
        </w:rPr>
        <w:t>Dece</w:t>
      </w:r>
      <w:r w:rsidR="00BE770B">
        <w:rPr>
          <w:rFonts w:ascii="Arial" w:hAnsi="Arial" w:cs="Arial"/>
          <w:sz w:val="20"/>
          <w:szCs w:val="20"/>
        </w:rPr>
        <w:t>mber</w:t>
      </w:r>
      <w:r w:rsidRPr="00607D32">
        <w:rPr>
          <w:rFonts w:ascii="Arial" w:hAnsi="Arial" w:cs="Arial"/>
          <w:sz w:val="20"/>
          <w:szCs w:val="20"/>
        </w:rPr>
        <w:t xml:space="preserve">, the increase in consumer prices was </w:t>
      </w:r>
      <w:r w:rsidR="004264C5" w:rsidRPr="00DC30D9">
        <w:rPr>
          <w:rFonts w:ascii="Arial" w:hAnsi="Arial" w:cs="Arial"/>
          <w:sz w:val="20"/>
          <w:szCs w:val="20"/>
        </w:rPr>
        <w:t>1</w:t>
      </w:r>
      <w:r w:rsidRPr="00DC30D9">
        <w:rPr>
          <w:rFonts w:ascii="Arial" w:hAnsi="Arial" w:cs="Arial"/>
          <w:sz w:val="20"/>
          <w:szCs w:val="20"/>
        </w:rPr>
        <w:t>.</w:t>
      </w:r>
      <w:r w:rsidR="00DC30D9">
        <w:rPr>
          <w:rFonts w:ascii="Arial" w:hAnsi="Arial" w:cs="Arial"/>
          <w:sz w:val="20"/>
          <w:szCs w:val="20"/>
        </w:rPr>
        <w:t>4</w:t>
      </w:r>
      <w:r w:rsidRPr="00DC30D9">
        <w:rPr>
          <w:rFonts w:ascii="Arial" w:hAnsi="Arial" w:cs="Arial"/>
          <w:sz w:val="20"/>
          <w:szCs w:val="20"/>
        </w:rPr>
        <w:t>%, i.e. 0.</w:t>
      </w:r>
      <w:r w:rsidR="00DC30D9">
        <w:rPr>
          <w:rFonts w:ascii="Arial" w:hAnsi="Arial" w:cs="Arial"/>
          <w:sz w:val="20"/>
          <w:szCs w:val="20"/>
        </w:rPr>
        <w:t>3</w:t>
      </w:r>
      <w:r w:rsidRPr="00DC30D9">
        <w:rPr>
          <w:rFonts w:ascii="Arial" w:hAnsi="Arial" w:cs="Arial"/>
          <w:sz w:val="20"/>
          <w:szCs w:val="20"/>
        </w:rPr>
        <w:t xml:space="preserve"> percentage point</w:t>
      </w:r>
      <w:r w:rsidR="00F66E58" w:rsidRPr="00DC30D9">
        <w:rPr>
          <w:rFonts w:ascii="Arial" w:hAnsi="Arial" w:cs="Arial"/>
          <w:sz w:val="20"/>
          <w:szCs w:val="20"/>
        </w:rPr>
        <w:t>s</w:t>
      </w:r>
      <w:r w:rsidRPr="00DC30D9">
        <w:rPr>
          <w:rFonts w:ascii="Arial" w:hAnsi="Arial" w:cs="Arial"/>
          <w:sz w:val="20"/>
          <w:szCs w:val="20"/>
        </w:rPr>
        <w:t xml:space="preserve"> </w:t>
      </w:r>
      <w:r w:rsidR="004264C5" w:rsidRPr="00DC30D9">
        <w:rPr>
          <w:rFonts w:ascii="Arial" w:hAnsi="Arial" w:cs="Arial"/>
          <w:sz w:val="20"/>
          <w:szCs w:val="20"/>
        </w:rPr>
        <w:t>up</w:t>
      </w:r>
      <w:r w:rsidRPr="00DC30D9">
        <w:rPr>
          <w:rFonts w:ascii="Arial" w:hAnsi="Arial" w:cs="Arial"/>
          <w:sz w:val="20"/>
          <w:szCs w:val="20"/>
        </w:rPr>
        <w:t xml:space="preserve"> compared with </w:t>
      </w:r>
      <w:r w:rsidR="003326CA" w:rsidRPr="00DC30D9">
        <w:rPr>
          <w:rFonts w:ascii="Arial" w:hAnsi="Arial" w:cs="Arial"/>
          <w:sz w:val="20"/>
          <w:szCs w:val="20"/>
        </w:rPr>
        <w:t>Novem</w:t>
      </w:r>
      <w:r w:rsidR="00BE770B" w:rsidRPr="00DC30D9">
        <w:rPr>
          <w:rFonts w:ascii="Arial" w:hAnsi="Arial" w:cs="Arial"/>
          <w:sz w:val="20"/>
          <w:szCs w:val="20"/>
        </w:rPr>
        <w:t>ber</w:t>
      </w:r>
      <w:r w:rsidRPr="00DC30D9">
        <w:rPr>
          <w:rFonts w:ascii="Arial" w:hAnsi="Arial" w:cs="Arial"/>
          <w:sz w:val="20"/>
          <w:szCs w:val="20"/>
        </w:rPr>
        <w:t>. A</w:t>
      </w:r>
      <w:r w:rsidR="004264C5" w:rsidRPr="00DC30D9">
        <w:rPr>
          <w:rFonts w:ascii="Arial" w:hAnsi="Arial" w:cs="Arial"/>
          <w:sz w:val="20"/>
          <w:szCs w:val="20"/>
        </w:rPr>
        <w:t>n</w:t>
      </w:r>
      <w:r w:rsidRPr="00DC30D9">
        <w:rPr>
          <w:rFonts w:ascii="Arial" w:hAnsi="Arial" w:cs="Arial"/>
          <w:sz w:val="20"/>
          <w:szCs w:val="20"/>
        </w:rPr>
        <w:t xml:space="preserve"> </w:t>
      </w:r>
      <w:r w:rsidR="004264C5" w:rsidRPr="00DC30D9">
        <w:rPr>
          <w:rFonts w:ascii="Arial" w:hAnsi="Arial" w:cs="Arial"/>
          <w:sz w:val="20"/>
          <w:szCs w:val="20"/>
        </w:rPr>
        <w:t>ac</w:t>
      </w:r>
      <w:r w:rsidRPr="00DC30D9">
        <w:rPr>
          <w:rFonts w:ascii="Arial" w:hAnsi="Arial" w:cs="Arial"/>
          <w:sz w:val="20"/>
          <w:szCs w:val="20"/>
        </w:rPr>
        <w:t xml:space="preserve">celeration of the price rise </w:t>
      </w:r>
      <w:r w:rsidR="00DC30D9">
        <w:rPr>
          <w:rFonts w:ascii="Arial" w:hAnsi="Arial" w:cs="Arial"/>
          <w:sz w:val="20"/>
          <w:szCs w:val="20"/>
        </w:rPr>
        <w:t xml:space="preserve">was shown primarily in </w:t>
      </w:r>
      <w:r w:rsidRPr="00DC30D9">
        <w:rPr>
          <w:rFonts w:ascii="Arial" w:hAnsi="Arial" w:cs="Arial"/>
          <w:sz w:val="20"/>
          <w:szCs w:val="20"/>
        </w:rPr>
        <w:t>'</w:t>
      </w:r>
      <w:r w:rsidR="00DC30D9" w:rsidRPr="00DC30D9">
        <w:rPr>
          <w:rFonts w:ascii="Arial" w:hAnsi="Arial" w:cs="Arial"/>
          <w:sz w:val="20"/>
          <w:szCs w:val="20"/>
        </w:rPr>
        <w:t>tran</w:t>
      </w:r>
      <w:r w:rsidRPr="00DC30D9">
        <w:rPr>
          <w:rFonts w:ascii="Arial" w:hAnsi="Arial" w:cs="Arial"/>
          <w:sz w:val="20"/>
          <w:szCs w:val="20"/>
        </w:rPr>
        <w:t>s</w:t>
      </w:r>
      <w:r w:rsidR="00DC30D9" w:rsidRPr="00DC30D9">
        <w:rPr>
          <w:rFonts w:ascii="Arial" w:hAnsi="Arial" w:cs="Arial"/>
          <w:sz w:val="20"/>
          <w:szCs w:val="20"/>
        </w:rPr>
        <w:t>port</w:t>
      </w:r>
      <w:r w:rsidRPr="00DC30D9">
        <w:rPr>
          <w:rFonts w:ascii="Arial" w:hAnsi="Arial" w:cs="Arial"/>
          <w:sz w:val="20"/>
          <w:szCs w:val="20"/>
        </w:rPr>
        <w:t xml:space="preserve">', where </w:t>
      </w:r>
      <w:r w:rsidR="00DC30D9" w:rsidRPr="00DC30D9">
        <w:rPr>
          <w:rFonts w:ascii="Arial" w:hAnsi="Arial" w:cs="Arial"/>
          <w:sz w:val="20"/>
          <w:szCs w:val="20"/>
        </w:rPr>
        <w:t>fuel</w:t>
      </w:r>
      <w:r w:rsidR="00587D51" w:rsidRPr="00DC30D9">
        <w:rPr>
          <w:rFonts w:ascii="Arial" w:hAnsi="Arial" w:cs="Arial"/>
          <w:sz w:val="20"/>
          <w:szCs w:val="20"/>
        </w:rPr>
        <w:t xml:space="preserve"> prices </w:t>
      </w:r>
      <w:r w:rsidR="00DD355B" w:rsidRPr="00DC30D9">
        <w:rPr>
          <w:rFonts w:ascii="Arial" w:hAnsi="Arial" w:cs="Arial"/>
          <w:sz w:val="20"/>
          <w:szCs w:val="20"/>
        </w:rPr>
        <w:t>increased</w:t>
      </w:r>
      <w:r w:rsidR="00587D51" w:rsidRPr="00DC30D9">
        <w:rPr>
          <w:rFonts w:ascii="Arial" w:hAnsi="Arial" w:cs="Arial"/>
          <w:sz w:val="20"/>
          <w:szCs w:val="20"/>
        </w:rPr>
        <w:t xml:space="preserve"> by </w:t>
      </w:r>
      <w:r w:rsidR="00DC30D9" w:rsidRPr="00DC30D9">
        <w:rPr>
          <w:rFonts w:ascii="Arial" w:hAnsi="Arial" w:cs="Arial"/>
          <w:sz w:val="20"/>
          <w:szCs w:val="20"/>
        </w:rPr>
        <w:t>2</w:t>
      </w:r>
      <w:r w:rsidR="00587D51" w:rsidRPr="00DC30D9">
        <w:rPr>
          <w:rFonts w:ascii="Arial" w:hAnsi="Arial" w:cs="Arial"/>
          <w:sz w:val="20"/>
          <w:szCs w:val="20"/>
        </w:rPr>
        <w:t>.</w:t>
      </w:r>
      <w:r w:rsidR="00DC30D9" w:rsidRPr="00DC30D9">
        <w:rPr>
          <w:rFonts w:ascii="Arial" w:hAnsi="Arial" w:cs="Arial"/>
          <w:sz w:val="20"/>
          <w:szCs w:val="20"/>
        </w:rPr>
        <w:t>6</w:t>
      </w:r>
      <w:r w:rsidR="00587D51" w:rsidRPr="00DC30D9">
        <w:rPr>
          <w:rFonts w:ascii="Arial" w:hAnsi="Arial" w:cs="Arial"/>
          <w:sz w:val="20"/>
          <w:szCs w:val="20"/>
        </w:rPr>
        <w:t>% (</w:t>
      </w:r>
      <w:r w:rsidR="00DC30D9" w:rsidRPr="00DC30D9">
        <w:rPr>
          <w:rFonts w:ascii="Arial" w:hAnsi="Arial" w:cs="Arial"/>
          <w:sz w:val="20"/>
          <w:szCs w:val="20"/>
        </w:rPr>
        <w:t>-</w:t>
      </w:r>
      <w:r w:rsidR="00587D51" w:rsidRPr="00DC30D9">
        <w:rPr>
          <w:rFonts w:ascii="Arial" w:hAnsi="Arial" w:cs="Arial"/>
          <w:sz w:val="20"/>
          <w:szCs w:val="20"/>
        </w:rPr>
        <w:t>1</w:t>
      </w:r>
      <w:r w:rsidRPr="00DC30D9">
        <w:rPr>
          <w:rStyle w:val="hps"/>
          <w:rFonts w:ascii="Arial" w:hAnsi="Arial" w:cs="Arial"/>
          <w:sz w:val="20"/>
          <w:szCs w:val="20"/>
        </w:rPr>
        <w:t>.</w:t>
      </w:r>
      <w:r w:rsidR="00DC30D9" w:rsidRPr="00DC30D9">
        <w:rPr>
          <w:rStyle w:val="hps"/>
          <w:rFonts w:ascii="Arial" w:hAnsi="Arial" w:cs="Arial"/>
          <w:sz w:val="20"/>
          <w:szCs w:val="20"/>
        </w:rPr>
        <w:t>2</w:t>
      </w:r>
      <w:r w:rsidRPr="00DC30D9">
        <w:rPr>
          <w:rStyle w:val="hps"/>
          <w:rFonts w:ascii="Arial" w:hAnsi="Arial" w:cs="Arial"/>
          <w:sz w:val="20"/>
          <w:szCs w:val="20"/>
        </w:rPr>
        <w:t>%</w:t>
      </w:r>
      <w:r w:rsidRPr="00DC30D9">
        <w:rPr>
          <w:rFonts w:ascii="Arial" w:hAnsi="Arial" w:cs="Arial"/>
          <w:sz w:val="20"/>
          <w:szCs w:val="20"/>
        </w:rPr>
        <w:t xml:space="preserve"> </w:t>
      </w:r>
      <w:r w:rsidRPr="00DC30D9">
        <w:rPr>
          <w:rStyle w:val="hps"/>
          <w:rFonts w:ascii="Arial" w:hAnsi="Arial" w:cs="Arial"/>
          <w:sz w:val="20"/>
          <w:szCs w:val="20"/>
        </w:rPr>
        <w:t xml:space="preserve">in </w:t>
      </w:r>
      <w:r w:rsidR="003326CA" w:rsidRPr="00DC30D9">
        <w:rPr>
          <w:rStyle w:val="hps"/>
          <w:rFonts w:ascii="Arial" w:hAnsi="Arial" w:cs="Arial"/>
          <w:sz w:val="20"/>
          <w:szCs w:val="20"/>
        </w:rPr>
        <w:t>November</w:t>
      </w:r>
      <w:r w:rsidR="00587D51" w:rsidRPr="00DC30D9">
        <w:rPr>
          <w:rStyle w:val="hps"/>
          <w:rFonts w:ascii="Arial" w:hAnsi="Arial" w:cs="Arial"/>
          <w:sz w:val="20"/>
          <w:szCs w:val="20"/>
        </w:rPr>
        <w:t>)</w:t>
      </w:r>
      <w:r w:rsidR="00DC30D9">
        <w:rPr>
          <w:rStyle w:val="hps"/>
          <w:rFonts w:ascii="Arial" w:hAnsi="Arial" w:cs="Arial"/>
          <w:sz w:val="20"/>
          <w:szCs w:val="20"/>
        </w:rPr>
        <w:t>.</w:t>
      </w:r>
      <w:r w:rsidR="00587D51">
        <w:rPr>
          <w:rStyle w:val="hps"/>
          <w:rFonts w:ascii="Arial" w:hAnsi="Arial" w:cs="Arial"/>
          <w:sz w:val="20"/>
          <w:szCs w:val="20"/>
        </w:rPr>
        <w:t xml:space="preserve"> </w:t>
      </w:r>
      <w:r w:rsidR="005551E6">
        <w:rPr>
          <w:rStyle w:val="hps"/>
          <w:rFonts w:ascii="Arial" w:hAnsi="Arial" w:cs="Arial"/>
          <w:sz w:val="20"/>
          <w:szCs w:val="20"/>
        </w:rPr>
        <w:t>I</w:t>
      </w:r>
      <w:r w:rsidR="005551E6">
        <w:rPr>
          <w:rFonts w:ascii="Arial" w:hAnsi="Arial" w:cs="Arial"/>
          <w:sz w:val="20"/>
          <w:szCs w:val="20"/>
        </w:rPr>
        <w:t xml:space="preserve">n </w:t>
      </w:r>
      <w:r w:rsidR="005551E6" w:rsidRPr="00DC30D9">
        <w:rPr>
          <w:rFonts w:ascii="Arial" w:hAnsi="Arial" w:cs="Arial"/>
          <w:sz w:val="20"/>
          <w:szCs w:val="20"/>
        </w:rPr>
        <w:t>'</w:t>
      </w:r>
      <w:r w:rsidR="005551E6">
        <w:rPr>
          <w:rFonts w:ascii="Arial" w:hAnsi="Arial" w:cs="Arial"/>
          <w:sz w:val="20"/>
          <w:szCs w:val="20"/>
        </w:rPr>
        <w:t>food and non-alcoholic beverages</w:t>
      </w:r>
      <w:r w:rsidR="005551E6" w:rsidRPr="00DC30D9">
        <w:rPr>
          <w:rFonts w:ascii="Arial" w:hAnsi="Arial" w:cs="Arial"/>
          <w:sz w:val="20"/>
          <w:szCs w:val="20"/>
        </w:rPr>
        <w:t>'</w:t>
      </w:r>
      <w:r w:rsidR="005551E6">
        <w:rPr>
          <w:rFonts w:ascii="Arial" w:hAnsi="Arial" w:cs="Arial"/>
          <w:sz w:val="20"/>
          <w:szCs w:val="20"/>
        </w:rPr>
        <w:t xml:space="preserve">, the growth of prices </w:t>
      </w:r>
      <w:r w:rsidR="00601447">
        <w:rPr>
          <w:rFonts w:ascii="Arial" w:hAnsi="Arial" w:cs="Arial"/>
          <w:sz w:val="20"/>
          <w:szCs w:val="20"/>
        </w:rPr>
        <w:t xml:space="preserve">of vegetables accelerated to 22.4% </w:t>
      </w:r>
      <w:r w:rsidRPr="00587D51">
        <w:rPr>
          <w:rStyle w:val="hps"/>
          <w:rFonts w:ascii="Arial" w:hAnsi="Arial" w:cs="Arial"/>
          <w:sz w:val="20"/>
          <w:szCs w:val="20"/>
        </w:rPr>
        <w:t>(</w:t>
      </w:r>
      <w:r w:rsidR="003326CA">
        <w:rPr>
          <w:rStyle w:val="hps"/>
          <w:rFonts w:ascii="Arial" w:hAnsi="Arial" w:cs="Arial"/>
          <w:sz w:val="20"/>
          <w:szCs w:val="20"/>
        </w:rPr>
        <w:t>1</w:t>
      </w:r>
      <w:r w:rsidR="00601447">
        <w:rPr>
          <w:rStyle w:val="hps"/>
          <w:rFonts w:ascii="Arial" w:hAnsi="Arial" w:cs="Arial"/>
          <w:sz w:val="20"/>
          <w:szCs w:val="20"/>
        </w:rPr>
        <w:t>3</w:t>
      </w:r>
      <w:r w:rsidRPr="00587D51">
        <w:rPr>
          <w:rStyle w:val="hps"/>
          <w:rFonts w:ascii="Arial" w:hAnsi="Arial" w:cs="Arial"/>
          <w:sz w:val="20"/>
          <w:szCs w:val="20"/>
        </w:rPr>
        <w:t>.</w:t>
      </w:r>
      <w:r w:rsidR="00601447">
        <w:rPr>
          <w:rStyle w:val="hps"/>
          <w:rFonts w:ascii="Arial" w:hAnsi="Arial" w:cs="Arial"/>
          <w:sz w:val="20"/>
          <w:szCs w:val="20"/>
        </w:rPr>
        <w:t>6</w:t>
      </w:r>
      <w:r w:rsidRPr="00587D51">
        <w:rPr>
          <w:rFonts w:ascii="Arial" w:hAnsi="Arial" w:cs="Arial"/>
          <w:sz w:val="20"/>
          <w:szCs w:val="20"/>
        </w:rPr>
        <w:t xml:space="preserve">% in </w:t>
      </w:r>
      <w:r w:rsidR="003326CA">
        <w:rPr>
          <w:rFonts w:ascii="Arial" w:hAnsi="Arial" w:cs="Arial"/>
          <w:sz w:val="20"/>
          <w:szCs w:val="20"/>
        </w:rPr>
        <w:t>Novem</w:t>
      </w:r>
      <w:r w:rsidRPr="00587D51">
        <w:rPr>
          <w:rFonts w:ascii="Arial" w:hAnsi="Arial" w:cs="Arial"/>
          <w:sz w:val="20"/>
          <w:szCs w:val="20"/>
        </w:rPr>
        <w:t>ber</w:t>
      </w:r>
      <w:r w:rsidR="00587D51">
        <w:rPr>
          <w:rFonts w:ascii="Arial" w:hAnsi="Arial" w:cs="Arial"/>
          <w:sz w:val="20"/>
          <w:szCs w:val="20"/>
        </w:rPr>
        <w:t>)</w:t>
      </w:r>
      <w:r w:rsidR="00601447">
        <w:rPr>
          <w:rFonts w:ascii="Arial" w:hAnsi="Arial" w:cs="Arial"/>
          <w:sz w:val="20"/>
          <w:szCs w:val="20"/>
        </w:rPr>
        <w:t xml:space="preserve">, milk to 17.1% (14.7% in November), cheese to 12.0% (9.9% in November), yoghurts to 13.1% (10.2% in November), </w:t>
      </w:r>
      <w:r w:rsidR="00C374F8">
        <w:rPr>
          <w:rFonts w:ascii="Arial" w:hAnsi="Arial" w:cs="Arial"/>
          <w:sz w:val="20"/>
          <w:szCs w:val="20"/>
        </w:rPr>
        <w:t xml:space="preserve">butter to 14.9% (11.2% in November), </w:t>
      </w:r>
      <w:r w:rsidR="00601447">
        <w:rPr>
          <w:rFonts w:ascii="Arial" w:hAnsi="Arial" w:cs="Arial"/>
          <w:sz w:val="20"/>
          <w:szCs w:val="20"/>
        </w:rPr>
        <w:t>e</w:t>
      </w:r>
      <w:r w:rsidR="00601447" w:rsidRPr="00601447">
        <w:rPr>
          <w:rFonts w:ascii="Arial" w:hAnsi="Arial" w:cs="Arial"/>
          <w:sz w:val="20"/>
          <w:szCs w:val="20"/>
        </w:rPr>
        <w:t>dible oils</w:t>
      </w:r>
      <w:r w:rsidR="00601447">
        <w:rPr>
          <w:rFonts w:ascii="Arial" w:hAnsi="Arial" w:cs="Arial"/>
          <w:sz w:val="20"/>
          <w:szCs w:val="20"/>
        </w:rPr>
        <w:t xml:space="preserve"> to 3.6% (1.0% in November)</w:t>
      </w:r>
      <w:r w:rsidRPr="00587D51">
        <w:rPr>
          <w:rFonts w:ascii="Arial" w:hAnsi="Arial" w:cs="Arial"/>
          <w:sz w:val="20"/>
          <w:szCs w:val="20"/>
        </w:rPr>
        <w:t xml:space="preserve">. </w:t>
      </w:r>
      <w:r w:rsidR="00C374F8">
        <w:rPr>
          <w:rFonts w:ascii="Arial" w:hAnsi="Arial" w:cs="Arial"/>
          <w:sz w:val="20"/>
          <w:szCs w:val="20"/>
        </w:rPr>
        <w:t>Prices of eggs were lower by 11.4% (</w:t>
      </w:r>
      <w:r w:rsidR="00AA2D6F">
        <w:rPr>
          <w:rFonts w:ascii="Arial" w:hAnsi="Arial" w:cs="Arial"/>
          <w:sz w:val="20"/>
          <w:szCs w:val="20"/>
        </w:rPr>
        <w:t>-</w:t>
      </w:r>
      <w:r w:rsidR="00C374F8">
        <w:rPr>
          <w:rFonts w:ascii="Arial" w:hAnsi="Arial" w:cs="Arial"/>
          <w:sz w:val="20"/>
          <w:szCs w:val="20"/>
        </w:rPr>
        <w:t xml:space="preserve">17.5% in November). </w:t>
      </w:r>
      <w:r w:rsidR="00601447">
        <w:rPr>
          <w:rFonts w:ascii="Arial" w:hAnsi="Arial" w:cs="Arial"/>
          <w:sz w:val="20"/>
          <w:szCs w:val="20"/>
        </w:rPr>
        <w:t xml:space="preserve">In </w:t>
      </w:r>
      <w:r w:rsidR="00601447" w:rsidRPr="00EC478E">
        <w:rPr>
          <w:rFonts w:ascii="Arial" w:hAnsi="Arial" w:cs="Arial"/>
          <w:sz w:val="20"/>
          <w:szCs w:val="20"/>
        </w:rPr>
        <w:t>'</w:t>
      </w:r>
      <w:r w:rsidR="00601447">
        <w:rPr>
          <w:rFonts w:ascii="Arial" w:hAnsi="Arial" w:cs="Arial"/>
          <w:sz w:val="20"/>
          <w:szCs w:val="20"/>
        </w:rPr>
        <w:t>clothing</w:t>
      </w:r>
      <w:r w:rsidR="00601447" w:rsidRPr="00EC478E">
        <w:rPr>
          <w:rFonts w:ascii="Arial" w:hAnsi="Arial" w:cs="Arial"/>
          <w:sz w:val="20"/>
          <w:szCs w:val="20"/>
        </w:rPr>
        <w:t xml:space="preserve"> and </w:t>
      </w:r>
      <w:r w:rsidR="00601447">
        <w:rPr>
          <w:rFonts w:ascii="Arial" w:hAnsi="Arial" w:cs="Arial"/>
          <w:sz w:val="20"/>
          <w:szCs w:val="20"/>
        </w:rPr>
        <w:t>footwear</w:t>
      </w:r>
      <w:r w:rsidR="00601447" w:rsidRPr="00EC478E">
        <w:rPr>
          <w:rFonts w:ascii="Arial" w:hAnsi="Arial" w:cs="Arial"/>
          <w:sz w:val="20"/>
          <w:szCs w:val="20"/>
        </w:rPr>
        <w:t>',</w:t>
      </w:r>
      <w:r w:rsidR="00601447">
        <w:rPr>
          <w:rFonts w:ascii="Arial" w:hAnsi="Arial" w:cs="Arial"/>
          <w:sz w:val="20"/>
          <w:szCs w:val="20"/>
        </w:rPr>
        <w:t xml:space="preserve"> p</w:t>
      </w:r>
      <w:r w:rsidRPr="00601447">
        <w:rPr>
          <w:rFonts w:ascii="Arial" w:hAnsi="Arial" w:cs="Arial"/>
          <w:sz w:val="20"/>
          <w:szCs w:val="20"/>
        </w:rPr>
        <w:t>rices of</w:t>
      </w:r>
      <w:r w:rsidR="00E45366">
        <w:rPr>
          <w:rFonts w:ascii="Arial" w:hAnsi="Arial" w:cs="Arial"/>
          <w:sz w:val="20"/>
          <w:szCs w:val="20"/>
        </w:rPr>
        <w:t xml:space="preserve"> footwear went up by 8.6% (8</w:t>
      </w:r>
      <w:r w:rsidR="00C56CB3" w:rsidRPr="00601447">
        <w:rPr>
          <w:rStyle w:val="hps"/>
          <w:rFonts w:ascii="Arial" w:hAnsi="Arial" w:cs="Arial"/>
          <w:sz w:val="20"/>
          <w:szCs w:val="20"/>
        </w:rPr>
        <w:t>.</w:t>
      </w:r>
      <w:r w:rsidR="00E45366">
        <w:rPr>
          <w:rStyle w:val="hps"/>
          <w:rFonts w:ascii="Arial" w:hAnsi="Arial" w:cs="Arial"/>
          <w:sz w:val="20"/>
          <w:szCs w:val="20"/>
        </w:rPr>
        <w:t>1</w:t>
      </w:r>
      <w:r w:rsidR="00C56CB3" w:rsidRPr="00601447">
        <w:rPr>
          <w:rStyle w:val="hps"/>
          <w:rFonts w:ascii="Arial" w:hAnsi="Arial" w:cs="Arial"/>
          <w:sz w:val="20"/>
          <w:szCs w:val="20"/>
        </w:rPr>
        <w:t>%</w:t>
      </w:r>
      <w:r w:rsidR="00C56CB3" w:rsidRPr="00601447">
        <w:rPr>
          <w:rFonts w:ascii="Arial" w:hAnsi="Arial" w:cs="Arial"/>
          <w:sz w:val="20"/>
          <w:szCs w:val="20"/>
        </w:rPr>
        <w:t xml:space="preserve"> </w:t>
      </w:r>
      <w:r w:rsidR="00C56CB3" w:rsidRPr="00601447">
        <w:rPr>
          <w:rStyle w:val="hps"/>
          <w:rFonts w:ascii="Arial" w:hAnsi="Arial" w:cs="Arial"/>
          <w:sz w:val="20"/>
          <w:szCs w:val="20"/>
        </w:rPr>
        <w:t>in Novem</w:t>
      </w:r>
      <w:r w:rsidR="00C56CB3" w:rsidRPr="00601447">
        <w:rPr>
          <w:rFonts w:ascii="Arial" w:hAnsi="Arial" w:cs="Arial"/>
          <w:sz w:val="20"/>
          <w:szCs w:val="20"/>
        </w:rPr>
        <w:t>ber</w:t>
      </w:r>
      <w:r w:rsidR="00E45366">
        <w:rPr>
          <w:rFonts w:ascii="Arial" w:hAnsi="Arial" w:cs="Arial"/>
          <w:sz w:val="20"/>
          <w:szCs w:val="20"/>
        </w:rPr>
        <w:t>)</w:t>
      </w:r>
      <w:r w:rsidR="00C56CB3" w:rsidRPr="00601447">
        <w:rPr>
          <w:rFonts w:ascii="Arial" w:hAnsi="Arial" w:cs="Arial"/>
          <w:sz w:val="20"/>
          <w:szCs w:val="20"/>
        </w:rPr>
        <w:t xml:space="preserve">. </w:t>
      </w:r>
      <w:r w:rsidR="00E45366">
        <w:rPr>
          <w:rFonts w:ascii="Arial" w:hAnsi="Arial" w:cs="Arial"/>
          <w:sz w:val="20"/>
          <w:szCs w:val="20"/>
        </w:rPr>
        <w:t>I</w:t>
      </w:r>
      <w:r w:rsidR="006C38BB" w:rsidRPr="00601447">
        <w:rPr>
          <w:rFonts w:ascii="Arial" w:hAnsi="Arial" w:cs="Arial"/>
          <w:sz w:val="20"/>
          <w:szCs w:val="20"/>
        </w:rPr>
        <w:t>n '</w:t>
      </w:r>
      <w:r w:rsidR="00E45366">
        <w:rPr>
          <w:rFonts w:ascii="Arial" w:hAnsi="Arial" w:cs="Arial"/>
          <w:sz w:val="20"/>
          <w:szCs w:val="20"/>
        </w:rPr>
        <w:t>miscellaneous goods and services</w:t>
      </w:r>
      <w:r w:rsidR="006C38BB" w:rsidRPr="00601447">
        <w:rPr>
          <w:rFonts w:ascii="Arial" w:hAnsi="Arial" w:cs="Arial"/>
          <w:sz w:val="20"/>
          <w:szCs w:val="20"/>
        </w:rPr>
        <w:t xml:space="preserve">', prices of </w:t>
      </w:r>
      <w:r w:rsidR="00E45366">
        <w:rPr>
          <w:rFonts w:ascii="Arial" w:hAnsi="Arial" w:cs="Arial"/>
          <w:sz w:val="20"/>
          <w:szCs w:val="20"/>
        </w:rPr>
        <w:t>p</w:t>
      </w:r>
      <w:r w:rsidR="00E45366" w:rsidRPr="00E45366">
        <w:rPr>
          <w:rFonts w:ascii="Arial" w:hAnsi="Arial" w:cs="Arial"/>
          <w:sz w:val="20"/>
          <w:szCs w:val="20"/>
        </w:rPr>
        <w:t>ersonal care</w:t>
      </w:r>
      <w:r w:rsidR="00E45366">
        <w:rPr>
          <w:rFonts w:ascii="Arial" w:hAnsi="Arial" w:cs="Arial"/>
          <w:sz w:val="20"/>
          <w:szCs w:val="20"/>
        </w:rPr>
        <w:t xml:space="preserve"> rose by 0.5% (-0.9% in November)</w:t>
      </w:r>
      <w:r w:rsidR="00CE0666" w:rsidRPr="00601447">
        <w:rPr>
          <w:rFonts w:ascii="Arial" w:hAnsi="Arial" w:cs="Arial"/>
          <w:sz w:val="20"/>
          <w:szCs w:val="20"/>
        </w:rPr>
        <w:t>.</w:t>
      </w:r>
      <w:r w:rsidR="00CE0666">
        <w:rPr>
          <w:rFonts w:ascii="Arial" w:hAnsi="Arial" w:cs="Arial"/>
          <w:sz w:val="20"/>
          <w:szCs w:val="20"/>
        </w:rPr>
        <w:t xml:space="preserve"> </w:t>
      </w:r>
    </w:p>
    <w:p w:rsidR="00CE0666" w:rsidRDefault="00CE0666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</w:rPr>
      </w:pPr>
      <w:r w:rsidRPr="0000133B">
        <w:rPr>
          <w:rFonts w:ascii="Arial" w:hAnsi="Arial" w:cs="Arial"/>
          <w:sz w:val="20"/>
          <w:szCs w:val="20"/>
        </w:rPr>
        <w:t>The biggest upward effect on the y-o-y consumer price level</w:t>
      </w:r>
      <w:r w:rsidR="004F56AC">
        <w:rPr>
          <w:rFonts w:ascii="Arial" w:hAnsi="Arial" w:cs="Arial"/>
          <w:sz w:val="20"/>
          <w:szCs w:val="20"/>
        </w:rPr>
        <w:t>, which was even strengthened in December</w:t>
      </w:r>
      <w:r w:rsidR="00FC788E">
        <w:rPr>
          <w:rFonts w:ascii="Arial" w:hAnsi="Arial" w:cs="Arial"/>
          <w:sz w:val="20"/>
          <w:szCs w:val="20"/>
        </w:rPr>
        <w:t>,</w:t>
      </w:r>
      <w:r w:rsidRPr="0000133B">
        <w:rPr>
          <w:rFonts w:ascii="Arial" w:hAnsi="Arial" w:cs="Arial"/>
          <w:sz w:val="20"/>
          <w:szCs w:val="20"/>
        </w:rPr>
        <w:t xml:space="preserve"> </w:t>
      </w:r>
      <w:r w:rsidRPr="00CE0666">
        <w:rPr>
          <w:rFonts w:ascii="Arial" w:hAnsi="Arial" w:cs="Arial"/>
          <w:sz w:val="20"/>
          <w:szCs w:val="20"/>
        </w:rPr>
        <w:t>came</w:t>
      </w:r>
      <w:r w:rsidR="004F56AC">
        <w:rPr>
          <w:rFonts w:ascii="Arial" w:hAnsi="Arial" w:cs="Arial"/>
          <w:sz w:val="20"/>
          <w:szCs w:val="20"/>
        </w:rPr>
        <w:t xml:space="preserve"> </w:t>
      </w:r>
      <w:r w:rsidRPr="00CE0666">
        <w:rPr>
          <w:rFonts w:ascii="Arial" w:hAnsi="Arial" w:cs="Arial"/>
          <w:sz w:val="20"/>
          <w:szCs w:val="20"/>
        </w:rPr>
        <w:t>from prices in</w:t>
      </w:r>
      <w:r w:rsidR="00910E26" w:rsidRPr="00CE0666">
        <w:rPr>
          <w:rFonts w:ascii="Arial" w:hAnsi="Arial" w:cs="Arial"/>
          <w:sz w:val="20"/>
          <w:szCs w:val="20"/>
        </w:rPr>
        <w:t xml:space="preserve"> </w:t>
      </w:r>
      <w:r w:rsidRPr="00CE0666">
        <w:rPr>
          <w:rFonts w:ascii="Arial" w:hAnsi="Arial" w:cs="Arial"/>
          <w:sz w:val="20"/>
          <w:szCs w:val="20"/>
        </w:rPr>
        <w:t xml:space="preserve">'food </w:t>
      </w:r>
      <w:r w:rsidRPr="004F56AC">
        <w:rPr>
          <w:rFonts w:ascii="Arial" w:hAnsi="Arial" w:cs="Arial"/>
          <w:sz w:val="20"/>
          <w:szCs w:val="20"/>
        </w:rPr>
        <w:t>and non-alcoholic beverages'</w:t>
      </w:r>
      <w:r w:rsidR="004F56AC">
        <w:rPr>
          <w:rFonts w:ascii="Arial" w:hAnsi="Arial" w:cs="Arial"/>
          <w:sz w:val="20"/>
          <w:szCs w:val="20"/>
        </w:rPr>
        <w:t>.</w:t>
      </w:r>
      <w:r w:rsidR="00082926" w:rsidRPr="00082926">
        <w:rPr>
          <w:rFonts w:ascii="Arial" w:hAnsi="Arial" w:cs="Arial"/>
          <w:sz w:val="20"/>
          <w:szCs w:val="20"/>
        </w:rPr>
        <w:t xml:space="preserve"> </w:t>
      </w:r>
      <w:r w:rsidR="00082926" w:rsidRPr="004527D5">
        <w:rPr>
          <w:rFonts w:ascii="Arial" w:hAnsi="Arial" w:cs="Arial"/>
          <w:sz w:val="20"/>
          <w:szCs w:val="20"/>
        </w:rPr>
        <w:t>Another more significant impact on the overall level of consumer prices came from prices i</w:t>
      </w:r>
      <w:r w:rsidR="00082926" w:rsidRPr="004527D5">
        <w:rPr>
          <w:rFonts w:ascii="Arial" w:hAnsi="Arial" w:cs="Arial"/>
          <w:color w:val="000000"/>
          <w:sz w:val="20"/>
          <w:szCs w:val="20"/>
        </w:rPr>
        <w:t xml:space="preserve">n </w:t>
      </w:r>
      <w:r w:rsidR="00082926" w:rsidRPr="004527D5">
        <w:rPr>
          <w:rFonts w:ascii="Arial" w:hAnsi="Arial" w:cs="Arial"/>
          <w:sz w:val="20"/>
          <w:szCs w:val="20"/>
        </w:rPr>
        <w:t>'</w:t>
      </w:r>
      <w:r w:rsidR="00082926">
        <w:rPr>
          <w:rFonts w:ascii="Arial" w:hAnsi="Arial" w:cs="Arial"/>
          <w:sz w:val="20"/>
          <w:szCs w:val="20"/>
        </w:rPr>
        <w:t>housing, water, electricity, gas and other fuels</w:t>
      </w:r>
      <w:r w:rsidR="00082926" w:rsidRPr="004527D5">
        <w:rPr>
          <w:rFonts w:ascii="Arial" w:hAnsi="Arial" w:cs="Arial"/>
          <w:sz w:val="20"/>
          <w:szCs w:val="20"/>
        </w:rPr>
        <w:t>'</w:t>
      </w:r>
      <w:r w:rsidR="00082926">
        <w:rPr>
          <w:rFonts w:ascii="Arial" w:hAnsi="Arial" w:cs="Arial"/>
          <w:sz w:val="20"/>
          <w:szCs w:val="20"/>
        </w:rPr>
        <w:t xml:space="preserve"> and </w:t>
      </w:r>
      <w:r w:rsidR="00082926" w:rsidRPr="004527D5">
        <w:rPr>
          <w:rFonts w:ascii="Arial" w:hAnsi="Arial" w:cs="Arial"/>
          <w:sz w:val="20"/>
          <w:szCs w:val="20"/>
        </w:rPr>
        <w:t>'alcoholic beverages, tobacco'</w:t>
      </w:r>
      <w:r w:rsidR="00082926">
        <w:rPr>
          <w:rFonts w:ascii="Arial" w:hAnsi="Arial" w:cs="Arial"/>
          <w:sz w:val="20"/>
          <w:szCs w:val="20"/>
        </w:rPr>
        <w:t>. I</w:t>
      </w:r>
      <w:r w:rsidR="00082926" w:rsidRPr="004527D5">
        <w:rPr>
          <w:rFonts w:ascii="Arial" w:hAnsi="Arial" w:cs="Arial"/>
          <w:color w:val="000000"/>
          <w:sz w:val="20"/>
          <w:szCs w:val="20"/>
        </w:rPr>
        <w:t xml:space="preserve">n </w:t>
      </w:r>
      <w:r w:rsidR="00082926" w:rsidRPr="004527D5">
        <w:rPr>
          <w:rFonts w:ascii="Arial" w:hAnsi="Arial" w:cs="Arial"/>
          <w:sz w:val="20"/>
          <w:szCs w:val="20"/>
        </w:rPr>
        <w:t>'</w:t>
      </w:r>
      <w:r w:rsidR="00082926">
        <w:rPr>
          <w:rFonts w:ascii="Arial" w:hAnsi="Arial" w:cs="Arial"/>
          <w:sz w:val="20"/>
          <w:szCs w:val="20"/>
        </w:rPr>
        <w:t>housing, water, electricity, gas and other fuels</w:t>
      </w:r>
      <w:r w:rsidR="00082926" w:rsidRPr="004527D5">
        <w:rPr>
          <w:rFonts w:ascii="Arial" w:hAnsi="Arial" w:cs="Arial"/>
          <w:sz w:val="20"/>
          <w:szCs w:val="20"/>
        </w:rPr>
        <w:t>'</w:t>
      </w:r>
      <w:r w:rsidR="00082926">
        <w:rPr>
          <w:rFonts w:ascii="Arial" w:hAnsi="Arial" w:cs="Arial"/>
          <w:sz w:val="20"/>
          <w:szCs w:val="20"/>
        </w:rPr>
        <w:t xml:space="preserve">, </w:t>
      </w:r>
      <w:r w:rsidRPr="00A878D9">
        <w:rPr>
          <w:rFonts w:ascii="Arial" w:hAnsi="Arial" w:cs="Arial"/>
          <w:sz w:val="20"/>
          <w:szCs w:val="20"/>
        </w:rPr>
        <w:t xml:space="preserve">the net actual rentals went up </w:t>
      </w:r>
      <w:r w:rsidRPr="00082926">
        <w:rPr>
          <w:rFonts w:ascii="Arial" w:hAnsi="Arial" w:cs="Arial"/>
          <w:sz w:val="20"/>
          <w:szCs w:val="20"/>
        </w:rPr>
        <w:t xml:space="preserve">by </w:t>
      </w:r>
      <w:r w:rsidR="00082926" w:rsidRPr="00082926">
        <w:rPr>
          <w:rFonts w:ascii="Arial" w:hAnsi="Arial" w:cs="Arial"/>
          <w:sz w:val="20"/>
          <w:szCs w:val="20"/>
        </w:rPr>
        <w:t>1</w:t>
      </w:r>
      <w:r w:rsidRPr="00082926">
        <w:rPr>
          <w:rFonts w:ascii="Arial" w:hAnsi="Arial" w:cs="Arial"/>
          <w:sz w:val="20"/>
          <w:szCs w:val="20"/>
        </w:rPr>
        <w:t>.</w:t>
      </w:r>
      <w:r w:rsidR="00082926" w:rsidRPr="00082926">
        <w:rPr>
          <w:rFonts w:ascii="Arial" w:hAnsi="Arial" w:cs="Arial"/>
          <w:sz w:val="20"/>
          <w:szCs w:val="20"/>
        </w:rPr>
        <w:t>4</w:t>
      </w:r>
      <w:r w:rsidRPr="00082926">
        <w:rPr>
          <w:rFonts w:ascii="Arial" w:hAnsi="Arial" w:cs="Arial"/>
          <w:sz w:val="20"/>
          <w:szCs w:val="20"/>
        </w:rPr>
        <w:t xml:space="preserve">%, </w:t>
      </w:r>
      <w:r w:rsidRPr="00A878D9">
        <w:rPr>
          <w:rFonts w:ascii="Arial" w:hAnsi="Arial" w:cs="Arial"/>
          <w:sz w:val="20"/>
          <w:szCs w:val="20"/>
        </w:rPr>
        <w:t xml:space="preserve">water supply by </w:t>
      </w:r>
      <w:r w:rsidRPr="00082926">
        <w:rPr>
          <w:rFonts w:ascii="Arial" w:hAnsi="Arial" w:cs="Arial"/>
          <w:sz w:val="20"/>
          <w:szCs w:val="20"/>
        </w:rPr>
        <w:t xml:space="preserve">6.6%, </w:t>
      </w:r>
      <w:r w:rsidRPr="00A878D9">
        <w:rPr>
          <w:rFonts w:ascii="Arial" w:hAnsi="Arial" w:cs="Arial"/>
          <w:sz w:val="20"/>
          <w:szCs w:val="20"/>
        </w:rPr>
        <w:t xml:space="preserve">sewage collection by </w:t>
      </w:r>
      <w:r w:rsidR="004527D5" w:rsidRPr="00082926">
        <w:rPr>
          <w:rFonts w:ascii="Arial" w:hAnsi="Arial" w:cs="Arial"/>
          <w:sz w:val="20"/>
          <w:szCs w:val="20"/>
        </w:rPr>
        <w:t>6</w:t>
      </w:r>
      <w:r w:rsidRPr="00082926">
        <w:rPr>
          <w:rFonts w:ascii="Arial" w:hAnsi="Arial" w:cs="Arial"/>
          <w:sz w:val="20"/>
          <w:szCs w:val="20"/>
        </w:rPr>
        <w:t>.</w:t>
      </w:r>
      <w:r w:rsidR="004527D5" w:rsidRPr="00082926">
        <w:rPr>
          <w:rFonts w:ascii="Arial" w:hAnsi="Arial" w:cs="Arial"/>
          <w:sz w:val="20"/>
          <w:szCs w:val="20"/>
        </w:rPr>
        <w:t>9</w:t>
      </w:r>
      <w:r w:rsidRPr="00082926">
        <w:rPr>
          <w:rFonts w:ascii="Arial" w:hAnsi="Arial" w:cs="Arial"/>
          <w:sz w:val="20"/>
          <w:szCs w:val="20"/>
        </w:rPr>
        <w:t xml:space="preserve">%, </w:t>
      </w:r>
      <w:r w:rsidRPr="00A878D9">
        <w:rPr>
          <w:rFonts w:ascii="Arial" w:hAnsi="Arial" w:cs="Arial"/>
          <w:sz w:val="20"/>
          <w:szCs w:val="20"/>
        </w:rPr>
        <w:t xml:space="preserve">prices of electricity by </w:t>
      </w:r>
      <w:r w:rsidR="00082926">
        <w:rPr>
          <w:rFonts w:ascii="Arial" w:hAnsi="Arial" w:cs="Arial"/>
          <w:sz w:val="20"/>
          <w:szCs w:val="20"/>
        </w:rPr>
        <w:t>2</w:t>
      </w:r>
      <w:r w:rsidRPr="00082926">
        <w:rPr>
          <w:rFonts w:ascii="Arial" w:hAnsi="Arial" w:cs="Arial"/>
          <w:sz w:val="20"/>
          <w:szCs w:val="20"/>
        </w:rPr>
        <w:t>.</w:t>
      </w:r>
      <w:r w:rsidR="00082926" w:rsidRPr="00082926">
        <w:rPr>
          <w:rFonts w:ascii="Arial" w:hAnsi="Arial" w:cs="Arial"/>
          <w:sz w:val="20"/>
          <w:szCs w:val="20"/>
        </w:rPr>
        <w:t>7</w:t>
      </w:r>
      <w:r w:rsidRPr="00082926">
        <w:rPr>
          <w:rFonts w:ascii="Arial" w:hAnsi="Arial" w:cs="Arial"/>
          <w:sz w:val="20"/>
          <w:szCs w:val="20"/>
        </w:rPr>
        <w:t xml:space="preserve">%, </w:t>
      </w:r>
      <w:r w:rsidRPr="00A878D9">
        <w:rPr>
          <w:rFonts w:ascii="Arial" w:hAnsi="Arial" w:cs="Arial"/>
          <w:sz w:val="20"/>
          <w:szCs w:val="20"/>
        </w:rPr>
        <w:t xml:space="preserve">heat and hot water by </w:t>
      </w:r>
      <w:r w:rsidRPr="00082926">
        <w:rPr>
          <w:rFonts w:ascii="Arial" w:hAnsi="Arial" w:cs="Arial"/>
          <w:sz w:val="20"/>
          <w:szCs w:val="20"/>
        </w:rPr>
        <w:t xml:space="preserve">3.8%. </w:t>
      </w:r>
      <w:r w:rsidRPr="00A878D9">
        <w:rPr>
          <w:rFonts w:ascii="Arial" w:hAnsi="Arial" w:cs="Arial"/>
          <w:sz w:val="20"/>
          <w:szCs w:val="20"/>
        </w:rPr>
        <w:t xml:space="preserve">Prices of natural gas </w:t>
      </w:r>
      <w:r w:rsidRPr="00082926">
        <w:rPr>
          <w:rFonts w:ascii="Arial" w:hAnsi="Arial" w:cs="Arial"/>
          <w:sz w:val="20"/>
          <w:szCs w:val="20"/>
        </w:rPr>
        <w:t xml:space="preserve">were </w:t>
      </w:r>
      <w:r w:rsidRPr="00082926">
        <w:rPr>
          <w:rFonts w:ascii="Arial" w:hAnsi="Arial" w:cs="Arial"/>
          <w:sz w:val="20"/>
          <w:szCs w:val="20"/>
        </w:rPr>
        <w:lastRenderedPageBreak/>
        <w:t>lower, year-on-year (-</w:t>
      </w:r>
      <w:r w:rsidR="004527D5" w:rsidRPr="00082926">
        <w:rPr>
          <w:rFonts w:ascii="Arial" w:hAnsi="Arial" w:cs="Arial"/>
          <w:sz w:val="20"/>
          <w:szCs w:val="20"/>
        </w:rPr>
        <w:t>7</w:t>
      </w:r>
      <w:r w:rsidRPr="00082926">
        <w:rPr>
          <w:rFonts w:ascii="Arial" w:hAnsi="Arial" w:cs="Arial"/>
          <w:sz w:val="20"/>
          <w:szCs w:val="20"/>
        </w:rPr>
        <w:t>.</w:t>
      </w:r>
      <w:r w:rsidR="004527D5" w:rsidRPr="00082926">
        <w:rPr>
          <w:rFonts w:ascii="Arial" w:hAnsi="Arial" w:cs="Arial"/>
          <w:sz w:val="20"/>
          <w:szCs w:val="20"/>
        </w:rPr>
        <w:t>0</w:t>
      </w:r>
      <w:r w:rsidRPr="00082926">
        <w:rPr>
          <w:rFonts w:ascii="Arial" w:hAnsi="Arial" w:cs="Arial"/>
          <w:sz w:val="20"/>
          <w:szCs w:val="20"/>
        </w:rPr>
        <w:t>%).</w:t>
      </w:r>
      <w:r w:rsidR="00082926">
        <w:rPr>
          <w:rFonts w:ascii="Arial" w:hAnsi="Arial" w:cs="Arial"/>
          <w:sz w:val="20"/>
          <w:szCs w:val="20"/>
        </w:rPr>
        <w:t xml:space="preserve"> </w:t>
      </w:r>
      <w:r w:rsidR="00082926" w:rsidRPr="00082926">
        <w:rPr>
          <w:rFonts w:ascii="Arial" w:hAnsi="Arial" w:cs="Arial"/>
          <w:sz w:val="20"/>
          <w:szCs w:val="20"/>
        </w:rPr>
        <w:t>I</w:t>
      </w:r>
      <w:r w:rsidRPr="00082926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82926">
        <w:rPr>
          <w:rFonts w:ascii="Arial" w:hAnsi="Arial" w:cs="Arial"/>
          <w:sz w:val="20"/>
          <w:szCs w:val="20"/>
        </w:rPr>
        <w:t xml:space="preserve">'alcoholic beverages, tobacco', prices of </w:t>
      </w:r>
      <w:r w:rsidR="004527D5" w:rsidRPr="00082926">
        <w:rPr>
          <w:rFonts w:ascii="Arial" w:hAnsi="Arial" w:cs="Arial"/>
          <w:sz w:val="20"/>
          <w:szCs w:val="20"/>
        </w:rPr>
        <w:t>w</w:t>
      </w:r>
      <w:r w:rsidRPr="00082926">
        <w:rPr>
          <w:rFonts w:ascii="Arial" w:hAnsi="Arial" w:cs="Arial"/>
          <w:sz w:val="20"/>
          <w:szCs w:val="20"/>
        </w:rPr>
        <w:t>i</w:t>
      </w:r>
      <w:r w:rsidR="004527D5" w:rsidRPr="00082926">
        <w:rPr>
          <w:rFonts w:ascii="Arial" w:hAnsi="Arial" w:cs="Arial"/>
          <w:sz w:val="20"/>
          <w:szCs w:val="20"/>
        </w:rPr>
        <w:t>ne</w:t>
      </w:r>
      <w:r w:rsidRPr="00082926">
        <w:rPr>
          <w:rFonts w:ascii="Arial" w:hAnsi="Arial" w:cs="Arial"/>
          <w:sz w:val="20"/>
          <w:szCs w:val="20"/>
        </w:rPr>
        <w:t xml:space="preserve"> increased by </w:t>
      </w:r>
      <w:r w:rsidR="00082926">
        <w:rPr>
          <w:rFonts w:ascii="Arial" w:hAnsi="Arial" w:cs="Arial"/>
          <w:sz w:val="20"/>
          <w:szCs w:val="20"/>
        </w:rPr>
        <w:t>4</w:t>
      </w:r>
      <w:r w:rsidRPr="00082926">
        <w:rPr>
          <w:rFonts w:ascii="Arial" w:hAnsi="Arial" w:cs="Arial"/>
          <w:sz w:val="20"/>
          <w:szCs w:val="20"/>
        </w:rPr>
        <w:t>.</w:t>
      </w:r>
      <w:r w:rsidR="00082926">
        <w:rPr>
          <w:rFonts w:ascii="Arial" w:hAnsi="Arial" w:cs="Arial"/>
          <w:sz w:val="20"/>
          <w:szCs w:val="20"/>
        </w:rPr>
        <w:t>6</w:t>
      </w:r>
      <w:r w:rsidRPr="00082926">
        <w:rPr>
          <w:rFonts w:ascii="Arial" w:hAnsi="Arial" w:cs="Arial"/>
          <w:sz w:val="20"/>
          <w:szCs w:val="20"/>
        </w:rPr>
        <w:t>%</w:t>
      </w:r>
      <w:r w:rsidR="00C374F8">
        <w:rPr>
          <w:rFonts w:ascii="Arial" w:hAnsi="Arial" w:cs="Arial"/>
          <w:sz w:val="20"/>
          <w:szCs w:val="20"/>
        </w:rPr>
        <w:t xml:space="preserve"> and</w:t>
      </w:r>
      <w:r w:rsidRPr="00082926">
        <w:rPr>
          <w:rFonts w:ascii="Arial" w:hAnsi="Arial" w:cs="Arial"/>
          <w:sz w:val="20"/>
          <w:szCs w:val="20"/>
        </w:rPr>
        <w:t xml:space="preserve"> tobacco products by </w:t>
      </w:r>
      <w:r w:rsidR="00082926">
        <w:rPr>
          <w:rFonts w:ascii="Arial" w:hAnsi="Arial" w:cs="Arial"/>
          <w:sz w:val="20"/>
          <w:szCs w:val="20"/>
        </w:rPr>
        <w:t>5</w:t>
      </w:r>
      <w:r w:rsidRPr="00082926">
        <w:rPr>
          <w:rFonts w:ascii="Arial" w:hAnsi="Arial" w:cs="Arial"/>
          <w:sz w:val="20"/>
          <w:szCs w:val="20"/>
        </w:rPr>
        <w:t>.</w:t>
      </w:r>
      <w:r w:rsidR="00082926">
        <w:rPr>
          <w:rFonts w:ascii="Arial" w:hAnsi="Arial" w:cs="Arial"/>
          <w:sz w:val="20"/>
          <w:szCs w:val="20"/>
        </w:rPr>
        <w:t>0</w:t>
      </w:r>
      <w:r w:rsidRPr="00082926">
        <w:rPr>
          <w:rFonts w:ascii="Arial" w:hAnsi="Arial" w:cs="Arial"/>
          <w:sz w:val="20"/>
          <w:szCs w:val="20"/>
        </w:rPr>
        <w:t>%.</w:t>
      </w:r>
      <w:r w:rsidRPr="002636E5">
        <w:rPr>
          <w:rFonts w:ascii="Arial" w:hAnsi="Arial" w:cs="Arial"/>
          <w:sz w:val="20"/>
        </w:rPr>
        <w:t xml:space="preserve"> </w:t>
      </w: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492A">
        <w:rPr>
          <w:rFonts w:ascii="Arial" w:hAnsi="Arial" w:cs="Arial"/>
          <w:sz w:val="20"/>
          <w:szCs w:val="20"/>
        </w:rPr>
        <w:t>The reduction of the y-o-y price growth came</w:t>
      </w:r>
      <w:r w:rsidR="00FB3062" w:rsidRPr="00082926">
        <w:rPr>
          <w:rFonts w:ascii="Arial" w:hAnsi="Arial" w:cs="Arial"/>
          <w:sz w:val="20"/>
          <w:szCs w:val="20"/>
        </w:rPr>
        <w:t xml:space="preserve"> </w:t>
      </w:r>
      <w:r w:rsidRPr="00082926">
        <w:rPr>
          <w:rFonts w:ascii="Arial" w:hAnsi="Arial" w:cs="Arial"/>
          <w:sz w:val="20"/>
          <w:szCs w:val="20"/>
        </w:rPr>
        <w:t>from the decrease in prices in 'communication'</w:t>
      </w:r>
      <w:r w:rsidR="00082926">
        <w:rPr>
          <w:rFonts w:ascii="Arial" w:hAnsi="Arial" w:cs="Arial"/>
          <w:sz w:val="20"/>
          <w:szCs w:val="20"/>
        </w:rPr>
        <w:t xml:space="preserve">, where prices of </w:t>
      </w:r>
      <w:r w:rsidR="00F073FB">
        <w:rPr>
          <w:rFonts w:ascii="Arial" w:hAnsi="Arial" w:cs="Arial"/>
          <w:sz w:val="20"/>
          <w:szCs w:val="20"/>
        </w:rPr>
        <w:t xml:space="preserve">telephone and telefax services and prices of mobile phones </w:t>
      </w:r>
      <w:r w:rsidR="00567384">
        <w:rPr>
          <w:rFonts w:ascii="Arial" w:hAnsi="Arial" w:cs="Arial"/>
          <w:sz w:val="20"/>
          <w:szCs w:val="20"/>
        </w:rPr>
        <w:t>were lower (-9.0% and -</w:t>
      </w:r>
      <w:r w:rsidR="00F073FB">
        <w:rPr>
          <w:rFonts w:ascii="Arial" w:hAnsi="Arial" w:cs="Arial"/>
          <w:sz w:val="20"/>
          <w:szCs w:val="20"/>
        </w:rPr>
        <w:t>18.2</w:t>
      </w:r>
      <w:r w:rsidR="00F073FB" w:rsidRPr="00F073FB">
        <w:rPr>
          <w:rFonts w:ascii="Arial" w:hAnsi="Arial" w:cs="Arial"/>
          <w:sz w:val="20"/>
          <w:szCs w:val="20"/>
        </w:rPr>
        <w:t>%</w:t>
      </w:r>
      <w:r w:rsidR="00567384">
        <w:rPr>
          <w:rFonts w:ascii="Arial" w:hAnsi="Arial" w:cs="Arial"/>
          <w:sz w:val="20"/>
          <w:szCs w:val="20"/>
        </w:rPr>
        <w:t>, respectively)</w:t>
      </w:r>
      <w:r w:rsidR="00D27B43" w:rsidRPr="00F073FB">
        <w:rPr>
          <w:rFonts w:ascii="Arial" w:hAnsi="Arial" w:cs="Arial"/>
          <w:sz w:val="20"/>
          <w:szCs w:val="20"/>
        </w:rPr>
        <w:t>.</w:t>
      </w:r>
      <w:r w:rsidRPr="00F073FB">
        <w:rPr>
          <w:rFonts w:ascii="Arial" w:hAnsi="Arial" w:cs="Arial"/>
          <w:sz w:val="20"/>
          <w:szCs w:val="20"/>
        </w:rPr>
        <w:t xml:space="preserve"> The d</w:t>
      </w:r>
      <w:r w:rsidR="00567384">
        <w:rPr>
          <w:rFonts w:ascii="Arial" w:hAnsi="Arial" w:cs="Arial"/>
          <w:sz w:val="20"/>
          <w:szCs w:val="20"/>
        </w:rPr>
        <w:t>ecrease</w:t>
      </w:r>
      <w:r w:rsidRPr="00F073FB">
        <w:rPr>
          <w:rFonts w:ascii="Arial" w:hAnsi="Arial" w:cs="Arial"/>
          <w:sz w:val="20"/>
          <w:szCs w:val="20"/>
        </w:rPr>
        <w:t xml:space="preserve"> in prices in 'furnishings, household equipment and routine household maintenance' was influenced primarily by lower prices of household appliances (-</w:t>
      </w:r>
      <w:r w:rsidR="00F073FB">
        <w:rPr>
          <w:rFonts w:ascii="Arial" w:hAnsi="Arial" w:cs="Arial"/>
          <w:sz w:val="20"/>
          <w:szCs w:val="20"/>
        </w:rPr>
        <w:t>3</w:t>
      </w:r>
      <w:r w:rsidRPr="00F073FB">
        <w:rPr>
          <w:rFonts w:ascii="Arial" w:hAnsi="Arial" w:cs="Arial"/>
          <w:sz w:val="20"/>
          <w:szCs w:val="20"/>
        </w:rPr>
        <w:t>.</w:t>
      </w:r>
      <w:r w:rsidR="00F073FB">
        <w:rPr>
          <w:rFonts w:ascii="Arial" w:hAnsi="Arial" w:cs="Arial"/>
          <w:sz w:val="20"/>
          <w:szCs w:val="20"/>
        </w:rPr>
        <w:t>7</w:t>
      </w:r>
      <w:r w:rsidRPr="00F073FB">
        <w:rPr>
          <w:rFonts w:ascii="Arial" w:hAnsi="Arial" w:cs="Arial"/>
          <w:sz w:val="20"/>
          <w:szCs w:val="20"/>
        </w:rPr>
        <w:t>%).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7B43" w:rsidRDefault="00D27B43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56492A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Prices of </w:t>
      </w:r>
      <w:r w:rsidRPr="0053066E">
        <w:rPr>
          <w:rFonts w:ascii="Arial" w:hAnsi="Arial" w:cs="Arial"/>
          <w:sz w:val="20"/>
          <w:szCs w:val="20"/>
        </w:rPr>
        <w:t xml:space="preserve">goods in </w:t>
      </w:r>
      <w:r w:rsidRPr="008E7431">
        <w:rPr>
          <w:rFonts w:ascii="Arial" w:hAnsi="Arial" w:cs="Arial"/>
          <w:sz w:val="20"/>
          <w:szCs w:val="20"/>
        </w:rPr>
        <w:t xml:space="preserve">total </w:t>
      </w:r>
      <w:r w:rsidRPr="00F073FB">
        <w:rPr>
          <w:rFonts w:ascii="Arial" w:hAnsi="Arial" w:cs="Arial"/>
          <w:sz w:val="20"/>
          <w:szCs w:val="20"/>
        </w:rPr>
        <w:t>and prices of services increased (1.</w:t>
      </w:r>
      <w:r w:rsidR="00F073FB">
        <w:rPr>
          <w:rFonts w:ascii="Arial" w:hAnsi="Arial" w:cs="Arial"/>
          <w:sz w:val="20"/>
          <w:szCs w:val="20"/>
        </w:rPr>
        <w:t>8</w:t>
      </w:r>
      <w:r w:rsidRPr="00F073FB">
        <w:rPr>
          <w:rFonts w:ascii="Arial" w:hAnsi="Arial" w:cs="Arial"/>
          <w:sz w:val="20"/>
          <w:szCs w:val="20"/>
        </w:rPr>
        <w:t>%</w:t>
      </w:r>
      <w:r w:rsidR="00F073FB">
        <w:rPr>
          <w:rFonts w:ascii="Arial" w:hAnsi="Arial" w:cs="Arial"/>
          <w:sz w:val="20"/>
          <w:szCs w:val="20"/>
        </w:rPr>
        <w:t xml:space="preserve"> and 1.1%, respectively</w:t>
      </w:r>
      <w:r w:rsidRPr="00F073FB">
        <w:rPr>
          <w:rFonts w:ascii="Arial" w:hAnsi="Arial" w:cs="Arial"/>
          <w:sz w:val="20"/>
          <w:szCs w:val="20"/>
        </w:rPr>
        <w:t>).</w:t>
      </w:r>
      <w:r w:rsidRPr="0056492A">
        <w:rPr>
          <w:rFonts w:ascii="Arial" w:hAnsi="Arial" w:cs="Arial"/>
          <w:sz w:val="20"/>
          <w:szCs w:val="20"/>
        </w:rPr>
        <w:t xml:space="preserve"> The overall consumer price index excluding imputed rentals was </w:t>
      </w:r>
      <w:r w:rsidRPr="00F073FB">
        <w:rPr>
          <w:rFonts w:ascii="Arial" w:hAnsi="Arial" w:cs="Arial"/>
          <w:sz w:val="20"/>
          <w:szCs w:val="20"/>
        </w:rPr>
        <w:t>101.</w:t>
      </w:r>
      <w:r w:rsidR="00F073FB" w:rsidRPr="00F073FB">
        <w:rPr>
          <w:rFonts w:ascii="Arial" w:hAnsi="Arial" w:cs="Arial"/>
          <w:sz w:val="20"/>
          <w:szCs w:val="20"/>
        </w:rPr>
        <w:t>5</w:t>
      </w:r>
      <w:r w:rsidRPr="00F073FB">
        <w:rPr>
          <w:rFonts w:ascii="Arial" w:hAnsi="Arial" w:cs="Arial"/>
          <w:sz w:val="20"/>
          <w:szCs w:val="20"/>
        </w:rPr>
        <w:t>%,</w:t>
      </w:r>
      <w:r w:rsidRPr="0056492A">
        <w:rPr>
          <w:rFonts w:ascii="Arial" w:hAnsi="Arial" w:cs="Arial"/>
          <w:sz w:val="20"/>
          <w:szCs w:val="20"/>
        </w:rPr>
        <w:t xml:space="preserve"> year-on-year.</w:t>
      </w:r>
    </w:p>
    <w:p w:rsidR="00B91595" w:rsidRPr="0056492A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95050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91595" w:rsidRPr="00C14F40">
        <w:rPr>
          <w:rFonts w:ascii="Arial" w:hAnsi="Arial" w:cs="Arial"/>
          <w:b/>
          <w:sz w:val="20"/>
          <w:szCs w:val="20"/>
        </w:rPr>
        <w:t>nflation rate</w:t>
      </w:r>
      <w:r w:rsidR="00B91595" w:rsidRPr="0056492A">
        <w:rPr>
          <w:rFonts w:ascii="Arial" w:hAnsi="Arial" w:cs="Arial"/>
          <w:sz w:val="20"/>
          <w:szCs w:val="20"/>
        </w:rPr>
        <w:t xml:space="preserve">, i.e. the increase in the average consumer price index in the twelve months to </w:t>
      </w:r>
      <w:r w:rsidR="00A878D9">
        <w:rPr>
          <w:rFonts w:ascii="Arial" w:hAnsi="Arial" w:cs="Arial"/>
          <w:sz w:val="20"/>
          <w:szCs w:val="20"/>
        </w:rPr>
        <w:t>Dece</w:t>
      </w:r>
      <w:r w:rsidR="006B575D">
        <w:rPr>
          <w:rFonts w:ascii="Arial" w:hAnsi="Arial" w:cs="Arial"/>
          <w:sz w:val="20"/>
          <w:szCs w:val="20"/>
        </w:rPr>
        <w:t>mber</w:t>
      </w:r>
      <w:r w:rsidR="00B91595" w:rsidRPr="0056492A">
        <w:rPr>
          <w:rFonts w:ascii="Arial" w:hAnsi="Arial" w:cs="Arial"/>
          <w:sz w:val="20"/>
          <w:szCs w:val="20"/>
        </w:rPr>
        <w:t xml:space="preserve"> 2013 compared with the average CPI in the previous twelve months, stood at </w:t>
      </w:r>
      <w:r w:rsidR="00B91595" w:rsidRPr="00F073FB">
        <w:rPr>
          <w:rFonts w:ascii="Arial" w:hAnsi="Arial" w:cs="Arial"/>
          <w:sz w:val="20"/>
          <w:szCs w:val="20"/>
        </w:rPr>
        <w:t>1.</w:t>
      </w:r>
      <w:r w:rsidR="00F073FB" w:rsidRPr="00F073FB">
        <w:rPr>
          <w:rFonts w:ascii="Arial" w:hAnsi="Arial" w:cs="Arial"/>
          <w:sz w:val="20"/>
          <w:szCs w:val="20"/>
        </w:rPr>
        <w:t>4</w:t>
      </w:r>
      <w:r w:rsidR="00B91595" w:rsidRPr="00F073FB">
        <w:rPr>
          <w:rFonts w:ascii="Arial" w:hAnsi="Arial" w:cs="Arial"/>
          <w:sz w:val="20"/>
          <w:szCs w:val="20"/>
        </w:rPr>
        <w:t>%</w:t>
      </w:r>
      <w:r w:rsidR="00B91595" w:rsidRPr="0056492A">
        <w:rPr>
          <w:rFonts w:ascii="Arial" w:hAnsi="Arial" w:cs="Arial"/>
          <w:sz w:val="20"/>
          <w:szCs w:val="20"/>
        </w:rPr>
        <w:t xml:space="preserve"> in </w:t>
      </w:r>
      <w:r w:rsidR="00A878D9">
        <w:rPr>
          <w:rFonts w:ascii="Arial" w:hAnsi="Arial" w:cs="Arial"/>
          <w:sz w:val="20"/>
          <w:szCs w:val="20"/>
        </w:rPr>
        <w:t>Dece</w:t>
      </w:r>
      <w:r w:rsidR="006B575D">
        <w:rPr>
          <w:rFonts w:ascii="Arial" w:hAnsi="Arial" w:cs="Arial"/>
          <w:sz w:val="20"/>
          <w:szCs w:val="20"/>
        </w:rPr>
        <w:t>mber</w:t>
      </w:r>
      <w:r w:rsidR="00F073FB">
        <w:rPr>
          <w:rFonts w:ascii="Arial" w:hAnsi="Arial" w:cs="Arial"/>
          <w:sz w:val="20"/>
          <w:szCs w:val="20"/>
        </w:rPr>
        <w:t xml:space="preserve">, which is by 1.9% percentage points </w:t>
      </w:r>
      <w:r w:rsidR="00153FEE">
        <w:rPr>
          <w:rFonts w:ascii="Arial" w:hAnsi="Arial" w:cs="Arial"/>
          <w:sz w:val="20"/>
          <w:szCs w:val="20"/>
        </w:rPr>
        <w:t xml:space="preserve">less </w:t>
      </w:r>
      <w:r w:rsidR="00F073FB">
        <w:rPr>
          <w:rFonts w:ascii="Arial" w:hAnsi="Arial" w:cs="Arial"/>
          <w:sz w:val="20"/>
          <w:szCs w:val="20"/>
        </w:rPr>
        <w:t>on 2012</w:t>
      </w:r>
      <w:r w:rsidR="00B91595" w:rsidRPr="0056492A">
        <w:rPr>
          <w:rFonts w:ascii="Arial" w:hAnsi="Arial" w:cs="Arial"/>
          <w:sz w:val="20"/>
          <w:szCs w:val="20"/>
        </w:rPr>
        <w:t>.</w:t>
      </w:r>
      <w:r w:rsidR="00B91595">
        <w:rPr>
          <w:rFonts w:ascii="Arial" w:hAnsi="Arial" w:cs="Arial"/>
          <w:sz w:val="20"/>
          <w:szCs w:val="20"/>
        </w:rPr>
        <w:t xml:space="preserve"> </w:t>
      </w:r>
    </w:p>
    <w:p w:rsidR="00B91595" w:rsidRPr="00530DDE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5026">
        <w:rPr>
          <w:rFonts w:ascii="Arial" w:hAnsi="Arial" w:cs="Arial"/>
          <w:sz w:val="20"/>
          <w:szCs w:val="20"/>
        </w:rPr>
        <w:t xml:space="preserve">According to preliminary data of Eurostat, the year-on-year increase in the average </w:t>
      </w:r>
      <w:r w:rsidRPr="00C45026">
        <w:rPr>
          <w:rFonts w:ascii="Arial" w:hAnsi="Arial" w:cs="Arial"/>
          <w:b/>
          <w:sz w:val="20"/>
          <w:szCs w:val="20"/>
        </w:rPr>
        <w:t>harmonized index of consumer prices</w:t>
      </w:r>
      <w:r w:rsidRPr="00C45026">
        <w:rPr>
          <w:rFonts w:ascii="Arial" w:hAnsi="Arial" w:cs="Arial"/>
          <w:sz w:val="20"/>
          <w:szCs w:val="20"/>
        </w:rPr>
        <w:t xml:space="preserve"> (HICP)</w:t>
      </w:r>
      <w:r w:rsidRPr="00C4502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45026">
        <w:rPr>
          <w:rFonts w:ascii="Arial" w:hAnsi="Arial" w:cs="Arial"/>
          <w:sz w:val="20"/>
          <w:szCs w:val="20"/>
          <w:vertAlign w:val="superscript"/>
        </w:rPr>
        <w:t>)</w:t>
      </w:r>
      <w:r w:rsidRPr="00C45026">
        <w:rPr>
          <w:rFonts w:ascii="Arial" w:hAnsi="Arial" w:cs="Arial"/>
          <w:sz w:val="20"/>
          <w:szCs w:val="20"/>
        </w:rPr>
        <w:t xml:space="preserve"> in the </w:t>
      </w:r>
      <w:r w:rsidRPr="00C45026">
        <w:rPr>
          <w:rFonts w:ascii="Arial" w:hAnsi="Arial" w:cs="Arial"/>
          <w:b/>
          <w:sz w:val="20"/>
          <w:szCs w:val="20"/>
        </w:rPr>
        <w:t>EU2</w:t>
      </w:r>
      <w:r>
        <w:rPr>
          <w:rFonts w:ascii="Arial" w:hAnsi="Arial" w:cs="Arial"/>
          <w:b/>
          <w:sz w:val="20"/>
          <w:szCs w:val="20"/>
        </w:rPr>
        <w:t>8</w:t>
      </w:r>
      <w:r w:rsidRPr="00C45026">
        <w:rPr>
          <w:rFonts w:ascii="Arial" w:hAnsi="Arial" w:cs="Arial"/>
          <w:b/>
          <w:sz w:val="20"/>
          <w:szCs w:val="20"/>
        </w:rPr>
        <w:t xml:space="preserve"> member states</w:t>
      </w:r>
      <w:r w:rsidRPr="00C45026">
        <w:rPr>
          <w:rFonts w:ascii="Arial" w:hAnsi="Arial" w:cs="Arial"/>
          <w:sz w:val="20"/>
          <w:szCs w:val="20"/>
        </w:rPr>
        <w:t xml:space="preserve"> was </w:t>
      </w:r>
      <w:r w:rsidR="00C63FF7">
        <w:rPr>
          <w:rFonts w:ascii="Arial" w:hAnsi="Arial" w:cs="Arial"/>
          <w:sz w:val="20"/>
          <w:szCs w:val="20"/>
        </w:rPr>
        <w:t>1</w:t>
      </w:r>
      <w:r w:rsidRPr="00C63FF7">
        <w:rPr>
          <w:rFonts w:ascii="Arial" w:hAnsi="Arial" w:cs="Arial"/>
          <w:sz w:val="20"/>
          <w:szCs w:val="20"/>
        </w:rPr>
        <w:t>.</w:t>
      </w:r>
      <w:r w:rsidR="00C63FF7" w:rsidRPr="00C63FF7">
        <w:rPr>
          <w:rFonts w:ascii="Arial" w:hAnsi="Arial" w:cs="Arial"/>
          <w:sz w:val="20"/>
          <w:szCs w:val="20"/>
        </w:rPr>
        <w:t>0</w:t>
      </w:r>
      <w:r w:rsidR="00C63FF7">
        <w:rPr>
          <w:rFonts w:ascii="Arial" w:hAnsi="Arial" w:cs="Arial"/>
          <w:sz w:val="20"/>
          <w:szCs w:val="20"/>
        </w:rPr>
        <w:t>%</w:t>
      </w:r>
      <w:r w:rsidRPr="0050474F">
        <w:rPr>
          <w:rFonts w:ascii="Arial" w:hAnsi="Arial" w:cs="Arial"/>
          <w:sz w:val="20"/>
          <w:szCs w:val="20"/>
        </w:rPr>
        <w:t xml:space="preserve"> </w:t>
      </w:r>
      <w:r w:rsidRPr="0050474F">
        <w:rPr>
          <w:rFonts w:ascii="Arial" w:hAnsi="Arial" w:cs="Arial"/>
          <w:b/>
          <w:sz w:val="20"/>
          <w:szCs w:val="20"/>
        </w:rPr>
        <w:t>in</w:t>
      </w:r>
      <w:r w:rsidRPr="0050474F">
        <w:rPr>
          <w:rFonts w:ascii="Arial" w:hAnsi="Arial" w:cs="Arial"/>
          <w:sz w:val="20"/>
          <w:szCs w:val="20"/>
        </w:rPr>
        <w:t xml:space="preserve"> </w:t>
      </w:r>
      <w:r w:rsidR="00F97B87" w:rsidRPr="00F97B87">
        <w:rPr>
          <w:rFonts w:ascii="Arial" w:hAnsi="Arial" w:cs="Arial"/>
          <w:b/>
          <w:sz w:val="20"/>
          <w:szCs w:val="20"/>
        </w:rPr>
        <w:t>November</w:t>
      </w:r>
      <w:r w:rsidRPr="0050474F">
        <w:rPr>
          <w:rFonts w:ascii="Arial" w:hAnsi="Arial" w:cs="Arial"/>
          <w:sz w:val="20"/>
          <w:szCs w:val="20"/>
        </w:rPr>
        <w:t>, i.e</w:t>
      </w:r>
      <w:r w:rsidRPr="002577B5">
        <w:rPr>
          <w:rFonts w:ascii="Arial" w:hAnsi="Arial" w:cs="Arial"/>
          <w:sz w:val="20"/>
          <w:szCs w:val="20"/>
        </w:rPr>
        <w:t xml:space="preserve">. </w:t>
      </w:r>
      <w:r w:rsidRPr="00C63FF7">
        <w:rPr>
          <w:rFonts w:ascii="Arial" w:hAnsi="Arial" w:cs="Arial"/>
          <w:sz w:val="20"/>
          <w:szCs w:val="20"/>
        </w:rPr>
        <w:t>0.</w:t>
      </w:r>
      <w:r w:rsidR="00C63FF7" w:rsidRPr="00C63FF7">
        <w:rPr>
          <w:rFonts w:ascii="Arial" w:hAnsi="Arial" w:cs="Arial"/>
          <w:sz w:val="20"/>
          <w:szCs w:val="20"/>
        </w:rPr>
        <w:t>1</w:t>
      </w:r>
      <w:r w:rsidRPr="00C63FF7">
        <w:rPr>
          <w:rFonts w:ascii="Arial" w:hAnsi="Arial" w:cs="Arial"/>
          <w:sz w:val="20"/>
          <w:szCs w:val="20"/>
        </w:rPr>
        <w:t xml:space="preserve"> percentage point </w:t>
      </w:r>
      <w:r w:rsidR="00C63FF7">
        <w:rPr>
          <w:rFonts w:ascii="Arial" w:hAnsi="Arial" w:cs="Arial"/>
          <w:sz w:val="20"/>
          <w:szCs w:val="20"/>
        </w:rPr>
        <w:t>up</w:t>
      </w:r>
      <w:r w:rsidRPr="0050474F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n </w:t>
      </w:r>
      <w:r w:rsidR="00F97B87">
        <w:rPr>
          <w:rFonts w:ascii="Arial" w:hAnsi="Arial" w:cs="Arial"/>
          <w:sz w:val="20"/>
          <w:szCs w:val="20"/>
        </w:rPr>
        <w:t>Octo</w:t>
      </w:r>
      <w:r w:rsidR="006B575D">
        <w:rPr>
          <w:rFonts w:ascii="Arial" w:hAnsi="Arial" w:cs="Arial"/>
          <w:sz w:val="20"/>
          <w:szCs w:val="20"/>
        </w:rPr>
        <w:t>ber</w:t>
      </w:r>
      <w:r w:rsidRPr="00DF145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Prices grew most </w:t>
      </w:r>
      <w:r w:rsidRPr="00210036">
        <w:rPr>
          <w:rFonts w:ascii="Arial" w:hAnsi="Arial" w:cs="Arial"/>
          <w:sz w:val="20"/>
          <w:szCs w:val="20"/>
        </w:rPr>
        <w:t xml:space="preserve">in </w:t>
      </w:r>
      <w:r w:rsidRPr="00C63FF7">
        <w:rPr>
          <w:rFonts w:ascii="Arial" w:hAnsi="Arial" w:cs="Arial"/>
          <w:sz w:val="20"/>
          <w:szCs w:val="20"/>
        </w:rPr>
        <w:t>United Kingdom (2.</w:t>
      </w:r>
      <w:r w:rsidR="00C63FF7">
        <w:rPr>
          <w:rFonts w:ascii="Arial" w:hAnsi="Arial" w:cs="Arial"/>
          <w:sz w:val="20"/>
          <w:szCs w:val="20"/>
        </w:rPr>
        <w:t>1</w:t>
      </w:r>
      <w:r w:rsidRPr="00C63FF7">
        <w:rPr>
          <w:rFonts w:ascii="Arial" w:hAnsi="Arial" w:cs="Arial"/>
          <w:sz w:val="20"/>
          <w:szCs w:val="20"/>
        </w:rPr>
        <w:t>%) and Estonia (2.</w:t>
      </w:r>
      <w:r w:rsidR="00C63FF7">
        <w:rPr>
          <w:rFonts w:ascii="Arial" w:hAnsi="Arial" w:cs="Arial"/>
          <w:sz w:val="20"/>
          <w:szCs w:val="20"/>
        </w:rPr>
        <w:t>1</w:t>
      </w:r>
      <w:r w:rsidRPr="00C63FF7">
        <w:rPr>
          <w:rFonts w:ascii="Arial" w:hAnsi="Arial" w:cs="Arial"/>
          <w:sz w:val="20"/>
          <w:szCs w:val="20"/>
        </w:rPr>
        <w:t>%</w:t>
      </w:r>
      <w:r w:rsidR="00C15DD6" w:rsidRPr="00C63FF7">
        <w:rPr>
          <w:rFonts w:ascii="Arial" w:hAnsi="Arial" w:cs="Arial"/>
          <w:sz w:val="20"/>
          <w:szCs w:val="20"/>
        </w:rPr>
        <w:t xml:space="preserve"> as well</w:t>
      </w:r>
      <w:r w:rsidRPr="00C63FF7">
        <w:rPr>
          <w:rFonts w:ascii="Arial" w:hAnsi="Arial" w:cs="Arial"/>
          <w:sz w:val="20"/>
          <w:szCs w:val="20"/>
        </w:rPr>
        <w:t>)</w:t>
      </w:r>
      <w:r w:rsidR="00C63FF7">
        <w:rPr>
          <w:rFonts w:ascii="Arial" w:hAnsi="Arial" w:cs="Arial"/>
          <w:sz w:val="20"/>
          <w:szCs w:val="20"/>
        </w:rPr>
        <w:t>.</w:t>
      </w:r>
      <w:r w:rsidR="00C15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other hand, </w:t>
      </w:r>
      <w:r w:rsidRPr="00360B31">
        <w:rPr>
          <w:rFonts w:ascii="Arial" w:hAnsi="Arial" w:cs="Arial"/>
          <w:sz w:val="20"/>
          <w:szCs w:val="20"/>
        </w:rPr>
        <w:t>a y</w:t>
      </w:r>
      <w:r>
        <w:rPr>
          <w:rFonts w:ascii="Arial" w:hAnsi="Arial" w:cs="Arial"/>
          <w:sz w:val="20"/>
          <w:szCs w:val="20"/>
        </w:rPr>
        <w:t>ear</w:t>
      </w:r>
      <w:r w:rsidRPr="00360B31">
        <w:rPr>
          <w:rFonts w:ascii="Arial" w:hAnsi="Arial" w:cs="Arial"/>
          <w:sz w:val="20"/>
          <w:szCs w:val="20"/>
        </w:rPr>
        <w:t>-o</w:t>
      </w:r>
      <w:r>
        <w:rPr>
          <w:rFonts w:ascii="Arial" w:hAnsi="Arial" w:cs="Arial"/>
          <w:sz w:val="20"/>
          <w:szCs w:val="20"/>
        </w:rPr>
        <w:t>n</w:t>
      </w:r>
      <w:r w:rsidRPr="00360B31">
        <w:rPr>
          <w:rFonts w:ascii="Arial" w:hAnsi="Arial" w:cs="Arial"/>
          <w:sz w:val="20"/>
          <w:szCs w:val="20"/>
        </w:rPr>
        <w:t>-y</w:t>
      </w:r>
      <w:r>
        <w:rPr>
          <w:rFonts w:ascii="Arial" w:hAnsi="Arial" w:cs="Arial"/>
          <w:sz w:val="20"/>
          <w:szCs w:val="20"/>
        </w:rPr>
        <w:t>ear</w:t>
      </w:r>
      <w:r w:rsidRPr="00360B31">
        <w:rPr>
          <w:rFonts w:ascii="Arial" w:hAnsi="Arial" w:cs="Arial"/>
          <w:sz w:val="20"/>
          <w:szCs w:val="20"/>
        </w:rPr>
        <w:t xml:space="preserve"> price decrease occurred </w:t>
      </w:r>
      <w:r w:rsidRPr="0054426E">
        <w:rPr>
          <w:rFonts w:ascii="Arial" w:hAnsi="Arial" w:cs="Arial"/>
          <w:sz w:val="20"/>
          <w:szCs w:val="20"/>
        </w:rPr>
        <w:t xml:space="preserve">in </w:t>
      </w:r>
      <w:r w:rsidR="00311A44" w:rsidRPr="00C63FF7">
        <w:rPr>
          <w:rFonts w:ascii="Arial" w:hAnsi="Arial" w:cs="Arial"/>
          <w:sz w:val="20"/>
          <w:szCs w:val="20"/>
        </w:rPr>
        <w:t xml:space="preserve">Greece </w:t>
      </w:r>
      <w:r w:rsidRPr="00C63FF7">
        <w:rPr>
          <w:rFonts w:ascii="Arial" w:hAnsi="Arial" w:cs="Arial"/>
          <w:sz w:val="20"/>
          <w:szCs w:val="20"/>
        </w:rPr>
        <w:t>(-</w:t>
      </w:r>
      <w:r w:rsidR="00C63FF7">
        <w:rPr>
          <w:rFonts w:ascii="Arial" w:hAnsi="Arial" w:cs="Arial"/>
          <w:sz w:val="20"/>
          <w:szCs w:val="20"/>
        </w:rPr>
        <w:t>2</w:t>
      </w:r>
      <w:r w:rsidRPr="00C63FF7">
        <w:rPr>
          <w:rFonts w:ascii="Arial" w:hAnsi="Arial" w:cs="Arial"/>
          <w:sz w:val="20"/>
          <w:szCs w:val="20"/>
        </w:rPr>
        <w:t>.</w:t>
      </w:r>
      <w:r w:rsidR="00311A44" w:rsidRPr="00C63FF7">
        <w:rPr>
          <w:rFonts w:ascii="Arial" w:hAnsi="Arial" w:cs="Arial"/>
          <w:sz w:val="20"/>
          <w:szCs w:val="20"/>
        </w:rPr>
        <w:t>9</w:t>
      </w:r>
      <w:r w:rsidRPr="00C63FF7">
        <w:rPr>
          <w:rFonts w:ascii="Arial" w:hAnsi="Arial" w:cs="Arial"/>
          <w:sz w:val="20"/>
          <w:szCs w:val="20"/>
        </w:rPr>
        <w:t xml:space="preserve">%), </w:t>
      </w:r>
      <w:r w:rsidR="00311A44" w:rsidRPr="00C63FF7">
        <w:rPr>
          <w:rFonts w:ascii="Arial" w:hAnsi="Arial" w:cs="Arial"/>
          <w:sz w:val="20"/>
          <w:szCs w:val="20"/>
        </w:rPr>
        <w:t xml:space="preserve">Bulgaria </w:t>
      </w:r>
      <w:r w:rsidRPr="00C63FF7">
        <w:rPr>
          <w:rFonts w:ascii="Arial" w:hAnsi="Arial" w:cs="Arial"/>
          <w:sz w:val="20"/>
          <w:szCs w:val="20"/>
        </w:rPr>
        <w:t>(-1.</w:t>
      </w:r>
      <w:r w:rsidR="00C63FF7">
        <w:rPr>
          <w:rFonts w:ascii="Arial" w:hAnsi="Arial" w:cs="Arial"/>
          <w:sz w:val="20"/>
          <w:szCs w:val="20"/>
        </w:rPr>
        <w:t>0</w:t>
      </w:r>
      <w:r w:rsidRPr="00C63FF7">
        <w:rPr>
          <w:rFonts w:ascii="Arial" w:hAnsi="Arial" w:cs="Arial"/>
          <w:sz w:val="20"/>
          <w:szCs w:val="20"/>
        </w:rPr>
        <w:t>%)</w:t>
      </w:r>
      <w:r w:rsidR="00311A44" w:rsidRPr="00C63FF7">
        <w:rPr>
          <w:rFonts w:ascii="Arial" w:hAnsi="Arial" w:cs="Arial"/>
          <w:sz w:val="20"/>
          <w:szCs w:val="20"/>
        </w:rPr>
        <w:t>, Cyprus (-0.</w:t>
      </w:r>
      <w:r w:rsidR="00C63FF7">
        <w:rPr>
          <w:rFonts w:ascii="Arial" w:hAnsi="Arial" w:cs="Arial"/>
          <w:sz w:val="20"/>
          <w:szCs w:val="20"/>
        </w:rPr>
        <w:t>8</w:t>
      </w:r>
      <w:r w:rsidR="00311A44" w:rsidRPr="00C63FF7">
        <w:rPr>
          <w:rFonts w:ascii="Arial" w:hAnsi="Arial" w:cs="Arial"/>
          <w:sz w:val="20"/>
          <w:szCs w:val="20"/>
        </w:rPr>
        <w:t>%)</w:t>
      </w:r>
      <w:r w:rsidRPr="00C63FF7">
        <w:rPr>
          <w:rFonts w:ascii="Arial" w:hAnsi="Arial" w:cs="Arial"/>
          <w:sz w:val="20"/>
          <w:szCs w:val="20"/>
        </w:rPr>
        <w:t xml:space="preserve"> and </w:t>
      </w:r>
      <w:r w:rsidR="00C63FF7">
        <w:rPr>
          <w:rFonts w:ascii="Arial" w:hAnsi="Arial" w:cs="Arial"/>
          <w:sz w:val="20"/>
          <w:szCs w:val="20"/>
        </w:rPr>
        <w:t>Latvia</w:t>
      </w:r>
      <w:r w:rsidRPr="00C63FF7">
        <w:rPr>
          <w:rFonts w:ascii="Arial" w:hAnsi="Arial" w:cs="Arial"/>
          <w:sz w:val="20"/>
          <w:szCs w:val="20"/>
        </w:rPr>
        <w:t xml:space="preserve"> (-0.</w:t>
      </w:r>
      <w:r w:rsidR="00C63FF7">
        <w:rPr>
          <w:rFonts w:ascii="Arial" w:hAnsi="Arial" w:cs="Arial"/>
          <w:sz w:val="20"/>
          <w:szCs w:val="20"/>
        </w:rPr>
        <w:t>3</w:t>
      </w:r>
      <w:r w:rsidRPr="00C63FF7">
        <w:rPr>
          <w:rFonts w:ascii="Arial" w:hAnsi="Arial" w:cs="Arial"/>
          <w:sz w:val="20"/>
          <w:szCs w:val="20"/>
        </w:rPr>
        <w:t>%)</w:t>
      </w:r>
      <w:r w:rsidRPr="0050474F">
        <w:rPr>
          <w:rFonts w:ascii="Arial" w:hAnsi="Arial" w:cs="Arial"/>
          <w:sz w:val="20"/>
          <w:szCs w:val="20"/>
        </w:rPr>
        <w:t xml:space="preserve"> i</w:t>
      </w:r>
      <w:r w:rsidRPr="00404386">
        <w:rPr>
          <w:rFonts w:ascii="Arial" w:hAnsi="Arial" w:cs="Arial"/>
          <w:sz w:val="20"/>
          <w:szCs w:val="20"/>
        </w:rPr>
        <w:t xml:space="preserve">n </w:t>
      </w:r>
      <w:r w:rsidR="008F2C16">
        <w:rPr>
          <w:rFonts w:ascii="Arial" w:hAnsi="Arial" w:cs="Arial"/>
          <w:sz w:val="20"/>
          <w:szCs w:val="20"/>
        </w:rPr>
        <w:t>Novemb</w:t>
      </w:r>
      <w:r w:rsidR="006B575D">
        <w:rPr>
          <w:rFonts w:ascii="Arial" w:hAnsi="Arial" w:cs="Arial"/>
          <w:sz w:val="20"/>
          <w:szCs w:val="20"/>
        </w:rPr>
        <w:t>er</w:t>
      </w:r>
      <w:r w:rsidRPr="000E561A">
        <w:rPr>
          <w:rFonts w:ascii="Arial" w:hAnsi="Arial" w:cs="Arial"/>
          <w:sz w:val="20"/>
          <w:szCs w:val="20"/>
        </w:rPr>
        <w:t xml:space="preserve">. In Germany, </w:t>
      </w:r>
      <w:r w:rsidRPr="004B6D7C">
        <w:rPr>
          <w:rFonts w:ascii="Arial" w:hAnsi="Arial" w:cs="Arial"/>
          <w:sz w:val="20"/>
          <w:szCs w:val="20"/>
        </w:rPr>
        <w:t xml:space="preserve">the price rise </w:t>
      </w:r>
      <w:r w:rsidR="004B6D7C" w:rsidRPr="004B6D7C">
        <w:rPr>
          <w:rFonts w:ascii="Arial" w:hAnsi="Arial" w:cs="Arial"/>
          <w:sz w:val="20"/>
          <w:szCs w:val="20"/>
        </w:rPr>
        <w:t>accelerated</w:t>
      </w:r>
      <w:r w:rsidR="00311A44" w:rsidRPr="004B6D7C">
        <w:rPr>
          <w:rFonts w:ascii="Arial" w:hAnsi="Arial" w:cs="Arial"/>
          <w:sz w:val="20"/>
          <w:szCs w:val="20"/>
        </w:rPr>
        <w:t xml:space="preserve"> to 1.</w:t>
      </w:r>
      <w:r w:rsidR="004B6D7C" w:rsidRPr="004B6D7C">
        <w:rPr>
          <w:rFonts w:ascii="Arial" w:hAnsi="Arial" w:cs="Arial"/>
          <w:sz w:val="20"/>
          <w:szCs w:val="20"/>
        </w:rPr>
        <w:t>6</w:t>
      </w:r>
      <w:r w:rsidR="00311A44" w:rsidRPr="004B6D7C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="00311A44">
        <w:rPr>
          <w:rFonts w:ascii="Arial" w:hAnsi="Arial" w:cs="Arial"/>
          <w:sz w:val="20"/>
          <w:szCs w:val="20"/>
        </w:rPr>
        <w:t>(1.</w:t>
      </w:r>
      <w:r w:rsidR="008F2C16">
        <w:rPr>
          <w:rFonts w:ascii="Arial" w:hAnsi="Arial" w:cs="Arial"/>
          <w:sz w:val="20"/>
          <w:szCs w:val="20"/>
        </w:rPr>
        <w:t>2</w:t>
      </w:r>
      <w:r w:rsidR="00311A44">
        <w:rPr>
          <w:rFonts w:ascii="Arial" w:hAnsi="Arial" w:cs="Arial"/>
          <w:sz w:val="20"/>
          <w:szCs w:val="20"/>
        </w:rPr>
        <w:t>% in</w:t>
      </w:r>
      <w:r w:rsidR="00311A44" w:rsidRPr="00210036">
        <w:rPr>
          <w:rFonts w:ascii="Arial" w:hAnsi="Arial" w:cs="Arial"/>
          <w:sz w:val="20"/>
          <w:szCs w:val="20"/>
        </w:rPr>
        <w:t xml:space="preserve"> </w:t>
      </w:r>
      <w:r w:rsidR="008F2C16">
        <w:rPr>
          <w:rFonts w:ascii="Arial" w:hAnsi="Arial" w:cs="Arial"/>
          <w:sz w:val="20"/>
          <w:szCs w:val="20"/>
        </w:rPr>
        <w:t>October</w:t>
      </w:r>
      <w:r w:rsidR="00311A4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Pr="00210036">
        <w:rPr>
          <w:rFonts w:ascii="Arial" w:hAnsi="Arial" w:cs="Arial"/>
          <w:sz w:val="20"/>
          <w:szCs w:val="20"/>
        </w:rPr>
        <w:t xml:space="preserve">In Slovakia, the price increase </w:t>
      </w:r>
      <w:r w:rsidR="004B6D7C">
        <w:rPr>
          <w:rFonts w:ascii="Arial" w:hAnsi="Arial" w:cs="Arial"/>
          <w:sz w:val="20"/>
          <w:szCs w:val="20"/>
        </w:rPr>
        <w:t>slowed down</w:t>
      </w:r>
      <w:r w:rsidRPr="00210036">
        <w:rPr>
          <w:rFonts w:ascii="Arial" w:hAnsi="Arial" w:cs="Arial"/>
          <w:sz w:val="20"/>
          <w:szCs w:val="20"/>
        </w:rPr>
        <w:t xml:space="preserve"> </w:t>
      </w:r>
      <w:r w:rsidR="004B6D7C">
        <w:rPr>
          <w:rFonts w:ascii="Arial" w:hAnsi="Arial" w:cs="Arial"/>
          <w:sz w:val="20"/>
          <w:szCs w:val="20"/>
        </w:rPr>
        <w:t xml:space="preserve">further </w:t>
      </w:r>
      <w:r w:rsidRPr="00210036">
        <w:rPr>
          <w:rFonts w:ascii="Arial" w:hAnsi="Arial" w:cs="Arial"/>
          <w:sz w:val="20"/>
          <w:szCs w:val="20"/>
        </w:rPr>
        <w:t xml:space="preserve">to </w:t>
      </w:r>
      <w:r w:rsidR="00311A44">
        <w:rPr>
          <w:rFonts w:ascii="Arial" w:hAnsi="Arial" w:cs="Arial"/>
          <w:sz w:val="20"/>
          <w:szCs w:val="20"/>
        </w:rPr>
        <w:t>0</w:t>
      </w:r>
      <w:r w:rsidRPr="0022603C">
        <w:rPr>
          <w:rFonts w:ascii="Arial" w:hAnsi="Arial" w:cs="Arial"/>
          <w:sz w:val="20"/>
          <w:szCs w:val="20"/>
        </w:rPr>
        <w:t>.</w:t>
      </w:r>
      <w:r w:rsidR="004B6D7C">
        <w:rPr>
          <w:rFonts w:ascii="Arial" w:hAnsi="Arial" w:cs="Arial"/>
          <w:sz w:val="20"/>
          <w:szCs w:val="20"/>
        </w:rPr>
        <w:t>5</w:t>
      </w:r>
      <w:r w:rsidRPr="0022603C">
        <w:rPr>
          <w:rFonts w:ascii="Arial" w:hAnsi="Arial" w:cs="Arial"/>
          <w:sz w:val="20"/>
          <w:szCs w:val="20"/>
        </w:rPr>
        <w:t>%</w:t>
      </w:r>
      <w:r w:rsidRPr="000E561A">
        <w:rPr>
          <w:rFonts w:ascii="Arial" w:hAnsi="Arial" w:cs="Arial"/>
          <w:sz w:val="20"/>
          <w:szCs w:val="20"/>
        </w:rPr>
        <w:t xml:space="preserve"> </w:t>
      </w:r>
      <w:r w:rsidRPr="000E2992">
        <w:rPr>
          <w:rFonts w:ascii="Arial" w:hAnsi="Arial" w:cs="Arial"/>
          <w:sz w:val="20"/>
          <w:szCs w:val="20"/>
        </w:rPr>
        <w:t xml:space="preserve">in </w:t>
      </w:r>
      <w:r w:rsidR="008F2C16">
        <w:rPr>
          <w:rFonts w:ascii="Arial" w:hAnsi="Arial" w:cs="Arial"/>
          <w:sz w:val="20"/>
          <w:szCs w:val="20"/>
        </w:rPr>
        <w:t>November</w:t>
      </w:r>
      <w:r w:rsidRPr="000E2992">
        <w:rPr>
          <w:rFonts w:ascii="Arial" w:hAnsi="Arial" w:cs="Arial"/>
          <w:sz w:val="20"/>
          <w:szCs w:val="20"/>
        </w:rPr>
        <w:t xml:space="preserve"> (</w:t>
      </w:r>
      <w:r w:rsidR="008F2C16">
        <w:rPr>
          <w:rFonts w:ascii="Arial" w:hAnsi="Arial" w:cs="Arial"/>
          <w:sz w:val="20"/>
          <w:szCs w:val="20"/>
        </w:rPr>
        <w:t>0</w:t>
      </w:r>
      <w:r w:rsidRPr="000E2992">
        <w:rPr>
          <w:rFonts w:ascii="Arial" w:hAnsi="Arial" w:cs="Arial"/>
          <w:sz w:val="20"/>
          <w:szCs w:val="20"/>
        </w:rPr>
        <w:t>.</w:t>
      </w:r>
      <w:r w:rsidR="008F2C16">
        <w:rPr>
          <w:rFonts w:ascii="Arial" w:hAnsi="Arial" w:cs="Arial"/>
          <w:sz w:val="20"/>
          <w:szCs w:val="20"/>
        </w:rPr>
        <w:t>7</w:t>
      </w:r>
      <w:r w:rsidRPr="000E2992">
        <w:rPr>
          <w:rFonts w:ascii="Arial" w:hAnsi="Arial" w:cs="Arial"/>
          <w:sz w:val="20"/>
          <w:szCs w:val="20"/>
        </w:rPr>
        <w:t xml:space="preserve">% in </w:t>
      </w:r>
      <w:r w:rsidR="008F2C16">
        <w:rPr>
          <w:rFonts w:ascii="Arial" w:hAnsi="Arial" w:cs="Arial"/>
          <w:sz w:val="20"/>
          <w:szCs w:val="20"/>
        </w:rPr>
        <w:t>Octo</w:t>
      </w:r>
      <w:r w:rsidR="006B575D">
        <w:rPr>
          <w:rFonts w:ascii="Arial" w:hAnsi="Arial" w:cs="Arial"/>
          <w:sz w:val="20"/>
          <w:szCs w:val="20"/>
        </w:rPr>
        <w:t>ber</w:t>
      </w:r>
      <w:r w:rsidRPr="000E2992">
        <w:rPr>
          <w:rFonts w:ascii="Arial" w:hAnsi="Arial" w:cs="Arial"/>
          <w:sz w:val="20"/>
          <w:szCs w:val="20"/>
        </w:rPr>
        <w:t>).</w:t>
      </w:r>
      <w:r w:rsidRPr="00C45026">
        <w:rPr>
          <w:rFonts w:ascii="Arial" w:hAnsi="Arial" w:cs="Arial"/>
          <w:sz w:val="20"/>
          <w:szCs w:val="20"/>
        </w:rPr>
        <w:t xml:space="preserve"> According to preliminary calculations, the HICP in the Czech Republic </w:t>
      </w:r>
      <w:r w:rsidRPr="00C45026">
        <w:rPr>
          <w:rFonts w:ascii="Arial" w:hAnsi="Arial" w:cs="Arial"/>
          <w:b/>
          <w:sz w:val="20"/>
          <w:szCs w:val="20"/>
        </w:rPr>
        <w:t xml:space="preserve">in </w:t>
      </w:r>
      <w:r w:rsidR="008F2C16">
        <w:rPr>
          <w:rFonts w:ascii="Arial" w:hAnsi="Arial" w:cs="Arial"/>
          <w:b/>
          <w:sz w:val="20"/>
          <w:szCs w:val="20"/>
        </w:rPr>
        <w:t>Dec</w:t>
      </w:r>
      <w:r w:rsidR="006B575D">
        <w:rPr>
          <w:rFonts w:ascii="Arial" w:hAnsi="Arial" w:cs="Arial"/>
          <w:b/>
          <w:sz w:val="20"/>
          <w:szCs w:val="20"/>
        </w:rPr>
        <w:t>ember</w:t>
      </w:r>
      <w:r w:rsidRPr="00C45026">
        <w:rPr>
          <w:rFonts w:ascii="Arial" w:hAnsi="Arial" w:cs="Arial"/>
          <w:b/>
          <w:sz w:val="20"/>
          <w:szCs w:val="20"/>
        </w:rPr>
        <w:t xml:space="preserve"> 2013 </w:t>
      </w:r>
      <w:r w:rsidRPr="001C2139">
        <w:rPr>
          <w:rFonts w:ascii="Arial" w:hAnsi="Arial" w:cs="Arial"/>
          <w:sz w:val="20"/>
          <w:szCs w:val="20"/>
        </w:rPr>
        <w:t>r</w:t>
      </w:r>
      <w:r w:rsidR="00FA7FB5">
        <w:rPr>
          <w:rFonts w:ascii="Arial" w:hAnsi="Arial" w:cs="Arial"/>
          <w:sz w:val="20"/>
          <w:szCs w:val="20"/>
        </w:rPr>
        <w:t>o</w:t>
      </w:r>
      <w:r w:rsidRPr="001C2139">
        <w:rPr>
          <w:rFonts w:ascii="Arial" w:hAnsi="Arial" w:cs="Arial"/>
          <w:sz w:val="20"/>
          <w:szCs w:val="20"/>
        </w:rPr>
        <w:t>se by 0.</w:t>
      </w:r>
      <w:r w:rsidR="00C377E7">
        <w:rPr>
          <w:rFonts w:ascii="Arial" w:hAnsi="Arial" w:cs="Arial"/>
          <w:sz w:val="20"/>
          <w:szCs w:val="20"/>
        </w:rPr>
        <w:t>5</w:t>
      </w:r>
      <w:r w:rsidRPr="001C2139">
        <w:rPr>
          <w:rFonts w:ascii="Arial" w:hAnsi="Arial" w:cs="Arial"/>
          <w:sz w:val="20"/>
          <w:szCs w:val="20"/>
        </w:rPr>
        <w:t xml:space="preserve">%, </w:t>
      </w:r>
      <w:r w:rsidRPr="001C2139">
        <w:rPr>
          <w:rFonts w:ascii="Arial" w:hAnsi="Arial" w:cs="Arial"/>
          <w:b/>
          <w:sz w:val="20"/>
          <w:szCs w:val="20"/>
        </w:rPr>
        <w:t>month-on-month</w:t>
      </w:r>
      <w:r w:rsidRPr="001C2139">
        <w:rPr>
          <w:rFonts w:ascii="Arial" w:hAnsi="Arial" w:cs="Arial"/>
          <w:sz w:val="20"/>
          <w:szCs w:val="20"/>
        </w:rPr>
        <w:t xml:space="preserve">, and by </w:t>
      </w:r>
      <w:r w:rsidR="00311A44">
        <w:rPr>
          <w:rFonts w:ascii="Arial" w:hAnsi="Arial" w:cs="Arial"/>
          <w:sz w:val="20"/>
          <w:szCs w:val="20"/>
        </w:rPr>
        <w:t>1</w:t>
      </w:r>
      <w:r w:rsidRPr="001C2139">
        <w:rPr>
          <w:rFonts w:ascii="Arial" w:hAnsi="Arial" w:cs="Arial"/>
          <w:sz w:val="20"/>
          <w:szCs w:val="20"/>
        </w:rPr>
        <w:t>.</w:t>
      </w:r>
      <w:r w:rsidR="00C377E7">
        <w:rPr>
          <w:rFonts w:ascii="Arial" w:hAnsi="Arial" w:cs="Arial"/>
          <w:sz w:val="20"/>
          <w:szCs w:val="20"/>
        </w:rPr>
        <w:t>5</w:t>
      </w:r>
      <w:r w:rsidRPr="001C2139">
        <w:rPr>
          <w:rFonts w:ascii="Arial" w:hAnsi="Arial" w:cs="Arial"/>
          <w:sz w:val="20"/>
          <w:szCs w:val="20"/>
        </w:rPr>
        <w:t>% (</w:t>
      </w:r>
      <w:r w:rsidR="008F2C16">
        <w:rPr>
          <w:rFonts w:ascii="Arial" w:hAnsi="Arial" w:cs="Arial"/>
          <w:sz w:val="20"/>
          <w:szCs w:val="20"/>
        </w:rPr>
        <w:t>1</w:t>
      </w:r>
      <w:r w:rsidRPr="001C2139">
        <w:rPr>
          <w:rFonts w:ascii="Arial" w:hAnsi="Arial" w:cs="Arial"/>
          <w:sz w:val="20"/>
          <w:szCs w:val="20"/>
        </w:rPr>
        <w:t>.</w:t>
      </w:r>
      <w:r w:rsidR="008F2C16">
        <w:rPr>
          <w:rFonts w:ascii="Arial" w:hAnsi="Arial" w:cs="Arial"/>
          <w:sz w:val="20"/>
          <w:szCs w:val="20"/>
        </w:rPr>
        <w:t>0</w:t>
      </w:r>
      <w:r w:rsidRPr="001C2139">
        <w:rPr>
          <w:rFonts w:ascii="Arial" w:hAnsi="Arial" w:cs="Arial"/>
          <w:sz w:val="20"/>
          <w:szCs w:val="20"/>
        </w:rPr>
        <w:t xml:space="preserve">% in </w:t>
      </w:r>
      <w:r w:rsidR="008F2C16">
        <w:rPr>
          <w:rFonts w:ascii="Arial" w:hAnsi="Arial" w:cs="Arial"/>
          <w:sz w:val="20"/>
          <w:szCs w:val="20"/>
        </w:rPr>
        <w:t>November</w:t>
      </w:r>
      <w:r w:rsidRPr="001C2139">
        <w:rPr>
          <w:rFonts w:ascii="Arial" w:hAnsi="Arial" w:cs="Arial"/>
          <w:sz w:val="20"/>
          <w:szCs w:val="20"/>
        </w:rPr>
        <w:t xml:space="preserve">), </w:t>
      </w:r>
      <w:r w:rsidRPr="001C2139">
        <w:rPr>
          <w:rFonts w:ascii="Arial" w:hAnsi="Arial" w:cs="Arial"/>
          <w:b/>
          <w:sz w:val="20"/>
          <w:szCs w:val="20"/>
        </w:rPr>
        <w:t>year-on-year</w:t>
      </w:r>
      <w:r w:rsidRPr="001C2139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r w:rsidRPr="001C2139">
        <w:rPr>
          <w:rFonts w:ascii="Arial" w:hAnsi="Arial" w:cs="Arial"/>
          <w:b/>
          <w:sz w:val="20"/>
          <w:szCs w:val="20"/>
        </w:rPr>
        <w:t>Eurozone</w:t>
      </w:r>
      <w:r w:rsidRPr="001C2139">
        <w:rPr>
          <w:rFonts w:ascii="Arial" w:hAnsi="Arial" w:cs="Arial"/>
          <w:sz w:val="20"/>
          <w:szCs w:val="20"/>
        </w:rPr>
        <w:t xml:space="preserve"> in </w:t>
      </w:r>
      <w:r w:rsidR="008F2C16" w:rsidRPr="008F2C16">
        <w:rPr>
          <w:rFonts w:ascii="Arial" w:hAnsi="Arial" w:cs="Arial"/>
          <w:b/>
          <w:sz w:val="20"/>
          <w:szCs w:val="20"/>
        </w:rPr>
        <w:t>December</w:t>
      </w:r>
      <w:r w:rsidRPr="001C2139">
        <w:rPr>
          <w:rFonts w:ascii="Arial" w:hAnsi="Arial" w:cs="Arial"/>
          <w:b/>
          <w:sz w:val="20"/>
          <w:szCs w:val="20"/>
        </w:rPr>
        <w:t xml:space="preserve"> 2013</w:t>
      </w:r>
      <w:r w:rsidRPr="001C2139">
        <w:rPr>
          <w:rFonts w:ascii="Arial" w:hAnsi="Arial" w:cs="Arial"/>
          <w:sz w:val="20"/>
          <w:szCs w:val="20"/>
        </w:rPr>
        <w:t xml:space="preserve"> </w:t>
      </w:r>
      <w:r w:rsidR="00277CA2">
        <w:rPr>
          <w:rFonts w:ascii="Arial" w:hAnsi="Arial" w:cs="Arial"/>
          <w:sz w:val="20"/>
          <w:szCs w:val="20"/>
        </w:rPr>
        <w:t>amounted to</w:t>
      </w:r>
      <w:r w:rsidRPr="001C2139">
        <w:rPr>
          <w:rFonts w:ascii="Arial" w:hAnsi="Arial" w:cs="Arial"/>
          <w:sz w:val="20"/>
          <w:szCs w:val="20"/>
        </w:rPr>
        <w:t xml:space="preserve"> </w:t>
      </w:r>
      <w:r w:rsidRPr="00390785">
        <w:rPr>
          <w:rFonts w:ascii="Arial" w:hAnsi="Arial" w:cs="Arial"/>
          <w:sz w:val="20"/>
          <w:szCs w:val="20"/>
        </w:rPr>
        <w:t>0.</w:t>
      </w:r>
      <w:r w:rsidR="00390785" w:rsidRPr="00390785">
        <w:rPr>
          <w:rFonts w:ascii="Arial" w:hAnsi="Arial" w:cs="Arial"/>
          <w:sz w:val="20"/>
          <w:szCs w:val="20"/>
        </w:rPr>
        <w:t>8</w:t>
      </w:r>
      <w:r w:rsidRPr="00390785">
        <w:rPr>
          <w:rFonts w:ascii="Arial" w:hAnsi="Arial" w:cs="Arial"/>
          <w:sz w:val="20"/>
          <w:szCs w:val="20"/>
        </w:rPr>
        <w:t>%,</w:t>
      </w:r>
      <w:r w:rsidRPr="001C2139">
        <w:rPr>
          <w:rFonts w:ascii="Arial" w:hAnsi="Arial" w:cs="Arial"/>
          <w:sz w:val="20"/>
          <w:szCs w:val="20"/>
        </w:rPr>
        <w:t xml:space="preserve"> y-o-y, as Eurostat announced (more information on the Eurostat’s web pages: </w:t>
      </w:r>
      <w:hyperlink r:id="rId8" w:history="1">
        <w:r w:rsidRPr="001C2139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1C2139">
        <w:rPr>
          <w:rFonts w:ascii="Arial" w:hAnsi="Arial" w:cs="Arial"/>
          <w:sz w:val="20"/>
          <w:szCs w:val="20"/>
        </w:rPr>
        <w:t>).</w:t>
      </w:r>
    </w:p>
    <w:p w:rsidR="00124AE0" w:rsidRDefault="00124AE0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Default="00124AE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C90347" w:rsidRDefault="00C90347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527D5" w:rsidRPr="001945C6" w:rsidRDefault="00BE67C6" w:rsidP="00C90347">
      <w:pPr>
        <w:pStyle w:val="Nadpis3"/>
        <w:spacing w:before="0" w:line="276" w:lineRule="auto"/>
        <w:jc w:val="both"/>
        <w:rPr>
          <w:b w:val="0"/>
          <w:lang w:val="en-GB"/>
        </w:rPr>
      </w:pPr>
      <w:r w:rsidRPr="001945C6">
        <w:rPr>
          <w:b w:val="0"/>
          <w:lang w:val="en-GB"/>
        </w:rPr>
        <w:t>Starting from January 2014, t</w:t>
      </w:r>
      <w:r w:rsidR="004527D5" w:rsidRPr="001945C6">
        <w:rPr>
          <w:b w:val="0"/>
          <w:lang w:val="en-GB"/>
        </w:rPr>
        <w:t xml:space="preserve">he consumer price indices </w:t>
      </w:r>
      <w:r w:rsidR="00E219E7">
        <w:rPr>
          <w:b w:val="0"/>
          <w:lang w:val="en-GB"/>
        </w:rPr>
        <w:t>will be</w:t>
      </w:r>
      <w:r w:rsidR="004527D5" w:rsidRPr="001945C6">
        <w:rPr>
          <w:b w:val="0"/>
          <w:lang w:val="en-GB"/>
        </w:rPr>
        <w:t xml:space="preserve"> calculated with </w:t>
      </w:r>
      <w:r w:rsidR="006019B9">
        <w:rPr>
          <w:b w:val="0"/>
          <w:lang w:val="en-GB"/>
        </w:rPr>
        <w:t>updated</w:t>
      </w:r>
      <w:r w:rsidR="004527D5" w:rsidRPr="001945C6">
        <w:rPr>
          <w:b w:val="0"/>
          <w:lang w:val="en-GB"/>
        </w:rPr>
        <w:t xml:space="preserve"> weights, which are derived from the household expenditures in 201</w:t>
      </w:r>
      <w:r w:rsidRPr="001945C6">
        <w:rPr>
          <w:b w:val="0"/>
          <w:lang w:val="en-GB"/>
        </w:rPr>
        <w:t xml:space="preserve">2. The </w:t>
      </w:r>
      <w:r w:rsidR="000757E4">
        <w:rPr>
          <w:b w:val="0"/>
          <w:lang w:val="en-GB"/>
        </w:rPr>
        <w:t xml:space="preserve">new </w:t>
      </w:r>
      <w:r w:rsidRPr="001945C6">
        <w:rPr>
          <w:b w:val="0"/>
          <w:lang w:val="en-GB"/>
        </w:rPr>
        <w:t xml:space="preserve">calculated indices </w:t>
      </w:r>
      <w:r w:rsidR="00E219E7"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chained at all levels of the consumer basket with the </w:t>
      </w:r>
      <w:r w:rsidR="006019B9">
        <w:rPr>
          <w:b w:val="0"/>
          <w:lang w:val="en-GB"/>
        </w:rPr>
        <w:t xml:space="preserve">original </w:t>
      </w:r>
      <w:r w:rsidRPr="001945C6">
        <w:rPr>
          <w:b w:val="0"/>
          <w:lang w:val="en-GB"/>
        </w:rPr>
        <w:t xml:space="preserve">base period 2005 = 100. Thereby, a continuation of the existing index time series 2005 = 100, from which indices to other bases </w:t>
      </w:r>
      <w:r w:rsidR="00E219E7">
        <w:rPr>
          <w:b w:val="0"/>
          <w:lang w:val="en-GB"/>
        </w:rPr>
        <w:t xml:space="preserve">will be </w:t>
      </w:r>
      <w:r w:rsidRPr="001945C6">
        <w:rPr>
          <w:b w:val="0"/>
          <w:lang w:val="en-GB"/>
        </w:rPr>
        <w:t>derived (previous moth = 100, corresponding period of last year = 100 and annual rolling average, i.e. the average of index numbers over the last 12 month</w:t>
      </w:r>
      <w:r w:rsidR="00DC6B41">
        <w:rPr>
          <w:b w:val="0"/>
          <w:lang w:val="en-GB"/>
        </w:rPr>
        <w:t>s</w:t>
      </w:r>
      <w:r w:rsidRPr="001945C6">
        <w:rPr>
          <w:b w:val="0"/>
          <w:lang w:val="en-GB"/>
        </w:rPr>
        <w:t xml:space="preserve"> to the average for the previous 12 months) </w:t>
      </w:r>
      <w:r w:rsidR="00E219E7">
        <w:rPr>
          <w:b w:val="0"/>
          <w:lang w:val="en-GB"/>
        </w:rPr>
        <w:t>will be</w:t>
      </w:r>
      <w:r w:rsidRPr="001945C6">
        <w:rPr>
          <w:b w:val="0"/>
          <w:lang w:val="en-GB"/>
        </w:rPr>
        <w:t xml:space="preserve"> ensured. </w:t>
      </w:r>
      <w:r w:rsidR="004527D5" w:rsidRPr="001945C6">
        <w:rPr>
          <w:b w:val="0"/>
          <w:lang w:val="en-GB"/>
        </w:rPr>
        <w:t xml:space="preserve"> </w:t>
      </w:r>
    </w:p>
    <w:p w:rsidR="004527D5" w:rsidRDefault="004527D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7CA2" w:rsidRDefault="00277C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7CA2" w:rsidRDefault="00277C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7CA2" w:rsidRDefault="00277C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7CA2" w:rsidRDefault="00277C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7CA2" w:rsidRDefault="00277C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amkytexty"/>
        <w:rPr>
          <w:lang w:val="en-GB"/>
        </w:rPr>
      </w:pPr>
      <w:r>
        <w:rPr>
          <w:lang w:val="en-GB"/>
        </w:rPr>
        <w:t>Notes:</w:t>
      </w:r>
    </w:p>
    <w:p w:rsidR="00B91595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A84390">
        <w:rPr>
          <w:rFonts w:ascii="Arial" w:hAnsi="Arial" w:cs="Arial"/>
          <w:i/>
          <w:sz w:val="18"/>
          <w:szCs w:val="18"/>
        </w:rPr>
        <w:t>Responsible manager of the CZSO:</w:t>
      </w:r>
      <w:r w:rsidRPr="00A84390">
        <w:rPr>
          <w:rFonts w:ascii="Arial" w:hAnsi="Arial" w:cs="Arial"/>
          <w:i/>
          <w:sz w:val="18"/>
          <w:szCs w:val="18"/>
        </w:rPr>
        <w:tab/>
      </w:r>
      <w:r w:rsidRPr="00A84390">
        <w:rPr>
          <w:rFonts w:ascii="Arial" w:hAnsi="Arial" w:cs="Arial"/>
          <w:i/>
          <w:sz w:val="18"/>
          <w:szCs w:val="18"/>
        </w:rPr>
        <w:tab/>
      </w:r>
      <w:r w:rsidRPr="00A84390">
        <w:rPr>
          <w:rFonts w:ascii="Arial" w:hAnsi="Arial" w:cs="Arial"/>
          <w:i/>
          <w:sz w:val="18"/>
          <w:szCs w:val="18"/>
        </w:rPr>
        <w:tab/>
        <w:t>Jiri Mrazek, Department Director</w:t>
      </w:r>
      <w:r>
        <w:rPr>
          <w:rFonts w:ascii="Arial" w:hAnsi="Arial" w:cs="Arial"/>
          <w:i/>
          <w:sz w:val="18"/>
          <w:szCs w:val="18"/>
        </w:rPr>
        <w:t>, email:</w:t>
      </w:r>
    </w:p>
    <w:p w:rsidR="00B91595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hyperlink r:id="rId9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Contact:</w:t>
      </w:r>
      <w:r>
        <w:rPr>
          <w:rFonts w:ascii="Arial" w:hAnsi="Arial" w:cs="Arial"/>
          <w:i/>
          <w:sz w:val="18"/>
          <w:szCs w:val="18"/>
        </w:rPr>
        <w:tab/>
        <w:t xml:space="preserve">Pavla Sediva, phone (+420) 274052138, email: </w:t>
      </w:r>
      <w:hyperlink r:id="rId10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Method of data collection:</w:t>
      </w:r>
      <w:r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43465C">
        <w:rPr>
          <w:rFonts w:ascii="Arial" w:hAnsi="Arial" w:cs="Arial"/>
          <w:i/>
          <w:sz w:val="18"/>
          <w:szCs w:val="18"/>
        </w:rPr>
        <w:t>End of data collection:</w:t>
      </w:r>
      <w:r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Related publications:</w:t>
      </w:r>
      <w:r>
        <w:rPr>
          <w:rFonts w:ascii="Arial" w:hAnsi="Arial" w:cs="Arial"/>
          <w:i/>
          <w:sz w:val="18"/>
          <w:szCs w:val="18"/>
        </w:rPr>
        <w:tab/>
        <w:t>7101-13 Consumer Price Indices – Basic Breakdown (periodicity: monthly) and 7103-13 Consumer Price Indices – Detailed Breakdown (periodicity: annually)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>
        <w:rPr>
          <w:rFonts w:ascii="Arial" w:hAnsi="Arial" w:cs="Arial"/>
          <w:i/>
          <w:sz w:val="18"/>
          <w:szCs w:val="18"/>
        </w:rPr>
        <w:tab/>
        <w:t>710344-13 Consumer Price Indices – Detailed Breakdown (periodicity: monthly)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hyperlink r:id="rId11" w:history="1">
        <w:r w:rsidRPr="00933B81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Next News Release:</w:t>
      </w:r>
      <w:r>
        <w:rPr>
          <w:rFonts w:ascii="Arial" w:hAnsi="Arial" w:cs="Arial"/>
          <w:i/>
          <w:sz w:val="18"/>
          <w:szCs w:val="18"/>
        </w:rPr>
        <w:tab/>
      </w:r>
      <w:r w:rsidR="008F2C16">
        <w:rPr>
          <w:rFonts w:ascii="Arial" w:hAnsi="Arial" w:cs="Arial"/>
          <w:i/>
          <w:sz w:val="18"/>
          <w:szCs w:val="18"/>
        </w:rPr>
        <w:t>12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F2C16">
        <w:rPr>
          <w:rFonts w:ascii="Arial" w:hAnsi="Arial" w:cs="Arial"/>
          <w:i/>
          <w:sz w:val="18"/>
          <w:szCs w:val="18"/>
        </w:rPr>
        <w:t>Febr</w:t>
      </w:r>
      <w:r w:rsidR="006B575D">
        <w:rPr>
          <w:rFonts w:ascii="Arial" w:hAnsi="Arial" w:cs="Arial"/>
          <w:i/>
          <w:sz w:val="18"/>
          <w:szCs w:val="18"/>
        </w:rPr>
        <w:t>uary</w:t>
      </w:r>
      <w:r>
        <w:rPr>
          <w:rFonts w:ascii="Arial" w:hAnsi="Arial" w:cs="Arial"/>
          <w:i/>
          <w:sz w:val="18"/>
          <w:szCs w:val="18"/>
        </w:rPr>
        <w:t xml:space="preserve"> 201</w:t>
      </w:r>
      <w:r w:rsidR="006B575D">
        <w:rPr>
          <w:rFonts w:ascii="Arial" w:hAnsi="Arial" w:cs="Arial"/>
          <w:i/>
          <w:sz w:val="18"/>
          <w:szCs w:val="18"/>
        </w:rPr>
        <w:t>4</w:t>
      </w:r>
    </w:p>
    <w:p w:rsidR="00B91595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6F7FB8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F7FB8">
        <w:rPr>
          <w:rFonts w:ascii="Arial" w:hAnsi="Arial" w:cs="Arial"/>
          <w:sz w:val="18"/>
          <w:szCs w:val="18"/>
        </w:rPr>
        <w:t>Annexes: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1 Consumer prices (indices, inflation rate)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2 Consumer prices (decomposition of increase – month-on-month, core inflation)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3 Consumer prices (decomposition of increases – month-on-month, year-on-year)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4 Consumer prices (social groups of households – indices, inflation rate)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Table 5 Consumer prices (analytical table, specific consumer price indices)</w:t>
      </w:r>
    </w:p>
    <w:p w:rsidR="00B91595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7C" w:rsidRDefault="0071297C" w:rsidP="00BA6370">
      <w:r>
        <w:separator/>
      </w:r>
    </w:p>
  </w:endnote>
  <w:endnote w:type="continuationSeparator" w:id="0">
    <w:p w:rsidR="0071297C" w:rsidRDefault="0071297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71D6C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71D6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71D6C" w:rsidRPr="007E75DE">
                  <w:rPr>
                    <w:rFonts w:cs="Arial"/>
                    <w:szCs w:val="15"/>
                  </w:rPr>
                  <w:fldChar w:fldCharType="separate"/>
                </w:r>
                <w:r w:rsidR="0071297C">
                  <w:rPr>
                    <w:rFonts w:cs="Arial"/>
                    <w:noProof/>
                    <w:szCs w:val="15"/>
                  </w:rPr>
                  <w:t>1</w:t>
                </w:r>
                <w:r w:rsidR="00E71D6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71D6C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7C" w:rsidRDefault="0071297C" w:rsidP="00BA6370">
      <w:r>
        <w:separator/>
      </w:r>
    </w:p>
  </w:footnote>
  <w:footnote w:type="continuationSeparator" w:id="0">
    <w:p w:rsidR="0071297C" w:rsidRDefault="0071297C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71D6C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440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44C0"/>
    <w:rsid w:val="00043BF4"/>
    <w:rsid w:val="0005013C"/>
    <w:rsid w:val="00050F1C"/>
    <w:rsid w:val="0006745E"/>
    <w:rsid w:val="000757E4"/>
    <w:rsid w:val="00082926"/>
    <w:rsid w:val="00083415"/>
    <w:rsid w:val="000843A5"/>
    <w:rsid w:val="00091722"/>
    <w:rsid w:val="000A145C"/>
    <w:rsid w:val="000A377E"/>
    <w:rsid w:val="000B6F63"/>
    <w:rsid w:val="000E2860"/>
    <w:rsid w:val="00116ED1"/>
    <w:rsid w:val="00124AE0"/>
    <w:rsid w:val="0013242C"/>
    <w:rsid w:val="001404AB"/>
    <w:rsid w:val="00153FEE"/>
    <w:rsid w:val="00161D7C"/>
    <w:rsid w:val="0017231D"/>
    <w:rsid w:val="00172F24"/>
    <w:rsid w:val="00174279"/>
    <w:rsid w:val="00176E26"/>
    <w:rsid w:val="0018061F"/>
    <w:rsid w:val="001810DC"/>
    <w:rsid w:val="00183CD8"/>
    <w:rsid w:val="001945C6"/>
    <w:rsid w:val="001977AA"/>
    <w:rsid w:val="001A550E"/>
    <w:rsid w:val="001B607F"/>
    <w:rsid w:val="001C71FD"/>
    <w:rsid w:val="001D369A"/>
    <w:rsid w:val="001F08B3"/>
    <w:rsid w:val="002070FB"/>
    <w:rsid w:val="00213729"/>
    <w:rsid w:val="002406FA"/>
    <w:rsid w:val="002577B5"/>
    <w:rsid w:val="00277CA2"/>
    <w:rsid w:val="002B2E47"/>
    <w:rsid w:val="002B5268"/>
    <w:rsid w:val="002D37F5"/>
    <w:rsid w:val="002F11E0"/>
    <w:rsid w:val="00311A44"/>
    <w:rsid w:val="0031723B"/>
    <w:rsid w:val="0032398D"/>
    <w:rsid w:val="003301A3"/>
    <w:rsid w:val="003326CA"/>
    <w:rsid w:val="00352815"/>
    <w:rsid w:val="0036777B"/>
    <w:rsid w:val="00380178"/>
    <w:rsid w:val="00382096"/>
    <w:rsid w:val="0038282A"/>
    <w:rsid w:val="00390785"/>
    <w:rsid w:val="00397580"/>
    <w:rsid w:val="003A45C8"/>
    <w:rsid w:val="003B0CF1"/>
    <w:rsid w:val="003B40D4"/>
    <w:rsid w:val="003C131D"/>
    <w:rsid w:val="003C2DCF"/>
    <w:rsid w:val="003C3372"/>
    <w:rsid w:val="003C7FE7"/>
    <w:rsid w:val="003D0499"/>
    <w:rsid w:val="003D3576"/>
    <w:rsid w:val="003F526A"/>
    <w:rsid w:val="004000EB"/>
    <w:rsid w:val="004033FF"/>
    <w:rsid w:val="00405244"/>
    <w:rsid w:val="004264C5"/>
    <w:rsid w:val="00436D82"/>
    <w:rsid w:val="004436EE"/>
    <w:rsid w:val="00446572"/>
    <w:rsid w:val="00447FD6"/>
    <w:rsid w:val="004527D5"/>
    <w:rsid w:val="0045547F"/>
    <w:rsid w:val="00474A7D"/>
    <w:rsid w:val="004920AD"/>
    <w:rsid w:val="004943A9"/>
    <w:rsid w:val="004B6D7C"/>
    <w:rsid w:val="004D05B3"/>
    <w:rsid w:val="004E479E"/>
    <w:rsid w:val="004F56AC"/>
    <w:rsid w:val="004F78E6"/>
    <w:rsid w:val="005024A0"/>
    <w:rsid w:val="00512D99"/>
    <w:rsid w:val="00531DBB"/>
    <w:rsid w:val="00533E94"/>
    <w:rsid w:val="005501C3"/>
    <w:rsid w:val="005551E6"/>
    <w:rsid w:val="00564213"/>
    <w:rsid w:val="00567384"/>
    <w:rsid w:val="00575EBB"/>
    <w:rsid w:val="00587D51"/>
    <w:rsid w:val="005F03B8"/>
    <w:rsid w:val="005F1386"/>
    <w:rsid w:val="005F79FB"/>
    <w:rsid w:val="00601447"/>
    <w:rsid w:val="006019B9"/>
    <w:rsid w:val="00604406"/>
    <w:rsid w:val="00605F4A"/>
    <w:rsid w:val="00607398"/>
    <w:rsid w:val="00607822"/>
    <w:rsid w:val="006103AA"/>
    <w:rsid w:val="00613BBF"/>
    <w:rsid w:val="00622B80"/>
    <w:rsid w:val="00626B89"/>
    <w:rsid w:val="0064139A"/>
    <w:rsid w:val="00656A59"/>
    <w:rsid w:val="0068268A"/>
    <w:rsid w:val="006B575D"/>
    <w:rsid w:val="006C38BB"/>
    <w:rsid w:val="006D3D2B"/>
    <w:rsid w:val="006D5C60"/>
    <w:rsid w:val="006E024F"/>
    <w:rsid w:val="006E4E81"/>
    <w:rsid w:val="006F4E0E"/>
    <w:rsid w:val="006F642A"/>
    <w:rsid w:val="00707F7D"/>
    <w:rsid w:val="0071297C"/>
    <w:rsid w:val="00717EC5"/>
    <w:rsid w:val="00723BE7"/>
    <w:rsid w:val="00733438"/>
    <w:rsid w:val="0075256E"/>
    <w:rsid w:val="00755D8B"/>
    <w:rsid w:val="00763787"/>
    <w:rsid w:val="0079511B"/>
    <w:rsid w:val="007A0CA5"/>
    <w:rsid w:val="007A57F2"/>
    <w:rsid w:val="007A745B"/>
    <w:rsid w:val="007B1333"/>
    <w:rsid w:val="007B682F"/>
    <w:rsid w:val="007C7799"/>
    <w:rsid w:val="007F4AEB"/>
    <w:rsid w:val="007F75B2"/>
    <w:rsid w:val="008043C4"/>
    <w:rsid w:val="00823AE0"/>
    <w:rsid w:val="00831B1B"/>
    <w:rsid w:val="00834B2C"/>
    <w:rsid w:val="008471FD"/>
    <w:rsid w:val="008500CD"/>
    <w:rsid w:val="00854D00"/>
    <w:rsid w:val="00855FB3"/>
    <w:rsid w:val="008577A2"/>
    <w:rsid w:val="00861D0E"/>
    <w:rsid w:val="00863C7F"/>
    <w:rsid w:val="00867569"/>
    <w:rsid w:val="00867B12"/>
    <w:rsid w:val="00872A58"/>
    <w:rsid w:val="00876FC4"/>
    <w:rsid w:val="00883033"/>
    <w:rsid w:val="00885C0D"/>
    <w:rsid w:val="008A750A"/>
    <w:rsid w:val="008B1E9E"/>
    <w:rsid w:val="008B3970"/>
    <w:rsid w:val="008C384C"/>
    <w:rsid w:val="008D0F11"/>
    <w:rsid w:val="008D417B"/>
    <w:rsid w:val="008E39BD"/>
    <w:rsid w:val="008F2C16"/>
    <w:rsid w:val="008F73B4"/>
    <w:rsid w:val="009035E8"/>
    <w:rsid w:val="00910E26"/>
    <w:rsid w:val="00922A2E"/>
    <w:rsid w:val="009413EF"/>
    <w:rsid w:val="00971374"/>
    <w:rsid w:val="009B225F"/>
    <w:rsid w:val="009B55B1"/>
    <w:rsid w:val="009E0A20"/>
    <w:rsid w:val="009E39C5"/>
    <w:rsid w:val="009F37DD"/>
    <w:rsid w:val="009F6AC3"/>
    <w:rsid w:val="00A36F55"/>
    <w:rsid w:val="00A4343D"/>
    <w:rsid w:val="00A47489"/>
    <w:rsid w:val="00A502F1"/>
    <w:rsid w:val="00A6296D"/>
    <w:rsid w:val="00A64863"/>
    <w:rsid w:val="00A70A83"/>
    <w:rsid w:val="00A81EB3"/>
    <w:rsid w:val="00A878D9"/>
    <w:rsid w:val="00AA2D6F"/>
    <w:rsid w:val="00B00C1D"/>
    <w:rsid w:val="00B304CE"/>
    <w:rsid w:val="00B632CC"/>
    <w:rsid w:val="00B75255"/>
    <w:rsid w:val="00B8608C"/>
    <w:rsid w:val="00B91595"/>
    <w:rsid w:val="00BA12F1"/>
    <w:rsid w:val="00BA439F"/>
    <w:rsid w:val="00BA6370"/>
    <w:rsid w:val="00BE24FA"/>
    <w:rsid w:val="00BE67C6"/>
    <w:rsid w:val="00BE770B"/>
    <w:rsid w:val="00C14F40"/>
    <w:rsid w:val="00C15DD6"/>
    <w:rsid w:val="00C269D4"/>
    <w:rsid w:val="00C374F8"/>
    <w:rsid w:val="00C377E7"/>
    <w:rsid w:val="00C4160D"/>
    <w:rsid w:val="00C52E16"/>
    <w:rsid w:val="00C56CB3"/>
    <w:rsid w:val="00C60276"/>
    <w:rsid w:val="00C63FF7"/>
    <w:rsid w:val="00C771C8"/>
    <w:rsid w:val="00C8406E"/>
    <w:rsid w:val="00C90347"/>
    <w:rsid w:val="00C92A17"/>
    <w:rsid w:val="00CA1198"/>
    <w:rsid w:val="00CB2709"/>
    <w:rsid w:val="00CB6991"/>
    <w:rsid w:val="00CB6F89"/>
    <w:rsid w:val="00CE0666"/>
    <w:rsid w:val="00CE228C"/>
    <w:rsid w:val="00CE41EC"/>
    <w:rsid w:val="00CE71D9"/>
    <w:rsid w:val="00CF545B"/>
    <w:rsid w:val="00D04327"/>
    <w:rsid w:val="00D209A7"/>
    <w:rsid w:val="00D27B43"/>
    <w:rsid w:val="00D27D69"/>
    <w:rsid w:val="00D448C2"/>
    <w:rsid w:val="00D666C3"/>
    <w:rsid w:val="00D7308B"/>
    <w:rsid w:val="00D76FB5"/>
    <w:rsid w:val="00D811AB"/>
    <w:rsid w:val="00D902F2"/>
    <w:rsid w:val="00DC30D9"/>
    <w:rsid w:val="00DC4BFA"/>
    <w:rsid w:val="00DC6B41"/>
    <w:rsid w:val="00DD355B"/>
    <w:rsid w:val="00DF47FE"/>
    <w:rsid w:val="00E0156A"/>
    <w:rsid w:val="00E219E7"/>
    <w:rsid w:val="00E26704"/>
    <w:rsid w:val="00E31980"/>
    <w:rsid w:val="00E45366"/>
    <w:rsid w:val="00E47CF4"/>
    <w:rsid w:val="00E6423C"/>
    <w:rsid w:val="00E71483"/>
    <w:rsid w:val="00E71D6C"/>
    <w:rsid w:val="00E93830"/>
    <w:rsid w:val="00E93E0E"/>
    <w:rsid w:val="00EB1A25"/>
    <w:rsid w:val="00EB1ED3"/>
    <w:rsid w:val="00EB6DB4"/>
    <w:rsid w:val="00EC478E"/>
    <w:rsid w:val="00ED4B40"/>
    <w:rsid w:val="00EE70B7"/>
    <w:rsid w:val="00F073FB"/>
    <w:rsid w:val="00F116A1"/>
    <w:rsid w:val="00F25107"/>
    <w:rsid w:val="00F314B7"/>
    <w:rsid w:val="00F3377C"/>
    <w:rsid w:val="00F35E9C"/>
    <w:rsid w:val="00F65129"/>
    <w:rsid w:val="00F66431"/>
    <w:rsid w:val="00F66AF2"/>
    <w:rsid w:val="00F66E58"/>
    <w:rsid w:val="00F67629"/>
    <w:rsid w:val="00F83C49"/>
    <w:rsid w:val="00F97B87"/>
    <w:rsid w:val="00FA7FB5"/>
    <w:rsid w:val="00FB3062"/>
    <w:rsid w:val="00FB3CB1"/>
    <w:rsid w:val="00FB687C"/>
    <w:rsid w:val="00FC788E"/>
    <w:rsid w:val="00FC7FF8"/>
    <w:rsid w:val="00FE114D"/>
    <w:rsid w:val="00FE1ADB"/>
    <w:rsid w:val="00FE3D5D"/>
    <w:rsid w:val="00FF6F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zso.cz/eng/edicniplan.nsf/aktual/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3\12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5503-4A59-4840-AFE1-39C07ED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863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9 January 2014</vt:lpstr>
      <vt:lpstr>Average inflation rate amounted to 1.4% in 2013 </vt:lpstr>
      <vt:lpstr>Consumer price indices – December 2013 </vt:lpstr>
      <vt:lpstr>        Starting from January 2014, the consumer price indices will be calculated with u</vt:lpstr>
    </vt:vector>
  </TitlesOfParts>
  <Company/>
  <LinksUpToDate>false</LinksUpToDate>
  <CharactersWithSpaces>6852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riha7171</cp:lastModifiedBy>
  <cp:revision>71</cp:revision>
  <cp:lastPrinted>2014-01-03T14:30:00Z</cp:lastPrinted>
  <dcterms:created xsi:type="dcterms:W3CDTF">2013-12-04T12:59:00Z</dcterms:created>
  <dcterms:modified xsi:type="dcterms:W3CDTF">2014-01-08T06:50:00Z</dcterms:modified>
</cp:coreProperties>
</file>