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4F" w:rsidRDefault="0008794F" w:rsidP="00174FFB"/>
    <w:p w:rsidR="0008794F" w:rsidRPr="004444CA" w:rsidRDefault="0008794F" w:rsidP="00AC6A22">
      <w:pPr>
        <w:numPr>
          <w:ilvl w:val="0"/>
          <w:numId w:val="26"/>
        </w:numPr>
        <w:spacing w:line="240" w:lineRule="auto"/>
        <w:jc w:val="both"/>
        <w:rPr>
          <w:rFonts w:cs="Arial"/>
          <w:b/>
          <w:sz w:val="32"/>
          <w:szCs w:val="32"/>
        </w:rPr>
      </w:pPr>
      <w:r w:rsidRPr="004444CA">
        <w:rPr>
          <w:rFonts w:cs="Arial"/>
          <w:b/>
          <w:sz w:val="32"/>
          <w:szCs w:val="32"/>
        </w:rPr>
        <w:t>Shrnutí</w:t>
      </w:r>
    </w:p>
    <w:p w:rsidR="0008794F" w:rsidRDefault="0008794F" w:rsidP="00AC6A22">
      <w:pPr>
        <w:spacing w:line="240" w:lineRule="auto"/>
        <w:ind w:left="720"/>
        <w:jc w:val="both"/>
        <w:rPr>
          <w:rFonts w:cs="Arial"/>
          <w:szCs w:val="20"/>
        </w:rPr>
      </w:pPr>
    </w:p>
    <w:p w:rsidR="0008794F" w:rsidRPr="00FC35B9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pacing w:val="-2"/>
          <w:szCs w:val="20"/>
        </w:rPr>
      </w:pPr>
      <w:r w:rsidRPr="00FC35B9">
        <w:rPr>
          <w:rFonts w:cs="Arial"/>
          <w:spacing w:val="-2"/>
          <w:szCs w:val="20"/>
        </w:rPr>
        <w:t>Kromě společných rysů</w:t>
      </w:r>
      <w:r w:rsidR="005F03D8">
        <w:rPr>
          <w:rFonts w:cs="Arial"/>
          <w:spacing w:val="-2"/>
          <w:szCs w:val="20"/>
        </w:rPr>
        <w:t>,</w:t>
      </w:r>
      <w:r w:rsidRPr="00FC35B9">
        <w:rPr>
          <w:rFonts w:cs="Arial"/>
          <w:spacing w:val="-2"/>
          <w:szCs w:val="20"/>
        </w:rPr>
        <w:t xml:space="preserve"> jako je silná obchodní a kapitálová vazba na ekonomiku Německa, mentální a </w:t>
      </w:r>
      <w:proofErr w:type="spellStart"/>
      <w:r w:rsidRPr="00FC35B9">
        <w:rPr>
          <w:rFonts w:cs="Arial"/>
          <w:spacing w:val="-2"/>
          <w:szCs w:val="20"/>
        </w:rPr>
        <w:t>socio</w:t>
      </w:r>
      <w:proofErr w:type="spellEnd"/>
      <w:r w:rsidRPr="00FC35B9">
        <w:rPr>
          <w:rFonts w:cs="Arial"/>
          <w:spacing w:val="-2"/>
          <w:szCs w:val="20"/>
        </w:rPr>
        <w:t xml:space="preserve">-ekonomická příbuznost, teritoriální blízkost a nepříliš velký rozdíl ve velikosti ekonomik a jejich růstových struktur, charakterizují Českou republiku, Slovensko a Rakousko přirozeně i vzájemné rozdíly. Tím zřejmě největším je historicky vzniklá disproporce </w:t>
      </w:r>
      <w:r w:rsidR="005F03D8">
        <w:rPr>
          <w:rFonts w:cs="Arial"/>
          <w:spacing w:val="-2"/>
          <w:szCs w:val="20"/>
        </w:rPr>
        <w:t>(</w:t>
      </w:r>
      <w:r w:rsidRPr="00FC35B9">
        <w:rPr>
          <w:rFonts w:cs="Arial"/>
          <w:spacing w:val="-2"/>
          <w:szCs w:val="20"/>
        </w:rPr>
        <w:t>ČR a SR oproti Rakousku</w:t>
      </w:r>
      <w:r w:rsidR="005F03D8">
        <w:rPr>
          <w:rFonts w:cs="Arial"/>
          <w:spacing w:val="-2"/>
          <w:szCs w:val="20"/>
        </w:rPr>
        <w:t>)</w:t>
      </w:r>
      <w:r w:rsidRPr="00FC35B9">
        <w:rPr>
          <w:rFonts w:cs="Arial"/>
          <w:spacing w:val="-2"/>
          <w:szCs w:val="20"/>
        </w:rPr>
        <w:t xml:space="preserve"> ve stupni ekonomické vyspělosti měřen</w:t>
      </w:r>
      <w:r w:rsidR="0021492B">
        <w:rPr>
          <w:rFonts w:cs="Arial"/>
          <w:spacing w:val="-2"/>
          <w:szCs w:val="20"/>
        </w:rPr>
        <w:t>é</w:t>
      </w:r>
      <w:r w:rsidRPr="00FC35B9">
        <w:rPr>
          <w:rFonts w:cs="Arial"/>
          <w:spacing w:val="-2"/>
          <w:szCs w:val="20"/>
        </w:rPr>
        <w:t xml:space="preserve"> obvykle ukazatelem </w:t>
      </w:r>
      <w:r w:rsidR="005F03D8">
        <w:rPr>
          <w:rFonts w:cs="Arial"/>
          <w:spacing w:val="-2"/>
          <w:szCs w:val="20"/>
        </w:rPr>
        <w:t>ekonomické vyspělosti</w:t>
      </w:r>
      <w:r w:rsidRPr="00FC35B9">
        <w:rPr>
          <w:rFonts w:cs="Arial"/>
          <w:spacing w:val="-2"/>
          <w:szCs w:val="20"/>
        </w:rPr>
        <w:t xml:space="preserve">, tj. pomocí HDP na obyvatele v paritě kupní síly a ukazateli materiální kvality života. I když ekonomiky ČR a zejména Slovenska učinily v posledních dvou dekádách významný pokrok směrem k redukci tohoto rozdílu oproti Rakousku i celé EU, bylo to za pomoci mimořádných vlivů a nižší výchozí báze, která tento progres uspíšila. Je otázka, do jaké míry jsou tyto růstové potenciály již využity a s jakou invencí, silou a možnostmi financování se objeví potenciál nový. </w:t>
      </w:r>
    </w:p>
    <w:p w:rsidR="0008794F" w:rsidRPr="00902C13" w:rsidRDefault="0008794F" w:rsidP="00AC6A22">
      <w:pPr>
        <w:tabs>
          <w:tab w:val="num" w:pos="284"/>
        </w:tabs>
        <w:spacing w:line="240" w:lineRule="auto"/>
        <w:ind w:left="284"/>
        <w:jc w:val="both"/>
        <w:rPr>
          <w:rFonts w:cs="Arial"/>
          <w:sz w:val="12"/>
          <w:szCs w:val="12"/>
        </w:rPr>
      </w:pPr>
      <w:r>
        <w:rPr>
          <w:rFonts w:cs="Arial"/>
          <w:szCs w:val="20"/>
        </w:rPr>
        <w:t xml:space="preserve">  </w:t>
      </w:r>
    </w:p>
    <w:p w:rsidR="0008794F" w:rsidRPr="00B71161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pacing w:val="-6"/>
          <w:szCs w:val="20"/>
        </w:rPr>
      </w:pPr>
      <w:r w:rsidRPr="00B71161">
        <w:rPr>
          <w:rFonts w:cs="Arial"/>
          <w:spacing w:val="-6"/>
          <w:szCs w:val="20"/>
        </w:rPr>
        <w:t xml:space="preserve">Ekonomiky ČR, SR a Rakouska jsou z evropského pohledu “malé“. V roce 2014 představovaly v úhrnu jen 4,6 % HDP EU 28 vyjádřeného v paritě kupní síly (PPS) - ČR 1,7 %, SR 0,8 % a Rakousko 2,1 %. I tak jim patří místo ve druhé třetině žebříčku zemí Unie, což je dáno vahou největších ekonomik (pětinový podíl Německa a dalších čtyř velkých zemí daly v roce 2014 v úhrnu přes dvě třetiny unijního HDP). Podíly Rakouska a ČR se příliš nemění, </w:t>
      </w:r>
      <w:r w:rsidR="00AA534F">
        <w:rPr>
          <w:rFonts w:cs="Arial"/>
          <w:spacing w:val="-6"/>
          <w:szCs w:val="20"/>
        </w:rPr>
        <w:t>podíl</w:t>
      </w:r>
      <w:r w:rsidRPr="00B71161">
        <w:rPr>
          <w:rFonts w:cs="Arial"/>
          <w:spacing w:val="-6"/>
          <w:szCs w:val="20"/>
        </w:rPr>
        <w:t xml:space="preserve"> SR stoupl od roku 2005 o čtvrtinu.</w:t>
      </w:r>
    </w:p>
    <w:p w:rsidR="0008794F" w:rsidRPr="001C44D4" w:rsidRDefault="0008794F" w:rsidP="00AC6A22">
      <w:pPr>
        <w:tabs>
          <w:tab w:val="num" w:pos="284"/>
        </w:tabs>
        <w:spacing w:line="240" w:lineRule="auto"/>
        <w:ind w:left="284"/>
        <w:jc w:val="both"/>
        <w:rPr>
          <w:rFonts w:cs="Arial"/>
          <w:sz w:val="12"/>
          <w:szCs w:val="12"/>
        </w:rPr>
      </w:pPr>
    </w:p>
    <w:p w:rsidR="0008794F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zCs w:val="20"/>
        </w:rPr>
      </w:pPr>
      <w:r w:rsidRPr="00A305BD">
        <w:rPr>
          <w:rFonts w:cs="Arial"/>
          <w:szCs w:val="20"/>
        </w:rPr>
        <w:t xml:space="preserve">Vyšší výkonnost ekonomiky Rakouska dokládá i fakt, že její podíl na unijním HDP v PPS je vyšší </w:t>
      </w:r>
      <w:r>
        <w:rPr>
          <w:rFonts w:cs="Arial"/>
          <w:szCs w:val="20"/>
        </w:rPr>
        <w:t>ve</w:t>
      </w:r>
      <w:r w:rsidR="005F03D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srovnání</w:t>
      </w:r>
      <w:r w:rsidRPr="00A305BD">
        <w:rPr>
          <w:rFonts w:cs="Arial"/>
          <w:szCs w:val="20"/>
        </w:rPr>
        <w:t xml:space="preserve"> podílu rakouského obyvatelstva na počtu obyvatel EU 28. Pro ČR a SR platí opak.</w:t>
      </w:r>
    </w:p>
    <w:p w:rsidR="0008794F" w:rsidRPr="001C44D4" w:rsidRDefault="0008794F" w:rsidP="00AC6A22">
      <w:pPr>
        <w:tabs>
          <w:tab w:val="num" w:pos="284"/>
        </w:tabs>
        <w:spacing w:line="240" w:lineRule="auto"/>
        <w:ind w:left="284"/>
        <w:jc w:val="both"/>
        <w:rPr>
          <w:rFonts w:cs="Arial"/>
          <w:sz w:val="12"/>
          <w:szCs w:val="12"/>
        </w:rPr>
      </w:pPr>
    </w:p>
    <w:p w:rsidR="0008794F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zCs w:val="20"/>
        </w:rPr>
      </w:pPr>
      <w:r w:rsidRPr="00A305BD">
        <w:rPr>
          <w:rFonts w:cs="Arial"/>
          <w:szCs w:val="20"/>
        </w:rPr>
        <w:t xml:space="preserve">Rakousko bylo v první polovině 90. let podle HDP na obyvatele v paritě kupní síly </w:t>
      </w:r>
      <w:r>
        <w:rPr>
          <w:rFonts w:cs="Arial"/>
          <w:szCs w:val="20"/>
        </w:rPr>
        <w:t>(PPS) nej</w:t>
      </w:r>
      <w:r w:rsidR="005F03D8">
        <w:rPr>
          <w:rFonts w:cs="Arial"/>
          <w:szCs w:val="20"/>
        </w:rPr>
        <w:t>vyspělejší</w:t>
      </w:r>
      <w:r>
        <w:rPr>
          <w:rFonts w:cs="Arial"/>
          <w:szCs w:val="20"/>
        </w:rPr>
        <w:t xml:space="preserve"> zemí EU. </w:t>
      </w:r>
      <w:r w:rsidRPr="00A305BD">
        <w:rPr>
          <w:rFonts w:cs="Arial"/>
          <w:szCs w:val="20"/>
        </w:rPr>
        <w:t>Č</w:t>
      </w:r>
      <w:r>
        <w:rPr>
          <w:rFonts w:cs="Arial"/>
          <w:szCs w:val="20"/>
        </w:rPr>
        <w:t>R</w:t>
      </w:r>
      <w:r w:rsidRPr="00A305BD">
        <w:rPr>
          <w:rFonts w:cs="Arial"/>
          <w:szCs w:val="20"/>
        </w:rPr>
        <w:t xml:space="preserve"> a Slovensko, nejprve jako součást federace a od roku 1993 jako dva samostatné státy, procházely naopak v té době zatěžkávací zkouškou přechodu k tržnímu charakteru svých ekonomik. </w:t>
      </w:r>
      <w:r>
        <w:rPr>
          <w:rFonts w:cs="Arial"/>
          <w:szCs w:val="20"/>
        </w:rPr>
        <w:t>Ta byla tehdy p</w:t>
      </w:r>
      <w:r w:rsidRPr="00A305BD">
        <w:rPr>
          <w:rFonts w:cs="Arial"/>
          <w:szCs w:val="20"/>
        </w:rPr>
        <w:t xml:space="preserve">odstatně </w:t>
      </w:r>
      <w:r>
        <w:rPr>
          <w:rFonts w:cs="Arial"/>
          <w:szCs w:val="20"/>
        </w:rPr>
        <w:t xml:space="preserve">tvrdší pro </w:t>
      </w:r>
      <w:r w:rsidRPr="00A305BD">
        <w:rPr>
          <w:rFonts w:cs="Arial"/>
          <w:szCs w:val="20"/>
        </w:rPr>
        <w:t>ekonomik</w:t>
      </w:r>
      <w:r>
        <w:rPr>
          <w:rFonts w:cs="Arial"/>
          <w:szCs w:val="20"/>
        </w:rPr>
        <w:t>u</w:t>
      </w:r>
      <w:r w:rsidRPr="00A305BD">
        <w:rPr>
          <w:rFonts w:cs="Arial"/>
          <w:szCs w:val="20"/>
        </w:rPr>
        <w:t xml:space="preserve"> Slovenské republiky</w:t>
      </w:r>
      <w:r>
        <w:rPr>
          <w:rFonts w:cs="Arial"/>
          <w:szCs w:val="20"/>
        </w:rPr>
        <w:t>.</w:t>
      </w:r>
    </w:p>
    <w:p w:rsidR="0008794F" w:rsidRPr="001C44D4" w:rsidRDefault="0008794F" w:rsidP="00AC6A22">
      <w:pPr>
        <w:tabs>
          <w:tab w:val="num" w:pos="284"/>
        </w:tabs>
        <w:spacing w:line="240" w:lineRule="auto"/>
        <w:ind w:left="284"/>
        <w:jc w:val="both"/>
        <w:rPr>
          <w:rFonts w:cs="Arial"/>
          <w:sz w:val="12"/>
          <w:szCs w:val="12"/>
        </w:rPr>
      </w:pPr>
    </w:p>
    <w:p w:rsidR="0008794F" w:rsidRPr="00AE1E4A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pacing w:val="-6"/>
          <w:szCs w:val="20"/>
        </w:rPr>
      </w:pPr>
      <w:r w:rsidRPr="00AE1E4A">
        <w:rPr>
          <w:rFonts w:cs="Arial"/>
          <w:spacing w:val="-6"/>
          <w:szCs w:val="20"/>
        </w:rPr>
        <w:t>Transformační pokles byl v letech existence společného státu (1990-1992) významně hlubší na Slovensku než v ČR s meziroční</w:t>
      </w:r>
      <w:r>
        <w:rPr>
          <w:rFonts w:cs="Arial"/>
          <w:spacing w:val="-6"/>
          <w:szCs w:val="20"/>
        </w:rPr>
        <w:t>m</w:t>
      </w:r>
      <w:r w:rsidRPr="00AE1E4A">
        <w:rPr>
          <w:rFonts w:cs="Arial"/>
          <w:spacing w:val="-6"/>
          <w:szCs w:val="20"/>
        </w:rPr>
        <w:t xml:space="preserve"> propadem HDP v reálném vyjádření o 17,5 % v roce 1991. Za oba roky </w:t>
      </w:r>
      <w:smartTag w:uri="urn:schemas-microsoft-com:office:smarttags" w:element="metricconverter">
        <w:smartTagPr>
          <w:attr w:name="ProductID" w:val="1991 a"/>
        </w:smartTagPr>
        <w:r w:rsidRPr="00AE1E4A">
          <w:rPr>
            <w:rFonts w:cs="Arial"/>
            <w:spacing w:val="-6"/>
            <w:szCs w:val="20"/>
          </w:rPr>
          <w:t>1991 a</w:t>
        </w:r>
      </w:smartTag>
      <w:r w:rsidRPr="00AE1E4A">
        <w:rPr>
          <w:rFonts w:cs="Arial"/>
          <w:spacing w:val="-6"/>
          <w:szCs w:val="20"/>
        </w:rPr>
        <w:t xml:space="preserve"> 1992 se výkonnost ekonomiky SR snížila o téměř čtvrtinu (-22,3 %). </w:t>
      </w:r>
      <w:r w:rsidRPr="00AE1E4A">
        <w:rPr>
          <w:rFonts w:cs="Arial"/>
          <w:color w:val="000000"/>
          <w:spacing w:val="-6"/>
          <w:szCs w:val="20"/>
        </w:rPr>
        <w:t xml:space="preserve">V České republice klesl HDP v roce 1991 o desetinu, v roce 1992 o další 2 %, ale obnovil se již meziroční růst většiny výdajových položek. Pokračovalo jen snižování dovozů a zásob indikující zatím velmi křehkou </w:t>
      </w:r>
      <w:r>
        <w:rPr>
          <w:rFonts w:cs="Arial"/>
          <w:color w:val="000000"/>
          <w:spacing w:val="-6"/>
          <w:szCs w:val="20"/>
        </w:rPr>
        <w:t xml:space="preserve">domácí </w:t>
      </w:r>
      <w:r w:rsidRPr="00AE1E4A">
        <w:rPr>
          <w:rFonts w:cs="Arial"/>
          <w:color w:val="000000"/>
          <w:spacing w:val="-6"/>
          <w:szCs w:val="20"/>
        </w:rPr>
        <w:t xml:space="preserve">poptávku. </w:t>
      </w:r>
    </w:p>
    <w:p w:rsidR="0008794F" w:rsidRPr="00B71161" w:rsidRDefault="0008794F" w:rsidP="00AC6A22">
      <w:pPr>
        <w:tabs>
          <w:tab w:val="num" w:pos="284"/>
        </w:tabs>
        <w:spacing w:line="240" w:lineRule="auto"/>
        <w:ind w:left="284"/>
        <w:jc w:val="both"/>
        <w:rPr>
          <w:rFonts w:cs="Arial"/>
          <w:color w:val="000000"/>
          <w:spacing w:val="-6"/>
          <w:sz w:val="12"/>
          <w:szCs w:val="12"/>
        </w:rPr>
      </w:pPr>
    </w:p>
    <w:p w:rsidR="0008794F" w:rsidRPr="00A305BD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zCs w:val="20"/>
        </w:rPr>
      </w:pPr>
      <w:r w:rsidRPr="00A305BD">
        <w:rPr>
          <w:rFonts w:cs="Arial"/>
          <w:color w:val="000000"/>
          <w:spacing w:val="-6"/>
          <w:szCs w:val="20"/>
        </w:rPr>
        <w:t>„</w:t>
      </w:r>
      <w:r w:rsidR="00723F20">
        <w:rPr>
          <w:rFonts w:cs="Arial"/>
          <w:color w:val="000000"/>
          <w:spacing w:val="-6"/>
          <w:szCs w:val="20"/>
        </w:rPr>
        <w:t>Š</w:t>
      </w:r>
      <w:r w:rsidRPr="00A305BD">
        <w:rPr>
          <w:rFonts w:cs="Arial"/>
          <w:color w:val="000000"/>
          <w:spacing w:val="-6"/>
          <w:szCs w:val="20"/>
        </w:rPr>
        <w:t>oková terapie“ přechodu k tržní ekonomice tak byla v ČR účinnější než na Slovensku</w:t>
      </w:r>
      <w:r>
        <w:rPr>
          <w:rFonts w:cs="Arial"/>
          <w:color w:val="000000"/>
          <w:spacing w:val="-6"/>
          <w:szCs w:val="20"/>
        </w:rPr>
        <w:t xml:space="preserve">, </w:t>
      </w:r>
      <w:r w:rsidRPr="00A305BD">
        <w:rPr>
          <w:rFonts w:cs="Arial"/>
          <w:color w:val="000000"/>
          <w:spacing w:val="-6"/>
          <w:szCs w:val="20"/>
        </w:rPr>
        <w:t xml:space="preserve">kde za roky </w:t>
      </w:r>
      <w:smartTag w:uri="urn:schemas-microsoft-com:office:smarttags" w:element="metricconverter">
        <w:smartTagPr>
          <w:attr w:name="ProductID" w:val="1991 a"/>
        </w:smartTagPr>
        <w:r w:rsidRPr="00A305BD">
          <w:rPr>
            <w:rFonts w:cs="Arial"/>
            <w:color w:val="000000"/>
            <w:spacing w:val="-6"/>
            <w:szCs w:val="20"/>
          </w:rPr>
          <w:t>1991 a</w:t>
        </w:r>
      </w:smartTag>
      <w:r w:rsidRPr="00A305BD">
        <w:rPr>
          <w:rFonts w:cs="Arial"/>
          <w:color w:val="000000"/>
          <w:spacing w:val="-6"/>
          <w:szCs w:val="20"/>
        </w:rPr>
        <w:t xml:space="preserve"> 1992</w:t>
      </w:r>
      <w:r>
        <w:rPr>
          <w:rFonts w:cs="Arial"/>
          <w:color w:val="000000"/>
          <w:spacing w:val="-6"/>
          <w:szCs w:val="20"/>
        </w:rPr>
        <w:t xml:space="preserve"> klesl </w:t>
      </w:r>
      <w:r w:rsidRPr="00A305BD">
        <w:rPr>
          <w:rFonts w:cs="Arial"/>
          <w:color w:val="000000"/>
          <w:spacing w:val="-6"/>
          <w:szCs w:val="20"/>
        </w:rPr>
        <w:t xml:space="preserve">proti roku 1990 </w:t>
      </w:r>
      <w:r>
        <w:rPr>
          <w:rFonts w:cs="Arial"/>
          <w:color w:val="000000"/>
          <w:spacing w:val="-6"/>
          <w:szCs w:val="20"/>
        </w:rPr>
        <w:t xml:space="preserve">podstatně hlouběji nejen HDP, ale např. </w:t>
      </w:r>
      <w:r w:rsidRPr="00A305BD">
        <w:rPr>
          <w:rFonts w:cs="Arial"/>
          <w:color w:val="000000"/>
          <w:spacing w:val="-6"/>
          <w:szCs w:val="20"/>
        </w:rPr>
        <w:t xml:space="preserve">fixní investice i spotřeba domácností o pětinu a import dokonce </w:t>
      </w:r>
      <w:r>
        <w:rPr>
          <w:rFonts w:cs="Arial"/>
          <w:color w:val="000000"/>
          <w:spacing w:val="-6"/>
          <w:szCs w:val="20"/>
        </w:rPr>
        <w:t>na</w:t>
      </w:r>
      <w:r w:rsidRPr="00A305BD">
        <w:rPr>
          <w:rFonts w:cs="Arial"/>
          <w:color w:val="000000"/>
          <w:spacing w:val="-6"/>
          <w:szCs w:val="20"/>
        </w:rPr>
        <w:t xml:space="preserve"> polovinu</w:t>
      </w:r>
      <w:r>
        <w:rPr>
          <w:rFonts w:cs="Arial"/>
          <w:color w:val="000000"/>
          <w:spacing w:val="-6"/>
          <w:szCs w:val="20"/>
        </w:rPr>
        <w:t>.</w:t>
      </w:r>
    </w:p>
    <w:p w:rsidR="0008794F" w:rsidRPr="001C44D4" w:rsidRDefault="0008794F" w:rsidP="00AC6A22">
      <w:pPr>
        <w:tabs>
          <w:tab w:val="num" w:pos="284"/>
        </w:tabs>
        <w:spacing w:line="240" w:lineRule="auto"/>
        <w:ind w:left="284"/>
        <w:jc w:val="both"/>
        <w:rPr>
          <w:rFonts w:cs="Arial"/>
          <w:sz w:val="12"/>
          <w:szCs w:val="12"/>
        </w:rPr>
      </w:pPr>
    </w:p>
    <w:p w:rsidR="0008794F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zCs w:val="20"/>
        </w:rPr>
      </w:pPr>
      <w:r w:rsidRPr="00A305BD">
        <w:rPr>
          <w:rFonts w:cs="Arial"/>
          <w:szCs w:val="20"/>
        </w:rPr>
        <w:t>Nejen hloubka, ale i délka transformačního propadu byla nepříznivější pro Slovensko, kde HDP převýšil úroveň roku 1990 až v roce 1998, zatímco v ČR v roce 1996. Výdaje na konečnou spotřebu domácností přesáhly na Slovensku</w:t>
      </w:r>
      <w:r>
        <w:rPr>
          <w:rFonts w:cs="Arial"/>
          <w:szCs w:val="20"/>
        </w:rPr>
        <w:t xml:space="preserve"> dokonce</w:t>
      </w:r>
      <w:r w:rsidRPr="00A305BD">
        <w:rPr>
          <w:rFonts w:cs="Arial"/>
          <w:szCs w:val="20"/>
        </w:rPr>
        <w:t xml:space="preserve"> až po dvanácti letech úroveň roku 1990, v ČR po šesti letech</w:t>
      </w:r>
      <w:r>
        <w:rPr>
          <w:rFonts w:cs="Arial"/>
          <w:szCs w:val="20"/>
        </w:rPr>
        <w:t>. S</w:t>
      </w:r>
      <w:r w:rsidRPr="00A305BD">
        <w:rPr>
          <w:rFonts w:cs="Arial"/>
          <w:color w:val="000000"/>
          <w:spacing w:val="-6"/>
          <w:szCs w:val="20"/>
        </w:rPr>
        <w:t>lovenské domácnosti tak nesly na svých bedrech významnou část transformačních nákladů své země na cestě k tržní ekonomice</w:t>
      </w:r>
      <w:r>
        <w:rPr>
          <w:rFonts w:cs="Arial"/>
          <w:color w:val="000000"/>
          <w:spacing w:val="-6"/>
          <w:szCs w:val="20"/>
        </w:rPr>
        <w:t>. J</w:t>
      </w:r>
      <w:r w:rsidRPr="00A305BD">
        <w:rPr>
          <w:rFonts w:cs="Arial"/>
          <w:color w:val="000000"/>
          <w:spacing w:val="-6"/>
          <w:szCs w:val="20"/>
        </w:rPr>
        <w:t>ejich spotřebu v reálném vyjádření ovlivňovala i vysoká inflace.</w:t>
      </w:r>
      <w:r w:rsidRPr="00A305BD">
        <w:rPr>
          <w:rFonts w:cs="Arial"/>
          <w:szCs w:val="20"/>
        </w:rPr>
        <w:t xml:space="preserve"> Rychleji překon</w:t>
      </w:r>
      <w:r>
        <w:rPr>
          <w:rFonts w:cs="Arial"/>
          <w:szCs w:val="20"/>
        </w:rPr>
        <w:t xml:space="preserve">aly </w:t>
      </w:r>
      <w:r w:rsidRPr="00A305BD">
        <w:rPr>
          <w:rFonts w:cs="Arial"/>
          <w:szCs w:val="20"/>
        </w:rPr>
        <w:t xml:space="preserve">v ČR </w:t>
      </w:r>
      <w:r>
        <w:rPr>
          <w:rFonts w:cs="Arial"/>
          <w:szCs w:val="20"/>
        </w:rPr>
        <w:t>úroveň</w:t>
      </w:r>
      <w:r w:rsidRPr="00A305BD">
        <w:rPr>
          <w:rFonts w:cs="Arial"/>
          <w:szCs w:val="20"/>
        </w:rPr>
        <w:t xml:space="preserve"> roku 1990 </w:t>
      </w:r>
      <w:r>
        <w:rPr>
          <w:rFonts w:cs="Arial"/>
          <w:szCs w:val="20"/>
        </w:rPr>
        <w:t>i</w:t>
      </w:r>
      <w:r w:rsidRPr="00A305BD">
        <w:rPr>
          <w:rFonts w:cs="Arial"/>
          <w:szCs w:val="20"/>
        </w:rPr>
        <w:t xml:space="preserve"> výdaje vládních institucí</w:t>
      </w:r>
      <w:r>
        <w:rPr>
          <w:rFonts w:cs="Arial"/>
          <w:szCs w:val="20"/>
        </w:rPr>
        <w:t xml:space="preserve"> na konečnou spotřebu</w:t>
      </w:r>
      <w:r w:rsidRPr="00A305B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a to </w:t>
      </w:r>
      <w:r w:rsidRPr="00A305BD">
        <w:rPr>
          <w:rFonts w:cs="Arial"/>
          <w:szCs w:val="20"/>
        </w:rPr>
        <w:t>již v roce 1993, zatímco na Slovensku až v roce 1996.</w:t>
      </w:r>
    </w:p>
    <w:p w:rsidR="0008794F" w:rsidRPr="001C44D4" w:rsidRDefault="0008794F" w:rsidP="00AC6A22">
      <w:pPr>
        <w:tabs>
          <w:tab w:val="num" w:pos="284"/>
        </w:tabs>
        <w:spacing w:line="240" w:lineRule="auto"/>
        <w:ind w:left="284"/>
        <w:jc w:val="both"/>
        <w:rPr>
          <w:rFonts w:cs="Arial"/>
          <w:sz w:val="12"/>
          <w:szCs w:val="12"/>
        </w:rPr>
      </w:pPr>
    </w:p>
    <w:p w:rsidR="0008794F" w:rsidRPr="00A305BD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zCs w:val="20"/>
        </w:rPr>
      </w:pPr>
      <w:r w:rsidRPr="00A305BD">
        <w:rPr>
          <w:rFonts w:cs="Arial"/>
          <w:szCs w:val="20"/>
        </w:rPr>
        <w:t xml:space="preserve">Slovensko bylo </w:t>
      </w:r>
      <w:r w:rsidR="00723F20">
        <w:rPr>
          <w:rFonts w:cs="Arial"/>
          <w:szCs w:val="20"/>
        </w:rPr>
        <w:t>zasaženo</w:t>
      </w:r>
      <w:r w:rsidRPr="00A305BD">
        <w:rPr>
          <w:rFonts w:cs="Arial"/>
          <w:szCs w:val="20"/>
        </w:rPr>
        <w:t xml:space="preserve"> transformací své ekonomiky k tržnímu prostředí tvrd</w:t>
      </w:r>
      <w:r>
        <w:rPr>
          <w:rFonts w:cs="Arial"/>
          <w:szCs w:val="20"/>
        </w:rPr>
        <w:t>ším způsobem</w:t>
      </w:r>
      <w:r w:rsidRPr="00A305BD">
        <w:rPr>
          <w:rFonts w:cs="Arial"/>
          <w:szCs w:val="20"/>
        </w:rPr>
        <w:t xml:space="preserve"> než Č</w:t>
      </w:r>
      <w:r>
        <w:rPr>
          <w:rFonts w:cs="Arial"/>
          <w:szCs w:val="20"/>
        </w:rPr>
        <w:t>R</w:t>
      </w:r>
      <w:r w:rsidRPr="00A305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 w:rsidRPr="00A305BD">
        <w:rPr>
          <w:rFonts w:cs="Arial"/>
          <w:szCs w:val="20"/>
        </w:rPr>
        <w:t xml:space="preserve"> vlivem pomalejšího oživení investic </w:t>
      </w:r>
      <w:r>
        <w:rPr>
          <w:rFonts w:cs="Arial"/>
          <w:szCs w:val="20"/>
        </w:rPr>
        <w:t xml:space="preserve">a </w:t>
      </w:r>
      <w:r w:rsidRPr="00A305BD">
        <w:rPr>
          <w:rFonts w:cs="Arial"/>
          <w:szCs w:val="20"/>
        </w:rPr>
        <w:t>tak</w:t>
      </w:r>
      <w:r>
        <w:rPr>
          <w:rFonts w:cs="Arial"/>
          <w:szCs w:val="20"/>
        </w:rPr>
        <w:t>é</w:t>
      </w:r>
      <w:r w:rsidRPr="00A305BD">
        <w:rPr>
          <w:rFonts w:cs="Arial"/>
          <w:szCs w:val="20"/>
        </w:rPr>
        <w:t xml:space="preserve"> zahraničního obchodu se zbožím a službami, jehož dynamiku v ČR nezpomalila ani recese po měnové krizi v letech </w:t>
      </w:r>
      <w:smartTag w:uri="urn:schemas-microsoft-com:office:smarttags" w:element="metricconverter">
        <w:smartTagPr>
          <w:attr w:name="ProductID" w:val="1997 a"/>
        </w:smartTagPr>
        <w:r w:rsidRPr="00A305BD">
          <w:rPr>
            <w:rFonts w:cs="Arial"/>
            <w:szCs w:val="20"/>
          </w:rPr>
          <w:t>1997 a</w:t>
        </w:r>
      </w:smartTag>
      <w:r w:rsidRPr="00A305BD">
        <w:rPr>
          <w:rFonts w:cs="Arial"/>
          <w:szCs w:val="20"/>
        </w:rPr>
        <w:t xml:space="preserve"> 1998.</w:t>
      </w:r>
    </w:p>
    <w:p w:rsidR="0008794F" w:rsidRPr="001C44D4" w:rsidRDefault="0008794F" w:rsidP="00AC6A22">
      <w:pPr>
        <w:tabs>
          <w:tab w:val="num" w:pos="284"/>
        </w:tabs>
        <w:spacing w:line="240" w:lineRule="auto"/>
        <w:ind w:left="284"/>
        <w:jc w:val="both"/>
        <w:rPr>
          <w:rFonts w:cs="Arial"/>
          <w:sz w:val="12"/>
          <w:szCs w:val="12"/>
        </w:rPr>
      </w:pPr>
    </w:p>
    <w:p w:rsidR="0008794F" w:rsidRPr="00A305BD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zCs w:val="20"/>
        </w:rPr>
      </w:pPr>
      <w:r w:rsidRPr="00A305BD">
        <w:rPr>
          <w:rFonts w:cs="Arial"/>
          <w:szCs w:val="20"/>
        </w:rPr>
        <w:t>Zatímco eko</w:t>
      </w:r>
      <w:r>
        <w:rPr>
          <w:rFonts w:cs="Arial"/>
          <w:szCs w:val="20"/>
        </w:rPr>
        <w:t xml:space="preserve">nomika ČR procházela v letech </w:t>
      </w:r>
      <w:smartTag w:uri="urn:schemas-microsoft-com:office:smarttags" w:element="metricconverter">
        <w:smartTagPr>
          <w:attr w:name="ProductID" w:val="1997 a"/>
        </w:smartTagPr>
        <w:r>
          <w:rPr>
            <w:rFonts w:cs="Arial"/>
            <w:szCs w:val="20"/>
          </w:rPr>
          <w:t xml:space="preserve">1997 </w:t>
        </w:r>
        <w:r w:rsidRPr="00A305BD">
          <w:rPr>
            <w:rFonts w:cs="Arial"/>
            <w:szCs w:val="20"/>
          </w:rPr>
          <w:t>a</w:t>
        </w:r>
      </w:smartTag>
      <w:r w:rsidRPr="00A305BD">
        <w:rPr>
          <w:rFonts w:cs="Arial"/>
          <w:szCs w:val="20"/>
        </w:rPr>
        <w:t xml:space="preserve"> 1998 recesí s meziročními poklesy výkonnosti </w:t>
      </w:r>
      <w:r w:rsidR="0021492B" w:rsidRPr="00A305BD">
        <w:rPr>
          <w:rFonts w:cs="Arial"/>
          <w:szCs w:val="20"/>
        </w:rPr>
        <w:t xml:space="preserve">v reálném vyjádření </w:t>
      </w:r>
      <w:r w:rsidRPr="00A305BD">
        <w:rPr>
          <w:rFonts w:cs="Arial"/>
          <w:szCs w:val="20"/>
        </w:rPr>
        <w:t>o 0,7 %, resp. o 0,3 %, HDP Rakouska se vyvíjel pozitivně (+2,2</w:t>
      </w:r>
      <w:r>
        <w:rPr>
          <w:rFonts w:cs="Arial"/>
          <w:szCs w:val="20"/>
        </w:rPr>
        <w:t> </w:t>
      </w:r>
      <w:r w:rsidRPr="00A305BD">
        <w:rPr>
          <w:rFonts w:cs="Arial"/>
          <w:szCs w:val="20"/>
        </w:rPr>
        <w:t xml:space="preserve">%, resp. +3,6 % meziročně). V období 1998-2000 se rakouská ekonomika nacházela na vrcholu </w:t>
      </w:r>
      <w:r>
        <w:rPr>
          <w:rFonts w:cs="Arial"/>
          <w:szCs w:val="20"/>
        </w:rPr>
        <w:t xml:space="preserve">svého </w:t>
      </w:r>
      <w:r w:rsidRPr="00A305BD">
        <w:rPr>
          <w:rFonts w:cs="Arial"/>
          <w:szCs w:val="20"/>
        </w:rPr>
        <w:t xml:space="preserve">hospodářského cyklu s  meziročním růstem HDP </w:t>
      </w:r>
      <w:r>
        <w:rPr>
          <w:rFonts w:cs="Arial"/>
          <w:szCs w:val="20"/>
        </w:rPr>
        <w:t>v </w:t>
      </w:r>
      <w:r w:rsidRPr="00A305BD">
        <w:rPr>
          <w:rFonts w:cs="Arial"/>
          <w:szCs w:val="20"/>
        </w:rPr>
        <w:t>průměr</w:t>
      </w:r>
      <w:r>
        <w:rPr>
          <w:rFonts w:cs="Arial"/>
          <w:szCs w:val="20"/>
        </w:rPr>
        <w:t xml:space="preserve">u o </w:t>
      </w:r>
      <w:r w:rsidRPr="00A305BD">
        <w:rPr>
          <w:rFonts w:cs="Arial"/>
          <w:szCs w:val="20"/>
        </w:rPr>
        <w:t>3,5 %, vyšším než v EU 28 (+3,3%). S</w:t>
      </w:r>
      <w:r w:rsidRPr="00A305BD">
        <w:rPr>
          <w:rFonts w:cs="Arial"/>
          <w:color w:val="000000"/>
          <w:spacing w:val="-6"/>
          <w:szCs w:val="20"/>
        </w:rPr>
        <w:t xml:space="preserve">lovenská ekonomika </w:t>
      </w:r>
      <w:r>
        <w:rPr>
          <w:rFonts w:cs="Arial"/>
          <w:color w:val="000000"/>
          <w:spacing w:val="-6"/>
          <w:szCs w:val="20"/>
        </w:rPr>
        <w:t>stoupala</w:t>
      </w:r>
      <w:r w:rsidRPr="00A305BD">
        <w:rPr>
          <w:rFonts w:cs="Arial"/>
          <w:color w:val="000000"/>
          <w:spacing w:val="-6"/>
          <w:szCs w:val="20"/>
        </w:rPr>
        <w:t xml:space="preserve"> v</w:t>
      </w:r>
      <w:r>
        <w:rPr>
          <w:rFonts w:cs="Arial"/>
          <w:color w:val="000000"/>
          <w:spacing w:val="-6"/>
          <w:szCs w:val="20"/>
        </w:rPr>
        <w:t xml:space="preserve"> letech 1998-2000 </w:t>
      </w:r>
      <w:r w:rsidRPr="00A305BD">
        <w:rPr>
          <w:rFonts w:cs="Arial"/>
          <w:color w:val="000000"/>
          <w:spacing w:val="-6"/>
          <w:szCs w:val="20"/>
        </w:rPr>
        <w:t>oproti Rakousk</w:t>
      </w:r>
      <w:r>
        <w:rPr>
          <w:rFonts w:cs="Arial"/>
          <w:color w:val="000000"/>
          <w:spacing w:val="-6"/>
          <w:szCs w:val="20"/>
        </w:rPr>
        <w:t>u</w:t>
      </w:r>
      <w:r w:rsidRPr="00A305BD">
        <w:rPr>
          <w:rFonts w:cs="Arial"/>
          <w:color w:val="000000"/>
          <w:spacing w:val="-6"/>
          <w:szCs w:val="20"/>
        </w:rPr>
        <w:t xml:space="preserve"> relativně málo, ročně v průměru o 1,7 %</w:t>
      </w:r>
      <w:r>
        <w:rPr>
          <w:rFonts w:cs="Arial"/>
          <w:color w:val="000000"/>
          <w:spacing w:val="-6"/>
          <w:szCs w:val="20"/>
        </w:rPr>
        <w:t xml:space="preserve">. Způsobil to její </w:t>
      </w:r>
      <w:r w:rsidRPr="00A305BD">
        <w:rPr>
          <w:rFonts w:cs="Arial"/>
          <w:color w:val="000000"/>
          <w:spacing w:val="-6"/>
          <w:szCs w:val="20"/>
        </w:rPr>
        <w:t xml:space="preserve">meziroční pokles o 0,2 % v roce 1999. </w:t>
      </w:r>
      <w:r>
        <w:rPr>
          <w:rFonts w:cs="Arial"/>
          <w:color w:val="000000"/>
          <w:spacing w:val="-6"/>
          <w:szCs w:val="20"/>
        </w:rPr>
        <w:t>I proto rostlo Slovensko</w:t>
      </w:r>
      <w:r w:rsidRPr="00A305BD">
        <w:rPr>
          <w:rFonts w:cs="Arial"/>
          <w:color w:val="000000"/>
          <w:spacing w:val="-6"/>
          <w:szCs w:val="20"/>
        </w:rPr>
        <w:t xml:space="preserve"> v té době </w:t>
      </w:r>
      <w:r>
        <w:rPr>
          <w:rFonts w:cs="Arial"/>
          <w:color w:val="000000"/>
          <w:spacing w:val="-6"/>
          <w:szCs w:val="20"/>
        </w:rPr>
        <w:t>mírně pomaleji</w:t>
      </w:r>
      <w:r w:rsidRPr="00A305BD">
        <w:rPr>
          <w:rFonts w:cs="Arial"/>
          <w:color w:val="000000"/>
          <w:spacing w:val="-6"/>
          <w:szCs w:val="20"/>
        </w:rPr>
        <w:t xml:space="preserve"> než Č</w:t>
      </w:r>
      <w:r>
        <w:rPr>
          <w:rFonts w:cs="Arial"/>
          <w:color w:val="000000"/>
          <w:spacing w:val="-6"/>
          <w:szCs w:val="20"/>
        </w:rPr>
        <w:t>R</w:t>
      </w:r>
      <w:r w:rsidRPr="00A305BD">
        <w:rPr>
          <w:rFonts w:cs="Arial"/>
          <w:color w:val="000000"/>
          <w:spacing w:val="-6"/>
          <w:szCs w:val="20"/>
        </w:rPr>
        <w:t xml:space="preserve"> (+1,8 %). Ekonomické cykly Rakouska, ČR a Slovenska tedy byly </w:t>
      </w:r>
      <w:r>
        <w:rPr>
          <w:rFonts w:cs="Arial"/>
          <w:color w:val="000000"/>
          <w:spacing w:val="-6"/>
          <w:szCs w:val="20"/>
        </w:rPr>
        <w:t>tehdy</w:t>
      </w:r>
      <w:r w:rsidRPr="00A305BD">
        <w:rPr>
          <w:rFonts w:cs="Arial"/>
          <w:color w:val="000000"/>
          <w:spacing w:val="-6"/>
          <w:szCs w:val="20"/>
        </w:rPr>
        <w:t xml:space="preserve"> značně </w:t>
      </w:r>
      <w:r w:rsidR="0021492B">
        <w:rPr>
          <w:rFonts w:cs="Arial"/>
          <w:color w:val="000000"/>
          <w:spacing w:val="-6"/>
          <w:szCs w:val="20"/>
        </w:rPr>
        <w:t>nesynchronizované.</w:t>
      </w:r>
    </w:p>
    <w:p w:rsidR="0008794F" w:rsidRPr="001C44D4" w:rsidRDefault="0008794F" w:rsidP="00AC6A22">
      <w:pPr>
        <w:tabs>
          <w:tab w:val="num" w:pos="284"/>
        </w:tabs>
        <w:spacing w:line="240" w:lineRule="auto"/>
        <w:ind w:left="284"/>
        <w:jc w:val="both"/>
        <w:rPr>
          <w:rFonts w:cs="Arial"/>
          <w:sz w:val="12"/>
          <w:szCs w:val="12"/>
        </w:rPr>
      </w:pPr>
    </w:p>
    <w:p w:rsidR="0008794F" w:rsidRPr="00D373D9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Nijak závratné růsty svých ekonomik nezaznamenávaly tři sledované země ani v o</w:t>
      </w:r>
      <w:r w:rsidRPr="00A305BD">
        <w:rPr>
          <w:rFonts w:cs="Arial"/>
          <w:szCs w:val="20"/>
        </w:rPr>
        <w:t xml:space="preserve">bdobí 1998-2004, </w:t>
      </w:r>
      <w:r>
        <w:rPr>
          <w:rFonts w:cs="Arial"/>
          <w:szCs w:val="20"/>
        </w:rPr>
        <w:t xml:space="preserve">vnímaném z pohledu členství ČR a SR v EU </w:t>
      </w:r>
      <w:r w:rsidRPr="00A305BD">
        <w:rPr>
          <w:rFonts w:cs="Arial"/>
          <w:szCs w:val="20"/>
        </w:rPr>
        <w:t>v kontextu této analýzy</w:t>
      </w:r>
      <w:r>
        <w:rPr>
          <w:rFonts w:cs="Arial"/>
          <w:szCs w:val="20"/>
        </w:rPr>
        <w:t xml:space="preserve"> </w:t>
      </w:r>
      <w:r w:rsidRPr="00A305BD">
        <w:rPr>
          <w:rFonts w:cs="Arial"/>
          <w:szCs w:val="20"/>
        </w:rPr>
        <w:t>jako období „</w:t>
      </w:r>
      <w:proofErr w:type="spellStart"/>
      <w:r w:rsidRPr="00A305BD">
        <w:rPr>
          <w:rFonts w:cs="Arial"/>
          <w:szCs w:val="20"/>
        </w:rPr>
        <w:t>předvstupní</w:t>
      </w:r>
      <w:proofErr w:type="spellEnd"/>
      <w:r w:rsidRPr="00A305BD">
        <w:rPr>
          <w:rFonts w:cs="Arial"/>
          <w:szCs w:val="20"/>
        </w:rPr>
        <w:t>“</w:t>
      </w:r>
      <w:r>
        <w:rPr>
          <w:rFonts w:cs="Arial"/>
          <w:szCs w:val="20"/>
        </w:rPr>
        <w:t>.</w:t>
      </w:r>
      <w:r w:rsidRPr="00A305BD">
        <w:rPr>
          <w:rFonts w:cs="Arial"/>
          <w:szCs w:val="20"/>
        </w:rPr>
        <w:t xml:space="preserve"> Od roku 1998 - odkdy jsou k dispozici </w:t>
      </w:r>
      <w:proofErr w:type="spellStart"/>
      <w:r w:rsidRPr="00A305BD">
        <w:rPr>
          <w:rFonts w:cs="Arial"/>
          <w:szCs w:val="20"/>
        </w:rPr>
        <w:t>makrodata</w:t>
      </w:r>
      <w:proofErr w:type="spellEnd"/>
      <w:r w:rsidRPr="00A305BD">
        <w:rPr>
          <w:rFonts w:cs="Arial"/>
          <w:szCs w:val="20"/>
        </w:rPr>
        <w:t xml:space="preserve"> v potřebné struktuře za všechny tři porovnávané země </w:t>
      </w:r>
      <w:r>
        <w:rPr>
          <w:rFonts w:cs="Arial"/>
          <w:szCs w:val="20"/>
        </w:rPr>
        <w:t>-</w:t>
      </w:r>
      <w:r w:rsidRPr="00A305BD">
        <w:rPr>
          <w:rFonts w:cs="Arial"/>
          <w:szCs w:val="20"/>
        </w:rPr>
        <w:t xml:space="preserve"> do roku 2004 rostla ekonomika SR v p</w:t>
      </w:r>
      <w:r>
        <w:rPr>
          <w:rFonts w:cs="Arial"/>
          <w:szCs w:val="20"/>
        </w:rPr>
        <w:t>rů</w:t>
      </w:r>
      <w:r w:rsidRPr="00A305BD">
        <w:rPr>
          <w:rFonts w:cs="Arial"/>
          <w:szCs w:val="20"/>
        </w:rPr>
        <w:t>měru ročně o 3,4</w:t>
      </w:r>
      <w:r>
        <w:rPr>
          <w:rFonts w:cs="Arial"/>
          <w:szCs w:val="20"/>
        </w:rPr>
        <w:t xml:space="preserve"> %, </w:t>
      </w:r>
      <w:r w:rsidRPr="00A305BD">
        <w:rPr>
          <w:rFonts w:cs="Arial"/>
          <w:szCs w:val="20"/>
        </w:rPr>
        <w:t>ČR o 2,7 % a Rakousk</w:t>
      </w:r>
      <w:r>
        <w:rPr>
          <w:rFonts w:cs="Arial"/>
          <w:szCs w:val="20"/>
        </w:rPr>
        <w:t>a</w:t>
      </w:r>
      <w:r w:rsidRPr="00A305BD">
        <w:rPr>
          <w:rFonts w:cs="Arial"/>
          <w:szCs w:val="20"/>
        </w:rPr>
        <w:t xml:space="preserve"> o 2,5 %. </w:t>
      </w:r>
      <w:r>
        <w:rPr>
          <w:rFonts w:cs="Arial"/>
          <w:szCs w:val="20"/>
        </w:rPr>
        <w:t>P</w:t>
      </w:r>
      <w:r w:rsidRPr="00A305BD">
        <w:rPr>
          <w:rFonts w:cs="Arial"/>
          <w:szCs w:val="20"/>
        </w:rPr>
        <w:t>růměr Unie činil +2,5 % a mohl být v</w:t>
      </w:r>
      <w:r>
        <w:rPr>
          <w:rFonts w:cs="Arial"/>
          <w:szCs w:val="20"/>
        </w:rPr>
        <w:t>yšší</w:t>
      </w:r>
      <w:r w:rsidRPr="00A305BD">
        <w:rPr>
          <w:rFonts w:cs="Arial"/>
          <w:szCs w:val="20"/>
        </w:rPr>
        <w:t xml:space="preserve"> nebýt německé stagnace 2002-2004 (+0,2 %). Průměrný výkon ekonomiky CR opět ovlivnil recesivní rok 1998, neboť za období 1999-2004 rostl český HDP v průměru </w:t>
      </w:r>
      <w:r w:rsidR="00C839D7">
        <w:rPr>
          <w:rFonts w:cs="Arial"/>
          <w:szCs w:val="20"/>
        </w:rPr>
        <w:t xml:space="preserve">ročně </w:t>
      </w:r>
      <w:r w:rsidRPr="00A305BD">
        <w:rPr>
          <w:rFonts w:cs="Arial"/>
          <w:szCs w:val="20"/>
        </w:rPr>
        <w:t xml:space="preserve">o 3,2 %, tj. prakticky stejně, </w:t>
      </w:r>
      <w:r>
        <w:rPr>
          <w:rFonts w:cs="Arial"/>
          <w:szCs w:val="20"/>
        </w:rPr>
        <w:t xml:space="preserve">o kolik </w:t>
      </w:r>
      <w:r w:rsidRPr="00A305BD">
        <w:rPr>
          <w:rFonts w:cs="Arial"/>
          <w:szCs w:val="20"/>
        </w:rPr>
        <w:t xml:space="preserve">za tu dobu </w:t>
      </w:r>
      <w:r w:rsidR="00FA5FB4">
        <w:rPr>
          <w:rFonts w:cs="Arial"/>
          <w:szCs w:val="20"/>
        </w:rPr>
        <w:t xml:space="preserve">stoupla </w:t>
      </w:r>
      <w:r>
        <w:rPr>
          <w:rFonts w:cs="Arial"/>
          <w:szCs w:val="20"/>
        </w:rPr>
        <w:t>ekonomika</w:t>
      </w:r>
      <w:r w:rsidRPr="00A305BD">
        <w:rPr>
          <w:rFonts w:cs="Arial"/>
          <w:szCs w:val="20"/>
        </w:rPr>
        <w:t xml:space="preserve"> Slovenska (+3,3 %).</w:t>
      </w:r>
      <w:r w:rsidRPr="00E9545D">
        <w:rPr>
          <w:rFonts w:cs="Arial"/>
          <w:szCs w:val="20"/>
        </w:rPr>
        <w:t xml:space="preserve"> </w:t>
      </w:r>
      <w:r w:rsidRPr="00A305BD">
        <w:rPr>
          <w:rFonts w:cs="Arial"/>
          <w:szCs w:val="20"/>
        </w:rPr>
        <w:t>Celé období 1998-2004</w:t>
      </w:r>
      <w:r w:rsidRPr="00E9545D">
        <w:rPr>
          <w:rFonts w:cs="Arial"/>
          <w:szCs w:val="20"/>
        </w:rPr>
        <w:t xml:space="preserve"> </w:t>
      </w:r>
      <w:r w:rsidRPr="00A305BD">
        <w:rPr>
          <w:rFonts w:cs="Arial"/>
          <w:szCs w:val="20"/>
        </w:rPr>
        <w:lastRenderedPageBreak/>
        <w:t xml:space="preserve">charakterizovala značná růstová rozmanitost evropských zemí - i když růst slovenského HDP </w:t>
      </w:r>
      <w:r>
        <w:rPr>
          <w:rFonts w:cs="Arial"/>
          <w:szCs w:val="20"/>
        </w:rPr>
        <w:t>v </w:t>
      </w:r>
      <w:r w:rsidRPr="00A305BD">
        <w:rPr>
          <w:rFonts w:cs="Arial"/>
          <w:szCs w:val="20"/>
        </w:rPr>
        <w:t>průměr</w:t>
      </w:r>
      <w:r>
        <w:rPr>
          <w:rFonts w:cs="Arial"/>
          <w:szCs w:val="20"/>
        </w:rPr>
        <w:t xml:space="preserve">u o </w:t>
      </w:r>
      <w:r w:rsidRPr="00A305BD">
        <w:rPr>
          <w:rFonts w:cs="Arial"/>
          <w:szCs w:val="20"/>
        </w:rPr>
        <w:t>3,4 % ročně byl ve srovnání s ČR a Rakouskem nejrychlejší, znamenal umístění až v</w:t>
      </w:r>
      <w:r>
        <w:rPr>
          <w:rFonts w:cs="Arial"/>
          <w:szCs w:val="20"/>
        </w:rPr>
        <w:t>e druhé</w:t>
      </w:r>
      <w:r w:rsidRPr="00A305BD">
        <w:rPr>
          <w:rFonts w:cs="Arial"/>
          <w:szCs w:val="20"/>
        </w:rPr>
        <w:t xml:space="preserve"> p</w:t>
      </w:r>
      <w:r>
        <w:rPr>
          <w:rFonts w:cs="Arial"/>
          <w:szCs w:val="20"/>
        </w:rPr>
        <w:t>ůli</w:t>
      </w:r>
      <w:r w:rsidRPr="00A305BD">
        <w:rPr>
          <w:rFonts w:cs="Arial"/>
          <w:szCs w:val="20"/>
        </w:rPr>
        <w:t xml:space="preserve"> žebříčku zemí EU.</w:t>
      </w:r>
    </w:p>
    <w:p w:rsidR="0008794F" w:rsidRPr="00183760" w:rsidRDefault="0008794F" w:rsidP="00AC6A22">
      <w:pPr>
        <w:spacing w:line="240" w:lineRule="auto"/>
        <w:jc w:val="both"/>
        <w:rPr>
          <w:rFonts w:cs="Arial"/>
          <w:sz w:val="12"/>
          <w:szCs w:val="12"/>
        </w:rPr>
      </w:pPr>
    </w:p>
    <w:p w:rsidR="0008794F" w:rsidRPr="009F10EF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i/>
          <w:color w:val="000000"/>
          <w:spacing w:val="-6"/>
          <w:szCs w:val="20"/>
        </w:rPr>
      </w:pPr>
      <w:r w:rsidRPr="009F10EF">
        <w:rPr>
          <w:rFonts w:cs="Arial"/>
          <w:spacing w:val="-6"/>
          <w:szCs w:val="20"/>
        </w:rPr>
        <w:t>Slo</w:t>
      </w:r>
      <w:r w:rsidR="00FA5FB4">
        <w:rPr>
          <w:rFonts w:cs="Arial"/>
          <w:spacing w:val="-6"/>
          <w:szCs w:val="20"/>
        </w:rPr>
        <w:t xml:space="preserve">vensku </w:t>
      </w:r>
      <w:r w:rsidRPr="009F10EF">
        <w:rPr>
          <w:rFonts w:cs="Arial"/>
          <w:spacing w:val="-6"/>
          <w:szCs w:val="20"/>
        </w:rPr>
        <w:t xml:space="preserve">patřilo až období 2004-2014. Stalo se nejrychleji rostoucí ekonomikou EU s průměrným ročním přírůstkem HDP </w:t>
      </w:r>
      <w:r>
        <w:rPr>
          <w:rFonts w:cs="Arial"/>
          <w:spacing w:val="-6"/>
          <w:szCs w:val="20"/>
        </w:rPr>
        <w:t>+</w:t>
      </w:r>
      <w:r w:rsidRPr="009F10EF">
        <w:rPr>
          <w:rFonts w:cs="Arial"/>
          <w:spacing w:val="-6"/>
          <w:szCs w:val="20"/>
        </w:rPr>
        <w:t xml:space="preserve"> 4 %. Průměrný růst EU (+1,1 % oproti +2,5 % v letech 1998-2004) ovlivnila u všech </w:t>
      </w:r>
      <w:r w:rsidR="00FA5FB4">
        <w:rPr>
          <w:rFonts w:cs="Arial"/>
          <w:spacing w:val="-6"/>
          <w:szCs w:val="20"/>
        </w:rPr>
        <w:t xml:space="preserve">členských </w:t>
      </w:r>
      <w:proofErr w:type="spellStart"/>
      <w:r w:rsidRPr="009F10EF">
        <w:rPr>
          <w:rFonts w:cs="Arial"/>
          <w:spacing w:val="-6"/>
          <w:szCs w:val="20"/>
        </w:rPr>
        <w:t>ejích</w:t>
      </w:r>
      <w:proofErr w:type="spellEnd"/>
      <w:r w:rsidRPr="009F10EF">
        <w:rPr>
          <w:rFonts w:cs="Arial"/>
          <w:spacing w:val="-6"/>
          <w:szCs w:val="20"/>
        </w:rPr>
        <w:t xml:space="preserve"> zemí kromě Polska krize roku 2009 (EU 28 -4,4 %, ČR -4,8 %, SR -5,5 %, Rakousko -3,8 %). </w:t>
      </w:r>
    </w:p>
    <w:p w:rsidR="0008794F" w:rsidRPr="00183760" w:rsidRDefault="0008794F" w:rsidP="00AC6A22">
      <w:pPr>
        <w:tabs>
          <w:tab w:val="num" w:pos="284"/>
        </w:tabs>
        <w:spacing w:line="240" w:lineRule="auto"/>
        <w:ind w:left="284" w:hanging="284"/>
        <w:jc w:val="both"/>
        <w:rPr>
          <w:rFonts w:cs="Arial"/>
          <w:sz w:val="12"/>
          <w:szCs w:val="12"/>
        </w:rPr>
      </w:pPr>
    </w:p>
    <w:p w:rsidR="0008794F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>
        <w:rPr>
          <w:rFonts w:cs="Arial"/>
          <w:szCs w:val="20"/>
        </w:rPr>
        <w:t>Přestože</w:t>
      </w:r>
      <w:r w:rsidRPr="00241B34">
        <w:rPr>
          <w:rFonts w:cs="Arial"/>
          <w:szCs w:val="20"/>
        </w:rPr>
        <w:t xml:space="preserve"> Slovensko „zářilo“ během prakticky celého období po vstupu do EU, faktor nového členství, z něhož mohly těžit i další země vstupní vlny, nebyl zřejmě faktorem </w:t>
      </w:r>
      <w:r>
        <w:rPr>
          <w:rFonts w:cs="Arial"/>
          <w:szCs w:val="20"/>
        </w:rPr>
        <w:t xml:space="preserve">s vlivem stoprocentním – i když od roku 2007 byl již slovenský HDP tažen především čistým exportem. </w:t>
      </w:r>
      <w:r w:rsidRPr="00241B34">
        <w:rPr>
          <w:rFonts w:cs="Arial"/>
          <w:szCs w:val="20"/>
        </w:rPr>
        <w:t xml:space="preserve">SR </w:t>
      </w:r>
      <w:r>
        <w:rPr>
          <w:rFonts w:cs="Arial"/>
          <w:szCs w:val="20"/>
        </w:rPr>
        <w:t>ale také už několik</w:t>
      </w:r>
      <w:r w:rsidRPr="00241B34">
        <w:rPr>
          <w:rFonts w:cs="Arial"/>
          <w:szCs w:val="20"/>
        </w:rPr>
        <w:t xml:space="preserve"> let </w:t>
      </w:r>
      <w:r>
        <w:rPr>
          <w:rFonts w:cs="Arial"/>
          <w:szCs w:val="20"/>
        </w:rPr>
        <w:t>předtím začala měnit svůj</w:t>
      </w:r>
      <w:r w:rsidRPr="00241B34">
        <w:rPr>
          <w:rFonts w:cs="Arial"/>
          <w:szCs w:val="20"/>
        </w:rPr>
        <w:t xml:space="preserve"> socioekonomický model refor</w:t>
      </w:r>
      <w:r>
        <w:rPr>
          <w:rFonts w:cs="Arial"/>
          <w:szCs w:val="20"/>
        </w:rPr>
        <w:t xml:space="preserve">mami </w:t>
      </w:r>
      <w:r w:rsidRPr="00241B34">
        <w:rPr>
          <w:rFonts w:cs="Arial"/>
          <w:color w:val="000000"/>
          <w:spacing w:val="-6"/>
          <w:szCs w:val="20"/>
        </w:rPr>
        <w:t>sociálního systému, trhu práce, zdravotní a penzijní oblasti, financování školství a řad</w:t>
      </w:r>
      <w:r>
        <w:rPr>
          <w:rFonts w:cs="Arial"/>
          <w:color w:val="000000"/>
          <w:spacing w:val="-6"/>
          <w:szCs w:val="20"/>
        </w:rPr>
        <w:t>ou</w:t>
      </w:r>
      <w:r w:rsidRPr="00241B34">
        <w:rPr>
          <w:rFonts w:cs="Arial"/>
          <w:color w:val="000000"/>
          <w:spacing w:val="-6"/>
          <w:szCs w:val="20"/>
        </w:rPr>
        <w:t xml:space="preserve"> dalších změn, především daňových či s daněmi spojených (později např. zavedení kontroly odvádění DPH z tržeb přes tzv. registrační pokladny).</w:t>
      </w:r>
    </w:p>
    <w:p w:rsidR="0008794F" w:rsidRPr="00241B34" w:rsidRDefault="0008794F" w:rsidP="00AC6A22">
      <w:pPr>
        <w:spacing w:line="240" w:lineRule="auto"/>
        <w:jc w:val="both"/>
        <w:rPr>
          <w:rFonts w:cs="Arial"/>
          <w:color w:val="000000"/>
          <w:spacing w:val="-6"/>
          <w:sz w:val="12"/>
          <w:szCs w:val="12"/>
        </w:rPr>
      </w:pPr>
    </w:p>
    <w:p w:rsidR="0008794F" w:rsidRPr="00241B34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 w:rsidRPr="00241B34">
        <w:rPr>
          <w:rFonts w:cs="Arial"/>
          <w:color w:val="000000"/>
          <w:spacing w:val="-6"/>
          <w:szCs w:val="20"/>
        </w:rPr>
        <w:t xml:space="preserve">Česká republika si během let 2004-2014 </w:t>
      </w:r>
      <w:r w:rsidR="00C839D7">
        <w:rPr>
          <w:rFonts w:cs="Arial"/>
          <w:color w:val="000000"/>
          <w:spacing w:val="-6"/>
          <w:szCs w:val="20"/>
        </w:rPr>
        <w:t xml:space="preserve">v tempech růstu </w:t>
      </w:r>
      <w:r w:rsidRPr="00241B34">
        <w:rPr>
          <w:rFonts w:cs="Arial"/>
          <w:color w:val="000000"/>
          <w:spacing w:val="-6"/>
          <w:szCs w:val="20"/>
        </w:rPr>
        <w:t>rovněž polepšila z 20. místa v žebříčku zemí EU za roky 1998-2004 na 11. místo. Výkon ekonomiky Rakouska je pozoruhodný v tom, že jak po rozšíření EU o nové země v roce 2004 (</w:t>
      </w:r>
      <w:r>
        <w:rPr>
          <w:rFonts w:cs="Arial"/>
          <w:color w:val="000000"/>
          <w:spacing w:val="-6"/>
          <w:szCs w:val="20"/>
        </w:rPr>
        <w:t xml:space="preserve">ale </w:t>
      </w:r>
      <w:r w:rsidRPr="00241B34">
        <w:rPr>
          <w:rFonts w:cs="Arial"/>
          <w:color w:val="000000"/>
          <w:spacing w:val="-6"/>
          <w:szCs w:val="20"/>
        </w:rPr>
        <w:t xml:space="preserve">i za celé období 1998-2014), rostla rychleji než průměr „starých“ zemí </w:t>
      </w:r>
      <w:r w:rsidR="00FA5FB4">
        <w:rPr>
          <w:rFonts w:cs="Arial"/>
          <w:color w:val="000000"/>
          <w:spacing w:val="-6"/>
          <w:szCs w:val="20"/>
        </w:rPr>
        <w:t>U</w:t>
      </w:r>
      <w:r w:rsidRPr="00241B34">
        <w:rPr>
          <w:rFonts w:cs="Arial"/>
          <w:color w:val="000000"/>
          <w:spacing w:val="-6"/>
          <w:szCs w:val="20"/>
        </w:rPr>
        <w:t xml:space="preserve">nie (EU 15) či EU 28, i když právě </w:t>
      </w:r>
      <w:proofErr w:type="spellStart"/>
      <w:r w:rsidRPr="00241B34">
        <w:rPr>
          <w:rFonts w:cs="Arial"/>
          <w:color w:val="000000"/>
          <w:spacing w:val="-6"/>
          <w:szCs w:val="20"/>
        </w:rPr>
        <w:t>celounijní</w:t>
      </w:r>
      <w:proofErr w:type="spellEnd"/>
      <w:r w:rsidRPr="00241B34">
        <w:rPr>
          <w:rFonts w:cs="Arial"/>
          <w:color w:val="000000"/>
          <w:spacing w:val="-6"/>
          <w:szCs w:val="20"/>
        </w:rPr>
        <w:t xml:space="preserve"> tempo růstu „podporovala“ rychlá dynamika ekonomik nových zemí. </w:t>
      </w:r>
      <w:r>
        <w:rPr>
          <w:rFonts w:cs="Arial"/>
          <w:color w:val="000000"/>
          <w:spacing w:val="-6"/>
          <w:szCs w:val="20"/>
        </w:rPr>
        <w:t>Po rozšíření o nové členy p</w:t>
      </w:r>
      <w:r w:rsidRPr="00241B34">
        <w:rPr>
          <w:rFonts w:cs="Arial"/>
          <w:color w:val="000000"/>
          <w:spacing w:val="-6"/>
          <w:szCs w:val="20"/>
        </w:rPr>
        <w:t xml:space="preserve">atřilo </w:t>
      </w:r>
      <w:r>
        <w:rPr>
          <w:rFonts w:cs="Arial"/>
          <w:color w:val="000000"/>
          <w:spacing w:val="-6"/>
          <w:szCs w:val="20"/>
        </w:rPr>
        <w:t>Rakousko s</w:t>
      </w:r>
      <w:r w:rsidRPr="00241B34">
        <w:rPr>
          <w:rFonts w:cs="Arial"/>
          <w:color w:val="000000"/>
          <w:spacing w:val="-6"/>
          <w:szCs w:val="20"/>
        </w:rPr>
        <w:t>po</w:t>
      </w:r>
      <w:r>
        <w:rPr>
          <w:rFonts w:cs="Arial"/>
          <w:color w:val="000000"/>
          <w:spacing w:val="-6"/>
          <w:szCs w:val="20"/>
        </w:rPr>
        <w:t>lu s Německem k několika zemím U</w:t>
      </w:r>
      <w:r w:rsidRPr="00241B34">
        <w:rPr>
          <w:rFonts w:cs="Arial"/>
          <w:color w:val="000000"/>
          <w:spacing w:val="-6"/>
          <w:szCs w:val="20"/>
        </w:rPr>
        <w:t xml:space="preserve">nie, kde </w:t>
      </w:r>
      <w:r>
        <w:rPr>
          <w:rFonts w:cs="Arial"/>
          <w:color w:val="000000"/>
          <w:spacing w:val="-6"/>
          <w:szCs w:val="20"/>
        </w:rPr>
        <w:t xml:space="preserve">se významně zrychlil </w:t>
      </w:r>
      <w:r w:rsidRPr="00241B34">
        <w:rPr>
          <w:rFonts w:cs="Arial"/>
          <w:color w:val="000000"/>
          <w:spacing w:val="-6"/>
          <w:szCs w:val="20"/>
        </w:rPr>
        <w:t>hospodářský růst v letech 2006 a 2007</w:t>
      </w:r>
      <w:r>
        <w:rPr>
          <w:rFonts w:cs="Arial"/>
          <w:color w:val="000000"/>
          <w:spacing w:val="-6"/>
          <w:szCs w:val="20"/>
        </w:rPr>
        <w:t>. L</w:t>
      </w:r>
      <w:r w:rsidRPr="00241B34">
        <w:rPr>
          <w:rFonts w:cs="Arial"/>
          <w:color w:val="000000"/>
          <w:spacing w:val="-6"/>
          <w:szCs w:val="20"/>
        </w:rPr>
        <w:t>ze soudit, že tomu tak bylo i díky sousedství s novými členskými zeměm</w:t>
      </w:r>
      <w:r>
        <w:rPr>
          <w:rFonts w:cs="Arial"/>
          <w:color w:val="000000"/>
          <w:spacing w:val="-6"/>
          <w:szCs w:val="20"/>
        </w:rPr>
        <w:t>i</w:t>
      </w:r>
      <w:r w:rsidRPr="00241B34">
        <w:rPr>
          <w:rFonts w:cs="Arial"/>
          <w:color w:val="000000"/>
          <w:spacing w:val="-6"/>
          <w:szCs w:val="20"/>
        </w:rPr>
        <w:t xml:space="preserve"> </w:t>
      </w:r>
      <w:r>
        <w:rPr>
          <w:rFonts w:cs="Arial"/>
          <w:color w:val="000000"/>
          <w:spacing w:val="-6"/>
          <w:szCs w:val="20"/>
        </w:rPr>
        <w:t xml:space="preserve">a </w:t>
      </w:r>
      <w:r w:rsidRPr="00241B34">
        <w:rPr>
          <w:rFonts w:cs="Arial"/>
          <w:color w:val="000000"/>
          <w:spacing w:val="-6"/>
          <w:szCs w:val="20"/>
        </w:rPr>
        <w:t> jejich zesílenou poptávkou po zboží z Německa a Rakouska</w:t>
      </w:r>
      <w:r>
        <w:rPr>
          <w:rFonts w:cs="Arial"/>
          <w:color w:val="000000"/>
          <w:spacing w:val="-6"/>
          <w:szCs w:val="20"/>
        </w:rPr>
        <w:t xml:space="preserve"> nebo i atraktivitou pracovních trhů těchto dvou zemí. </w:t>
      </w:r>
      <w:r w:rsidRPr="00241B34">
        <w:rPr>
          <w:rFonts w:cs="Arial"/>
          <w:color w:val="000000"/>
          <w:spacing w:val="-6"/>
          <w:szCs w:val="20"/>
        </w:rPr>
        <w:t xml:space="preserve"> </w:t>
      </w:r>
    </w:p>
    <w:p w:rsidR="0008794F" w:rsidRPr="00241B34" w:rsidRDefault="0008794F" w:rsidP="00AC6A22">
      <w:pPr>
        <w:pStyle w:val="Odstavecseseznamem"/>
        <w:spacing w:line="240" w:lineRule="auto"/>
        <w:rPr>
          <w:rFonts w:cs="Arial"/>
          <w:color w:val="000000"/>
          <w:spacing w:val="-6"/>
          <w:sz w:val="12"/>
          <w:szCs w:val="12"/>
        </w:rPr>
      </w:pPr>
    </w:p>
    <w:p w:rsidR="0008794F" w:rsidRPr="0010520A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 w:rsidRPr="00241B34">
        <w:rPr>
          <w:rFonts w:cs="Arial"/>
          <w:color w:val="000000"/>
          <w:spacing w:val="-6"/>
          <w:szCs w:val="20"/>
        </w:rPr>
        <w:t>Co se týká hodnocení celého období 1998-2014, ekonomiku ČR „diskvalifikovaly“ dvě recese, kterými ekonomiky Rakouska ani Slovenska neprošly.  Přesto ji průměrný růst HDP (+2,4 %, stejný jako v letech 2004-2014) zajistil 13. místo mezi zeměmi EU. Rakousko jako jedna z nejstabilnějších zemí EU v letech 1998-2014 s mírně nadprůměrným růstem (+1,8 % oproti +1,6 %</w:t>
      </w:r>
      <w:r>
        <w:rPr>
          <w:rFonts w:cs="Arial"/>
          <w:color w:val="000000"/>
          <w:spacing w:val="-6"/>
          <w:szCs w:val="20"/>
        </w:rPr>
        <w:t xml:space="preserve"> v EU 28</w:t>
      </w:r>
      <w:r w:rsidRPr="00241B34">
        <w:rPr>
          <w:rFonts w:cs="Arial"/>
          <w:color w:val="000000"/>
          <w:spacing w:val="-6"/>
          <w:szCs w:val="20"/>
        </w:rPr>
        <w:t xml:space="preserve">) začalo více zpomalovat až v roce 2013 </w:t>
      </w:r>
      <w:r w:rsidRPr="0010520A">
        <w:rPr>
          <w:rFonts w:cs="Arial"/>
          <w:color w:val="000000"/>
          <w:spacing w:val="-6"/>
          <w:szCs w:val="20"/>
        </w:rPr>
        <w:t xml:space="preserve">a o rok později bylo s růstem HDP +0,3  % šestou nejméně ekonomicky úspěšnou zemí EU. </w:t>
      </w:r>
    </w:p>
    <w:p w:rsidR="0008794F" w:rsidRPr="003B5E1D" w:rsidRDefault="0008794F" w:rsidP="00AC6A22">
      <w:pPr>
        <w:pStyle w:val="Odstavecseseznamem"/>
        <w:spacing w:line="240" w:lineRule="auto"/>
        <w:rPr>
          <w:rFonts w:cs="Arial"/>
          <w:color w:val="000000"/>
          <w:sz w:val="12"/>
          <w:szCs w:val="12"/>
        </w:rPr>
      </w:pPr>
    </w:p>
    <w:p w:rsidR="0008794F" w:rsidRPr="0010520A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 w:rsidRPr="003C2D85">
        <w:rPr>
          <w:rFonts w:cs="Arial"/>
          <w:color w:val="000000"/>
          <w:spacing w:val="-2"/>
          <w:szCs w:val="20"/>
        </w:rPr>
        <w:t>Úspěch Slovenska neovlivnila jen slabá výchozí báze</w:t>
      </w:r>
      <w:r w:rsidR="007D7DD8">
        <w:rPr>
          <w:rFonts w:cs="Arial"/>
          <w:color w:val="000000"/>
          <w:spacing w:val="-2"/>
          <w:szCs w:val="20"/>
        </w:rPr>
        <w:t xml:space="preserve">, </w:t>
      </w:r>
      <w:r w:rsidRPr="003C2D85">
        <w:rPr>
          <w:rFonts w:cs="Arial"/>
          <w:color w:val="000000"/>
          <w:spacing w:val="-2"/>
          <w:szCs w:val="20"/>
        </w:rPr>
        <w:t>jak nabízí prvotní úvaha</w:t>
      </w:r>
      <w:r>
        <w:rPr>
          <w:rFonts w:cs="Arial"/>
          <w:color w:val="000000"/>
          <w:spacing w:val="-2"/>
          <w:szCs w:val="20"/>
        </w:rPr>
        <w:t xml:space="preserve"> platící</w:t>
      </w:r>
      <w:r w:rsidRPr="003C2D85">
        <w:rPr>
          <w:rFonts w:cs="Arial"/>
          <w:color w:val="000000"/>
          <w:spacing w:val="-2"/>
          <w:szCs w:val="20"/>
        </w:rPr>
        <w:t xml:space="preserve"> ale zejména pro </w:t>
      </w:r>
      <w:r>
        <w:rPr>
          <w:rFonts w:cs="Arial"/>
          <w:color w:val="000000"/>
          <w:spacing w:val="-2"/>
          <w:szCs w:val="20"/>
        </w:rPr>
        <w:t>P</w:t>
      </w:r>
      <w:r w:rsidRPr="003C2D85">
        <w:rPr>
          <w:rFonts w:cs="Arial"/>
          <w:color w:val="000000"/>
          <w:spacing w:val="-2"/>
          <w:szCs w:val="20"/>
        </w:rPr>
        <w:t>obalt</w:t>
      </w:r>
      <w:r w:rsidR="007D7DD8">
        <w:rPr>
          <w:rFonts w:cs="Arial"/>
          <w:color w:val="000000"/>
          <w:spacing w:val="-2"/>
          <w:szCs w:val="20"/>
        </w:rPr>
        <w:t xml:space="preserve">í. Byl to i </w:t>
      </w:r>
      <w:r w:rsidRPr="003C2D85">
        <w:rPr>
          <w:rFonts w:cs="Arial"/>
          <w:color w:val="000000"/>
          <w:spacing w:val="-2"/>
          <w:szCs w:val="20"/>
        </w:rPr>
        <w:t>příliv zahraničního kapitálu do konjunkturních odvětví, expanze export</w:t>
      </w:r>
      <w:r>
        <w:rPr>
          <w:rFonts w:cs="Arial"/>
          <w:color w:val="000000"/>
          <w:spacing w:val="-2"/>
          <w:szCs w:val="20"/>
        </w:rPr>
        <w:t xml:space="preserve">u z let </w:t>
      </w:r>
      <w:r w:rsidRPr="003C2D85">
        <w:rPr>
          <w:rFonts w:cs="Arial"/>
          <w:color w:val="000000"/>
          <w:spacing w:val="-2"/>
          <w:szCs w:val="20"/>
        </w:rPr>
        <w:t xml:space="preserve">2006-2008 a </w:t>
      </w:r>
      <w:r>
        <w:rPr>
          <w:rFonts w:cs="Arial"/>
          <w:color w:val="000000"/>
          <w:spacing w:val="-2"/>
          <w:szCs w:val="20"/>
        </w:rPr>
        <w:t>zejména</w:t>
      </w:r>
      <w:r w:rsidRPr="003C2D85">
        <w:rPr>
          <w:rFonts w:cs="Arial"/>
          <w:color w:val="000000"/>
          <w:spacing w:val="-2"/>
          <w:szCs w:val="20"/>
        </w:rPr>
        <w:t xml:space="preserve"> po roce 2010, klíčové reformy a prováděná fiskální politika. Jde o zvláštní kombinaci </w:t>
      </w:r>
      <w:r>
        <w:rPr>
          <w:rFonts w:cs="Arial"/>
          <w:color w:val="000000"/>
          <w:spacing w:val="-2"/>
          <w:szCs w:val="20"/>
        </w:rPr>
        <w:t xml:space="preserve">liberálních reforem, ale </w:t>
      </w:r>
      <w:r w:rsidRPr="003C2D85">
        <w:rPr>
          <w:rFonts w:cs="Arial"/>
          <w:color w:val="000000"/>
          <w:spacing w:val="-2"/>
          <w:szCs w:val="20"/>
        </w:rPr>
        <w:t>i keynesiánského modelu hospodářské politiky v některých obdobích. Relativně uvolněná fiskální politika umožňovala penězi „pumpovanými“ státem do slovenské ekonomiky dynamizovat její růst</w:t>
      </w:r>
      <w:r w:rsidRPr="0010520A">
        <w:rPr>
          <w:rFonts w:cs="Arial"/>
          <w:color w:val="000000"/>
          <w:spacing w:val="-6"/>
          <w:szCs w:val="20"/>
        </w:rPr>
        <w:t>.</w:t>
      </w:r>
    </w:p>
    <w:p w:rsidR="0008794F" w:rsidRPr="003B5E1D" w:rsidRDefault="0008794F" w:rsidP="00AC6A22">
      <w:pPr>
        <w:pStyle w:val="Odstavecseseznamem"/>
        <w:spacing w:line="240" w:lineRule="auto"/>
        <w:rPr>
          <w:rFonts w:cs="Arial"/>
          <w:color w:val="000000"/>
          <w:spacing w:val="-6"/>
          <w:sz w:val="12"/>
          <w:szCs w:val="12"/>
        </w:rPr>
      </w:pPr>
    </w:p>
    <w:p w:rsidR="0008794F" w:rsidRPr="0010520A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 w:rsidRPr="0010520A">
        <w:rPr>
          <w:rFonts w:cs="Arial"/>
          <w:szCs w:val="20"/>
        </w:rPr>
        <w:t xml:space="preserve">Právě kumulace deficitů </w:t>
      </w:r>
      <w:r>
        <w:rPr>
          <w:rFonts w:cs="Arial"/>
          <w:szCs w:val="20"/>
        </w:rPr>
        <w:t xml:space="preserve">vládních institucí </w:t>
      </w:r>
      <w:r w:rsidRPr="0010520A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 xml:space="preserve">jejich </w:t>
      </w:r>
      <w:r w:rsidRPr="0010520A">
        <w:rPr>
          <w:rFonts w:cs="Arial"/>
          <w:szCs w:val="20"/>
        </w:rPr>
        <w:t xml:space="preserve">hrubého konsolidovaného dluhu vedla za léta 1995-2014 k jeho absolutnímu zvětšení (v eurech) v ČR 10,7krát a v SR 12,2krát (vyjádřeno v národní měně stoupl dluh 8,5krát, resp. 9,4krát). </w:t>
      </w:r>
      <w:r w:rsidRPr="0010520A">
        <w:rPr>
          <w:rFonts w:cs="Arial"/>
          <w:color w:val="000000"/>
          <w:spacing w:val="-6"/>
          <w:szCs w:val="20"/>
        </w:rPr>
        <w:t xml:space="preserve">S jistým zjednodušením lze tedy říci, že slovenský růst byl tažen </w:t>
      </w:r>
      <w:r>
        <w:rPr>
          <w:rFonts w:cs="Arial"/>
          <w:color w:val="000000"/>
          <w:spacing w:val="-6"/>
          <w:szCs w:val="20"/>
        </w:rPr>
        <w:t xml:space="preserve">v tomto období </w:t>
      </w:r>
      <w:r w:rsidRPr="0010520A">
        <w:rPr>
          <w:rFonts w:cs="Arial"/>
          <w:color w:val="000000"/>
          <w:spacing w:val="-6"/>
          <w:szCs w:val="20"/>
        </w:rPr>
        <w:t>hospodářskou politikou využívající ve velké míře dluh, tj. rychle rostoucí výdaje vládníc</w:t>
      </w:r>
      <w:r>
        <w:rPr>
          <w:rFonts w:cs="Arial"/>
          <w:color w:val="000000"/>
          <w:spacing w:val="-6"/>
          <w:szCs w:val="20"/>
        </w:rPr>
        <w:t xml:space="preserve">h institucí, a že tato politika </w:t>
      </w:r>
      <w:r w:rsidRPr="0010520A">
        <w:rPr>
          <w:rFonts w:cs="Arial"/>
          <w:color w:val="000000"/>
          <w:spacing w:val="-6"/>
          <w:szCs w:val="20"/>
        </w:rPr>
        <w:t>vedla k podpoře ekonomického růstu Slovenska</w:t>
      </w:r>
    </w:p>
    <w:p w:rsidR="0008794F" w:rsidRPr="00241B34" w:rsidRDefault="0008794F" w:rsidP="00AC6A22">
      <w:pPr>
        <w:pStyle w:val="Odstavecseseznamem"/>
        <w:spacing w:line="240" w:lineRule="auto"/>
        <w:rPr>
          <w:rFonts w:cs="Arial"/>
          <w:color w:val="000000"/>
          <w:spacing w:val="-6"/>
          <w:sz w:val="12"/>
          <w:szCs w:val="12"/>
        </w:rPr>
      </w:pPr>
    </w:p>
    <w:p w:rsidR="0008794F" w:rsidRPr="006625BA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 w:rsidRPr="006625BA">
        <w:rPr>
          <w:rFonts w:cs="Arial"/>
          <w:color w:val="000000"/>
          <w:spacing w:val="-6"/>
          <w:szCs w:val="20"/>
        </w:rPr>
        <w:t xml:space="preserve">Celkové vzepětí </w:t>
      </w:r>
      <w:r>
        <w:rPr>
          <w:rFonts w:cs="Arial"/>
          <w:color w:val="000000"/>
          <w:spacing w:val="-6"/>
          <w:szCs w:val="20"/>
        </w:rPr>
        <w:t>všech tří</w:t>
      </w:r>
      <w:r w:rsidRPr="006625BA">
        <w:rPr>
          <w:rFonts w:cs="Arial"/>
          <w:color w:val="000000"/>
          <w:spacing w:val="-6"/>
          <w:szCs w:val="20"/>
        </w:rPr>
        <w:t xml:space="preserve"> ekonomik </w:t>
      </w:r>
      <w:r>
        <w:rPr>
          <w:rFonts w:cs="Arial"/>
          <w:color w:val="000000"/>
          <w:spacing w:val="-6"/>
          <w:szCs w:val="20"/>
        </w:rPr>
        <w:t xml:space="preserve">bylo za posledních sedmnáct let </w:t>
      </w:r>
      <w:r w:rsidRPr="006625BA">
        <w:rPr>
          <w:rFonts w:cs="Arial"/>
          <w:color w:val="000000"/>
          <w:spacing w:val="-6"/>
          <w:szCs w:val="20"/>
        </w:rPr>
        <w:t>silnější než za EU jako celek. Jestliže výkon hospodářství EU 28 byl v roce 2014 proti výkonu v roce 1998 vyšší o více než čtvrtinu (+26,3 %), pak všechny tři země sledované v této analýze tento procentní přírůstek překonaly. Nejvíce Slovensko, jehož HDP byl v roce 2014 vyšší proti roku 1998 o plné tři čtvrtiny (+76,3 %). Tempo celé</w:t>
      </w:r>
      <w:r w:rsidR="00FA5FB4">
        <w:rPr>
          <w:rFonts w:cs="Arial"/>
          <w:color w:val="000000"/>
          <w:spacing w:val="-6"/>
          <w:szCs w:val="20"/>
        </w:rPr>
        <w:t xml:space="preserve"> U</w:t>
      </w:r>
      <w:r w:rsidRPr="006625BA">
        <w:rPr>
          <w:rFonts w:cs="Arial"/>
          <w:color w:val="000000"/>
          <w:spacing w:val="-6"/>
          <w:szCs w:val="20"/>
        </w:rPr>
        <w:t xml:space="preserve">nie tedy slovenský HDP svou dynamikou překonal třikrát. </w:t>
      </w:r>
    </w:p>
    <w:p w:rsidR="0008794F" w:rsidRPr="00241B34" w:rsidRDefault="0008794F" w:rsidP="00AC6A22">
      <w:pPr>
        <w:pStyle w:val="Odstavecseseznamem"/>
        <w:spacing w:line="240" w:lineRule="auto"/>
        <w:rPr>
          <w:rFonts w:cs="Arial"/>
          <w:color w:val="000000"/>
          <w:spacing w:val="-6"/>
          <w:sz w:val="12"/>
          <w:szCs w:val="12"/>
        </w:rPr>
      </w:pPr>
    </w:p>
    <w:p w:rsidR="0008794F" w:rsidRPr="004138DE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 w:rsidRPr="004138DE">
        <w:rPr>
          <w:rFonts w:cs="Arial"/>
          <w:color w:val="000000"/>
          <w:spacing w:val="-6"/>
          <w:szCs w:val="20"/>
        </w:rPr>
        <w:t xml:space="preserve">Výkonnost České republiky stoupla během let 1998-2014 také velmi výrazně, i když ne s takovou intenzitou jako v případě Slovenska. Její HDP byl v koncovém roce 2014 o téměř polovinu vyšší (+48,3 %) než v roce 1998 a ve srovnání s přírůstkem za EU 28 byl vyšší dvakrát. </w:t>
      </w:r>
    </w:p>
    <w:p w:rsidR="0008794F" w:rsidRPr="00241B34" w:rsidRDefault="0008794F" w:rsidP="00AC6A22">
      <w:pPr>
        <w:pStyle w:val="Odstavecseseznamem"/>
        <w:spacing w:line="240" w:lineRule="auto"/>
        <w:rPr>
          <w:rFonts w:cs="Arial"/>
          <w:color w:val="000000"/>
          <w:spacing w:val="-6"/>
          <w:sz w:val="12"/>
          <w:szCs w:val="12"/>
        </w:rPr>
      </w:pPr>
    </w:p>
    <w:p w:rsidR="0008794F" w:rsidRPr="004138DE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 w:rsidRPr="004138DE">
        <w:rPr>
          <w:rFonts w:cs="Arial"/>
          <w:color w:val="000000"/>
          <w:spacing w:val="-6"/>
          <w:szCs w:val="20"/>
        </w:rPr>
        <w:t xml:space="preserve">Nárůst rakouského HDP v roce 2014 ve srovnání s rokem 1998 </w:t>
      </w:r>
      <w:r>
        <w:rPr>
          <w:rFonts w:cs="Arial"/>
          <w:color w:val="000000"/>
          <w:spacing w:val="-6"/>
          <w:szCs w:val="20"/>
        </w:rPr>
        <w:t>činil</w:t>
      </w:r>
      <w:r w:rsidRPr="004138DE">
        <w:rPr>
          <w:rFonts w:cs="Arial"/>
          <w:color w:val="000000"/>
          <w:spacing w:val="-6"/>
          <w:szCs w:val="20"/>
        </w:rPr>
        <w:t xml:space="preserve"> téměř třetinu (+29,3 %)</w:t>
      </w:r>
      <w:r>
        <w:rPr>
          <w:rFonts w:cs="Arial"/>
          <w:color w:val="000000"/>
          <w:spacing w:val="-6"/>
          <w:szCs w:val="20"/>
        </w:rPr>
        <w:t>.</w:t>
      </w:r>
      <w:r w:rsidRPr="004138DE">
        <w:rPr>
          <w:rFonts w:cs="Arial"/>
          <w:color w:val="000000"/>
          <w:spacing w:val="-6"/>
          <w:szCs w:val="20"/>
        </w:rPr>
        <w:t xml:space="preserve"> I když se zdá, že proti nárůstu za celou EU 28 (+26,3 %) </w:t>
      </w:r>
      <w:r w:rsidRPr="00FC35B9">
        <w:rPr>
          <w:rFonts w:cs="Arial"/>
          <w:color w:val="000000"/>
          <w:spacing w:val="-4"/>
          <w:szCs w:val="20"/>
        </w:rPr>
        <w:t>nejde</w:t>
      </w:r>
      <w:r w:rsidRPr="004138DE">
        <w:rPr>
          <w:rFonts w:cs="Arial"/>
          <w:color w:val="000000"/>
          <w:spacing w:val="-6"/>
          <w:szCs w:val="20"/>
        </w:rPr>
        <w:t xml:space="preserve"> o významný rozdíl v nárůstu, </w:t>
      </w:r>
      <w:r>
        <w:rPr>
          <w:rFonts w:cs="Arial"/>
          <w:color w:val="000000"/>
          <w:spacing w:val="-6"/>
          <w:szCs w:val="20"/>
        </w:rPr>
        <w:t>ukazuje</w:t>
      </w:r>
      <w:r w:rsidRPr="004138DE">
        <w:rPr>
          <w:rFonts w:cs="Arial"/>
          <w:color w:val="000000"/>
          <w:spacing w:val="-6"/>
          <w:szCs w:val="20"/>
        </w:rPr>
        <w:t xml:space="preserve"> unijní žebříček zřetelně, že Rakousko zvýšilo svůj HDP více než dalších sedm nejvyspělejších zemí skupiny EU 15, jako je např. Německo, Francie, Nizozemí, Dánsko (naopak ale </w:t>
      </w:r>
      <w:r>
        <w:rPr>
          <w:rFonts w:cs="Arial"/>
          <w:color w:val="000000"/>
          <w:spacing w:val="-6"/>
          <w:szCs w:val="20"/>
        </w:rPr>
        <w:t xml:space="preserve">méně než např. Irsko s +80 %, </w:t>
      </w:r>
      <w:r w:rsidRPr="004138DE">
        <w:rPr>
          <w:rFonts w:cs="Arial"/>
          <w:color w:val="000000"/>
          <w:spacing w:val="-6"/>
          <w:szCs w:val="20"/>
        </w:rPr>
        <w:t xml:space="preserve">Švédsko s +42,9 % anebo Spojené království s +36,1 %). Z tohoto pohledu je zlepšení ekonomické výkonnosti Rakouska za roky 1998-2014 významné. </w:t>
      </w:r>
    </w:p>
    <w:p w:rsidR="0008794F" w:rsidRPr="00241B34" w:rsidRDefault="0008794F" w:rsidP="00AC6A22">
      <w:pPr>
        <w:pStyle w:val="Odstavecseseznamem"/>
        <w:spacing w:line="240" w:lineRule="auto"/>
        <w:rPr>
          <w:rFonts w:cs="Arial"/>
          <w:color w:val="000000"/>
          <w:spacing w:val="-6"/>
          <w:sz w:val="12"/>
          <w:szCs w:val="12"/>
        </w:rPr>
      </w:pPr>
    </w:p>
    <w:p w:rsidR="0008794F" w:rsidRDefault="00FA5FB4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>
        <w:rPr>
          <w:rFonts w:cs="Arial"/>
          <w:color w:val="000000"/>
          <w:spacing w:val="-6"/>
          <w:szCs w:val="20"/>
        </w:rPr>
        <w:t>V</w:t>
      </w:r>
      <w:r w:rsidR="0008794F" w:rsidRPr="004138DE">
        <w:rPr>
          <w:rFonts w:cs="Arial"/>
          <w:color w:val="000000"/>
          <w:spacing w:val="-6"/>
          <w:szCs w:val="20"/>
        </w:rPr>
        <w:t xml:space="preserve"> nejsilnější konjunktuře na přelomu minulé dekády rostl HDP Slovenska reálně v průměru let 2005-2008 každ</w:t>
      </w:r>
      <w:r w:rsidR="0008794F">
        <w:rPr>
          <w:rFonts w:cs="Arial"/>
          <w:color w:val="000000"/>
          <w:spacing w:val="-6"/>
          <w:szCs w:val="20"/>
        </w:rPr>
        <w:t>oročně</w:t>
      </w:r>
      <w:r w:rsidR="0008794F" w:rsidRPr="004138DE">
        <w:rPr>
          <w:rFonts w:cs="Arial"/>
          <w:color w:val="000000"/>
          <w:spacing w:val="-6"/>
          <w:szCs w:val="20"/>
        </w:rPr>
        <w:t xml:space="preserve"> o 7,9 %, ČR o 5,4 % a Rakouska o 2,7 %</w:t>
      </w:r>
      <w:r>
        <w:rPr>
          <w:rFonts w:cs="Arial"/>
          <w:color w:val="000000"/>
          <w:spacing w:val="-6"/>
          <w:szCs w:val="20"/>
        </w:rPr>
        <w:t xml:space="preserve">. Jak plyne z již uvedených silných temp růstu slovenské ekonomiky, </w:t>
      </w:r>
      <w:r w:rsidR="0008794F" w:rsidRPr="004138DE">
        <w:rPr>
          <w:rFonts w:cs="Arial"/>
          <w:color w:val="000000"/>
          <w:spacing w:val="-6"/>
          <w:szCs w:val="20"/>
        </w:rPr>
        <w:t>SR velmi úspěšná i pokud jde nárůst výkonnosti vztažené k roku 2004. Její HDP byl v roce 2014 vyšší o téměř polovinu (+4</w:t>
      </w:r>
      <w:r w:rsidR="0008794F">
        <w:rPr>
          <w:rFonts w:cs="Arial"/>
          <w:color w:val="000000"/>
          <w:spacing w:val="-6"/>
          <w:szCs w:val="20"/>
        </w:rPr>
        <w:t>5,8</w:t>
      </w:r>
      <w:r w:rsidR="0008794F" w:rsidRPr="004138DE">
        <w:rPr>
          <w:rFonts w:cs="Arial"/>
          <w:color w:val="000000"/>
          <w:spacing w:val="-6"/>
          <w:szCs w:val="20"/>
        </w:rPr>
        <w:t xml:space="preserve"> %), což byl ne</w:t>
      </w:r>
      <w:r w:rsidR="0008794F">
        <w:rPr>
          <w:rFonts w:cs="Arial"/>
          <w:color w:val="000000"/>
          <w:spacing w:val="-6"/>
          <w:szCs w:val="20"/>
        </w:rPr>
        <w:t>j</w:t>
      </w:r>
      <w:r w:rsidR="0008794F" w:rsidRPr="004138DE">
        <w:rPr>
          <w:rFonts w:cs="Arial"/>
          <w:color w:val="000000"/>
          <w:spacing w:val="-6"/>
          <w:szCs w:val="20"/>
        </w:rPr>
        <w:t xml:space="preserve">větší nárůst ze všech evropských zemí. Výkonnost české ekonomiky stoupla od vstupu do Unie o </w:t>
      </w:r>
      <w:r w:rsidR="0008794F">
        <w:rPr>
          <w:rFonts w:cs="Arial"/>
          <w:color w:val="000000"/>
          <w:spacing w:val="-6"/>
          <w:szCs w:val="20"/>
        </w:rPr>
        <w:t xml:space="preserve">23 %, Rakouska o 13,6 %. Všechny tři země tak výrazně překonaly výkonnost EU (+9,7 % proti roku 2004). Ta byla ovlivněna krizemi veřejných rozpočtů periferních zemí Unie </w:t>
      </w:r>
      <w:r w:rsidR="0008794F">
        <w:rPr>
          <w:rFonts w:cs="Arial"/>
          <w:color w:val="000000"/>
          <w:spacing w:val="-6"/>
          <w:szCs w:val="20"/>
        </w:rPr>
        <w:lastRenderedPageBreak/>
        <w:t xml:space="preserve">patrnými zejména od roku 2009 anebo nároky na rozpočty těch členů EU, které těmto zemím poskytovaly finanční pomoc. </w:t>
      </w:r>
    </w:p>
    <w:p w:rsidR="0008794F" w:rsidRPr="00FF35E3" w:rsidRDefault="0008794F" w:rsidP="00AC6A22">
      <w:pPr>
        <w:pStyle w:val="Odstavecseseznamem"/>
        <w:spacing w:line="240" w:lineRule="auto"/>
        <w:rPr>
          <w:rFonts w:cs="Arial"/>
          <w:color w:val="000000"/>
          <w:spacing w:val="-6"/>
          <w:sz w:val="12"/>
          <w:szCs w:val="12"/>
        </w:rPr>
      </w:pPr>
    </w:p>
    <w:p w:rsidR="0008794F" w:rsidRPr="00743AE1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szCs w:val="20"/>
        </w:rPr>
      </w:pPr>
      <w:r w:rsidRPr="00743AE1">
        <w:rPr>
          <w:rFonts w:cs="Arial"/>
          <w:color w:val="000000"/>
          <w:spacing w:val="-6"/>
          <w:szCs w:val="20"/>
        </w:rPr>
        <w:t xml:space="preserve">Od roku 2010 je patrná značná diverzifikace temp růstu ekonomik ČR, SR a Rakouska. Příčina velmi slabého přírůstku HDP ČR v roce 2014 proti roku 2010 (+2,5 %) spočívá ve dvouleté recesi. Znatelná ztráta dynamiky HDP Rakouska v letech 2013 a 2014 přesto ukázala čtyřletý přírůstek o 4,3 % a slovenská ekonomika si i v tomto období vedla oproti dvěma sledovaným zemím nejlépe (+8,6 %). </w:t>
      </w:r>
    </w:p>
    <w:p w:rsidR="0008794F" w:rsidRPr="0089783D" w:rsidRDefault="0008794F" w:rsidP="00AC6A22">
      <w:pPr>
        <w:pStyle w:val="Odstavecseseznamem"/>
        <w:spacing w:line="240" w:lineRule="auto"/>
        <w:rPr>
          <w:rFonts w:cs="Arial"/>
          <w:color w:val="000000"/>
          <w:sz w:val="12"/>
          <w:szCs w:val="12"/>
        </w:rPr>
      </w:pPr>
    </w:p>
    <w:p w:rsidR="0008794F" w:rsidRPr="00BD0D8B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szCs w:val="20"/>
        </w:rPr>
      </w:pPr>
      <w:r w:rsidRPr="00826C6A">
        <w:rPr>
          <w:rFonts w:cs="Arial"/>
          <w:spacing w:val="-2"/>
          <w:szCs w:val="20"/>
        </w:rPr>
        <w:t xml:space="preserve">Důvody a hlavní faktory ovlivňující ekonomický vývoj ČR, SR a Rakouska jsou detailně graficky zobrazeny a podrobně komentovány v kapitole 4 </w:t>
      </w:r>
      <w:proofErr w:type="gramStart"/>
      <w:r w:rsidRPr="00826C6A">
        <w:rPr>
          <w:rFonts w:cs="Arial"/>
          <w:spacing w:val="-2"/>
          <w:szCs w:val="20"/>
        </w:rPr>
        <w:t>této</w:t>
      </w:r>
      <w:proofErr w:type="gramEnd"/>
      <w:r w:rsidRPr="00826C6A">
        <w:rPr>
          <w:rFonts w:cs="Arial"/>
          <w:spacing w:val="-2"/>
          <w:szCs w:val="20"/>
        </w:rPr>
        <w:t xml:space="preserve"> studie. Plyne z nich silná role (nárůst) fixních investic v ekonomice ČR proti SR, Rakousku i EU. Nedostatečný multiplikační efekt těchto investic v ČR lze zřejmě zčásti přičíst vyšší váze investic „neproduktivního“ typu. Výdaje na konečnou spotřebu se zvýšily nejv</w:t>
      </w:r>
      <w:r>
        <w:rPr>
          <w:rFonts w:cs="Arial"/>
          <w:spacing w:val="-2"/>
          <w:szCs w:val="20"/>
        </w:rPr>
        <w:t>ýrazněji</w:t>
      </w:r>
      <w:r w:rsidRPr="00826C6A">
        <w:rPr>
          <w:rFonts w:cs="Arial"/>
          <w:spacing w:val="-2"/>
          <w:szCs w:val="20"/>
        </w:rPr>
        <w:t xml:space="preserve"> na Slovensku (zejména u vládních institucí), stejně jako export zboží a služeb. Nejvíce ze všech tří zemí i EU narostl import zboží a služeb do České republiky, což indikuje její významný </w:t>
      </w:r>
      <w:proofErr w:type="spellStart"/>
      <w:r w:rsidRPr="00826C6A">
        <w:rPr>
          <w:rFonts w:cs="Arial"/>
          <w:spacing w:val="-2"/>
          <w:szCs w:val="20"/>
        </w:rPr>
        <w:t>přepracovatelský</w:t>
      </w:r>
      <w:proofErr w:type="spellEnd"/>
      <w:r w:rsidRPr="00826C6A">
        <w:rPr>
          <w:rFonts w:cs="Arial"/>
          <w:spacing w:val="-2"/>
          <w:szCs w:val="20"/>
        </w:rPr>
        <w:t xml:space="preserve"> charakter. Ve vývozu samotných služeb dominuje nad přírůstky v ČR a SR jeho nárůst v Rakousku, což může souviset s tamější intenzitou cestovního ruchu a inkasem těchto příjmů</w:t>
      </w:r>
      <w:r w:rsidRPr="00BD0D8B">
        <w:rPr>
          <w:rFonts w:cs="Arial"/>
          <w:szCs w:val="20"/>
        </w:rPr>
        <w:t>.</w:t>
      </w:r>
    </w:p>
    <w:p w:rsidR="0008794F" w:rsidRPr="0089783D" w:rsidRDefault="0008794F" w:rsidP="00AC6A22">
      <w:pPr>
        <w:pStyle w:val="Odstavecseseznamem"/>
        <w:spacing w:line="240" w:lineRule="auto"/>
        <w:rPr>
          <w:rFonts w:cs="Arial"/>
          <w:sz w:val="12"/>
          <w:szCs w:val="12"/>
        </w:rPr>
      </w:pPr>
    </w:p>
    <w:p w:rsidR="0008794F" w:rsidRPr="00826C6A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spacing w:val="-2"/>
          <w:szCs w:val="20"/>
        </w:rPr>
      </w:pPr>
      <w:r w:rsidRPr="00826C6A">
        <w:rPr>
          <w:rFonts w:cs="Arial"/>
          <w:spacing w:val="-2"/>
          <w:szCs w:val="20"/>
        </w:rPr>
        <w:t>ČR ani SR oproti Rakousku „ekonomikami služeb“ nejsou. Plyne to jak ze zahraničního obchodu s nimi, tak i ze struktury (vah) produkčních odvětví na celkově vytvořené přidané hodnotě (podrobněji rozebrané v kapitole 5).</w:t>
      </w:r>
      <w:r w:rsidRPr="00826C6A">
        <w:rPr>
          <w:rFonts w:cs="Arial"/>
          <w:color w:val="000000"/>
          <w:spacing w:val="-2"/>
          <w:szCs w:val="20"/>
        </w:rPr>
        <w:t xml:space="preserve"> Ekonomiky ČR a SR jsou, pokud jde o export, orientovány především „zbožově“. Největší nárůst dovozu zboží a služeb v případě České republiky opět indikuje oproti Slovensku vyšší dovozně-vývozní orientaci ČR spojenou zřejmě i s vyšším podílem firem pod zahraniční kontrolou.  Lze na to soudit z větší intenzity vztahů s nerezidenty v případě České republiky projevující se </w:t>
      </w:r>
      <w:r>
        <w:rPr>
          <w:rFonts w:cs="Arial"/>
          <w:color w:val="000000"/>
          <w:spacing w:val="-2"/>
          <w:szCs w:val="20"/>
        </w:rPr>
        <w:t xml:space="preserve">během uvedeného období </w:t>
      </w:r>
      <w:r w:rsidRPr="00826C6A">
        <w:rPr>
          <w:rFonts w:cs="Arial"/>
          <w:color w:val="000000"/>
          <w:spacing w:val="-2"/>
          <w:szCs w:val="20"/>
        </w:rPr>
        <w:t>v přelévání (odlivu) prvotních dů</w:t>
      </w:r>
      <w:r>
        <w:rPr>
          <w:rFonts w:cs="Arial"/>
          <w:color w:val="000000"/>
          <w:spacing w:val="-2"/>
          <w:szCs w:val="20"/>
        </w:rPr>
        <w:t>ch</w:t>
      </w:r>
      <w:r w:rsidRPr="00826C6A">
        <w:rPr>
          <w:rFonts w:cs="Arial"/>
          <w:color w:val="000000"/>
          <w:spacing w:val="-2"/>
          <w:szCs w:val="20"/>
        </w:rPr>
        <w:t>odů (dividendy</w:t>
      </w:r>
      <w:r w:rsidR="00DD1BD3">
        <w:rPr>
          <w:rFonts w:cs="Arial"/>
          <w:color w:val="000000"/>
          <w:spacing w:val="-2"/>
          <w:szCs w:val="20"/>
        </w:rPr>
        <w:t xml:space="preserve">, ale </w:t>
      </w:r>
      <w:r w:rsidRPr="00826C6A">
        <w:rPr>
          <w:rFonts w:cs="Arial"/>
          <w:color w:val="000000"/>
          <w:spacing w:val="-2"/>
          <w:szCs w:val="20"/>
        </w:rPr>
        <w:t>i „mzdové“ saldo mezi náhradami zaměstnanců-rezidentů v zahraničí a zahraničních pracovníků-nerezidentů v ČR).</w:t>
      </w:r>
    </w:p>
    <w:p w:rsidR="0008794F" w:rsidRPr="0089783D" w:rsidRDefault="0008794F" w:rsidP="00AC6A22">
      <w:pPr>
        <w:pStyle w:val="Odstavecseseznamem"/>
        <w:spacing w:line="240" w:lineRule="auto"/>
        <w:rPr>
          <w:rFonts w:cs="Arial"/>
          <w:color w:val="000000"/>
          <w:spacing w:val="-6"/>
          <w:sz w:val="12"/>
          <w:szCs w:val="12"/>
        </w:rPr>
      </w:pPr>
    </w:p>
    <w:p w:rsidR="0008794F" w:rsidRPr="009F10EF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spacing w:val="-6"/>
          <w:szCs w:val="20"/>
        </w:rPr>
      </w:pPr>
      <w:r w:rsidRPr="009F10EF">
        <w:rPr>
          <w:rFonts w:cs="Arial"/>
          <w:color w:val="000000"/>
          <w:spacing w:val="-6"/>
          <w:szCs w:val="20"/>
        </w:rPr>
        <w:t>Saldo s nerezidenty má totiž ČR již dlouhou dobu podstatně vyšší než SR jak absolutně (což by bylo možné zdůvodnit větší velikostí ekonomiky), tak i relativně. V roce 2014 bylo v  ČR saldo s </w:t>
      </w:r>
      <w:r>
        <w:rPr>
          <w:rFonts w:cs="Arial"/>
          <w:color w:val="000000"/>
          <w:spacing w:val="-6"/>
          <w:szCs w:val="20"/>
        </w:rPr>
        <w:t>nerezidenty záporné ve výši 10,5</w:t>
      </w:r>
      <w:r w:rsidRPr="009F10EF">
        <w:rPr>
          <w:rFonts w:cs="Arial"/>
          <w:color w:val="000000"/>
          <w:spacing w:val="-6"/>
          <w:szCs w:val="20"/>
        </w:rPr>
        <w:t xml:space="preserve"> mld. eur, na Slovensku ve výši 2,</w:t>
      </w:r>
      <w:r>
        <w:rPr>
          <w:rFonts w:cs="Arial"/>
          <w:color w:val="000000"/>
          <w:spacing w:val="-6"/>
          <w:szCs w:val="20"/>
        </w:rPr>
        <w:t>4</w:t>
      </w:r>
      <w:r w:rsidRPr="009F10EF">
        <w:rPr>
          <w:rFonts w:cs="Arial"/>
          <w:color w:val="000000"/>
          <w:spacing w:val="-6"/>
          <w:szCs w:val="20"/>
        </w:rPr>
        <w:t xml:space="preserve"> mld. eur. Česká ekonomika je tedy v daleko větší míře ekonomikou exportně-dovozního typu než S</w:t>
      </w:r>
      <w:r>
        <w:rPr>
          <w:rFonts w:cs="Arial"/>
          <w:color w:val="000000"/>
          <w:spacing w:val="-6"/>
          <w:szCs w:val="20"/>
        </w:rPr>
        <w:t>R</w:t>
      </w:r>
      <w:r w:rsidRPr="009F10EF">
        <w:rPr>
          <w:rFonts w:cs="Arial"/>
          <w:color w:val="000000"/>
          <w:spacing w:val="-6"/>
          <w:szCs w:val="20"/>
        </w:rPr>
        <w:t xml:space="preserve"> nebo Rakousko a její </w:t>
      </w:r>
      <w:proofErr w:type="spellStart"/>
      <w:r w:rsidRPr="009F10EF">
        <w:rPr>
          <w:rFonts w:cs="Arial"/>
          <w:color w:val="000000"/>
          <w:spacing w:val="-6"/>
          <w:szCs w:val="20"/>
        </w:rPr>
        <w:t>přepracovatelský</w:t>
      </w:r>
      <w:proofErr w:type="spellEnd"/>
      <w:r w:rsidRPr="009F10EF">
        <w:rPr>
          <w:rFonts w:cs="Arial"/>
          <w:color w:val="000000"/>
          <w:spacing w:val="-6"/>
          <w:szCs w:val="20"/>
        </w:rPr>
        <w:t xml:space="preserve"> charakter v kombinaci s významnou vahou firem zahraničních investorů v ekonomice ČR je tím také zřetelnější.</w:t>
      </w:r>
    </w:p>
    <w:p w:rsidR="0008794F" w:rsidRPr="009F10EF" w:rsidRDefault="0008794F" w:rsidP="00AC6A22">
      <w:pPr>
        <w:pStyle w:val="Odstavecseseznamem"/>
        <w:spacing w:line="240" w:lineRule="auto"/>
        <w:rPr>
          <w:rFonts w:cs="Arial"/>
          <w:sz w:val="12"/>
          <w:szCs w:val="12"/>
        </w:rPr>
      </w:pPr>
    </w:p>
    <w:p w:rsidR="0008794F" w:rsidRPr="009F10EF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szCs w:val="20"/>
        </w:rPr>
      </w:pPr>
      <w:r w:rsidRPr="009F10EF">
        <w:rPr>
          <w:rFonts w:cs="Arial"/>
          <w:szCs w:val="20"/>
        </w:rPr>
        <w:t xml:space="preserve">Ekonomiku ČR charakterizuje významně vyšší podíl průmyslu na </w:t>
      </w:r>
      <w:r>
        <w:rPr>
          <w:rFonts w:cs="Arial"/>
          <w:szCs w:val="20"/>
        </w:rPr>
        <w:t xml:space="preserve">celkově </w:t>
      </w:r>
      <w:r w:rsidRPr="009F10EF">
        <w:rPr>
          <w:rFonts w:cs="Arial"/>
          <w:szCs w:val="20"/>
        </w:rPr>
        <w:t xml:space="preserve">vytvářené hrubé přidané hodnotě, a to nejen ve srovnání s Rakouskem, ale už i se Slovenskou republikou. Byl však vyšší již v roce 1998. Ze struktur </w:t>
      </w:r>
      <w:r>
        <w:rPr>
          <w:rFonts w:cs="Arial"/>
          <w:szCs w:val="20"/>
        </w:rPr>
        <w:t xml:space="preserve">např. </w:t>
      </w:r>
      <w:r w:rsidRPr="009F10EF">
        <w:rPr>
          <w:rFonts w:cs="Arial"/>
          <w:szCs w:val="20"/>
        </w:rPr>
        <w:t>plyne i překvapivě nízká vá</w:t>
      </w:r>
      <w:r w:rsidR="007D7DD8">
        <w:rPr>
          <w:rFonts w:cs="Arial"/>
          <w:szCs w:val="20"/>
        </w:rPr>
        <w:t>h</w:t>
      </w:r>
      <w:r w:rsidRPr="009F10EF">
        <w:rPr>
          <w:rFonts w:cs="Arial"/>
          <w:szCs w:val="20"/>
        </w:rPr>
        <w:t>a odvětví ICT v rakouské ekonomice ve srovnání zejména s ČR, sílící podíl stavebnictví v ekonomice SR</w:t>
      </w:r>
      <w:r>
        <w:rPr>
          <w:rFonts w:cs="Arial"/>
          <w:szCs w:val="20"/>
        </w:rPr>
        <w:t xml:space="preserve"> aj.</w:t>
      </w:r>
    </w:p>
    <w:p w:rsidR="0008794F" w:rsidRPr="009F10EF" w:rsidRDefault="0008794F" w:rsidP="00AC6A22">
      <w:pPr>
        <w:pStyle w:val="Odstavecseseznamem"/>
        <w:spacing w:line="240" w:lineRule="auto"/>
        <w:rPr>
          <w:rFonts w:cs="Arial"/>
          <w:sz w:val="12"/>
          <w:szCs w:val="12"/>
        </w:rPr>
      </w:pPr>
    </w:p>
    <w:p w:rsidR="0008794F" w:rsidRPr="009F10EF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spacing w:val="-6"/>
          <w:szCs w:val="20"/>
        </w:rPr>
      </w:pPr>
      <w:r w:rsidRPr="009F10EF">
        <w:rPr>
          <w:rFonts w:cs="Arial"/>
          <w:spacing w:val="-6"/>
          <w:szCs w:val="20"/>
        </w:rPr>
        <w:t>Nelze jednoznačně tvrdit, že vyspělejší ekonomická struktura, měřeno podílem služeb, je vždy jednoznačnou výhodou. Naopak, v době výstupu z krize roku 2009 byly nejúspěšnější země s nejvyšším podílem průmyslu v ekonomické struktuře (v EU šlo o Německo, ČR a Slovensko). Produkce a export průmyslového zboží přispěly v té době rozhodující měrou k obnově jejich ekonomického růstu. Ačkoli tedy ČR ani SR nejsou „ekonomikami služeb“ v rozsahu, jaký má Rakousko, umožňuje výroba zboží v daném rozsahu udržovat vysokou úroveň exportu zboží v obou zemích.</w:t>
      </w:r>
    </w:p>
    <w:p w:rsidR="0008794F" w:rsidRPr="003B5E1D" w:rsidRDefault="0008794F" w:rsidP="00AC6A22">
      <w:pPr>
        <w:spacing w:line="240" w:lineRule="auto"/>
        <w:ind w:left="284"/>
        <w:jc w:val="both"/>
        <w:rPr>
          <w:rFonts w:cs="Arial"/>
          <w:sz w:val="12"/>
          <w:szCs w:val="12"/>
        </w:rPr>
      </w:pPr>
    </w:p>
    <w:p w:rsidR="0008794F" w:rsidRPr="00D429AE" w:rsidRDefault="0008794F" w:rsidP="00AC6A22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>
        <w:rPr>
          <w:rFonts w:cs="Arial"/>
          <w:szCs w:val="20"/>
        </w:rPr>
        <w:t xml:space="preserve">Rozdíl v ekonomické vyspělosti České republiky, ale zejména Slovenska, oproti Rakousku je stále veliký, i když se za dvacet let díky specifickým vlivům, generujícím růst ČR a SR, zmenšil významně. V roce 1995 Slovensko jako jedna z nejchudších zemí EU s HDP na obyvatele v PPS na 47 % průměru EU 28 kontrastovalo se 131,8 % v případě Rakouska, které bylo v té době naopak vůbec </w:t>
      </w:r>
      <w:r w:rsidR="005E04A2">
        <w:rPr>
          <w:rFonts w:cs="Arial"/>
          <w:szCs w:val="20"/>
        </w:rPr>
        <w:t>nejvyspělejší</w:t>
      </w:r>
      <w:r>
        <w:rPr>
          <w:rFonts w:cs="Arial"/>
          <w:szCs w:val="20"/>
        </w:rPr>
        <w:t xml:space="preserve"> zemí EU. ČR na zhruba třech čtvrtinách úrovně EU (76,2 %) stála mezi těmito extrémy, tj. na tu dobu v pozici relativně dobré. Od té doby však ČR v materiální kvalitě života - měřené výdaji domácností na konečnou spotřebu v jejich relaci k EU 28 - podle posledních dat za rok 2014 předstihlo Slovensko, když ještě v roce 2005 byl její odstup od SR zcela zřetelný.</w:t>
      </w:r>
    </w:p>
    <w:p w:rsidR="0008794F" w:rsidRPr="00C3462A" w:rsidRDefault="0008794F" w:rsidP="00AC6A22">
      <w:pPr>
        <w:spacing w:line="240" w:lineRule="auto"/>
        <w:ind w:left="284"/>
        <w:jc w:val="both"/>
        <w:rPr>
          <w:rFonts w:cs="Arial"/>
          <w:color w:val="000000"/>
          <w:spacing w:val="-6"/>
          <w:szCs w:val="20"/>
        </w:rPr>
      </w:pPr>
      <w:r>
        <w:rPr>
          <w:rFonts w:cs="Arial"/>
          <w:szCs w:val="20"/>
        </w:rPr>
        <w:t xml:space="preserve">    </w:t>
      </w:r>
    </w:p>
    <w:p w:rsidR="0008794F" w:rsidRPr="00AC6A22" w:rsidRDefault="0008794F" w:rsidP="002457A5">
      <w:pPr>
        <w:numPr>
          <w:ilvl w:val="0"/>
          <w:numId w:val="2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Arial"/>
          <w:color w:val="000000"/>
          <w:spacing w:val="-6"/>
          <w:szCs w:val="20"/>
        </w:rPr>
      </w:pPr>
      <w:r>
        <w:rPr>
          <w:rFonts w:cs="Arial"/>
          <w:szCs w:val="20"/>
        </w:rPr>
        <w:t xml:space="preserve">Zlepšení </w:t>
      </w:r>
      <w:r w:rsidR="00325ED2">
        <w:rPr>
          <w:rFonts w:cs="Arial"/>
          <w:szCs w:val="20"/>
        </w:rPr>
        <w:t xml:space="preserve">od roku 1995 do roku 2014 </w:t>
      </w:r>
      <w:r>
        <w:rPr>
          <w:rFonts w:cs="Arial"/>
          <w:szCs w:val="20"/>
        </w:rPr>
        <w:t xml:space="preserve">v HDP na obyvatele v PPS v relaci k EU 28 u ČR o 7,7 </w:t>
      </w:r>
      <w:proofErr w:type="spellStart"/>
      <w:r>
        <w:rPr>
          <w:rFonts w:cs="Arial"/>
          <w:szCs w:val="20"/>
        </w:rPr>
        <w:t>pb</w:t>
      </w:r>
      <w:proofErr w:type="spellEnd"/>
      <w:r>
        <w:rPr>
          <w:rFonts w:cs="Arial"/>
          <w:szCs w:val="20"/>
        </w:rPr>
        <w:t xml:space="preserve">. a u SR o 29,2 </w:t>
      </w:r>
      <w:proofErr w:type="spellStart"/>
      <w:r>
        <w:rPr>
          <w:rFonts w:cs="Arial"/>
          <w:szCs w:val="20"/>
        </w:rPr>
        <w:t>pb</w:t>
      </w:r>
      <w:proofErr w:type="spellEnd"/>
      <w:r>
        <w:rPr>
          <w:rFonts w:cs="Arial"/>
          <w:szCs w:val="20"/>
        </w:rPr>
        <w:t xml:space="preserve">. však z pohledu </w:t>
      </w:r>
      <w:r w:rsidR="005E04A2">
        <w:rPr>
          <w:rFonts w:cs="Arial"/>
          <w:szCs w:val="20"/>
        </w:rPr>
        <w:t xml:space="preserve">přibližování úrovni </w:t>
      </w:r>
      <w:r>
        <w:rPr>
          <w:rFonts w:cs="Arial"/>
          <w:szCs w:val="20"/>
        </w:rPr>
        <w:t xml:space="preserve">Rakouska zakaluje zjištění, že jeho ekonomika si za tu dobu pohoršila jen nepatrně (o 4,4 </w:t>
      </w:r>
      <w:proofErr w:type="spellStart"/>
      <w:r>
        <w:rPr>
          <w:rFonts w:cs="Arial"/>
          <w:szCs w:val="20"/>
        </w:rPr>
        <w:t>pb</w:t>
      </w:r>
      <w:proofErr w:type="spellEnd"/>
      <w:r>
        <w:rPr>
          <w:rFonts w:cs="Arial"/>
          <w:szCs w:val="20"/>
        </w:rPr>
        <w:t xml:space="preserve">. na 127,4 % průměru EU 28). Je čtvrtou nejbohatší zemí Unie a zahrneme-li i Norsko a Švýcarsko, pak šestou nejbohatší zemí Evropy. Rakousko si tedy ve dvou posledních dekádách vedlo podstatně lépe, než „staré“ země Unie (EU 15), kde se relace k EU 28 zhoršila o 7,1 </w:t>
      </w:r>
      <w:proofErr w:type="spellStart"/>
      <w:r>
        <w:rPr>
          <w:rFonts w:cs="Arial"/>
          <w:szCs w:val="20"/>
        </w:rPr>
        <w:t>pb</w:t>
      </w:r>
      <w:proofErr w:type="spellEnd"/>
      <w:r>
        <w:rPr>
          <w:rFonts w:cs="Arial"/>
          <w:szCs w:val="20"/>
        </w:rPr>
        <w:t xml:space="preserve">. Dosažení rakouské úrovně tak zřejmě nebude pro Českou ani Slovenskou republiku otázkou jedné generace. </w:t>
      </w:r>
    </w:p>
    <w:p w:rsidR="0008794F" w:rsidRDefault="0008794F" w:rsidP="002457A5">
      <w:pPr>
        <w:pStyle w:val="Textpoznpodarou"/>
        <w:jc w:val="both"/>
        <w:rPr>
          <w:lang w:eastAsia="ar-SA"/>
        </w:rPr>
      </w:pPr>
    </w:p>
    <w:p w:rsidR="0008794F" w:rsidRDefault="0008794F" w:rsidP="002457A5">
      <w:pPr>
        <w:pStyle w:val="Textpoznpodarou"/>
        <w:jc w:val="both"/>
        <w:rPr>
          <w:lang w:eastAsia="ar-SA"/>
        </w:rPr>
      </w:pPr>
    </w:p>
    <w:p w:rsidR="0008794F" w:rsidRDefault="0008794F" w:rsidP="002457A5">
      <w:pPr>
        <w:pStyle w:val="Textpoznpodarou"/>
        <w:jc w:val="both"/>
        <w:rPr>
          <w:lang w:eastAsia="ar-SA"/>
        </w:rPr>
      </w:pPr>
    </w:p>
    <w:p w:rsidR="0008794F" w:rsidRDefault="0008794F" w:rsidP="002457A5">
      <w:pPr>
        <w:pStyle w:val="Textpoznpodarou"/>
        <w:jc w:val="both"/>
        <w:rPr>
          <w:lang w:eastAsia="ar-SA"/>
        </w:rPr>
      </w:pPr>
    </w:p>
    <w:sectPr w:rsidR="0008794F" w:rsidSect="00D4399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6B" w:rsidRDefault="0071436B" w:rsidP="00E71A58">
      <w:r>
        <w:separator/>
      </w:r>
    </w:p>
  </w:endnote>
  <w:endnote w:type="continuationSeparator" w:id="0">
    <w:p w:rsidR="0071436B" w:rsidRDefault="0071436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8" w:rsidRDefault="00DB1B8B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1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D06E68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1E3F8D">
      <w:rPr>
        <w:rFonts w:ascii="Arial" w:hAnsi="Arial" w:cs="Arial"/>
        <w:noProof/>
        <w:sz w:val="16"/>
        <w:szCs w:val="16"/>
      </w:rPr>
      <w:t>4</w:t>
    </w:r>
    <w:r w:rsidRPr="005A21E0">
      <w:rPr>
        <w:rFonts w:ascii="Arial" w:hAnsi="Arial" w:cs="Arial"/>
        <w:sz w:val="16"/>
        <w:szCs w:val="16"/>
      </w:rPr>
      <w:fldChar w:fldCharType="end"/>
    </w:r>
    <w:r w:rsidR="00D06E68">
      <w:rPr>
        <w:rFonts w:ascii="Arial" w:hAnsi="Arial" w:cs="Arial"/>
        <w:sz w:val="16"/>
        <w:szCs w:val="16"/>
      </w:rPr>
      <w:tab/>
      <w:t>2014</w:t>
    </w:r>
    <w:r w:rsidR="00D06E68">
      <w:tab/>
    </w:r>
    <w:r w:rsidR="00D06E68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8" w:rsidRDefault="00DB1B8B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Description: 3" style="position:absolute;margin-left:.3pt;margin-top:7.1pt;width:39pt;height:21pt;z-index:2;visibility:visible">
          <v:imagedata r:id="rId1" o:title=""/>
        </v:shape>
      </w:pict>
    </w:r>
    <w:r w:rsidR="00D06E68">
      <w:tab/>
    </w:r>
    <w:r w:rsidR="00D06E68">
      <w:tab/>
    </w:r>
    <w:r w:rsidR="00D06E68" w:rsidRPr="00DC5B3B">
      <w:t xml:space="preserve">                              </w:t>
    </w:r>
  </w:p>
  <w:p w:rsidR="00D06E68" w:rsidRPr="00223E00" w:rsidRDefault="00D06E68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rPr>
        <w:rFonts w:ascii="Arial" w:hAnsi="Arial" w:cs="Arial"/>
        <w:sz w:val="16"/>
        <w:szCs w:val="16"/>
      </w:rPr>
      <w:tab/>
    </w:r>
    <w:r w:rsidR="00DB1B8B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DB1B8B" w:rsidRPr="00223E00">
      <w:rPr>
        <w:rFonts w:ascii="Arial" w:hAnsi="Arial" w:cs="Arial"/>
        <w:sz w:val="16"/>
        <w:szCs w:val="16"/>
      </w:rPr>
      <w:fldChar w:fldCharType="separate"/>
    </w:r>
    <w:r w:rsidR="001E3F8D">
      <w:rPr>
        <w:rFonts w:ascii="Arial" w:hAnsi="Arial" w:cs="Arial"/>
        <w:noProof/>
        <w:sz w:val="16"/>
        <w:szCs w:val="16"/>
      </w:rPr>
      <w:t>3</w:t>
    </w:r>
    <w:r w:rsidR="00DB1B8B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6B" w:rsidRDefault="0071436B" w:rsidP="00E71A58">
      <w:r>
        <w:separator/>
      </w:r>
    </w:p>
  </w:footnote>
  <w:footnote w:type="continuationSeparator" w:id="0">
    <w:p w:rsidR="0071436B" w:rsidRDefault="0071436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8" w:rsidRPr="007A2959" w:rsidRDefault="00D06E68" w:rsidP="007A295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Srovnávací analýza vývoje ekonomik České republiky, Slovenska a Rakouska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8" w:rsidRPr="00F5435A" w:rsidRDefault="00D06E68" w:rsidP="00873DE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Srovnávací analýza vývoje ekonomik České republiky, Slovenska a Rakouska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C2C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5A4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E25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C1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ACC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B249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C5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EA7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623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44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41472"/>
    <w:multiLevelType w:val="hybridMultilevel"/>
    <w:tmpl w:val="AA367E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F96BEF"/>
    <w:multiLevelType w:val="hybridMultilevel"/>
    <w:tmpl w:val="3B36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A62B8"/>
    <w:multiLevelType w:val="multilevel"/>
    <w:tmpl w:val="DBE6868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1EA7172B"/>
    <w:multiLevelType w:val="multilevel"/>
    <w:tmpl w:val="DE863A6A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0BB57F8"/>
    <w:multiLevelType w:val="multilevel"/>
    <w:tmpl w:val="2074470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5954F6D"/>
    <w:multiLevelType w:val="hybridMultilevel"/>
    <w:tmpl w:val="8E84F0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026AB4"/>
    <w:multiLevelType w:val="hybridMultilevel"/>
    <w:tmpl w:val="A296FA20"/>
    <w:lvl w:ilvl="0" w:tplc="2AAEA5FA">
      <w:start w:val="20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A3AA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2BDF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3069F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AA44F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02C53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1A075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84FE6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783E8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B95ADF"/>
    <w:multiLevelType w:val="hybridMultilevel"/>
    <w:tmpl w:val="B35AFB4E"/>
    <w:lvl w:ilvl="0" w:tplc="A1664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0B8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0A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A9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A0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AD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A4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C2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28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679BF"/>
    <w:multiLevelType w:val="hybridMultilevel"/>
    <w:tmpl w:val="DE223DFC"/>
    <w:lvl w:ilvl="0" w:tplc="63982124">
      <w:start w:val="20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48EE8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08503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FF0AC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90215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A7B2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421AB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74CDF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F600C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AF1193"/>
    <w:multiLevelType w:val="multilevel"/>
    <w:tmpl w:val="AA2CE5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604F7F4D"/>
    <w:multiLevelType w:val="hybridMultilevel"/>
    <w:tmpl w:val="06BA7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86350F"/>
    <w:multiLevelType w:val="hybridMultilevel"/>
    <w:tmpl w:val="80DE618A"/>
    <w:lvl w:ilvl="0" w:tplc="525263D6">
      <w:start w:val="20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AE79A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10A35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DC617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D62BF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90D0D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743AA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8AE57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8A609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BF3EA5"/>
    <w:multiLevelType w:val="multilevel"/>
    <w:tmpl w:val="ED94EFE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42A32BF"/>
    <w:multiLevelType w:val="multilevel"/>
    <w:tmpl w:val="2C7C09CE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3"/>
  </w:num>
  <w:num w:numId="5">
    <w:abstractNumId w:val="24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16"/>
  </w:num>
  <w:num w:numId="20">
    <w:abstractNumId w:val="21"/>
  </w:num>
  <w:num w:numId="21">
    <w:abstractNumId w:val="19"/>
  </w:num>
  <w:num w:numId="22">
    <w:abstractNumId w:val="17"/>
  </w:num>
  <w:num w:numId="23">
    <w:abstractNumId w:val="10"/>
  </w:num>
  <w:num w:numId="24">
    <w:abstractNumId w:val="23"/>
  </w:num>
  <w:num w:numId="25">
    <w:abstractNumId w:val="20"/>
  </w:num>
  <w:num w:numId="26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E94"/>
    <w:rsid w:val="00001411"/>
    <w:rsid w:val="00003687"/>
    <w:rsid w:val="00003A9E"/>
    <w:rsid w:val="00003C43"/>
    <w:rsid w:val="000047B7"/>
    <w:rsid w:val="00004BDD"/>
    <w:rsid w:val="00006CF8"/>
    <w:rsid w:val="00007498"/>
    <w:rsid w:val="0000767A"/>
    <w:rsid w:val="000104B9"/>
    <w:rsid w:val="00010702"/>
    <w:rsid w:val="0001159B"/>
    <w:rsid w:val="000118F0"/>
    <w:rsid w:val="00011ABE"/>
    <w:rsid w:val="00014DB4"/>
    <w:rsid w:val="00014F30"/>
    <w:rsid w:val="0001573E"/>
    <w:rsid w:val="0001593A"/>
    <w:rsid w:val="00017315"/>
    <w:rsid w:val="000173CC"/>
    <w:rsid w:val="000178A6"/>
    <w:rsid w:val="00017F05"/>
    <w:rsid w:val="0002016D"/>
    <w:rsid w:val="000202B9"/>
    <w:rsid w:val="000202C6"/>
    <w:rsid w:val="0002083E"/>
    <w:rsid w:val="00020946"/>
    <w:rsid w:val="000217F1"/>
    <w:rsid w:val="000226D1"/>
    <w:rsid w:val="000228E2"/>
    <w:rsid w:val="0002366A"/>
    <w:rsid w:val="00023777"/>
    <w:rsid w:val="00024887"/>
    <w:rsid w:val="00024B3C"/>
    <w:rsid w:val="00024CBA"/>
    <w:rsid w:val="000262EF"/>
    <w:rsid w:val="0002636A"/>
    <w:rsid w:val="00026396"/>
    <w:rsid w:val="000264DE"/>
    <w:rsid w:val="000266D2"/>
    <w:rsid w:val="00026998"/>
    <w:rsid w:val="0003066A"/>
    <w:rsid w:val="00030C7C"/>
    <w:rsid w:val="00031AEE"/>
    <w:rsid w:val="00032838"/>
    <w:rsid w:val="00032879"/>
    <w:rsid w:val="00032C12"/>
    <w:rsid w:val="00034B90"/>
    <w:rsid w:val="000353D4"/>
    <w:rsid w:val="000356F6"/>
    <w:rsid w:val="0003575B"/>
    <w:rsid w:val="00035FC6"/>
    <w:rsid w:val="00036889"/>
    <w:rsid w:val="00037667"/>
    <w:rsid w:val="000411E1"/>
    <w:rsid w:val="000434EF"/>
    <w:rsid w:val="00044171"/>
    <w:rsid w:val="000441DE"/>
    <w:rsid w:val="00045541"/>
    <w:rsid w:val="000458C6"/>
    <w:rsid w:val="0004694F"/>
    <w:rsid w:val="0004735A"/>
    <w:rsid w:val="0005077D"/>
    <w:rsid w:val="00050C11"/>
    <w:rsid w:val="00051D54"/>
    <w:rsid w:val="00052172"/>
    <w:rsid w:val="000548AB"/>
    <w:rsid w:val="00054B1C"/>
    <w:rsid w:val="00055059"/>
    <w:rsid w:val="000553E4"/>
    <w:rsid w:val="00056451"/>
    <w:rsid w:val="00060A26"/>
    <w:rsid w:val="00061443"/>
    <w:rsid w:val="00062922"/>
    <w:rsid w:val="00062EC5"/>
    <w:rsid w:val="00063BCF"/>
    <w:rsid w:val="00064256"/>
    <w:rsid w:val="00064D80"/>
    <w:rsid w:val="0006500C"/>
    <w:rsid w:val="00065809"/>
    <w:rsid w:val="000666E0"/>
    <w:rsid w:val="00067478"/>
    <w:rsid w:val="00067835"/>
    <w:rsid w:val="0006797C"/>
    <w:rsid w:val="000706A4"/>
    <w:rsid w:val="000708EE"/>
    <w:rsid w:val="00072118"/>
    <w:rsid w:val="000727C7"/>
    <w:rsid w:val="00072F46"/>
    <w:rsid w:val="00073039"/>
    <w:rsid w:val="00073173"/>
    <w:rsid w:val="00073AD9"/>
    <w:rsid w:val="0007406D"/>
    <w:rsid w:val="00075423"/>
    <w:rsid w:val="0007602A"/>
    <w:rsid w:val="00076196"/>
    <w:rsid w:val="00076210"/>
    <w:rsid w:val="00076B48"/>
    <w:rsid w:val="000774C1"/>
    <w:rsid w:val="000779AC"/>
    <w:rsid w:val="00077E6A"/>
    <w:rsid w:val="00080D93"/>
    <w:rsid w:val="0008193E"/>
    <w:rsid w:val="000821A7"/>
    <w:rsid w:val="00083803"/>
    <w:rsid w:val="000848F4"/>
    <w:rsid w:val="00085D2D"/>
    <w:rsid w:val="0008716A"/>
    <w:rsid w:val="00087634"/>
    <w:rsid w:val="0008794F"/>
    <w:rsid w:val="0008799E"/>
    <w:rsid w:val="000901CC"/>
    <w:rsid w:val="00090F47"/>
    <w:rsid w:val="00091237"/>
    <w:rsid w:val="000920EC"/>
    <w:rsid w:val="00092505"/>
    <w:rsid w:val="000927BC"/>
    <w:rsid w:val="00095ACB"/>
    <w:rsid w:val="00096B97"/>
    <w:rsid w:val="00096E46"/>
    <w:rsid w:val="000A00C9"/>
    <w:rsid w:val="000A0810"/>
    <w:rsid w:val="000A0CB7"/>
    <w:rsid w:val="000A0F46"/>
    <w:rsid w:val="000A1183"/>
    <w:rsid w:val="000A13D1"/>
    <w:rsid w:val="000A2121"/>
    <w:rsid w:val="000A2C3C"/>
    <w:rsid w:val="000A2EEB"/>
    <w:rsid w:val="000A3171"/>
    <w:rsid w:val="000A4B3E"/>
    <w:rsid w:val="000A55AA"/>
    <w:rsid w:val="000B1398"/>
    <w:rsid w:val="000B1CFE"/>
    <w:rsid w:val="000B210A"/>
    <w:rsid w:val="000B249B"/>
    <w:rsid w:val="000B3DB9"/>
    <w:rsid w:val="000B3F02"/>
    <w:rsid w:val="000B48E7"/>
    <w:rsid w:val="000B6162"/>
    <w:rsid w:val="000B7663"/>
    <w:rsid w:val="000C05C4"/>
    <w:rsid w:val="000C0E2B"/>
    <w:rsid w:val="000C11D3"/>
    <w:rsid w:val="000C12F5"/>
    <w:rsid w:val="000C152B"/>
    <w:rsid w:val="000C3408"/>
    <w:rsid w:val="000C776C"/>
    <w:rsid w:val="000C7825"/>
    <w:rsid w:val="000C783E"/>
    <w:rsid w:val="000D2E41"/>
    <w:rsid w:val="000D3F80"/>
    <w:rsid w:val="000D5D85"/>
    <w:rsid w:val="000D5E7A"/>
    <w:rsid w:val="000D5FAA"/>
    <w:rsid w:val="000D65A4"/>
    <w:rsid w:val="000D66B7"/>
    <w:rsid w:val="000D6AEF"/>
    <w:rsid w:val="000D7537"/>
    <w:rsid w:val="000E0EDF"/>
    <w:rsid w:val="000E0F3D"/>
    <w:rsid w:val="000E0FA4"/>
    <w:rsid w:val="000E19A8"/>
    <w:rsid w:val="000E2776"/>
    <w:rsid w:val="000E2A8A"/>
    <w:rsid w:val="000E3023"/>
    <w:rsid w:val="000E4C83"/>
    <w:rsid w:val="000E51B0"/>
    <w:rsid w:val="000E78D2"/>
    <w:rsid w:val="000F0029"/>
    <w:rsid w:val="000F195C"/>
    <w:rsid w:val="000F2D72"/>
    <w:rsid w:val="000F3332"/>
    <w:rsid w:val="000F33EE"/>
    <w:rsid w:val="000F401E"/>
    <w:rsid w:val="000F5445"/>
    <w:rsid w:val="000F5E7A"/>
    <w:rsid w:val="000F5FD3"/>
    <w:rsid w:val="000F67B2"/>
    <w:rsid w:val="000F7C11"/>
    <w:rsid w:val="00100014"/>
    <w:rsid w:val="001005B2"/>
    <w:rsid w:val="00100DAF"/>
    <w:rsid w:val="00102756"/>
    <w:rsid w:val="00102D79"/>
    <w:rsid w:val="00102E39"/>
    <w:rsid w:val="00102F02"/>
    <w:rsid w:val="0010333B"/>
    <w:rsid w:val="00103834"/>
    <w:rsid w:val="001041B6"/>
    <w:rsid w:val="001045E3"/>
    <w:rsid w:val="0010520A"/>
    <w:rsid w:val="001070EA"/>
    <w:rsid w:val="0011002A"/>
    <w:rsid w:val="0011026B"/>
    <w:rsid w:val="0011110A"/>
    <w:rsid w:val="001118AF"/>
    <w:rsid w:val="00111C6C"/>
    <w:rsid w:val="0011256E"/>
    <w:rsid w:val="001126BF"/>
    <w:rsid w:val="001157D5"/>
    <w:rsid w:val="00116DB9"/>
    <w:rsid w:val="00116FB3"/>
    <w:rsid w:val="00121167"/>
    <w:rsid w:val="001214CE"/>
    <w:rsid w:val="00121C39"/>
    <w:rsid w:val="00123255"/>
    <w:rsid w:val="001242CF"/>
    <w:rsid w:val="001247F5"/>
    <w:rsid w:val="00124ABC"/>
    <w:rsid w:val="00124D2D"/>
    <w:rsid w:val="001252F3"/>
    <w:rsid w:val="00126F9E"/>
    <w:rsid w:val="001306B1"/>
    <w:rsid w:val="001307BE"/>
    <w:rsid w:val="00130C8F"/>
    <w:rsid w:val="001314F2"/>
    <w:rsid w:val="001317DA"/>
    <w:rsid w:val="00131B66"/>
    <w:rsid w:val="001320DB"/>
    <w:rsid w:val="0013254D"/>
    <w:rsid w:val="00132665"/>
    <w:rsid w:val="00132CF6"/>
    <w:rsid w:val="00133A3B"/>
    <w:rsid w:val="00133AAC"/>
    <w:rsid w:val="00136561"/>
    <w:rsid w:val="00136CE4"/>
    <w:rsid w:val="001400E1"/>
    <w:rsid w:val="001405FA"/>
    <w:rsid w:val="001410A1"/>
    <w:rsid w:val="001422E9"/>
    <w:rsid w:val="001425C3"/>
    <w:rsid w:val="00142A26"/>
    <w:rsid w:val="00142F16"/>
    <w:rsid w:val="00143B81"/>
    <w:rsid w:val="00143E03"/>
    <w:rsid w:val="00143E93"/>
    <w:rsid w:val="00150943"/>
    <w:rsid w:val="00151AC0"/>
    <w:rsid w:val="00152046"/>
    <w:rsid w:val="0015232F"/>
    <w:rsid w:val="00154059"/>
    <w:rsid w:val="00155326"/>
    <w:rsid w:val="00156318"/>
    <w:rsid w:val="0015639A"/>
    <w:rsid w:val="00157931"/>
    <w:rsid w:val="00157990"/>
    <w:rsid w:val="0016081D"/>
    <w:rsid w:val="00160E53"/>
    <w:rsid w:val="00161312"/>
    <w:rsid w:val="00161EDA"/>
    <w:rsid w:val="001620D2"/>
    <w:rsid w:val="001620FA"/>
    <w:rsid w:val="00162853"/>
    <w:rsid w:val="00162EB2"/>
    <w:rsid w:val="00163793"/>
    <w:rsid w:val="001641E8"/>
    <w:rsid w:val="0016545C"/>
    <w:rsid w:val="00165598"/>
    <w:rsid w:val="00165A85"/>
    <w:rsid w:val="00167AC1"/>
    <w:rsid w:val="001707DE"/>
    <w:rsid w:val="00170B04"/>
    <w:rsid w:val="00170F47"/>
    <w:rsid w:val="001714F2"/>
    <w:rsid w:val="00171672"/>
    <w:rsid w:val="00171D29"/>
    <w:rsid w:val="00173485"/>
    <w:rsid w:val="00173642"/>
    <w:rsid w:val="00174CE8"/>
    <w:rsid w:val="00174FFB"/>
    <w:rsid w:val="0017635A"/>
    <w:rsid w:val="001764D8"/>
    <w:rsid w:val="00176A8F"/>
    <w:rsid w:val="0017789F"/>
    <w:rsid w:val="001779F0"/>
    <w:rsid w:val="001804ED"/>
    <w:rsid w:val="00181338"/>
    <w:rsid w:val="00181893"/>
    <w:rsid w:val="00181C9A"/>
    <w:rsid w:val="0018225A"/>
    <w:rsid w:val="00182981"/>
    <w:rsid w:val="00183760"/>
    <w:rsid w:val="00184CF9"/>
    <w:rsid w:val="00185010"/>
    <w:rsid w:val="00186164"/>
    <w:rsid w:val="00186915"/>
    <w:rsid w:val="0018724F"/>
    <w:rsid w:val="001873E2"/>
    <w:rsid w:val="001874CF"/>
    <w:rsid w:val="00187735"/>
    <w:rsid w:val="00187C76"/>
    <w:rsid w:val="00190381"/>
    <w:rsid w:val="0019073D"/>
    <w:rsid w:val="00190D9B"/>
    <w:rsid w:val="001918D3"/>
    <w:rsid w:val="00192CA8"/>
    <w:rsid w:val="001942A8"/>
    <w:rsid w:val="00194331"/>
    <w:rsid w:val="0019433E"/>
    <w:rsid w:val="0019492D"/>
    <w:rsid w:val="0019505A"/>
    <w:rsid w:val="00195444"/>
    <w:rsid w:val="001962A3"/>
    <w:rsid w:val="001964BC"/>
    <w:rsid w:val="001971D0"/>
    <w:rsid w:val="0019731C"/>
    <w:rsid w:val="001A0075"/>
    <w:rsid w:val="001A250D"/>
    <w:rsid w:val="001A2A44"/>
    <w:rsid w:val="001A2BDB"/>
    <w:rsid w:val="001A2D19"/>
    <w:rsid w:val="001A3CE2"/>
    <w:rsid w:val="001A443A"/>
    <w:rsid w:val="001A511C"/>
    <w:rsid w:val="001A552F"/>
    <w:rsid w:val="001A5DA4"/>
    <w:rsid w:val="001A7C15"/>
    <w:rsid w:val="001A7CD1"/>
    <w:rsid w:val="001B0AF0"/>
    <w:rsid w:val="001B1742"/>
    <w:rsid w:val="001B1D89"/>
    <w:rsid w:val="001B2964"/>
    <w:rsid w:val="001B3110"/>
    <w:rsid w:val="001B44BC"/>
    <w:rsid w:val="001B4721"/>
    <w:rsid w:val="001B50A0"/>
    <w:rsid w:val="001B51F8"/>
    <w:rsid w:val="001B6545"/>
    <w:rsid w:val="001B666A"/>
    <w:rsid w:val="001B681B"/>
    <w:rsid w:val="001B74FB"/>
    <w:rsid w:val="001B77A1"/>
    <w:rsid w:val="001C0422"/>
    <w:rsid w:val="001C0E0E"/>
    <w:rsid w:val="001C1219"/>
    <w:rsid w:val="001C3178"/>
    <w:rsid w:val="001C357A"/>
    <w:rsid w:val="001C38BC"/>
    <w:rsid w:val="001C3A37"/>
    <w:rsid w:val="001C3BAE"/>
    <w:rsid w:val="001C4384"/>
    <w:rsid w:val="001C44D4"/>
    <w:rsid w:val="001C4934"/>
    <w:rsid w:val="001C573E"/>
    <w:rsid w:val="001C65FF"/>
    <w:rsid w:val="001C6B05"/>
    <w:rsid w:val="001C6E5E"/>
    <w:rsid w:val="001C70BF"/>
    <w:rsid w:val="001D234F"/>
    <w:rsid w:val="001D408D"/>
    <w:rsid w:val="001D47E5"/>
    <w:rsid w:val="001D5088"/>
    <w:rsid w:val="001D54E7"/>
    <w:rsid w:val="001D584C"/>
    <w:rsid w:val="001D66C1"/>
    <w:rsid w:val="001D77D5"/>
    <w:rsid w:val="001E03A3"/>
    <w:rsid w:val="001E0533"/>
    <w:rsid w:val="001E0BE1"/>
    <w:rsid w:val="001E0C65"/>
    <w:rsid w:val="001E23E3"/>
    <w:rsid w:val="001E33B9"/>
    <w:rsid w:val="001E387A"/>
    <w:rsid w:val="001E3DA4"/>
    <w:rsid w:val="001E3F8D"/>
    <w:rsid w:val="001E48E5"/>
    <w:rsid w:val="001E4A25"/>
    <w:rsid w:val="001E561F"/>
    <w:rsid w:val="001E5C6D"/>
    <w:rsid w:val="001E684C"/>
    <w:rsid w:val="001E701C"/>
    <w:rsid w:val="001E7969"/>
    <w:rsid w:val="001E7C03"/>
    <w:rsid w:val="001F02AF"/>
    <w:rsid w:val="001F037F"/>
    <w:rsid w:val="001F0406"/>
    <w:rsid w:val="001F0EC9"/>
    <w:rsid w:val="001F1756"/>
    <w:rsid w:val="001F274B"/>
    <w:rsid w:val="001F28F4"/>
    <w:rsid w:val="001F3C55"/>
    <w:rsid w:val="001F3C79"/>
    <w:rsid w:val="001F3E68"/>
    <w:rsid w:val="001F3E96"/>
    <w:rsid w:val="001F4597"/>
    <w:rsid w:val="001F55D7"/>
    <w:rsid w:val="001F5FA8"/>
    <w:rsid w:val="001F6451"/>
    <w:rsid w:val="001F66C3"/>
    <w:rsid w:val="001F7A31"/>
    <w:rsid w:val="002007DF"/>
    <w:rsid w:val="00200D15"/>
    <w:rsid w:val="00201F7D"/>
    <w:rsid w:val="002029EF"/>
    <w:rsid w:val="00203074"/>
    <w:rsid w:val="00205103"/>
    <w:rsid w:val="0020663B"/>
    <w:rsid w:val="00207730"/>
    <w:rsid w:val="00210400"/>
    <w:rsid w:val="00210CC2"/>
    <w:rsid w:val="00210F5B"/>
    <w:rsid w:val="00211036"/>
    <w:rsid w:val="00211262"/>
    <w:rsid w:val="002113A7"/>
    <w:rsid w:val="00211636"/>
    <w:rsid w:val="00211AC9"/>
    <w:rsid w:val="00212A98"/>
    <w:rsid w:val="00212CF4"/>
    <w:rsid w:val="0021355B"/>
    <w:rsid w:val="0021492B"/>
    <w:rsid w:val="00214C37"/>
    <w:rsid w:val="00214ED2"/>
    <w:rsid w:val="002155A9"/>
    <w:rsid w:val="002156B9"/>
    <w:rsid w:val="002200D8"/>
    <w:rsid w:val="002204A1"/>
    <w:rsid w:val="002205F2"/>
    <w:rsid w:val="0022080E"/>
    <w:rsid w:val="0022139E"/>
    <w:rsid w:val="0022160A"/>
    <w:rsid w:val="0022272B"/>
    <w:rsid w:val="00222A99"/>
    <w:rsid w:val="00223667"/>
    <w:rsid w:val="00223678"/>
    <w:rsid w:val="00223E00"/>
    <w:rsid w:val="00223F33"/>
    <w:rsid w:val="00224911"/>
    <w:rsid w:val="00224FEF"/>
    <w:rsid w:val="002252E0"/>
    <w:rsid w:val="002255F6"/>
    <w:rsid w:val="00226466"/>
    <w:rsid w:val="00227993"/>
    <w:rsid w:val="0023229C"/>
    <w:rsid w:val="00232351"/>
    <w:rsid w:val="00233472"/>
    <w:rsid w:val="0023392C"/>
    <w:rsid w:val="00234111"/>
    <w:rsid w:val="00234280"/>
    <w:rsid w:val="002350E3"/>
    <w:rsid w:val="00235AFB"/>
    <w:rsid w:val="00236443"/>
    <w:rsid w:val="00237819"/>
    <w:rsid w:val="00240654"/>
    <w:rsid w:val="00240A5B"/>
    <w:rsid w:val="00240B9D"/>
    <w:rsid w:val="00241B34"/>
    <w:rsid w:val="00241C02"/>
    <w:rsid w:val="0024261F"/>
    <w:rsid w:val="00243295"/>
    <w:rsid w:val="002436BA"/>
    <w:rsid w:val="00243BAE"/>
    <w:rsid w:val="00243E3B"/>
    <w:rsid w:val="002441B6"/>
    <w:rsid w:val="00244458"/>
    <w:rsid w:val="002444ED"/>
    <w:rsid w:val="00244A15"/>
    <w:rsid w:val="00244D40"/>
    <w:rsid w:val="002457A5"/>
    <w:rsid w:val="0024620F"/>
    <w:rsid w:val="002463D8"/>
    <w:rsid w:val="00246AE9"/>
    <w:rsid w:val="0024799E"/>
    <w:rsid w:val="00251716"/>
    <w:rsid w:val="00251879"/>
    <w:rsid w:val="00251D59"/>
    <w:rsid w:val="00252588"/>
    <w:rsid w:val="00252FDC"/>
    <w:rsid w:val="00253719"/>
    <w:rsid w:val="00254196"/>
    <w:rsid w:val="002544F5"/>
    <w:rsid w:val="002547A6"/>
    <w:rsid w:val="002550D9"/>
    <w:rsid w:val="0025540B"/>
    <w:rsid w:val="002555ED"/>
    <w:rsid w:val="002576B7"/>
    <w:rsid w:val="002601FC"/>
    <w:rsid w:val="00260FA6"/>
    <w:rsid w:val="00261E29"/>
    <w:rsid w:val="00261E5B"/>
    <w:rsid w:val="00261F81"/>
    <w:rsid w:val="0026335E"/>
    <w:rsid w:val="00263470"/>
    <w:rsid w:val="00263733"/>
    <w:rsid w:val="0026412D"/>
    <w:rsid w:val="002641A7"/>
    <w:rsid w:val="0026491E"/>
    <w:rsid w:val="00264F61"/>
    <w:rsid w:val="002650C1"/>
    <w:rsid w:val="00265536"/>
    <w:rsid w:val="00266591"/>
    <w:rsid w:val="00266F3E"/>
    <w:rsid w:val="002674F6"/>
    <w:rsid w:val="002705E8"/>
    <w:rsid w:val="0027227B"/>
    <w:rsid w:val="00272464"/>
    <w:rsid w:val="002727EA"/>
    <w:rsid w:val="00272F8B"/>
    <w:rsid w:val="00273DCD"/>
    <w:rsid w:val="002740B6"/>
    <w:rsid w:val="00274291"/>
    <w:rsid w:val="00276136"/>
    <w:rsid w:val="00276CFE"/>
    <w:rsid w:val="00276E12"/>
    <w:rsid w:val="00277071"/>
    <w:rsid w:val="0027786C"/>
    <w:rsid w:val="0028081E"/>
    <w:rsid w:val="00281416"/>
    <w:rsid w:val="00283D2E"/>
    <w:rsid w:val="00284270"/>
    <w:rsid w:val="002844CC"/>
    <w:rsid w:val="00284F79"/>
    <w:rsid w:val="002852C6"/>
    <w:rsid w:val="00285CD3"/>
    <w:rsid w:val="0028686A"/>
    <w:rsid w:val="00286E66"/>
    <w:rsid w:val="00290562"/>
    <w:rsid w:val="002907C3"/>
    <w:rsid w:val="00290910"/>
    <w:rsid w:val="002911C8"/>
    <w:rsid w:val="002919B5"/>
    <w:rsid w:val="00292C6D"/>
    <w:rsid w:val="00293441"/>
    <w:rsid w:val="00293FEA"/>
    <w:rsid w:val="002941D9"/>
    <w:rsid w:val="0029493E"/>
    <w:rsid w:val="00296C2E"/>
    <w:rsid w:val="002A1B05"/>
    <w:rsid w:val="002A216F"/>
    <w:rsid w:val="002A3BD5"/>
    <w:rsid w:val="002A4277"/>
    <w:rsid w:val="002A4360"/>
    <w:rsid w:val="002A43A2"/>
    <w:rsid w:val="002A4612"/>
    <w:rsid w:val="002A4FBE"/>
    <w:rsid w:val="002A5263"/>
    <w:rsid w:val="002A659A"/>
    <w:rsid w:val="002A6821"/>
    <w:rsid w:val="002A6841"/>
    <w:rsid w:val="002A74D2"/>
    <w:rsid w:val="002A7732"/>
    <w:rsid w:val="002B28A4"/>
    <w:rsid w:val="002B342C"/>
    <w:rsid w:val="002B36C8"/>
    <w:rsid w:val="002B3DAF"/>
    <w:rsid w:val="002B494C"/>
    <w:rsid w:val="002B58E0"/>
    <w:rsid w:val="002B7240"/>
    <w:rsid w:val="002B798E"/>
    <w:rsid w:val="002B79A0"/>
    <w:rsid w:val="002B7DDF"/>
    <w:rsid w:val="002B7EC1"/>
    <w:rsid w:val="002C055E"/>
    <w:rsid w:val="002C1F9D"/>
    <w:rsid w:val="002C43BD"/>
    <w:rsid w:val="002C5261"/>
    <w:rsid w:val="002C6091"/>
    <w:rsid w:val="002C69FA"/>
    <w:rsid w:val="002C6AE7"/>
    <w:rsid w:val="002D0562"/>
    <w:rsid w:val="002D1B5A"/>
    <w:rsid w:val="002D22B5"/>
    <w:rsid w:val="002D3EE3"/>
    <w:rsid w:val="002D5E94"/>
    <w:rsid w:val="002D61B1"/>
    <w:rsid w:val="002D632D"/>
    <w:rsid w:val="002D6473"/>
    <w:rsid w:val="002D7CA9"/>
    <w:rsid w:val="002E02A1"/>
    <w:rsid w:val="002E1C6A"/>
    <w:rsid w:val="002E1DE4"/>
    <w:rsid w:val="002E2CE4"/>
    <w:rsid w:val="002E518B"/>
    <w:rsid w:val="002E7C20"/>
    <w:rsid w:val="002F0609"/>
    <w:rsid w:val="002F1DB9"/>
    <w:rsid w:val="002F33F7"/>
    <w:rsid w:val="002F33FB"/>
    <w:rsid w:val="002F3C26"/>
    <w:rsid w:val="002F46A9"/>
    <w:rsid w:val="002F47F3"/>
    <w:rsid w:val="002F7C73"/>
    <w:rsid w:val="003009FC"/>
    <w:rsid w:val="00300B28"/>
    <w:rsid w:val="00300E9F"/>
    <w:rsid w:val="00301357"/>
    <w:rsid w:val="003016B0"/>
    <w:rsid w:val="00301D04"/>
    <w:rsid w:val="00302F1B"/>
    <w:rsid w:val="00303FCA"/>
    <w:rsid w:val="00304076"/>
    <w:rsid w:val="00304237"/>
    <w:rsid w:val="003046B3"/>
    <w:rsid w:val="00304771"/>
    <w:rsid w:val="003048B8"/>
    <w:rsid w:val="00305736"/>
    <w:rsid w:val="00306C5B"/>
    <w:rsid w:val="0030780B"/>
    <w:rsid w:val="003078E0"/>
    <w:rsid w:val="00307A3D"/>
    <w:rsid w:val="003103DA"/>
    <w:rsid w:val="003117E0"/>
    <w:rsid w:val="0031223A"/>
    <w:rsid w:val="00312C3D"/>
    <w:rsid w:val="00313320"/>
    <w:rsid w:val="00313694"/>
    <w:rsid w:val="00314331"/>
    <w:rsid w:val="00316344"/>
    <w:rsid w:val="003166E8"/>
    <w:rsid w:val="00316C55"/>
    <w:rsid w:val="00317C76"/>
    <w:rsid w:val="00320214"/>
    <w:rsid w:val="003209D6"/>
    <w:rsid w:val="0032109A"/>
    <w:rsid w:val="0032214F"/>
    <w:rsid w:val="00322164"/>
    <w:rsid w:val="003229E0"/>
    <w:rsid w:val="00322B77"/>
    <w:rsid w:val="00323C30"/>
    <w:rsid w:val="003247BB"/>
    <w:rsid w:val="00324F61"/>
    <w:rsid w:val="0032513D"/>
    <w:rsid w:val="00325ED2"/>
    <w:rsid w:val="00326251"/>
    <w:rsid w:val="0032697E"/>
    <w:rsid w:val="00327290"/>
    <w:rsid w:val="00327DEE"/>
    <w:rsid w:val="00331BAC"/>
    <w:rsid w:val="003329CF"/>
    <w:rsid w:val="003329F3"/>
    <w:rsid w:val="00332E05"/>
    <w:rsid w:val="0033352E"/>
    <w:rsid w:val="00333690"/>
    <w:rsid w:val="00333D20"/>
    <w:rsid w:val="003340EF"/>
    <w:rsid w:val="0033446A"/>
    <w:rsid w:val="00334A49"/>
    <w:rsid w:val="00334C45"/>
    <w:rsid w:val="0033585F"/>
    <w:rsid w:val="00335BB0"/>
    <w:rsid w:val="0033627B"/>
    <w:rsid w:val="00336EAA"/>
    <w:rsid w:val="003406BD"/>
    <w:rsid w:val="003409C9"/>
    <w:rsid w:val="00343D5B"/>
    <w:rsid w:val="00343F84"/>
    <w:rsid w:val="00344135"/>
    <w:rsid w:val="00347DF6"/>
    <w:rsid w:val="00350B0A"/>
    <w:rsid w:val="00350D01"/>
    <w:rsid w:val="00350DED"/>
    <w:rsid w:val="00351A67"/>
    <w:rsid w:val="00351B63"/>
    <w:rsid w:val="00352B72"/>
    <w:rsid w:val="00352D04"/>
    <w:rsid w:val="00352E57"/>
    <w:rsid w:val="00353160"/>
    <w:rsid w:val="00353A57"/>
    <w:rsid w:val="00353B70"/>
    <w:rsid w:val="00353E12"/>
    <w:rsid w:val="003541B0"/>
    <w:rsid w:val="00354366"/>
    <w:rsid w:val="0035453D"/>
    <w:rsid w:val="00355885"/>
    <w:rsid w:val="00356033"/>
    <w:rsid w:val="0035605E"/>
    <w:rsid w:val="00357449"/>
    <w:rsid w:val="00360712"/>
    <w:rsid w:val="00361918"/>
    <w:rsid w:val="0036238B"/>
    <w:rsid w:val="0036243E"/>
    <w:rsid w:val="0036282B"/>
    <w:rsid w:val="00364943"/>
    <w:rsid w:val="003653B8"/>
    <w:rsid w:val="00365680"/>
    <w:rsid w:val="003657F3"/>
    <w:rsid w:val="00365A32"/>
    <w:rsid w:val="00366F12"/>
    <w:rsid w:val="003701F7"/>
    <w:rsid w:val="00370362"/>
    <w:rsid w:val="00370C57"/>
    <w:rsid w:val="003723F7"/>
    <w:rsid w:val="0037397C"/>
    <w:rsid w:val="0037462E"/>
    <w:rsid w:val="00374B10"/>
    <w:rsid w:val="00374F1E"/>
    <w:rsid w:val="00375F77"/>
    <w:rsid w:val="00376DEC"/>
    <w:rsid w:val="003771E5"/>
    <w:rsid w:val="00377A5A"/>
    <w:rsid w:val="0038075E"/>
    <w:rsid w:val="00380E04"/>
    <w:rsid w:val="00382658"/>
    <w:rsid w:val="00382D10"/>
    <w:rsid w:val="00384D8F"/>
    <w:rsid w:val="00385839"/>
    <w:rsid w:val="00385D98"/>
    <w:rsid w:val="00385EC5"/>
    <w:rsid w:val="00386029"/>
    <w:rsid w:val="0038634F"/>
    <w:rsid w:val="00386BD0"/>
    <w:rsid w:val="0039066E"/>
    <w:rsid w:val="0039073D"/>
    <w:rsid w:val="00391689"/>
    <w:rsid w:val="0039184B"/>
    <w:rsid w:val="00391C95"/>
    <w:rsid w:val="0039268B"/>
    <w:rsid w:val="00393241"/>
    <w:rsid w:val="00394261"/>
    <w:rsid w:val="00394448"/>
    <w:rsid w:val="00394659"/>
    <w:rsid w:val="00394AB2"/>
    <w:rsid w:val="00395378"/>
    <w:rsid w:val="00395B68"/>
    <w:rsid w:val="00396593"/>
    <w:rsid w:val="00396DAC"/>
    <w:rsid w:val="00397B3E"/>
    <w:rsid w:val="003A0214"/>
    <w:rsid w:val="003A0D5B"/>
    <w:rsid w:val="003A180C"/>
    <w:rsid w:val="003A1D17"/>
    <w:rsid w:val="003A1D74"/>
    <w:rsid w:val="003A2708"/>
    <w:rsid w:val="003A2B4D"/>
    <w:rsid w:val="003A2D2B"/>
    <w:rsid w:val="003A30EF"/>
    <w:rsid w:val="003A3B1C"/>
    <w:rsid w:val="003A478C"/>
    <w:rsid w:val="003A49F1"/>
    <w:rsid w:val="003A4F82"/>
    <w:rsid w:val="003A52B4"/>
    <w:rsid w:val="003A5525"/>
    <w:rsid w:val="003A6209"/>
    <w:rsid w:val="003A6B38"/>
    <w:rsid w:val="003B0002"/>
    <w:rsid w:val="003B1109"/>
    <w:rsid w:val="003B125D"/>
    <w:rsid w:val="003B1454"/>
    <w:rsid w:val="003B2E63"/>
    <w:rsid w:val="003B3189"/>
    <w:rsid w:val="003B3932"/>
    <w:rsid w:val="003B39C4"/>
    <w:rsid w:val="003B3A9D"/>
    <w:rsid w:val="003B4102"/>
    <w:rsid w:val="003B4442"/>
    <w:rsid w:val="003B5031"/>
    <w:rsid w:val="003B50F0"/>
    <w:rsid w:val="003B5A32"/>
    <w:rsid w:val="003B5E1D"/>
    <w:rsid w:val="003B6105"/>
    <w:rsid w:val="003B6C43"/>
    <w:rsid w:val="003B7F51"/>
    <w:rsid w:val="003C03C7"/>
    <w:rsid w:val="003C04C4"/>
    <w:rsid w:val="003C0CB8"/>
    <w:rsid w:val="003C26F4"/>
    <w:rsid w:val="003C2D85"/>
    <w:rsid w:val="003C383F"/>
    <w:rsid w:val="003C4852"/>
    <w:rsid w:val="003C6715"/>
    <w:rsid w:val="003C6F0F"/>
    <w:rsid w:val="003C7D80"/>
    <w:rsid w:val="003D0125"/>
    <w:rsid w:val="003D10C7"/>
    <w:rsid w:val="003D34B4"/>
    <w:rsid w:val="003D3600"/>
    <w:rsid w:val="003D3825"/>
    <w:rsid w:val="003D4760"/>
    <w:rsid w:val="003D717B"/>
    <w:rsid w:val="003D78A5"/>
    <w:rsid w:val="003E0663"/>
    <w:rsid w:val="003E133F"/>
    <w:rsid w:val="003E193E"/>
    <w:rsid w:val="003E31B2"/>
    <w:rsid w:val="003E41E3"/>
    <w:rsid w:val="003E59FD"/>
    <w:rsid w:val="003E68BC"/>
    <w:rsid w:val="003E696D"/>
    <w:rsid w:val="003E699C"/>
    <w:rsid w:val="003E69F3"/>
    <w:rsid w:val="003E7136"/>
    <w:rsid w:val="003E7419"/>
    <w:rsid w:val="003E782E"/>
    <w:rsid w:val="003E7A0B"/>
    <w:rsid w:val="003E7B05"/>
    <w:rsid w:val="003F0686"/>
    <w:rsid w:val="003F0E4E"/>
    <w:rsid w:val="003F2B0A"/>
    <w:rsid w:val="003F313C"/>
    <w:rsid w:val="003F37FC"/>
    <w:rsid w:val="003F3FC2"/>
    <w:rsid w:val="003F49A6"/>
    <w:rsid w:val="003F4E1F"/>
    <w:rsid w:val="003F5098"/>
    <w:rsid w:val="003F5568"/>
    <w:rsid w:val="003F5A95"/>
    <w:rsid w:val="003F6D19"/>
    <w:rsid w:val="003F76D5"/>
    <w:rsid w:val="004000D5"/>
    <w:rsid w:val="00400571"/>
    <w:rsid w:val="00401716"/>
    <w:rsid w:val="00401B7F"/>
    <w:rsid w:val="00401CA8"/>
    <w:rsid w:val="00402C25"/>
    <w:rsid w:val="00403598"/>
    <w:rsid w:val="004050D7"/>
    <w:rsid w:val="00405E1A"/>
    <w:rsid w:val="00407373"/>
    <w:rsid w:val="004078BD"/>
    <w:rsid w:val="00410132"/>
    <w:rsid w:val="004109BF"/>
    <w:rsid w:val="0041187E"/>
    <w:rsid w:val="004123BE"/>
    <w:rsid w:val="004131C3"/>
    <w:rsid w:val="004138DE"/>
    <w:rsid w:val="00414CE5"/>
    <w:rsid w:val="00416673"/>
    <w:rsid w:val="004168FC"/>
    <w:rsid w:val="004170FE"/>
    <w:rsid w:val="00417C5B"/>
    <w:rsid w:val="00420A35"/>
    <w:rsid w:val="0042160D"/>
    <w:rsid w:val="00422179"/>
    <w:rsid w:val="004223D7"/>
    <w:rsid w:val="00422776"/>
    <w:rsid w:val="00422CBD"/>
    <w:rsid w:val="00426775"/>
    <w:rsid w:val="0042681B"/>
    <w:rsid w:val="00426CEE"/>
    <w:rsid w:val="004274DD"/>
    <w:rsid w:val="0043068A"/>
    <w:rsid w:val="004306E0"/>
    <w:rsid w:val="00431862"/>
    <w:rsid w:val="004329BE"/>
    <w:rsid w:val="00432BEA"/>
    <w:rsid w:val="00432C5E"/>
    <w:rsid w:val="00434FA3"/>
    <w:rsid w:val="00435D30"/>
    <w:rsid w:val="004360E1"/>
    <w:rsid w:val="00436125"/>
    <w:rsid w:val="00436694"/>
    <w:rsid w:val="0043752B"/>
    <w:rsid w:val="00437C76"/>
    <w:rsid w:val="00442AAC"/>
    <w:rsid w:val="004441A0"/>
    <w:rsid w:val="004443BF"/>
    <w:rsid w:val="004444CA"/>
    <w:rsid w:val="004463F7"/>
    <w:rsid w:val="00446892"/>
    <w:rsid w:val="00446EE5"/>
    <w:rsid w:val="00450C30"/>
    <w:rsid w:val="00451A03"/>
    <w:rsid w:val="00454492"/>
    <w:rsid w:val="004546B2"/>
    <w:rsid w:val="00455ECA"/>
    <w:rsid w:val="00460164"/>
    <w:rsid w:val="004601C1"/>
    <w:rsid w:val="0046039A"/>
    <w:rsid w:val="00461977"/>
    <w:rsid w:val="00461A44"/>
    <w:rsid w:val="004629FD"/>
    <w:rsid w:val="00463F4D"/>
    <w:rsid w:val="004643C6"/>
    <w:rsid w:val="00465019"/>
    <w:rsid w:val="0046613F"/>
    <w:rsid w:val="0046655D"/>
    <w:rsid w:val="00466B34"/>
    <w:rsid w:val="004672DC"/>
    <w:rsid w:val="00467606"/>
    <w:rsid w:val="0046765E"/>
    <w:rsid w:val="004676E2"/>
    <w:rsid w:val="00467F47"/>
    <w:rsid w:val="004701B6"/>
    <w:rsid w:val="00470CC7"/>
    <w:rsid w:val="00470CCA"/>
    <w:rsid w:val="00470F69"/>
    <w:rsid w:val="00471EDD"/>
    <w:rsid w:val="0047400C"/>
    <w:rsid w:val="004749D9"/>
    <w:rsid w:val="0047575B"/>
    <w:rsid w:val="00476D29"/>
    <w:rsid w:val="00477A06"/>
    <w:rsid w:val="00477EAF"/>
    <w:rsid w:val="00477EE0"/>
    <w:rsid w:val="004801DD"/>
    <w:rsid w:val="00480FAB"/>
    <w:rsid w:val="0048139F"/>
    <w:rsid w:val="004827FE"/>
    <w:rsid w:val="00483ABA"/>
    <w:rsid w:val="00484118"/>
    <w:rsid w:val="00486283"/>
    <w:rsid w:val="0048697B"/>
    <w:rsid w:val="004879E9"/>
    <w:rsid w:val="004902E2"/>
    <w:rsid w:val="00490988"/>
    <w:rsid w:val="00491218"/>
    <w:rsid w:val="00493362"/>
    <w:rsid w:val="00493907"/>
    <w:rsid w:val="00494583"/>
    <w:rsid w:val="00494D91"/>
    <w:rsid w:val="00494FA0"/>
    <w:rsid w:val="00495C38"/>
    <w:rsid w:val="00495D8B"/>
    <w:rsid w:val="00495EF3"/>
    <w:rsid w:val="00496C2F"/>
    <w:rsid w:val="0049740D"/>
    <w:rsid w:val="004A269A"/>
    <w:rsid w:val="004A29F2"/>
    <w:rsid w:val="004A30FB"/>
    <w:rsid w:val="004A332A"/>
    <w:rsid w:val="004A35DD"/>
    <w:rsid w:val="004A37D3"/>
    <w:rsid w:val="004A3E0F"/>
    <w:rsid w:val="004A48EE"/>
    <w:rsid w:val="004A5864"/>
    <w:rsid w:val="004A5865"/>
    <w:rsid w:val="004A5972"/>
    <w:rsid w:val="004A604A"/>
    <w:rsid w:val="004A6C74"/>
    <w:rsid w:val="004A77DF"/>
    <w:rsid w:val="004B0295"/>
    <w:rsid w:val="004B040D"/>
    <w:rsid w:val="004B097B"/>
    <w:rsid w:val="004B29CD"/>
    <w:rsid w:val="004B3555"/>
    <w:rsid w:val="004B3CB7"/>
    <w:rsid w:val="004B3D55"/>
    <w:rsid w:val="004B4B15"/>
    <w:rsid w:val="004B4B5B"/>
    <w:rsid w:val="004B55B7"/>
    <w:rsid w:val="004B5763"/>
    <w:rsid w:val="004B5ABD"/>
    <w:rsid w:val="004B6337"/>
    <w:rsid w:val="004B7046"/>
    <w:rsid w:val="004B78E8"/>
    <w:rsid w:val="004C00A6"/>
    <w:rsid w:val="004C0BBB"/>
    <w:rsid w:val="004C3867"/>
    <w:rsid w:val="004C3A73"/>
    <w:rsid w:val="004C4CD0"/>
    <w:rsid w:val="004C4D26"/>
    <w:rsid w:val="004C5160"/>
    <w:rsid w:val="004C5568"/>
    <w:rsid w:val="004C557A"/>
    <w:rsid w:val="004C57B5"/>
    <w:rsid w:val="004C5C25"/>
    <w:rsid w:val="004C5EFF"/>
    <w:rsid w:val="004C6CFF"/>
    <w:rsid w:val="004C6ED6"/>
    <w:rsid w:val="004C70DC"/>
    <w:rsid w:val="004C7268"/>
    <w:rsid w:val="004C7326"/>
    <w:rsid w:val="004C7337"/>
    <w:rsid w:val="004D0211"/>
    <w:rsid w:val="004D04C0"/>
    <w:rsid w:val="004D1AEF"/>
    <w:rsid w:val="004D1C9C"/>
    <w:rsid w:val="004D504B"/>
    <w:rsid w:val="004D536E"/>
    <w:rsid w:val="004D5A97"/>
    <w:rsid w:val="004D726E"/>
    <w:rsid w:val="004D7B6B"/>
    <w:rsid w:val="004E0040"/>
    <w:rsid w:val="004E1494"/>
    <w:rsid w:val="004E18BB"/>
    <w:rsid w:val="004E2868"/>
    <w:rsid w:val="004E317A"/>
    <w:rsid w:val="004E4116"/>
    <w:rsid w:val="004E4A75"/>
    <w:rsid w:val="004E4AC0"/>
    <w:rsid w:val="004E541A"/>
    <w:rsid w:val="004E5A5C"/>
    <w:rsid w:val="004E5B4E"/>
    <w:rsid w:val="004E5FE8"/>
    <w:rsid w:val="004E762E"/>
    <w:rsid w:val="004E76D6"/>
    <w:rsid w:val="004E7AF6"/>
    <w:rsid w:val="004F03A7"/>
    <w:rsid w:val="004F06F5"/>
    <w:rsid w:val="004F0E46"/>
    <w:rsid w:val="004F11DB"/>
    <w:rsid w:val="004F146A"/>
    <w:rsid w:val="004F191F"/>
    <w:rsid w:val="004F2A73"/>
    <w:rsid w:val="004F33A0"/>
    <w:rsid w:val="004F447D"/>
    <w:rsid w:val="004F4853"/>
    <w:rsid w:val="004F4C28"/>
    <w:rsid w:val="004F5CC5"/>
    <w:rsid w:val="004F7D36"/>
    <w:rsid w:val="005016AC"/>
    <w:rsid w:val="00501ABE"/>
    <w:rsid w:val="0050286E"/>
    <w:rsid w:val="00504FF6"/>
    <w:rsid w:val="005058A8"/>
    <w:rsid w:val="00505923"/>
    <w:rsid w:val="00510189"/>
    <w:rsid w:val="0051032E"/>
    <w:rsid w:val="005108C0"/>
    <w:rsid w:val="00511873"/>
    <w:rsid w:val="0051266C"/>
    <w:rsid w:val="00512F27"/>
    <w:rsid w:val="00513818"/>
    <w:rsid w:val="00513B7E"/>
    <w:rsid w:val="00514474"/>
    <w:rsid w:val="00514E78"/>
    <w:rsid w:val="005172F4"/>
    <w:rsid w:val="005202E0"/>
    <w:rsid w:val="005215EF"/>
    <w:rsid w:val="00522CB5"/>
    <w:rsid w:val="00522FDA"/>
    <w:rsid w:val="005231C6"/>
    <w:rsid w:val="00523C8D"/>
    <w:rsid w:val="00525137"/>
    <w:rsid w:val="005251DD"/>
    <w:rsid w:val="005277C5"/>
    <w:rsid w:val="0053017A"/>
    <w:rsid w:val="00530492"/>
    <w:rsid w:val="00530D8D"/>
    <w:rsid w:val="00530FEF"/>
    <w:rsid w:val="005311D6"/>
    <w:rsid w:val="00531F2C"/>
    <w:rsid w:val="00532AB1"/>
    <w:rsid w:val="00532C18"/>
    <w:rsid w:val="00533796"/>
    <w:rsid w:val="005339BC"/>
    <w:rsid w:val="00533C24"/>
    <w:rsid w:val="0053448E"/>
    <w:rsid w:val="00534675"/>
    <w:rsid w:val="00535359"/>
    <w:rsid w:val="005357A2"/>
    <w:rsid w:val="00535A51"/>
    <w:rsid w:val="00535BCB"/>
    <w:rsid w:val="00535EF0"/>
    <w:rsid w:val="00537171"/>
    <w:rsid w:val="0053734B"/>
    <w:rsid w:val="00537AFD"/>
    <w:rsid w:val="00537CB4"/>
    <w:rsid w:val="00540A0C"/>
    <w:rsid w:val="00540BBC"/>
    <w:rsid w:val="00542686"/>
    <w:rsid w:val="0054268D"/>
    <w:rsid w:val="005426C1"/>
    <w:rsid w:val="005431DC"/>
    <w:rsid w:val="00544EA1"/>
    <w:rsid w:val="00550B47"/>
    <w:rsid w:val="005513D5"/>
    <w:rsid w:val="005523B9"/>
    <w:rsid w:val="00552887"/>
    <w:rsid w:val="00553225"/>
    <w:rsid w:val="00553D09"/>
    <w:rsid w:val="005545E0"/>
    <w:rsid w:val="00554865"/>
    <w:rsid w:val="00554E57"/>
    <w:rsid w:val="00555182"/>
    <w:rsid w:val="00555944"/>
    <w:rsid w:val="00557D10"/>
    <w:rsid w:val="0056048E"/>
    <w:rsid w:val="0056105B"/>
    <w:rsid w:val="00561CBF"/>
    <w:rsid w:val="00562749"/>
    <w:rsid w:val="00562DE9"/>
    <w:rsid w:val="005638A5"/>
    <w:rsid w:val="00564286"/>
    <w:rsid w:val="00566381"/>
    <w:rsid w:val="0056667C"/>
    <w:rsid w:val="00566A03"/>
    <w:rsid w:val="00566C62"/>
    <w:rsid w:val="005718E3"/>
    <w:rsid w:val="00572DA2"/>
    <w:rsid w:val="00574240"/>
    <w:rsid w:val="0057459E"/>
    <w:rsid w:val="00574F14"/>
    <w:rsid w:val="00575BE3"/>
    <w:rsid w:val="00575CDC"/>
    <w:rsid w:val="0058053D"/>
    <w:rsid w:val="00580E2E"/>
    <w:rsid w:val="00582178"/>
    <w:rsid w:val="00582677"/>
    <w:rsid w:val="00583078"/>
    <w:rsid w:val="00583D5B"/>
    <w:rsid w:val="00583FFD"/>
    <w:rsid w:val="00587B35"/>
    <w:rsid w:val="00587CCD"/>
    <w:rsid w:val="00590528"/>
    <w:rsid w:val="005908AE"/>
    <w:rsid w:val="0059176E"/>
    <w:rsid w:val="00591A22"/>
    <w:rsid w:val="005925A8"/>
    <w:rsid w:val="00593152"/>
    <w:rsid w:val="00593CA3"/>
    <w:rsid w:val="00594161"/>
    <w:rsid w:val="005947A6"/>
    <w:rsid w:val="00594969"/>
    <w:rsid w:val="00594EAA"/>
    <w:rsid w:val="00595A95"/>
    <w:rsid w:val="00596C5E"/>
    <w:rsid w:val="00596F4F"/>
    <w:rsid w:val="005974BB"/>
    <w:rsid w:val="005977BA"/>
    <w:rsid w:val="00597827"/>
    <w:rsid w:val="0059787F"/>
    <w:rsid w:val="00597C5E"/>
    <w:rsid w:val="005A08BD"/>
    <w:rsid w:val="005A1C19"/>
    <w:rsid w:val="005A1CEC"/>
    <w:rsid w:val="005A21E0"/>
    <w:rsid w:val="005A23B5"/>
    <w:rsid w:val="005A33A1"/>
    <w:rsid w:val="005A5497"/>
    <w:rsid w:val="005A54EE"/>
    <w:rsid w:val="005A5884"/>
    <w:rsid w:val="005A6E4A"/>
    <w:rsid w:val="005A7500"/>
    <w:rsid w:val="005A785E"/>
    <w:rsid w:val="005B1BDB"/>
    <w:rsid w:val="005B310D"/>
    <w:rsid w:val="005B3247"/>
    <w:rsid w:val="005B3409"/>
    <w:rsid w:val="005B34D1"/>
    <w:rsid w:val="005B366C"/>
    <w:rsid w:val="005B3B37"/>
    <w:rsid w:val="005B4A14"/>
    <w:rsid w:val="005B55C6"/>
    <w:rsid w:val="005B6AFE"/>
    <w:rsid w:val="005B7B12"/>
    <w:rsid w:val="005C1495"/>
    <w:rsid w:val="005C1D5E"/>
    <w:rsid w:val="005C2412"/>
    <w:rsid w:val="005C3084"/>
    <w:rsid w:val="005C3588"/>
    <w:rsid w:val="005C3F9F"/>
    <w:rsid w:val="005C4A94"/>
    <w:rsid w:val="005C4B5D"/>
    <w:rsid w:val="005C53CB"/>
    <w:rsid w:val="005C59F6"/>
    <w:rsid w:val="005C760A"/>
    <w:rsid w:val="005C7F1E"/>
    <w:rsid w:val="005D1508"/>
    <w:rsid w:val="005D1AF2"/>
    <w:rsid w:val="005D4067"/>
    <w:rsid w:val="005D5802"/>
    <w:rsid w:val="005D5A35"/>
    <w:rsid w:val="005D5B8F"/>
    <w:rsid w:val="005D5D32"/>
    <w:rsid w:val="005D5F92"/>
    <w:rsid w:val="005D6CFC"/>
    <w:rsid w:val="005D71E0"/>
    <w:rsid w:val="005D73E2"/>
    <w:rsid w:val="005E04A2"/>
    <w:rsid w:val="005E0D10"/>
    <w:rsid w:val="005E0F80"/>
    <w:rsid w:val="005E1641"/>
    <w:rsid w:val="005E1E4B"/>
    <w:rsid w:val="005E24EF"/>
    <w:rsid w:val="005E362D"/>
    <w:rsid w:val="005E492C"/>
    <w:rsid w:val="005E4BAA"/>
    <w:rsid w:val="005E5724"/>
    <w:rsid w:val="005E5B56"/>
    <w:rsid w:val="005E5E2D"/>
    <w:rsid w:val="005E6B78"/>
    <w:rsid w:val="005E74B2"/>
    <w:rsid w:val="005F03D8"/>
    <w:rsid w:val="005F0BB0"/>
    <w:rsid w:val="005F2F28"/>
    <w:rsid w:val="005F358F"/>
    <w:rsid w:val="005F4057"/>
    <w:rsid w:val="005F4088"/>
    <w:rsid w:val="005F6119"/>
    <w:rsid w:val="00600A3D"/>
    <w:rsid w:val="0060107A"/>
    <w:rsid w:val="0060154D"/>
    <w:rsid w:val="006016B1"/>
    <w:rsid w:val="00601AFF"/>
    <w:rsid w:val="00602D1D"/>
    <w:rsid w:val="006031A6"/>
    <w:rsid w:val="006038F7"/>
    <w:rsid w:val="00604307"/>
    <w:rsid w:val="0060487F"/>
    <w:rsid w:val="006059EB"/>
    <w:rsid w:val="0060616C"/>
    <w:rsid w:val="00606B93"/>
    <w:rsid w:val="006118AA"/>
    <w:rsid w:val="006125CA"/>
    <w:rsid w:val="00612CCA"/>
    <w:rsid w:val="00613EF5"/>
    <w:rsid w:val="006143E7"/>
    <w:rsid w:val="00614460"/>
    <w:rsid w:val="006153E3"/>
    <w:rsid w:val="006158DF"/>
    <w:rsid w:val="00616CD8"/>
    <w:rsid w:val="00617557"/>
    <w:rsid w:val="00617D2D"/>
    <w:rsid w:val="00617D83"/>
    <w:rsid w:val="00617F45"/>
    <w:rsid w:val="00620AC5"/>
    <w:rsid w:val="00621575"/>
    <w:rsid w:val="006215FC"/>
    <w:rsid w:val="006216A3"/>
    <w:rsid w:val="00622166"/>
    <w:rsid w:val="0062290D"/>
    <w:rsid w:val="00623800"/>
    <w:rsid w:val="00624093"/>
    <w:rsid w:val="00626328"/>
    <w:rsid w:val="00626CE6"/>
    <w:rsid w:val="00627CE0"/>
    <w:rsid w:val="00627F84"/>
    <w:rsid w:val="00630F66"/>
    <w:rsid w:val="006311EF"/>
    <w:rsid w:val="0063332A"/>
    <w:rsid w:val="006347F9"/>
    <w:rsid w:val="00634C90"/>
    <w:rsid w:val="006350ED"/>
    <w:rsid w:val="00635E79"/>
    <w:rsid w:val="00637306"/>
    <w:rsid w:val="0063756F"/>
    <w:rsid w:val="006404A7"/>
    <w:rsid w:val="006407F3"/>
    <w:rsid w:val="00640C2B"/>
    <w:rsid w:val="00642977"/>
    <w:rsid w:val="00643175"/>
    <w:rsid w:val="006444E7"/>
    <w:rsid w:val="00644C5B"/>
    <w:rsid w:val="00644E74"/>
    <w:rsid w:val="006451E4"/>
    <w:rsid w:val="006460B8"/>
    <w:rsid w:val="00651D5D"/>
    <w:rsid w:val="006520C7"/>
    <w:rsid w:val="00652C32"/>
    <w:rsid w:val="006530B8"/>
    <w:rsid w:val="006535D6"/>
    <w:rsid w:val="00655F7D"/>
    <w:rsid w:val="006573BB"/>
    <w:rsid w:val="006578B8"/>
    <w:rsid w:val="00657E87"/>
    <w:rsid w:val="00660206"/>
    <w:rsid w:val="00660265"/>
    <w:rsid w:val="00660457"/>
    <w:rsid w:val="00660E1E"/>
    <w:rsid w:val="006625BA"/>
    <w:rsid w:val="00663662"/>
    <w:rsid w:val="006637B1"/>
    <w:rsid w:val="00663BFD"/>
    <w:rsid w:val="00664C40"/>
    <w:rsid w:val="00665D67"/>
    <w:rsid w:val="00665D77"/>
    <w:rsid w:val="006660CD"/>
    <w:rsid w:val="00667556"/>
    <w:rsid w:val="006676D0"/>
    <w:rsid w:val="00667C83"/>
    <w:rsid w:val="00670300"/>
    <w:rsid w:val="00670CA8"/>
    <w:rsid w:val="006710C9"/>
    <w:rsid w:val="00671437"/>
    <w:rsid w:val="006741D9"/>
    <w:rsid w:val="00674FAC"/>
    <w:rsid w:val="00675120"/>
    <w:rsid w:val="00675D35"/>
    <w:rsid w:val="00675E37"/>
    <w:rsid w:val="006762AC"/>
    <w:rsid w:val="00676531"/>
    <w:rsid w:val="00676E82"/>
    <w:rsid w:val="00680292"/>
    <w:rsid w:val="0068260E"/>
    <w:rsid w:val="006836E2"/>
    <w:rsid w:val="0068373D"/>
    <w:rsid w:val="00683BFE"/>
    <w:rsid w:val="0068416C"/>
    <w:rsid w:val="00685E66"/>
    <w:rsid w:val="0068672C"/>
    <w:rsid w:val="00686B72"/>
    <w:rsid w:val="00686D87"/>
    <w:rsid w:val="00690A09"/>
    <w:rsid w:val="00692418"/>
    <w:rsid w:val="00692D61"/>
    <w:rsid w:val="00693FEA"/>
    <w:rsid w:val="006945AA"/>
    <w:rsid w:val="006945DF"/>
    <w:rsid w:val="00694B93"/>
    <w:rsid w:val="00695170"/>
    <w:rsid w:val="00695BEF"/>
    <w:rsid w:val="006960D6"/>
    <w:rsid w:val="00696AA5"/>
    <w:rsid w:val="006977F6"/>
    <w:rsid w:val="00697A13"/>
    <w:rsid w:val="006A0A8D"/>
    <w:rsid w:val="006A109C"/>
    <w:rsid w:val="006A1A80"/>
    <w:rsid w:val="006A3B4D"/>
    <w:rsid w:val="006A456E"/>
    <w:rsid w:val="006A672B"/>
    <w:rsid w:val="006B05C6"/>
    <w:rsid w:val="006B0978"/>
    <w:rsid w:val="006B2EE3"/>
    <w:rsid w:val="006B38E0"/>
    <w:rsid w:val="006B3F8A"/>
    <w:rsid w:val="006B5CA3"/>
    <w:rsid w:val="006B6A7E"/>
    <w:rsid w:val="006B6CEE"/>
    <w:rsid w:val="006B78D8"/>
    <w:rsid w:val="006C090F"/>
    <w:rsid w:val="006C113F"/>
    <w:rsid w:val="006C23CB"/>
    <w:rsid w:val="006C2A26"/>
    <w:rsid w:val="006C38DD"/>
    <w:rsid w:val="006C437B"/>
    <w:rsid w:val="006C4BB5"/>
    <w:rsid w:val="006C5561"/>
    <w:rsid w:val="006C5577"/>
    <w:rsid w:val="006C559A"/>
    <w:rsid w:val="006C58FA"/>
    <w:rsid w:val="006D042D"/>
    <w:rsid w:val="006D06EF"/>
    <w:rsid w:val="006D07DB"/>
    <w:rsid w:val="006D090F"/>
    <w:rsid w:val="006D15EB"/>
    <w:rsid w:val="006D1D8E"/>
    <w:rsid w:val="006D41A6"/>
    <w:rsid w:val="006D4FC9"/>
    <w:rsid w:val="006D61F6"/>
    <w:rsid w:val="006D6AF7"/>
    <w:rsid w:val="006D704E"/>
    <w:rsid w:val="006E157B"/>
    <w:rsid w:val="006E15C0"/>
    <w:rsid w:val="006E15CB"/>
    <w:rsid w:val="006E1F4C"/>
    <w:rsid w:val="006E279A"/>
    <w:rsid w:val="006E2964"/>
    <w:rsid w:val="006E2F3F"/>
    <w:rsid w:val="006E313B"/>
    <w:rsid w:val="006E32B9"/>
    <w:rsid w:val="006E442A"/>
    <w:rsid w:val="006E5875"/>
    <w:rsid w:val="006E5CFD"/>
    <w:rsid w:val="006E5F51"/>
    <w:rsid w:val="006E62CA"/>
    <w:rsid w:val="006E6701"/>
    <w:rsid w:val="006E73B9"/>
    <w:rsid w:val="006F1411"/>
    <w:rsid w:val="006F1640"/>
    <w:rsid w:val="006F2BEE"/>
    <w:rsid w:val="006F3708"/>
    <w:rsid w:val="006F38BB"/>
    <w:rsid w:val="006F38C7"/>
    <w:rsid w:val="006F3E6B"/>
    <w:rsid w:val="006F4A59"/>
    <w:rsid w:val="006F4A60"/>
    <w:rsid w:val="006F4D1E"/>
    <w:rsid w:val="006F756C"/>
    <w:rsid w:val="006F75D2"/>
    <w:rsid w:val="00700B14"/>
    <w:rsid w:val="00700C69"/>
    <w:rsid w:val="00700F9B"/>
    <w:rsid w:val="007014C7"/>
    <w:rsid w:val="00701F7D"/>
    <w:rsid w:val="00702304"/>
    <w:rsid w:val="00702926"/>
    <w:rsid w:val="00702D6F"/>
    <w:rsid w:val="007039D1"/>
    <w:rsid w:val="007054B9"/>
    <w:rsid w:val="007058F0"/>
    <w:rsid w:val="00705D98"/>
    <w:rsid w:val="00706E5E"/>
    <w:rsid w:val="00707891"/>
    <w:rsid w:val="00707D58"/>
    <w:rsid w:val="007115E4"/>
    <w:rsid w:val="00711EF1"/>
    <w:rsid w:val="0071229A"/>
    <w:rsid w:val="0071436B"/>
    <w:rsid w:val="007146CC"/>
    <w:rsid w:val="00714815"/>
    <w:rsid w:val="007168D3"/>
    <w:rsid w:val="007177F5"/>
    <w:rsid w:val="00717F72"/>
    <w:rsid w:val="00720FA2"/>
    <w:rsid w:val="007211F5"/>
    <w:rsid w:val="00721268"/>
    <w:rsid w:val="0072169E"/>
    <w:rsid w:val="00723C09"/>
    <w:rsid w:val="00723F20"/>
    <w:rsid w:val="0072459F"/>
    <w:rsid w:val="00724666"/>
    <w:rsid w:val="0072472C"/>
    <w:rsid w:val="007253C1"/>
    <w:rsid w:val="00725409"/>
    <w:rsid w:val="00725534"/>
    <w:rsid w:val="00726043"/>
    <w:rsid w:val="0072704A"/>
    <w:rsid w:val="00730AE8"/>
    <w:rsid w:val="00732475"/>
    <w:rsid w:val="00733482"/>
    <w:rsid w:val="00733D4F"/>
    <w:rsid w:val="00734321"/>
    <w:rsid w:val="00734D71"/>
    <w:rsid w:val="007351BA"/>
    <w:rsid w:val="0073572E"/>
    <w:rsid w:val="007363A9"/>
    <w:rsid w:val="00736EB6"/>
    <w:rsid w:val="00740652"/>
    <w:rsid w:val="00740F02"/>
    <w:rsid w:val="00740FEC"/>
    <w:rsid w:val="00741493"/>
    <w:rsid w:val="007422AE"/>
    <w:rsid w:val="007426B3"/>
    <w:rsid w:val="007426FD"/>
    <w:rsid w:val="00742D7C"/>
    <w:rsid w:val="00743AE1"/>
    <w:rsid w:val="00744376"/>
    <w:rsid w:val="007449EA"/>
    <w:rsid w:val="007457CF"/>
    <w:rsid w:val="00746426"/>
    <w:rsid w:val="00746DD9"/>
    <w:rsid w:val="00747567"/>
    <w:rsid w:val="0075023D"/>
    <w:rsid w:val="00750310"/>
    <w:rsid w:val="0075057A"/>
    <w:rsid w:val="00751771"/>
    <w:rsid w:val="00751BFF"/>
    <w:rsid w:val="00751D88"/>
    <w:rsid w:val="00751EA2"/>
    <w:rsid w:val="00752180"/>
    <w:rsid w:val="007521A1"/>
    <w:rsid w:val="0075245C"/>
    <w:rsid w:val="0075315D"/>
    <w:rsid w:val="00754253"/>
    <w:rsid w:val="00754A13"/>
    <w:rsid w:val="007558D3"/>
    <w:rsid w:val="00755D3A"/>
    <w:rsid w:val="00755E71"/>
    <w:rsid w:val="007563E7"/>
    <w:rsid w:val="00756B64"/>
    <w:rsid w:val="00760141"/>
    <w:rsid w:val="007609C6"/>
    <w:rsid w:val="007610A0"/>
    <w:rsid w:val="007620F2"/>
    <w:rsid w:val="00764561"/>
    <w:rsid w:val="00764664"/>
    <w:rsid w:val="007655B1"/>
    <w:rsid w:val="007657B9"/>
    <w:rsid w:val="00765CCE"/>
    <w:rsid w:val="00766FF7"/>
    <w:rsid w:val="007673B7"/>
    <w:rsid w:val="007674C6"/>
    <w:rsid w:val="00767EBF"/>
    <w:rsid w:val="00771236"/>
    <w:rsid w:val="00772F26"/>
    <w:rsid w:val="00774665"/>
    <w:rsid w:val="00774782"/>
    <w:rsid w:val="007751CB"/>
    <w:rsid w:val="00776527"/>
    <w:rsid w:val="007768E3"/>
    <w:rsid w:val="00777765"/>
    <w:rsid w:val="00780B8F"/>
    <w:rsid w:val="00781249"/>
    <w:rsid w:val="0078134E"/>
    <w:rsid w:val="00781834"/>
    <w:rsid w:val="00781FA0"/>
    <w:rsid w:val="007821DB"/>
    <w:rsid w:val="007824A8"/>
    <w:rsid w:val="007825C5"/>
    <w:rsid w:val="00782818"/>
    <w:rsid w:val="007835F2"/>
    <w:rsid w:val="0078406B"/>
    <w:rsid w:val="00784C4A"/>
    <w:rsid w:val="0078561F"/>
    <w:rsid w:val="00785CFB"/>
    <w:rsid w:val="00786DA5"/>
    <w:rsid w:val="00787432"/>
    <w:rsid w:val="007879F2"/>
    <w:rsid w:val="0079033C"/>
    <w:rsid w:val="007910AE"/>
    <w:rsid w:val="00791CF8"/>
    <w:rsid w:val="00793BAE"/>
    <w:rsid w:val="00794E0A"/>
    <w:rsid w:val="007958EA"/>
    <w:rsid w:val="00796187"/>
    <w:rsid w:val="00796642"/>
    <w:rsid w:val="00796BC7"/>
    <w:rsid w:val="007977D7"/>
    <w:rsid w:val="00797802"/>
    <w:rsid w:val="00797AD0"/>
    <w:rsid w:val="007A07C6"/>
    <w:rsid w:val="007A0F38"/>
    <w:rsid w:val="007A155D"/>
    <w:rsid w:val="007A28DB"/>
    <w:rsid w:val="007A2959"/>
    <w:rsid w:val="007A2C57"/>
    <w:rsid w:val="007A327B"/>
    <w:rsid w:val="007A4606"/>
    <w:rsid w:val="007A69E3"/>
    <w:rsid w:val="007A7353"/>
    <w:rsid w:val="007B3DCC"/>
    <w:rsid w:val="007B4518"/>
    <w:rsid w:val="007B5031"/>
    <w:rsid w:val="007B5182"/>
    <w:rsid w:val="007B573F"/>
    <w:rsid w:val="007B6FDA"/>
    <w:rsid w:val="007B7A79"/>
    <w:rsid w:val="007C2CBA"/>
    <w:rsid w:val="007C4691"/>
    <w:rsid w:val="007C471B"/>
    <w:rsid w:val="007C55AE"/>
    <w:rsid w:val="007C6743"/>
    <w:rsid w:val="007C6BAA"/>
    <w:rsid w:val="007C7BEA"/>
    <w:rsid w:val="007D2051"/>
    <w:rsid w:val="007D2AD8"/>
    <w:rsid w:val="007D2C47"/>
    <w:rsid w:val="007D2E0E"/>
    <w:rsid w:val="007D44C3"/>
    <w:rsid w:val="007D7588"/>
    <w:rsid w:val="007D7DD8"/>
    <w:rsid w:val="007E07B7"/>
    <w:rsid w:val="007E0F4B"/>
    <w:rsid w:val="007E1E50"/>
    <w:rsid w:val="007E386C"/>
    <w:rsid w:val="007E6455"/>
    <w:rsid w:val="007E67F8"/>
    <w:rsid w:val="007E770F"/>
    <w:rsid w:val="007E7E61"/>
    <w:rsid w:val="007F0845"/>
    <w:rsid w:val="007F141A"/>
    <w:rsid w:val="007F14BC"/>
    <w:rsid w:val="007F16F9"/>
    <w:rsid w:val="007F5F14"/>
    <w:rsid w:val="007F61B3"/>
    <w:rsid w:val="007F7B54"/>
    <w:rsid w:val="007F7B6A"/>
    <w:rsid w:val="00800200"/>
    <w:rsid w:val="008004B5"/>
    <w:rsid w:val="008005D7"/>
    <w:rsid w:val="00801FDD"/>
    <w:rsid w:val="0080255C"/>
    <w:rsid w:val="00803424"/>
    <w:rsid w:val="00804DDA"/>
    <w:rsid w:val="00805541"/>
    <w:rsid w:val="008056F7"/>
    <w:rsid w:val="008059A4"/>
    <w:rsid w:val="008064E9"/>
    <w:rsid w:val="0080673A"/>
    <w:rsid w:val="0080798B"/>
    <w:rsid w:val="00807A2C"/>
    <w:rsid w:val="008103D8"/>
    <w:rsid w:val="008109E4"/>
    <w:rsid w:val="00810A52"/>
    <w:rsid w:val="00811257"/>
    <w:rsid w:val="0081187C"/>
    <w:rsid w:val="00811E24"/>
    <w:rsid w:val="0081248B"/>
    <w:rsid w:val="008129BC"/>
    <w:rsid w:val="00812ACA"/>
    <w:rsid w:val="00812C6D"/>
    <w:rsid w:val="00812E2B"/>
    <w:rsid w:val="00813158"/>
    <w:rsid w:val="0081330F"/>
    <w:rsid w:val="00813A70"/>
    <w:rsid w:val="00813EB9"/>
    <w:rsid w:val="008155EA"/>
    <w:rsid w:val="00816259"/>
    <w:rsid w:val="0081645F"/>
    <w:rsid w:val="008178C2"/>
    <w:rsid w:val="008178CF"/>
    <w:rsid w:val="00817AE0"/>
    <w:rsid w:val="00817C98"/>
    <w:rsid w:val="00820C9F"/>
    <w:rsid w:val="00821FF6"/>
    <w:rsid w:val="00822495"/>
    <w:rsid w:val="0082409A"/>
    <w:rsid w:val="008241C2"/>
    <w:rsid w:val="008253B3"/>
    <w:rsid w:val="008254BD"/>
    <w:rsid w:val="008263CD"/>
    <w:rsid w:val="00826C6A"/>
    <w:rsid w:val="00826D34"/>
    <w:rsid w:val="00827181"/>
    <w:rsid w:val="00827746"/>
    <w:rsid w:val="0083143E"/>
    <w:rsid w:val="0083159D"/>
    <w:rsid w:val="008334C5"/>
    <w:rsid w:val="008336D8"/>
    <w:rsid w:val="008339C4"/>
    <w:rsid w:val="008341A6"/>
    <w:rsid w:val="00834996"/>
    <w:rsid w:val="00834F0A"/>
    <w:rsid w:val="00834FAA"/>
    <w:rsid w:val="00835172"/>
    <w:rsid w:val="008355C7"/>
    <w:rsid w:val="00835E23"/>
    <w:rsid w:val="00836086"/>
    <w:rsid w:val="008362FF"/>
    <w:rsid w:val="00837AE3"/>
    <w:rsid w:val="00841D9F"/>
    <w:rsid w:val="00842604"/>
    <w:rsid w:val="00843B81"/>
    <w:rsid w:val="00843D95"/>
    <w:rsid w:val="00843ECF"/>
    <w:rsid w:val="00846673"/>
    <w:rsid w:val="00846BD7"/>
    <w:rsid w:val="00847007"/>
    <w:rsid w:val="00850AC0"/>
    <w:rsid w:val="008518B7"/>
    <w:rsid w:val="008525DA"/>
    <w:rsid w:val="0085281A"/>
    <w:rsid w:val="0085317A"/>
    <w:rsid w:val="00853794"/>
    <w:rsid w:val="00853B1C"/>
    <w:rsid w:val="00853DA2"/>
    <w:rsid w:val="00853EAB"/>
    <w:rsid w:val="00853F4C"/>
    <w:rsid w:val="00853FFE"/>
    <w:rsid w:val="00854536"/>
    <w:rsid w:val="008545A1"/>
    <w:rsid w:val="00854865"/>
    <w:rsid w:val="008559FE"/>
    <w:rsid w:val="00855A99"/>
    <w:rsid w:val="00855C0D"/>
    <w:rsid w:val="0085695F"/>
    <w:rsid w:val="00857339"/>
    <w:rsid w:val="00860288"/>
    <w:rsid w:val="0086078C"/>
    <w:rsid w:val="008615C3"/>
    <w:rsid w:val="00862A7A"/>
    <w:rsid w:val="00863374"/>
    <w:rsid w:val="00863D9E"/>
    <w:rsid w:val="008645E0"/>
    <w:rsid w:val="008665C1"/>
    <w:rsid w:val="008666C3"/>
    <w:rsid w:val="0086759F"/>
    <w:rsid w:val="00867C4F"/>
    <w:rsid w:val="00867E29"/>
    <w:rsid w:val="00867FCE"/>
    <w:rsid w:val="008705E3"/>
    <w:rsid w:val="00870F2B"/>
    <w:rsid w:val="00871002"/>
    <w:rsid w:val="0087129A"/>
    <w:rsid w:val="008715FE"/>
    <w:rsid w:val="00873DE7"/>
    <w:rsid w:val="008746E6"/>
    <w:rsid w:val="008752D2"/>
    <w:rsid w:val="00876086"/>
    <w:rsid w:val="008768D6"/>
    <w:rsid w:val="00876C5B"/>
    <w:rsid w:val="00877329"/>
    <w:rsid w:val="008775D1"/>
    <w:rsid w:val="008777BB"/>
    <w:rsid w:val="008806AE"/>
    <w:rsid w:val="00880D25"/>
    <w:rsid w:val="008828CE"/>
    <w:rsid w:val="008852B1"/>
    <w:rsid w:val="0088555A"/>
    <w:rsid w:val="008866C2"/>
    <w:rsid w:val="0088733A"/>
    <w:rsid w:val="00887AEB"/>
    <w:rsid w:val="00891BE0"/>
    <w:rsid w:val="008945A1"/>
    <w:rsid w:val="00894A63"/>
    <w:rsid w:val="008950AF"/>
    <w:rsid w:val="008954FA"/>
    <w:rsid w:val="0089588C"/>
    <w:rsid w:val="00895F20"/>
    <w:rsid w:val="0089668D"/>
    <w:rsid w:val="00896BDE"/>
    <w:rsid w:val="0089783D"/>
    <w:rsid w:val="00897C0E"/>
    <w:rsid w:val="008A03E6"/>
    <w:rsid w:val="008A0861"/>
    <w:rsid w:val="008A0BB2"/>
    <w:rsid w:val="008A133B"/>
    <w:rsid w:val="008A1A90"/>
    <w:rsid w:val="008A1AB3"/>
    <w:rsid w:val="008A1D5C"/>
    <w:rsid w:val="008A27A7"/>
    <w:rsid w:val="008A3292"/>
    <w:rsid w:val="008A3A85"/>
    <w:rsid w:val="008A43E9"/>
    <w:rsid w:val="008A48AC"/>
    <w:rsid w:val="008A4CB1"/>
    <w:rsid w:val="008A4EAC"/>
    <w:rsid w:val="008A57BD"/>
    <w:rsid w:val="008A5942"/>
    <w:rsid w:val="008A60BD"/>
    <w:rsid w:val="008A615E"/>
    <w:rsid w:val="008A632B"/>
    <w:rsid w:val="008A6BFE"/>
    <w:rsid w:val="008A6C36"/>
    <w:rsid w:val="008A6DFF"/>
    <w:rsid w:val="008A7CE6"/>
    <w:rsid w:val="008B0683"/>
    <w:rsid w:val="008B06EF"/>
    <w:rsid w:val="008B0C8B"/>
    <w:rsid w:val="008B190E"/>
    <w:rsid w:val="008B1A8A"/>
    <w:rsid w:val="008B2CB6"/>
    <w:rsid w:val="008B568A"/>
    <w:rsid w:val="008B7306"/>
    <w:rsid w:val="008B775F"/>
    <w:rsid w:val="008B7C02"/>
    <w:rsid w:val="008B7EF5"/>
    <w:rsid w:val="008B7F9E"/>
    <w:rsid w:val="008C0368"/>
    <w:rsid w:val="008C07A9"/>
    <w:rsid w:val="008C0E88"/>
    <w:rsid w:val="008C0FE8"/>
    <w:rsid w:val="008C1AA8"/>
    <w:rsid w:val="008C2717"/>
    <w:rsid w:val="008C2E5B"/>
    <w:rsid w:val="008C41F7"/>
    <w:rsid w:val="008C5FBF"/>
    <w:rsid w:val="008C6CB8"/>
    <w:rsid w:val="008C6DE8"/>
    <w:rsid w:val="008C7593"/>
    <w:rsid w:val="008C7815"/>
    <w:rsid w:val="008D0171"/>
    <w:rsid w:val="008D0FEC"/>
    <w:rsid w:val="008D0FF8"/>
    <w:rsid w:val="008D2811"/>
    <w:rsid w:val="008D2A16"/>
    <w:rsid w:val="008D2ECF"/>
    <w:rsid w:val="008D39A6"/>
    <w:rsid w:val="008D3F3D"/>
    <w:rsid w:val="008D53E3"/>
    <w:rsid w:val="008E1A5A"/>
    <w:rsid w:val="008E30AD"/>
    <w:rsid w:val="008E31FF"/>
    <w:rsid w:val="008E33DD"/>
    <w:rsid w:val="008E4413"/>
    <w:rsid w:val="008E517B"/>
    <w:rsid w:val="008E6113"/>
    <w:rsid w:val="008E6AB3"/>
    <w:rsid w:val="008E6AD3"/>
    <w:rsid w:val="008E71A6"/>
    <w:rsid w:val="008E77B6"/>
    <w:rsid w:val="008F032E"/>
    <w:rsid w:val="008F0F14"/>
    <w:rsid w:val="008F2B5D"/>
    <w:rsid w:val="008F371B"/>
    <w:rsid w:val="008F3A22"/>
    <w:rsid w:val="008F3CAE"/>
    <w:rsid w:val="008F41F7"/>
    <w:rsid w:val="008F471F"/>
    <w:rsid w:val="008F4FCE"/>
    <w:rsid w:val="008F79E1"/>
    <w:rsid w:val="008F7D28"/>
    <w:rsid w:val="009003A8"/>
    <w:rsid w:val="00900873"/>
    <w:rsid w:val="00901236"/>
    <w:rsid w:val="009015BD"/>
    <w:rsid w:val="00901D1E"/>
    <w:rsid w:val="00902C13"/>
    <w:rsid w:val="00902CBE"/>
    <w:rsid w:val="00902EFF"/>
    <w:rsid w:val="00903E06"/>
    <w:rsid w:val="00904D96"/>
    <w:rsid w:val="00905425"/>
    <w:rsid w:val="009065B1"/>
    <w:rsid w:val="00910824"/>
    <w:rsid w:val="00910F93"/>
    <w:rsid w:val="00911F2B"/>
    <w:rsid w:val="00912324"/>
    <w:rsid w:val="00914426"/>
    <w:rsid w:val="00914EE3"/>
    <w:rsid w:val="0091580C"/>
    <w:rsid w:val="00915DFE"/>
    <w:rsid w:val="00915F5B"/>
    <w:rsid w:val="0091675F"/>
    <w:rsid w:val="00917709"/>
    <w:rsid w:val="00917918"/>
    <w:rsid w:val="00917FD4"/>
    <w:rsid w:val="00920D03"/>
    <w:rsid w:val="00921F14"/>
    <w:rsid w:val="00922562"/>
    <w:rsid w:val="009233EB"/>
    <w:rsid w:val="00923BAB"/>
    <w:rsid w:val="00923F10"/>
    <w:rsid w:val="009243A5"/>
    <w:rsid w:val="009251EE"/>
    <w:rsid w:val="00925217"/>
    <w:rsid w:val="00925FDB"/>
    <w:rsid w:val="00926283"/>
    <w:rsid w:val="00926E77"/>
    <w:rsid w:val="00931183"/>
    <w:rsid w:val="0093181C"/>
    <w:rsid w:val="009329C5"/>
    <w:rsid w:val="00932A93"/>
    <w:rsid w:val="00932B15"/>
    <w:rsid w:val="009348E3"/>
    <w:rsid w:val="00934AE3"/>
    <w:rsid w:val="00935835"/>
    <w:rsid w:val="00935B60"/>
    <w:rsid w:val="009362AF"/>
    <w:rsid w:val="0093781F"/>
    <w:rsid w:val="00937B11"/>
    <w:rsid w:val="00940F1F"/>
    <w:rsid w:val="00941250"/>
    <w:rsid w:val="0094143D"/>
    <w:rsid w:val="009417A2"/>
    <w:rsid w:val="00942629"/>
    <w:rsid w:val="00942A89"/>
    <w:rsid w:val="0094427A"/>
    <w:rsid w:val="00945578"/>
    <w:rsid w:val="009459C5"/>
    <w:rsid w:val="00945AA0"/>
    <w:rsid w:val="00946D52"/>
    <w:rsid w:val="0094750F"/>
    <w:rsid w:val="0094760E"/>
    <w:rsid w:val="0095013A"/>
    <w:rsid w:val="00953AEF"/>
    <w:rsid w:val="009540D9"/>
    <w:rsid w:val="009551E2"/>
    <w:rsid w:val="00955783"/>
    <w:rsid w:val="00955EA3"/>
    <w:rsid w:val="00955F37"/>
    <w:rsid w:val="009560B0"/>
    <w:rsid w:val="00957164"/>
    <w:rsid w:val="00957871"/>
    <w:rsid w:val="00960239"/>
    <w:rsid w:val="00960BD9"/>
    <w:rsid w:val="009631E0"/>
    <w:rsid w:val="00964498"/>
    <w:rsid w:val="0096650F"/>
    <w:rsid w:val="00967184"/>
    <w:rsid w:val="00967820"/>
    <w:rsid w:val="009700DB"/>
    <w:rsid w:val="009704BD"/>
    <w:rsid w:val="0097074C"/>
    <w:rsid w:val="009712F3"/>
    <w:rsid w:val="00971C65"/>
    <w:rsid w:val="00972263"/>
    <w:rsid w:val="00972D8D"/>
    <w:rsid w:val="00972E12"/>
    <w:rsid w:val="00972EB7"/>
    <w:rsid w:val="00973AAE"/>
    <w:rsid w:val="00974923"/>
    <w:rsid w:val="00974D48"/>
    <w:rsid w:val="00975655"/>
    <w:rsid w:val="009759B5"/>
    <w:rsid w:val="009773AE"/>
    <w:rsid w:val="00980621"/>
    <w:rsid w:val="00981EC7"/>
    <w:rsid w:val="00982072"/>
    <w:rsid w:val="00982718"/>
    <w:rsid w:val="009828EC"/>
    <w:rsid w:val="0098358E"/>
    <w:rsid w:val="00983CBF"/>
    <w:rsid w:val="00983ECF"/>
    <w:rsid w:val="009846A8"/>
    <w:rsid w:val="00984A20"/>
    <w:rsid w:val="00986485"/>
    <w:rsid w:val="00986745"/>
    <w:rsid w:val="00986971"/>
    <w:rsid w:val="00987109"/>
    <w:rsid w:val="0099012D"/>
    <w:rsid w:val="00991899"/>
    <w:rsid w:val="009919CF"/>
    <w:rsid w:val="009949FE"/>
    <w:rsid w:val="00996355"/>
    <w:rsid w:val="00996B72"/>
    <w:rsid w:val="00996E07"/>
    <w:rsid w:val="00997EEB"/>
    <w:rsid w:val="009A14F0"/>
    <w:rsid w:val="009A2390"/>
    <w:rsid w:val="009A2AB3"/>
    <w:rsid w:val="009A3909"/>
    <w:rsid w:val="009A4E12"/>
    <w:rsid w:val="009A4E89"/>
    <w:rsid w:val="009B052C"/>
    <w:rsid w:val="009B06E8"/>
    <w:rsid w:val="009B0AAA"/>
    <w:rsid w:val="009B0EF2"/>
    <w:rsid w:val="009B1FDF"/>
    <w:rsid w:val="009B23A3"/>
    <w:rsid w:val="009B521D"/>
    <w:rsid w:val="009B529C"/>
    <w:rsid w:val="009B61D0"/>
    <w:rsid w:val="009B6CCD"/>
    <w:rsid w:val="009B6FD3"/>
    <w:rsid w:val="009B70BD"/>
    <w:rsid w:val="009C2524"/>
    <w:rsid w:val="009C3690"/>
    <w:rsid w:val="009C42CD"/>
    <w:rsid w:val="009C4DA1"/>
    <w:rsid w:val="009C59D8"/>
    <w:rsid w:val="009C7388"/>
    <w:rsid w:val="009C764D"/>
    <w:rsid w:val="009C7AE1"/>
    <w:rsid w:val="009D0355"/>
    <w:rsid w:val="009D0F98"/>
    <w:rsid w:val="009D1551"/>
    <w:rsid w:val="009D2859"/>
    <w:rsid w:val="009D37B4"/>
    <w:rsid w:val="009D3B5E"/>
    <w:rsid w:val="009D4173"/>
    <w:rsid w:val="009D4F8A"/>
    <w:rsid w:val="009D5354"/>
    <w:rsid w:val="009D6095"/>
    <w:rsid w:val="009D6306"/>
    <w:rsid w:val="009D7385"/>
    <w:rsid w:val="009E0015"/>
    <w:rsid w:val="009E048A"/>
    <w:rsid w:val="009E16D0"/>
    <w:rsid w:val="009E1FBA"/>
    <w:rsid w:val="009E2C54"/>
    <w:rsid w:val="009E3710"/>
    <w:rsid w:val="009E3EB9"/>
    <w:rsid w:val="009E577B"/>
    <w:rsid w:val="009E7A19"/>
    <w:rsid w:val="009E7B1F"/>
    <w:rsid w:val="009F0A61"/>
    <w:rsid w:val="009F0A68"/>
    <w:rsid w:val="009F10EF"/>
    <w:rsid w:val="009F1131"/>
    <w:rsid w:val="009F18F2"/>
    <w:rsid w:val="009F19BA"/>
    <w:rsid w:val="009F3FD0"/>
    <w:rsid w:val="009F408C"/>
    <w:rsid w:val="009F41C4"/>
    <w:rsid w:val="009F4792"/>
    <w:rsid w:val="009F4F77"/>
    <w:rsid w:val="009F5846"/>
    <w:rsid w:val="009F7D77"/>
    <w:rsid w:val="00A01900"/>
    <w:rsid w:val="00A0259C"/>
    <w:rsid w:val="00A030BD"/>
    <w:rsid w:val="00A0348B"/>
    <w:rsid w:val="00A10927"/>
    <w:rsid w:val="00A10D66"/>
    <w:rsid w:val="00A117C1"/>
    <w:rsid w:val="00A11838"/>
    <w:rsid w:val="00A11C9D"/>
    <w:rsid w:val="00A12361"/>
    <w:rsid w:val="00A127F7"/>
    <w:rsid w:val="00A13714"/>
    <w:rsid w:val="00A1420C"/>
    <w:rsid w:val="00A14EDC"/>
    <w:rsid w:val="00A1582B"/>
    <w:rsid w:val="00A15AB6"/>
    <w:rsid w:val="00A2055B"/>
    <w:rsid w:val="00A219F3"/>
    <w:rsid w:val="00A2253C"/>
    <w:rsid w:val="00A23545"/>
    <w:rsid w:val="00A236D8"/>
    <w:rsid w:val="00A23A55"/>
    <w:rsid w:val="00A23E43"/>
    <w:rsid w:val="00A24F8C"/>
    <w:rsid w:val="00A255F7"/>
    <w:rsid w:val="00A25E57"/>
    <w:rsid w:val="00A262BF"/>
    <w:rsid w:val="00A271AD"/>
    <w:rsid w:val="00A276D5"/>
    <w:rsid w:val="00A30336"/>
    <w:rsid w:val="00A30529"/>
    <w:rsid w:val="00A305BD"/>
    <w:rsid w:val="00A30BB5"/>
    <w:rsid w:val="00A30E88"/>
    <w:rsid w:val="00A3128F"/>
    <w:rsid w:val="00A326D0"/>
    <w:rsid w:val="00A34BBF"/>
    <w:rsid w:val="00A35287"/>
    <w:rsid w:val="00A35CB9"/>
    <w:rsid w:val="00A36CDA"/>
    <w:rsid w:val="00A37441"/>
    <w:rsid w:val="00A378F8"/>
    <w:rsid w:val="00A40530"/>
    <w:rsid w:val="00A40B19"/>
    <w:rsid w:val="00A418B6"/>
    <w:rsid w:val="00A41F2C"/>
    <w:rsid w:val="00A424F8"/>
    <w:rsid w:val="00A440F9"/>
    <w:rsid w:val="00A44B0D"/>
    <w:rsid w:val="00A45899"/>
    <w:rsid w:val="00A46826"/>
    <w:rsid w:val="00A46DE0"/>
    <w:rsid w:val="00A4778A"/>
    <w:rsid w:val="00A47B64"/>
    <w:rsid w:val="00A5067F"/>
    <w:rsid w:val="00A5104A"/>
    <w:rsid w:val="00A538DC"/>
    <w:rsid w:val="00A53936"/>
    <w:rsid w:val="00A55301"/>
    <w:rsid w:val="00A557BF"/>
    <w:rsid w:val="00A57B3C"/>
    <w:rsid w:val="00A602D9"/>
    <w:rsid w:val="00A6128E"/>
    <w:rsid w:val="00A61850"/>
    <w:rsid w:val="00A62CE1"/>
    <w:rsid w:val="00A631FA"/>
    <w:rsid w:val="00A63E47"/>
    <w:rsid w:val="00A64143"/>
    <w:rsid w:val="00A64203"/>
    <w:rsid w:val="00A64348"/>
    <w:rsid w:val="00A650F4"/>
    <w:rsid w:val="00A651DB"/>
    <w:rsid w:val="00A653AB"/>
    <w:rsid w:val="00A667A3"/>
    <w:rsid w:val="00A66976"/>
    <w:rsid w:val="00A675C3"/>
    <w:rsid w:val="00A70FBC"/>
    <w:rsid w:val="00A7103D"/>
    <w:rsid w:val="00A721FB"/>
    <w:rsid w:val="00A72671"/>
    <w:rsid w:val="00A727BA"/>
    <w:rsid w:val="00A72D4B"/>
    <w:rsid w:val="00A732AE"/>
    <w:rsid w:val="00A74C7F"/>
    <w:rsid w:val="00A75744"/>
    <w:rsid w:val="00A75E40"/>
    <w:rsid w:val="00A77EB2"/>
    <w:rsid w:val="00A823B7"/>
    <w:rsid w:val="00A82A03"/>
    <w:rsid w:val="00A82B66"/>
    <w:rsid w:val="00A83934"/>
    <w:rsid w:val="00A83B58"/>
    <w:rsid w:val="00A841AC"/>
    <w:rsid w:val="00A851B6"/>
    <w:rsid w:val="00A85332"/>
    <w:rsid w:val="00A85729"/>
    <w:rsid w:val="00A8574B"/>
    <w:rsid w:val="00A857C0"/>
    <w:rsid w:val="00A86068"/>
    <w:rsid w:val="00A872CE"/>
    <w:rsid w:val="00A87DA4"/>
    <w:rsid w:val="00A90368"/>
    <w:rsid w:val="00A906AC"/>
    <w:rsid w:val="00A90A66"/>
    <w:rsid w:val="00A91893"/>
    <w:rsid w:val="00A92D0B"/>
    <w:rsid w:val="00A95A3A"/>
    <w:rsid w:val="00A96463"/>
    <w:rsid w:val="00A97E3F"/>
    <w:rsid w:val="00A97F75"/>
    <w:rsid w:val="00AA0A14"/>
    <w:rsid w:val="00AA23FB"/>
    <w:rsid w:val="00AA2632"/>
    <w:rsid w:val="00AA2B03"/>
    <w:rsid w:val="00AA42AB"/>
    <w:rsid w:val="00AA534F"/>
    <w:rsid w:val="00AA559A"/>
    <w:rsid w:val="00AA7738"/>
    <w:rsid w:val="00AA7B05"/>
    <w:rsid w:val="00AB02AE"/>
    <w:rsid w:val="00AB11AB"/>
    <w:rsid w:val="00AB2AF1"/>
    <w:rsid w:val="00AB440B"/>
    <w:rsid w:val="00AB454F"/>
    <w:rsid w:val="00AB5082"/>
    <w:rsid w:val="00AB50D4"/>
    <w:rsid w:val="00AB7037"/>
    <w:rsid w:val="00AB74C5"/>
    <w:rsid w:val="00AB76C0"/>
    <w:rsid w:val="00AB7BF4"/>
    <w:rsid w:val="00AB7DF2"/>
    <w:rsid w:val="00AC144D"/>
    <w:rsid w:val="00AC1DB7"/>
    <w:rsid w:val="00AC1E3F"/>
    <w:rsid w:val="00AC2F7B"/>
    <w:rsid w:val="00AC352D"/>
    <w:rsid w:val="00AC44CA"/>
    <w:rsid w:val="00AC4F18"/>
    <w:rsid w:val="00AC5926"/>
    <w:rsid w:val="00AC6A22"/>
    <w:rsid w:val="00AC6F62"/>
    <w:rsid w:val="00AD072E"/>
    <w:rsid w:val="00AD0B46"/>
    <w:rsid w:val="00AD11EF"/>
    <w:rsid w:val="00AD186B"/>
    <w:rsid w:val="00AD22B4"/>
    <w:rsid w:val="00AD2565"/>
    <w:rsid w:val="00AD27F2"/>
    <w:rsid w:val="00AD306C"/>
    <w:rsid w:val="00AD3424"/>
    <w:rsid w:val="00AD460D"/>
    <w:rsid w:val="00AD4F85"/>
    <w:rsid w:val="00AD59BB"/>
    <w:rsid w:val="00AD5D3A"/>
    <w:rsid w:val="00AD5D68"/>
    <w:rsid w:val="00AD6C73"/>
    <w:rsid w:val="00AD6D14"/>
    <w:rsid w:val="00AD7314"/>
    <w:rsid w:val="00AD799D"/>
    <w:rsid w:val="00AE06D0"/>
    <w:rsid w:val="00AE1A78"/>
    <w:rsid w:val="00AE1E4A"/>
    <w:rsid w:val="00AE39DC"/>
    <w:rsid w:val="00AE3EC2"/>
    <w:rsid w:val="00AE642B"/>
    <w:rsid w:val="00AE6D73"/>
    <w:rsid w:val="00AE721E"/>
    <w:rsid w:val="00AE7968"/>
    <w:rsid w:val="00AF128B"/>
    <w:rsid w:val="00AF14DC"/>
    <w:rsid w:val="00AF2632"/>
    <w:rsid w:val="00AF2852"/>
    <w:rsid w:val="00AF2E94"/>
    <w:rsid w:val="00AF3225"/>
    <w:rsid w:val="00AF5175"/>
    <w:rsid w:val="00AF518B"/>
    <w:rsid w:val="00AF5275"/>
    <w:rsid w:val="00AF55D3"/>
    <w:rsid w:val="00AF5878"/>
    <w:rsid w:val="00AF5F15"/>
    <w:rsid w:val="00AF5FC0"/>
    <w:rsid w:val="00AF6367"/>
    <w:rsid w:val="00AF648D"/>
    <w:rsid w:val="00AF659A"/>
    <w:rsid w:val="00AF6A79"/>
    <w:rsid w:val="00AF6F70"/>
    <w:rsid w:val="00AF724E"/>
    <w:rsid w:val="00AF73A9"/>
    <w:rsid w:val="00AF74FD"/>
    <w:rsid w:val="00AF7C2D"/>
    <w:rsid w:val="00AF7CD0"/>
    <w:rsid w:val="00B01C2C"/>
    <w:rsid w:val="00B01E8E"/>
    <w:rsid w:val="00B0231C"/>
    <w:rsid w:val="00B0247B"/>
    <w:rsid w:val="00B04828"/>
    <w:rsid w:val="00B05DF2"/>
    <w:rsid w:val="00B06DC2"/>
    <w:rsid w:val="00B06EE6"/>
    <w:rsid w:val="00B07952"/>
    <w:rsid w:val="00B07F24"/>
    <w:rsid w:val="00B106D8"/>
    <w:rsid w:val="00B12609"/>
    <w:rsid w:val="00B12998"/>
    <w:rsid w:val="00B13134"/>
    <w:rsid w:val="00B133F1"/>
    <w:rsid w:val="00B13619"/>
    <w:rsid w:val="00B149D8"/>
    <w:rsid w:val="00B155A3"/>
    <w:rsid w:val="00B15DCD"/>
    <w:rsid w:val="00B16102"/>
    <w:rsid w:val="00B16FDA"/>
    <w:rsid w:val="00B174DD"/>
    <w:rsid w:val="00B17567"/>
    <w:rsid w:val="00B17E71"/>
    <w:rsid w:val="00B17FCE"/>
    <w:rsid w:val="00B17FDE"/>
    <w:rsid w:val="00B208FC"/>
    <w:rsid w:val="00B20C65"/>
    <w:rsid w:val="00B23632"/>
    <w:rsid w:val="00B23CF0"/>
    <w:rsid w:val="00B2424E"/>
    <w:rsid w:val="00B24545"/>
    <w:rsid w:val="00B24707"/>
    <w:rsid w:val="00B24B73"/>
    <w:rsid w:val="00B24E42"/>
    <w:rsid w:val="00B24EA2"/>
    <w:rsid w:val="00B27293"/>
    <w:rsid w:val="00B274E0"/>
    <w:rsid w:val="00B27737"/>
    <w:rsid w:val="00B309F6"/>
    <w:rsid w:val="00B3117D"/>
    <w:rsid w:val="00B31336"/>
    <w:rsid w:val="00B3229E"/>
    <w:rsid w:val="00B326B3"/>
    <w:rsid w:val="00B32DDB"/>
    <w:rsid w:val="00B35BEA"/>
    <w:rsid w:val="00B35F07"/>
    <w:rsid w:val="00B3641E"/>
    <w:rsid w:val="00B37A71"/>
    <w:rsid w:val="00B40B04"/>
    <w:rsid w:val="00B41BE6"/>
    <w:rsid w:val="00B41D75"/>
    <w:rsid w:val="00B435EF"/>
    <w:rsid w:val="00B43871"/>
    <w:rsid w:val="00B450A5"/>
    <w:rsid w:val="00B457E7"/>
    <w:rsid w:val="00B47430"/>
    <w:rsid w:val="00B47436"/>
    <w:rsid w:val="00B4769E"/>
    <w:rsid w:val="00B47FCC"/>
    <w:rsid w:val="00B50F22"/>
    <w:rsid w:val="00B51604"/>
    <w:rsid w:val="00B52D2D"/>
    <w:rsid w:val="00B53BC1"/>
    <w:rsid w:val="00B56082"/>
    <w:rsid w:val="00B561A6"/>
    <w:rsid w:val="00B60AAB"/>
    <w:rsid w:val="00B60C8D"/>
    <w:rsid w:val="00B60DCD"/>
    <w:rsid w:val="00B61046"/>
    <w:rsid w:val="00B61F2D"/>
    <w:rsid w:val="00B62960"/>
    <w:rsid w:val="00B63A11"/>
    <w:rsid w:val="00B63FD0"/>
    <w:rsid w:val="00B64D5A"/>
    <w:rsid w:val="00B65845"/>
    <w:rsid w:val="00B658EA"/>
    <w:rsid w:val="00B65C84"/>
    <w:rsid w:val="00B6608F"/>
    <w:rsid w:val="00B662E3"/>
    <w:rsid w:val="00B66C89"/>
    <w:rsid w:val="00B71161"/>
    <w:rsid w:val="00B71C2D"/>
    <w:rsid w:val="00B71E5E"/>
    <w:rsid w:val="00B72B1E"/>
    <w:rsid w:val="00B737C7"/>
    <w:rsid w:val="00B74317"/>
    <w:rsid w:val="00B752FD"/>
    <w:rsid w:val="00B75A87"/>
    <w:rsid w:val="00B7638C"/>
    <w:rsid w:val="00B765F3"/>
    <w:rsid w:val="00B76D1E"/>
    <w:rsid w:val="00B812F0"/>
    <w:rsid w:val="00B822D2"/>
    <w:rsid w:val="00B832DF"/>
    <w:rsid w:val="00B83324"/>
    <w:rsid w:val="00B83D55"/>
    <w:rsid w:val="00B83DDF"/>
    <w:rsid w:val="00B83E78"/>
    <w:rsid w:val="00B848B8"/>
    <w:rsid w:val="00B84A41"/>
    <w:rsid w:val="00B84D57"/>
    <w:rsid w:val="00B84D64"/>
    <w:rsid w:val="00B856A2"/>
    <w:rsid w:val="00B86748"/>
    <w:rsid w:val="00B87EDC"/>
    <w:rsid w:val="00B90784"/>
    <w:rsid w:val="00B90BAA"/>
    <w:rsid w:val="00B91EC9"/>
    <w:rsid w:val="00B924CA"/>
    <w:rsid w:val="00B93384"/>
    <w:rsid w:val="00B9381E"/>
    <w:rsid w:val="00B93A86"/>
    <w:rsid w:val="00B94417"/>
    <w:rsid w:val="00B95940"/>
    <w:rsid w:val="00B95EF8"/>
    <w:rsid w:val="00B95F50"/>
    <w:rsid w:val="00B96BD9"/>
    <w:rsid w:val="00B978CD"/>
    <w:rsid w:val="00BA00BE"/>
    <w:rsid w:val="00BA06CA"/>
    <w:rsid w:val="00BA2538"/>
    <w:rsid w:val="00BA452B"/>
    <w:rsid w:val="00BA4B2A"/>
    <w:rsid w:val="00BB04AD"/>
    <w:rsid w:val="00BB19EC"/>
    <w:rsid w:val="00BB1C96"/>
    <w:rsid w:val="00BB2116"/>
    <w:rsid w:val="00BB2C53"/>
    <w:rsid w:val="00BB32DA"/>
    <w:rsid w:val="00BB3972"/>
    <w:rsid w:val="00BB3A54"/>
    <w:rsid w:val="00BB40FD"/>
    <w:rsid w:val="00BB43F4"/>
    <w:rsid w:val="00BB4E21"/>
    <w:rsid w:val="00BB502A"/>
    <w:rsid w:val="00BB5CEB"/>
    <w:rsid w:val="00BB5E42"/>
    <w:rsid w:val="00BB7761"/>
    <w:rsid w:val="00BC1728"/>
    <w:rsid w:val="00BC2D43"/>
    <w:rsid w:val="00BC4CE0"/>
    <w:rsid w:val="00BC5111"/>
    <w:rsid w:val="00BC54E1"/>
    <w:rsid w:val="00BC682B"/>
    <w:rsid w:val="00BC6A12"/>
    <w:rsid w:val="00BC6B04"/>
    <w:rsid w:val="00BC706F"/>
    <w:rsid w:val="00BD053B"/>
    <w:rsid w:val="00BD0B9B"/>
    <w:rsid w:val="00BD0D8B"/>
    <w:rsid w:val="00BD0ED0"/>
    <w:rsid w:val="00BD1F94"/>
    <w:rsid w:val="00BD23CB"/>
    <w:rsid w:val="00BD3428"/>
    <w:rsid w:val="00BD366B"/>
    <w:rsid w:val="00BD3915"/>
    <w:rsid w:val="00BD4110"/>
    <w:rsid w:val="00BD5017"/>
    <w:rsid w:val="00BD56BC"/>
    <w:rsid w:val="00BD5832"/>
    <w:rsid w:val="00BD59D1"/>
    <w:rsid w:val="00BD5D91"/>
    <w:rsid w:val="00BD64E1"/>
    <w:rsid w:val="00BD6615"/>
    <w:rsid w:val="00BD6D50"/>
    <w:rsid w:val="00BD7413"/>
    <w:rsid w:val="00BE0261"/>
    <w:rsid w:val="00BE09E4"/>
    <w:rsid w:val="00BE0DB0"/>
    <w:rsid w:val="00BE1C59"/>
    <w:rsid w:val="00BE3F09"/>
    <w:rsid w:val="00BE572B"/>
    <w:rsid w:val="00BE5986"/>
    <w:rsid w:val="00BE670A"/>
    <w:rsid w:val="00BE6898"/>
    <w:rsid w:val="00BE6906"/>
    <w:rsid w:val="00BE6AAB"/>
    <w:rsid w:val="00BE795E"/>
    <w:rsid w:val="00BF18F4"/>
    <w:rsid w:val="00BF1A69"/>
    <w:rsid w:val="00BF1B37"/>
    <w:rsid w:val="00BF1C8D"/>
    <w:rsid w:val="00BF1D58"/>
    <w:rsid w:val="00BF36F6"/>
    <w:rsid w:val="00BF3BC8"/>
    <w:rsid w:val="00BF3DF1"/>
    <w:rsid w:val="00BF4C31"/>
    <w:rsid w:val="00BF59A0"/>
    <w:rsid w:val="00BF6C56"/>
    <w:rsid w:val="00BF6DE7"/>
    <w:rsid w:val="00BF7844"/>
    <w:rsid w:val="00BF7A9A"/>
    <w:rsid w:val="00C00F20"/>
    <w:rsid w:val="00C0118D"/>
    <w:rsid w:val="00C0165A"/>
    <w:rsid w:val="00C020FE"/>
    <w:rsid w:val="00C03388"/>
    <w:rsid w:val="00C034E6"/>
    <w:rsid w:val="00C0353A"/>
    <w:rsid w:val="00C06047"/>
    <w:rsid w:val="00C074F9"/>
    <w:rsid w:val="00C0784A"/>
    <w:rsid w:val="00C104F3"/>
    <w:rsid w:val="00C10982"/>
    <w:rsid w:val="00C10FAE"/>
    <w:rsid w:val="00C12A69"/>
    <w:rsid w:val="00C12B35"/>
    <w:rsid w:val="00C150BE"/>
    <w:rsid w:val="00C15336"/>
    <w:rsid w:val="00C15A0C"/>
    <w:rsid w:val="00C15B71"/>
    <w:rsid w:val="00C15DCB"/>
    <w:rsid w:val="00C17DDE"/>
    <w:rsid w:val="00C20744"/>
    <w:rsid w:val="00C20B74"/>
    <w:rsid w:val="00C20C4D"/>
    <w:rsid w:val="00C21937"/>
    <w:rsid w:val="00C21D46"/>
    <w:rsid w:val="00C21F94"/>
    <w:rsid w:val="00C222A1"/>
    <w:rsid w:val="00C2250A"/>
    <w:rsid w:val="00C239E5"/>
    <w:rsid w:val="00C23D22"/>
    <w:rsid w:val="00C243B5"/>
    <w:rsid w:val="00C24E77"/>
    <w:rsid w:val="00C25608"/>
    <w:rsid w:val="00C26324"/>
    <w:rsid w:val="00C2696A"/>
    <w:rsid w:val="00C26F4C"/>
    <w:rsid w:val="00C2732D"/>
    <w:rsid w:val="00C273C6"/>
    <w:rsid w:val="00C27913"/>
    <w:rsid w:val="00C300C6"/>
    <w:rsid w:val="00C30530"/>
    <w:rsid w:val="00C3252C"/>
    <w:rsid w:val="00C32552"/>
    <w:rsid w:val="00C336F4"/>
    <w:rsid w:val="00C3432C"/>
    <w:rsid w:val="00C3462A"/>
    <w:rsid w:val="00C34D86"/>
    <w:rsid w:val="00C34FDE"/>
    <w:rsid w:val="00C35C16"/>
    <w:rsid w:val="00C363B2"/>
    <w:rsid w:val="00C373AC"/>
    <w:rsid w:val="00C4053A"/>
    <w:rsid w:val="00C408C3"/>
    <w:rsid w:val="00C41233"/>
    <w:rsid w:val="00C41463"/>
    <w:rsid w:val="00C417ED"/>
    <w:rsid w:val="00C41A72"/>
    <w:rsid w:val="00C42294"/>
    <w:rsid w:val="00C42E09"/>
    <w:rsid w:val="00C4365E"/>
    <w:rsid w:val="00C43DCA"/>
    <w:rsid w:val="00C4537B"/>
    <w:rsid w:val="00C4549D"/>
    <w:rsid w:val="00C45C2B"/>
    <w:rsid w:val="00C476C5"/>
    <w:rsid w:val="00C503B0"/>
    <w:rsid w:val="00C50863"/>
    <w:rsid w:val="00C511C2"/>
    <w:rsid w:val="00C51DA5"/>
    <w:rsid w:val="00C52D50"/>
    <w:rsid w:val="00C53D82"/>
    <w:rsid w:val="00C53F31"/>
    <w:rsid w:val="00C540C9"/>
    <w:rsid w:val="00C553F5"/>
    <w:rsid w:val="00C5552E"/>
    <w:rsid w:val="00C559DD"/>
    <w:rsid w:val="00C57FA7"/>
    <w:rsid w:val="00C60696"/>
    <w:rsid w:val="00C615F1"/>
    <w:rsid w:val="00C61627"/>
    <w:rsid w:val="00C626F2"/>
    <w:rsid w:val="00C62A6E"/>
    <w:rsid w:val="00C640C6"/>
    <w:rsid w:val="00C64E60"/>
    <w:rsid w:val="00C657A4"/>
    <w:rsid w:val="00C662C1"/>
    <w:rsid w:val="00C6736C"/>
    <w:rsid w:val="00C67B02"/>
    <w:rsid w:val="00C708C0"/>
    <w:rsid w:val="00C71247"/>
    <w:rsid w:val="00C72266"/>
    <w:rsid w:val="00C72CFC"/>
    <w:rsid w:val="00C7315B"/>
    <w:rsid w:val="00C732D0"/>
    <w:rsid w:val="00C74002"/>
    <w:rsid w:val="00C7548A"/>
    <w:rsid w:val="00C757AE"/>
    <w:rsid w:val="00C75C7E"/>
    <w:rsid w:val="00C7667A"/>
    <w:rsid w:val="00C76D8E"/>
    <w:rsid w:val="00C77833"/>
    <w:rsid w:val="00C80C9B"/>
    <w:rsid w:val="00C81DE5"/>
    <w:rsid w:val="00C82F0A"/>
    <w:rsid w:val="00C83333"/>
    <w:rsid w:val="00C8335E"/>
    <w:rsid w:val="00C839D7"/>
    <w:rsid w:val="00C84605"/>
    <w:rsid w:val="00C84CE3"/>
    <w:rsid w:val="00C84FE8"/>
    <w:rsid w:val="00C85705"/>
    <w:rsid w:val="00C860F2"/>
    <w:rsid w:val="00C86F05"/>
    <w:rsid w:val="00C87626"/>
    <w:rsid w:val="00C87D46"/>
    <w:rsid w:val="00C90CF4"/>
    <w:rsid w:val="00C91C19"/>
    <w:rsid w:val="00C91DC6"/>
    <w:rsid w:val="00C926BE"/>
    <w:rsid w:val="00C929A0"/>
    <w:rsid w:val="00C92F27"/>
    <w:rsid w:val="00C93389"/>
    <w:rsid w:val="00C93679"/>
    <w:rsid w:val="00C937DB"/>
    <w:rsid w:val="00C93823"/>
    <w:rsid w:val="00C93A94"/>
    <w:rsid w:val="00C94519"/>
    <w:rsid w:val="00C94E83"/>
    <w:rsid w:val="00C9531C"/>
    <w:rsid w:val="00C97768"/>
    <w:rsid w:val="00CA0CDD"/>
    <w:rsid w:val="00CA140F"/>
    <w:rsid w:val="00CA14AD"/>
    <w:rsid w:val="00CA37CA"/>
    <w:rsid w:val="00CA3CB2"/>
    <w:rsid w:val="00CA3D39"/>
    <w:rsid w:val="00CA4232"/>
    <w:rsid w:val="00CA48FB"/>
    <w:rsid w:val="00CA6BA1"/>
    <w:rsid w:val="00CA6CD5"/>
    <w:rsid w:val="00CA7734"/>
    <w:rsid w:val="00CB02DF"/>
    <w:rsid w:val="00CB0360"/>
    <w:rsid w:val="00CB0414"/>
    <w:rsid w:val="00CB0C6E"/>
    <w:rsid w:val="00CB154F"/>
    <w:rsid w:val="00CB2150"/>
    <w:rsid w:val="00CB28EE"/>
    <w:rsid w:val="00CB3ACB"/>
    <w:rsid w:val="00CB43A7"/>
    <w:rsid w:val="00CB43BC"/>
    <w:rsid w:val="00CB5996"/>
    <w:rsid w:val="00CB5B25"/>
    <w:rsid w:val="00CB7452"/>
    <w:rsid w:val="00CB7A5E"/>
    <w:rsid w:val="00CB7D09"/>
    <w:rsid w:val="00CC0922"/>
    <w:rsid w:val="00CC2642"/>
    <w:rsid w:val="00CC2E15"/>
    <w:rsid w:val="00CC2EB5"/>
    <w:rsid w:val="00CC30FE"/>
    <w:rsid w:val="00CC3908"/>
    <w:rsid w:val="00CC3C77"/>
    <w:rsid w:val="00CC42E7"/>
    <w:rsid w:val="00CC4DDF"/>
    <w:rsid w:val="00CC52A7"/>
    <w:rsid w:val="00CC5F24"/>
    <w:rsid w:val="00CC62AD"/>
    <w:rsid w:val="00CD00B4"/>
    <w:rsid w:val="00CD1484"/>
    <w:rsid w:val="00CD227A"/>
    <w:rsid w:val="00CD2B3C"/>
    <w:rsid w:val="00CD30F6"/>
    <w:rsid w:val="00CD4AD9"/>
    <w:rsid w:val="00CD4B29"/>
    <w:rsid w:val="00CD5242"/>
    <w:rsid w:val="00CD5912"/>
    <w:rsid w:val="00CD5BB2"/>
    <w:rsid w:val="00CD6EF1"/>
    <w:rsid w:val="00CD6F99"/>
    <w:rsid w:val="00CD6FC4"/>
    <w:rsid w:val="00CD70C9"/>
    <w:rsid w:val="00CE090E"/>
    <w:rsid w:val="00CE11A9"/>
    <w:rsid w:val="00CE21C7"/>
    <w:rsid w:val="00CE57D8"/>
    <w:rsid w:val="00CE617A"/>
    <w:rsid w:val="00CE77AA"/>
    <w:rsid w:val="00CE7AED"/>
    <w:rsid w:val="00CE7E17"/>
    <w:rsid w:val="00CF1152"/>
    <w:rsid w:val="00CF1A0A"/>
    <w:rsid w:val="00CF27AC"/>
    <w:rsid w:val="00CF289F"/>
    <w:rsid w:val="00CF28C2"/>
    <w:rsid w:val="00CF316F"/>
    <w:rsid w:val="00CF3E37"/>
    <w:rsid w:val="00CF42BD"/>
    <w:rsid w:val="00CF50FC"/>
    <w:rsid w:val="00CF51EC"/>
    <w:rsid w:val="00CF6CD7"/>
    <w:rsid w:val="00CF6ECE"/>
    <w:rsid w:val="00D0037A"/>
    <w:rsid w:val="00D0077F"/>
    <w:rsid w:val="00D00DAF"/>
    <w:rsid w:val="00D00F76"/>
    <w:rsid w:val="00D017EC"/>
    <w:rsid w:val="00D01CDA"/>
    <w:rsid w:val="00D02200"/>
    <w:rsid w:val="00D02924"/>
    <w:rsid w:val="00D036AB"/>
    <w:rsid w:val="00D03EC0"/>
    <w:rsid w:val="00D040DD"/>
    <w:rsid w:val="00D04A11"/>
    <w:rsid w:val="00D04E1B"/>
    <w:rsid w:val="00D04E99"/>
    <w:rsid w:val="00D05207"/>
    <w:rsid w:val="00D0533F"/>
    <w:rsid w:val="00D05407"/>
    <w:rsid w:val="00D05AB7"/>
    <w:rsid w:val="00D06281"/>
    <w:rsid w:val="00D06438"/>
    <w:rsid w:val="00D06E68"/>
    <w:rsid w:val="00D06FB4"/>
    <w:rsid w:val="00D0743A"/>
    <w:rsid w:val="00D1067C"/>
    <w:rsid w:val="00D124CF"/>
    <w:rsid w:val="00D128C8"/>
    <w:rsid w:val="00D136D4"/>
    <w:rsid w:val="00D1391B"/>
    <w:rsid w:val="00D13ECF"/>
    <w:rsid w:val="00D14148"/>
    <w:rsid w:val="00D142E5"/>
    <w:rsid w:val="00D1611E"/>
    <w:rsid w:val="00D1638D"/>
    <w:rsid w:val="00D16E69"/>
    <w:rsid w:val="00D17F4F"/>
    <w:rsid w:val="00D2002A"/>
    <w:rsid w:val="00D205A9"/>
    <w:rsid w:val="00D20710"/>
    <w:rsid w:val="00D20DE6"/>
    <w:rsid w:val="00D217EE"/>
    <w:rsid w:val="00D22468"/>
    <w:rsid w:val="00D2282B"/>
    <w:rsid w:val="00D245F0"/>
    <w:rsid w:val="00D24DA0"/>
    <w:rsid w:val="00D25220"/>
    <w:rsid w:val="00D2620E"/>
    <w:rsid w:val="00D26579"/>
    <w:rsid w:val="00D26923"/>
    <w:rsid w:val="00D26B20"/>
    <w:rsid w:val="00D27856"/>
    <w:rsid w:val="00D279D3"/>
    <w:rsid w:val="00D30740"/>
    <w:rsid w:val="00D30788"/>
    <w:rsid w:val="00D309A7"/>
    <w:rsid w:val="00D309E7"/>
    <w:rsid w:val="00D31075"/>
    <w:rsid w:val="00D31311"/>
    <w:rsid w:val="00D31445"/>
    <w:rsid w:val="00D31866"/>
    <w:rsid w:val="00D31932"/>
    <w:rsid w:val="00D32D31"/>
    <w:rsid w:val="00D34225"/>
    <w:rsid w:val="00D35A48"/>
    <w:rsid w:val="00D366D9"/>
    <w:rsid w:val="00D373D9"/>
    <w:rsid w:val="00D377ED"/>
    <w:rsid w:val="00D378CC"/>
    <w:rsid w:val="00D4042C"/>
    <w:rsid w:val="00D4171A"/>
    <w:rsid w:val="00D42312"/>
    <w:rsid w:val="00D429AE"/>
    <w:rsid w:val="00D4327D"/>
    <w:rsid w:val="00D43998"/>
    <w:rsid w:val="00D43C1F"/>
    <w:rsid w:val="00D45046"/>
    <w:rsid w:val="00D45EEE"/>
    <w:rsid w:val="00D4615E"/>
    <w:rsid w:val="00D478E2"/>
    <w:rsid w:val="00D47948"/>
    <w:rsid w:val="00D52401"/>
    <w:rsid w:val="00D5264C"/>
    <w:rsid w:val="00D52EC9"/>
    <w:rsid w:val="00D53362"/>
    <w:rsid w:val="00D547BA"/>
    <w:rsid w:val="00D54BC4"/>
    <w:rsid w:val="00D5561E"/>
    <w:rsid w:val="00D55626"/>
    <w:rsid w:val="00D556BC"/>
    <w:rsid w:val="00D5626D"/>
    <w:rsid w:val="00D56C22"/>
    <w:rsid w:val="00D5718D"/>
    <w:rsid w:val="00D57C38"/>
    <w:rsid w:val="00D57D60"/>
    <w:rsid w:val="00D60277"/>
    <w:rsid w:val="00D6083C"/>
    <w:rsid w:val="00D60E2D"/>
    <w:rsid w:val="00D60F44"/>
    <w:rsid w:val="00D611D3"/>
    <w:rsid w:val="00D62536"/>
    <w:rsid w:val="00D62901"/>
    <w:rsid w:val="00D6470C"/>
    <w:rsid w:val="00D64853"/>
    <w:rsid w:val="00D64B04"/>
    <w:rsid w:val="00D64CB5"/>
    <w:rsid w:val="00D64E9A"/>
    <w:rsid w:val="00D6524A"/>
    <w:rsid w:val="00D65B29"/>
    <w:rsid w:val="00D65C09"/>
    <w:rsid w:val="00D66CBA"/>
    <w:rsid w:val="00D66D48"/>
    <w:rsid w:val="00D70E41"/>
    <w:rsid w:val="00D712E0"/>
    <w:rsid w:val="00D71930"/>
    <w:rsid w:val="00D72379"/>
    <w:rsid w:val="00D73256"/>
    <w:rsid w:val="00D73A30"/>
    <w:rsid w:val="00D74941"/>
    <w:rsid w:val="00D74A6A"/>
    <w:rsid w:val="00D74C65"/>
    <w:rsid w:val="00D74E76"/>
    <w:rsid w:val="00D75DC2"/>
    <w:rsid w:val="00D76F27"/>
    <w:rsid w:val="00D8062F"/>
    <w:rsid w:val="00D82462"/>
    <w:rsid w:val="00D824CE"/>
    <w:rsid w:val="00D8422D"/>
    <w:rsid w:val="00D857AA"/>
    <w:rsid w:val="00D85A88"/>
    <w:rsid w:val="00D85A8C"/>
    <w:rsid w:val="00D868CE"/>
    <w:rsid w:val="00D86B73"/>
    <w:rsid w:val="00D87D8D"/>
    <w:rsid w:val="00D90C1E"/>
    <w:rsid w:val="00D91D7F"/>
    <w:rsid w:val="00D922B8"/>
    <w:rsid w:val="00D93A51"/>
    <w:rsid w:val="00D93F09"/>
    <w:rsid w:val="00D96473"/>
    <w:rsid w:val="00D97BB8"/>
    <w:rsid w:val="00DA0C01"/>
    <w:rsid w:val="00DA24BD"/>
    <w:rsid w:val="00DA2CE4"/>
    <w:rsid w:val="00DA39DC"/>
    <w:rsid w:val="00DA3FF9"/>
    <w:rsid w:val="00DA43AC"/>
    <w:rsid w:val="00DA43C2"/>
    <w:rsid w:val="00DA4AF6"/>
    <w:rsid w:val="00DA560B"/>
    <w:rsid w:val="00DA5CAB"/>
    <w:rsid w:val="00DA7613"/>
    <w:rsid w:val="00DB016E"/>
    <w:rsid w:val="00DB01A2"/>
    <w:rsid w:val="00DB06E9"/>
    <w:rsid w:val="00DB1710"/>
    <w:rsid w:val="00DB1B8B"/>
    <w:rsid w:val="00DB31DE"/>
    <w:rsid w:val="00DB378E"/>
    <w:rsid w:val="00DB3CFB"/>
    <w:rsid w:val="00DB3DD4"/>
    <w:rsid w:val="00DB3E9D"/>
    <w:rsid w:val="00DB47B9"/>
    <w:rsid w:val="00DB4FB8"/>
    <w:rsid w:val="00DB4FEB"/>
    <w:rsid w:val="00DB5104"/>
    <w:rsid w:val="00DB53CE"/>
    <w:rsid w:val="00DB549D"/>
    <w:rsid w:val="00DB6361"/>
    <w:rsid w:val="00DB7969"/>
    <w:rsid w:val="00DC00D7"/>
    <w:rsid w:val="00DC0B1C"/>
    <w:rsid w:val="00DC0BB4"/>
    <w:rsid w:val="00DC257F"/>
    <w:rsid w:val="00DC344C"/>
    <w:rsid w:val="00DC3624"/>
    <w:rsid w:val="00DC408A"/>
    <w:rsid w:val="00DC472A"/>
    <w:rsid w:val="00DC4CBF"/>
    <w:rsid w:val="00DC53F9"/>
    <w:rsid w:val="00DC5B3B"/>
    <w:rsid w:val="00DC5B54"/>
    <w:rsid w:val="00DC65FC"/>
    <w:rsid w:val="00DC6796"/>
    <w:rsid w:val="00DC78DF"/>
    <w:rsid w:val="00DC7A73"/>
    <w:rsid w:val="00DD0821"/>
    <w:rsid w:val="00DD0E32"/>
    <w:rsid w:val="00DD1278"/>
    <w:rsid w:val="00DD1A36"/>
    <w:rsid w:val="00DD1BD3"/>
    <w:rsid w:val="00DD2130"/>
    <w:rsid w:val="00DD28A1"/>
    <w:rsid w:val="00DD3532"/>
    <w:rsid w:val="00DD373E"/>
    <w:rsid w:val="00DD57AD"/>
    <w:rsid w:val="00DE009B"/>
    <w:rsid w:val="00DE200E"/>
    <w:rsid w:val="00DE2ED9"/>
    <w:rsid w:val="00DE319A"/>
    <w:rsid w:val="00DE44F1"/>
    <w:rsid w:val="00DE4D6E"/>
    <w:rsid w:val="00DE5CC4"/>
    <w:rsid w:val="00DF053A"/>
    <w:rsid w:val="00DF0DC3"/>
    <w:rsid w:val="00DF0F9D"/>
    <w:rsid w:val="00DF4A7C"/>
    <w:rsid w:val="00DF4F01"/>
    <w:rsid w:val="00DF5343"/>
    <w:rsid w:val="00DF5578"/>
    <w:rsid w:val="00DF6134"/>
    <w:rsid w:val="00DF6619"/>
    <w:rsid w:val="00DF7FEC"/>
    <w:rsid w:val="00E00A57"/>
    <w:rsid w:val="00E01149"/>
    <w:rsid w:val="00E01C0E"/>
    <w:rsid w:val="00E021AF"/>
    <w:rsid w:val="00E026C3"/>
    <w:rsid w:val="00E03B27"/>
    <w:rsid w:val="00E03BFF"/>
    <w:rsid w:val="00E03E80"/>
    <w:rsid w:val="00E04694"/>
    <w:rsid w:val="00E04A40"/>
    <w:rsid w:val="00E05778"/>
    <w:rsid w:val="00E05B2B"/>
    <w:rsid w:val="00E05DDE"/>
    <w:rsid w:val="00E06773"/>
    <w:rsid w:val="00E07309"/>
    <w:rsid w:val="00E07F05"/>
    <w:rsid w:val="00E10497"/>
    <w:rsid w:val="00E12567"/>
    <w:rsid w:val="00E127E1"/>
    <w:rsid w:val="00E13411"/>
    <w:rsid w:val="00E13688"/>
    <w:rsid w:val="00E144D2"/>
    <w:rsid w:val="00E15346"/>
    <w:rsid w:val="00E1629D"/>
    <w:rsid w:val="00E20525"/>
    <w:rsid w:val="00E21367"/>
    <w:rsid w:val="00E215EA"/>
    <w:rsid w:val="00E227EC"/>
    <w:rsid w:val="00E22B14"/>
    <w:rsid w:val="00E22DF1"/>
    <w:rsid w:val="00E23239"/>
    <w:rsid w:val="00E244A4"/>
    <w:rsid w:val="00E24619"/>
    <w:rsid w:val="00E249D7"/>
    <w:rsid w:val="00E25223"/>
    <w:rsid w:val="00E2562A"/>
    <w:rsid w:val="00E2575A"/>
    <w:rsid w:val="00E2612E"/>
    <w:rsid w:val="00E268AC"/>
    <w:rsid w:val="00E27D52"/>
    <w:rsid w:val="00E30BEA"/>
    <w:rsid w:val="00E31764"/>
    <w:rsid w:val="00E31EDE"/>
    <w:rsid w:val="00E337D9"/>
    <w:rsid w:val="00E34E4A"/>
    <w:rsid w:val="00E3501D"/>
    <w:rsid w:val="00E365B3"/>
    <w:rsid w:val="00E37188"/>
    <w:rsid w:val="00E37C45"/>
    <w:rsid w:val="00E40AAA"/>
    <w:rsid w:val="00E40D33"/>
    <w:rsid w:val="00E40FF2"/>
    <w:rsid w:val="00E416D9"/>
    <w:rsid w:val="00E41D90"/>
    <w:rsid w:val="00E41F2B"/>
    <w:rsid w:val="00E430DC"/>
    <w:rsid w:val="00E438CF"/>
    <w:rsid w:val="00E43C41"/>
    <w:rsid w:val="00E43F41"/>
    <w:rsid w:val="00E44EFF"/>
    <w:rsid w:val="00E450CE"/>
    <w:rsid w:val="00E459D3"/>
    <w:rsid w:val="00E45A00"/>
    <w:rsid w:val="00E45CE7"/>
    <w:rsid w:val="00E4631F"/>
    <w:rsid w:val="00E47D22"/>
    <w:rsid w:val="00E50030"/>
    <w:rsid w:val="00E513F8"/>
    <w:rsid w:val="00E522BB"/>
    <w:rsid w:val="00E5293D"/>
    <w:rsid w:val="00E52CE8"/>
    <w:rsid w:val="00E53695"/>
    <w:rsid w:val="00E55BA4"/>
    <w:rsid w:val="00E571F2"/>
    <w:rsid w:val="00E57429"/>
    <w:rsid w:val="00E577FC"/>
    <w:rsid w:val="00E57D11"/>
    <w:rsid w:val="00E6020A"/>
    <w:rsid w:val="00E603A8"/>
    <w:rsid w:val="00E607E4"/>
    <w:rsid w:val="00E60B29"/>
    <w:rsid w:val="00E62585"/>
    <w:rsid w:val="00E62F7C"/>
    <w:rsid w:val="00E635DD"/>
    <w:rsid w:val="00E648B9"/>
    <w:rsid w:val="00E65FE2"/>
    <w:rsid w:val="00E66A76"/>
    <w:rsid w:val="00E6711F"/>
    <w:rsid w:val="00E6715B"/>
    <w:rsid w:val="00E67DD2"/>
    <w:rsid w:val="00E7056D"/>
    <w:rsid w:val="00E70960"/>
    <w:rsid w:val="00E71983"/>
    <w:rsid w:val="00E71A58"/>
    <w:rsid w:val="00E73018"/>
    <w:rsid w:val="00E736F5"/>
    <w:rsid w:val="00E73C92"/>
    <w:rsid w:val="00E744C3"/>
    <w:rsid w:val="00E75E97"/>
    <w:rsid w:val="00E760AD"/>
    <w:rsid w:val="00E767BA"/>
    <w:rsid w:val="00E7724B"/>
    <w:rsid w:val="00E77B8A"/>
    <w:rsid w:val="00E809D6"/>
    <w:rsid w:val="00E80FFE"/>
    <w:rsid w:val="00E8216E"/>
    <w:rsid w:val="00E82428"/>
    <w:rsid w:val="00E836A0"/>
    <w:rsid w:val="00E84F21"/>
    <w:rsid w:val="00E86860"/>
    <w:rsid w:val="00E874D3"/>
    <w:rsid w:val="00E87A29"/>
    <w:rsid w:val="00E900D3"/>
    <w:rsid w:val="00E9077B"/>
    <w:rsid w:val="00E90AD8"/>
    <w:rsid w:val="00E910FB"/>
    <w:rsid w:val="00E912C2"/>
    <w:rsid w:val="00E921C7"/>
    <w:rsid w:val="00E928ED"/>
    <w:rsid w:val="00E92995"/>
    <w:rsid w:val="00E94612"/>
    <w:rsid w:val="00E94870"/>
    <w:rsid w:val="00E94BE9"/>
    <w:rsid w:val="00E94C1F"/>
    <w:rsid w:val="00E94C99"/>
    <w:rsid w:val="00E94D06"/>
    <w:rsid w:val="00E9545D"/>
    <w:rsid w:val="00E95594"/>
    <w:rsid w:val="00E95797"/>
    <w:rsid w:val="00E9682F"/>
    <w:rsid w:val="00E96A8D"/>
    <w:rsid w:val="00E972BA"/>
    <w:rsid w:val="00E97535"/>
    <w:rsid w:val="00EA06CB"/>
    <w:rsid w:val="00EA0C68"/>
    <w:rsid w:val="00EA3EBE"/>
    <w:rsid w:val="00EA3FAC"/>
    <w:rsid w:val="00EA4153"/>
    <w:rsid w:val="00EA4370"/>
    <w:rsid w:val="00EA5CD6"/>
    <w:rsid w:val="00EA6DFB"/>
    <w:rsid w:val="00EA7135"/>
    <w:rsid w:val="00EB02BB"/>
    <w:rsid w:val="00EB0A71"/>
    <w:rsid w:val="00EB0BFB"/>
    <w:rsid w:val="00EB1B8D"/>
    <w:rsid w:val="00EB1C78"/>
    <w:rsid w:val="00EB20A0"/>
    <w:rsid w:val="00EB30B6"/>
    <w:rsid w:val="00EB4EDD"/>
    <w:rsid w:val="00EB4FA4"/>
    <w:rsid w:val="00EB5146"/>
    <w:rsid w:val="00EB5466"/>
    <w:rsid w:val="00EB55E9"/>
    <w:rsid w:val="00EB5641"/>
    <w:rsid w:val="00EB5846"/>
    <w:rsid w:val="00EB5CA9"/>
    <w:rsid w:val="00EB5ED4"/>
    <w:rsid w:val="00EB6406"/>
    <w:rsid w:val="00EB6537"/>
    <w:rsid w:val="00EB6A63"/>
    <w:rsid w:val="00EB6EF5"/>
    <w:rsid w:val="00EB70E1"/>
    <w:rsid w:val="00EB7EB5"/>
    <w:rsid w:val="00EC02CF"/>
    <w:rsid w:val="00EC1F4E"/>
    <w:rsid w:val="00EC454B"/>
    <w:rsid w:val="00EC5F73"/>
    <w:rsid w:val="00EC6153"/>
    <w:rsid w:val="00EC6972"/>
    <w:rsid w:val="00EC7F92"/>
    <w:rsid w:val="00ED0504"/>
    <w:rsid w:val="00ED0A79"/>
    <w:rsid w:val="00ED118D"/>
    <w:rsid w:val="00ED2915"/>
    <w:rsid w:val="00ED2CA5"/>
    <w:rsid w:val="00ED336F"/>
    <w:rsid w:val="00ED54D6"/>
    <w:rsid w:val="00ED5726"/>
    <w:rsid w:val="00ED64C6"/>
    <w:rsid w:val="00ED723D"/>
    <w:rsid w:val="00ED7EC3"/>
    <w:rsid w:val="00EE0384"/>
    <w:rsid w:val="00EE09C3"/>
    <w:rsid w:val="00EE10AA"/>
    <w:rsid w:val="00EE1637"/>
    <w:rsid w:val="00EE3358"/>
    <w:rsid w:val="00EE3E78"/>
    <w:rsid w:val="00EE4318"/>
    <w:rsid w:val="00EE58BF"/>
    <w:rsid w:val="00EE5E02"/>
    <w:rsid w:val="00EE617D"/>
    <w:rsid w:val="00EE61BF"/>
    <w:rsid w:val="00EE6563"/>
    <w:rsid w:val="00EE6748"/>
    <w:rsid w:val="00EE747C"/>
    <w:rsid w:val="00EF0E75"/>
    <w:rsid w:val="00EF10E5"/>
    <w:rsid w:val="00EF17BF"/>
    <w:rsid w:val="00EF1F5A"/>
    <w:rsid w:val="00EF3811"/>
    <w:rsid w:val="00EF385C"/>
    <w:rsid w:val="00EF466D"/>
    <w:rsid w:val="00EF4685"/>
    <w:rsid w:val="00EF48E7"/>
    <w:rsid w:val="00EF4AB0"/>
    <w:rsid w:val="00EF5397"/>
    <w:rsid w:val="00EF5B51"/>
    <w:rsid w:val="00EF623C"/>
    <w:rsid w:val="00EF6654"/>
    <w:rsid w:val="00EF7EB7"/>
    <w:rsid w:val="00F0129D"/>
    <w:rsid w:val="00F02E63"/>
    <w:rsid w:val="00F04811"/>
    <w:rsid w:val="00F0488C"/>
    <w:rsid w:val="00F0496E"/>
    <w:rsid w:val="00F04D10"/>
    <w:rsid w:val="00F05CBA"/>
    <w:rsid w:val="00F061D4"/>
    <w:rsid w:val="00F0625B"/>
    <w:rsid w:val="00F06769"/>
    <w:rsid w:val="00F078CB"/>
    <w:rsid w:val="00F07939"/>
    <w:rsid w:val="00F101FF"/>
    <w:rsid w:val="00F106E2"/>
    <w:rsid w:val="00F10A33"/>
    <w:rsid w:val="00F130A1"/>
    <w:rsid w:val="00F13374"/>
    <w:rsid w:val="00F1520B"/>
    <w:rsid w:val="00F15BEF"/>
    <w:rsid w:val="00F15F3F"/>
    <w:rsid w:val="00F165D7"/>
    <w:rsid w:val="00F16C0C"/>
    <w:rsid w:val="00F172BE"/>
    <w:rsid w:val="00F1776C"/>
    <w:rsid w:val="00F2037E"/>
    <w:rsid w:val="00F20586"/>
    <w:rsid w:val="00F20EF6"/>
    <w:rsid w:val="00F2103E"/>
    <w:rsid w:val="00F214FC"/>
    <w:rsid w:val="00F23FFF"/>
    <w:rsid w:val="00F2441D"/>
    <w:rsid w:val="00F24D2C"/>
    <w:rsid w:val="00F24F20"/>
    <w:rsid w:val="00F24FAA"/>
    <w:rsid w:val="00F25456"/>
    <w:rsid w:val="00F25568"/>
    <w:rsid w:val="00F256F6"/>
    <w:rsid w:val="00F26197"/>
    <w:rsid w:val="00F26426"/>
    <w:rsid w:val="00F26B9E"/>
    <w:rsid w:val="00F26CF5"/>
    <w:rsid w:val="00F3150F"/>
    <w:rsid w:val="00F31F76"/>
    <w:rsid w:val="00F3364D"/>
    <w:rsid w:val="00F34509"/>
    <w:rsid w:val="00F34B6F"/>
    <w:rsid w:val="00F35395"/>
    <w:rsid w:val="00F35ACD"/>
    <w:rsid w:val="00F36BF8"/>
    <w:rsid w:val="00F36F92"/>
    <w:rsid w:val="00F37760"/>
    <w:rsid w:val="00F378D9"/>
    <w:rsid w:val="00F37CC8"/>
    <w:rsid w:val="00F40185"/>
    <w:rsid w:val="00F403D1"/>
    <w:rsid w:val="00F4046E"/>
    <w:rsid w:val="00F40600"/>
    <w:rsid w:val="00F407AD"/>
    <w:rsid w:val="00F41C50"/>
    <w:rsid w:val="00F42AF8"/>
    <w:rsid w:val="00F43921"/>
    <w:rsid w:val="00F44C5D"/>
    <w:rsid w:val="00F4591F"/>
    <w:rsid w:val="00F45CB3"/>
    <w:rsid w:val="00F46FD1"/>
    <w:rsid w:val="00F4736B"/>
    <w:rsid w:val="00F47D05"/>
    <w:rsid w:val="00F50030"/>
    <w:rsid w:val="00F506B2"/>
    <w:rsid w:val="00F50854"/>
    <w:rsid w:val="00F51FC9"/>
    <w:rsid w:val="00F52B67"/>
    <w:rsid w:val="00F53631"/>
    <w:rsid w:val="00F5435A"/>
    <w:rsid w:val="00F54B31"/>
    <w:rsid w:val="00F54FD3"/>
    <w:rsid w:val="00F55CC2"/>
    <w:rsid w:val="00F56CF5"/>
    <w:rsid w:val="00F56D14"/>
    <w:rsid w:val="00F61083"/>
    <w:rsid w:val="00F62807"/>
    <w:rsid w:val="00F631EA"/>
    <w:rsid w:val="00F636E3"/>
    <w:rsid w:val="00F63855"/>
    <w:rsid w:val="00F63DDE"/>
    <w:rsid w:val="00F63FB7"/>
    <w:rsid w:val="00F6441A"/>
    <w:rsid w:val="00F64726"/>
    <w:rsid w:val="00F6519F"/>
    <w:rsid w:val="00F6561A"/>
    <w:rsid w:val="00F700C5"/>
    <w:rsid w:val="00F707FB"/>
    <w:rsid w:val="00F71BF5"/>
    <w:rsid w:val="00F727D5"/>
    <w:rsid w:val="00F7293D"/>
    <w:rsid w:val="00F72F44"/>
    <w:rsid w:val="00F739B6"/>
    <w:rsid w:val="00F73A0C"/>
    <w:rsid w:val="00F73C9E"/>
    <w:rsid w:val="00F740ED"/>
    <w:rsid w:val="00F76C87"/>
    <w:rsid w:val="00F771A5"/>
    <w:rsid w:val="00F80280"/>
    <w:rsid w:val="00F80EB9"/>
    <w:rsid w:val="00F81C3A"/>
    <w:rsid w:val="00F822CE"/>
    <w:rsid w:val="00F82F33"/>
    <w:rsid w:val="00F835FC"/>
    <w:rsid w:val="00F83E21"/>
    <w:rsid w:val="00F844AF"/>
    <w:rsid w:val="00F84E18"/>
    <w:rsid w:val="00F852E5"/>
    <w:rsid w:val="00F86C84"/>
    <w:rsid w:val="00F86CBF"/>
    <w:rsid w:val="00F90487"/>
    <w:rsid w:val="00F90D12"/>
    <w:rsid w:val="00F90FA0"/>
    <w:rsid w:val="00F9250A"/>
    <w:rsid w:val="00F92B4F"/>
    <w:rsid w:val="00F94123"/>
    <w:rsid w:val="00F95117"/>
    <w:rsid w:val="00F9668E"/>
    <w:rsid w:val="00FA05D7"/>
    <w:rsid w:val="00FA1C6C"/>
    <w:rsid w:val="00FA1C73"/>
    <w:rsid w:val="00FA3023"/>
    <w:rsid w:val="00FA309A"/>
    <w:rsid w:val="00FA51AB"/>
    <w:rsid w:val="00FA5557"/>
    <w:rsid w:val="00FA57FD"/>
    <w:rsid w:val="00FA5D63"/>
    <w:rsid w:val="00FA5FB4"/>
    <w:rsid w:val="00FA634D"/>
    <w:rsid w:val="00FA7644"/>
    <w:rsid w:val="00FA7871"/>
    <w:rsid w:val="00FB1324"/>
    <w:rsid w:val="00FB242B"/>
    <w:rsid w:val="00FB262B"/>
    <w:rsid w:val="00FB280C"/>
    <w:rsid w:val="00FB3C00"/>
    <w:rsid w:val="00FB3D7D"/>
    <w:rsid w:val="00FB48BD"/>
    <w:rsid w:val="00FB56F1"/>
    <w:rsid w:val="00FB5FD4"/>
    <w:rsid w:val="00FB67DD"/>
    <w:rsid w:val="00FB67F3"/>
    <w:rsid w:val="00FB6D5D"/>
    <w:rsid w:val="00FB7929"/>
    <w:rsid w:val="00FC09F4"/>
    <w:rsid w:val="00FC0AF4"/>
    <w:rsid w:val="00FC0D8A"/>
    <w:rsid w:val="00FC0E5F"/>
    <w:rsid w:val="00FC26DB"/>
    <w:rsid w:val="00FC3316"/>
    <w:rsid w:val="00FC35B9"/>
    <w:rsid w:val="00FC4660"/>
    <w:rsid w:val="00FC5454"/>
    <w:rsid w:val="00FC56DE"/>
    <w:rsid w:val="00FD04D7"/>
    <w:rsid w:val="00FD1627"/>
    <w:rsid w:val="00FD1FB0"/>
    <w:rsid w:val="00FD271B"/>
    <w:rsid w:val="00FD38B4"/>
    <w:rsid w:val="00FD473D"/>
    <w:rsid w:val="00FD49EB"/>
    <w:rsid w:val="00FD4B88"/>
    <w:rsid w:val="00FD4BAA"/>
    <w:rsid w:val="00FD57DE"/>
    <w:rsid w:val="00FD61C8"/>
    <w:rsid w:val="00FD63CE"/>
    <w:rsid w:val="00FD7D49"/>
    <w:rsid w:val="00FE0BA6"/>
    <w:rsid w:val="00FE11B6"/>
    <w:rsid w:val="00FE1251"/>
    <w:rsid w:val="00FE2A4F"/>
    <w:rsid w:val="00FE2F78"/>
    <w:rsid w:val="00FE375F"/>
    <w:rsid w:val="00FE44B3"/>
    <w:rsid w:val="00FE4FCB"/>
    <w:rsid w:val="00FE5A8A"/>
    <w:rsid w:val="00FE694F"/>
    <w:rsid w:val="00FF0B85"/>
    <w:rsid w:val="00FF1044"/>
    <w:rsid w:val="00FF21B9"/>
    <w:rsid w:val="00FF28E0"/>
    <w:rsid w:val="00FF2FB4"/>
    <w:rsid w:val="00FF30B3"/>
    <w:rsid w:val="00FF34FE"/>
    <w:rsid w:val="00FF35E3"/>
    <w:rsid w:val="00FF3DF3"/>
    <w:rsid w:val="00FF4027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  <w:lang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  <w:lang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9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uiPriority w:val="99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6039A"/>
    <w:pPr>
      <w:ind w:left="708"/>
    </w:pPr>
  </w:style>
  <w:style w:type="table" w:styleId="Mkatabulky">
    <w:name w:val="Table Grid"/>
    <w:basedOn w:val="Normlntabulka"/>
    <w:uiPriority w:val="9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9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locked/>
    <w:rsid w:val="00B31336"/>
    <w:rPr>
      <w:rFonts w:cs="Times New Roman"/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8103D8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03D8"/>
  </w:style>
  <w:style w:type="character" w:styleId="Odkaznavysvtlivky">
    <w:name w:val="endnote reference"/>
    <w:basedOn w:val="Standardnpsmoodstavce"/>
    <w:uiPriority w:val="99"/>
    <w:semiHidden/>
    <w:unhideWhenUsed/>
    <w:locked/>
    <w:rsid w:val="008103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3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2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EECFA-480D-4BB5-8125-DFC1C93F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1</TotalTime>
  <Pages>3</Pages>
  <Words>2191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Ing. Drahomíra Dubská, CSc.</cp:lastModifiedBy>
  <cp:revision>2</cp:revision>
  <cp:lastPrinted>2016-01-15T07:22:00Z</cp:lastPrinted>
  <dcterms:created xsi:type="dcterms:W3CDTF">2016-01-25T11:29:00Z</dcterms:created>
  <dcterms:modified xsi:type="dcterms:W3CDTF">2016-01-25T11:29:00Z</dcterms:modified>
</cp:coreProperties>
</file>