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0D3C" w14:textId="61D233B7" w:rsidR="009908AF" w:rsidRPr="00D160FB" w:rsidRDefault="009908AF" w:rsidP="009908AF">
      <w:pPr>
        <w:pStyle w:val="Nadpis11"/>
        <w:spacing w:after="120"/>
        <w:rPr>
          <w:lang w:val="en-GB"/>
        </w:rPr>
      </w:pPr>
      <w:bookmarkStart w:id="0" w:name="_Toc132874250"/>
      <w:r w:rsidRPr="00D160FB">
        <w:rPr>
          <w:lang w:val="en-GB"/>
        </w:rPr>
        <w:t>6. </w:t>
      </w:r>
      <w:r w:rsidR="00767FEB" w:rsidRPr="00D160FB">
        <w:rPr>
          <w:lang w:val="en-GB"/>
        </w:rPr>
        <w:t>Labour Market</w:t>
      </w:r>
      <w:bookmarkEnd w:id="0"/>
    </w:p>
    <w:tbl>
      <w:tblPr>
        <w:tblW w:w="9674" w:type="dxa"/>
        <w:tblInd w:w="-35" w:type="dxa"/>
        <w:tblCellMar>
          <w:left w:w="0" w:type="dxa"/>
          <w:right w:w="0" w:type="dxa"/>
        </w:tblCellMar>
        <w:tblLook w:val="00A0" w:firstRow="1" w:lastRow="0" w:firstColumn="1" w:lastColumn="0" w:noHBand="0" w:noVBand="0"/>
      </w:tblPr>
      <w:tblGrid>
        <w:gridCol w:w="1722"/>
        <w:gridCol w:w="202"/>
        <w:gridCol w:w="7750"/>
      </w:tblGrid>
      <w:tr w:rsidR="00B646BC" w:rsidRPr="00D160FB" w14:paraId="3D9A95BD" w14:textId="77777777" w:rsidTr="003D13A6">
        <w:trPr>
          <w:trHeight w:val="155"/>
        </w:trPr>
        <w:tc>
          <w:tcPr>
            <w:tcW w:w="1722" w:type="dxa"/>
            <w:shd w:val="clear" w:color="auto" w:fill="auto"/>
            <w:tcMar>
              <w:left w:w="0" w:type="dxa"/>
            </w:tcMar>
          </w:tcPr>
          <w:p w14:paraId="6485E18E" w14:textId="4F5D4E54" w:rsidR="001C3855" w:rsidRPr="00D160FB" w:rsidRDefault="00497F7C" w:rsidP="00C8019E">
            <w:pPr>
              <w:pStyle w:val="Marginlie"/>
              <w:spacing w:after="120"/>
              <w:rPr>
                <w:color w:val="0D0D0D" w:themeColor="text1" w:themeTint="F2"/>
                <w:spacing w:val="-4"/>
                <w:lang w:val="en-GB"/>
              </w:rPr>
            </w:pPr>
            <w:r w:rsidRPr="00D160FB">
              <w:rPr>
                <w:color w:val="0D0D0D" w:themeColor="text1" w:themeTint="F2"/>
                <w:spacing w:val="-4"/>
                <w:lang w:val="en-GB"/>
              </w:rPr>
              <w:t>Clear signs of cooling related to the cyclical economic downturn started to appear on the CR labour market in H2 2022.</w:t>
            </w:r>
          </w:p>
        </w:tc>
        <w:tc>
          <w:tcPr>
            <w:tcW w:w="202" w:type="dxa"/>
            <w:shd w:val="clear" w:color="auto" w:fill="auto"/>
            <w:tcMar>
              <w:left w:w="0" w:type="dxa"/>
            </w:tcMar>
          </w:tcPr>
          <w:p w14:paraId="7F2AE265" w14:textId="77777777" w:rsidR="001C3855" w:rsidRPr="00D160FB" w:rsidRDefault="001C3855" w:rsidP="00C8019E">
            <w:pPr>
              <w:pStyle w:val="Textpoznpodarou"/>
              <w:spacing w:after="120"/>
              <w:jc w:val="both"/>
              <w:rPr>
                <w:color w:val="0D0D0D" w:themeColor="text1" w:themeTint="F2"/>
                <w:spacing w:val="-4"/>
                <w:lang w:val="en-GB"/>
              </w:rPr>
            </w:pPr>
          </w:p>
        </w:tc>
        <w:tc>
          <w:tcPr>
            <w:tcW w:w="7750" w:type="dxa"/>
            <w:shd w:val="clear" w:color="auto" w:fill="auto"/>
            <w:tcMar>
              <w:left w:w="0" w:type="dxa"/>
            </w:tcMar>
          </w:tcPr>
          <w:p w14:paraId="2B3C266B" w14:textId="2C643A33" w:rsidR="001C3855" w:rsidRPr="00D160FB" w:rsidRDefault="00D717A1" w:rsidP="00E37C1C">
            <w:pPr>
              <w:rPr>
                <w:color w:val="0D0D0D" w:themeColor="text1" w:themeTint="F2"/>
                <w:spacing w:val="-4"/>
                <w:lang w:val="en-GB"/>
              </w:rPr>
            </w:pPr>
            <w:r w:rsidRPr="00D160FB">
              <w:rPr>
                <w:color w:val="0D0D0D" w:themeColor="text1" w:themeTint="F2"/>
                <w:spacing w:val="-4"/>
                <w:lang w:val="en-GB"/>
              </w:rPr>
              <w:t>Domestic labour market,</w:t>
            </w:r>
            <w:r w:rsidR="00497F7C" w:rsidRPr="00D160FB">
              <w:rPr>
                <w:color w:val="0D0D0D" w:themeColor="text1" w:themeTint="F2"/>
                <w:spacing w:val="-4"/>
                <w:lang w:val="en-GB"/>
              </w:rPr>
              <w:t xml:space="preserve"> which </w:t>
            </w:r>
            <w:r w:rsidR="000B31E1" w:rsidRPr="00D160FB">
              <w:rPr>
                <w:color w:val="0D0D0D" w:themeColor="text1" w:themeTint="F2"/>
                <w:spacing w:val="-4"/>
                <w:lang w:val="en-GB"/>
              </w:rPr>
              <w:t xml:space="preserve">resumed development following the abatement of impacts of counter pandemic restrictions, experienced gradual cooling in the second half of the last year. </w:t>
            </w:r>
            <w:r w:rsidRPr="00D160FB">
              <w:rPr>
                <w:color w:val="0D0D0D" w:themeColor="text1" w:themeTint="F2"/>
                <w:spacing w:val="-4"/>
                <w:lang w:val="en-GB"/>
              </w:rPr>
              <w:t>While the growth of employment</w:t>
            </w:r>
            <w:r w:rsidR="001C3855" w:rsidRPr="00D160FB">
              <w:rPr>
                <w:color w:val="0D0D0D" w:themeColor="text1" w:themeTint="F2"/>
                <w:spacing w:val="-4"/>
                <w:vertAlign w:val="superscript"/>
                <w:lang w:val="en-GB"/>
              </w:rPr>
              <w:footnoteReference w:id="1"/>
            </w:r>
            <w:r w:rsidR="001C3855" w:rsidRPr="00D160FB">
              <w:rPr>
                <w:color w:val="0D0D0D" w:themeColor="text1" w:themeTint="F2"/>
                <w:spacing w:val="-4"/>
                <w:lang w:val="en-GB"/>
              </w:rPr>
              <w:t xml:space="preserve"> </w:t>
            </w:r>
            <w:r w:rsidR="000B31E1" w:rsidRPr="00D160FB">
              <w:rPr>
                <w:color w:val="0D0D0D" w:themeColor="text1" w:themeTint="F2"/>
                <w:spacing w:val="-4"/>
                <w:lang w:val="en-GB"/>
              </w:rPr>
              <w:t>attained strong 1.5% in the quarter-on-quarter expression still in Q</w:t>
            </w:r>
            <w:r w:rsidR="001C3855" w:rsidRPr="00D160FB">
              <w:rPr>
                <w:color w:val="0D0D0D" w:themeColor="text1" w:themeTint="F2"/>
                <w:spacing w:val="-4"/>
                <w:lang w:val="en-GB"/>
              </w:rPr>
              <w:t>2</w:t>
            </w:r>
            <w:r w:rsidR="000B31E1" w:rsidRPr="00D160FB">
              <w:rPr>
                <w:color w:val="0D0D0D" w:themeColor="text1" w:themeTint="F2"/>
                <w:spacing w:val="-4"/>
                <w:lang w:val="en-GB"/>
              </w:rPr>
              <w:t xml:space="preserve"> </w:t>
            </w:r>
            <w:r w:rsidR="001C3855" w:rsidRPr="00D160FB">
              <w:rPr>
                <w:color w:val="0D0D0D" w:themeColor="text1" w:themeTint="F2"/>
                <w:spacing w:val="-4"/>
                <w:lang w:val="en-GB"/>
              </w:rPr>
              <w:t>2022</w:t>
            </w:r>
            <w:r w:rsidR="000B31E1" w:rsidRPr="00D160FB">
              <w:rPr>
                <w:color w:val="0D0D0D" w:themeColor="text1" w:themeTint="F2"/>
                <w:spacing w:val="-4"/>
                <w:lang w:val="en-GB"/>
              </w:rPr>
              <w:t xml:space="preserve"> </w:t>
            </w:r>
            <w:r w:rsidR="001C3855" w:rsidRPr="00D160FB">
              <w:rPr>
                <w:color w:val="0D0D0D" w:themeColor="text1" w:themeTint="F2"/>
                <w:spacing w:val="-4"/>
                <w:lang w:val="en-GB"/>
              </w:rPr>
              <w:t>(</w:t>
            </w:r>
            <w:r w:rsidR="00ED05B0" w:rsidRPr="00D160FB">
              <w:rPr>
                <w:color w:val="0D0D0D" w:themeColor="text1" w:themeTint="F2"/>
                <w:spacing w:val="-4"/>
                <w:lang w:val="en-GB"/>
              </w:rPr>
              <w:t xml:space="preserve">and the number of workers slightly exceeded the record level from the peak of the pre-pandemic boom for the first time </w:t>
            </w:r>
            <w:r w:rsidR="001C3855" w:rsidRPr="00D160FB">
              <w:rPr>
                <w:color w:val="0D0D0D" w:themeColor="text1" w:themeTint="F2"/>
                <w:spacing w:val="-4"/>
                <w:lang w:val="en-GB"/>
              </w:rPr>
              <w:t>– 5</w:t>
            </w:r>
            <w:r w:rsidR="00ED05B0" w:rsidRPr="00D160FB">
              <w:rPr>
                <w:color w:val="0D0D0D" w:themeColor="text1" w:themeTint="F2"/>
                <w:spacing w:val="-4"/>
                <w:lang w:val="en-GB"/>
              </w:rPr>
              <w:t>.</w:t>
            </w:r>
            <w:r w:rsidR="001C3855" w:rsidRPr="00D160FB">
              <w:rPr>
                <w:color w:val="0D0D0D" w:themeColor="text1" w:themeTint="F2"/>
                <w:spacing w:val="-4"/>
                <w:lang w:val="en-GB"/>
              </w:rPr>
              <w:t xml:space="preserve">45 </w:t>
            </w:r>
            <w:r w:rsidR="00ED05B0" w:rsidRPr="00D160FB">
              <w:rPr>
                <w:color w:val="0D0D0D" w:themeColor="text1" w:themeTint="F2"/>
                <w:spacing w:val="-4"/>
                <w:lang w:val="en-GB"/>
              </w:rPr>
              <w:t>mil persons</w:t>
            </w:r>
            <w:r w:rsidR="001C3855" w:rsidRPr="00D160FB">
              <w:rPr>
                <w:color w:val="0D0D0D" w:themeColor="text1" w:themeTint="F2"/>
                <w:spacing w:val="-4"/>
                <w:lang w:val="en-GB"/>
              </w:rPr>
              <w:t xml:space="preserve">), </w:t>
            </w:r>
            <w:r w:rsidRPr="00D160FB">
              <w:rPr>
                <w:color w:val="0D0D0D" w:themeColor="text1" w:themeTint="F2"/>
                <w:spacing w:val="-4"/>
                <w:lang w:val="en-GB"/>
              </w:rPr>
              <w:t xml:space="preserve">the </w:t>
            </w:r>
            <w:r w:rsidR="006F348F" w:rsidRPr="00D160FB">
              <w:rPr>
                <w:color w:val="0D0D0D" w:themeColor="text1" w:themeTint="F2"/>
                <w:spacing w:val="-4"/>
                <w:lang w:val="en-GB"/>
              </w:rPr>
              <w:t xml:space="preserve">quantity of workers already slightly reduced in the subsequent part of the year </w:t>
            </w:r>
            <w:r w:rsidR="001C3855" w:rsidRPr="00D160FB">
              <w:rPr>
                <w:color w:val="0D0D0D" w:themeColor="text1" w:themeTint="F2"/>
                <w:spacing w:val="-4"/>
                <w:lang w:val="en-GB"/>
              </w:rPr>
              <w:t>(</w:t>
            </w:r>
            <w:r w:rsidR="006F348F" w:rsidRPr="00D160FB">
              <w:rPr>
                <w:color w:val="0D0D0D" w:themeColor="text1" w:themeTint="F2"/>
                <w:spacing w:val="-4"/>
                <w:lang w:val="en-GB"/>
              </w:rPr>
              <w:t xml:space="preserve">by </w:t>
            </w:r>
            <w:r w:rsidR="001C3855" w:rsidRPr="00D160FB">
              <w:rPr>
                <w:color w:val="0D0D0D" w:themeColor="text1" w:themeTint="F2"/>
                <w:spacing w:val="-4"/>
                <w:lang w:val="en-GB"/>
              </w:rPr>
              <w:t>27 t</w:t>
            </w:r>
            <w:r w:rsidR="006F348F" w:rsidRPr="00D160FB">
              <w:rPr>
                <w:color w:val="0D0D0D" w:themeColor="text1" w:themeTint="F2"/>
                <w:spacing w:val="-4"/>
                <w:lang w:val="en-GB"/>
              </w:rPr>
              <w:t>housand</w:t>
            </w:r>
            <w:r w:rsidR="001C3855" w:rsidRPr="00D160FB">
              <w:rPr>
                <w:color w:val="0D0D0D" w:themeColor="text1" w:themeTint="F2"/>
                <w:spacing w:val="-4"/>
                <w:lang w:val="en-GB"/>
              </w:rPr>
              <w:t>, 0</w:t>
            </w:r>
            <w:r w:rsidR="006F348F" w:rsidRPr="00D160FB">
              <w:rPr>
                <w:color w:val="0D0D0D" w:themeColor="text1" w:themeTint="F2"/>
                <w:spacing w:val="-4"/>
                <w:lang w:val="en-GB"/>
              </w:rPr>
              <w:t>.</w:t>
            </w:r>
            <w:r w:rsidR="001C3855" w:rsidRPr="00D160FB">
              <w:rPr>
                <w:color w:val="0D0D0D" w:themeColor="text1" w:themeTint="F2"/>
                <w:spacing w:val="-4"/>
                <w:lang w:val="en-GB"/>
              </w:rPr>
              <w:t>5%</w:t>
            </w:r>
            <w:r w:rsidR="006F348F" w:rsidRPr="00D160FB">
              <w:rPr>
                <w:color w:val="0D0D0D" w:themeColor="text1" w:themeTint="F2"/>
                <w:spacing w:val="-4"/>
                <w:lang w:val="en-GB"/>
              </w:rPr>
              <w:t xml:space="preserve"> </w:t>
            </w:r>
            <w:r w:rsidR="00C133BB" w:rsidRPr="00D160FB">
              <w:rPr>
                <w:color w:val="0D0D0D" w:themeColor="text1" w:themeTint="F2"/>
                <w:spacing w:val="-4"/>
                <w:lang w:val="en-GB"/>
              </w:rPr>
              <w:t xml:space="preserve">resp. </w:t>
            </w:r>
            <w:r w:rsidR="006F348F" w:rsidRPr="00D160FB">
              <w:rPr>
                <w:color w:val="0D0D0D" w:themeColor="text1" w:themeTint="F2"/>
                <w:spacing w:val="-4"/>
                <w:lang w:val="en-GB"/>
              </w:rPr>
              <w:t>in total for the whole</w:t>
            </w:r>
            <w:r w:rsidR="00E37C1C">
              <w:rPr>
                <w:color w:val="0D0D0D" w:themeColor="text1" w:themeTint="F2"/>
                <w:spacing w:val="-4"/>
                <w:lang w:val="en-GB"/>
              </w:rPr>
              <w:t xml:space="preserve"> H2</w:t>
            </w:r>
            <w:r w:rsidR="001C3855" w:rsidRPr="00D160FB">
              <w:rPr>
                <w:color w:val="0D0D0D" w:themeColor="text1" w:themeTint="F2"/>
                <w:spacing w:val="-4"/>
                <w:lang w:val="en-GB"/>
              </w:rPr>
              <w:t xml:space="preserve">). </w:t>
            </w:r>
            <w:r w:rsidR="003D6E19" w:rsidRPr="00D160FB">
              <w:rPr>
                <w:color w:val="0D0D0D" w:themeColor="text1" w:themeTint="F2"/>
                <w:spacing w:val="-4"/>
                <w:lang w:val="en-GB"/>
              </w:rPr>
              <w:t>The decline of job vacancies or worsening of short-term expectations of businesses in the area of employment, which manifested across the main branches also completed the picture of falling demand for labour force</w:t>
            </w:r>
            <w:r w:rsidR="001C3855" w:rsidRPr="00D160FB">
              <w:rPr>
                <w:color w:val="0D0D0D" w:themeColor="text1" w:themeTint="F2"/>
                <w:spacing w:val="-4"/>
                <w:lang w:val="en-GB"/>
              </w:rPr>
              <w:t>.</w:t>
            </w:r>
            <w:r w:rsidR="003D6E19" w:rsidRPr="00D160FB">
              <w:rPr>
                <w:color w:val="0D0D0D" w:themeColor="text1" w:themeTint="F2"/>
                <w:spacing w:val="-4"/>
                <w:lang w:val="en-GB"/>
              </w:rPr>
              <w:t xml:space="preserve"> Together with the decrease of GDP </w:t>
            </w:r>
            <w:r w:rsidR="00C47996" w:rsidRPr="00D160FB">
              <w:rPr>
                <w:color w:val="0D0D0D" w:themeColor="text1" w:themeTint="F2"/>
                <w:spacing w:val="-4"/>
                <w:lang w:val="en-GB"/>
              </w:rPr>
              <w:t xml:space="preserve">it accented the fact, that the Czech economy was impacted by recession. </w:t>
            </w:r>
            <w:r w:rsidR="00A80F81" w:rsidRPr="00D160FB">
              <w:rPr>
                <w:color w:val="0D0D0D" w:themeColor="text1" w:themeTint="F2"/>
                <w:spacing w:val="-4"/>
                <w:lang w:val="en-GB"/>
              </w:rPr>
              <w:t>It is not surprising with the view to the nature of the economic down</w:t>
            </w:r>
            <w:r w:rsidR="00E37C1C">
              <w:rPr>
                <w:color w:val="0D0D0D" w:themeColor="text1" w:themeTint="F2"/>
                <w:spacing w:val="-4"/>
                <w:lang w:val="en-GB"/>
              </w:rPr>
              <w:t>turn, that mainly the division T</w:t>
            </w:r>
            <w:r w:rsidR="00A80F81" w:rsidRPr="00D160FB">
              <w:rPr>
                <w:color w:val="0D0D0D" w:themeColor="text1" w:themeTint="F2"/>
                <w:spacing w:val="-4"/>
                <w:lang w:val="en-GB"/>
              </w:rPr>
              <w:t xml:space="preserve">rade, transport, accommodation and restaurants </w:t>
            </w:r>
            <w:r w:rsidR="001C3855" w:rsidRPr="00D160FB">
              <w:rPr>
                <w:color w:val="0D0D0D" w:themeColor="text1" w:themeTint="F2"/>
                <w:spacing w:val="-6"/>
                <w:lang w:val="en-GB"/>
              </w:rPr>
              <w:t>(−28 t</w:t>
            </w:r>
            <w:r w:rsidR="00A80F81" w:rsidRPr="00D160FB">
              <w:rPr>
                <w:color w:val="0D0D0D" w:themeColor="text1" w:themeTint="F2"/>
                <w:spacing w:val="-6"/>
                <w:lang w:val="en-GB"/>
              </w:rPr>
              <w:t>housand persons</w:t>
            </w:r>
            <w:r w:rsidR="001C3855" w:rsidRPr="00D160FB">
              <w:rPr>
                <w:color w:val="0D0D0D" w:themeColor="text1" w:themeTint="F2"/>
                <w:spacing w:val="-6"/>
                <w:lang w:val="en-GB"/>
              </w:rPr>
              <w:t>)</w:t>
            </w:r>
            <w:r w:rsidR="00A80F81" w:rsidRPr="00D160FB">
              <w:rPr>
                <w:color w:val="0D0D0D" w:themeColor="text1" w:themeTint="F2"/>
                <w:spacing w:val="-6"/>
                <w:lang w:val="en-GB"/>
              </w:rPr>
              <w:t xml:space="preserve"> was losing job positions during H2</w:t>
            </w:r>
            <w:r w:rsidR="001C3855" w:rsidRPr="00D160FB">
              <w:rPr>
                <w:color w:val="0D0D0D" w:themeColor="text1" w:themeTint="F2"/>
                <w:spacing w:val="-6"/>
                <w:lang w:val="en-GB"/>
              </w:rPr>
              <w:t>.</w:t>
            </w:r>
            <w:r w:rsidR="001C3855" w:rsidRPr="00D160FB">
              <w:rPr>
                <w:color w:val="0D0D0D" w:themeColor="text1" w:themeTint="F2"/>
                <w:spacing w:val="-4"/>
                <w:lang w:val="en-GB"/>
              </w:rPr>
              <w:t xml:space="preserve"> </w:t>
            </w:r>
            <w:r w:rsidR="00A80F81" w:rsidRPr="00D160FB">
              <w:rPr>
                <w:color w:val="0D0D0D" w:themeColor="text1" w:themeTint="F2"/>
                <w:spacing w:val="-4"/>
                <w:lang w:val="en-GB"/>
              </w:rPr>
              <w:t xml:space="preserve">Weight dominant branch </w:t>
            </w:r>
            <w:r w:rsidR="001C3855" w:rsidRPr="00D160FB">
              <w:rPr>
                <w:color w:val="0D0D0D" w:themeColor="text1" w:themeTint="F2"/>
                <w:spacing w:val="-4"/>
                <w:lang w:val="en-GB"/>
              </w:rPr>
              <w:t xml:space="preserve">– </w:t>
            </w:r>
            <w:r w:rsidR="00A80F81" w:rsidRPr="00D160FB">
              <w:rPr>
                <w:color w:val="0D0D0D" w:themeColor="text1" w:themeTint="F2"/>
                <w:spacing w:val="-4"/>
                <w:lang w:val="en-GB"/>
              </w:rPr>
              <w:t xml:space="preserve">manufacturing also experienced a decline </w:t>
            </w:r>
            <w:r w:rsidR="001C3855" w:rsidRPr="00D160FB">
              <w:rPr>
                <w:color w:val="0D0D0D" w:themeColor="text1" w:themeTint="F2"/>
                <w:spacing w:val="-4"/>
                <w:lang w:val="en-GB"/>
              </w:rPr>
              <w:t>(−15 tis</w:t>
            </w:r>
            <w:r w:rsidR="00A80F81" w:rsidRPr="00D160FB">
              <w:rPr>
                <w:color w:val="0D0D0D" w:themeColor="text1" w:themeTint="F2"/>
                <w:spacing w:val="-4"/>
                <w:lang w:val="en-GB"/>
              </w:rPr>
              <w:t xml:space="preserve"> persons</w:t>
            </w:r>
            <w:r w:rsidR="001C3855" w:rsidRPr="00D160FB">
              <w:rPr>
                <w:color w:val="0D0D0D" w:themeColor="text1" w:themeTint="F2"/>
                <w:spacing w:val="-4"/>
                <w:lang w:val="en-GB"/>
              </w:rPr>
              <w:t xml:space="preserve">). </w:t>
            </w:r>
            <w:r w:rsidR="00C47996" w:rsidRPr="00D160FB">
              <w:rPr>
                <w:color w:val="0D0D0D" w:themeColor="text1" w:themeTint="F2"/>
                <w:spacing w:val="-4"/>
                <w:lang w:val="en-GB"/>
              </w:rPr>
              <w:t>The long-time growing demand for workers in the area of public services and also in information and communication on the contrary acted the most against deeper reduction of employment in the economy.</w:t>
            </w:r>
          </w:p>
        </w:tc>
      </w:tr>
      <w:tr w:rsidR="00B646BC" w:rsidRPr="00D160FB" w14:paraId="2C6EB655" w14:textId="77777777" w:rsidTr="003D13A6">
        <w:trPr>
          <w:trHeight w:val="155"/>
        </w:trPr>
        <w:tc>
          <w:tcPr>
            <w:tcW w:w="1722" w:type="dxa"/>
            <w:shd w:val="clear" w:color="auto" w:fill="auto"/>
            <w:tcMar>
              <w:left w:w="0" w:type="dxa"/>
            </w:tcMar>
          </w:tcPr>
          <w:p w14:paraId="6E6F3658" w14:textId="2C88E957" w:rsidR="001C3855" w:rsidRPr="00D160FB" w:rsidRDefault="00B91136" w:rsidP="00C8019E">
            <w:pPr>
              <w:pStyle w:val="Marginlie"/>
              <w:spacing w:after="120"/>
              <w:rPr>
                <w:color w:val="0D0D0D" w:themeColor="text1" w:themeTint="F2"/>
                <w:spacing w:val="-4"/>
                <w:lang w:val="en-GB"/>
              </w:rPr>
            </w:pPr>
            <w:r w:rsidRPr="00D160FB">
              <w:rPr>
                <w:color w:val="0D0D0D" w:themeColor="text1" w:themeTint="F2"/>
                <w:spacing w:val="-4"/>
                <w:lang w:val="en-GB"/>
              </w:rPr>
              <w:t xml:space="preserve">Effect of the post-pandemic revival still prevailed in the annual view. Services contributed from nearly three quarters to the employment growth. </w:t>
            </w:r>
          </w:p>
          <w:p w14:paraId="3B84C122" w14:textId="77777777" w:rsidR="001C3855" w:rsidRPr="00D160FB" w:rsidRDefault="001C3855" w:rsidP="00C8019E">
            <w:pPr>
              <w:pStyle w:val="Marginlie"/>
              <w:spacing w:after="120"/>
              <w:rPr>
                <w:color w:val="0D0D0D" w:themeColor="text1" w:themeTint="F2"/>
                <w:spacing w:val="-4"/>
                <w:lang w:val="en-GB"/>
              </w:rPr>
            </w:pPr>
          </w:p>
          <w:p w14:paraId="6EF2163B" w14:textId="77777777" w:rsidR="001C3855" w:rsidRPr="00D160FB" w:rsidRDefault="001C3855" w:rsidP="00C8019E">
            <w:pPr>
              <w:pStyle w:val="Marginlie"/>
              <w:spacing w:after="120"/>
              <w:rPr>
                <w:color w:val="0D0D0D" w:themeColor="text1" w:themeTint="F2"/>
                <w:spacing w:val="-4"/>
                <w:lang w:val="en-GB"/>
              </w:rPr>
            </w:pPr>
          </w:p>
          <w:p w14:paraId="584BD051" w14:textId="77777777" w:rsidR="001C3855" w:rsidRPr="00D160FB" w:rsidRDefault="001C3855" w:rsidP="00C8019E">
            <w:pPr>
              <w:pStyle w:val="Marginlie"/>
              <w:spacing w:after="120"/>
              <w:rPr>
                <w:color w:val="0D0D0D" w:themeColor="text1" w:themeTint="F2"/>
                <w:spacing w:val="-4"/>
                <w:lang w:val="en-GB"/>
              </w:rPr>
            </w:pPr>
          </w:p>
          <w:p w14:paraId="6F838911" w14:textId="77777777" w:rsidR="001C3855" w:rsidRPr="00D160FB" w:rsidRDefault="001C3855" w:rsidP="00C8019E">
            <w:pPr>
              <w:pStyle w:val="Marginlie"/>
              <w:spacing w:after="120"/>
              <w:rPr>
                <w:color w:val="0D0D0D" w:themeColor="text1" w:themeTint="F2"/>
                <w:spacing w:val="-4"/>
                <w:lang w:val="en-GB"/>
              </w:rPr>
            </w:pPr>
          </w:p>
          <w:p w14:paraId="242E429F" w14:textId="6ED57FB6" w:rsidR="001C3855" w:rsidRPr="00D160FB" w:rsidRDefault="00B91136" w:rsidP="00C8019E">
            <w:pPr>
              <w:pStyle w:val="Marginlie"/>
              <w:spacing w:after="120"/>
              <w:rPr>
                <w:color w:val="0D0D0D" w:themeColor="text1" w:themeTint="F2"/>
                <w:spacing w:val="-4"/>
                <w:lang w:val="en-GB"/>
              </w:rPr>
            </w:pPr>
            <w:r w:rsidRPr="00D160FB">
              <w:rPr>
                <w:color w:val="0D0D0D" w:themeColor="text1" w:themeTint="F2"/>
                <w:spacing w:val="-4"/>
                <w:lang w:val="en-GB"/>
              </w:rPr>
              <w:t xml:space="preserve">Industrial businesses proceeded with caution to creation of new job positions. </w:t>
            </w:r>
          </w:p>
        </w:tc>
        <w:tc>
          <w:tcPr>
            <w:tcW w:w="202" w:type="dxa"/>
            <w:shd w:val="clear" w:color="auto" w:fill="auto"/>
            <w:tcMar>
              <w:left w:w="0" w:type="dxa"/>
            </w:tcMar>
          </w:tcPr>
          <w:p w14:paraId="1DBE818A" w14:textId="77777777" w:rsidR="001C3855" w:rsidRPr="00D160FB" w:rsidRDefault="001C3855" w:rsidP="00C8019E">
            <w:pPr>
              <w:pStyle w:val="Textpoznpodarou"/>
              <w:spacing w:after="120"/>
              <w:jc w:val="both"/>
              <w:rPr>
                <w:color w:val="0D0D0D" w:themeColor="text1" w:themeTint="F2"/>
                <w:spacing w:val="-4"/>
                <w:lang w:val="en-GB"/>
              </w:rPr>
            </w:pPr>
          </w:p>
        </w:tc>
        <w:tc>
          <w:tcPr>
            <w:tcW w:w="7750" w:type="dxa"/>
            <w:shd w:val="clear" w:color="auto" w:fill="auto"/>
            <w:tcMar>
              <w:left w:w="0" w:type="dxa"/>
            </w:tcMar>
          </w:tcPr>
          <w:p w14:paraId="307C5251" w14:textId="2D8AD412" w:rsidR="001C3855" w:rsidRPr="00D160FB" w:rsidRDefault="005C00F6" w:rsidP="00C8019E">
            <w:pPr>
              <w:rPr>
                <w:color w:val="0D0D0D" w:themeColor="text1" w:themeTint="F2"/>
                <w:spacing w:val="-5"/>
                <w:lang w:val="en-GB"/>
              </w:rPr>
            </w:pPr>
            <w:r w:rsidRPr="00D160FB">
              <w:rPr>
                <w:color w:val="0D0D0D" w:themeColor="text1" w:themeTint="F2"/>
                <w:spacing w:val="-5"/>
                <w:lang w:val="en-GB"/>
              </w:rPr>
              <w:t xml:space="preserve">In total for the last year however the total employment still grew briskly </w:t>
            </w:r>
            <w:r w:rsidR="001C3855" w:rsidRPr="00D160FB">
              <w:rPr>
                <w:color w:val="0D0D0D" w:themeColor="text1" w:themeTint="F2"/>
                <w:spacing w:val="-5"/>
                <w:lang w:val="en-GB"/>
              </w:rPr>
              <w:t>(+1</w:t>
            </w:r>
            <w:r w:rsidRPr="00D160FB">
              <w:rPr>
                <w:color w:val="0D0D0D" w:themeColor="text1" w:themeTint="F2"/>
                <w:spacing w:val="-5"/>
                <w:lang w:val="en-GB"/>
              </w:rPr>
              <w:t>.</w:t>
            </w:r>
            <w:r w:rsidR="001C3855" w:rsidRPr="00D160FB">
              <w:rPr>
                <w:color w:val="0D0D0D" w:themeColor="text1" w:themeTint="F2"/>
                <w:spacing w:val="-5"/>
                <w:lang w:val="en-GB"/>
              </w:rPr>
              <w:t>7%,</w:t>
            </w:r>
            <w:r w:rsidRPr="00D160FB">
              <w:rPr>
                <w:color w:val="0D0D0D" w:themeColor="text1" w:themeTint="F2"/>
                <w:spacing w:val="-5"/>
                <w:lang w:val="en-GB"/>
              </w:rPr>
              <w:t xml:space="preserve"> the most after year </w:t>
            </w:r>
            <w:r w:rsidR="001C3855" w:rsidRPr="00D160FB">
              <w:rPr>
                <w:color w:val="0D0D0D" w:themeColor="text1" w:themeTint="F2"/>
                <w:spacing w:val="-5"/>
                <w:lang w:val="en-GB"/>
              </w:rPr>
              <w:t xml:space="preserve">2008). </w:t>
            </w:r>
            <w:r w:rsidRPr="00D160FB">
              <w:rPr>
                <w:color w:val="0D0D0D" w:themeColor="text1" w:themeTint="F2"/>
                <w:spacing w:val="-5"/>
                <w:lang w:val="en-GB"/>
              </w:rPr>
              <w:t>The lower comparative basis stood primarily behind it, since the domestic labour market was still significantly affected by the impacts of the counter pandemic restrictions in year 2</w:t>
            </w:r>
            <w:r w:rsidR="001C3855" w:rsidRPr="00D160FB">
              <w:rPr>
                <w:color w:val="0D0D0D" w:themeColor="text1" w:themeTint="F2"/>
                <w:spacing w:val="-5"/>
                <w:lang w:val="en-GB"/>
              </w:rPr>
              <w:t>021</w:t>
            </w:r>
            <w:r w:rsidRPr="00D160FB">
              <w:rPr>
                <w:color w:val="0D0D0D" w:themeColor="text1" w:themeTint="F2"/>
                <w:spacing w:val="-5"/>
                <w:lang w:val="en-GB"/>
              </w:rPr>
              <w:t xml:space="preserve"> and the number of workers was thus not growing in number of key branches. </w:t>
            </w:r>
            <w:r w:rsidR="00712913" w:rsidRPr="00D160FB">
              <w:rPr>
                <w:color w:val="0D0D0D" w:themeColor="text1" w:themeTint="F2"/>
                <w:spacing w:val="-5"/>
                <w:lang w:val="en-GB"/>
              </w:rPr>
              <w:t>Employees alone essentially contributed to the growth of total employment last year (+93 thousand persons), since the number of self-employed persons was in fact stagnating</w:t>
            </w:r>
            <w:r w:rsidR="001C3855" w:rsidRPr="00D160FB">
              <w:rPr>
                <w:rStyle w:val="Znakapoznpodarou"/>
                <w:spacing w:val="-5"/>
                <w:lang w:val="en-GB"/>
              </w:rPr>
              <w:footnoteReference w:id="2"/>
            </w:r>
            <w:r w:rsidR="001C3855" w:rsidRPr="00D160FB">
              <w:rPr>
                <w:spacing w:val="-5"/>
                <w:lang w:val="en-GB"/>
              </w:rPr>
              <w:t xml:space="preserve">. </w:t>
            </w:r>
            <w:r w:rsidR="00712913" w:rsidRPr="00D160FB">
              <w:rPr>
                <w:spacing w:val="-5"/>
                <w:lang w:val="en-GB"/>
              </w:rPr>
              <w:t xml:space="preserve">If the increase for employees had rather </w:t>
            </w:r>
            <w:r w:rsidR="006B3B67" w:rsidRPr="00D160FB">
              <w:rPr>
                <w:spacing w:val="-5"/>
                <w:lang w:val="en-GB"/>
              </w:rPr>
              <w:t>all pervasive character</w:t>
            </w:r>
            <w:r w:rsidR="001C3855" w:rsidRPr="00D160FB">
              <w:rPr>
                <w:spacing w:val="-5"/>
                <w:lang w:val="en-GB"/>
              </w:rPr>
              <w:t xml:space="preserve">, </w:t>
            </w:r>
            <w:r w:rsidR="00712913" w:rsidRPr="00D160FB">
              <w:rPr>
                <w:spacing w:val="-5"/>
                <w:lang w:val="en-GB"/>
              </w:rPr>
              <w:t xml:space="preserve">small entrepreneurs still faced weaker demand in some branches </w:t>
            </w:r>
            <w:r w:rsidR="001C3855" w:rsidRPr="00D160FB">
              <w:rPr>
                <w:spacing w:val="-5"/>
                <w:lang w:val="en-GB"/>
              </w:rPr>
              <w:t>(</w:t>
            </w:r>
            <w:r w:rsidR="00712913" w:rsidRPr="00D160FB">
              <w:rPr>
                <w:spacing w:val="-5"/>
                <w:lang w:val="en-GB"/>
              </w:rPr>
              <w:t xml:space="preserve">manufacturing, professional, scientific, technical and </w:t>
            </w:r>
            <w:r w:rsidR="006B3B67" w:rsidRPr="00D160FB">
              <w:rPr>
                <w:spacing w:val="-5"/>
                <w:lang w:val="en-GB"/>
              </w:rPr>
              <w:t>administrative</w:t>
            </w:r>
            <w:r w:rsidR="00712913" w:rsidRPr="00D160FB">
              <w:rPr>
                <w:spacing w:val="-5"/>
                <w:lang w:val="en-GB"/>
              </w:rPr>
              <w:t xml:space="preserve"> activities</w:t>
            </w:r>
            <w:r w:rsidR="001C3855" w:rsidRPr="00D160FB">
              <w:rPr>
                <w:spacing w:val="-5"/>
                <w:lang w:val="en-GB"/>
              </w:rPr>
              <w:t>).</w:t>
            </w:r>
            <w:r w:rsidR="00712913" w:rsidRPr="00D160FB">
              <w:rPr>
                <w:spacing w:val="-5"/>
                <w:lang w:val="en-GB"/>
              </w:rPr>
              <w:t xml:space="preserve"> </w:t>
            </w:r>
            <w:r w:rsidR="006B3B67" w:rsidRPr="00D160FB">
              <w:rPr>
                <w:spacing w:val="-5"/>
                <w:lang w:val="en-GB"/>
              </w:rPr>
              <w:t>Growth of</w:t>
            </w:r>
            <w:r w:rsidR="00712913" w:rsidRPr="00D160FB">
              <w:rPr>
                <w:spacing w:val="-5"/>
                <w:lang w:val="en-GB"/>
              </w:rPr>
              <w:t xml:space="preserve"> total number of workers was </w:t>
            </w:r>
            <w:r w:rsidR="006B3B67" w:rsidRPr="00D160FB">
              <w:rPr>
                <w:spacing w:val="-5"/>
                <w:lang w:val="en-GB"/>
              </w:rPr>
              <w:t xml:space="preserve">from nearly three quarters driven by the services sector. </w:t>
            </w:r>
            <w:r w:rsidR="00C4729B" w:rsidRPr="00D160FB">
              <w:rPr>
                <w:spacing w:val="-5"/>
                <w:lang w:val="en-GB"/>
              </w:rPr>
              <w:t>It was</w:t>
            </w:r>
            <w:r w:rsidR="003862C0">
              <w:rPr>
                <w:spacing w:val="-5"/>
                <w:lang w:val="en-GB"/>
              </w:rPr>
              <w:t xml:space="preserve"> in the first instance division T</w:t>
            </w:r>
            <w:r w:rsidR="00C4729B" w:rsidRPr="00D160FB">
              <w:rPr>
                <w:spacing w:val="-5"/>
                <w:lang w:val="en-GB"/>
              </w:rPr>
              <w:t xml:space="preserve">rade, transport, accommodation and restaurants </w:t>
            </w:r>
            <w:r w:rsidR="001C3855" w:rsidRPr="00D160FB">
              <w:rPr>
                <w:spacing w:val="-5"/>
                <w:lang w:val="en-GB"/>
              </w:rPr>
              <w:t>(+26 t</w:t>
            </w:r>
            <w:r w:rsidR="00C4729B" w:rsidRPr="00D160FB">
              <w:rPr>
                <w:spacing w:val="-5"/>
                <w:lang w:val="en-GB"/>
              </w:rPr>
              <w:t>housand</w:t>
            </w:r>
            <w:r w:rsidR="001C3855" w:rsidRPr="00D160FB">
              <w:rPr>
                <w:spacing w:val="-5"/>
                <w:lang w:val="en-GB"/>
              </w:rPr>
              <w:t>) a</w:t>
            </w:r>
            <w:r w:rsidR="00C4729B" w:rsidRPr="00D160FB">
              <w:rPr>
                <w:spacing w:val="-5"/>
                <w:lang w:val="en-GB"/>
              </w:rPr>
              <w:t>nd public services</w:t>
            </w:r>
            <w:r w:rsidR="001C3855" w:rsidRPr="00D160FB">
              <w:rPr>
                <w:rStyle w:val="Znakapoznpodarou"/>
                <w:spacing w:val="-4"/>
                <w:lang w:val="en-GB"/>
              </w:rPr>
              <w:footnoteReference w:id="3"/>
            </w:r>
            <w:r w:rsidR="001C3855" w:rsidRPr="00D160FB">
              <w:rPr>
                <w:spacing w:val="-4"/>
                <w:lang w:val="en-GB"/>
              </w:rPr>
              <w:t xml:space="preserve"> (+24 t</w:t>
            </w:r>
            <w:r w:rsidR="00C4729B" w:rsidRPr="00D160FB">
              <w:rPr>
                <w:spacing w:val="-4"/>
                <w:lang w:val="en-GB"/>
              </w:rPr>
              <w:t>housand</w:t>
            </w:r>
            <w:r w:rsidR="001C3855" w:rsidRPr="00D160FB">
              <w:rPr>
                <w:spacing w:val="-4"/>
                <w:lang w:val="en-GB"/>
              </w:rPr>
              <w:t>),</w:t>
            </w:r>
            <w:r w:rsidR="00C4729B" w:rsidRPr="00D160FB">
              <w:rPr>
                <w:spacing w:val="-4"/>
                <w:lang w:val="en-GB"/>
              </w:rPr>
              <w:t xml:space="preserve"> where the state responded to the heightened demand mainly in the area of education and both health and social care similarly to the previous years. </w:t>
            </w:r>
            <w:r w:rsidR="00BD672C" w:rsidRPr="00D160FB">
              <w:rPr>
                <w:spacing w:val="-4"/>
                <w:lang w:val="en-GB"/>
              </w:rPr>
              <w:t xml:space="preserve">At least mild employment growth however manifested in all main branches of services last year. </w:t>
            </w:r>
            <w:r w:rsidR="00217F53" w:rsidRPr="00D160FB">
              <w:rPr>
                <w:spacing w:val="-4"/>
                <w:lang w:val="en-GB"/>
              </w:rPr>
              <w:t xml:space="preserve">Beyond the tertiary sphere construction expanded the job positions the most </w:t>
            </w:r>
            <w:r w:rsidR="001C3855" w:rsidRPr="00D160FB">
              <w:rPr>
                <w:color w:val="0D0D0D" w:themeColor="text1" w:themeTint="F2"/>
                <w:spacing w:val="-4"/>
                <w:lang w:val="en-GB"/>
              </w:rPr>
              <w:t>(+14 t</w:t>
            </w:r>
            <w:r w:rsidR="00217F53" w:rsidRPr="00D160FB">
              <w:rPr>
                <w:color w:val="0D0D0D" w:themeColor="text1" w:themeTint="F2"/>
                <w:spacing w:val="-4"/>
                <w:lang w:val="en-GB"/>
              </w:rPr>
              <w:t>housand of persons</w:t>
            </w:r>
            <w:r w:rsidR="001C3855" w:rsidRPr="00D160FB">
              <w:rPr>
                <w:color w:val="0D0D0D" w:themeColor="text1" w:themeTint="F2"/>
                <w:spacing w:val="-4"/>
                <w:lang w:val="en-GB"/>
              </w:rPr>
              <w:t xml:space="preserve">), </w:t>
            </w:r>
            <w:r w:rsidR="00217F53" w:rsidRPr="00D160FB">
              <w:rPr>
                <w:color w:val="0D0D0D" w:themeColor="text1" w:themeTint="F2"/>
                <w:spacing w:val="-4"/>
                <w:lang w:val="en-GB"/>
              </w:rPr>
              <w:t xml:space="preserve">since it benefited from the sound dynamics of the public investment on transportation structures towards the end of the EU programme period. </w:t>
            </w:r>
            <w:r w:rsidR="00BD672C" w:rsidRPr="00D160FB">
              <w:rPr>
                <w:color w:val="0D0D0D" w:themeColor="text1" w:themeTint="F2"/>
                <w:spacing w:val="-4"/>
                <w:lang w:val="en-GB"/>
              </w:rPr>
              <w:t>Employment in industry expanded slower</w:t>
            </w:r>
            <w:r w:rsidR="003862C0">
              <w:rPr>
                <w:color w:val="0D0D0D" w:themeColor="text1" w:themeTint="F2"/>
                <w:spacing w:val="-4"/>
                <w:lang w:val="en-GB"/>
              </w:rPr>
              <w:t xml:space="preserve"> </w:t>
            </w:r>
            <w:r w:rsidR="003862C0" w:rsidRPr="00D160FB">
              <w:rPr>
                <w:color w:val="0D0D0D" w:themeColor="text1" w:themeTint="F2"/>
                <w:spacing w:val="-4"/>
                <w:lang w:val="en-GB"/>
              </w:rPr>
              <w:t>(+0.</w:t>
            </w:r>
            <w:r w:rsidR="003862C0">
              <w:rPr>
                <w:color w:val="0D0D0D" w:themeColor="text1" w:themeTint="F2"/>
                <w:spacing w:val="-4"/>
                <w:lang w:val="en-GB"/>
              </w:rPr>
              <w:t>7%)</w:t>
            </w:r>
            <w:r w:rsidR="00BD672C" w:rsidRPr="00D160FB">
              <w:rPr>
                <w:color w:val="0D0D0D" w:themeColor="text1" w:themeTint="F2"/>
                <w:spacing w:val="-4"/>
                <w:lang w:val="en-GB"/>
              </w:rPr>
              <w:t xml:space="preserve"> under the influence of persisting difficulties with the supply chains as well as the strong cost pressures arising from the ra</w:t>
            </w:r>
            <w:r w:rsidR="003862C0">
              <w:rPr>
                <w:color w:val="0D0D0D" w:themeColor="text1" w:themeTint="F2"/>
                <w:spacing w:val="-4"/>
                <w:lang w:val="en-GB"/>
              </w:rPr>
              <w:t>pid surge of prices of energies</w:t>
            </w:r>
            <w:r w:rsidR="001C3855" w:rsidRPr="00D160FB">
              <w:rPr>
                <w:color w:val="0D0D0D" w:themeColor="text1" w:themeTint="F2"/>
                <w:spacing w:val="-4"/>
                <w:lang w:val="en-GB"/>
              </w:rPr>
              <w:t>,</w:t>
            </w:r>
            <w:r w:rsidR="00BD672C" w:rsidRPr="00D160FB">
              <w:rPr>
                <w:color w:val="0D0D0D" w:themeColor="text1" w:themeTint="F2"/>
                <w:spacing w:val="-4"/>
                <w:lang w:val="en-GB"/>
              </w:rPr>
              <w:t xml:space="preserve"> in that it stagnated in total in non-manufacturing segment of mining and energy industry </w:t>
            </w:r>
            <w:r w:rsidR="001C3855" w:rsidRPr="00D160FB">
              <w:rPr>
                <w:color w:val="0D0D0D" w:themeColor="text1" w:themeTint="F2"/>
                <w:spacing w:val="-4"/>
                <w:lang w:val="en-GB"/>
              </w:rPr>
              <w:t>(</w:t>
            </w:r>
            <w:r w:rsidR="00B91136" w:rsidRPr="00D160FB">
              <w:rPr>
                <w:color w:val="0D0D0D" w:themeColor="text1" w:themeTint="F2"/>
                <w:spacing w:val="-4"/>
                <w:lang w:val="en-GB"/>
              </w:rPr>
              <w:t>similarly to the majority of the past decade</w:t>
            </w:r>
            <w:r w:rsidR="001C3855" w:rsidRPr="00D160FB">
              <w:rPr>
                <w:color w:val="0D0D0D" w:themeColor="text1" w:themeTint="F2"/>
                <w:spacing w:val="-4"/>
                <w:lang w:val="en-GB"/>
              </w:rPr>
              <w:t xml:space="preserve">). </w:t>
            </w:r>
          </w:p>
        </w:tc>
      </w:tr>
      <w:tr w:rsidR="00B646BC" w:rsidRPr="00D160FB" w14:paraId="097337D3" w14:textId="77777777" w:rsidTr="003D13A6">
        <w:trPr>
          <w:trHeight w:val="155"/>
        </w:trPr>
        <w:tc>
          <w:tcPr>
            <w:tcW w:w="1722" w:type="dxa"/>
            <w:shd w:val="clear" w:color="auto" w:fill="auto"/>
            <w:tcMar>
              <w:left w:w="0" w:type="dxa"/>
            </w:tcMar>
          </w:tcPr>
          <w:p w14:paraId="2E55AA9B" w14:textId="46B3447C" w:rsidR="001C3855" w:rsidRPr="00D160FB" w:rsidRDefault="00A26F2A" w:rsidP="00C8019E">
            <w:pPr>
              <w:pStyle w:val="Marginlie"/>
              <w:spacing w:after="120"/>
              <w:rPr>
                <w:color w:val="0D0D0D" w:themeColor="text1" w:themeTint="F2"/>
                <w:spacing w:val="-4"/>
                <w:lang w:val="en-GB"/>
              </w:rPr>
            </w:pPr>
            <w:r w:rsidRPr="00D160FB">
              <w:rPr>
                <w:color w:val="0D0D0D" w:themeColor="text1" w:themeTint="F2"/>
                <w:spacing w:val="-4"/>
                <w:lang w:val="en-GB"/>
              </w:rPr>
              <w:t xml:space="preserve">Employment grew relative the most in ICT areas at the end of the </w:t>
            </w:r>
            <w:r w:rsidR="003862C0">
              <w:rPr>
                <w:color w:val="0D0D0D" w:themeColor="text1" w:themeTint="F2"/>
                <w:spacing w:val="-4"/>
                <w:lang w:val="en-GB"/>
              </w:rPr>
              <w:t xml:space="preserve">last </w:t>
            </w:r>
            <w:r w:rsidRPr="00D160FB">
              <w:rPr>
                <w:color w:val="0D0D0D" w:themeColor="text1" w:themeTint="F2"/>
                <w:spacing w:val="-4"/>
                <w:lang w:val="en-GB"/>
              </w:rPr>
              <w:t xml:space="preserve">year. </w:t>
            </w:r>
            <w:r w:rsidR="003862C0">
              <w:rPr>
                <w:color w:val="0D0D0D" w:themeColor="text1" w:themeTint="F2"/>
                <w:spacing w:val="-4"/>
                <w:lang w:val="en-GB"/>
              </w:rPr>
              <w:t>So called O</w:t>
            </w:r>
            <w:r w:rsidR="001A593A" w:rsidRPr="00D160FB">
              <w:rPr>
                <w:color w:val="0D0D0D" w:themeColor="text1" w:themeTint="F2"/>
                <w:spacing w:val="-4"/>
                <w:lang w:val="en-GB"/>
              </w:rPr>
              <w:t xml:space="preserve">ther services recorded decline. </w:t>
            </w:r>
          </w:p>
        </w:tc>
        <w:tc>
          <w:tcPr>
            <w:tcW w:w="202" w:type="dxa"/>
            <w:shd w:val="clear" w:color="auto" w:fill="auto"/>
            <w:tcMar>
              <w:left w:w="0" w:type="dxa"/>
            </w:tcMar>
          </w:tcPr>
          <w:p w14:paraId="277EB9FA" w14:textId="77777777" w:rsidR="001C3855" w:rsidRPr="00D160FB" w:rsidRDefault="001C3855" w:rsidP="00C8019E">
            <w:pPr>
              <w:pStyle w:val="Textpoznpodarou"/>
              <w:spacing w:after="120"/>
              <w:jc w:val="both"/>
              <w:rPr>
                <w:color w:val="0D0D0D" w:themeColor="text1" w:themeTint="F2"/>
                <w:spacing w:val="-4"/>
                <w:lang w:val="en-GB"/>
              </w:rPr>
            </w:pPr>
          </w:p>
        </w:tc>
        <w:tc>
          <w:tcPr>
            <w:tcW w:w="7750" w:type="dxa"/>
            <w:shd w:val="clear" w:color="auto" w:fill="auto"/>
            <w:tcMar>
              <w:left w:w="0" w:type="dxa"/>
            </w:tcMar>
          </w:tcPr>
          <w:p w14:paraId="43B1721A" w14:textId="427D962D" w:rsidR="001C3855" w:rsidRPr="00D160FB" w:rsidRDefault="00A26F2A" w:rsidP="00C8019E">
            <w:pPr>
              <w:rPr>
                <w:spacing w:val="-5"/>
                <w:lang w:val="en-GB"/>
              </w:rPr>
            </w:pPr>
            <w:r w:rsidRPr="00D160FB">
              <w:rPr>
                <w:spacing w:val="-5"/>
                <w:lang w:val="en-GB"/>
              </w:rPr>
              <w:t>Total employment grew by 1.3% year-on-year in Q</w:t>
            </w:r>
            <w:r w:rsidR="001C3855" w:rsidRPr="00D160FB">
              <w:rPr>
                <w:spacing w:val="-5"/>
                <w:lang w:val="en-GB"/>
              </w:rPr>
              <w:t>4</w:t>
            </w:r>
            <w:r w:rsidR="003862C0">
              <w:rPr>
                <w:spacing w:val="-5"/>
                <w:lang w:val="en-GB"/>
              </w:rPr>
              <w:t xml:space="preserve"> 2022</w:t>
            </w:r>
            <w:r w:rsidRPr="00D160FB">
              <w:rPr>
                <w:spacing w:val="-5"/>
                <w:lang w:val="en-GB"/>
              </w:rPr>
              <w:t xml:space="preserve">, mostly thanks to public services. </w:t>
            </w:r>
            <w:r w:rsidR="00547E33" w:rsidRPr="00D160FB">
              <w:rPr>
                <w:spacing w:val="-5"/>
                <w:lang w:val="en-GB"/>
              </w:rPr>
              <w:t xml:space="preserve">The number of workers increased relatively the most in information and communication </w:t>
            </w:r>
            <w:r w:rsidR="001C3855" w:rsidRPr="00D160FB">
              <w:rPr>
                <w:spacing w:val="-5"/>
                <w:lang w:val="en-GB"/>
              </w:rPr>
              <w:t>(+5</w:t>
            </w:r>
            <w:r w:rsidR="00547E33" w:rsidRPr="00D160FB">
              <w:rPr>
                <w:spacing w:val="-5"/>
                <w:lang w:val="en-GB"/>
              </w:rPr>
              <w:t>.</w:t>
            </w:r>
            <w:r w:rsidR="001C3855" w:rsidRPr="00D160FB">
              <w:rPr>
                <w:spacing w:val="-5"/>
                <w:lang w:val="en-GB"/>
              </w:rPr>
              <w:t xml:space="preserve">5%), </w:t>
            </w:r>
            <w:r w:rsidR="00547E33" w:rsidRPr="00D160FB">
              <w:rPr>
                <w:spacing w:val="-5"/>
                <w:lang w:val="en-GB"/>
              </w:rPr>
              <w:t xml:space="preserve">real estate area also fared well </w:t>
            </w:r>
            <w:r w:rsidR="001C3855" w:rsidRPr="00D160FB">
              <w:rPr>
                <w:spacing w:val="-5"/>
                <w:lang w:val="en-GB"/>
              </w:rPr>
              <w:t>(+2</w:t>
            </w:r>
            <w:r w:rsidR="00547E33" w:rsidRPr="00D160FB">
              <w:rPr>
                <w:spacing w:val="-5"/>
                <w:lang w:val="en-GB"/>
              </w:rPr>
              <w:t>.</w:t>
            </w:r>
            <w:r w:rsidR="001C3855" w:rsidRPr="00D160FB">
              <w:rPr>
                <w:spacing w:val="-5"/>
                <w:lang w:val="en-GB"/>
              </w:rPr>
              <w:t xml:space="preserve">1%). </w:t>
            </w:r>
            <w:r w:rsidR="003862C0">
              <w:rPr>
                <w:spacing w:val="-5"/>
                <w:lang w:val="en-GB"/>
              </w:rPr>
              <w:t>In contrast so called O</w:t>
            </w:r>
            <w:r w:rsidR="00547E33" w:rsidRPr="00D160FB">
              <w:rPr>
                <w:spacing w:val="-5"/>
                <w:lang w:val="en-GB"/>
              </w:rPr>
              <w:t>ther services</w:t>
            </w:r>
            <w:r w:rsidR="001C3855" w:rsidRPr="00D160FB">
              <w:rPr>
                <w:rStyle w:val="Znakapoznpodarou"/>
                <w:spacing w:val="-4"/>
                <w:lang w:val="en-GB"/>
              </w:rPr>
              <w:footnoteReference w:id="4"/>
            </w:r>
            <w:r w:rsidR="00547E33" w:rsidRPr="00D160FB">
              <w:rPr>
                <w:spacing w:val="-5"/>
                <w:lang w:val="en-GB"/>
              </w:rPr>
              <w:t xml:space="preserve"> </w:t>
            </w:r>
            <w:r w:rsidR="001C3855" w:rsidRPr="00D160FB">
              <w:rPr>
                <w:spacing w:val="-4"/>
                <w:lang w:val="en-GB"/>
              </w:rPr>
              <w:t xml:space="preserve"> </w:t>
            </w:r>
            <w:r w:rsidR="00547E33" w:rsidRPr="00D160FB">
              <w:rPr>
                <w:spacing w:val="-4"/>
                <w:lang w:val="en-GB"/>
              </w:rPr>
              <w:t xml:space="preserve">detected nearly </w:t>
            </w:r>
            <w:r w:rsidR="001C3855" w:rsidRPr="00D160FB">
              <w:rPr>
                <w:spacing w:val="-4"/>
                <w:lang w:val="en-GB"/>
              </w:rPr>
              <w:t xml:space="preserve">2% </w:t>
            </w:r>
            <w:r w:rsidR="00547E33" w:rsidRPr="00D160FB">
              <w:rPr>
                <w:spacing w:val="-4"/>
                <w:lang w:val="en-GB"/>
              </w:rPr>
              <w:t>decrease</w:t>
            </w:r>
            <w:r w:rsidR="001C3855" w:rsidRPr="00D160FB">
              <w:rPr>
                <w:spacing w:val="-4"/>
                <w:lang w:val="en-GB"/>
              </w:rPr>
              <w:t>.</w:t>
            </w:r>
            <w:r w:rsidR="00547E33" w:rsidRPr="00D160FB">
              <w:rPr>
                <w:spacing w:val="-4"/>
                <w:lang w:val="en-GB"/>
              </w:rPr>
              <w:t xml:space="preserve"> It could have been related to the limitation of expenditures of households on the “non-essential” services. </w:t>
            </w:r>
            <w:r w:rsidR="009C4275" w:rsidRPr="00D160FB">
              <w:rPr>
                <w:spacing w:val="-4"/>
                <w:lang w:val="en-GB"/>
              </w:rPr>
              <w:t xml:space="preserve">There were </w:t>
            </w:r>
            <w:r w:rsidR="001C3855" w:rsidRPr="00D160FB">
              <w:rPr>
                <w:spacing w:val="-4"/>
                <w:lang w:val="en-GB"/>
              </w:rPr>
              <w:t xml:space="preserve">7% </w:t>
            </w:r>
            <w:r w:rsidR="009C4275" w:rsidRPr="00D160FB">
              <w:rPr>
                <w:spacing w:val="-4"/>
                <w:lang w:val="en-GB"/>
              </w:rPr>
              <w:t xml:space="preserve">of workers less in this branch </w:t>
            </w:r>
            <w:r w:rsidR="009C4275" w:rsidRPr="00D160FB">
              <w:rPr>
                <w:spacing w:val="-4"/>
                <w:lang w:val="en-GB"/>
              </w:rPr>
              <w:lastRenderedPageBreak/>
              <w:t>compared to the peak of the pre-pandemic boom (period 2015 to 2019)</w:t>
            </w:r>
            <w:r w:rsidR="001C3855" w:rsidRPr="00D160FB">
              <w:rPr>
                <w:spacing w:val="-4"/>
                <w:lang w:val="en-GB"/>
              </w:rPr>
              <w:t xml:space="preserve">, </w:t>
            </w:r>
            <w:r w:rsidR="009C4275" w:rsidRPr="00D160FB">
              <w:rPr>
                <w:spacing w:val="-4"/>
                <w:lang w:val="en-GB"/>
              </w:rPr>
              <w:t xml:space="preserve">even </w:t>
            </w:r>
            <w:r w:rsidR="001C3855" w:rsidRPr="00D160FB">
              <w:rPr>
                <w:spacing w:val="-4"/>
                <w:lang w:val="en-GB"/>
              </w:rPr>
              <w:t>13%</w:t>
            </w:r>
            <w:r w:rsidR="009C4275" w:rsidRPr="00D160FB">
              <w:rPr>
                <w:spacing w:val="-4"/>
                <w:lang w:val="en-GB"/>
              </w:rPr>
              <w:t xml:space="preserve"> less in the branch financial and insurance activities</w:t>
            </w:r>
            <w:r w:rsidR="001C3855" w:rsidRPr="00D160FB">
              <w:rPr>
                <w:spacing w:val="-4"/>
                <w:lang w:val="en-GB"/>
              </w:rPr>
              <w:t xml:space="preserve"> (</w:t>
            </w:r>
            <w:r w:rsidR="001B10F0" w:rsidRPr="00D160FB">
              <w:rPr>
                <w:spacing w:val="-4"/>
                <w:lang w:val="en-GB"/>
              </w:rPr>
              <w:t>here however small businesses were for the most part behind the decrease</w:t>
            </w:r>
            <w:r w:rsidR="001C3855" w:rsidRPr="00D160FB">
              <w:rPr>
                <w:spacing w:val="-4"/>
                <w:lang w:val="en-GB"/>
              </w:rPr>
              <w:t>).</w:t>
            </w:r>
            <w:r w:rsidR="003862C0">
              <w:rPr>
                <w:spacing w:val="-4"/>
                <w:lang w:val="en-GB"/>
              </w:rPr>
              <w:t xml:space="preserve"> Employment in i</w:t>
            </w:r>
            <w:r w:rsidR="00160A1E" w:rsidRPr="00D160FB">
              <w:rPr>
                <w:spacing w:val="-4"/>
                <w:lang w:val="en-GB"/>
              </w:rPr>
              <w:t xml:space="preserve">ndustry </w:t>
            </w:r>
            <w:r w:rsidR="001C3855" w:rsidRPr="00D160FB">
              <w:rPr>
                <w:spacing w:val="-4"/>
                <w:lang w:val="en-GB"/>
              </w:rPr>
              <w:t>(</w:t>
            </w:r>
            <w:r w:rsidR="00160A1E" w:rsidRPr="00D160FB">
              <w:rPr>
                <w:spacing w:val="-4"/>
                <w:lang w:val="en-GB"/>
              </w:rPr>
              <w:t xml:space="preserve">by </w:t>
            </w:r>
            <w:r w:rsidR="001C3855" w:rsidRPr="00D160FB">
              <w:rPr>
                <w:spacing w:val="-4"/>
                <w:lang w:val="en-GB"/>
              </w:rPr>
              <w:t xml:space="preserve">4%) </w:t>
            </w:r>
            <w:r w:rsidR="00160A1E" w:rsidRPr="00D160FB">
              <w:rPr>
                <w:spacing w:val="-4"/>
                <w:lang w:val="en-GB"/>
              </w:rPr>
              <w:t xml:space="preserve">or </w:t>
            </w:r>
            <w:r w:rsidR="003862C0">
              <w:rPr>
                <w:spacing w:val="-4"/>
                <w:lang w:val="en-GB"/>
              </w:rPr>
              <w:t>in branch of A</w:t>
            </w:r>
            <w:r w:rsidR="00160A1E" w:rsidRPr="00D160FB">
              <w:rPr>
                <w:spacing w:val="-4"/>
                <w:lang w:val="en-GB"/>
              </w:rPr>
              <w:t xml:space="preserve">griculture and forestry </w:t>
            </w:r>
            <w:r w:rsidR="001C3855" w:rsidRPr="00D160FB">
              <w:rPr>
                <w:spacing w:val="-4"/>
                <w:lang w:val="en-GB"/>
              </w:rPr>
              <w:t>(5</w:t>
            </w:r>
            <w:r w:rsidR="00160A1E" w:rsidRPr="00D160FB">
              <w:rPr>
                <w:spacing w:val="-4"/>
                <w:lang w:val="en-GB"/>
              </w:rPr>
              <w:t>.</w:t>
            </w:r>
            <w:r w:rsidR="001C3855" w:rsidRPr="00D160FB">
              <w:rPr>
                <w:spacing w:val="-4"/>
                <w:lang w:val="en-GB"/>
              </w:rPr>
              <w:t>5%)</w:t>
            </w:r>
            <w:r w:rsidR="001B10F0" w:rsidRPr="00D160FB">
              <w:rPr>
                <w:spacing w:val="-4"/>
                <w:lang w:val="en-GB"/>
              </w:rPr>
              <w:t xml:space="preserve"> also stayed behind the pre-pandemic level at the end of the last year</w:t>
            </w:r>
            <w:r w:rsidR="001C3855" w:rsidRPr="00D160FB">
              <w:rPr>
                <w:spacing w:val="-4"/>
                <w:lang w:val="en-GB"/>
              </w:rPr>
              <w:t>,</w:t>
            </w:r>
            <w:r w:rsidR="001B10F0" w:rsidRPr="00D160FB">
              <w:rPr>
                <w:spacing w:val="-4"/>
                <w:lang w:val="en-GB"/>
              </w:rPr>
              <w:t xml:space="preserve"> on the contrary it clearly exceeded this level in the areas of ICT, real estate or public services </w:t>
            </w:r>
            <w:r w:rsidR="001C3855" w:rsidRPr="00D160FB">
              <w:rPr>
                <w:spacing w:val="-4"/>
                <w:lang w:val="en-GB"/>
              </w:rPr>
              <w:t>(</w:t>
            </w:r>
            <w:r w:rsidR="001B10F0" w:rsidRPr="00D160FB">
              <w:rPr>
                <w:spacing w:val="-4"/>
                <w:lang w:val="en-GB"/>
              </w:rPr>
              <w:t xml:space="preserve">by </w:t>
            </w:r>
            <w:r w:rsidR="001C3855" w:rsidRPr="00D160FB">
              <w:rPr>
                <w:spacing w:val="-4"/>
                <w:lang w:val="en-GB"/>
              </w:rPr>
              <w:t xml:space="preserve">6 </w:t>
            </w:r>
            <w:r w:rsidR="001B10F0" w:rsidRPr="00D160FB">
              <w:rPr>
                <w:spacing w:val="-4"/>
                <w:lang w:val="en-GB"/>
              </w:rPr>
              <w:t xml:space="preserve">to </w:t>
            </w:r>
            <w:r w:rsidR="001C3855" w:rsidRPr="00D160FB">
              <w:rPr>
                <w:spacing w:val="-4"/>
                <w:lang w:val="en-GB"/>
              </w:rPr>
              <w:t xml:space="preserve">9%). </w:t>
            </w:r>
          </w:p>
        </w:tc>
      </w:tr>
      <w:tr w:rsidR="00B646BC" w:rsidRPr="00D160FB" w14:paraId="587897E1" w14:textId="77777777" w:rsidTr="003D13A6">
        <w:trPr>
          <w:trHeight w:val="155"/>
        </w:trPr>
        <w:tc>
          <w:tcPr>
            <w:tcW w:w="1722" w:type="dxa"/>
            <w:shd w:val="clear" w:color="auto" w:fill="auto"/>
            <w:tcMar>
              <w:left w:w="0" w:type="dxa"/>
            </w:tcMar>
          </w:tcPr>
          <w:p w14:paraId="24314E1B" w14:textId="079C990E" w:rsidR="001C3855" w:rsidRPr="00D160FB" w:rsidRDefault="00535333" w:rsidP="00C8019E">
            <w:pPr>
              <w:pStyle w:val="Marginlie"/>
              <w:spacing w:after="120"/>
              <w:rPr>
                <w:color w:val="0D0D0D" w:themeColor="text1" w:themeTint="F2"/>
                <w:spacing w:val="-4"/>
                <w:lang w:val="en-GB"/>
              </w:rPr>
            </w:pPr>
            <w:r w:rsidRPr="00D160FB">
              <w:rPr>
                <w:spacing w:val="-5"/>
                <w:lang w:val="en-GB"/>
              </w:rPr>
              <w:lastRenderedPageBreak/>
              <w:t>Growth of the number of foreigners working in</w:t>
            </w:r>
            <w:r w:rsidR="003862C0">
              <w:rPr>
                <w:spacing w:val="-5"/>
                <w:lang w:val="en-GB"/>
              </w:rPr>
              <w:t xml:space="preserve"> the CR accelerated. It was mainly</w:t>
            </w:r>
            <w:r w:rsidRPr="00D160FB">
              <w:rPr>
                <w:spacing w:val="-5"/>
                <w:lang w:val="en-GB"/>
              </w:rPr>
              <w:t xml:space="preserve"> aided by the beginning integration of refugees from Ukraine. </w:t>
            </w:r>
          </w:p>
        </w:tc>
        <w:tc>
          <w:tcPr>
            <w:tcW w:w="202" w:type="dxa"/>
            <w:shd w:val="clear" w:color="auto" w:fill="auto"/>
            <w:tcMar>
              <w:left w:w="0" w:type="dxa"/>
            </w:tcMar>
          </w:tcPr>
          <w:p w14:paraId="128E1AFB" w14:textId="77777777" w:rsidR="001C3855" w:rsidRPr="00D160FB" w:rsidRDefault="001C3855" w:rsidP="00C8019E">
            <w:pPr>
              <w:pStyle w:val="Textpoznpodarou"/>
              <w:spacing w:after="120"/>
              <w:jc w:val="both"/>
              <w:rPr>
                <w:color w:val="0D0D0D" w:themeColor="text1" w:themeTint="F2"/>
                <w:spacing w:val="-4"/>
                <w:lang w:val="en-GB"/>
              </w:rPr>
            </w:pPr>
          </w:p>
        </w:tc>
        <w:tc>
          <w:tcPr>
            <w:tcW w:w="7750" w:type="dxa"/>
            <w:shd w:val="clear" w:color="auto" w:fill="auto"/>
            <w:tcMar>
              <w:left w:w="0" w:type="dxa"/>
            </w:tcMar>
          </w:tcPr>
          <w:p w14:paraId="70ADD95C" w14:textId="39E485A2" w:rsidR="001C3855" w:rsidRPr="00D160FB" w:rsidRDefault="00041DC8" w:rsidP="00C8019E">
            <w:pPr>
              <w:spacing w:after="200"/>
              <w:rPr>
                <w:color w:val="0D0D0D" w:themeColor="text1" w:themeTint="F2"/>
                <w:spacing w:val="-4"/>
                <w:lang w:val="en-GB"/>
              </w:rPr>
            </w:pPr>
            <w:r w:rsidRPr="00D160FB">
              <w:rPr>
                <w:color w:val="0D0D0D" w:themeColor="text1" w:themeTint="F2"/>
                <w:spacing w:val="-4"/>
                <w:lang w:val="en-GB"/>
              </w:rPr>
              <w:t xml:space="preserve">Also in year </w:t>
            </w:r>
            <w:r w:rsidR="001C3855" w:rsidRPr="00D160FB">
              <w:rPr>
                <w:color w:val="0D0D0D" w:themeColor="text1" w:themeTint="F2"/>
                <w:spacing w:val="-4"/>
                <w:lang w:val="en-GB"/>
              </w:rPr>
              <w:t>2022</w:t>
            </w:r>
            <w:r w:rsidRPr="00D160FB">
              <w:rPr>
                <w:color w:val="0D0D0D" w:themeColor="text1" w:themeTint="F2"/>
                <w:spacing w:val="-4"/>
                <w:lang w:val="en-GB"/>
              </w:rPr>
              <w:t xml:space="preserve"> businesses filled </w:t>
            </w:r>
            <w:r w:rsidR="001C3855" w:rsidRPr="00D160FB">
              <w:rPr>
                <w:color w:val="0D0D0D" w:themeColor="text1" w:themeTint="F2"/>
                <w:spacing w:val="-4"/>
                <w:lang w:val="en-GB"/>
              </w:rPr>
              <w:t>(</w:t>
            </w:r>
            <w:r w:rsidRPr="00D160FB">
              <w:rPr>
                <w:color w:val="0D0D0D" w:themeColor="text1" w:themeTint="F2"/>
                <w:spacing w:val="-4"/>
                <w:lang w:val="en-GB"/>
              </w:rPr>
              <w:t xml:space="preserve">mainly in industry, construction as well as some </w:t>
            </w:r>
            <w:r w:rsidR="001C3855" w:rsidRPr="00D160FB">
              <w:rPr>
                <w:color w:val="0D0D0D" w:themeColor="text1" w:themeTint="F2"/>
                <w:spacing w:val="-4"/>
                <w:lang w:val="en-GB"/>
              </w:rPr>
              <w:t>„</w:t>
            </w:r>
            <w:r w:rsidRPr="00D160FB">
              <w:rPr>
                <w:color w:val="0D0D0D" w:themeColor="text1" w:themeTint="F2"/>
                <w:spacing w:val="-4"/>
                <w:lang w:val="en-GB"/>
              </w:rPr>
              <w:t>low-income</w:t>
            </w:r>
            <w:r w:rsidR="001C3855" w:rsidRPr="00D160FB">
              <w:rPr>
                <w:color w:val="0D0D0D" w:themeColor="text1" w:themeTint="F2"/>
                <w:spacing w:val="-4"/>
                <w:lang w:val="en-GB"/>
              </w:rPr>
              <w:t xml:space="preserve">“ </w:t>
            </w:r>
            <w:r w:rsidRPr="00D160FB">
              <w:rPr>
                <w:color w:val="0D0D0D" w:themeColor="text1" w:themeTint="F2"/>
                <w:spacing w:val="-4"/>
                <w:lang w:val="en-GB"/>
              </w:rPr>
              <w:t>branches of services</w:t>
            </w:r>
            <w:r w:rsidR="001C3855" w:rsidRPr="00D160FB">
              <w:rPr>
                <w:color w:val="0D0D0D" w:themeColor="text1" w:themeTint="F2"/>
                <w:spacing w:val="-4"/>
                <w:lang w:val="en-GB"/>
              </w:rPr>
              <w:t xml:space="preserve">) </w:t>
            </w:r>
            <w:r w:rsidRPr="00D160FB">
              <w:rPr>
                <w:color w:val="0D0D0D" w:themeColor="text1" w:themeTint="F2"/>
                <w:spacing w:val="-4"/>
                <w:lang w:val="en-GB"/>
              </w:rPr>
              <w:t>to a significant extent the demand for free labour force via recruitment from abroad</w:t>
            </w:r>
            <w:r w:rsidR="003862C0">
              <w:rPr>
                <w:color w:val="0D0D0D" w:themeColor="text1" w:themeTint="F2"/>
                <w:spacing w:val="-4"/>
                <w:lang w:val="en-GB"/>
              </w:rPr>
              <w:t>,</w:t>
            </w:r>
            <w:r w:rsidRPr="00D160FB">
              <w:rPr>
                <w:color w:val="0D0D0D" w:themeColor="text1" w:themeTint="F2"/>
                <w:spacing w:val="-4"/>
                <w:lang w:val="en-GB"/>
              </w:rPr>
              <w:t xml:space="preserve"> since the source of the potential domestic labour force became nearly exhausted in the last years</w:t>
            </w:r>
            <w:r w:rsidR="001C3855" w:rsidRPr="00D160FB">
              <w:rPr>
                <w:rStyle w:val="Znakapoznpodarou"/>
                <w:color w:val="0D0D0D" w:themeColor="text1" w:themeTint="F2"/>
                <w:spacing w:val="-4"/>
                <w:lang w:val="en-GB"/>
              </w:rPr>
              <w:footnoteReference w:id="5"/>
            </w:r>
            <w:r w:rsidR="001C3855" w:rsidRPr="00D160FB">
              <w:rPr>
                <w:color w:val="0D0D0D" w:themeColor="text1" w:themeTint="F2"/>
                <w:spacing w:val="-4"/>
                <w:lang w:val="en-GB"/>
              </w:rPr>
              <w:t xml:space="preserve">. </w:t>
            </w:r>
            <w:r w:rsidRPr="00D160FB">
              <w:rPr>
                <w:color w:val="0D0D0D" w:themeColor="text1" w:themeTint="F2"/>
                <w:spacing w:val="-4"/>
                <w:lang w:val="en-GB"/>
              </w:rPr>
              <w:t>The growth of the number of foreigners working in the CR considerably gained pace last year, it reached record 800 thousand for employees in November</w:t>
            </w:r>
            <w:r w:rsidR="003862C0">
              <w:rPr>
                <w:color w:val="0D0D0D" w:themeColor="text1" w:themeTint="F2"/>
                <w:spacing w:val="-4"/>
                <w:lang w:val="en-GB"/>
              </w:rPr>
              <w:t xml:space="preserve"> 2022</w:t>
            </w:r>
            <w:r w:rsidR="001C3855" w:rsidRPr="00D160FB">
              <w:rPr>
                <w:rStyle w:val="Znakapoznpodarou"/>
                <w:color w:val="0D0D0D" w:themeColor="text1" w:themeTint="F2"/>
                <w:spacing w:val="-4"/>
                <w:lang w:val="en-GB"/>
              </w:rPr>
              <w:footnoteReference w:id="6"/>
            </w:r>
            <w:r w:rsidR="001C3855" w:rsidRPr="00D160FB">
              <w:rPr>
                <w:spacing w:val="-4"/>
                <w:lang w:val="en-GB"/>
              </w:rPr>
              <w:t xml:space="preserve">. </w:t>
            </w:r>
            <w:r w:rsidR="00DA2080" w:rsidRPr="00D160FB">
              <w:rPr>
                <w:spacing w:val="-4"/>
                <w:lang w:val="en-GB"/>
              </w:rPr>
              <w:t>The beginning integration of refugees from Ukraine was evident here</w:t>
            </w:r>
            <w:r w:rsidR="001C3855" w:rsidRPr="00D160FB">
              <w:rPr>
                <w:rStyle w:val="Znakapoznpodarou"/>
                <w:spacing w:val="-4"/>
                <w:lang w:val="en-GB"/>
              </w:rPr>
              <w:footnoteReference w:id="7"/>
            </w:r>
            <w:r w:rsidR="001C3855" w:rsidRPr="00D160FB">
              <w:rPr>
                <w:spacing w:val="-4"/>
                <w:lang w:val="en-GB"/>
              </w:rPr>
              <w:t xml:space="preserve">, </w:t>
            </w:r>
            <w:r w:rsidR="00DA2080" w:rsidRPr="00D160FB">
              <w:rPr>
                <w:spacing w:val="-4"/>
                <w:lang w:val="en-GB"/>
              </w:rPr>
              <w:t xml:space="preserve">ongoing migration from economically weaker regions of the EU as well as states outside the EU had an effect in much smaller order. </w:t>
            </w:r>
          </w:p>
        </w:tc>
      </w:tr>
      <w:tr w:rsidR="00B646BC" w:rsidRPr="00D160FB" w14:paraId="3560C851" w14:textId="77777777" w:rsidTr="003D13A6">
        <w:trPr>
          <w:trHeight w:val="155"/>
        </w:trPr>
        <w:tc>
          <w:tcPr>
            <w:tcW w:w="1722" w:type="dxa"/>
            <w:shd w:val="clear" w:color="auto" w:fill="auto"/>
            <w:tcMar>
              <w:left w:w="0" w:type="dxa"/>
            </w:tcMar>
          </w:tcPr>
          <w:p w14:paraId="25677D83" w14:textId="3CC041BD" w:rsidR="001C3855" w:rsidRPr="00D160FB" w:rsidRDefault="000F0B07" w:rsidP="00C8019E">
            <w:pPr>
              <w:pStyle w:val="Marginlie"/>
              <w:spacing w:after="120"/>
              <w:rPr>
                <w:color w:val="0D0D0D" w:themeColor="text1" w:themeTint="F2"/>
                <w:spacing w:val="-4"/>
                <w:lang w:val="en-GB"/>
              </w:rPr>
            </w:pPr>
            <w:r w:rsidRPr="00D160FB">
              <w:rPr>
                <w:color w:val="0D0D0D" w:themeColor="text1" w:themeTint="F2"/>
                <w:spacing w:val="-4"/>
                <w:lang w:val="en-GB"/>
              </w:rPr>
              <w:t xml:space="preserve">Growth of the labour productivity per hour worked halted last year. Productivity per worker however mildly increased and approached the level </w:t>
            </w:r>
            <w:r w:rsidR="0087616B" w:rsidRPr="00D160FB">
              <w:rPr>
                <w:color w:val="0D0D0D" w:themeColor="text1" w:themeTint="F2"/>
                <w:spacing w:val="-4"/>
                <w:lang w:val="en-GB"/>
              </w:rPr>
              <w:t>f</w:t>
            </w:r>
            <w:r w:rsidRPr="00D160FB">
              <w:rPr>
                <w:color w:val="0D0D0D" w:themeColor="text1" w:themeTint="F2"/>
                <w:spacing w:val="-4"/>
                <w:lang w:val="en-GB"/>
              </w:rPr>
              <w:t xml:space="preserve">rom year 2019. </w:t>
            </w:r>
          </w:p>
        </w:tc>
        <w:tc>
          <w:tcPr>
            <w:tcW w:w="202" w:type="dxa"/>
            <w:shd w:val="clear" w:color="auto" w:fill="auto"/>
            <w:tcMar>
              <w:left w:w="0" w:type="dxa"/>
            </w:tcMar>
          </w:tcPr>
          <w:p w14:paraId="0E46DE37" w14:textId="77777777" w:rsidR="001C3855" w:rsidRPr="00D160FB" w:rsidRDefault="001C3855" w:rsidP="00C8019E">
            <w:pPr>
              <w:pStyle w:val="Textpoznpodarou"/>
              <w:spacing w:after="120"/>
              <w:jc w:val="both"/>
              <w:rPr>
                <w:color w:val="0D0D0D" w:themeColor="text1" w:themeTint="F2"/>
                <w:spacing w:val="-4"/>
                <w:lang w:val="en-GB"/>
              </w:rPr>
            </w:pPr>
          </w:p>
        </w:tc>
        <w:tc>
          <w:tcPr>
            <w:tcW w:w="7750" w:type="dxa"/>
            <w:shd w:val="clear" w:color="auto" w:fill="auto"/>
            <w:tcMar>
              <w:left w:w="0" w:type="dxa"/>
            </w:tcMar>
          </w:tcPr>
          <w:p w14:paraId="4FC78C5E" w14:textId="6B32032F" w:rsidR="001C3855" w:rsidRPr="00D160FB" w:rsidRDefault="000F0B07" w:rsidP="00C8019E">
            <w:pPr>
              <w:spacing w:after="220"/>
              <w:rPr>
                <w:color w:val="0D0D0D" w:themeColor="text1" w:themeTint="F2"/>
                <w:spacing w:val="-5"/>
                <w:lang w:val="en-GB"/>
              </w:rPr>
            </w:pPr>
            <w:r w:rsidRPr="00D160FB">
              <w:rPr>
                <w:color w:val="0D0D0D" w:themeColor="text1" w:themeTint="F2"/>
                <w:spacing w:val="-5"/>
                <w:lang w:val="en-GB"/>
              </w:rPr>
              <w:t>The labo</w:t>
            </w:r>
            <w:r w:rsidR="00C32290">
              <w:rPr>
                <w:color w:val="0D0D0D" w:themeColor="text1" w:themeTint="F2"/>
                <w:spacing w:val="-5"/>
                <w:lang w:val="en-GB"/>
              </w:rPr>
              <w:t>ur productivity expressed</w:t>
            </w:r>
            <w:r w:rsidRPr="00D160FB">
              <w:rPr>
                <w:color w:val="0D0D0D" w:themeColor="text1" w:themeTint="F2"/>
                <w:spacing w:val="-5"/>
                <w:lang w:val="en-GB"/>
              </w:rPr>
              <w:t xml:space="preserve"> by the real size of the created gross value added per one employee slightly increased year-on-year last year </w:t>
            </w:r>
            <w:r w:rsidR="001C3855" w:rsidRPr="00D160FB">
              <w:rPr>
                <w:color w:val="0D0D0D" w:themeColor="text1" w:themeTint="F2"/>
                <w:spacing w:val="-5"/>
                <w:lang w:val="en-GB"/>
              </w:rPr>
              <w:t>(</w:t>
            </w:r>
            <w:r w:rsidRPr="00D160FB">
              <w:rPr>
                <w:color w:val="0D0D0D" w:themeColor="text1" w:themeTint="F2"/>
                <w:spacing w:val="-5"/>
                <w:lang w:val="en-GB"/>
              </w:rPr>
              <w:t xml:space="preserve">by </w:t>
            </w:r>
            <w:r w:rsidR="001C3855" w:rsidRPr="00D160FB">
              <w:rPr>
                <w:color w:val="0D0D0D" w:themeColor="text1" w:themeTint="F2"/>
                <w:spacing w:val="-5"/>
                <w:lang w:val="en-GB"/>
              </w:rPr>
              <w:t>0</w:t>
            </w:r>
            <w:r w:rsidRPr="00D160FB">
              <w:rPr>
                <w:color w:val="0D0D0D" w:themeColor="text1" w:themeTint="F2"/>
                <w:spacing w:val="-5"/>
                <w:lang w:val="en-GB"/>
              </w:rPr>
              <w:t>.</w:t>
            </w:r>
            <w:r w:rsidR="001C3855" w:rsidRPr="00D160FB">
              <w:rPr>
                <w:color w:val="0D0D0D" w:themeColor="text1" w:themeTint="F2"/>
                <w:spacing w:val="-5"/>
                <w:lang w:val="en-GB"/>
              </w:rPr>
              <w:t>7%) a</w:t>
            </w:r>
            <w:r w:rsidRPr="00D160FB">
              <w:rPr>
                <w:color w:val="0D0D0D" w:themeColor="text1" w:themeTint="F2"/>
                <w:spacing w:val="-5"/>
                <w:lang w:val="en-GB"/>
              </w:rPr>
              <w:t xml:space="preserve">nd nearly reached the level from year </w:t>
            </w:r>
            <w:r w:rsidR="001C3855" w:rsidRPr="00D160FB">
              <w:rPr>
                <w:color w:val="0D0D0D" w:themeColor="text1" w:themeTint="F2"/>
                <w:spacing w:val="-5"/>
                <w:lang w:val="en-GB"/>
              </w:rPr>
              <w:t xml:space="preserve">2019. </w:t>
            </w:r>
            <w:r w:rsidR="00A356C1" w:rsidRPr="00D160FB">
              <w:rPr>
                <w:color w:val="0D0D0D" w:themeColor="text1" w:themeTint="F2"/>
                <w:spacing w:val="-5"/>
                <w:lang w:val="en-GB"/>
              </w:rPr>
              <w:t xml:space="preserve">From the position of the whole economy, manufacturing was key driver of higher productivity last year </w:t>
            </w:r>
            <w:r w:rsidR="001C3855" w:rsidRPr="00D160FB">
              <w:rPr>
                <w:color w:val="0D0D0D" w:themeColor="text1" w:themeTint="F2"/>
                <w:spacing w:val="-5"/>
                <w:lang w:val="en-GB"/>
              </w:rPr>
              <w:t>(</w:t>
            </w:r>
            <w:r w:rsidR="00A356C1" w:rsidRPr="00D160FB">
              <w:rPr>
                <w:color w:val="0D0D0D" w:themeColor="text1" w:themeTint="F2"/>
                <w:spacing w:val="-5"/>
                <w:lang w:val="en-GB"/>
              </w:rPr>
              <w:t xml:space="preserve">even though it still did not fully catch up on the slump from year </w:t>
            </w:r>
            <w:r w:rsidR="001C3855" w:rsidRPr="00D160FB">
              <w:rPr>
                <w:color w:val="0D0D0D" w:themeColor="text1" w:themeTint="F2"/>
                <w:spacing w:val="-5"/>
                <w:lang w:val="en-GB"/>
              </w:rPr>
              <w:t xml:space="preserve">2020), </w:t>
            </w:r>
            <w:r w:rsidR="00A356C1" w:rsidRPr="00D160FB">
              <w:rPr>
                <w:color w:val="0D0D0D" w:themeColor="text1" w:themeTint="F2"/>
                <w:spacing w:val="-5"/>
                <w:lang w:val="en-GB"/>
              </w:rPr>
              <w:t xml:space="preserve">from the longer term view then rather the financial activities. </w:t>
            </w:r>
            <w:r w:rsidR="00001065" w:rsidRPr="00D160FB">
              <w:rPr>
                <w:color w:val="0D0D0D" w:themeColor="text1" w:themeTint="F2"/>
                <w:spacing w:val="-5"/>
                <w:lang w:val="en-GB"/>
              </w:rPr>
              <w:t xml:space="preserve">Productivity per hour worked of the national economy decreased by 1.1% in real terms last year and fell for the first time in the last six years. </w:t>
            </w:r>
            <w:r w:rsidR="001C3855" w:rsidRPr="00D160FB">
              <w:rPr>
                <w:color w:val="0D0D0D" w:themeColor="text1" w:themeTint="F2"/>
                <w:spacing w:val="-5"/>
                <w:lang w:val="en-GB"/>
              </w:rPr>
              <w:t>L</w:t>
            </w:r>
            <w:r w:rsidR="00BA62B5" w:rsidRPr="00D160FB">
              <w:rPr>
                <w:color w:val="0D0D0D" w:themeColor="text1" w:themeTint="F2"/>
                <w:spacing w:val="-5"/>
                <w:lang w:val="en-GB"/>
              </w:rPr>
              <w:t>ast year’s result was adversely a</w:t>
            </w:r>
            <w:r w:rsidR="00C32290">
              <w:rPr>
                <w:color w:val="0D0D0D" w:themeColor="text1" w:themeTint="F2"/>
                <w:spacing w:val="-5"/>
                <w:lang w:val="en-GB"/>
              </w:rPr>
              <w:t>ffected mainly by the division of T</w:t>
            </w:r>
            <w:r w:rsidR="00BA62B5" w:rsidRPr="00D160FB">
              <w:rPr>
                <w:color w:val="0D0D0D" w:themeColor="text1" w:themeTint="F2"/>
                <w:spacing w:val="-5"/>
                <w:lang w:val="en-GB"/>
              </w:rPr>
              <w:t>rade, transport, accommod</w:t>
            </w:r>
            <w:r w:rsidR="00C32290">
              <w:rPr>
                <w:color w:val="0D0D0D" w:themeColor="text1" w:themeTint="F2"/>
                <w:spacing w:val="-5"/>
                <w:lang w:val="en-GB"/>
              </w:rPr>
              <w:t>ation and restaurants and also P</w:t>
            </w:r>
            <w:r w:rsidR="00BA62B5" w:rsidRPr="00D160FB">
              <w:rPr>
                <w:color w:val="0D0D0D" w:themeColor="text1" w:themeTint="F2"/>
                <w:spacing w:val="-5"/>
                <w:lang w:val="en-GB"/>
              </w:rPr>
              <w:t xml:space="preserve">ublic services, where the workload </w:t>
            </w:r>
            <w:r w:rsidR="001C3855" w:rsidRPr="00D160FB">
              <w:rPr>
                <w:color w:val="0D0D0D" w:themeColor="text1" w:themeTint="F2"/>
                <w:spacing w:val="-5"/>
                <w:lang w:val="en-GB"/>
              </w:rPr>
              <w:t>(</w:t>
            </w:r>
            <w:r w:rsidR="00BA62B5" w:rsidRPr="00D160FB">
              <w:rPr>
                <w:color w:val="0D0D0D" w:themeColor="text1" w:themeTint="F2"/>
                <w:spacing w:val="-5"/>
                <w:lang w:val="en-GB"/>
              </w:rPr>
              <w:t>from the view of the average hours worked</w:t>
            </w:r>
            <w:r w:rsidR="001C3855" w:rsidRPr="00D160FB">
              <w:rPr>
                <w:color w:val="0D0D0D" w:themeColor="text1" w:themeTint="F2"/>
                <w:spacing w:val="-5"/>
                <w:lang w:val="en-GB"/>
              </w:rPr>
              <w:t>)</w:t>
            </w:r>
            <w:r w:rsidR="00BA62B5" w:rsidRPr="00D160FB">
              <w:rPr>
                <w:color w:val="0D0D0D" w:themeColor="text1" w:themeTint="F2"/>
                <w:spacing w:val="-5"/>
                <w:lang w:val="en-GB"/>
              </w:rPr>
              <w:t xml:space="preserve"> in some of its segment shrank since the </w:t>
            </w:r>
            <w:r w:rsidR="009630EB" w:rsidRPr="00D160FB">
              <w:rPr>
                <w:color w:val="0D0D0D" w:themeColor="text1" w:themeTint="F2"/>
                <w:spacing w:val="-5"/>
                <w:lang w:val="en-GB"/>
              </w:rPr>
              <w:t xml:space="preserve">retreat of the pandemics. </w:t>
            </w:r>
            <w:r w:rsidR="008C5128" w:rsidRPr="00D160FB">
              <w:rPr>
                <w:color w:val="0D0D0D" w:themeColor="text1" w:themeTint="F2"/>
                <w:spacing w:val="-5"/>
                <w:lang w:val="en-GB"/>
              </w:rPr>
              <w:t xml:space="preserve">The productivity per hour </w:t>
            </w:r>
            <w:r w:rsidR="00C32290">
              <w:rPr>
                <w:color w:val="0D0D0D" w:themeColor="text1" w:themeTint="F2"/>
                <w:spacing w:val="-5"/>
                <w:lang w:val="en-GB"/>
              </w:rPr>
              <w:t xml:space="preserve">however </w:t>
            </w:r>
            <w:r w:rsidR="008C5128" w:rsidRPr="00D160FB">
              <w:rPr>
                <w:color w:val="0D0D0D" w:themeColor="text1" w:themeTint="F2"/>
                <w:spacing w:val="-5"/>
                <w:lang w:val="en-GB"/>
              </w:rPr>
              <w:t>increased by nearly 5% here compared to year 2019</w:t>
            </w:r>
            <w:r w:rsidR="001C3855" w:rsidRPr="00D160FB">
              <w:rPr>
                <w:color w:val="0D0D0D" w:themeColor="text1" w:themeTint="F2"/>
                <w:spacing w:val="-5"/>
                <w:lang w:val="en-GB"/>
              </w:rPr>
              <w:t>,</w:t>
            </w:r>
            <w:r w:rsidR="00553E69" w:rsidRPr="00D160FB">
              <w:rPr>
                <w:color w:val="0D0D0D" w:themeColor="text1" w:themeTint="F2"/>
                <w:spacing w:val="-5"/>
                <w:lang w:val="en-GB"/>
              </w:rPr>
              <w:t xml:space="preserve"> it was also higher in the majority of other main branches of services </w:t>
            </w:r>
            <w:r w:rsidR="001C3855" w:rsidRPr="00D160FB">
              <w:rPr>
                <w:color w:val="0D0D0D" w:themeColor="text1" w:themeTint="F2"/>
                <w:spacing w:val="-5"/>
                <w:lang w:val="en-GB"/>
              </w:rPr>
              <w:t>(</w:t>
            </w:r>
            <w:r w:rsidR="009630EB" w:rsidRPr="00D160FB">
              <w:rPr>
                <w:color w:val="0D0D0D" w:themeColor="text1" w:themeTint="F2"/>
                <w:spacing w:val="-5"/>
                <w:lang w:val="en-GB"/>
              </w:rPr>
              <w:t xml:space="preserve">apart </w:t>
            </w:r>
            <w:r w:rsidR="00553E69" w:rsidRPr="00D160FB">
              <w:rPr>
                <w:color w:val="0D0D0D" w:themeColor="text1" w:themeTint="F2"/>
                <w:spacing w:val="-5"/>
                <w:lang w:val="en-GB"/>
              </w:rPr>
              <w:t>from</w:t>
            </w:r>
            <w:r w:rsidR="009630EB" w:rsidRPr="00D160FB">
              <w:rPr>
                <w:color w:val="0D0D0D" w:themeColor="text1" w:themeTint="F2"/>
                <w:spacing w:val="-5"/>
                <w:lang w:val="en-GB"/>
              </w:rPr>
              <w:t xml:space="preserve"> activities in the real estate area, where it lagged by more than one tenth behind the pre-crisis level</w:t>
            </w:r>
            <w:r w:rsidR="001C3855" w:rsidRPr="00D160FB">
              <w:rPr>
                <w:color w:val="0D0D0D" w:themeColor="text1" w:themeTint="F2"/>
                <w:spacing w:val="-5"/>
                <w:lang w:val="en-GB"/>
              </w:rPr>
              <w:t xml:space="preserve">). </w:t>
            </w:r>
            <w:r w:rsidR="00705D62" w:rsidRPr="00D160FB">
              <w:rPr>
                <w:color w:val="0D0D0D" w:themeColor="text1" w:themeTint="F2"/>
                <w:spacing w:val="-5"/>
                <w:lang w:val="en-GB"/>
              </w:rPr>
              <w:t xml:space="preserve">Construction also had a similar distance last year </w:t>
            </w:r>
            <w:r w:rsidR="001C3855" w:rsidRPr="00D160FB">
              <w:rPr>
                <w:color w:val="0D0D0D" w:themeColor="text1" w:themeTint="F2"/>
                <w:spacing w:val="-5"/>
                <w:lang w:val="en-GB"/>
              </w:rPr>
              <w:t xml:space="preserve">(−12%). </w:t>
            </w:r>
            <w:r w:rsidR="00705D62" w:rsidRPr="00D160FB">
              <w:rPr>
                <w:color w:val="0D0D0D" w:themeColor="text1" w:themeTint="F2"/>
                <w:spacing w:val="-5"/>
                <w:lang w:val="en-GB"/>
              </w:rPr>
              <w:t xml:space="preserve">On the contrary, the productivity in industry accomplished the level from year </w:t>
            </w:r>
            <w:r w:rsidR="001C3855" w:rsidRPr="00D160FB">
              <w:rPr>
                <w:color w:val="0D0D0D" w:themeColor="text1" w:themeTint="F2"/>
                <w:spacing w:val="-5"/>
                <w:lang w:val="en-GB"/>
              </w:rPr>
              <w:t xml:space="preserve">2019, </w:t>
            </w:r>
            <w:r w:rsidR="00705D62" w:rsidRPr="00D160FB">
              <w:rPr>
                <w:color w:val="0D0D0D" w:themeColor="text1" w:themeTint="F2"/>
                <w:spacing w:val="-5"/>
                <w:lang w:val="en-GB"/>
              </w:rPr>
              <w:t xml:space="preserve">exclusively thanks to manufacturing branches </w:t>
            </w:r>
            <w:r w:rsidR="001C3855" w:rsidRPr="00D160FB">
              <w:rPr>
                <w:color w:val="0D0D0D" w:themeColor="text1" w:themeTint="F2"/>
                <w:spacing w:val="-5"/>
                <w:lang w:val="en-GB"/>
              </w:rPr>
              <w:t>(+0</w:t>
            </w:r>
            <w:r w:rsidR="00705D62" w:rsidRPr="00D160FB">
              <w:rPr>
                <w:color w:val="0D0D0D" w:themeColor="text1" w:themeTint="F2"/>
                <w:spacing w:val="-5"/>
                <w:lang w:val="en-GB"/>
              </w:rPr>
              <w:t>.</w:t>
            </w:r>
            <w:r w:rsidR="001C3855" w:rsidRPr="00D160FB">
              <w:rPr>
                <w:color w:val="0D0D0D" w:themeColor="text1" w:themeTint="F2"/>
                <w:spacing w:val="-5"/>
                <w:lang w:val="en-GB"/>
              </w:rPr>
              <w:t>7%</w:t>
            </w:r>
            <w:r w:rsidR="00683C4F" w:rsidRPr="00D160FB">
              <w:rPr>
                <w:color w:val="0D0D0D" w:themeColor="text1" w:themeTint="F2"/>
                <w:spacing w:val="-5"/>
                <w:lang w:val="en-GB"/>
              </w:rPr>
              <w:t>) since</w:t>
            </w:r>
            <w:r w:rsidR="00705D62" w:rsidRPr="00D160FB">
              <w:rPr>
                <w:color w:val="0D0D0D" w:themeColor="text1" w:themeTint="F2"/>
                <w:spacing w:val="-5"/>
                <w:lang w:val="en-GB"/>
              </w:rPr>
              <w:t xml:space="preserve"> it still considerably stayed behind the pre-pandemic level in mining as well as energy industry. </w:t>
            </w:r>
          </w:p>
        </w:tc>
      </w:tr>
      <w:tr w:rsidR="00B646BC" w:rsidRPr="00D160FB" w14:paraId="365D755F" w14:textId="77777777" w:rsidTr="003D13A6">
        <w:trPr>
          <w:trHeight w:val="155"/>
        </w:trPr>
        <w:tc>
          <w:tcPr>
            <w:tcW w:w="1722" w:type="dxa"/>
            <w:shd w:val="clear" w:color="auto" w:fill="auto"/>
            <w:tcMar>
              <w:left w:w="0" w:type="dxa"/>
            </w:tcMar>
          </w:tcPr>
          <w:p w14:paraId="5CF1A0EB" w14:textId="08653058" w:rsidR="001C3855" w:rsidRPr="00D160FB" w:rsidRDefault="00553E69" w:rsidP="00C8019E">
            <w:pPr>
              <w:pStyle w:val="Marginlie"/>
              <w:rPr>
                <w:color w:val="0D0D0D" w:themeColor="text1" w:themeTint="F2"/>
                <w:spacing w:val="-4"/>
                <w:lang w:val="en-GB"/>
              </w:rPr>
            </w:pPr>
            <w:r w:rsidRPr="00D160FB">
              <w:rPr>
                <w:color w:val="0D0D0D" w:themeColor="text1" w:themeTint="F2"/>
                <w:spacing w:val="-4"/>
                <w:lang w:val="en-GB"/>
              </w:rPr>
              <w:t>Expectations of businesses in the area</w:t>
            </w:r>
            <w:r w:rsidR="00A51A85" w:rsidRPr="00D160FB">
              <w:rPr>
                <w:color w:val="0D0D0D" w:themeColor="text1" w:themeTint="F2"/>
                <w:spacing w:val="-4"/>
                <w:lang w:val="en-GB"/>
              </w:rPr>
              <w:t xml:space="preserve"> </w:t>
            </w:r>
            <w:r w:rsidR="00DB3FD0" w:rsidRPr="00D160FB">
              <w:rPr>
                <w:color w:val="0D0D0D" w:themeColor="text1" w:themeTint="F2"/>
                <w:spacing w:val="-4"/>
                <w:lang w:val="en-GB"/>
              </w:rPr>
              <w:t>of employment</w:t>
            </w:r>
            <w:r w:rsidRPr="00D160FB">
              <w:rPr>
                <w:color w:val="0D0D0D" w:themeColor="text1" w:themeTint="F2"/>
                <w:spacing w:val="-4"/>
                <w:lang w:val="en-GB"/>
              </w:rPr>
              <w:t xml:space="preserve"> gradually deteriorated last year. Traders still maintained mild optimism. </w:t>
            </w:r>
            <w:r w:rsidR="001C3855" w:rsidRPr="00D160FB">
              <w:rPr>
                <w:color w:val="0D0D0D" w:themeColor="text1" w:themeTint="F2"/>
                <w:spacing w:val="-4"/>
                <w:lang w:val="en-GB"/>
              </w:rPr>
              <w:t xml:space="preserve"> </w:t>
            </w:r>
          </w:p>
          <w:p w14:paraId="3CB73AE0" w14:textId="77777777" w:rsidR="001C3855" w:rsidRPr="00D160FB" w:rsidRDefault="001C3855" w:rsidP="00C8019E">
            <w:pPr>
              <w:pStyle w:val="Marginlie"/>
              <w:rPr>
                <w:color w:val="0D0D0D" w:themeColor="text1" w:themeTint="F2"/>
                <w:spacing w:val="-4"/>
                <w:lang w:val="en-GB"/>
              </w:rPr>
            </w:pPr>
          </w:p>
          <w:p w14:paraId="5C5A859B" w14:textId="77777777" w:rsidR="001C3855" w:rsidRPr="00D160FB" w:rsidRDefault="001C3855" w:rsidP="00C8019E">
            <w:pPr>
              <w:pStyle w:val="Marginlie"/>
              <w:rPr>
                <w:color w:val="0D0D0D" w:themeColor="text1" w:themeTint="F2"/>
                <w:spacing w:val="-4"/>
                <w:lang w:val="en-GB"/>
              </w:rPr>
            </w:pPr>
          </w:p>
          <w:p w14:paraId="17C46A2C" w14:textId="77777777" w:rsidR="001C3855" w:rsidRPr="00D160FB" w:rsidRDefault="001C3855" w:rsidP="00C8019E">
            <w:pPr>
              <w:pStyle w:val="Marginlie"/>
              <w:rPr>
                <w:color w:val="0D0D0D" w:themeColor="text1" w:themeTint="F2"/>
                <w:spacing w:val="-4"/>
                <w:lang w:val="en-GB"/>
              </w:rPr>
            </w:pPr>
          </w:p>
          <w:p w14:paraId="6529CBCF" w14:textId="77777777" w:rsidR="001C3855" w:rsidRPr="00D160FB" w:rsidRDefault="001C3855" w:rsidP="00C8019E">
            <w:pPr>
              <w:pStyle w:val="Marginlie"/>
              <w:rPr>
                <w:color w:val="0D0D0D" w:themeColor="text1" w:themeTint="F2"/>
                <w:spacing w:val="-4"/>
                <w:lang w:val="en-GB"/>
              </w:rPr>
            </w:pPr>
          </w:p>
          <w:p w14:paraId="0F7CBC63" w14:textId="59F1D079" w:rsidR="001C3855" w:rsidRDefault="001C3855" w:rsidP="00C8019E">
            <w:pPr>
              <w:pStyle w:val="Marginlie"/>
              <w:rPr>
                <w:color w:val="0D0D0D" w:themeColor="text1" w:themeTint="F2"/>
                <w:spacing w:val="-4"/>
                <w:lang w:val="en-GB"/>
              </w:rPr>
            </w:pPr>
          </w:p>
          <w:p w14:paraId="2CD7AA25" w14:textId="5E3F6E1C" w:rsidR="00B647F4" w:rsidRDefault="00B647F4" w:rsidP="00C8019E">
            <w:pPr>
              <w:pStyle w:val="Marginlie"/>
              <w:rPr>
                <w:color w:val="0D0D0D" w:themeColor="text1" w:themeTint="F2"/>
                <w:spacing w:val="-4"/>
                <w:lang w:val="en-GB"/>
              </w:rPr>
            </w:pPr>
          </w:p>
          <w:p w14:paraId="427008AE" w14:textId="77777777" w:rsidR="00B647F4" w:rsidRPr="00D160FB" w:rsidRDefault="00B647F4" w:rsidP="00C8019E">
            <w:pPr>
              <w:pStyle w:val="Marginlie"/>
              <w:rPr>
                <w:color w:val="0D0D0D" w:themeColor="text1" w:themeTint="F2"/>
                <w:spacing w:val="-4"/>
                <w:lang w:val="en-GB"/>
              </w:rPr>
            </w:pPr>
          </w:p>
          <w:p w14:paraId="3F53E2EE" w14:textId="7F9C1A19" w:rsidR="001C3855" w:rsidRPr="00D160FB" w:rsidRDefault="00A356C1" w:rsidP="00C8019E">
            <w:pPr>
              <w:pStyle w:val="Marginlie"/>
              <w:rPr>
                <w:color w:val="0D0D0D" w:themeColor="text1" w:themeTint="F2"/>
                <w:spacing w:val="-4"/>
                <w:lang w:val="en-GB"/>
              </w:rPr>
            </w:pPr>
            <w:r w:rsidRPr="00D160FB">
              <w:rPr>
                <w:color w:val="0D0D0D" w:themeColor="text1" w:themeTint="F2"/>
                <w:spacing w:val="-4"/>
                <w:lang w:val="en-GB"/>
              </w:rPr>
              <w:lastRenderedPageBreak/>
              <w:t>Shor</w:t>
            </w:r>
            <w:r w:rsidR="00BA62B5" w:rsidRPr="00D160FB">
              <w:rPr>
                <w:color w:val="0D0D0D" w:themeColor="text1" w:themeTint="F2"/>
                <w:spacing w:val="-4"/>
                <w:lang w:val="en-GB"/>
              </w:rPr>
              <w:t>tage</w:t>
            </w:r>
            <w:r w:rsidRPr="00D160FB">
              <w:rPr>
                <w:color w:val="0D0D0D" w:themeColor="text1" w:themeTint="F2"/>
                <w:spacing w:val="-4"/>
                <w:lang w:val="en-GB"/>
              </w:rPr>
              <w:t xml:space="preserve"> of labour force remains the main growth barrier in construction, its role rather weakened elsewhere. </w:t>
            </w:r>
          </w:p>
          <w:p w14:paraId="10358A72" w14:textId="77777777" w:rsidR="001C3855" w:rsidRPr="00D160FB" w:rsidRDefault="001C3855" w:rsidP="00C8019E">
            <w:pPr>
              <w:pStyle w:val="Marginlie"/>
              <w:spacing w:after="120"/>
              <w:rPr>
                <w:color w:val="0D0D0D" w:themeColor="text1" w:themeTint="F2"/>
                <w:spacing w:val="-4"/>
                <w:lang w:val="en-GB"/>
              </w:rPr>
            </w:pPr>
          </w:p>
        </w:tc>
        <w:tc>
          <w:tcPr>
            <w:tcW w:w="202" w:type="dxa"/>
            <w:shd w:val="clear" w:color="auto" w:fill="auto"/>
            <w:tcMar>
              <w:left w:w="0" w:type="dxa"/>
            </w:tcMar>
          </w:tcPr>
          <w:p w14:paraId="710D03EA" w14:textId="77777777" w:rsidR="001C3855" w:rsidRPr="00D160FB" w:rsidRDefault="001C3855" w:rsidP="00C8019E">
            <w:pPr>
              <w:pStyle w:val="Textpoznpodarou"/>
              <w:spacing w:after="120"/>
              <w:jc w:val="both"/>
              <w:rPr>
                <w:color w:val="0D0D0D" w:themeColor="text1" w:themeTint="F2"/>
                <w:spacing w:val="-4"/>
                <w:lang w:val="en-GB"/>
              </w:rPr>
            </w:pPr>
          </w:p>
        </w:tc>
        <w:tc>
          <w:tcPr>
            <w:tcW w:w="7750" w:type="dxa"/>
            <w:shd w:val="clear" w:color="auto" w:fill="auto"/>
            <w:tcMar>
              <w:left w:w="0" w:type="dxa"/>
            </w:tcMar>
          </w:tcPr>
          <w:p w14:paraId="1B5C134F" w14:textId="0E6C7568" w:rsidR="001C3855" w:rsidRPr="00D160FB" w:rsidRDefault="00234F2B" w:rsidP="00C8019E">
            <w:pPr>
              <w:spacing w:after="200"/>
              <w:rPr>
                <w:color w:val="0D0D0D" w:themeColor="text1" w:themeTint="F2"/>
                <w:spacing w:val="-4"/>
                <w:lang w:val="en-GB"/>
              </w:rPr>
            </w:pPr>
            <w:r w:rsidRPr="00D160FB">
              <w:rPr>
                <w:color w:val="0D0D0D" w:themeColor="text1" w:themeTint="F2"/>
                <w:spacing w:val="-4"/>
                <w:lang w:val="en-GB"/>
              </w:rPr>
              <w:t xml:space="preserve">Short term expectations of businesses in the whole economy in the area of employment following the optimistic outlooks from the beginning of the last year </w:t>
            </w:r>
            <w:r w:rsidR="001C3855" w:rsidRPr="00D160FB">
              <w:rPr>
                <w:color w:val="0D0D0D" w:themeColor="text1" w:themeTint="F2"/>
                <w:spacing w:val="-4"/>
                <w:lang w:val="en-GB"/>
              </w:rPr>
              <w:t>(</w:t>
            </w:r>
            <w:r w:rsidRPr="00D160FB">
              <w:rPr>
                <w:color w:val="0D0D0D" w:themeColor="text1" w:themeTint="F2"/>
                <w:spacing w:val="-4"/>
                <w:lang w:val="en-GB"/>
              </w:rPr>
              <w:t xml:space="preserve">when it was the most favourable since summer </w:t>
            </w:r>
            <w:r w:rsidR="001C3855" w:rsidRPr="00D160FB">
              <w:rPr>
                <w:color w:val="0D0D0D" w:themeColor="text1" w:themeTint="F2"/>
                <w:spacing w:val="-4"/>
                <w:lang w:val="en-GB"/>
              </w:rPr>
              <w:t xml:space="preserve">2019) </w:t>
            </w:r>
            <w:r w:rsidRPr="00D160FB">
              <w:rPr>
                <w:color w:val="0D0D0D" w:themeColor="text1" w:themeTint="F2"/>
                <w:spacing w:val="-4"/>
                <w:lang w:val="en-GB"/>
              </w:rPr>
              <w:t xml:space="preserve">gradually slightly worsened. </w:t>
            </w:r>
            <w:r w:rsidR="00971CDA" w:rsidRPr="00D160FB">
              <w:rPr>
                <w:color w:val="0D0D0D" w:themeColor="text1" w:themeTint="F2"/>
                <w:spacing w:val="-4"/>
                <w:lang w:val="en-GB"/>
              </w:rPr>
              <w:t xml:space="preserve">In February </w:t>
            </w:r>
            <w:r w:rsidR="001C3855" w:rsidRPr="00D160FB">
              <w:rPr>
                <w:color w:val="0D0D0D" w:themeColor="text1" w:themeTint="F2"/>
                <w:spacing w:val="-4"/>
                <w:lang w:val="en-GB"/>
              </w:rPr>
              <w:t>2023</w:t>
            </w:r>
            <w:r w:rsidR="00971CDA" w:rsidRPr="00D160FB">
              <w:rPr>
                <w:color w:val="0D0D0D" w:themeColor="text1" w:themeTint="F2"/>
                <w:spacing w:val="-4"/>
                <w:lang w:val="en-GB"/>
              </w:rPr>
              <w:t xml:space="preserve">, it descended to the lowest level since March </w:t>
            </w:r>
            <w:r w:rsidR="001C3855" w:rsidRPr="00D160FB">
              <w:rPr>
                <w:color w:val="0D0D0D" w:themeColor="text1" w:themeTint="F2"/>
                <w:spacing w:val="-4"/>
                <w:lang w:val="en-GB"/>
              </w:rPr>
              <w:t>2021 (</w:t>
            </w:r>
            <w:r w:rsidR="00C32290">
              <w:rPr>
                <w:color w:val="0D0D0D" w:themeColor="text1" w:themeTint="F2"/>
                <w:spacing w:val="-4"/>
                <w:lang w:val="en-GB"/>
              </w:rPr>
              <w:t>when the counter-</w:t>
            </w:r>
            <w:r w:rsidR="00971CDA" w:rsidRPr="00D160FB">
              <w:rPr>
                <w:color w:val="0D0D0D" w:themeColor="text1" w:themeTint="F2"/>
                <w:spacing w:val="-4"/>
                <w:lang w:val="en-GB"/>
              </w:rPr>
              <w:t>pandemic measures peaked</w:t>
            </w:r>
            <w:r w:rsidR="001C3855" w:rsidRPr="00D160FB">
              <w:rPr>
                <w:color w:val="0D0D0D" w:themeColor="text1" w:themeTint="F2"/>
                <w:spacing w:val="-4"/>
                <w:lang w:val="en-GB"/>
              </w:rPr>
              <w:t>).</w:t>
            </w:r>
            <w:r w:rsidR="00971CDA" w:rsidRPr="00D160FB">
              <w:rPr>
                <w:color w:val="0D0D0D" w:themeColor="text1" w:themeTint="F2"/>
                <w:spacing w:val="-4"/>
                <w:lang w:val="en-GB"/>
              </w:rPr>
              <w:t xml:space="preserve"> The negative tendencies were evidence</w:t>
            </w:r>
            <w:r w:rsidR="00C32290">
              <w:rPr>
                <w:color w:val="0D0D0D" w:themeColor="text1" w:themeTint="F2"/>
                <w:spacing w:val="-4"/>
                <w:lang w:val="en-GB"/>
              </w:rPr>
              <w:t>d</w:t>
            </w:r>
            <w:r w:rsidR="00971CDA" w:rsidRPr="00D160FB">
              <w:rPr>
                <w:color w:val="0D0D0D" w:themeColor="text1" w:themeTint="F2"/>
                <w:spacing w:val="-4"/>
                <w:lang w:val="en-GB"/>
              </w:rPr>
              <w:t xml:space="preserve"> mainly in industry and construction. The employment outlooks in retail as well as services did not change much for the majority of the last year</w:t>
            </w:r>
            <w:r w:rsidR="001C3855" w:rsidRPr="00D160FB">
              <w:rPr>
                <w:color w:val="0D0D0D" w:themeColor="text1" w:themeTint="F2"/>
                <w:spacing w:val="-4"/>
                <w:lang w:val="en-GB"/>
              </w:rPr>
              <w:t xml:space="preserve">, </w:t>
            </w:r>
            <w:r w:rsidR="00971CDA" w:rsidRPr="00D160FB">
              <w:rPr>
                <w:color w:val="0D0D0D" w:themeColor="text1" w:themeTint="F2"/>
                <w:spacing w:val="-4"/>
                <w:lang w:val="en-GB"/>
              </w:rPr>
              <w:t xml:space="preserve">at the turn of years </w:t>
            </w:r>
            <w:r w:rsidR="001C3855" w:rsidRPr="00D160FB">
              <w:rPr>
                <w:color w:val="0D0D0D" w:themeColor="text1" w:themeTint="F2"/>
                <w:spacing w:val="-4"/>
                <w:lang w:val="en-GB"/>
              </w:rPr>
              <w:t>2022 a</w:t>
            </w:r>
            <w:r w:rsidR="00971CDA" w:rsidRPr="00D160FB">
              <w:rPr>
                <w:color w:val="0D0D0D" w:themeColor="text1" w:themeTint="F2"/>
                <w:spacing w:val="-4"/>
                <w:lang w:val="en-GB"/>
              </w:rPr>
              <w:t>nd</w:t>
            </w:r>
            <w:r w:rsidR="001C3855" w:rsidRPr="00D160FB">
              <w:rPr>
                <w:color w:val="0D0D0D" w:themeColor="text1" w:themeTint="F2"/>
                <w:spacing w:val="-4"/>
                <w:lang w:val="en-GB"/>
              </w:rPr>
              <w:t xml:space="preserve"> 2023</w:t>
            </w:r>
            <w:r w:rsidR="00971CDA" w:rsidRPr="00D160FB">
              <w:rPr>
                <w:color w:val="0D0D0D" w:themeColor="text1" w:themeTint="F2"/>
                <w:spacing w:val="-4"/>
                <w:lang w:val="en-GB"/>
              </w:rPr>
              <w:t xml:space="preserve"> however the worsening manifested also here. </w:t>
            </w:r>
            <w:r w:rsidR="00025428" w:rsidRPr="00D160FB">
              <w:rPr>
                <w:color w:val="0D0D0D" w:themeColor="text1" w:themeTint="F2"/>
                <w:spacing w:val="-4"/>
                <w:lang w:val="en-GB"/>
              </w:rPr>
              <w:t>Only businesses in trade preserved mild optimism</w:t>
            </w:r>
            <w:r w:rsidR="001C3855" w:rsidRPr="00D160FB">
              <w:rPr>
                <w:color w:val="0D0D0D" w:themeColor="text1" w:themeTint="F2"/>
                <w:spacing w:val="-4"/>
                <w:lang w:val="en-GB"/>
              </w:rPr>
              <w:t xml:space="preserve">, </w:t>
            </w:r>
            <w:r w:rsidR="00025428" w:rsidRPr="00D160FB">
              <w:rPr>
                <w:color w:val="0D0D0D" w:themeColor="text1" w:themeTint="F2"/>
                <w:spacing w:val="-4"/>
                <w:lang w:val="en-GB"/>
              </w:rPr>
              <w:t xml:space="preserve">which contrasted with very low consumer confidence. 10% of firms planned reduction of the level of employees (in the </w:t>
            </w:r>
            <w:r w:rsidR="00C32290">
              <w:rPr>
                <w:color w:val="0D0D0D" w:themeColor="text1" w:themeTint="F2"/>
                <w:spacing w:val="-4"/>
                <w:lang w:val="en-GB"/>
              </w:rPr>
              <w:t xml:space="preserve">nearest three months) </w:t>
            </w:r>
            <w:r w:rsidR="00025428" w:rsidRPr="00D160FB">
              <w:rPr>
                <w:color w:val="0D0D0D" w:themeColor="text1" w:themeTint="F2"/>
                <w:spacing w:val="-4"/>
                <w:lang w:val="en-GB"/>
              </w:rPr>
              <w:t>in January</w:t>
            </w:r>
            <w:r w:rsidR="00C32290">
              <w:rPr>
                <w:color w:val="0D0D0D" w:themeColor="text1" w:themeTint="F2"/>
                <w:spacing w:val="-4"/>
                <w:lang w:val="en-GB"/>
              </w:rPr>
              <w:t xml:space="preserve"> 2023</w:t>
            </w:r>
            <w:r w:rsidR="00025428" w:rsidRPr="00D160FB">
              <w:rPr>
                <w:color w:val="0D0D0D" w:themeColor="text1" w:themeTint="F2"/>
                <w:spacing w:val="-4"/>
                <w:lang w:val="en-GB"/>
              </w:rPr>
              <w:t xml:space="preserve"> (similar proportion presumed in contrast to create new positions), </w:t>
            </w:r>
            <w:r w:rsidR="00025428" w:rsidRPr="00D160FB">
              <w:rPr>
                <w:color w:val="0D0D0D" w:themeColor="text1" w:themeTint="F2"/>
                <w:spacing w:val="-4"/>
                <w:lang w:val="en-GB"/>
              </w:rPr>
              <w:lastRenderedPageBreak/>
              <w:t xml:space="preserve">13% in industry, 18% in construction and </w:t>
            </w:r>
            <w:r w:rsidR="001C3855" w:rsidRPr="00D160FB">
              <w:rPr>
                <w:color w:val="0D0D0D" w:themeColor="text1" w:themeTint="F2"/>
                <w:spacing w:val="-4"/>
                <w:lang w:val="en-GB"/>
              </w:rPr>
              <w:t>21%</w:t>
            </w:r>
            <w:r w:rsidR="001C3855" w:rsidRPr="00D160FB">
              <w:rPr>
                <w:rStyle w:val="Znakapoznpodarou"/>
                <w:color w:val="0D0D0D" w:themeColor="text1" w:themeTint="F2"/>
                <w:spacing w:val="-4"/>
                <w:lang w:val="en-GB"/>
              </w:rPr>
              <w:footnoteReference w:id="8"/>
            </w:r>
            <w:r w:rsidR="00025428" w:rsidRPr="00D160FB">
              <w:rPr>
                <w:color w:val="0D0D0D" w:themeColor="text1" w:themeTint="F2"/>
                <w:spacing w:val="-4"/>
                <w:lang w:val="en-GB"/>
              </w:rPr>
              <w:t xml:space="preserve"> in services</w:t>
            </w:r>
            <w:r w:rsidR="001C3855" w:rsidRPr="00D160FB">
              <w:rPr>
                <w:color w:val="0D0D0D" w:themeColor="text1" w:themeTint="F2"/>
                <w:spacing w:val="-4"/>
                <w:lang w:val="en-GB"/>
              </w:rPr>
              <w:t xml:space="preserve">. </w:t>
            </w:r>
            <w:r w:rsidR="00971CDA" w:rsidRPr="00D160FB">
              <w:rPr>
                <w:color w:val="0D0D0D" w:themeColor="text1" w:themeTint="F2"/>
                <w:spacing w:val="-4"/>
                <w:lang w:val="en-GB"/>
              </w:rPr>
              <w:t xml:space="preserve">It cannot be omitted, that the situation </w:t>
            </w:r>
            <w:r w:rsidR="00025428" w:rsidRPr="00D160FB">
              <w:rPr>
                <w:color w:val="0D0D0D" w:themeColor="text1" w:themeTint="F2"/>
                <w:spacing w:val="-4"/>
                <w:lang w:val="en-GB"/>
              </w:rPr>
              <w:t>differed at the level of subbranches within industry as well as services</w:t>
            </w:r>
            <w:r w:rsidR="001C3855" w:rsidRPr="00D160FB">
              <w:rPr>
                <w:rStyle w:val="Znakapoznpodarou"/>
                <w:color w:val="0D0D0D" w:themeColor="text1" w:themeTint="F2"/>
                <w:spacing w:val="-4"/>
                <w:lang w:val="en-GB"/>
              </w:rPr>
              <w:footnoteReference w:id="9"/>
            </w:r>
            <w:r w:rsidR="001C3855" w:rsidRPr="00D160FB">
              <w:rPr>
                <w:color w:val="0D0D0D" w:themeColor="text1" w:themeTint="F2"/>
                <w:spacing w:val="-4"/>
                <w:lang w:val="en-GB"/>
              </w:rPr>
              <w:t>.</w:t>
            </w:r>
            <w:r w:rsidR="00AB7E01" w:rsidRPr="00D160FB">
              <w:rPr>
                <w:color w:val="0D0D0D" w:themeColor="text1" w:themeTint="F2"/>
                <w:spacing w:val="-4"/>
                <w:lang w:val="en-GB"/>
              </w:rPr>
              <w:t xml:space="preserve"> </w:t>
            </w:r>
            <w:r w:rsidR="001C3855" w:rsidRPr="00D160FB">
              <w:rPr>
                <w:color w:val="0D0D0D" w:themeColor="text1" w:themeTint="F2"/>
                <w:spacing w:val="-4"/>
                <w:lang w:val="en-GB"/>
              </w:rPr>
              <w:t xml:space="preserve"> </w:t>
            </w:r>
            <w:r w:rsidR="00EF6A17" w:rsidRPr="00D160FB">
              <w:rPr>
                <w:color w:val="0D0D0D" w:themeColor="text1" w:themeTint="F2"/>
                <w:spacing w:val="-4"/>
                <w:lang w:val="en-GB"/>
              </w:rPr>
              <w:t xml:space="preserve">Due to the effect of deterioration of the overall economic outlooks as well as unexpectedly larger inflow of persons form Ukraine to the domestic labour market, the share of businesses which consider the shortage of labour force </w:t>
            </w:r>
            <w:r w:rsidR="00B647F4">
              <w:rPr>
                <w:color w:val="0D0D0D" w:themeColor="text1" w:themeTint="F2"/>
                <w:spacing w:val="-4"/>
                <w:lang w:val="en-GB"/>
              </w:rPr>
              <w:t xml:space="preserve">as a </w:t>
            </w:r>
            <w:r w:rsidR="00EF6A17" w:rsidRPr="00D160FB">
              <w:rPr>
                <w:color w:val="0D0D0D" w:themeColor="text1" w:themeTint="F2"/>
                <w:spacing w:val="-4"/>
                <w:lang w:val="en-GB"/>
              </w:rPr>
              <w:t>one of the significant growth barriers, dropped during the last year in the majority of the main branches</w:t>
            </w:r>
            <w:r w:rsidR="001C3855" w:rsidRPr="00D160FB">
              <w:rPr>
                <w:color w:val="0D0D0D" w:themeColor="text1" w:themeTint="F2"/>
                <w:spacing w:val="-4"/>
                <w:lang w:val="en-GB"/>
              </w:rPr>
              <w:t xml:space="preserve"> (</w:t>
            </w:r>
            <w:r w:rsidR="00AB7E01" w:rsidRPr="00D160FB">
              <w:rPr>
                <w:color w:val="0D0D0D" w:themeColor="text1" w:themeTint="F2"/>
                <w:spacing w:val="-4"/>
                <w:lang w:val="en-GB"/>
              </w:rPr>
              <w:t xml:space="preserve">e.g. 20% of businesses marked this </w:t>
            </w:r>
            <w:r w:rsidR="00B647F4">
              <w:rPr>
                <w:color w:val="0D0D0D" w:themeColor="text1" w:themeTint="F2"/>
                <w:spacing w:val="-4"/>
                <w:lang w:val="en-GB"/>
              </w:rPr>
              <w:t>barrier in services in January 2022</w:t>
            </w:r>
            <w:r w:rsidR="001C3855" w:rsidRPr="00D160FB">
              <w:rPr>
                <w:color w:val="0D0D0D" w:themeColor="text1" w:themeTint="F2"/>
                <w:spacing w:val="-4"/>
                <w:lang w:val="en-GB"/>
              </w:rPr>
              <w:t xml:space="preserve">, </w:t>
            </w:r>
            <w:r w:rsidR="00AB7E01" w:rsidRPr="00D160FB">
              <w:rPr>
                <w:color w:val="0D0D0D" w:themeColor="text1" w:themeTint="F2"/>
                <w:spacing w:val="-4"/>
                <w:lang w:val="en-GB"/>
              </w:rPr>
              <w:t>only 9% one year later</w:t>
            </w:r>
            <w:r w:rsidR="001C3855" w:rsidRPr="00D160FB">
              <w:rPr>
                <w:color w:val="0D0D0D" w:themeColor="text1" w:themeTint="F2"/>
                <w:spacing w:val="-4"/>
                <w:lang w:val="en-GB"/>
              </w:rPr>
              <w:t xml:space="preserve">). </w:t>
            </w:r>
            <w:r w:rsidR="00EF6A17" w:rsidRPr="00D160FB">
              <w:rPr>
                <w:color w:val="0D0D0D" w:themeColor="text1" w:themeTint="F2"/>
                <w:spacing w:val="-4"/>
                <w:lang w:val="en-GB"/>
              </w:rPr>
              <w:t xml:space="preserve">This issue however still remained pressing in construction, </w:t>
            </w:r>
            <w:r w:rsidR="00AB7E01" w:rsidRPr="00D160FB">
              <w:rPr>
                <w:color w:val="0D0D0D" w:themeColor="text1" w:themeTint="F2"/>
                <w:spacing w:val="-4"/>
                <w:lang w:val="en-GB"/>
              </w:rPr>
              <w:t xml:space="preserve">because it limited more than 40% of businesses at the beginning of year </w:t>
            </w:r>
            <w:r w:rsidR="00EF6A17" w:rsidRPr="00D160FB">
              <w:rPr>
                <w:color w:val="0D0D0D" w:themeColor="text1" w:themeTint="F2"/>
                <w:spacing w:val="-4"/>
                <w:lang w:val="en-GB"/>
              </w:rPr>
              <w:t>2</w:t>
            </w:r>
            <w:r w:rsidR="00AB7E01" w:rsidRPr="00D160FB">
              <w:rPr>
                <w:color w:val="0D0D0D" w:themeColor="text1" w:themeTint="F2"/>
                <w:spacing w:val="-4"/>
                <w:lang w:val="en-GB"/>
              </w:rPr>
              <w:t xml:space="preserve">023 and still constituted a key growth barrier. </w:t>
            </w:r>
          </w:p>
        </w:tc>
      </w:tr>
      <w:tr w:rsidR="00B646BC" w:rsidRPr="00D160FB" w14:paraId="0275EC1B" w14:textId="77777777" w:rsidTr="003D13A6">
        <w:trPr>
          <w:trHeight w:val="155"/>
        </w:trPr>
        <w:tc>
          <w:tcPr>
            <w:tcW w:w="1722" w:type="dxa"/>
            <w:vMerge w:val="restart"/>
            <w:shd w:val="clear" w:color="auto" w:fill="auto"/>
            <w:tcMar>
              <w:left w:w="0" w:type="dxa"/>
            </w:tcMar>
          </w:tcPr>
          <w:p w14:paraId="3A6C95C7" w14:textId="77777777" w:rsidR="001C3855" w:rsidRPr="00D160FB" w:rsidRDefault="001C3855" w:rsidP="00C8019E">
            <w:pPr>
              <w:pStyle w:val="Marginlie"/>
              <w:spacing w:after="120"/>
              <w:rPr>
                <w:spacing w:val="-4"/>
                <w:lang w:val="en-GB"/>
              </w:rPr>
            </w:pPr>
          </w:p>
        </w:tc>
        <w:tc>
          <w:tcPr>
            <w:tcW w:w="202" w:type="dxa"/>
            <w:vMerge w:val="restart"/>
            <w:shd w:val="clear" w:color="auto" w:fill="auto"/>
            <w:tcMar>
              <w:left w:w="0" w:type="dxa"/>
            </w:tcMar>
          </w:tcPr>
          <w:p w14:paraId="72BACC15" w14:textId="77777777" w:rsidR="001C3855" w:rsidRPr="00D160FB" w:rsidRDefault="001C3855" w:rsidP="00C8019E">
            <w:pPr>
              <w:pStyle w:val="Textpoznpodarou"/>
              <w:spacing w:after="120"/>
              <w:jc w:val="both"/>
              <w:rPr>
                <w:spacing w:val="-4"/>
                <w:lang w:val="en-GB"/>
              </w:rPr>
            </w:pPr>
          </w:p>
        </w:tc>
        <w:tc>
          <w:tcPr>
            <w:tcW w:w="7750" w:type="dxa"/>
            <w:shd w:val="clear" w:color="auto" w:fill="auto"/>
            <w:tcMar>
              <w:left w:w="0" w:type="dxa"/>
            </w:tcMar>
          </w:tcPr>
          <w:p w14:paraId="033424D7" w14:textId="51D18DEC" w:rsidR="001C3855" w:rsidRPr="00D160FB" w:rsidRDefault="00163885" w:rsidP="00C8019E">
            <w:pPr>
              <w:spacing w:after="0"/>
              <w:rPr>
                <w:spacing w:val="-2"/>
                <w:lang w:val="en-GB"/>
              </w:rPr>
            </w:pPr>
            <w:r w:rsidRPr="00D160FB">
              <w:rPr>
                <w:rFonts w:cs="Arial"/>
                <w:b/>
                <w:bCs/>
                <w:color w:val="000000"/>
                <w:szCs w:val="20"/>
                <w:lang w:val="en-GB"/>
              </w:rPr>
              <w:t xml:space="preserve">Chart </w:t>
            </w:r>
            <w:r w:rsidR="008F525A" w:rsidRPr="00D160FB">
              <w:rPr>
                <w:rFonts w:cs="Arial"/>
                <w:b/>
                <w:bCs/>
                <w:color w:val="000000"/>
                <w:szCs w:val="20"/>
                <w:lang w:val="en-GB"/>
              </w:rPr>
              <w:t>14</w:t>
            </w:r>
            <w:r w:rsidR="001C3855" w:rsidRPr="00D160FB">
              <w:rPr>
                <w:rFonts w:cs="Arial"/>
                <w:b/>
                <w:bCs/>
                <w:color w:val="000000"/>
                <w:sz w:val="18"/>
                <w:szCs w:val="18"/>
                <w:lang w:val="en-GB"/>
              </w:rPr>
              <w:t xml:space="preserve"> </w:t>
            </w:r>
            <w:r w:rsidR="00A51A85" w:rsidRPr="00D160FB">
              <w:rPr>
                <w:rFonts w:cs="Arial"/>
                <w:b/>
                <w:bCs/>
                <w:color w:val="000000"/>
                <w:spacing w:val="-3"/>
                <w:szCs w:val="20"/>
                <w:lang w:val="en-GB"/>
              </w:rPr>
              <w:t xml:space="preserve">Total employment </w:t>
            </w:r>
            <w:r w:rsidR="00A51A85" w:rsidRPr="00D160FB">
              <w:rPr>
                <w:rFonts w:cs="Arial"/>
                <w:color w:val="000000"/>
                <w:spacing w:val="-3"/>
                <w:szCs w:val="20"/>
                <w:lang w:val="en-GB"/>
              </w:rPr>
              <w:t>(year-on-year in %),</w:t>
            </w:r>
            <w:r w:rsidR="00A51A85" w:rsidRPr="00D160FB">
              <w:rPr>
                <w:rFonts w:cs="Arial"/>
                <w:b/>
                <w:bCs/>
                <w:color w:val="000000"/>
                <w:spacing w:val="-3"/>
                <w:szCs w:val="20"/>
                <w:lang w:val="en-GB"/>
              </w:rPr>
              <w:t xml:space="preserve"> contributions of branches to year-on-year change of employment </w:t>
            </w:r>
            <w:r w:rsidR="00A51A85" w:rsidRPr="00D160FB">
              <w:rPr>
                <w:rFonts w:cs="Arial"/>
                <w:color w:val="000000"/>
                <w:spacing w:val="-3"/>
                <w:szCs w:val="20"/>
                <w:lang w:val="en-GB"/>
              </w:rPr>
              <w:t>(in p.p.)</w:t>
            </w:r>
            <w:r w:rsidR="00A51A85" w:rsidRPr="00D160FB">
              <w:rPr>
                <w:rFonts w:cs="Arial"/>
                <w:b/>
                <w:bCs/>
                <w:color w:val="000000"/>
                <w:spacing w:val="-3"/>
                <w:szCs w:val="20"/>
                <w:lang w:val="en-GB"/>
              </w:rPr>
              <w:t xml:space="preserve"> and expectations of employment development</w:t>
            </w:r>
            <w:r w:rsidR="00A51A85" w:rsidRPr="00D160FB">
              <w:rPr>
                <w:rFonts w:cs="Arial"/>
                <w:color w:val="000000"/>
                <w:spacing w:val="-3"/>
                <w:szCs w:val="20"/>
                <w:lang w:val="en-GB"/>
              </w:rPr>
              <w:t xml:space="preserve"> (balance in p. p.) </w:t>
            </w:r>
          </w:p>
        </w:tc>
      </w:tr>
      <w:tr w:rsidR="00B646BC" w:rsidRPr="00D160FB" w14:paraId="4DD0CFB9" w14:textId="77777777" w:rsidTr="003D13A6">
        <w:tblPrEx>
          <w:tblCellMar>
            <w:left w:w="70" w:type="dxa"/>
            <w:right w:w="70" w:type="dxa"/>
          </w:tblCellMar>
        </w:tblPrEx>
        <w:trPr>
          <w:trHeight w:val="155"/>
        </w:trPr>
        <w:tc>
          <w:tcPr>
            <w:tcW w:w="1722" w:type="dxa"/>
            <w:vMerge/>
          </w:tcPr>
          <w:p w14:paraId="00EF6A6F" w14:textId="77777777" w:rsidR="001C3855" w:rsidRPr="00D160FB" w:rsidRDefault="001C3855" w:rsidP="00C8019E">
            <w:pPr>
              <w:pStyle w:val="Marginlie"/>
              <w:spacing w:after="120"/>
              <w:rPr>
                <w:spacing w:val="-4"/>
                <w:lang w:val="en-GB"/>
              </w:rPr>
            </w:pPr>
          </w:p>
        </w:tc>
        <w:tc>
          <w:tcPr>
            <w:tcW w:w="202" w:type="dxa"/>
            <w:vMerge/>
          </w:tcPr>
          <w:p w14:paraId="7BD2C549" w14:textId="77777777" w:rsidR="001C3855" w:rsidRPr="00D160FB" w:rsidRDefault="001C3855" w:rsidP="00C8019E">
            <w:pPr>
              <w:pStyle w:val="Textpoznpodarou"/>
              <w:spacing w:after="120"/>
              <w:jc w:val="both"/>
              <w:rPr>
                <w:spacing w:val="-4"/>
                <w:lang w:val="en-GB"/>
              </w:rPr>
            </w:pPr>
          </w:p>
        </w:tc>
        <w:tc>
          <w:tcPr>
            <w:tcW w:w="7750" w:type="dxa"/>
            <w:shd w:val="clear" w:color="auto" w:fill="auto"/>
          </w:tcPr>
          <w:p w14:paraId="5FE77718" w14:textId="523701E9" w:rsidR="001C3855" w:rsidRPr="00D160FB" w:rsidRDefault="00D328E1" w:rsidP="00D328E1">
            <w:pPr>
              <w:spacing w:after="0"/>
              <w:rPr>
                <w:lang w:val="en-GB"/>
              </w:rPr>
            </w:pPr>
            <w:r>
              <w:rPr>
                <w:noProof/>
              </w:rPr>
              <w:drawing>
                <wp:inline distT="0" distB="0" distL="0" distR="0" wp14:anchorId="235130FF" wp14:editId="2957CFF9">
                  <wp:extent cx="4664075" cy="3895725"/>
                  <wp:effectExtent l="0" t="0" r="317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646BC" w:rsidRPr="00D160FB" w14:paraId="2E7971A5" w14:textId="77777777" w:rsidTr="003D13A6">
        <w:trPr>
          <w:trHeight w:val="671"/>
        </w:trPr>
        <w:tc>
          <w:tcPr>
            <w:tcW w:w="1722" w:type="dxa"/>
            <w:vMerge/>
            <w:tcMar>
              <w:left w:w="0" w:type="dxa"/>
            </w:tcMar>
          </w:tcPr>
          <w:p w14:paraId="5EBDDDA6" w14:textId="77777777" w:rsidR="001C3855" w:rsidRPr="00D160FB" w:rsidRDefault="001C3855" w:rsidP="00C8019E">
            <w:pPr>
              <w:pStyle w:val="Marginlie"/>
              <w:spacing w:after="120"/>
              <w:rPr>
                <w:spacing w:val="-4"/>
                <w:lang w:val="en-GB"/>
              </w:rPr>
            </w:pPr>
          </w:p>
        </w:tc>
        <w:tc>
          <w:tcPr>
            <w:tcW w:w="202" w:type="dxa"/>
            <w:vMerge/>
            <w:tcMar>
              <w:left w:w="0" w:type="dxa"/>
            </w:tcMar>
          </w:tcPr>
          <w:p w14:paraId="34ED034B" w14:textId="77777777" w:rsidR="001C3855" w:rsidRPr="00D160FB" w:rsidRDefault="001C3855" w:rsidP="00C8019E">
            <w:pPr>
              <w:pStyle w:val="Textpoznpodarou"/>
              <w:spacing w:after="120"/>
              <w:jc w:val="both"/>
              <w:rPr>
                <w:spacing w:val="-4"/>
                <w:lang w:val="en-GB"/>
              </w:rPr>
            </w:pPr>
          </w:p>
        </w:tc>
        <w:tc>
          <w:tcPr>
            <w:tcW w:w="7750" w:type="dxa"/>
            <w:shd w:val="clear" w:color="auto" w:fill="auto"/>
            <w:tcMar>
              <w:left w:w="0" w:type="dxa"/>
            </w:tcMar>
          </w:tcPr>
          <w:p w14:paraId="1887B0EA" w14:textId="7F99E51A" w:rsidR="00AD4876" w:rsidRPr="00D160FB" w:rsidRDefault="00AD4876" w:rsidP="00D328E1">
            <w:pPr>
              <w:spacing w:after="0"/>
              <w:rPr>
                <w:rFonts w:cs="Arial"/>
                <w:sz w:val="14"/>
                <w:szCs w:val="14"/>
                <w:lang w:val="en-GB"/>
              </w:rPr>
            </w:pPr>
            <w:r w:rsidRPr="00D160FB">
              <w:rPr>
                <w:rFonts w:cs="Arial"/>
                <w:color w:val="0D0D0D" w:themeColor="text1" w:themeTint="F2"/>
                <w:spacing w:val="-2"/>
                <w:sz w:val="14"/>
                <w:szCs w:val="14"/>
                <w:lang w:val="en-GB"/>
              </w:rPr>
              <w:t>*</w:t>
            </w:r>
            <w:r w:rsidRPr="00D160FB">
              <w:rPr>
                <w:rFonts w:cs="Arial"/>
                <w:sz w:val="14"/>
                <w:szCs w:val="14"/>
                <w:lang w:val="en-GB"/>
              </w:rPr>
              <w:t xml:space="preserve"> Mining and energetics; Financial and insurance activities; Real estate activities; Arts, entertainment and recreation activities. </w:t>
            </w:r>
          </w:p>
          <w:p w14:paraId="289AD2E8" w14:textId="77777777" w:rsidR="00AD4876" w:rsidRPr="00D160FB" w:rsidRDefault="00AD4876" w:rsidP="00D328E1">
            <w:pPr>
              <w:spacing w:after="0"/>
              <w:rPr>
                <w:rFonts w:cs="Arial"/>
                <w:sz w:val="14"/>
                <w:szCs w:val="14"/>
                <w:lang w:val="en-GB"/>
              </w:rPr>
            </w:pPr>
            <w:r w:rsidRPr="00D160FB">
              <w:rPr>
                <w:rFonts w:cs="Arial"/>
                <w:sz w:val="14"/>
                <w:szCs w:val="14"/>
                <w:lang w:val="en-GB"/>
              </w:rPr>
              <w:t xml:space="preserve">Note: Balance of expectations expresses the difference in p.p. between categories growth vs. decrease of employment in the nearest three months. Data are seasonally adjusted and relate to the second month of the given quarter. </w:t>
            </w:r>
          </w:p>
          <w:p w14:paraId="59573FD2" w14:textId="2BE659A0" w:rsidR="00AD4876" w:rsidRPr="00D160FB" w:rsidRDefault="00AD4876" w:rsidP="00D328E1">
            <w:pPr>
              <w:spacing w:after="0"/>
              <w:rPr>
                <w:rFonts w:cs="Arial"/>
                <w:sz w:val="14"/>
                <w:szCs w:val="14"/>
                <w:lang w:val="en-GB"/>
              </w:rPr>
            </w:pPr>
            <w:r w:rsidRPr="00D160FB">
              <w:rPr>
                <w:rFonts w:cs="Arial"/>
                <w:sz w:val="14"/>
                <w:szCs w:val="14"/>
                <w:lang w:val="en-GB"/>
              </w:rPr>
              <w:t>Source: CZSO, Eurostat (national accounts, business cycle surveys)</w:t>
            </w:r>
          </w:p>
          <w:p w14:paraId="635AD3BA" w14:textId="200D2004" w:rsidR="00A51A85" w:rsidRPr="00D160FB" w:rsidRDefault="00A51A85" w:rsidP="00D328E1">
            <w:pPr>
              <w:spacing w:after="0"/>
              <w:rPr>
                <w:rFonts w:cs="Arial"/>
                <w:b/>
                <w:bCs/>
                <w:color w:val="0D0D0D" w:themeColor="text1" w:themeTint="F2"/>
                <w:spacing w:val="-2"/>
                <w:sz w:val="16"/>
                <w:szCs w:val="16"/>
                <w:lang w:val="en-GB"/>
              </w:rPr>
            </w:pPr>
          </w:p>
        </w:tc>
      </w:tr>
      <w:tr w:rsidR="00B646BC" w:rsidRPr="00D160FB" w14:paraId="6D9A12E6" w14:textId="77777777" w:rsidTr="003D13A6">
        <w:trPr>
          <w:trHeight w:val="145"/>
        </w:trPr>
        <w:tc>
          <w:tcPr>
            <w:tcW w:w="1722" w:type="dxa"/>
            <w:shd w:val="clear" w:color="auto" w:fill="auto"/>
            <w:tcMar>
              <w:left w:w="0" w:type="dxa"/>
            </w:tcMar>
          </w:tcPr>
          <w:p w14:paraId="04099013" w14:textId="5181B1F1" w:rsidR="001C3855" w:rsidRPr="00D160FB" w:rsidRDefault="004C08DE" w:rsidP="00C8019E">
            <w:pPr>
              <w:pStyle w:val="Marginlie"/>
              <w:rPr>
                <w:color w:val="0D0D0D" w:themeColor="text1" w:themeTint="F2"/>
                <w:spacing w:val="-5"/>
                <w:lang w:val="en-GB"/>
              </w:rPr>
            </w:pPr>
            <w:r w:rsidRPr="00D160FB">
              <w:rPr>
                <w:color w:val="0D0D0D" w:themeColor="text1" w:themeTint="F2"/>
                <w:spacing w:val="-5"/>
                <w:lang w:val="en-GB"/>
              </w:rPr>
              <w:t xml:space="preserve">General unemployment rate slightly fluctuated near historical minimum last year. Number of long-term unemployed kept falling. </w:t>
            </w:r>
          </w:p>
          <w:p w14:paraId="091CC381" w14:textId="2C9871F5" w:rsidR="001C3855" w:rsidRPr="00D160FB" w:rsidRDefault="00A032E2" w:rsidP="00C8019E">
            <w:pPr>
              <w:pStyle w:val="Marginlie"/>
              <w:rPr>
                <w:color w:val="0D0D0D" w:themeColor="text1" w:themeTint="F2"/>
                <w:spacing w:val="-5"/>
                <w:lang w:val="en-GB"/>
              </w:rPr>
            </w:pPr>
            <w:r w:rsidRPr="00D160FB">
              <w:rPr>
                <w:color w:val="0D0D0D" w:themeColor="text1" w:themeTint="F2"/>
                <w:spacing w:val="-5"/>
                <w:lang w:val="en-GB"/>
              </w:rPr>
              <w:lastRenderedPageBreak/>
              <w:t xml:space="preserve">Concerns of people regarding the growth of unemployment were rising for the most part of the last year. </w:t>
            </w:r>
          </w:p>
        </w:tc>
        <w:tc>
          <w:tcPr>
            <w:tcW w:w="202" w:type="dxa"/>
            <w:shd w:val="clear" w:color="auto" w:fill="auto"/>
            <w:tcMar>
              <w:left w:w="0" w:type="dxa"/>
            </w:tcMar>
          </w:tcPr>
          <w:p w14:paraId="2F84DCCB" w14:textId="77777777" w:rsidR="001C3855" w:rsidRPr="00D160FB" w:rsidRDefault="001C3855" w:rsidP="00C8019E">
            <w:pPr>
              <w:pStyle w:val="Textpoznpodarou"/>
              <w:spacing w:after="120"/>
              <w:jc w:val="both"/>
              <w:rPr>
                <w:color w:val="0D0D0D" w:themeColor="text1" w:themeTint="F2"/>
                <w:spacing w:val="-4"/>
                <w:lang w:val="en-GB"/>
              </w:rPr>
            </w:pPr>
          </w:p>
        </w:tc>
        <w:tc>
          <w:tcPr>
            <w:tcW w:w="7750" w:type="dxa"/>
            <w:shd w:val="clear" w:color="auto" w:fill="auto"/>
            <w:tcMar>
              <w:left w:w="0" w:type="dxa"/>
            </w:tcMar>
          </w:tcPr>
          <w:p w14:paraId="171722AD" w14:textId="04686022" w:rsidR="001C3855" w:rsidRPr="00D160FB" w:rsidRDefault="004C08DE" w:rsidP="00C8019E">
            <w:pPr>
              <w:spacing w:after="200"/>
              <w:rPr>
                <w:color w:val="0D0D0D" w:themeColor="text1" w:themeTint="F2"/>
                <w:spacing w:val="-4"/>
                <w:lang w:val="en-GB"/>
              </w:rPr>
            </w:pPr>
            <w:r w:rsidRPr="00D160FB">
              <w:rPr>
                <w:color w:val="0D0D0D" w:themeColor="text1" w:themeTint="F2"/>
                <w:spacing w:val="-4"/>
                <w:lang w:val="en-GB"/>
              </w:rPr>
              <w:t>Decline of the general unemployment rate</w:t>
            </w:r>
            <w:r w:rsidR="001C3855" w:rsidRPr="00D160FB">
              <w:rPr>
                <w:rStyle w:val="Znakapoznpodarou"/>
                <w:color w:val="0D0D0D" w:themeColor="text1" w:themeTint="F2"/>
                <w:spacing w:val="-4"/>
                <w:lang w:val="en-GB"/>
              </w:rPr>
              <w:footnoteReference w:id="10"/>
            </w:r>
            <w:r w:rsidR="001C3855" w:rsidRPr="00D160FB">
              <w:rPr>
                <w:color w:val="0D0D0D" w:themeColor="text1" w:themeTint="F2"/>
                <w:spacing w:val="-4"/>
                <w:lang w:val="en-GB"/>
              </w:rPr>
              <w:t xml:space="preserve"> (</w:t>
            </w:r>
            <w:r w:rsidRPr="00D160FB">
              <w:rPr>
                <w:color w:val="0D0D0D" w:themeColor="text1" w:themeTint="F2"/>
                <w:spacing w:val="-4"/>
                <w:lang w:val="en-GB"/>
              </w:rPr>
              <w:t xml:space="preserve">persons aged </w:t>
            </w:r>
            <w:r w:rsidR="001C3855" w:rsidRPr="00D160FB">
              <w:rPr>
                <w:color w:val="0D0D0D" w:themeColor="text1" w:themeTint="F2"/>
                <w:spacing w:val="-4"/>
                <w:lang w:val="en-GB"/>
              </w:rPr>
              <w:t>15</w:t>
            </w:r>
            <w:r w:rsidRPr="00D160FB">
              <w:rPr>
                <w:color w:val="0D0D0D" w:themeColor="text1" w:themeTint="F2"/>
                <w:spacing w:val="-4"/>
                <w:lang w:val="en-GB"/>
              </w:rPr>
              <w:t xml:space="preserve"> to </w:t>
            </w:r>
            <w:r w:rsidR="001C3855" w:rsidRPr="00D160FB">
              <w:rPr>
                <w:color w:val="0D0D0D" w:themeColor="text1" w:themeTint="F2"/>
                <w:spacing w:val="-4"/>
                <w:lang w:val="en-GB"/>
              </w:rPr>
              <w:t>64 </w:t>
            </w:r>
            <w:r w:rsidRPr="00D160FB">
              <w:rPr>
                <w:color w:val="0D0D0D" w:themeColor="text1" w:themeTint="F2"/>
                <w:spacing w:val="-4"/>
                <w:lang w:val="en-GB"/>
              </w:rPr>
              <w:t>years</w:t>
            </w:r>
            <w:r w:rsidR="001C3855" w:rsidRPr="00D160FB">
              <w:rPr>
                <w:color w:val="0D0D0D" w:themeColor="text1" w:themeTint="F2"/>
                <w:spacing w:val="-4"/>
                <w:lang w:val="en-GB"/>
              </w:rPr>
              <w:t xml:space="preserve">) </w:t>
            </w:r>
            <w:r w:rsidRPr="00D160FB">
              <w:rPr>
                <w:color w:val="0D0D0D" w:themeColor="text1" w:themeTint="F2"/>
                <w:spacing w:val="-4"/>
                <w:lang w:val="en-GB"/>
              </w:rPr>
              <w:t xml:space="preserve">halted in the CR already at the beginning of year </w:t>
            </w:r>
            <w:r w:rsidR="001C3855" w:rsidRPr="00D160FB">
              <w:rPr>
                <w:color w:val="0D0D0D" w:themeColor="text1" w:themeTint="F2"/>
                <w:spacing w:val="-4"/>
                <w:lang w:val="en-GB"/>
              </w:rPr>
              <w:t xml:space="preserve">2022. </w:t>
            </w:r>
            <w:r w:rsidR="00350F0C" w:rsidRPr="00D160FB">
              <w:rPr>
                <w:color w:val="0D0D0D" w:themeColor="text1" w:themeTint="F2"/>
                <w:spacing w:val="-4"/>
                <w:lang w:val="en-GB"/>
              </w:rPr>
              <w:t xml:space="preserve">However neither a trend of its rising was apparent in the subsequent period. The data regarding the job applicants registered at labour offices (LO) also corresponded with this development, their course </w:t>
            </w:r>
            <w:r w:rsidR="00601191" w:rsidRPr="00D160FB">
              <w:rPr>
                <w:color w:val="0D0D0D" w:themeColor="text1" w:themeTint="F2"/>
                <w:spacing w:val="-4"/>
                <w:lang w:val="en-GB"/>
              </w:rPr>
              <w:t xml:space="preserve">matched the common seasonal </w:t>
            </w:r>
            <w:r w:rsidR="00601191" w:rsidRPr="00D160FB">
              <w:rPr>
                <w:color w:val="0D0D0D" w:themeColor="text1" w:themeTint="F2"/>
                <w:spacing w:val="-4"/>
                <w:lang w:val="en-GB"/>
              </w:rPr>
              <w:lastRenderedPageBreak/>
              <w:t>influences</w:t>
            </w:r>
            <w:r w:rsidR="001C3855" w:rsidRPr="00D160FB">
              <w:rPr>
                <w:rStyle w:val="Znakapoznpodarou"/>
                <w:color w:val="0D0D0D" w:themeColor="text1" w:themeTint="F2"/>
                <w:spacing w:val="-4"/>
                <w:lang w:val="en-GB"/>
              </w:rPr>
              <w:footnoteReference w:id="11"/>
            </w:r>
            <w:r w:rsidR="001C3855" w:rsidRPr="00D160FB">
              <w:rPr>
                <w:color w:val="0D0D0D" w:themeColor="text1" w:themeTint="F2"/>
                <w:spacing w:val="-4"/>
                <w:lang w:val="en-GB"/>
              </w:rPr>
              <w:t xml:space="preserve">. </w:t>
            </w:r>
            <w:r w:rsidR="00704210" w:rsidRPr="00D160FB">
              <w:rPr>
                <w:color w:val="0D0D0D" w:themeColor="text1" w:themeTint="F2"/>
                <w:spacing w:val="-4"/>
                <w:lang w:val="en-GB"/>
              </w:rPr>
              <w:t xml:space="preserve">General unemployment rate attained </w:t>
            </w:r>
            <w:r w:rsidR="001C3855" w:rsidRPr="00D160FB">
              <w:rPr>
                <w:color w:val="0D0D0D" w:themeColor="text1" w:themeTint="F2"/>
                <w:spacing w:val="-4"/>
                <w:lang w:val="en-GB"/>
              </w:rPr>
              <w:t>1</w:t>
            </w:r>
            <w:r w:rsidR="00704210" w:rsidRPr="00D160FB">
              <w:rPr>
                <w:color w:val="0D0D0D" w:themeColor="text1" w:themeTint="F2"/>
                <w:spacing w:val="-4"/>
                <w:lang w:val="en-GB"/>
              </w:rPr>
              <w:t>.</w:t>
            </w:r>
            <w:r w:rsidR="001C3855" w:rsidRPr="00D160FB">
              <w:rPr>
                <w:color w:val="0D0D0D" w:themeColor="text1" w:themeTint="F2"/>
                <w:spacing w:val="-4"/>
                <w:lang w:val="en-GB"/>
              </w:rPr>
              <w:t>8%</w:t>
            </w:r>
            <w:r w:rsidR="00704210" w:rsidRPr="00D160FB">
              <w:rPr>
                <w:color w:val="0D0D0D" w:themeColor="text1" w:themeTint="F2"/>
                <w:spacing w:val="-4"/>
                <w:lang w:val="en-GB"/>
              </w:rPr>
              <w:t xml:space="preserve"> for ma</w:t>
            </w:r>
            <w:r w:rsidR="00B647F4">
              <w:rPr>
                <w:color w:val="0D0D0D" w:themeColor="text1" w:themeTint="F2"/>
                <w:spacing w:val="-4"/>
                <w:lang w:val="en-GB"/>
              </w:rPr>
              <w:t>les in December 2022</w:t>
            </w:r>
            <w:r w:rsidR="001C3855" w:rsidRPr="00D160FB">
              <w:rPr>
                <w:color w:val="0D0D0D" w:themeColor="text1" w:themeTint="F2"/>
                <w:spacing w:val="-4"/>
                <w:lang w:val="en-GB"/>
              </w:rPr>
              <w:t xml:space="preserve"> a</w:t>
            </w:r>
            <w:r w:rsidR="00704210" w:rsidRPr="00D160FB">
              <w:rPr>
                <w:color w:val="0D0D0D" w:themeColor="text1" w:themeTint="F2"/>
                <w:spacing w:val="-4"/>
                <w:lang w:val="en-GB"/>
              </w:rPr>
              <w:t xml:space="preserve">nd </w:t>
            </w:r>
            <w:r w:rsidR="001C3855" w:rsidRPr="00D160FB">
              <w:rPr>
                <w:color w:val="0D0D0D" w:themeColor="text1" w:themeTint="F2"/>
                <w:spacing w:val="-4"/>
                <w:lang w:val="en-GB"/>
              </w:rPr>
              <w:t>2</w:t>
            </w:r>
            <w:r w:rsidR="00704210" w:rsidRPr="00D160FB">
              <w:rPr>
                <w:color w:val="0D0D0D" w:themeColor="text1" w:themeTint="F2"/>
                <w:spacing w:val="-4"/>
                <w:lang w:val="en-GB"/>
              </w:rPr>
              <w:t>.</w:t>
            </w:r>
            <w:r w:rsidR="001C3855" w:rsidRPr="00D160FB">
              <w:rPr>
                <w:color w:val="0D0D0D" w:themeColor="text1" w:themeTint="F2"/>
                <w:spacing w:val="-4"/>
                <w:lang w:val="en-GB"/>
              </w:rPr>
              <w:t>5%</w:t>
            </w:r>
            <w:r w:rsidR="00704210" w:rsidRPr="00D160FB">
              <w:rPr>
                <w:color w:val="0D0D0D" w:themeColor="text1" w:themeTint="F2"/>
                <w:spacing w:val="-4"/>
                <w:lang w:val="en-GB"/>
              </w:rPr>
              <w:t xml:space="preserve"> for females and thus stayed near its historical minimum. </w:t>
            </w:r>
            <w:r w:rsidR="00A331E0" w:rsidRPr="00D160FB">
              <w:rPr>
                <w:color w:val="0D0D0D" w:themeColor="text1" w:themeTint="F2"/>
                <w:spacing w:val="-4"/>
                <w:lang w:val="en-GB"/>
              </w:rPr>
              <w:t>A positive fact is that the number of long-term unemployment lowered year-on-year in H</w:t>
            </w:r>
            <w:r w:rsidR="001C3855" w:rsidRPr="00D160FB">
              <w:rPr>
                <w:color w:val="0D0D0D" w:themeColor="text1" w:themeTint="F2"/>
                <w:spacing w:val="-4"/>
                <w:lang w:val="en-GB"/>
              </w:rPr>
              <w:t>2</w:t>
            </w:r>
            <w:r w:rsidR="00A331E0" w:rsidRPr="00D160FB">
              <w:rPr>
                <w:color w:val="0D0D0D" w:themeColor="text1" w:themeTint="F2"/>
                <w:spacing w:val="-4"/>
                <w:lang w:val="en-GB"/>
              </w:rPr>
              <w:t xml:space="preserve"> </w:t>
            </w:r>
            <w:r w:rsidR="001C3855" w:rsidRPr="00D160FB">
              <w:rPr>
                <w:color w:val="0D0D0D" w:themeColor="text1" w:themeTint="F2"/>
                <w:spacing w:val="-4"/>
                <w:lang w:val="en-GB"/>
              </w:rPr>
              <w:t>2022</w:t>
            </w:r>
            <w:r w:rsidR="00A331E0" w:rsidRPr="00D160FB">
              <w:rPr>
                <w:color w:val="0D0D0D" w:themeColor="text1" w:themeTint="F2"/>
                <w:spacing w:val="-4"/>
                <w:lang w:val="en-GB"/>
              </w:rPr>
              <w:t xml:space="preserve">. </w:t>
            </w:r>
            <w:r w:rsidR="00727A7C" w:rsidRPr="00D160FB">
              <w:rPr>
                <w:color w:val="0D0D0D" w:themeColor="text1" w:themeTint="F2"/>
                <w:spacing w:val="-4"/>
                <w:lang w:val="en-GB"/>
              </w:rPr>
              <w:t xml:space="preserve">Based on the LFSS it slightly exceeded </w:t>
            </w:r>
            <w:r w:rsidR="001C3855" w:rsidRPr="00D160FB">
              <w:rPr>
                <w:color w:val="0D0D0D" w:themeColor="text1" w:themeTint="F2"/>
                <w:spacing w:val="-4"/>
                <w:lang w:val="en-GB"/>
              </w:rPr>
              <w:t>30 t</w:t>
            </w:r>
            <w:r w:rsidR="00727A7C" w:rsidRPr="00D160FB">
              <w:rPr>
                <w:color w:val="0D0D0D" w:themeColor="text1" w:themeTint="F2"/>
                <w:spacing w:val="-4"/>
                <w:lang w:val="en-GB"/>
              </w:rPr>
              <w:t xml:space="preserve">housand in Q4 and composed only one quarter of all unemployed (similar proportion as in the last </w:t>
            </w:r>
            <w:r w:rsidR="001C3855" w:rsidRPr="00D160FB">
              <w:rPr>
                <w:color w:val="1D1B11" w:themeColor="background2" w:themeShade="1A"/>
                <w:spacing w:val="-4"/>
                <w:lang w:val="en-GB"/>
              </w:rPr>
              <w:t>„</w:t>
            </w:r>
            <w:r w:rsidR="00727A7C" w:rsidRPr="00D160FB">
              <w:rPr>
                <w:color w:val="1D1B11" w:themeColor="background2" w:themeShade="1A"/>
                <w:spacing w:val="-4"/>
                <w:lang w:val="en-GB"/>
              </w:rPr>
              <w:t>pre-pandemic</w:t>
            </w:r>
            <w:r w:rsidR="001C3855" w:rsidRPr="00D160FB">
              <w:rPr>
                <w:color w:val="1D1B11" w:themeColor="background2" w:themeShade="1A"/>
                <w:spacing w:val="-4"/>
                <w:lang w:val="en-GB"/>
              </w:rPr>
              <w:t xml:space="preserve">“ </w:t>
            </w:r>
            <w:r w:rsidR="00727A7C" w:rsidRPr="00D160FB">
              <w:rPr>
                <w:color w:val="1D1B11" w:themeColor="background2" w:themeShade="1A"/>
                <w:spacing w:val="-4"/>
                <w:lang w:val="en-GB"/>
              </w:rPr>
              <w:t>year</w:t>
            </w:r>
            <w:r w:rsidR="001C3855" w:rsidRPr="00D160FB">
              <w:rPr>
                <w:color w:val="1D1B11" w:themeColor="background2" w:themeShade="1A"/>
                <w:spacing w:val="-4"/>
                <w:lang w:val="en-GB"/>
              </w:rPr>
              <w:t xml:space="preserve">). </w:t>
            </w:r>
            <w:r w:rsidR="00A032E2" w:rsidRPr="00D160FB">
              <w:rPr>
                <w:color w:val="1D1B11" w:themeColor="background2" w:themeShade="1A"/>
                <w:spacing w:val="-4"/>
                <w:lang w:val="en-GB"/>
              </w:rPr>
              <w:t xml:space="preserve">It is related to the still high stock of job vacancies and proves, that significant part of the local unemployment still has frictional </w:t>
            </w:r>
            <w:r w:rsidR="00EC53D0" w:rsidRPr="00D160FB">
              <w:rPr>
                <w:color w:val="1D1B11" w:themeColor="background2" w:themeShade="1A"/>
                <w:spacing w:val="-4"/>
                <w:lang w:val="en-GB"/>
              </w:rPr>
              <w:t xml:space="preserve">character. </w:t>
            </w:r>
            <w:r w:rsidR="00727A7C" w:rsidRPr="00D160FB">
              <w:rPr>
                <w:color w:val="1D1B11" w:themeColor="background2" w:themeShade="1A"/>
                <w:spacing w:val="-4"/>
                <w:lang w:val="en-GB"/>
              </w:rPr>
              <w:t xml:space="preserve">Concerns of people regarding the rise of unemployment grew for the majority of the last year, which was connected to their negative perception of the overall economic situation in the CR as well as worsened expectations of own financial situation of households. </w:t>
            </w:r>
            <w:r w:rsidR="00F70CC7" w:rsidRPr="00D160FB">
              <w:rPr>
                <w:color w:val="1D1B11" w:themeColor="background2" w:themeShade="1A"/>
                <w:spacing w:val="-4"/>
                <w:lang w:val="en-GB"/>
              </w:rPr>
              <w:t xml:space="preserve">Unemployment worries however have not fully reached the intensity from the period of culminating pandemics yet or e.g. the period of recession in year </w:t>
            </w:r>
            <w:r w:rsidR="001C3855" w:rsidRPr="00D160FB">
              <w:rPr>
                <w:color w:val="0D0D0D" w:themeColor="text1" w:themeTint="F2"/>
                <w:spacing w:val="-4"/>
                <w:lang w:val="en-GB"/>
              </w:rPr>
              <w:t xml:space="preserve">2012 </w:t>
            </w:r>
            <w:r w:rsidR="00F70CC7" w:rsidRPr="00D160FB">
              <w:rPr>
                <w:color w:val="0D0D0D" w:themeColor="text1" w:themeTint="F2"/>
                <w:spacing w:val="-4"/>
                <w:lang w:val="en-GB"/>
              </w:rPr>
              <w:t xml:space="preserve">to </w:t>
            </w:r>
            <w:r w:rsidR="001C3855" w:rsidRPr="00D160FB">
              <w:rPr>
                <w:color w:val="0D0D0D" w:themeColor="text1" w:themeTint="F2"/>
                <w:spacing w:val="-4"/>
                <w:lang w:val="en-GB"/>
              </w:rPr>
              <w:t xml:space="preserve">2013. </w:t>
            </w:r>
            <w:r w:rsidR="00844C3B" w:rsidRPr="00D160FB">
              <w:rPr>
                <w:color w:val="0D0D0D" w:themeColor="text1" w:themeTint="F2"/>
                <w:spacing w:val="-4"/>
                <w:lang w:val="en-GB"/>
              </w:rPr>
              <w:t xml:space="preserve">In addition the beginning of year </w:t>
            </w:r>
            <w:r w:rsidR="001C3855" w:rsidRPr="00D160FB">
              <w:rPr>
                <w:color w:val="0D0D0D" w:themeColor="text1" w:themeTint="F2"/>
                <w:spacing w:val="-4"/>
                <w:lang w:val="en-GB"/>
              </w:rPr>
              <w:t>2023</w:t>
            </w:r>
            <w:r w:rsidR="00844C3B" w:rsidRPr="00D160FB">
              <w:rPr>
                <w:color w:val="0D0D0D" w:themeColor="text1" w:themeTint="F2"/>
                <w:spacing w:val="-4"/>
                <w:lang w:val="en-GB"/>
              </w:rPr>
              <w:t xml:space="preserve"> saw a sign of mild decrease of the household concerns. </w:t>
            </w:r>
          </w:p>
        </w:tc>
      </w:tr>
      <w:tr w:rsidR="00B646BC" w:rsidRPr="00D160FB" w14:paraId="0E9363C5" w14:textId="77777777" w:rsidTr="003D13A6">
        <w:trPr>
          <w:trHeight w:val="145"/>
        </w:trPr>
        <w:tc>
          <w:tcPr>
            <w:tcW w:w="1722" w:type="dxa"/>
            <w:shd w:val="clear" w:color="auto" w:fill="auto"/>
            <w:tcMar>
              <w:left w:w="0" w:type="dxa"/>
            </w:tcMar>
          </w:tcPr>
          <w:p w14:paraId="082228C6" w14:textId="4F76A1DF" w:rsidR="001C3855" w:rsidRPr="00D160FB" w:rsidRDefault="00844C3B" w:rsidP="00C8019E">
            <w:pPr>
              <w:pStyle w:val="Marginlie"/>
              <w:rPr>
                <w:color w:val="0D0D0D" w:themeColor="text1" w:themeTint="F2"/>
                <w:spacing w:val="-5"/>
                <w:lang w:val="en-GB"/>
              </w:rPr>
            </w:pPr>
            <w:r w:rsidRPr="00D160FB">
              <w:rPr>
                <w:color w:val="0D0D0D" w:themeColor="text1" w:themeTint="F2"/>
                <w:spacing w:val="-5"/>
                <w:lang w:val="en-GB"/>
              </w:rPr>
              <w:lastRenderedPageBreak/>
              <w:t xml:space="preserve">Offer of job </w:t>
            </w:r>
            <w:r w:rsidR="00E93E65" w:rsidRPr="00D160FB">
              <w:rPr>
                <w:color w:val="0D0D0D" w:themeColor="text1" w:themeTint="F2"/>
                <w:spacing w:val="-5"/>
                <w:lang w:val="en-GB"/>
              </w:rPr>
              <w:t>vacancies</w:t>
            </w:r>
            <w:r w:rsidRPr="00D160FB">
              <w:rPr>
                <w:color w:val="0D0D0D" w:themeColor="text1" w:themeTint="F2"/>
                <w:spacing w:val="-5"/>
                <w:lang w:val="en-GB"/>
              </w:rPr>
              <w:t xml:space="preserve"> at LO was continuously falling since Spring last year and it was lower than the num</w:t>
            </w:r>
            <w:r w:rsidR="000F34A8">
              <w:rPr>
                <w:color w:val="0D0D0D" w:themeColor="text1" w:themeTint="F2"/>
                <w:spacing w:val="-5"/>
                <w:lang w:val="en-GB"/>
              </w:rPr>
              <w:t>ber of job applicants in January</w:t>
            </w:r>
            <w:r w:rsidRPr="00D160FB">
              <w:rPr>
                <w:color w:val="0D0D0D" w:themeColor="text1" w:themeTint="F2"/>
                <w:spacing w:val="-5"/>
                <w:lang w:val="en-GB"/>
              </w:rPr>
              <w:t xml:space="preserve"> this year.  </w:t>
            </w:r>
          </w:p>
        </w:tc>
        <w:tc>
          <w:tcPr>
            <w:tcW w:w="202" w:type="dxa"/>
            <w:shd w:val="clear" w:color="auto" w:fill="auto"/>
            <w:tcMar>
              <w:left w:w="0" w:type="dxa"/>
            </w:tcMar>
          </w:tcPr>
          <w:p w14:paraId="2182ECBA" w14:textId="77777777" w:rsidR="001C3855" w:rsidRPr="00D160FB" w:rsidRDefault="001C3855" w:rsidP="00C8019E">
            <w:pPr>
              <w:pStyle w:val="Textpoznpodarou"/>
              <w:spacing w:after="120"/>
              <w:jc w:val="both"/>
              <w:rPr>
                <w:color w:val="0D0D0D" w:themeColor="text1" w:themeTint="F2"/>
                <w:spacing w:val="-4"/>
                <w:lang w:val="en-GB"/>
              </w:rPr>
            </w:pPr>
          </w:p>
        </w:tc>
        <w:tc>
          <w:tcPr>
            <w:tcW w:w="7750" w:type="dxa"/>
            <w:shd w:val="clear" w:color="auto" w:fill="auto"/>
            <w:tcMar>
              <w:left w:w="0" w:type="dxa"/>
            </w:tcMar>
          </w:tcPr>
          <w:p w14:paraId="36C06946" w14:textId="581D366C" w:rsidR="001C3855" w:rsidRPr="00D160FB" w:rsidRDefault="00AF72B7" w:rsidP="003D13A6">
            <w:pPr>
              <w:spacing w:after="200"/>
              <w:rPr>
                <w:color w:val="0D0D0D" w:themeColor="text1" w:themeTint="F2"/>
                <w:spacing w:val="-4"/>
                <w:lang w:val="en-GB"/>
              </w:rPr>
            </w:pPr>
            <w:r w:rsidRPr="00D160FB">
              <w:rPr>
                <w:color w:val="0D0D0D" w:themeColor="text1" w:themeTint="F2"/>
                <w:spacing w:val="-4"/>
                <w:lang w:val="en-GB"/>
              </w:rPr>
              <w:t xml:space="preserve">If in year </w:t>
            </w:r>
            <w:r w:rsidR="001C3855" w:rsidRPr="00D160FB">
              <w:rPr>
                <w:color w:val="0D0D0D" w:themeColor="text1" w:themeTint="F2"/>
                <w:spacing w:val="-4"/>
                <w:lang w:val="en-GB"/>
              </w:rPr>
              <w:t>2021</w:t>
            </w:r>
            <w:r w:rsidRPr="00D160FB">
              <w:rPr>
                <w:color w:val="0D0D0D" w:themeColor="text1" w:themeTint="F2"/>
                <w:spacing w:val="-4"/>
                <w:lang w:val="en-GB"/>
              </w:rPr>
              <w:t xml:space="preserve"> the number of job vacancies offered by LO depicted typical seasonal course, the total supply of vacancies was shrinking even in times of peaking seasonal jobs last year. Number of vacancies was falling continuously month-on-months since March</w:t>
            </w:r>
            <w:r w:rsidR="000F34A8">
              <w:rPr>
                <w:color w:val="0D0D0D" w:themeColor="text1" w:themeTint="F2"/>
                <w:spacing w:val="-4"/>
                <w:lang w:val="en-GB"/>
              </w:rPr>
              <w:t xml:space="preserve"> 2022</w:t>
            </w:r>
            <w:r w:rsidRPr="00D160FB">
              <w:rPr>
                <w:color w:val="0D0D0D" w:themeColor="text1" w:themeTint="F2"/>
                <w:spacing w:val="-4"/>
                <w:lang w:val="en-GB"/>
              </w:rPr>
              <w:t xml:space="preserve"> </w:t>
            </w:r>
            <w:r w:rsidR="001C3855" w:rsidRPr="00D160FB">
              <w:rPr>
                <w:color w:val="0D0D0D" w:themeColor="text1" w:themeTint="F2"/>
                <w:spacing w:val="-4"/>
                <w:lang w:val="en-GB"/>
              </w:rPr>
              <w:t>(</w:t>
            </w:r>
            <w:r w:rsidRPr="00D160FB">
              <w:rPr>
                <w:color w:val="0D0D0D" w:themeColor="text1" w:themeTint="F2"/>
                <w:spacing w:val="-4"/>
                <w:lang w:val="en-GB"/>
              </w:rPr>
              <w:t xml:space="preserve">from </w:t>
            </w:r>
            <w:r w:rsidR="001C3855" w:rsidRPr="00D160FB">
              <w:rPr>
                <w:color w:val="0D0D0D" w:themeColor="text1" w:themeTint="F2"/>
                <w:spacing w:val="-4"/>
                <w:lang w:val="en-GB"/>
              </w:rPr>
              <w:t>360 t</w:t>
            </w:r>
            <w:r w:rsidRPr="00D160FB">
              <w:rPr>
                <w:color w:val="0D0D0D" w:themeColor="text1" w:themeTint="F2"/>
                <w:spacing w:val="-4"/>
                <w:lang w:val="en-GB"/>
              </w:rPr>
              <w:t>housand</w:t>
            </w:r>
            <w:r w:rsidR="001C3855" w:rsidRPr="00D160FB">
              <w:rPr>
                <w:color w:val="0D0D0D" w:themeColor="text1" w:themeTint="F2"/>
                <w:spacing w:val="-4"/>
                <w:lang w:val="en-GB"/>
              </w:rPr>
              <w:t>)</w:t>
            </w:r>
            <w:r w:rsidRPr="00D160FB">
              <w:rPr>
                <w:color w:val="0D0D0D" w:themeColor="text1" w:themeTint="F2"/>
                <w:spacing w:val="-4"/>
                <w:lang w:val="en-GB"/>
              </w:rPr>
              <w:t xml:space="preserve"> till December </w:t>
            </w:r>
            <w:r w:rsidR="001C3855" w:rsidRPr="00D160FB">
              <w:rPr>
                <w:color w:val="0D0D0D" w:themeColor="text1" w:themeTint="F2"/>
                <w:spacing w:val="-4"/>
                <w:lang w:val="en-GB"/>
              </w:rPr>
              <w:t>(</w:t>
            </w:r>
            <w:r w:rsidRPr="00D160FB">
              <w:rPr>
                <w:color w:val="0D0D0D" w:themeColor="text1" w:themeTint="F2"/>
                <w:spacing w:val="-4"/>
                <w:lang w:val="en-GB"/>
              </w:rPr>
              <w:t xml:space="preserve">to </w:t>
            </w:r>
            <w:r w:rsidR="001C3855" w:rsidRPr="00D160FB">
              <w:rPr>
                <w:color w:val="0D0D0D" w:themeColor="text1" w:themeTint="F2"/>
                <w:spacing w:val="-4"/>
                <w:lang w:val="en-GB"/>
              </w:rPr>
              <w:t>289 t</w:t>
            </w:r>
            <w:r w:rsidRPr="00D160FB">
              <w:rPr>
                <w:color w:val="0D0D0D" w:themeColor="text1" w:themeTint="F2"/>
                <w:spacing w:val="-4"/>
                <w:lang w:val="en-GB"/>
              </w:rPr>
              <w:t>housand</w:t>
            </w:r>
            <w:r w:rsidR="001C3855" w:rsidRPr="00D160FB">
              <w:rPr>
                <w:color w:val="0D0D0D" w:themeColor="text1" w:themeTint="F2"/>
                <w:spacing w:val="-4"/>
                <w:lang w:val="en-GB"/>
              </w:rPr>
              <w:t>.)</w:t>
            </w:r>
            <w:r w:rsidR="001C3855" w:rsidRPr="00D160FB">
              <w:rPr>
                <w:rStyle w:val="Znakapoznpodarou"/>
                <w:color w:val="0D0D0D" w:themeColor="text1" w:themeTint="F2"/>
                <w:spacing w:val="-4"/>
                <w:lang w:val="en-GB"/>
              </w:rPr>
              <w:footnoteReference w:id="12"/>
            </w:r>
            <w:r w:rsidR="001C3855" w:rsidRPr="00D160FB">
              <w:rPr>
                <w:color w:val="0D0D0D" w:themeColor="text1" w:themeTint="F2"/>
                <w:spacing w:val="-4"/>
                <w:lang w:val="en-GB"/>
              </w:rPr>
              <w:t>. T</w:t>
            </w:r>
            <w:r w:rsidRPr="00D160FB">
              <w:rPr>
                <w:color w:val="0D0D0D" w:themeColor="text1" w:themeTint="F2"/>
                <w:spacing w:val="-4"/>
                <w:lang w:val="en-GB"/>
              </w:rPr>
              <w:t xml:space="preserve">his trend </w:t>
            </w:r>
            <w:r w:rsidR="000F34A8">
              <w:rPr>
                <w:color w:val="0D0D0D" w:themeColor="text1" w:themeTint="F2"/>
                <w:spacing w:val="-4"/>
                <w:lang w:val="en-GB"/>
              </w:rPr>
              <w:t xml:space="preserve">was also confirmed  in </w:t>
            </w:r>
            <w:r w:rsidR="00D81578" w:rsidRPr="00D160FB">
              <w:rPr>
                <w:color w:val="0D0D0D" w:themeColor="text1" w:themeTint="F2"/>
                <w:spacing w:val="-4"/>
                <w:lang w:val="en-GB"/>
              </w:rPr>
              <w:t>January</w:t>
            </w:r>
            <w:r w:rsidR="000F34A8">
              <w:rPr>
                <w:color w:val="0D0D0D" w:themeColor="text1" w:themeTint="F2"/>
                <w:spacing w:val="-4"/>
                <w:lang w:val="en-GB"/>
              </w:rPr>
              <w:t xml:space="preserve"> 2023</w:t>
            </w:r>
            <w:r w:rsidR="00D81578" w:rsidRPr="00D160FB">
              <w:rPr>
                <w:color w:val="0D0D0D" w:themeColor="text1" w:themeTint="F2"/>
                <w:spacing w:val="-4"/>
                <w:lang w:val="en-GB"/>
              </w:rPr>
              <w:t xml:space="preserve">, when the supply of vacancies </w:t>
            </w:r>
            <w:r w:rsidR="001C3855" w:rsidRPr="00D160FB">
              <w:rPr>
                <w:color w:val="0D0D0D" w:themeColor="text1" w:themeTint="F2"/>
                <w:spacing w:val="-4"/>
                <w:lang w:val="en-GB"/>
              </w:rPr>
              <w:t>(281 t</w:t>
            </w:r>
            <w:r w:rsidR="00D81578" w:rsidRPr="00D160FB">
              <w:rPr>
                <w:color w:val="0D0D0D" w:themeColor="text1" w:themeTint="F2"/>
                <w:spacing w:val="-4"/>
                <w:lang w:val="en-GB"/>
              </w:rPr>
              <w:t>housand</w:t>
            </w:r>
            <w:r w:rsidR="001C3855" w:rsidRPr="00D160FB">
              <w:rPr>
                <w:color w:val="0D0D0D" w:themeColor="text1" w:themeTint="F2"/>
                <w:spacing w:val="-4"/>
                <w:lang w:val="en-GB"/>
              </w:rPr>
              <w:t>)</w:t>
            </w:r>
            <w:r w:rsidR="00D81578" w:rsidRPr="00D160FB">
              <w:rPr>
                <w:color w:val="0D0D0D" w:themeColor="text1" w:themeTint="F2"/>
                <w:spacing w:val="-4"/>
                <w:lang w:val="en-GB"/>
              </w:rPr>
              <w:t xml:space="preserve"> reduced nearly to five year minimum and it was </w:t>
            </w:r>
            <w:r w:rsidR="000F34A8">
              <w:rPr>
                <w:color w:val="0D0D0D" w:themeColor="text1" w:themeTint="F2"/>
                <w:spacing w:val="-4"/>
                <w:lang w:val="en-GB"/>
              </w:rPr>
              <w:t xml:space="preserve">even </w:t>
            </w:r>
            <w:r w:rsidR="00D81578" w:rsidRPr="00D160FB">
              <w:rPr>
                <w:color w:val="0D0D0D" w:themeColor="text1" w:themeTint="F2"/>
                <w:spacing w:val="-4"/>
                <w:lang w:val="en-GB"/>
              </w:rPr>
              <w:t xml:space="preserve">lower than the number of all job applicants for the first time since April 2018 </w:t>
            </w:r>
            <w:r w:rsidR="001C3855" w:rsidRPr="00D160FB">
              <w:rPr>
                <w:color w:val="0D0D0D" w:themeColor="text1" w:themeTint="F2"/>
                <w:spacing w:val="-4"/>
                <w:lang w:val="en-GB"/>
              </w:rPr>
              <w:t>(283 t</w:t>
            </w:r>
            <w:r w:rsidR="00D81578" w:rsidRPr="00D160FB">
              <w:rPr>
                <w:color w:val="0D0D0D" w:themeColor="text1" w:themeTint="F2"/>
                <w:spacing w:val="-4"/>
                <w:lang w:val="en-GB"/>
              </w:rPr>
              <w:t>housand</w:t>
            </w:r>
            <w:r w:rsidR="001C3855" w:rsidRPr="00D160FB">
              <w:rPr>
                <w:color w:val="0D0D0D" w:themeColor="text1" w:themeTint="F2"/>
                <w:spacing w:val="-4"/>
                <w:lang w:val="en-GB"/>
              </w:rPr>
              <w:t xml:space="preserve">). </w:t>
            </w:r>
            <w:r w:rsidR="001221B9" w:rsidRPr="00D160FB">
              <w:rPr>
                <w:color w:val="0D0D0D" w:themeColor="text1" w:themeTint="F2"/>
                <w:spacing w:val="-4"/>
                <w:lang w:val="en-GB"/>
              </w:rPr>
              <w:t xml:space="preserve">The impact of the cyclical economic downturn manifested here, when the businesses started to limit the creation of new job positions and at the same time, </w:t>
            </w:r>
            <w:r w:rsidR="008112A0" w:rsidRPr="00D160FB">
              <w:rPr>
                <w:color w:val="0D0D0D" w:themeColor="text1" w:themeTint="F2"/>
                <w:spacing w:val="-4"/>
                <w:lang w:val="en-GB"/>
              </w:rPr>
              <w:t xml:space="preserve">more frequently laid off workers </w:t>
            </w:r>
            <w:r w:rsidR="001C3855" w:rsidRPr="00D160FB">
              <w:rPr>
                <w:color w:val="0D0D0D" w:themeColor="text1" w:themeTint="F2"/>
                <w:spacing w:val="-4"/>
                <w:lang w:val="en-GB"/>
              </w:rPr>
              <w:t>(</w:t>
            </w:r>
            <w:r w:rsidR="008112A0" w:rsidRPr="00D160FB">
              <w:rPr>
                <w:color w:val="0D0D0D" w:themeColor="text1" w:themeTint="F2"/>
                <w:spacing w:val="-4"/>
                <w:lang w:val="en-GB"/>
              </w:rPr>
              <w:t>even though not usually on a mass scale so far</w:t>
            </w:r>
            <w:r w:rsidR="001C3855" w:rsidRPr="00D160FB">
              <w:rPr>
                <w:color w:val="0D0D0D" w:themeColor="text1" w:themeTint="F2"/>
                <w:spacing w:val="-4"/>
                <w:lang w:val="en-GB"/>
              </w:rPr>
              <w:t xml:space="preserve">). </w:t>
            </w:r>
          </w:p>
        </w:tc>
      </w:tr>
      <w:tr w:rsidR="00B646BC" w:rsidRPr="00D160FB" w14:paraId="09696C5F" w14:textId="77777777" w:rsidTr="003D13A6">
        <w:trPr>
          <w:trHeight w:val="155"/>
        </w:trPr>
        <w:tc>
          <w:tcPr>
            <w:tcW w:w="1722" w:type="dxa"/>
            <w:vMerge w:val="restart"/>
            <w:shd w:val="clear" w:color="auto" w:fill="auto"/>
            <w:tcMar>
              <w:left w:w="0" w:type="dxa"/>
            </w:tcMar>
          </w:tcPr>
          <w:p w14:paraId="47673F07" w14:textId="77777777" w:rsidR="001C3855" w:rsidRPr="00D160FB" w:rsidRDefault="001C3855" w:rsidP="00C8019E">
            <w:pPr>
              <w:pStyle w:val="Marginlie"/>
              <w:spacing w:after="120"/>
              <w:rPr>
                <w:spacing w:val="-4"/>
                <w:lang w:val="en-GB"/>
              </w:rPr>
            </w:pPr>
          </w:p>
        </w:tc>
        <w:tc>
          <w:tcPr>
            <w:tcW w:w="202" w:type="dxa"/>
            <w:vMerge w:val="restart"/>
            <w:shd w:val="clear" w:color="auto" w:fill="auto"/>
            <w:tcMar>
              <w:left w:w="0" w:type="dxa"/>
            </w:tcMar>
          </w:tcPr>
          <w:p w14:paraId="5EE9CDCD" w14:textId="77777777" w:rsidR="001C3855" w:rsidRPr="00D160FB" w:rsidRDefault="001C3855" w:rsidP="00C8019E">
            <w:pPr>
              <w:pStyle w:val="Textpoznpodarou"/>
              <w:spacing w:after="120"/>
              <w:jc w:val="both"/>
              <w:rPr>
                <w:spacing w:val="-4"/>
                <w:lang w:val="en-GB"/>
              </w:rPr>
            </w:pPr>
          </w:p>
        </w:tc>
        <w:tc>
          <w:tcPr>
            <w:tcW w:w="7750" w:type="dxa"/>
            <w:shd w:val="clear" w:color="auto" w:fill="auto"/>
            <w:tcMar>
              <w:left w:w="0" w:type="dxa"/>
            </w:tcMar>
          </w:tcPr>
          <w:p w14:paraId="4A891EA5" w14:textId="5642FA47" w:rsidR="001C3855" w:rsidRPr="00D160FB" w:rsidRDefault="00886032" w:rsidP="00C8019E">
            <w:pPr>
              <w:spacing w:after="0"/>
              <w:rPr>
                <w:b/>
                <w:spacing w:val="-4"/>
                <w:lang w:val="en-GB"/>
              </w:rPr>
            </w:pPr>
            <w:r w:rsidRPr="00D160FB">
              <w:rPr>
                <w:b/>
                <w:spacing w:val="-4"/>
                <w:lang w:val="en-GB"/>
              </w:rPr>
              <w:t xml:space="preserve">Chart </w:t>
            </w:r>
            <w:r w:rsidR="008F525A" w:rsidRPr="00D160FB">
              <w:rPr>
                <w:b/>
                <w:spacing w:val="-4"/>
                <w:lang w:val="en-GB"/>
              </w:rPr>
              <w:t>15</w:t>
            </w:r>
            <w:r w:rsidR="001C3855" w:rsidRPr="00D160FB">
              <w:rPr>
                <w:b/>
                <w:spacing w:val="-4"/>
                <w:lang w:val="en-GB"/>
              </w:rPr>
              <w:t xml:space="preserve"> </w:t>
            </w:r>
            <w:r w:rsidR="00312C83" w:rsidRPr="00D160FB">
              <w:rPr>
                <w:rFonts w:cs="Arial"/>
                <w:b/>
                <w:spacing w:val="-3"/>
                <w:lang w:val="en-GB"/>
              </w:rPr>
              <w:t xml:space="preserve">General unemployment rate </w:t>
            </w:r>
            <w:r w:rsidR="00312C83" w:rsidRPr="00D160FB">
              <w:rPr>
                <w:rFonts w:cs="Arial"/>
                <w:bCs/>
                <w:spacing w:val="-3"/>
                <w:lang w:val="en-GB"/>
              </w:rPr>
              <w:t>(in %, age 15 to 64 years)</w:t>
            </w:r>
            <w:r w:rsidR="00312C83" w:rsidRPr="00D160FB">
              <w:rPr>
                <w:rFonts w:cs="Arial"/>
                <w:b/>
                <w:spacing w:val="-3"/>
                <w:lang w:val="en-GB"/>
              </w:rPr>
              <w:t xml:space="preserve">, rate of economic activity </w:t>
            </w:r>
            <w:r w:rsidR="00312C83" w:rsidRPr="00D160FB">
              <w:rPr>
                <w:rFonts w:cs="Arial"/>
                <w:bCs/>
                <w:spacing w:val="-3"/>
                <w:lang w:val="en-GB"/>
              </w:rPr>
              <w:t>(in %, age 15 to 64 years)</w:t>
            </w:r>
            <w:r w:rsidR="00312C83" w:rsidRPr="00D160FB">
              <w:rPr>
                <w:rFonts w:cs="Arial"/>
                <w:b/>
                <w:spacing w:val="-3"/>
                <w:lang w:val="en-GB"/>
              </w:rPr>
              <w:t xml:space="preserve">, economically inactive willing to work </w:t>
            </w:r>
            <w:r w:rsidR="00312C83" w:rsidRPr="00D160FB">
              <w:rPr>
                <w:rFonts w:cs="Arial"/>
                <w:bCs/>
                <w:spacing w:val="-3"/>
                <w:lang w:val="en-GB"/>
              </w:rPr>
              <w:t>(in thousand persons)</w:t>
            </w:r>
            <w:r w:rsidR="00312C83" w:rsidRPr="00D160FB">
              <w:rPr>
                <w:rFonts w:cs="Arial"/>
                <w:bCs/>
                <w:spacing w:val="-4"/>
                <w:lang w:val="en-GB"/>
              </w:rPr>
              <w:t>*,</w:t>
            </w:r>
            <w:r w:rsidR="00312C83" w:rsidRPr="00D160FB">
              <w:rPr>
                <w:rFonts w:cs="Arial"/>
                <w:b/>
                <w:spacing w:val="-3"/>
                <w:lang w:val="en-GB"/>
              </w:rPr>
              <w:t xml:space="preserve"> job vacancies </w:t>
            </w:r>
            <w:r w:rsidR="00312C83" w:rsidRPr="00D160FB">
              <w:rPr>
                <w:rFonts w:cs="Arial"/>
                <w:bCs/>
                <w:spacing w:val="-3"/>
                <w:lang w:val="en-GB"/>
              </w:rPr>
              <w:t>(in thousand)</w:t>
            </w:r>
            <w:r w:rsidR="00312C83" w:rsidRPr="00D160FB">
              <w:rPr>
                <w:rFonts w:cs="Arial"/>
                <w:b/>
                <w:spacing w:val="-3"/>
                <w:lang w:val="en-GB"/>
              </w:rPr>
              <w:t xml:space="preserve"> and unemployment expectations of households </w:t>
            </w:r>
            <w:r w:rsidR="00312C83" w:rsidRPr="00D160FB">
              <w:rPr>
                <w:rFonts w:cs="Arial"/>
                <w:bCs/>
                <w:spacing w:val="-4"/>
                <w:lang w:val="en-GB"/>
              </w:rPr>
              <w:t>(in p. p.)**</w:t>
            </w:r>
          </w:p>
        </w:tc>
      </w:tr>
      <w:tr w:rsidR="00B646BC" w:rsidRPr="00D160FB" w14:paraId="79F99BED" w14:textId="77777777" w:rsidTr="000F34A8">
        <w:tblPrEx>
          <w:tblCellMar>
            <w:left w:w="70" w:type="dxa"/>
            <w:right w:w="70" w:type="dxa"/>
          </w:tblCellMar>
        </w:tblPrEx>
        <w:trPr>
          <w:trHeight w:val="155"/>
        </w:trPr>
        <w:tc>
          <w:tcPr>
            <w:tcW w:w="1722" w:type="dxa"/>
            <w:vMerge/>
          </w:tcPr>
          <w:p w14:paraId="2C6F367B" w14:textId="77777777" w:rsidR="001C3855" w:rsidRPr="00D160FB" w:rsidRDefault="001C3855" w:rsidP="00C8019E">
            <w:pPr>
              <w:pStyle w:val="Marginlie"/>
              <w:spacing w:after="120"/>
              <w:rPr>
                <w:spacing w:val="-4"/>
                <w:lang w:val="en-GB"/>
              </w:rPr>
            </w:pPr>
          </w:p>
        </w:tc>
        <w:tc>
          <w:tcPr>
            <w:tcW w:w="202" w:type="dxa"/>
            <w:vMerge/>
          </w:tcPr>
          <w:p w14:paraId="4189C87A" w14:textId="77777777" w:rsidR="001C3855" w:rsidRPr="00D160FB" w:rsidRDefault="001C3855" w:rsidP="00C8019E">
            <w:pPr>
              <w:pStyle w:val="Textpoznpodarou"/>
              <w:spacing w:after="120"/>
              <w:jc w:val="both"/>
              <w:rPr>
                <w:spacing w:val="-4"/>
                <w:lang w:val="en-GB"/>
              </w:rPr>
            </w:pPr>
          </w:p>
        </w:tc>
        <w:tc>
          <w:tcPr>
            <w:tcW w:w="7750" w:type="dxa"/>
            <w:shd w:val="clear" w:color="auto" w:fill="auto"/>
          </w:tcPr>
          <w:p w14:paraId="5DDCC836" w14:textId="620FCBBD" w:rsidR="001C3855" w:rsidRPr="00D160FB" w:rsidRDefault="000F34A8" w:rsidP="0024233F">
            <w:pPr>
              <w:spacing w:after="0"/>
              <w:rPr>
                <w:lang w:val="en-GB"/>
              </w:rPr>
            </w:pPr>
            <w:r>
              <w:rPr>
                <w:noProof/>
              </w:rPr>
              <w:drawing>
                <wp:inline distT="0" distB="0" distL="0" distR="0" wp14:anchorId="1307F9AA" wp14:editId="7D58C95C">
                  <wp:extent cx="4691636" cy="3343833"/>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646BC" w:rsidRPr="00D160FB" w14:paraId="555143BE" w14:textId="77777777" w:rsidTr="003D13A6">
        <w:trPr>
          <w:trHeight w:val="132"/>
        </w:trPr>
        <w:tc>
          <w:tcPr>
            <w:tcW w:w="1722" w:type="dxa"/>
            <w:vMerge/>
            <w:tcMar>
              <w:left w:w="0" w:type="dxa"/>
            </w:tcMar>
          </w:tcPr>
          <w:p w14:paraId="77DFCAE8" w14:textId="77777777" w:rsidR="001C3855" w:rsidRPr="00D160FB" w:rsidRDefault="001C3855" w:rsidP="00C8019E">
            <w:pPr>
              <w:pStyle w:val="Marginlie"/>
              <w:rPr>
                <w:spacing w:val="-4"/>
                <w:lang w:val="en-GB"/>
              </w:rPr>
            </w:pPr>
          </w:p>
        </w:tc>
        <w:tc>
          <w:tcPr>
            <w:tcW w:w="202" w:type="dxa"/>
            <w:vMerge/>
            <w:tcMar>
              <w:left w:w="0" w:type="dxa"/>
            </w:tcMar>
          </w:tcPr>
          <w:p w14:paraId="5F781134" w14:textId="77777777" w:rsidR="001C3855" w:rsidRPr="00D160FB" w:rsidRDefault="001C3855" w:rsidP="00C8019E">
            <w:pPr>
              <w:pStyle w:val="Textpoznpodarou"/>
              <w:jc w:val="both"/>
              <w:rPr>
                <w:spacing w:val="-4"/>
                <w:lang w:val="en-GB"/>
              </w:rPr>
            </w:pPr>
          </w:p>
        </w:tc>
        <w:tc>
          <w:tcPr>
            <w:tcW w:w="7750" w:type="dxa"/>
            <w:shd w:val="clear" w:color="auto" w:fill="auto"/>
            <w:tcMar>
              <w:left w:w="0" w:type="dxa"/>
            </w:tcMar>
          </w:tcPr>
          <w:p w14:paraId="29650085" w14:textId="34715A4C" w:rsidR="00312C83" w:rsidRPr="00D160FB" w:rsidRDefault="00312C83" w:rsidP="0024233F">
            <w:pPr>
              <w:spacing w:after="0"/>
              <w:rPr>
                <w:rFonts w:cs="Arial"/>
                <w:color w:val="0D0D0D" w:themeColor="text1" w:themeTint="F2"/>
                <w:sz w:val="14"/>
                <w:szCs w:val="14"/>
                <w:lang w:val="en-GB"/>
              </w:rPr>
            </w:pPr>
            <w:r w:rsidRPr="00D160FB">
              <w:rPr>
                <w:rFonts w:cs="Arial"/>
                <w:color w:val="0D0D0D" w:themeColor="text1" w:themeTint="F2"/>
                <w:sz w:val="14"/>
                <w:szCs w:val="14"/>
                <w:lang w:val="en-GB"/>
              </w:rPr>
              <w:t>Note: Figures regarding the unemployment rate as well as economic activity are seasonally adjusted. JV = job vacancies (state at the end of quarter)</w:t>
            </w:r>
          </w:p>
          <w:p w14:paraId="22D1C755" w14:textId="77777777" w:rsidR="00312C83" w:rsidRPr="00D160FB" w:rsidRDefault="00312C83" w:rsidP="0024233F">
            <w:pPr>
              <w:spacing w:after="0"/>
              <w:rPr>
                <w:rFonts w:cs="Arial"/>
                <w:bCs/>
                <w:color w:val="0D0D0D" w:themeColor="text1" w:themeTint="F2"/>
                <w:sz w:val="14"/>
                <w:szCs w:val="14"/>
                <w:lang w:val="en-GB"/>
              </w:rPr>
            </w:pPr>
            <w:r w:rsidRPr="00D160FB">
              <w:rPr>
                <w:rFonts w:cs="Arial"/>
                <w:bCs/>
                <w:color w:val="0D0D0D" w:themeColor="text1" w:themeTint="F2"/>
                <w:sz w:val="14"/>
                <w:szCs w:val="14"/>
                <w:lang w:val="en-GB"/>
              </w:rPr>
              <w:lastRenderedPageBreak/>
              <w:t xml:space="preserve">*Persons not in employment, not seeking work, but expressing the willingness to work. </w:t>
            </w:r>
          </w:p>
          <w:p w14:paraId="64D8D9A0" w14:textId="54B68508" w:rsidR="00312C83" w:rsidRPr="0024233F" w:rsidRDefault="00312C83" w:rsidP="0024233F">
            <w:pPr>
              <w:spacing w:after="0"/>
              <w:rPr>
                <w:rFonts w:cs="Arial"/>
                <w:color w:val="0D0D0D" w:themeColor="text1" w:themeTint="F2"/>
                <w:spacing w:val="-4"/>
                <w:sz w:val="14"/>
                <w:szCs w:val="14"/>
                <w:lang w:val="en-GB"/>
              </w:rPr>
            </w:pPr>
            <w:r w:rsidRPr="0024233F">
              <w:rPr>
                <w:rFonts w:cs="Arial"/>
                <w:color w:val="0D0D0D" w:themeColor="text1" w:themeTint="F2"/>
                <w:spacing w:val="-4"/>
                <w:sz w:val="14"/>
                <w:szCs w:val="14"/>
                <w:lang w:val="en-GB"/>
              </w:rPr>
              <w:t xml:space="preserve">**Seasonally adjusted balance of expectations of unemployment in the next 12 months (difference between percentage frequency of answers of households, growth and decrease expressed in percentage points). Data relates to the middle month of the given quarter. </w:t>
            </w:r>
          </w:p>
          <w:p w14:paraId="791A5427" w14:textId="3603C837" w:rsidR="00AE4122" w:rsidRDefault="00AE4122" w:rsidP="0024233F">
            <w:pPr>
              <w:spacing w:after="0"/>
              <w:rPr>
                <w:rFonts w:cs="Arial"/>
                <w:color w:val="0D0D0D" w:themeColor="text1" w:themeTint="F2"/>
                <w:spacing w:val="-2"/>
                <w:sz w:val="14"/>
                <w:szCs w:val="14"/>
                <w:lang w:val="en-GB"/>
              </w:rPr>
            </w:pPr>
            <w:r>
              <w:rPr>
                <w:rFonts w:cs="Arial"/>
                <w:color w:val="0D0D0D" w:themeColor="text1" w:themeTint="F2"/>
                <w:spacing w:val="-2"/>
                <w:sz w:val="14"/>
                <w:szCs w:val="14"/>
                <w:lang w:val="en-GB"/>
              </w:rPr>
              <w:t>***</w:t>
            </w:r>
            <w:r>
              <w:t xml:space="preserve"> </w:t>
            </w:r>
            <w:r w:rsidR="0024233F" w:rsidRPr="0024233F">
              <w:rPr>
                <w:rFonts w:cs="Arial"/>
                <w:color w:val="0D0D0D" w:themeColor="text1" w:themeTint="F2"/>
                <w:spacing w:val="-2"/>
                <w:sz w:val="14"/>
                <w:szCs w:val="14"/>
                <w:lang w:val="en-GB"/>
              </w:rPr>
              <w:t xml:space="preserve">Job vacancies for apprentices </w:t>
            </w:r>
            <w:r w:rsidR="0024233F">
              <w:rPr>
                <w:rFonts w:cs="Arial"/>
                <w:color w:val="0D0D0D" w:themeColor="text1" w:themeTint="F2"/>
                <w:spacing w:val="-2"/>
                <w:sz w:val="14"/>
                <w:szCs w:val="14"/>
                <w:lang w:val="en-GB"/>
              </w:rPr>
              <w:t>ant people</w:t>
            </w:r>
            <w:r w:rsidR="0024233F" w:rsidRPr="0024233F">
              <w:rPr>
                <w:rFonts w:cs="Arial"/>
                <w:color w:val="0D0D0D" w:themeColor="text1" w:themeTint="F2"/>
                <w:spacing w:val="-2"/>
                <w:sz w:val="14"/>
                <w:szCs w:val="14"/>
                <w:lang w:val="en-GB"/>
              </w:rPr>
              <w:t xml:space="preserve"> with </w:t>
            </w:r>
            <w:r w:rsidR="0024233F">
              <w:rPr>
                <w:rFonts w:cs="Arial"/>
                <w:color w:val="0D0D0D" w:themeColor="text1" w:themeTint="F2"/>
                <w:spacing w:val="-2"/>
                <w:sz w:val="14"/>
                <w:szCs w:val="14"/>
                <w:lang w:val="en-GB"/>
              </w:rPr>
              <w:t xml:space="preserve">secondary education </w:t>
            </w:r>
            <w:r w:rsidRPr="00AE4122">
              <w:rPr>
                <w:rFonts w:cs="Arial"/>
                <w:color w:val="0D0D0D" w:themeColor="text1" w:themeTint="F2"/>
                <w:spacing w:val="-2"/>
                <w:sz w:val="14"/>
                <w:szCs w:val="14"/>
                <w:lang w:val="en-GB"/>
              </w:rPr>
              <w:t>without A-level examination</w:t>
            </w:r>
          </w:p>
          <w:p w14:paraId="08B6BDD9" w14:textId="2D37F374" w:rsidR="0024233F" w:rsidRPr="00D160FB" w:rsidRDefault="0024233F" w:rsidP="0024233F">
            <w:pPr>
              <w:spacing w:after="0"/>
              <w:rPr>
                <w:rFonts w:cs="Arial"/>
                <w:color w:val="0D0D0D" w:themeColor="text1" w:themeTint="F2"/>
                <w:spacing w:val="-2"/>
                <w:sz w:val="14"/>
                <w:szCs w:val="14"/>
                <w:lang w:val="en-GB"/>
              </w:rPr>
            </w:pPr>
            <w:r>
              <w:rPr>
                <w:rFonts w:cs="Arial"/>
                <w:color w:val="0D0D0D" w:themeColor="text1" w:themeTint="F2"/>
                <w:spacing w:val="-2"/>
                <w:sz w:val="14"/>
                <w:szCs w:val="14"/>
                <w:lang w:val="en-GB"/>
              </w:rPr>
              <w:t xml:space="preserve">**** </w:t>
            </w:r>
            <w:r w:rsidRPr="0024233F">
              <w:rPr>
                <w:rFonts w:cs="Arial"/>
                <w:color w:val="0D0D0D" w:themeColor="text1" w:themeTint="F2"/>
                <w:spacing w:val="-2"/>
                <w:sz w:val="14"/>
                <w:szCs w:val="14"/>
                <w:lang w:val="en-GB"/>
              </w:rPr>
              <w:t>Job vacancies for</w:t>
            </w:r>
            <w:r>
              <w:rPr>
                <w:rFonts w:cs="Arial"/>
                <w:color w:val="0D0D0D" w:themeColor="text1" w:themeTint="F2"/>
                <w:spacing w:val="-2"/>
                <w:sz w:val="14"/>
                <w:szCs w:val="14"/>
                <w:lang w:val="en-GB"/>
              </w:rPr>
              <w:t xml:space="preserve"> people with secondary education</w:t>
            </w:r>
            <w:r w:rsidRPr="0024233F">
              <w:rPr>
                <w:rFonts w:cs="Arial"/>
                <w:color w:val="0D0D0D" w:themeColor="text1" w:themeTint="F2"/>
                <w:spacing w:val="-2"/>
                <w:sz w:val="14"/>
                <w:szCs w:val="14"/>
                <w:lang w:val="en-GB"/>
              </w:rPr>
              <w:t xml:space="preserve"> with A-level examination</w:t>
            </w:r>
            <w:r>
              <w:rPr>
                <w:rFonts w:cs="Arial"/>
                <w:color w:val="0D0D0D" w:themeColor="text1" w:themeTint="F2"/>
                <w:spacing w:val="-2"/>
                <w:sz w:val="14"/>
                <w:szCs w:val="14"/>
                <w:lang w:val="en-GB"/>
              </w:rPr>
              <w:t xml:space="preserve">, and higher (tertiary) education </w:t>
            </w:r>
          </w:p>
          <w:p w14:paraId="6E21AF7B" w14:textId="5B234339" w:rsidR="00312C83" w:rsidRPr="00D160FB" w:rsidRDefault="00312C83" w:rsidP="0024233F">
            <w:pPr>
              <w:spacing w:after="0"/>
              <w:rPr>
                <w:rFonts w:cs="Arial"/>
                <w:color w:val="0D0D0D" w:themeColor="text1" w:themeTint="F2"/>
                <w:sz w:val="14"/>
                <w:szCs w:val="14"/>
                <w:lang w:val="en-GB"/>
              </w:rPr>
            </w:pPr>
            <w:r w:rsidRPr="00D160FB">
              <w:rPr>
                <w:rFonts w:cs="Arial"/>
                <w:color w:val="0D0D0D" w:themeColor="text1" w:themeTint="F2"/>
                <w:sz w:val="14"/>
                <w:szCs w:val="14"/>
                <w:lang w:val="en-GB"/>
              </w:rPr>
              <w:t>Source: CZSO (LFSS, business cycle surveys), MLSA (job vacancies registered at labour offices in the CR)</w:t>
            </w:r>
          </w:p>
          <w:p w14:paraId="3F450157" w14:textId="20CC9519" w:rsidR="00312C83" w:rsidRPr="00D160FB" w:rsidRDefault="00312C83" w:rsidP="0024233F">
            <w:pPr>
              <w:spacing w:after="0"/>
              <w:rPr>
                <w:rFonts w:cs="Arial"/>
                <w:b/>
                <w:bCs/>
                <w:color w:val="0D0D0D" w:themeColor="text1" w:themeTint="F2"/>
                <w:spacing w:val="-2"/>
                <w:sz w:val="16"/>
                <w:szCs w:val="16"/>
                <w:lang w:val="en-GB"/>
              </w:rPr>
            </w:pPr>
          </w:p>
        </w:tc>
      </w:tr>
      <w:tr w:rsidR="003D13A6" w:rsidRPr="00D160FB" w14:paraId="55E42A98" w14:textId="77777777" w:rsidTr="003D13A6">
        <w:trPr>
          <w:trHeight w:val="132"/>
        </w:trPr>
        <w:tc>
          <w:tcPr>
            <w:tcW w:w="1722" w:type="dxa"/>
            <w:shd w:val="clear" w:color="auto" w:fill="auto"/>
            <w:tcMar>
              <w:left w:w="0" w:type="dxa"/>
            </w:tcMar>
          </w:tcPr>
          <w:p w14:paraId="1F98E712" w14:textId="544335DF" w:rsidR="003D13A6" w:rsidRPr="00D160FB" w:rsidRDefault="003D13A6" w:rsidP="003D13A6">
            <w:pPr>
              <w:pStyle w:val="Marginlie"/>
              <w:rPr>
                <w:color w:val="0D0D0D" w:themeColor="text1" w:themeTint="F2"/>
                <w:spacing w:val="-5"/>
                <w:lang w:val="en-GB"/>
              </w:rPr>
            </w:pPr>
            <w:r w:rsidRPr="00D160FB">
              <w:rPr>
                <w:color w:val="0D0D0D" w:themeColor="text1" w:themeTint="F2"/>
                <w:spacing w:val="-5"/>
                <w:lang w:val="en-GB"/>
              </w:rPr>
              <w:lastRenderedPageBreak/>
              <w:t>D</w:t>
            </w:r>
            <w:r>
              <w:rPr>
                <w:color w:val="0D0D0D" w:themeColor="text1" w:themeTint="F2"/>
                <w:spacing w:val="-5"/>
                <w:lang w:val="en-GB"/>
              </w:rPr>
              <w:t>ecline of job vacancies was all-</w:t>
            </w:r>
            <w:r w:rsidRPr="00D160FB">
              <w:rPr>
                <w:color w:val="0D0D0D" w:themeColor="text1" w:themeTint="F2"/>
                <w:spacing w:val="-5"/>
                <w:lang w:val="en-GB"/>
              </w:rPr>
              <w:t xml:space="preserve">encompassing, the supply for persons with minimal qualification shrank the most. </w:t>
            </w:r>
          </w:p>
          <w:p w14:paraId="47E550F1" w14:textId="77777777" w:rsidR="003D13A6" w:rsidRPr="00D160FB" w:rsidRDefault="003D13A6" w:rsidP="003D13A6">
            <w:pPr>
              <w:pStyle w:val="Marginlie"/>
              <w:rPr>
                <w:color w:val="0D0D0D" w:themeColor="text1" w:themeTint="F2"/>
                <w:spacing w:val="-5"/>
                <w:lang w:val="en-GB"/>
              </w:rPr>
            </w:pPr>
          </w:p>
          <w:p w14:paraId="435EF841" w14:textId="77777777" w:rsidR="003D13A6" w:rsidRPr="00D160FB" w:rsidRDefault="003D13A6" w:rsidP="003D13A6">
            <w:pPr>
              <w:pStyle w:val="Marginlie"/>
              <w:rPr>
                <w:color w:val="0D0D0D" w:themeColor="text1" w:themeTint="F2"/>
                <w:spacing w:val="-5"/>
                <w:lang w:val="en-GB"/>
              </w:rPr>
            </w:pPr>
          </w:p>
          <w:p w14:paraId="2D66B320" w14:textId="77777777" w:rsidR="003D13A6" w:rsidRPr="00D160FB" w:rsidRDefault="003D13A6" w:rsidP="003D13A6">
            <w:pPr>
              <w:pStyle w:val="Marginlie"/>
              <w:rPr>
                <w:color w:val="0D0D0D" w:themeColor="text1" w:themeTint="F2"/>
                <w:spacing w:val="-5"/>
                <w:lang w:val="en-GB"/>
              </w:rPr>
            </w:pPr>
          </w:p>
          <w:p w14:paraId="57F2A079" w14:textId="77777777" w:rsidR="003D13A6" w:rsidRPr="00D160FB" w:rsidRDefault="003D13A6" w:rsidP="003D13A6">
            <w:pPr>
              <w:pStyle w:val="Marginlie"/>
              <w:rPr>
                <w:color w:val="0D0D0D" w:themeColor="text1" w:themeTint="F2"/>
                <w:spacing w:val="-5"/>
                <w:lang w:val="en-GB"/>
              </w:rPr>
            </w:pPr>
          </w:p>
          <w:p w14:paraId="60BE5429" w14:textId="75E0AC41" w:rsidR="003D13A6" w:rsidRPr="00D160FB" w:rsidRDefault="000F34A8" w:rsidP="003D13A6">
            <w:pPr>
              <w:pStyle w:val="Marginlie"/>
              <w:rPr>
                <w:spacing w:val="-4"/>
                <w:lang w:val="en-GB"/>
              </w:rPr>
            </w:pPr>
            <w:r>
              <w:rPr>
                <w:color w:val="0D0D0D" w:themeColor="text1" w:themeTint="F2"/>
                <w:spacing w:val="-5"/>
                <w:lang w:val="en-GB"/>
              </w:rPr>
              <w:t>Five</w:t>
            </w:r>
            <w:r w:rsidR="003D13A6" w:rsidRPr="00D160FB">
              <w:rPr>
                <w:color w:val="0D0D0D" w:themeColor="text1" w:themeTint="F2"/>
                <w:spacing w:val="-5"/>
                <w:lang w:val="en-GB"/>
              </w:rPr>
              <w:t xml:space="preserve"> regions of the CR registered excess supply of vacancies over numbers of job</w:t>
            </w:r>
            <w:r>
              <w:rPr>
                <w:color w:val="0D0D0D" w:themeColor="text1" w:themeTint="F2"/>
                <w:spacing w:val="-5"/>
                <w:lang w:val="en-GB"/>
              </w:rPr>
              <w:t xml:space="preserve"> applicants in January 2023</w:t>
            </w:r>
            <w:r w:rsidR="003D13A6" w:rsidRPr="00D160FB">
              <w:rPr>
                <w:color w:val="0D0D0D" w:themeColor="text1" w:themeTint="F2"/>
                <w:spacing w:val="-5"/>
                <w:lang w:val="en-GB"/>
              </w:rPr>
              <w:t>.</w:t>
            </w:r>
          </w:p>
        </w:tc>
        <w:tc>
          <w:tcPr>
            <w:tcW w:w="202" w:type="dxa"/>
            <w:shd w:val="clear" w:color="auto" w:fill="auto"/>
            <w:tcMar>
              <w:left w:w="0" w:type="dxa"/>
            </w:tcMar>
          </w:tcPr>
          <w:p w14:paraId="00AFA38E" w14:textId="77777777" w:rsidR="003D13A6" w:rsidRPr="00D160FB" w:rsidRDefault="003D13A6" w:rsidP="00C8019E">
            <w:pPr>
              <w:pStyle w:val="Textpoznpodarou"/>
              <w:jc w:val="both"/>
              <w:rPr>
                <w:spacing w:val="-4"/>
                <w:lang w:val="en-GB"/>
              </w:rPr>
            </w:pPr>
          </w:p>
        </w:tc>
        <w:tc>
          <w:tcPr>
            <w:tcW w:w="7750" w:type="dxa"/>
            <w:shd w:val="clear" w:color="auto" w:fill="auto"/>
            <w:tcMar>
              <w:left w:w="0" w:type="dxa"/>
            </w:tcMar>
          </w:tcPr>
          <w:p w14:paraId="6D223F52" w14:textId="1BF91D87" w:rsidR="003D13A6" w:rsidRPr="00D160FB" w:rsidRDefault="003D13A6" w:rsidP="003D13A6">
            <w:pPr>
              <w:spacing w:after="200"/>
              <w:rPr>
                <w:color w:val="0D0D0D" w:themeColor="text1" w:themeTint="F2"/>
                <w:spacing w:val="-4"/>
                <w:lang w:val="en-GB"/>
              </w:rPr>
            </w:pPr>
            <w:r w:rsidRPr="00D160FB">
              <w:rPr>
                <w:color w:val="0D0D0D" w:themeColor="text1" w:themeTint="F2"/>
                <w:spacing w:val="-4"/>
                <w:lang w:val="en-GB"/>
              </w:rPr>
              <w:t>Job vacancies requiring minimum qualification (maximum primary education) decreased relatively the most year-on-year, by 23% compared to January 2022 (to 202 thousand). It can be assumed, that part of the less qualified positions could have been filled by the refugees from Ukraine. The supply of positions for secondary school leavers without certificate decreased, specifically by 13.9% (to 43 thousand), for persons with higher education then by 8.5% (to 37 thousand.). The excess of the entire supply of job vacancies over the number of registered job applicants occurred in five regions</w:t>
            </w:r>
            <w:r w:rsidR="000F34A8">
              <w:rPr>
                <w:color w:val="0D0D0D" w:themeColor="text1" w:themeTint="F2"/>
                <w:spacing w:val="-4"/>
                <w:lang w:val="en-GB"/>
              </w:rPr>
              <w:t xml:space="preserve"> (</w:t>
            </w:r>
            <w:proofErr w:type="spellStart"/>
            <w:r w:rsidR="000F34A8" w:rsidRPr="000F34A8">
              <w:rPr>
                <w:i/>
                <w:color w:val="0D0D0D" w:themeColor="text1" w:themeTint="F2"/>
                <w:spacing w:val="-4"/>
                <w:lang w:val="en-GB"/>
              </w:rPr>
              <w:t>Kraje</w:t>
            </w:r>
            <w:proofErr w:type="spellEnd"/>
            <w:r w:rsidR="000F34A8">
              <w:rPr>
                <w:color w:val="0D0D0D" w:themeColor="text1" w:themeTint="F2"/>
                <w:spacing w:val="-4"/>
                <w:lang w:val="en-GB"/>
              </w:rPr>
              <w:t>)</w:t>
            </w:r>
            <w:r w:rsidRPr="00D160FB">
              <w:rPr>
                <w:color w:val="0D0D0D" w:themeColor="text1" w:themeTint="F2"/>
                <w:spacing w:val="-4"/>
                <w:lang w:val="en-GB"/>
              </w:rPr>
              <w:t xml:space="preserve"> of the CR in October an</w:t>
            </w:r>
            <w:r w:rsidR="00AD4FF6">
              <w:rPr>
                <w:color w:val="0D0D0D" w:themeColor="text1" w:themeTint="F2"/>
                <w:spacing w:val="-4"/>
                <w:lang w:val="en-GB"/>
              </w:rPr>
              <w:t>d in one third of smaller units (</w:t>
            </w:r>
            <w:proofErr w:type="spellStart"/>
            <w:r w:rsidR="00AD4FF6" w:rsidRPr="00AD4FF6">
              <w:rPr>
                <w:i/>
                <w:color w:val="0D0D0D" w:themeColor="text1" w:themeTint="F2"/>
                <w:spacing w:val="-4"/>
                <w:lang w:val="en-GB"/>
              </w:rPr>
              <w:t>Okresy</w:t>
            </w:r>
            <w:proofErr w:type="spellEnd"/>
            <w:r w:rsidR="00AD4FF6">
              <w:rPr>
                <w:color w:val="0D0D0D" w:themeColor="text1" w:themeTint="F2"/>
                <w:spacing w:val="-4"/>
                <w:lang w:val="en-GB"/>
              </w:rPr>
              <w:t>)</w:t>
            </w:r>
            <w:r w:rsidRPr="00D160FB">
              <w:rPr>
                <w:color w:val="0D0D0D" w:themeColor="text1" w:themeTint="F2"/>
                <w:spacing w:val="-4"/>
                <w:lang w:val="en-GB"/>
              </w:rPr>
              <w:t xml:space="preserve"> (apart from Prague usually in Central, Southwest and East Bohemia). In</w:t>
            </w:r>
            <w:r w:rsidR="00AD4FF6">
              <w:rPr>
                <w:color w:val="0D0D0D" w:themeColor="text1" w:themeTint="F2"/>
                <w:spacing w:val="-4"/>
                <w:lang w:val="en-GB"/>
              </w:rPr>
              <w:t xml:space="preserve"> contrast, in all smaller units</w:t>
            </w:r>
            <w:r w:rsidRPr="00D160FB">
              <w:rPr>
                <w:color w:val="0D0D0D" w:themeColor="text1" w:themeTint="F2"/>
                <w:spacing w:val="-4"/>
                <w:lang w:val="en-GB"/>
              </w:rPr>
              <w:t xml:space="preserve"> of </w:t>
            </w:r>
            <w:proofErr w:type="spellStart"/>
            <w:r w:rsidRPr="00D160FB">
              <w:rPr>
                <w:color w:val="0D0D0D" w:themeColor="text1" w:themeTint="F2"/>
                <w:spacing w:val="-4"/>
                <w:lang w:val="en-GB"/>
              </w:rPr>
              <w:t>Ustecky</w:t>
            </w:r>
            <w:proofErr w:type="spellEnd"/>
            <w:r w:rsidRPr="00D160FB">
              <w:rPr>
                <w:color w:val="0D0D0D" w:themeColor="text1" w:themeTint="F2"/>
                <w:spacing w:val="-4"/>
                <w:lang w:val="en-GB"/>
              </w:rPr>
              <w:t xml:space="preserve">, </w:t>
            </w:r>
            <w:proofErr w:type="spellStart"/>
            <w:r w:rsidRPr="00D160FB">
              <w:rPr>
                <w:color w:val="0D0D0D" w:themeColor="text1" w:themeTint="F2"/>
                <w:spacing w:val="-4"/>
                <w:lang w:val="en-GB"/>
              </w:rPr>
              <w:t>Liberecky</w:t>
            </w:r>
            <w:proofErr w:type="spellEnd"/>
            <w:r w:rsidRPr="00D160FB">
              <w:rPr>
                <w:color w:val="0D0D0D" w:themeColor="text1" w:themeTint="F2"/>
                <w:spacing w:val="-4"/>
                <w:lang w:val="en-GB"/>
              </w:rPr>
              <w:t xml:space="preserve">, </w:t>
            </w:r>
            <w:proofErr w:type="spellStart"/>
            <w:r w:rsidRPr="00D160FB">
              <w:rPr>
                <w:color w:val="0D0D0D" w:themeColor="text1" w:themeTint="F2"/>
                <w:spacing w:val="-4"/>
                <w:lang w:val="en-GB"/>
              </w:rPr>
              <w:t>Olomoucky</w:t>
            </w:r>
            <w:proofErr w:type="spellEnd"/>
            <w:r w:rsidRPr="00D160FB">
              <w:rPr>
                <w:color w:val="0D0D0D" w:themeColor="text1" w:themeTint="F2"/>
                <w:spacing w:val="-4"/>
                <w:lang w:val="en-GB"/>
              </w:rPr>
              <w:t xml:space="preserve"> as well as Moravia Silesia regions the supply of job vacancies at LO could not even theoretically (regardless of the qualification demands) fully cover the demand on the part of job applicants already at</w:t>
            </w:r>
            <w:r>
              <w:rPr>
                <w:color w:val="0D0D0D" w:themeColor="text1" w:themeTint="F2"/>
                <w:spacing w:val="-4"/>
                <w:lang w:val="en-GB"/>
              </w:rPr>
              <w:t xml:space="preserve"> the end of January this year. </w:t>
            </w:r>
            <w:r w:rsidRPr="00D160FB">
              <w:rPr>
                <w:color w:val="0D0D0D" w:themeColor="text1" w:themeTint="F2"/>
                <w:spacing w:val="-4"/>
                <w:lang w:val="en-GB"/>
              </w:rPr>
              <w:t xml:space="preserve">Traditionally, the worst situation exists in </w:t>
            </w:r>
            <w:proofErr w:type="spellStart"/>
            <w:r w:rsidRPr="00D160FB">
              <w:rPr>
                <w:color w:val="0D0D0D" w:themeColor="text1" w:themeTint="F2"/>
                <w:spacing w:val="-4"/>
                <w:lang w:val="en-GB"/>
              </w:rPr>
              <w:t>Karvinsko</w:t>
            </w:r>
            <w:proofErr w:type="spellEnd"/>
            <w:r w:rsidRPr="00D160FB">
              <w:rPr>
                <w:color w:val="0D0D0D" w:themeColor="text1" w:themeTint="F2"/>
                <w:spacing w:val="-4"/>
                <w:lang w:val="en-GB"/>
              </w:rPr>
              <w:t xml:space="preserve"> (with 12 applicants per one position), where in addition the decision regarding the prolongation of coal mining prevented more substantial worsening.  </w:t>
            </w:r>
          </w:p>
        </w:tc>
      </w:tr>
      <w:tr w:rsidR="00B646BC" w:rsidRPr="00D160FB" w14:paraId="5501AED2" w14:textId="77777777" w:rsidTr="003D13A6">
        <w:trPr>
          <w:trHeight w:val="132"/>
        </w:trPr>
        <w:tc>
          <w:tcPr>
            <w:tcW w:w="1722" w:type="dxa"/>
            <w:shd w:val="clear" w:color="auto" w:fill="auto"/>
            <w:tcMar>
              <w:left w:w="0" w:type="dxa"/>
            </w:tcMar>
          </w:tcPr>
          <w:p w14:paraId="29A0A166" w14:textId="259B9FC1" w:rsidR="001C3855" w:rsidRPr="00D160FB" w:rsidRDefault="00886032" w:rsidP="00C8019E">
            <w:pPr>
              <w:pStyle w:val="Marginlie"/>
              <w:rPr>
                <w:spacing w:val="-4"/>
                <w:lang w:val="en-GB"/>
              </w:rPr>
            </w:pPr>
            <w:r w:rsidRPr="00D160FB">
              <w:rPr>
                <w:spacing w:val="-4"/>
                <w:lang w:val="en-GB"/>
              </w:rPr>
              <w:t xml:space="preserve">Quarter-on-quarter </w:t>
            </w:r>
            <w:r w:rsidR="00BD754D" w:rsidRPr="00D160FB">
              <w:rPr>
                <w:spacing w:val="-4"/>
                <w:lang w:val="en-GB"/>
              </w:rPr>
              <w:t xml:space="preserve">nominal growth of the average wage slightly accelerated during year </w:t>
            </w:r>
            <w:r w:rsidR="001C3855" w:rsidRPr="00D160FB">
              <w:rPr>
                <w:spacing w:val="-4"/>
                <w:lang w:val="en-GB"/>
              </w:rPr>
              <w:t>2022.</w:t>
            </w:r>
          </w:p>
          <w:p w14:paraId="125C8393" w14:textId="77777777" w:rsidR="001C3855" w:rsidRPr="00D160FB" w:rsidRDefault="001C3855" w:rsidP="00C8019E">
            <w:pPr>
              <w:pStyle w:val="Marginlie"/>
              <w:rPr>
                <w:spacing w:val="-4"/>
                <w:lang w:val="en-GB"/>
              </w:rPr>
            </w:pPr>
          </w:p>
          <w:p w14:paraId="023056C1" w14:textId="77777777" w:rsidR="001C3855" w:rsidRPr="00D160FB" w:rsidRDefault="001C3855" w:rsidP="00C8019E">
            <w:pPr>
              <w:pStyle w:val="Marginlie"/>
              <w:rPr>
                <w:spacing w:val="-4"/>
                <w:lang w:val="en-GB"/>
              </w:rPr>
            </w:pPr>
          </w:p>
          <w:p w14:paraId="137CCE02" w14:textId="77777777" w:rsidR="001C3855" w:rsidRPr="00D160FB" w:rsidRDefault="001C3855" w:rsidP="00C8019E">
            <w:pPr>
              <w:pStyle w:val="Marginlie"/>
              <w:rPr>
                <w:spacing w:val="-4"/>
                <w:lang w:val="en-GB"/>
              </w:rPr>
            </w:pPr>
          </w:p>
          <w:p w14:paraId="35F7D66E" w14:textId="77777777" w:rsidR="001C3855" w:rsidRPr="00D160FB" w:rsidRDefault="001C3855" w:rsidP="00C8019E">
            <w:pPr>
              <w:pStyle w:val="Marginlie"/>
              <w:rPr>
                <w:spacing w:val="-4"/>
                <w:lang w:val="en-GB"/>
              </w:rPr>
            </w:pPr>
          </w:p>
          <w:p w14:paraId="7FEA112D" w14:textId="77777777" w:rsidR="001C3855" w:rsidRPr="00D160FB" w:rsidRDefault="001C3855" w:rsidP="00C8019E">
            <w:pPr>
              <w:pStyle w:val="Marginlie"/>
              <w:rPr>
                <w:spacing w:val="-4"/>
                <w:lang w:val="en-GB"/>
              </w:rPr>
            </w:pPr>
          </w:p>
          <w:p w14:paraId="51A1D5AC" w14:textId="77777777" w:rsidR="001C3855" w:rsidRPr="00D160FB" w:rsidRDefault="001C3855" w:rsidP="00C8019E">
            <w:pPr>
              <w:pStyle w:val="Marginlie"/>
              <w:rPr>
                <w:spacing w:val="-4"/>
                <w:lang w:val="en-GB"/>
              </w:rPr>
            </w:pPr>
          </w:p>
          <w:p w14:paraId="488EF7BB" w14:textId="368B5ADD" w:rsidR="001C3855" w:rsidRPr="00D160FB" w:rsidRDefault="001A5DD6" w:rsidP="00C8019E">
            <w:pPr>
              <w:pStyle w:val="Marginlie"/>
              <w:rPr>
                <w:spacing w:val="-4"/>
                <w:lang w:val="en-GB"/>
              </w:rPr>
            </w:pPr>
            <w:r w:rsidRPr="00D160FB">
              <w:rPr>
                <w:spacing w:val="-4"/>
                <w:lang w:val="en-GB"/>
              </w:rPr>
              <w:t xml:space="preserve">Striking year-on-year fall of real wages continued for the fifth quarter in a row. It afflicted all branches and regions. </w:t>
            </w:r>
          </w:p>
          <w:p w14:paraId="2FC2AF61" w14:textId="77777777" w:rsidR="001C3855" w:rsidRPr="00D160FB" w:rsidRDefault="001C3855" w:rsidP="00C8019E">
            <w:pPr>
              <w:pStyle w:val="Marginlie"/>
              <w:rPr>
                <w:spacing w:val="-4"/>
                <w:lang w:val="en-GB"/>
              </w:rPr>
            </w:pPr>
          </w:p>
        </w:tc>
        <w:tc>
          <w:tcPr>
            <w:tcW w:w="202" w:type="dxa"/>
            <w:shd w:val="clear" w:color="auto" w:fill="auto"/>
            <w:tcMar>
              <w:left w:w="0" w:type="dxa"/>
            </w:tcMar>
          </w:tcPr>
          <w:p w14:paraId="5ACEEC09" w14:textId="77777777" w:rsidR="001C3855" w:rsidRPr="00D160FB" w:rsidRDefault="001C3855" w:rsidP="00C8019E">
            <w:pPr>
              <w:pStyle w:val="Textpoznpodarou"/>
              <w:jc w:val="both"/>
              <w:rPr>
                <w:spacing w:val="-4"/>
                <w:lang w:val="en-GB"/>
              </w:rPr>
            </w:pPr>
          </w:p>
        </w:tc>
        <w:tc>
          <w:tcPr>
            <w:tcW w:w="7750" w:type="dxa"/>
            <w:shd w:val="clear" w:color="auto" w:fill="auto"/>
            <w:tcMar>
              <w:left w:w="0" w:type="dxa"/>
            </w:tcMar>
          </w:tcPr>
          <w:p w14:paraId="4F420044" w14:textId="14D4798C" w:rsidR="001C3855" w:rsidRPr="00D160FB" w:rsidRDefault="00BD754D" w:rsidP="00C8019E">
            <w:pPr>
              <w:spacing w:after="0"/>
              <w:rPr>
                <w:spacing w:val="-4"/>
                <w:lang w:val="en-GB"/>
              </w:rPr>
            </w:pPr>
            <w:r w:rsidRPr="00D160FB">
              <w:rPr>
                <w:color w:val="0D0D0D" w:themeColor="text1" w:themeTint="F2"/>
                <w:spacing w:val="-4"/>
                <w:lang w:val="en-GB"/>
              </w:rPr>
              <w:t xml:space="preserve">The average gross monthly nominal wage </w:t>
            </w:r>
            <w:r w:rsidR="001C3855" w:rsidRPr="00D160FB">
              <w:rPr>
                <w:color w:val="0D0D0D" w:themeColor="text1" w:themeTint="F2"/>
                <w:spacing w:val="-4"/>
                <w:lang w:val="en-GB"/>
              </w:rPr>
              <w:t>(</w:t>
            </w:r>
            <w:r w:rsidRPr="00D160FB">
              <w:rPr>
                <w:color w:val="0D0D0D" w:themeColor="text1" w:themeTint="F2"/>
                <w:spacing w:val="-4"/>
                <w:lang w:val="en-GB"/>
              </w:rPr>
              <w:t>per employee</w:t>
            </w:r>
            <w:r w:rsidR="001C3855" w:rsidRPr="00D160FB">
              <w:rPr>
                <w:color w:val="0D0D0D" w:themeColor="text1" w:themeTint="F2"/>
                <w:spacing w:val="-4"/>
                <w:lang w:val="en-GB"/>
              </w:rPr>
              <w:t xml:space="preserve">, </w:t>
            </w:r>
            <w:r w:rsidR="006B4B60" w:rsidRPr="00D160FB">
              <w:rPr>
                <w:color w:val="0D0D0D" w:themeColor="text1" w:themeTint="F2"/>
                <w:spacing w:val="-4"/>
                <w:lang w:val="en-GB"/>
              </w:rPr>
              <w:t xml:space="preserve">with regards to the </w:t>
            </w:r>
            <w:r w:rsidR="001A5DD6" w:rsidRPr="00D160FB">
              <w:rPr>
                <w:color w:val="0D0D0D" w:themeColor="text1" w:themeTint="F2"/>
                <w:spacing w:val="-4"/>
                <w:lang w:val="en-GB"/>
              </w:rPr>
              <w:t>length</w:t>
            </w:r>
            <w:r w:rsidR="006B4B60" w:rsidRPr="00D160FB">
              <w:rPr>
                <w:color w:val="0D0D0D" w:themeColor="text1" w:themeTint="F2"/>
                <w:spacing w:val="-4"/>
                <w:lang w:val="en-GB"/>
              </w:rPr>
              <w:t xml:space="preserve"> of job contract</w:t>
            </w:r>
            <w:r w:rsidR="001C3855" w:rsidRPr="00D160FB">
              <w:rPr>
                <w:color w:val="0D0D0D" w:themeColor="text1" w:themeTint="F2"/>
                <w:spacing w:val="-4"/>
                <w:lang w:val="en-GB"/>
              </w:rPr>
              <w:t xml:space="preserve">) </w:t>
            </w:r>
            <w:r w:rsidR="006B4B60" w:rsidRPr="00D160FB">
              <w:rPr>
                <w:color w:val="0D0D0D" w:themeColor="text1" w:themeTint="F2"/>
                <w:spacing w:val="-4"/>
                <w:lang w:val="en-GB"/>
              </w:rPr>
              <w:t xml:space="preserve">climbed up to </w:t>
            </w:r>
            <w:r w:rsidR="001C3855" w:rsidRPr="00D160FB">
              <w:rPr>
                <w:color w:val="0D0D0D" w:themeColor="text1" w:themeTint="F2"/>
                <w:spacing w:val="-4"/>
                <w:lang w:val="en-GB"/>
              </w:rPr>
              <w:t xml:space="preserve">43 412 </w:t>
            </w:r>
            <w:r w:rsidR="006B4B60" w:rsidRPr="00D160FB">
              <w:rPr>
                <w:color w:val="0D0D0D" w:themeColor="text1" w:themeTint="F2"/>
                <w:spacing w:val="-4"/>
                <w:lang w:val="en-GB"/>
              </w:rPr>
              <w:t xml:space="preserve">CZK thousand in Q4 2022 and it was by </w:t>
            </w:r>
            <w:r w:rsidR="001C3855" w:rsidRPr="00D160FB">
              <w:rPr>
                <w:color w:val="0D0D0D" w:themeColor="text1" w:themeTint="F2"/>
                <w:spacing w:val="-4"/>
                <w:lang w:val="en-GB"/>
              </w:rPr>
              <w:t>7</w:t>
            </w:r>
            <w:r w:rsidR="006B4B60" w:rsidRPr="00D160FB">
              <w:rPr>
                <w:color w:val="0D0D0D" w:themeColor="text1" w:themeTint="F2"/>
                <w:spacing w:val="-4"/>
                <w:lang w:val="en-GB"/>
              </w:rPr>
              <w:t>.</w:t>
            </w:r>
            <w:r w:rsidR="001C3855" w:rsidRPr="00D160FB">
              <w:rPr>
                <w:color w:val="0D0D0D" w:themeColor="text1" w:themeTint="F2"/>
                <w:spacing w:val="-4"/>
                <w:lang w:val="en-GB"/>
              </w:rPr>
              <w:t>9%</w:t>
            </w:r>
            <w:r w:rsidR="006B4B60" w:rsidRPr="00D160FB">
              <w:rPr>
                <w:color w:val="0D0D0D" w:themeColor="text1" w:themeTint="F2"/>
                <w:spacing w:val="-4"/>
                <w:lang w:val="en-GB"/>
              </w:rPr>
              <w:t xml:space="preserve"> higher year-on-year</w:t>
            </w:r>
            <w:r w:rsidR="001C3855" w:rsidRPr="00D160FB">
              <w:rPr>
                <w:color w:val="0D0D0D" w:themeColor="text1" w:themeTint="F2"/>
                <w:spacing w:val="-4"/>
                <w:lang w:val="en-GB"/>
              </w:rPr>
              <w:t xml:space="preserve">. </w:t>
            </w:r>
            <w:r w:rsidR="001A5DD6" w:rsidRPr="00D160FB">
              <w:rPr>
                <w:color w:val="0D0D0D" w:themeColor="text1" w:themeTint="F2"/>
                <w:spacing w:val="-4"/>
                <w:lang w:val="en-GB"/>
              </w:rPr>
              <w:t xml:space="preserve">Wage after adjustment for seasonal effects increased by </w:t>
            </w:r>
            <w:r w:rsidR="001C3855" w:rsidRPr="00D160FB">
              <w:rPr>
                <w:spacing w:val="-4"/>
                <w:lang w:val="en-GB"/>
              </w:rPr>
              <w:t>2</w:t>
            </w:r>
            <w:r w:rsidR="001A5DD6" w:rsidRPr="00D160FB">
              <w:rPr>
                <w:spacing w:val="-4"/>
                <w:lang w:val="en-GB"/>
              </w:rPr>
              <w:t>.</w:t>
            </w:r>
            <w:r w:rsidR="001C3855" w:rsidRPr="00D160FB">
              <w:rPr>
                <w:spacing w:val="-4"/>
                <w:lang w:val="en-GB"/>
              </w:rPr>
              <w:t>1%</w:t>
            </w:r>
            <w:r w:rsidR="001A5DD6" w:rsidRPr="00D160FB">
              <w:rPr>
                <w:spacing w:val="-4"/>
                <w:lang w:val="en-GB"/>
              </w:rPr>
              <w:t xml:space="preserve"> quarter-on-quarter in Q4</w:t>
            </w:r>
            <w:r w:rsidR="001C3855" w:rsidRPr="00D160FB">
              <w:rPr>
                <w:spacing w:val="-4"/>
                <w:lang w:val="en-GB"/>
              </w:rPr>
              <w:t xml:space="preserve">, </w:t>
            </w:r>
            <w:r w:rsidR="00996370" w:rsidRPr="00D160FB">
              <w:rPr>
                <w:spacing w:val="-4"/>
                <w:lang w:val="en-GB"/>
              </w:rPr>
              <w:t xml:space="preserve">which in the context from the beginning of the last year signal a mild acceleration. It however was not sufficient for employees to cover the sharply growing costs of living. Since the deep year-on-year fall of the average real wage continued for the fifth quarter in a row, even though in comparison to record nearly </w:t>
            </w:r>
            <w:r w:rsidR="001C3855" w:rsidRPr="00D160FB">
              <w:rPr>
                <w:spacing w:val="-4"/>
                <w:lang w:val="en-GB"/>
              </w:rPr>
              <w:t xml:space="preserve">10% </w:t>
            </w:r>
            <w:r w:rsidR="00996370" w:rsidRPr="00D160FB">
              <w:rPr>
                <w:spacing w:val="-4"/>
                <w:lang w:val="en-GB"/>
              </w:rPr>
              <w:t>falls in both Q</w:t>
            </w:r>
            <w:r w:rsidR="001C3855" w:rsidRPr="00D160FB">
              <w:rPr>
                <w:spacing w:val="-4"/>
                <w:lang w:val="en-GB"/>
              </w:rPr>
              <w:t>2</w:t>
            </w:r>
            <w:r w:rsidR="00996370" w:rsidRPr="00D160FB">
              <w:rPr>
                <w:spacing w:val="-4"/>
                <w:lang w:val="en-GB"/>
              </w:rPr>
              <w:t xml:space="preserve"> and </w:t>
            </w:r>
            <w:r w:rsidR="009E1FDE" w:rsidRPr="00D160FB">
              <w:rPr>
                <w:spacing w:val="-4"/>
                <w:lang w:val="en-GB"/>
              </w:rPr>
              <w:t>Q</w:t>
            </w:r>
            <w:r w:rsidR="001C3855" w:rsidRPr="00D160FB">
              <w:rPr>
                <w:spacing w:val="-4"/>
                <w:lang w:val="en-GB"/>
              </w:rPr>
              <w:t>3</w:t>
            </w:r>
            <w:r w:rsidR="00996370" w:rsidRPr="00D160FB">
              <w:rPr>
                <w:spacing w:val="-4"/>
                <w:lang w:val="en-GB"/>
              </w:rPr>
              <w:t xml:space="preserve"> </w:t>
            </w:r>
            <w:r w:rsidR="001C3855" w:rsidRPr="00D160FB">
              <w:rPr>
                <w:spacing w:val="-4"/>
                <w:lang w:val="en-GB"/>
              </w:rPr>
              <w:t>2022</w:t>
            </w:r>
            <w:r w:rsidR="00996370" w:rsidRPr="00D160FB">
              <w:rPr>
                <w:spacing w:val="-4"/>
                <w:lang w:val="en-GB"/>
              </w:rPr>
              <w:t xml:space="preserve"> eased its pace at the end of the year </w:t>
            </w:r>
            <w:r w:rsidR="001C3855" w:rsidRPr="00D160FB">
              <w:rPr>
                <w:spacing w:val="-4"/>
                <w:lang w:val="en-GB"/>
              </w:rPr>
              <w:t>(</w:t>
            </w:r>
            <w:r w:rsidR="00996370" w:rsidRPr="00D160FB">
              <w:rPr>
                <w:spacing w:val="-4"/>
                <w:lang w:val="en-GB"/>
              </w:rPr>
              <w:t xml:space="preserve">to </w:t>
            </w:r>
            <w:r w:rsidR="001C3855" w:rsidRPr="00D160FB">
              <w:rPr>
                <w:spacing w:val="-4"/>
                <w:lang w:val="en-GB"/>
              </w:rPr>
              <w:t>−6</w:t>
            </w:r>
            <w:r w:rsidR="00996370" w:rsidRPr="00D160FB">
              <w:rPr>
                <w:spacing w:val="-4"/>
                <w:lang w:val="en-GB"/>
              </w:rPr>
              <w:t>.</w:t>
            </w:r>
            <w:r w:rsidR="001C3855" w:rsidRPr="00D160FB">
              <w:rPr>
                <w:spacing w:val="-4"/>
                <w:lang w:val="en-GB"/>
              </w:rPr>
              <w:t xml:space="preserve">7%). </w:t>
            </w:r>
            <w:r w:rsidR="00C10742" w:rsidRPr="00D160FB">
              <w:rPr>
                <w:spacing w:val="-4"/>
                <w:lang w:val="en-GB"/>
              </w:rPr>
              <w:t xml:space="preserve">Cause of this moderation lied more than in the area of earnings in the temporary slowdown of the consumer price growth </w:t>
            </w:r>
            <w:r w:rsidR="001C3855" w:rsidRPr="00D160FB">
              <w:rPr>
                <w:spacing w:val="-4"/>
                <w:lang w:val="en-GB"/>
              </w:rPr>
              <w:t>(</w:t>
            </w:r>
            <w:r w:rsidR="00C10742" w:rsidRPr="00D160FB">
              <w:rPr>
                <w:spacing w:val="-4"/>
                <w:lang w:val="en-GB"/>
              </w:rPr>
              <w:t xml:space="preserve">due to introduction of the saving energy </w:t>
            </w:r>
            <w:r w:rsidR="006760B8" w:rsidRPr="00D160FB">
              <w:rPr>
                <w:spacing w:val="-4"/>
                <w:lang w:val="en-GB"/>
              </w:rPr>
              <w:t>tariff</w:t>
            </w:r>
            <w:r w:rsidR="00C10742" w:rsidRPr="00D160FB">
              <w:rPr>
                <w:spacing w:val="-4"/>
                <w:lang w:val="en-GB"/>
              </w:rPr>
              <w:t xml:space="preserve"> for households</w:t>
            </w:r>
            <w:r w:rsidR="001C3855" w:rsidRPr="00D160FB">
              <w:rPr>
                <w:spacing w:val="-4"/>
                <w:lang w:val="en-GB"/>
              </w:rPr>
              <w:t xml:space="preserve">). </w:t>
            </w:r>
            <w:r w:rsidR="006760B8" w:rsidRPr="00D160FB">
              <w:rPr>
                <w:spacing w:val="-4"/>
                <w:lang w:val="en-GB"/>
              </w:rPr>
              <w:t>Re</w:t>
            </w:r>
            <w:r w:rsidR="00A733D0" w:rsidRPr="00D160FB">
              <w:rPr>
                <w:spacing w:val="-4"/>
                <w:lang w:val="en-GB"/>
              </w:rPr>
              <w:t>gardless of this influence, the real wage dropped in all monitored branch divisions as well as all main industrial branches, similarly as across the CR regions in Q4</w:t>
            </w:r>
            <w:r w:rsidR="001C3855" w:rsidRPr="00D160FB">
              <w:rPr>
                <w:spacing w:val="-4"/>
                <w:lang w:val="en-GB"/>
              </w:rPr>
              <w:t xml:space="preserve">. </w:t>
            </w:r>
            <w:r w:rsidR="00A733D0" w:rsidRPr="00D160FB">
              <w:rPr>
                <w:spacing w:val="-4"/>
                <w:lang w:val="en-GB"/>
              </w:rPr>
              <w:t xml:space="preserve">The Q4 wage development </w:t>
            </w:r>
            <w:r w:rsidR="001C3855" w:rsidRPr="00D160FB">
              <w:rPr>
                <w:spacing w:val="-4"/>
                <w:lang w:val="en-GB"/>
              </w:rPr>
              <w:t>(s</w:t>
            </w:r>
            <w:r w:rsidR="00A733D0" w:rsidRPr="00D160FB">
              <w:rPr>
                <w:spacing w:val="-4"/>
                <w:lang w:val="en-GB"/>
              </w:rPr>
              <w:t>imilarly to the entire last year</w:t>
            </w:r>
            <w:r w:rsidR="001C3855" w:rsidRPr="00D160FB">
              <w:rPr>
                <w:spacing w:val="-4"/>
                <w:lang w:val="en-GB"/>
              </w:rPr>
              <w:t xml:space="preserve">) </w:t>
            </w:r>
            <w:r w:rsidR="00A733D0" w:rsidRPr="00D160FB">
              <w:rPr>
                <w:spacing w:val="-4"/>
                <w:lang w:val="en-GB"/>
              </w:rPr>
              <w:t>thus likely presented the decisive factor in the decrease of the total purchasing power of domestic households</w:t>
            </w:r>
            <w:r w:rsidR="001C3855" w:rsidRPr="00D160FB">
              <w:rPr>
                <w:rStyle w:val="Znakapoznpodarou"/>
                <w:spacing w:val="-4"/>
                <w:lang w:val="en-GB"/>
              </w:rPr>
              <w:footnoteReference w:id="13"/>
            </w:r>
            <w:r w:rsidR="001C3855" w:rsidRPr="00D160FB">
              <w:rPr>
                <w:spacing w:val="-4"/>
                <w:lang w:val="en-GB"/>
              </w:rPr>
              <w:t xml:space="preserve">. </w:t>
            </w:r>
            <w:r w:rsidR="005E18E8" w:rsidRPr="00D160FB">
              <w:rPr>
                <w:spacing w:val="-4"/>
                <w:lang w:val="en-GB"/>
              </w:rPr>
              <w:t xml:space="preserve">The real wage plunged by 7.5% for year </w:t>
            </w:r>
            <w:r w:rsidR="001C3855" w:rsidRPr="00D160FB">
              <w:rPr>
                <w:spacing w:val="-4"/>
                <w:lang w:val="en-GB"/>
              </w:rPr>
              <w:t>2022</w:t>
            </w:r>
            <w:r w:rsidR="005E18E8" w:rsidRPr="00D160FB">
              <w:rPr>
                <w:spacing w:val="-4"/>
                <w:lang w:val="en-GB"/>
              </w:rPr>
              <w:t>,</w:t>
            </w:r>
            <w:r w:rsidR="001C3855" w:rsidRPr="00D160FB">
              <w:rPr>
                <w:spacing w:val="-4"/>
                <w:lang w:val="en-GB"/>
              </w:rPr>
              <w:t xml:space="preserve"> </w:t>
            </w:r>
            <w:r w:rsidR="005E18E8" w:rsidRPr="00D160FB">
              <w:rPr>
                <w:spacing w:val="-4"/>
                <w:lang w:val="en-GB"/>
              </w:rPr>
              <w:t xml:space="preserve">the purchasing power of the average employee earnings thus reached approximately the level form year </w:t>
            </w:r>
            <w:r w:rsidR="001C3855" w:rsidRPr="00D160FB">
              <w:rPr>
                <w:spacing w:val="-4"/>
                <w:lang w:val="en-GB"/>
              </w:rPr>
              <w:t>2018</w:t>
            </w:r>
            <w:r w:rsidR="001C3855" w:rsidRPr="00D160FB">
              <w:rPr>
                <w:rStyle w:val="Znakapoznpodarou"/>
                <w:spacing w:val="-4"/>
                <w:lang w:val="en-GB"/>
              </w:rPr>
              <w:footnoteReference w:id="14"/>
            </w:r>
            <w:r w:rsidR="001C3855" w:rsidRPr="00D160FB">
              <w:rPr>
                <w:spacing w:val="-4"/>
                <w:lang w:val="en-GB"/>
              </w:rPr>
              <w:t xml:space="preserve">. </w:t>
            </w:r>
          </w:p>
          <w:p w14:paraId="3211193B" w14:textId="77777777" w:rsidR="001C3855" w:rsidRPr="00D160FB" w:rsidRDefault="001C3855" w:rsidP="00C8019E">
            <w:pPr>
              <w:spacing w:after="0" w:line="240" w:lineRule="auto"/>
              <w:rPr>
                <w:rFonts w:cs="Arial"/>
                <w:color w:val="0D0D0D" w:themeColor="text1" w:themeTint="F2"/>
                <w:spacing w:val="-4"/>
                <w:szCs w:val="20"/>
                <w:lang w:val="en-GB"/>
              </w:rPr>
            </w:pPr>
          </w:p>
        </w:tc>
      </w:tr>
      <w:tr w:rsidR="00B646BC" w:rsidRPr="00D160FB" w14:paraId="3F5FFC5F" w14:textId="77777777" w:rsidTr="003D13A6">
        <w:trPr>
          <w:trHeight w:val="132"/>
        </w:trPr>
        <w:tc>
          <w:tcPr>
            <w:tcW w:w="1722" w:type="dxa"/>
            <w:shd w:val="clear" w:color="auto" w:fill="auto"/>
            <w:tcMar>
              <w:left w:w="0" w:type="dxa"/>
            </w:tcMar>
          </w:tcPr>
          <w:p w14:paraId="3C9C8595" w14:textId="1404C2AF" w:rsidR="001C3855" w:rsidRPr="00D160FB" w:rsidRDefault="0089651B" w:rsidP="00C8019E">
            <w:pPr>
              <w:pStyle w:val="Marginlie"/>
              <w:rPr>
                <w:spacing w:val="-6"/>
                <w:lang w:val="en-GB"/>
              </w:rPr>
            </w:pPr>
            <w:r w:rsidRPr="00D160FB">
              <w:rPr>
                <w:spacing w:val="-6"/>
                <w:lang w:val="en-GB"/>
              </w:rPr>
              <w:t xml:space="preserve">Primarily the market branches stood behind the wage growth. Part of them still struggled with the shortage of labour force. </w:t>
            </w:r>
          </w:p>
          <w:p w14:paraId="5BBD700E" w14:textId="77777777" w:rsidR="001C3855" w:rsidRPr="00D160FB" w:rsidRDefault="001C3855" w:rsidP="00C8019E">
            <w:pPr>
              <w:pStyle w:val="Marginlie"/>
              <w:rPr>
                <w:spacing w:val="-4"/>
                <w:lang w:val="en-GB"/>
              </w:rPr>
            </w:pPr>
          </w:p>
          <w:p w14:paraId="1EA6055A" w14:textId="6252DD0A" w:rsidR="001C3855" w:rsidRPr="00D160FB" w:rsidRDefault="001C3855" w:rsidP="00C8019E">
            <w:pPr>
              <w:pStyle w:val="Marginlie"/>
              <w:rPr>
                <w:spacing w:val="-4"/>
                <w:lang w:val="en-GB"/>
              </w:rPr>
            </w:pPr>
          </w:p>
          <w:p w14:paraId="62281E17" w14:textId="74787183" w:rsidR="001C3855" w:rsidRPr="00D160FB" w:rsidRDefault="009B4F2C" w:rsidP="00C8019E">
            <w:pPr>
              <w:pStyle w:val="Marginlie"/>
              <w:rPr>
                <w:spacing w:val="-4"/>
                <w:lang w:val="en-GB"/>
              </w:rPr>
            </w:pPr>
            <w:r w:rsidRPr="00D160FB">
              <w:rPr>
                <w:spacing w:val="-4"/>
                <w:lang w:val="en-GB"/>
              </w:rPr>
              <w:t xml:space="preserve">The effect of saving measures manifested in </w:t>
            </w:r>
            <w:r w:rsidRPr="00D160FB">
              <w:rPr>
                <w:spacing w:val="-4"/>
                <w:lang w:val="en-GB"/>
              </w:rPr>
              <w:lastRenderedPageBreak/>
              <w:t xml:space="preserve">branches with the dominance of state. </w:t>
            </w:r>
          </w:p>
          <w:p w14:paraId="381754BD" w14:textId="77777777" w:rsidR="001C3855" w:rsidRPr="00D160FB" w:rsidRDefault="001C3855" w:rsidP="00C8019E">
            <w:pPr>
              <w:pStyle w:val="Marginlie"/>
              <w:rPr>
                <w:spacing w:val="-4"/>
                <w:lang w:val="en-GB"/>
              </w:rPr>
            </w:pPr>
          </w:p>
        </w:tc>
        <w:tc>
          <w:tcPr>
            <w:tcW w:w="202" w:type="dxa"/>
            <w:shd w:val="clear" w:color="auto" w:fill="auto"/>
            <w:tcMar>
              <w:left w:w="0" w:type="dxa"/>
            </w:tcMar>
          </w:tcPr>
          <w:p w14:paraId="721A9E37" w14:textId="77777777" w:rsidR="001C3855" w:rsidRPr="00D160FB" w:rsidRDefault="001C3855" w:rsidP="00C8019E">
            <w:pPr>
              <w:pStyle w:val="Textpoznpodarou"/>
              <w:jc w:val="both"/>
              <w:rPr>
                <w:spacing w:val="-4"/>
                <w:lang w:val="en-GB"/>
              </w:rPr>
            </w:pPr>
          </w:p>
        </w:tc>
        <w:tc>
          <w:tcPr>
            <w:tcW w:w="7750" w:type="dxa"/>
            <w:shd w:val="clear" w:color="auto" w:fill="auto"/>
            <w:tcMar>
              <w:left w:w="0" w:type="dxa"/>
            </w:tcMar>
          </w:tcPr>
          <w:p w14:paraId="02348FBB" w14:textId="1F84C0AC" w:rsidR="001C3855" w:rsidRPr="00D160FB" w:rsidRDefault="0089651B" w:rsidP="00C8019E">
            <w:pPr>
              <w:spacing w:after="0"/>
              <w:rPr>
                <w:rFonts w:cs="Arial"/>
                <w:color w:val="0D0D0D" w:themeColor="text1" w:themeTint="F2"/>
                <w:spacing w:val="-4"/>
                <w:szCs w:val="20"/>
                <w:lang w:val="en-GB"/>
              </w:rPr>
            </w:pPr>
            <w:r w:rsidRPr="00D160FB">
              <w:rPr>
                <w:rFonts w:cs="Arial"/>
                <w:color w:val="0D0D0D" w:themeColor="text1" w:themeTint="F2"/>
                <w:spacing w:val="-4"/>
                <w:szCs w:val="20"/>
                <w:lang w:val="en-GB"/>
              </w:rPr>
              <w:t xml:space="preserve">Wage growth was </w:t>
            </w:r>
            <w:r w:rsidR="00D66060" w:rsidRPr="00D160FB">
              <w:rPr>
                <w:rFonts w:cs="Arial"/>
                <w:color w:val="0D0D0D" w:themeColor="text1" w:themeTint="F2"/>
                <w:spacing w:val="-4"/>
                <w:szCs w:val="20"/>
                <w:lang w:val="en-GB"/>
              </w:rPr>
              <w:t>promoted by the ongoing tension on the labour market for the whole last year, r</w:t>
            </w:r>
            <w:r w:rsidRPr="00D160FB">
              <w:rPr>
                <w:spacing w:val="-5"/>
                <w:lang w:val="en-GB"/>
              </w:rPr>
              <w:t xml:space="preserve">elated to the persisting low </w:t>
            </w:r>
            <w:r w:rsidR="00E93E65" w:rsidRPr="00D160FB">
              <w:rPr>
                <w:spacing w:val="-5"/>
                <w:lang w:val="en-GB"/>
              </w:rPr>
              <w:t>unemployment,</w:t>
            </w:r>
            <w:r w:rsidRPr="00D160FB">
              <w:rPr>
                <w:spacing w:val="-5"/>
                <w:lang w:val="en-GB"/>
              </w:rPr>
              <w:t xml:space="preserve"> still high number of job vacan</w:t>
            </w:r>
            <w:r w:rsidR="00D66060" w:rsidRPr="00D160FB">
              <w:rPr>
                <w:spacing w:val="-5"/>
                <w:lang w:val="en-GB"/>
              </w:rPr>
              <w:t xml:space="preserve">cies </w:t>
            </w:r>
            <w:r w:rsidRPr="00D160FB">
              <w:rPr>
                <w:spacing w:val="-5"/>
                <w:lang w:val="en-GB"/>
              </w:rPr>
              <w:t xml:space="preserve">as well as fact, that the shortage of employees significantly limited production in some branches. </w:t>
            </w:r>
            <w:r w:rsidR="00E83D8D" w:rsidRPr="00D160FB">
              <w:rPr>
                <w:spacing w:val="-5"/>
                <w:lang w:val="en-GB"/>
              </w:rPr>
              <w:t>The continuing raising of the minimum wage had a partial effect mainly in branches with low level of earnings</w:t>
            </w:r>
            <w:r w:rsidR="001C3855" w:rsidRPr="00D160FB">
              <w:rPr>
                <w:spacing w:val="-5"/>
                <w:lang w:val="en-GB"/>
              </w:rPr>
              <w:t>.</w:t>
            </w:r>
            <w:r w:rsidR="009B4F2C" w:rsidRPr="00D160FB">
              <w:rPr>
                <w:spacing w:val="-5"/>
                <w:lang w:val="en-GB"/>
              </w:rPr>
              <w:t xml:space="preserve"> On the contrary the arrival of Ukrainian refugees did not influence much the level of average wages even in these branches so far</w:t>
            </w:r>
            <w:r w:rsidR="001C3855" w:rsidRPr="00D160FB">
              <w:rPr>
                <w:rStyle w:val="Znakapoznpodarou"/>
                <w:spacing w:val="-5"/>
                <w:lang w:val="en-GB"/>
              </w:rPr>
              <w:footnoteReference w:id="15"/>
            </w:r>
            <w:r w:rsidR="001C3855" w:rsidRPr="00D160FB">
              <w:rPr>
                <w:spacing w:val="-5"/>
                <w:lang w:val="en-GB"/>
              </w:rPr>
              <w:t>.</w:t>
            </w:r>
            <w:r w:rsidR="009B4F2C" w:rsidRPr="00D160FB">
              <w:rPr>
                <w:spacing w:val="-5"/>
                <w:lang w:val="en-GB"/>
              </w:rPr>
              <w:t xml:space="preserve"> The growth of wages in the whole economy was hampered by the setting of wage tariffs in the public sphere or </w:t>
            </w:r>
            <w:r w:rsidR="004C1648" w:rsidRPr="00D160FB">
              <w:rPr>
                <w:spacing w:val="-5"/>
                <w:lang w:val="en-GB"/>
              </w:rPr>
              <w:t>a</w:t>
            </w:r>
            <w:r w:rsidR="009B4F2C" w:rsidRPr="00D160FB">
              <w:rPr>
                <w:spacing w:val="-5"/>
                <w:lang w:val="en-GB"/>
              </w:rPr>
              <w:t xml:space="preserve"> major part of the year </w:t>
            </w:r>
            <w:r w:rsidR="001C3855" w:rsidRPr="00D160FB">
              <w:rPr>
                <w:spacing w:val="-5"/>
                <w:lang w:val="en-GB"/>
              </w:rPr>
              <w:t>(</w:t>
            </w:r>
            <w:r w:rsidR="009B4F2C" w:rsidRPr="00D160FB">
              <w:rPr>
                <w:spacing w:val="-5"/>
                <w:lang w:val="en-GB"/>
              </w:rPr>
              <w:t>freeze or only a very mild growth for majority of employee categories</w:t>
            </w:r>
            <w:r w:rsidR="001C3855" w:rsidRPr="00D160FB">
              <w:rPr>
                <w:spacing w:val="-5"/>
                <w:lang w:val="en-GB"/>
              </w:rPr>
              <w:t>)</w:t>
            </w:r>
            <w:r w:rsidR="001C3855" w:rsidRPr="00D160FB">
              <w:rPr>
                <w:rStyle w:val="Znakapoznpodarou"/>
                <w:spacing w:val="-5"/>
                <w:lang w:val="en-GB"/>
              </w:rPr>
              <w:footnoteReference w:id="16"/>
            </w:r>
            <w:r w:rsidR="001C3855" w:rsidRPr="00D160FB">
              <w:rPr>
                <w:spacing w:val="-5"/>
                <w:lang w:val="en-GB"/>
              </w:rPr>
              <w:t xml:space="preserve">. </w:t>
            </w:r>
            <w:r w:rsidR="009B4F2C" w:rsidRPr="00D160FB">
              <w:rPr>
                <w:spacing w:val="-5"/>
                <w:lang w:val="en-GB"/>
              </w:rPr>
              <w:t xml:space="preserve">High inflationary </w:t>
            </w:r>
            <w:r w:rsidR="009B4F2C" w:rsidRPr="00D160FB">
              <w:rPr>
                <w:spacing w:val="-5"/>
                <w:lang w:val="en-GB"/>
              </w:rPr>
              <w:lastRenderedPageBreak/>
              <w:t xml:space="preserve">expectations </w:t>
            </w:r>
            <w:r w:rsidR="004C1648" w:rsidRPr="00D160FB">
              <w:rPr>
                <w:spacing w:val="-5"/>
                <w:lang w:val="en-GB"/>
              </w:rPr>
              <w:t xml:space="preserve">displayed ambiguous results in the wage area so far. </w:t>
            </w:r>
            <w:r w:rsidR="00743A94" w:rsidRPr="00D160FB">
              <w:rPr>
                <w:spacing w:val="-5"/>
                <w:lang w:val="en-GB"/>
              </w:rPr>
              <w:t xml:space="preserve">They did lead to the growing pressure of employees on swifter wage growth, it however encountered still more and more difficult situation of employers </w:t>
            </w:r>
            <w:r w:rsidR="001C3855" w:rsidRPr="00D160FB">
              <w:rPr>
                <w:spacing w:val="-5"/>
                <w:lang w:val="en-GB"/>
              </w:rPr>
              <w:t>(</w:t>
            </w:r>
            <w:r w:rsidR="00743A94" w:rsidRPr="00D160FB">
              <w:rPr>
                <w:spacing w:val="-5"/>
                <w:lang w:val="en-GB"/>
              </w:rPr>
              <w:t>for reasons of fast growth of the non-wage production costs</w:t>
            </w:r>
            <w:r w:rsidR="001C3855" w:rsidRPr="00D160FB">
              <w:rPr>
                <w:spacing w:val="-5"/>
                <w:lang w:val="en-GB"/>
              </w:rPr>
              <w:t xml:space="preserve">). </w:t>
            </w:r>
            <w:r w:rsidR="00743A94" w:rsidRPr="00D160FB">
              <w:rPr>
                <w:spacing w:val="-5"/>
                <w:lang w:val="en-GB"/>
              </w:rPr>
              <w:t>Still some businesses with favourable economic situation partially compensated the high growth of the livings costs to employees in the form of extraordinary bonuses, especially at the end of the year.</w:t>
            </w:r>
          </w:p>
          <w:p w14:paraId="357AB434" w14:textId="77777777" w:rsidR="001C3855" w:rsidRPr="00D160FB" w:rsidRDefault="001C3855" w:rsidP="00C8019E">
            <w:pPr>
              <w:spacing w:after="0" w:line="240" w:lineRule="auto"/>
              <w:rPr>
                <w:rFonts w:cs="Arial"/>
                <w:color w:val="0D0D0D" w:themeColor="text1" w:themeTint="F2"/>
                <w:spacing w:val="-4"/>
                <w:sz w:val="14"/>
                <w:szCs w:val="14"/>
                <w:lang w:val="en-GB"/>
              </w:rPr>
            </w:pPr>
          </w:p>
        </w:tc>
      </w:tr>
      <w:tr w:rsidR="00B646BC" w:rsidRPr="00D160FB" w14:paraId="458A8228" w14:textId="77777777" w:rsidTr="003D13A6">
        <w:trPr>
          <w:trHeight w:val="132"/>
        </w:trPr>
        <w:tc>
          <w:tcPr>
            <w:tcW w:w="1722" w:type="dxa"/>
            <w:shd w:val="clear" w:color="auto" w:fill="auto"/>
            <w:tcMar>
              <w:left w:w="0" w:type="dxa"/>
            </w:tcMar>
          </w:tcPr>
          <w:p w14:paraId="60618BF2" w14:textId="59E4296F" w:rsidR="001C3855" w:rsidRPr="00D160FB" w:rsidRDefault="00B646BC" w:rsidP="00C8019E">
            <w:pPr>
              <w:pStyle w:val="Marginlie"/>
              <w:rPr>
                <w:spacing w:val="-4"/>
                <w:lang w:val="en-GB"/>
              </w:rPr>
            </w:pPr>
            <w:r w:rsidRPr="00D160FB">
              <w:rPr>
                <w:spacing w:val="-4"/>
                <w:lang w:val="en-GB"/>
              </w:rPr>
              <w:lastRenderedPageBreak/>
              <w:t>Wage growth was varied among branches in Q</w:t>
            </w:r>
            <w:r w:rsidR="001C3855" w:rsidRPr="00D160FB">
              <w:rPr>
                <w:spacing w:val="-4"/>
                <w:lang w:val="en-GB"/>
              </w:rPr>
              <w:t>4. </w:t>
            </w:r>
            <w:r w:rsidRPr="00D160FB">
              <w:rPr>
                <w:spacing w:val="-4"/>
                <w:lang w:val="en-GB"/>
              </w:rPr>
              <w:t xml:space="preserve">It was strengthened by the pay out of bonuses in number of branches with good economic results. </w:t>
            </w:r>
          </w:p>
          <w:p w14:paraId="1942AF0A" w14:textId="77777777" w:rsidR="001C3855" w:rsidRPr="00D160FB" w:rsidRDefault="001C3855" w:rsidP="00C8019E">
            <w:pPr>
              <w:pStyle w:val="Marginlie"/>
              <w:rPr>
                <w:spacing w:val="-4"/>
                <w:lang w:val="en-GB"/>
              </w:rPr>
            </w:pPr>
          </w:p>
          <w:p w14:paraId="2E41CA3B" w14:textId="77777777" w:rsidR="001C3855" w:rsidRPr="00D160FB" w:rsidRDefault="001C3855" w:rsidP="00C8019E">
            <w:pPr>
              <w:pStyle w:val="Marginlie"/>
              <w:rPr>
                <w:spacing w:val="-4"/>
                <w:lang w:val="en-GB"/>
              </w:rPr>
            </w:pPr>
          </w:p>
          <w:p w14:paraId="2CF80ABB" w14:textId="77777777" w:rsidR="001C3855" w:rsidRPr="00D160FB" w:rsidRDefault="001C3855" w:rsidP="00C8019E">
            <w:pPr>
              <w:pStyle w:val="Marginlie"/>
              <w:rPr>
                <w:spacing w:val="-4"/>
                <w:lang w:val="en-GB"/>
              </w:rPr>
            </w:pPr>
          </w:p>
          <w:p w14:paraId="42C084D8" w14:textId="77777777" w:rsidR="001C3855" w:rsidRPr="00D160FB" w:rsidRDefault="001C3855" w:rsidP="00C8019E">
            <w:pPr>
              <w:pStyle w:val="Marginlie"/>
              <w:rPr>
                <w:spacing w:val="-4"/>
                <w:lang w:val="en-GB"/>
              </w:rPr>
            </w:pPr>
          </w:p>
          <w:p w14:paraId="6EB5354C" w14:textId="77777777" w:rsidR="001C3855" w:rsidRPr="00D160FB" w:rsidRDefault="001C3855" w:rsidP="00C8019E">
            <w:pPr>
              <w:pStyle w:val="Marginlie"/>
              <w:rPr>
                <w:spacing w:val="-4"/>
                <w:lang w:val="en-GB"/>
              </w:rPr>
            </w:pPr>
          </w:p>
          <w:p w14:paraId="38CA94DA" w14:textId="77777777" w:rsidR="001C3855" w:rsidRPr="00D160FB" w:rsidRDefault="001C3855" w:rsidP="00C8019E">
            <w:pPr>
              <w:pStyle w:val="Marginlie"/>
              <w:rPr>
                <w:spacing w:val="-4"/>
                <w:lang w:val="en-GB"/>
              </w:rPr>
            </w:pPr>
          </w:p>
          <w:p w14:paraId="4EBD4CEE" w14:textId="77777777" w:rsidR="001C3855" w:rsidRPr="00D160FB" w:rsidRDefault="001C3855" w:rsidP="00C8019E">
            <w:pPr>
              <w:pStyle w:val="Marginlie"/>
              <w:rPr>
                <w:spacing w:val="-4"/>
                <w:lang w:val="en-GB"/>
              </w:rPr>
            </w:pPr>
          </w:p>
          <w:p w14:paraId="4F3D2937" w14:textId="77777777" w:rsidR="001C3855" w:rsidRPr="00D160FB" w:rsidRDefault="001C3855" w:rsidP="00C8019E">
            <w:pPr>
              <w:pStyle w:val="Marginlie"/>
              <w:rPr>
                <w:spacing w:val="-4"/>
                <w:lang w:val="en-GB"/>
              </w:rPr>
            </w:pPr>
          </w:p>
          <w:p w14:paraId="78630C40" w14:textId="76AADC64" w:rsidR="001C3855" w:rsidRPr="00D160FB" w:rsidRDefault="00B646BC" w:rsidP="00C8019E">
            <w:pPr>
              <w:pStyle w:val="Marginlie"/>
              <w:rPr>
                <w:spacing w:val="-4"/>
                <w:lang w:val="en-GB"/>
              </w:rPr>
            </w:pPr>
            <w:r w:rsidRPr="00D160FB">
              <w:rPr>
                <w:spacing w:val="-4"/>
                <w:lang w:val="en-GB"/>
              </w:rPr>
              <w:t xml:space="preserve">The Autumn increase of wage tariffs was reflected in earnings in some branches with significant </w:t>
            </w:r>
            <w:r w:rsidR="009E1FDE" w:rsidRPr="00D160FB">
              <w:rPr>
                <w:spacing w:val="-4"/>
                <w:lang w:val="en-GB"/>
              </w:rPr>
              <w:t>r</w:t>
            </w:r>
            <w:r w:rsidRPr="00D160FB">
              <w:rPr>
                <w:spacing w:val="-4"/>
                <w:lang w:val="en-GB"/>
              </w:rPr>
              <w:t>ole of state.</w:t>
            </w:r>
          </w:p>
        </w:tc>
        <w:tc>
          <w:tcPr>
            <w:tcW w:w="202" w:type="dxa"/>
            <w:shd w:val="clear" w:color="auto" w:fill="auto"/>
            <w:tcMar>
              <w:left w:w="0" w:type="dxa"/>
            </w:tcMar>
          </w:tcPr>
          <w:p w14:paraId="0AD9FB53" w14:textId="77777777" w:rsidR="001C3855" w:rsidRPr="00D160FB" w:rsidRDefault="001C3855" w:rsidP="00C8019E">
            <w:pPr>
              <w:pStyle w:val="Textpoznpodarou"/>
              <w:jc w:val="both"/>
              <w:rPr>
                <w:spacing w:val="-4"/>
                <w:lang w:val="en-GB"/>
              </w:rPr>
            </w:pPr>
          </w:p>
        </w:tc>
        <w:tc>
          <w:tcPr>
            <w:tcW w:w="7750" w:type="dxa"/>
            <w:shd w:val="clear" w:color="auto" w:fill="auto"/>
            <w:tcMar>
              <w:left w:w="0" w:type="dxa"/>
            </w:tcMar>
          </w:tcPr>
          <w:p w14:paraId="678B4D3B" w14:textId="289C9E83" w:rsidR="001C3855" w:rsidRPr="00D160FB" w:rsidRDefault="00F6779D" w:rsidP="00C8019E">
            <w:pPr>
              <w:spacing w:after="0"/>
              <w:rPr>
                <w:rFonts w:cs="Arial"/>
                <w:color w:val="0D0D0D" w:themeColor="text1" w:themeTint="F2"/>
                <w:spacing w:val="-4"/>
                <w:szCs w:val="20"/>
                <w:lang w:val="en-GB"/>
              </w:rPr>
            </w:pPr>
            <w:r w:rsidRPr="00D160FB">
              <w:rPr>
                <w:rFonts w:cs="Arial"/>
                <w:color w:val="0D0D0D" w:themeColor="text1" w:themeTint="F2"/>
                <w:spacing w:val="-4"/>
                <w:szCs w:val="20"/>
                <w:lang w:val="en-GB"/>
              </w:rPr>
              <w:t>Among branches the average monthly wages were raised the most in the energy industry also thanks to favourable economic results year-on-year in Q4 2022</w:t>
            </w:r>
            <w:r w:rsidR="001C3855" w:rsidRPr="00D160FB">
              <w:rPr>
                <w:rStyle w:val="Znakapoznpodarou"/>
                <w:color w:val="0D0D0D" w:themeColor="text1" w:themeTint="F2"/>
                <w:spacing w:val="-5"/>
                <w:szCs w:val="20"/>
                <w:lang w:val="en-GB"/>
              </w:rPr>
              <w:footnoteReference w:id="17"/>
            </w:r>
            <w:r w:rsidR="001C3855" w:rsidRPr="00D160FB">
              <w:rPr>
                <w:rFonts w:cs="Arial"/>
                <w:color w:val="0D0D0D" w:themeColor="text1" w:themeTint="F2"/>
                <w:spacing w:val="-5"/>
                <w:szCs w:val="20"/>
                <w:lang w:val="en-GB"/>
              </w:rPr>
              <w:t xml:space="preserve"> (+14</w:t>
            </w:r>
            <w:r w:rsidRPr="00D160FB">
              <w:rPr>
                <w:rFonts w:cs="Arial"/>
                <w:color w:val="0D0D0D" w:themeColor="text1" w:themeTint="F2"/>
                <w:spacing w:val="-5"/>
                <w:szCs w:val="20"/>
                <w:lang w:val="en-GB"/>
              </w:rPr>
              <w:t>.</w:t>
            </w:r>
            <w:r w:rsidR="001C3855" w:rsidRPr="00D160FB">
              <w:rPr>
                <w:rFonts w:cs="Arial"/>
                <w:color w:val="0D0D0D" w:themeColor="text1" w:themeTint="F2"/>
                <w:spacing w:val="-5"/>
                <w:szCs w:val="20"/>
                <w:lang w:val="en-GB"/>
              </w:rPr>
              <w:t>6% nomin</w:t>
            </w:r>
            <w:r w:rsidRPr="00D160FB">
              <w:rPr>
                <w:rFonts w:cs="Arial"/>
                <w:color w:val="0D0D0D" w:themeColor="text1" w:themeTint="F2"/>
                <w:spacing w:val="-5"/>
                <w:szCs w:val="20"/>
                <w:lang w:val="en-GB"/>
              </w:rPr>
              <w:t>ally</w:t>
            </w:r>
            <w:r w:rsidR="001C3855" w:rsidRPr="00D160FB">
              <w:rPr>
                <w:rFonts w:cs="Arial"/>
                <w:color w:val="0D0D0D" w:themeColor="text1" w:themeTint="F2"/>
                <w:spacing w:val="-5"/>
                <w:szCs w:val="20"/>
                <w:lang w:val="en-GB"/>
              </w:rPr>
              <w:t xml:space="preserve">), </w:t>
            </w:r>
            <w:r w:rsidRPr="00D160FB">
              <w:rPr>
                <w:rFonts w:cs="Arial"/>
                <w:color w:val="0D0D0D" w:themeColor="text1" w:themeTint="F2"/>
                <w:spacing w:val="-5"/>
                <w:szCs w:val="20"/>
                <w:lang w:val="en-GB"/>
              </w:rPr>
              <w:t>when their size exceed</w:t>
            </w:r>
            <w:r w:rsidR="005C18FB" w:rsidRPr="00D160FB">
              <w:rPr>
                <w:rFonts w:cs="Arial"/>
                <w:color w:val="0D0D0D" w:themeColor="text1" w:themeTint="F2"/>
                <w:spacing w:val="-5"/>
                <w:szCs w:val="20"/>
                <w:lang w:val="en-GB"/>
              </w:rPr>
              <w:t>ed</w:t>
            </w:r>
            <w:r w:rsidRPr="00D160FB">
              <w:rPr>
                <w:rFonts w:cs="Arial"/>
                <w:color w:val="0D0D0D" w:themeColor="text1" w:themeTint="F2"/>
                <w:spacing w:val="-5"/>
                <w:szCs w:val="20"/>
                <w:lang w:val="en-GB"/>
              </w:rPr>
              <w:t xml:space="preserve"> the level of the whole economy by one half and markedly neared the earning level in financial and insurance activities </w:t>
            </w:r>
            <w:r w:rsidR="001C3855" w:rsidRPr="00D160FB">
              <w:rPr>
                <w:rFonts w:cs="Arial"/>
                <w:color w:val="0D0D0D" w:themeColor="text1" w:themeTint="F2"/>
                <w:spacing w:val="-5"/>
                <w:szCs w:val="20"/>
                <w:lang w:val="en-GB"/>
              </w:rPr>
              <w:t>(66</w:t>
            </w:r>
            <w:r w:rsidRPr="00D160FB">
              <w:rPr>
                <w:rFonts w:cs="Arial"/>
                <w:color w:val="0D0D0D" w:themeColor="text1" w:themeTint="F2"/>
                <w:spacing w:val="-5"/>
                <w:szCs w:val="20"/>
                <w:lang w:val="en-GB"/>
              </w:rPr>
              <w:t>.</w:t>
            </w:r>
            <w:r w:rsidR="001C3855" w:rsidRPr="00D160FB">
              <w:rPr>
                <w:rFonts w:cs="Arial"/>
                <w:color w:val="0D0D0D" w:themeColor="text1" w:themeTint="F2"/>
                <w:spacing w:val="-5"/>
                <w:szCs w:val="20"/>
                <w:lang w:val="en-GB"/>
              </w:rPr>
              <w:t>4</w:t>
            </w:r>
            <w:r w:rsidRPr="00D160FB">
              <w:rPr>
                <w:rFonts w:cs="Arial"/>
                <w:color w:val="0D0D0D" w:themeColor="text1" w:themeTint="F2"/>
                <w:spacing w:val="-5"/>
                <w:szCs w:val="20"/>
                <w:lang w:val="en-GB"/>
              </w:rPr>
              <w:t xml:space="preserve"> CZK thousand</w:t>
            </w:r>
            <w:r w:rsidR="001C3855" w:rsidRPr="00D160FB">
              <w:rPr>
                <w:rFonts w:cs="Arial"/>
                <w:color w:val="0D0D0D" w:themeColor="text1" w:themeTint="F2"/>
                <w:spacing w:val="-5"/>
                <w:szCs w:val="20"/>
                <w:lang w:val="en-GB"/>
              </w:rPr>
              <w:t xml:space="preserve">). </w:t>
            </w:r>
            <w:r w:rsidR="005C18FB" w:rsidRPr="00D160FB">
              <w:rPr>
                <w:rFonts w:cs="Arial"/>
                <w:color w:val="0D0D0D" w:themeColor="text1" w:themeTint="F2"/>
                <w:spacing w:val="-5"/>
                <w:szCs w:val="20"/>
                <w:lang w:val="en-GB"/>
              </w:rPr>
              <w:t xml:space="preserve">It also grew briskly </w:t>
            </w:r>
            <w:r w:rsidR="001C3855" w:rsidRPr="00D160FB">
              <w:rPr>
                <w:rFonts w:cs="Arial"/>
                <w:color w:val="0D0D0D" w:themeColor="text1" w:themeTint="F2"/>
                <w:spacing w:val="-5"/>
                <w:szCs w:val="20"/>
                <w:lang w:val="en-GB"/>
              </w:rPr>
              <w:t>(+10</w:t>
            </w:r>
            <w:r w:rsidR="005C18FB" w:rsidRPr="00D160FB">
              <w:rPr>
                <w:rFonts w:cs="Arial"/>
                <w:color w:val="0D0D0D" w:themeColor="text1" w:themeTint="F2"/>
                <w:spacing w:val="-5"/>
                <w:szCs w:val="20"/>
                <w:lang w:val="en-GB"/>
              </w:rPr>
              <w:t>.</w:t>
            </w:r>
            <w:r w:rsidR="001C3855" w:rsidRPr="00D160FB">
              <w:rPr>
                <w:rFonts w:cs="Arial"/>
                <w:color w:val="0D0D0D" w:themeColor="text1" w:themeTint="F2"/>
                <w:spacing w:val="-5"/>
                <w:szCs w:val="20"/>
                <w:lang w:val="en-GB"/>
              </w:rPr>
              <w:t xml:space="preserve">3%), </w:t>
            </w:r>
            <w:r w:rsidR="005C18FB" w:rsidRPr="00D160FB">
              <w:rPr>
                <w:rFonts w:cs="Arial"/>
                <w:color w:val="0D0D0D" w:themeColor="text1" w:themeTint="F2"/>
                <w:spacing w:val="-5"/>
                <w:szCs w:val="20"/>
                <w:lang w:val="en-GB"/>
              </w:rPr>
              <w:t xml:space="preserve">similarly to information and communication </w:t>
            </w:r>
            <w:r w:rsidR="001C3855" w:rsidRPr="00D160FB">
              <w:rPr>
                <w:rFonts w:cs="Arial"/>
                <w:color w:val="0D0D0D" w:themeColor="text1" w:themeTint="F2"/>
                <w:spacing w:val="-5"/>
                <w:szCs w:val="20"/>
                <w:lang w:val="en-GB"/>
              </w:rPr>
              <w:t>(+9</w:t>
            </w:r>
            <w:r w:rsidR="005C18FB" w:rsidRPr="00D160FB">
              <w:rPr>
                <w:rFonts w:cs="Arial"/>
                <w:color w:val="0D0D0D" w:themeColor="text1" w:themeTint="F2"/>
                <w:spacing w:val="-5"/>
                <w:szCs w:val="20"/>
                <w:lang w:val="en-GB"/>
              </w:rPr>
              <w:t>.</w:t>
            </w:r>
            <w:r w:rsidR="001C3855" w:rsidRPr="00D160FB">
              <w:rPr>
                <w:rFonts w:cs="Arial"/>
                <w:color w:val="0D0D0D" w:themeColor="text1" w:themeTint="F2"/>
                <w:spacing w:val="-5"/>
                <w:szCs w:val="20"/>
                <w:lang w:val="en-GB"/>
              </w:rPr>
              <w:t xml:space="preserve">1%), </w:t>
            </w:r>
            <w:r w:rsidR="005C18FB" w:rsidRPr="00D160FB">
              <w:rPr>
                <w:rFonts w:cs="Arial"/>
                <w:color w:val="0D0D0D" w:themeColor="text1" w:themeTint="F2"/>
                <w:spacing w:val="-5"/>
                <w:szCs w:val="20"/>
                <w:lang w:val="en-GB"/>
              </w:rPr>
              <w:t xml:space="preserve">where the wage level is </w:t>
            </w:r>
            <w:r w:rsidR="00FB2494" w:rsidRPr="00D160FB">
              <w:rPr>
                <w:rFonts w:cs="Arial"/>
                <w:color w:val="0D0D0D" w:themeColor="text1" w:themeTint="F2"/>
                <w:spacing w:val="-5"/>
                <w:szCs w:val="20"/>
                <w:lang w:val="en-GB"/>
              </w:rPr>
              <w:t>an all-time high</w:t>
            </w:r>
            <w:r w:rsidR="009E1FDE" w:rsidRPr="00D160FB">
              <w:rPr>
                <w:rFonts w:cs="Arial"/>
                <w:color w:val="0D0D0D" w:themeColor="text1" w:themeTint="F2"/>
                <w:spacing w:val="-5"/>
                <w:szCs w:val="20"/>
                <w:lang w:val="en-GB"/>
              </w:rPr>
              <w:t>est</w:t>
            </w:r>
            <w:r w:rsidR="00FB2494" w:rsidRPr="00D160FB">
              <w:rPr>
                <w:rFonts w:cs="Arial"/>
                <w:color w:val="0D0D0D" w:themeColor="text1" w:themeTint="F2"/>
                <w:spacing w:val="-5"/>
                <w:szCs w:val="20"/>
                <w:lang w:val="en-GB"/>
              </w:rPr>
              <w:t xml:space="preserve"> between branches in the past years. Mining and quarrying, where likely the notable restructuring from preceding years </w:t>
            </w:r>
            <w:r w:rsidR="001C3855" w:rsidRPr="00D160FB">
              <w:rPr>
                <w:rFonts w:cs="Arial"/>
                <w:color w:val="0D0D0D" w:themeColor="text1" w:themeTint="F2"/>
                <w:spacing w:val="-5"/>
                <w:szCs w:val="20"/>
                <w:lang w:val="en-GB"/>
              </w:rPr>
              <w:t>(</w:t>
            </w:r>
            <w:r w:rsidR="00582459" w:rsidRPr="00D160FB">
              <w:rPr>
                <w:rFonts w:cs="Arial"/>
                <w:color w:val="0D0D0D" w:themeColor="text1" w:themeTint="F2"/>
                <w:spacing w:val="-5"/>
                <w:szCs w:val="20"/>
                <w:lang w:val="en-GB"/>
              </w:rPr>
              <w:t>together with vigorous reduction of employment</w:t>
            </w:r>
            <w:r w:rsidR="001C3855" w:rsidRPr="00D160FB">
              <w:rPr>
                <w:rFonts w:cs="Arial"/>
                <w:color w:val="0D0D0D" w:themeColor="text1" w:themeTint="F2"/>
                <w:spacing w:val="-5"/>
                <w:szCs w:val="20"/>
                <w:lang w:val="en-GB"/>
              </w:rPr>
              <w:t>)</w:t>
            </w:r>
            <w:r w:rsidR="00582459" w:rsidRPr="00D160FB">
              <w:rPr>
                <w:rFonts w:cs="Arial"/>
                <w:color w:val="0D0D0D" w:themeColor="text1" w:themeTint="F2"/>
                <w:spacing w:val="-5"/>
                <w:szCs w:val="20"/>
                <w:lang w:val="en-GB"/>
              </w:rPr>
              <w:t xml:space="preserve"> as well as improved economic results thanks to the growth of demand for coal</w:t>
            </w:r>
            <w:r w:rsidR="00FB2494" w:rsidRPr="00D160FB">
              <w:rPr>
                <w:rFonts w:cs="Arial"/>
                <w:color w:val="0D0D0D" w:themeColor="text1" w:themeTint="F2"/>
                <w:spacing w:val="-5"/>
                <w:szCs w:val="20"/>
                <w:lang w:val="en-GB"/>
              </w:rPr>
              <w:t xml:space="preserve">, recorded </w:t>
            </w:r>
            <w:r w:rsidR="00582459" w:rsidRPr="00D160FB">
              <w:rPr>
                <w:rFonts w:cs="Arial"/>
                <w:color w:val="0D0D0D" w:themeColor="text1" w:themeTint="F2"/>
                <w:spacing w:val="-5"/>
                <w:szCs w:val="20"/>
                <w:lang w:val="en-GB"/>
              </w:rPr>
              <w:t>unusually</w:t>
            </w:r>
            <w:r w:rsidR="00FB2494" w:rsidRPr="00D160FB">
              <w:rPr>
                <w:rFonts w:cs="Arial"/>
                <w:color w:val="0D0D0D" w:themeColor="text1" w:themeTint="F2"/>
                <w:spacing w:val="-5"/>
                <w:szCs w:val="20"/>
                <w:lang w:val="en-GB"/>
              </w:rPr>
              <w:t xml:space="preserve"> above average wage </w:t>
            </w:r>
            <w:r w:rsidR="00582459" w:rsidRPr="00D160FB">
              <w:rPr>
                <w:rFonts w:cs="Arial"/>
                <w:color w:val="0D0D0D" w:themeColor="text1" w:themeTint="F2"/>
                <w:spacing w:val="-5"/>
                <w:szCs w:val="20"/>
                <w:lang w:val="en-GB"/>
              </w:rPr>
              <w:t>growth</w:t>
            </w:r>
            <w:r w:rsidR="00FB2494" w:rsidRPr="00D160FB">
              <w:rPr>
                <w:rFonts w:cs="Arial"/>
                <w:color w:val="0D0D0D" w:themeColor="text1" w:themeTint="F2"/>
                <w:spacing w:val="-5"/>
                <w:szCs w:val="20"/>
                <w:lang w:val="en-GB"/>
              </w:rPr>
              <w:t xml:space="preserve"> in Q4 (as well as the entire last year)</w:t>
            </w:r>
            <w:r w:rsidR="001C3855" w:rsidRPr="00D160FB">
              <w:rPr>
                <w:rFonts w:cs="Arial"/>
                <w:color w:val="0D0D0D" w:themeColor="text1" w:themeTint="F2"/>
                <w:spacing w:val="-5"/>
                <w:szCs w:val="20"/>
                <w:lang w:val="en-GB"/>
              </w:rPr>
              <w:t xml:space="preserve">. </w:t>
            </w:r>
            <w:r w:rsidR="00DC3B47" w:rsidRPr="00D160FB">
              <w:rPr>
                <w:rFonts w:cs="Arial"/>
                <w:color w:val="0D0D0D" w:themeColor="text1" w:themeTint="F2"/>
                <w:spacing w:val="-5"/>
                <w:szCs w:val="20"/>
                <w:lang w:val="en-GB"/>
              </w:rPr>
              <w:t xml:space="preserve">Earnings in administrative and support services activities or branch agriculture, forestry and fishing rose by one tenth year-on-year. </w:t>
            </w:r>
            <w:r w:rsidR="00293939" w:rsidRPr="00D160FB">
              <w:rPr>
                <w:rFonts w:cs="Arial"/>
                <w:color w:val="0D0D0D" w:themeColor="text1" w:themeTint="F2"/>
                <w:spacing w:val="-5"/>
                <w:szCs w:val="20"/>
                <w:lang w:val="en-GB"/>
              </w:rPr>
              <w:t xml:space="preserve">Unlike the mining however, it concerns branch with very low wage level. Wage growth in other market branches oscillated around </w:t>
            </w:r>
            <w:r w:rsidR="001C3855" w:rsidRPr="00D160FB">
              <w:rPr>
                <w:rFonts w:cs="Arial"/>
                <w:color w:val="0D0D0D" w:themeColor="text1" w:themeTint="F2"/>
                <w:spacing w:val="-5"/>
                <w:szCs w:val="20"/>
                <w:lang w:val="en-GB"/>
              </w:rPr>
              <w:t>9%</w:t>
            </w:r>
            <w:r w:rsidR="00293939" w:rsidRPr="00D160FB">
              <w:rPr>
                <w:rFonts w:cs="Arial"/>
                <w:color w:val="0D0D0D" w:themeColor="text1" w:themeTint="F2"/>
                <w:spacing w:val="-5"/>
                <w:szCs w:val="20"/>
                <w:lang w:val="en-GB"/>
              </w:rPr>
              <w:t xml:space="preserve"> at the end of the last year</w:t>
            </w:r>
            <w:r w:rsidR="001C3855" w:rsidRPr="00D160FB">
              <w:rPr>
                <w:rFonts w:cs="Arial"/>
                <w:color w:val="0D0D0D" w:themeColor="text1" w:themeTint="F2"/>
                <w:spacing w:val="-5"/>
                <w:szCs w:val="20"/>
                <w:lang w:val="en-GB"/>
              </w:rPr>
              <w:t>,</w:t>
            </w:r>
            <w:r w:rsidR="00293939" w:rsidRPr="00D160FB">
              <w:rPr>
                <w:rFonts w:cs="Arial"/>
                <w:color w:val="0D0D0D" w:themeColor="text1" w:themeTint="F2"/>
                <w:spacing w:val="-5"/>
                <w:szCs w:val="20"/>
                <w:lang w:val="en-GB"/>
              </w:rPr>
              <w:t xml:space="preserve"> which was also valid for manufacturing</w:t>
            </w:r>
            <w:r w:rsidR="00F416AE" w:rsidRPr="00D160FB">
              <w:rPr>
                <w:rFonts w:cs="Arial"/>
                <w:color w:val="0D0D0D" w:themeColor="text1" w:themeTint="F2"/>
                <w:spacing w:val="-5"/>
                <w:szCs w:val="20"/>
                <w:lang w:val="en-GB"/>
              </w:rPr>
              <w:t xml:space="preserve">. Manufacturing of motor vehicles stood out among more significant manufacturing branches, with average wages also thanks to the pay out of bonuses at the end of the year rising by </w:t>
            </w:r>
            <w:r w:rsidR="001C3855" w:rsidRPr="00D160FB">
              <w:rPr>
                <w:rFonts w:cs="Arial"/>
                <w:color w:val="0D0D0D" w:themeColor="text1" w:themeTint="F2"/>
                <w:spacing w:val="-5"/>
                <w:szCs w:val="20"/>
                <w:lang w:val="en-GB"/>
              </w:rPr>
              <w:t>13</w:t>
            </w:r>
            <w:r w:rsidR="00F416AE" w:rsidRPr="00D160FB">
              <w:rPr>
                <w:rFonts w:cs="Arial"/>
                <w:color w:val="0D0D0D" w:themeColor="text1" w:themeTint="F2"/>
                <w:spacing w:val="-5"/>
                <w:szCs w:val="20"/>
                <w:lang w:val="en-GB"/>
              </w:rPr>
              <w:t>.</w:t>
            </w:r>
            <w:r w:rsidR="001C3855" w:rsidRPr="00D160FB">
              <w:rPr>
                <w:rFonts w:cs="Arial"/>
                <w:color w:val="0D0D0D" w:themeColor="text1" w:themeTint="F2"/>
                <w:spacing w:val="-5"/>
                <w:szCs w:val="20"/>
                <w:lang w:val="en-GB"/>
              </w:rPr>
              <w:t>4%</w:t>
            </w:r>
            <w:r w:rsidR="00F416AE" w:rsidRPr="00D160FB">
              <w:rPr>
                <w:rFonts w:cs="Arial"/>
                <w:color w:val="0D0D0D" w:themeColor="text1" w:themeTint="F2"/>
                <w:spacing w:val="-5"/>
                <w:szCs w:val="20"/>
                <w:lang w:val="en-GB"/>
              </w:rPr>
              <w:t xml:space="preserve"> here</w:t>
            </w:r>
            <w:r w:rsidR="001C3855" w:rsidRPr="00D160FB">
              <w:rPr>
                <w:rFonts w:cs="Arial"/>
                <w:color w:val="0D0D0D" w:themeColor="text1" w:themeTint="F2"/>
                <w:spacing w:val="-5"/>
                <w:szCs w:val="20"/>
                <w:lang w:val="en-GB"/>
              </w:rPr>
              <w:t xml:space="preserve"> – </w:t>
            </w:r>
            <w:r w:rsidR="00F416AE" w:rsidRPr="00D160FB">
              <w:rPr>
                <w:rFonts w:cs="Arial"/>
                <w:color w:val="0D0D0D" w:themeColor="text1" w:themeTint="F2"/>
                <w:spacing w:val="-5"/>
                <w:szCs w:val="20"/>
                <w:lang w:val="en-GB"/>
              </w:rPr>
              <w:t>i.e. nearly double than in the energy intensive manufacturing of non-metal products</w:t>
            </w:r>
            <w:r w:rsidR="001C3855" w:rsidRPr="00D160FB">
              <w:rPr>
                <w:rStyle w:val="Znakapoznpodarou"/>
                <w:color w:val="0D0D0D" w:themeColor="text1" w:themeTint="F2"/>
                <w:spacing w:val="-5"/>
                <w:szCs w:val="20"/>
                <w:lang w:val="en-GB"/>
              </w:rPr>
              <w:footnoteReference w:id="18"/>
            </w:r>
            <w:r w:rsidR="001C3855" w:rsidRPr="00D160FB">
              <w:rPr>
                <w:rFonts w:cs="Arial"/>
                <w:color w:val="0D0D0D" w:themeColor="text1" w:themeTint="F2"/>
                <w:spacing w:val="-5"/>
                <w:szCs w:val="20"/>
                <w:lang w:val="en-GB"/>
              </w:rPr>
              <w:t xml:space="preserve">. </w:t>
            </w:r>
            <w:r w:rsidR="0050400C" w:rsidRPr="00D160FB">
              <w:rPr>
                <w:rFonts w:cs="Arial"/>
                <w:color w:val="0D0D0D" w:themeColor="text1" w:themeTint="F2"/>
                <w:spacing w:val="-5"/>
                <w:szCs w:val="20"/>
                <w:lang w:val="en-GB"/>
              </w:rPr>
              <w:t>The situation was different in branches with dominant government sector</w:t>
            </w:r>
            <w:r w:rsidR="001C3855" w:rsidRPr="00D160FB">
              <w:rPr>
                <w:rStyle w:val="Znakapoznpodarou"/>
                <w:color w:val="0D0D0D" w:themeColor="text1" w:themeTint="F2"/>
                <w:spacing w:val="-5"/>
                <w:szCs w:val="20"/>
                <w:lang w:val="en-GB"/>
              </w:rPr>
              <w:footnoteReference w:id="19"/>
            </w:r>
            <w:r w:rsidR="001C3855" w:rsidRPr="00D160FB">
              <w:rPr>
                <w:rFonts w:cs="Arial"/>
                <w:color w:val="0D0D0D" w:themeColor="text1" w:themeTint="F2"/>
                <w:spacing w:val="-5"/>
                <w:szCs w:val="20"/>
                <w:lang w:val="en-GB"/>
              </w:rPr>
              <w:t xml:space="preserve">, </w:t>
            </w:r>
            <w:r w:rsidR="0050400C" w:rsidRPr="00D160FB">
              <w:rPr>
                <w:rFonts w:cs="Arial"/>
                <w:color w:val="0D0D0D" w:themeColor="text1" w:themeTint="F2"/>
                <w:spacing w:val="-5"/>
                <w:szCs w:val="20"/>
                <w:lang w:val="en-GB"/>
              </w:rPr>
              <w:t xml:space="preserve">specifically from the view of employment dynamics as well as average earnings. The Autumn selective increase of wage tariffs was partially reflected in the </w:t>
            </w:r>
            <w:r w:rsidR="001C3855" w:rsidRPr="00D160FB">
              <w:rPr>
                <w:rFonts w:cs="Arial"/>
                <w:color w:val="0D0D0D" w:themeColor="text1" w:themeTint="F2"/>
                <w:spacing w:val="-5"/>
                <w:szCs w:val="20"/>
                <w:lang w:val="en-GB"/>
              </w:rPr>
              <w:t xml:space="preserve">8% </w:t>
            </w:r>
            <w:r w:rsidR="0050400C" w:rsidRPr="00D160FB">
              <w:rPr>
                <w:rFonts w:cs="Arial"/>
                <w:color w:val="0D0D0D" w:themeColor="text1" w:themeTint="F2"/>
                <w:spacing w:val="-5"/>
                <w:szCs w:val="20"/>
                <w:lang w:val="en-GB"/>
              </w:rPr>
              <w:t>growth of wages in the branch public administration, health and social work, it was also similar in the area of culture</w:t>
            </w:r>
            <w:r w:rsidR="001C3855" w:rsidRPr="00D160FB">
              <w:rPr>
                <w:rFonts w:cs="Arial"/>
                <w:color w:val="0D0D0D" w:themeColor="text1" w:themeTint="F2"/>
                <w:spacing w:val="-5"/>
                <w:szCs w:val="20"/>
                <w:lang w:val="en-GB"/>
              </w:rPr>
              <w:t xml:space="preserve">. </w:t>
            </w:r>
            <w:r w:rsidR="00571A66" w:rsidRPr="00D160FB">
              <w:rPr>
                <w:rFonts w:cs="Arial"/>
                <w:color w:val="0D0D0D" w:themeColor="text1" w:themeTint="F2"/>
                <w:spacing w:val="-5"/>
                <w:szCs w:val="20"/>
                <w:lang w:val="en-GB"/>
              </w:rPr>
              <w:t xml:space="preserve">On the contrary the average monthly size of earnings decreased negligibly in education, still it reached </w:t>
            </w:r>
            <w:r w:rsidR="001C3855" w:rsidRPr="00D160FB">
              <w:rPr>
                <w:rFonts w:cs="Arial"/>
                <w:color w:val="0D0D0D" w:themeColor="text1" w:themeTint="F2"/>
                <w:spacing w:val="-5"/>
                <w:szCs w:val="20"/>
                <w:lang w:val="en-GB"/>
              </w:rPr>
              <w:t xml:space="preserve">49 </w:t>
            </w:r>
            <w:r w:rsidR="00571A66" w:rsidRPr="00D160FB">
              <w:rPr>
                <w:rFonts w:cs="Arial"/>
                <w:color w:val="0D0D0D" w:themeColor="text1" w:themeTint="F2"/>
                <w:spacing w:val="-5"/>
                <w:szCs w:val="20"/>
                <w:lang w:val="en-GB"/>
              </w:rPr>
              <w:t>CZK thousand</w:t>
            </w:r>
            <w:r w:rsidR="001C3855" w:rsidRPr="00D160FB">
              <w:rPr>
                <w:rFonts w:cs="Arial"/>
                <w:color w:val="0D0D0D" w:themeColor="text1" w:themeTint="F2"/>
                <w:spacing w:val="-5"/>
                <w:szCs w:val="20"/>
                <w:lang w:val="en-GB"/>
              </w:rPr>
              <w:t>.</w:t>
            </w:r>
            <w:r w:rsidR="001C3855" w:rsidRPr="00D160FB">
              <w:rPr>
                <w:rFonts w:cs="Arial"/>
                <w:color w:val="0D0D0D" w:themeColor="text1" w:themeTint="F2"/>
                <w:spacing w:val="-4"/>
                <w:szCs w:val="20"/>
                <w:lang w:val="en-GB"/>
              </w:rPr>
              <w:t xml:space="preserve"> </w:t>
            </w:r>
          </w:p>
          <w:p w14:paraId="661EC578" w14:textId="77777777" w:rsidR="001C3855" w:rsidRPr="00D160FB" w:rsidRDefault="001C3855" w:rsidP="00C8019E">
            <w:pPr>
              <w:spacing w:after="0" w:line="240" w:lineRule="auto"/>
              <w:rPr>
                <w:rFonts w:cs="Arial"/>
                <w:color w:val="0D0D0D" w:themeColor="text1" w:themeTint="F2"/>
                <w:spacing w:val="-4"/>
                <w:sz w:val="14"/>
                <w:szCs w:val="14"/>
                <w:lang w:val="en-GB"/>
              </w:rPr>
            </w:pPr>
          </w:p>
        </w:tc>
      </w:tr>
      <w:tr w:rsidR="00B646BC" w:rsidRPr="00D160FB" w14:paraId="6803E07D" w14:textId="77777777" w:rsidTr="003D13A6">
        <w:trPr>
          <w:trHeight w:val="132"/>
        </w:trPr>
        <w:tc>
          <w:tcPr>
            <w:tcW w:w="1722" w:type="dxa"/>
            <w:shd w:val="clear" w:color="auto" w:fill="auto"/>
            <w:tcMar>
              <w:left w:w="0" w:type="dxa"/>
            </w:tcMar>
          </w:tcPr>
          <w:p w14:paraId="6DB01225" w14:textId="4223571A" w:rsidR="001C3855" w:rsidRPr="00D160FB" w:rsidRDefault="00B66B65" w:rsidP="00C8019E">
            <w:pPr>
              <w:pStyle w:val="Marginlie"/>
              <w:rPr>
                <w:spacing w:val="-4"/>
                <w:lang w:val="en-GB"/>
              </w:rPr>
            </w:pPr>
            <w:r w:rsidRPr="00D160FB">
              <w:rPr>
                <w:spacing w:val="-4"/>
                <w:lang w:val="en-GB"/>
              </w:rPr>
              <w:t xml:space="preserve">Wage dynamics did not fundamentally differ among market branches for the whole last year, even though it was affected by varied mix of factors. </w:t>
            </w:r>
          </w:p>
          <w:p w14:paraId="16B4F893" w14:textId="77777777" w:rsidR="001C3855" w:rsidRPr="00D160FB" w:rsidRDefault="001C3855" w:rsidP="00C8019E">
            <w:pPr>
              <w:pStyle w:val="Marginlie"/>
              <w:rPr>
                <w:spacing w:val="-4"/>
                <w:lang w:val="en-GB"/>
              </w:rPr>
            </w:pPr>
          </w:p>
          <w:p w14:paraId="37B0DEDE" w14:textId="77777777" w:rsidR="001C3855" w:rsidRPr="00D160FB" w:rsidRDefault="001C3855" w:rsidP="00C8019E">
            <w:pPr>
              <w:pStyle w:val="Marginlie"/>
              <w:rPr>
                <w:spacing w:val="-4"/>
                <w:lang w:val="en-GB"/>
              </w:rPr>
            </w:pPr>
          </w:p>
          <w:p w14:paraId="1762BEB9" w14:textId="77777777" w:rsidR="001C3855" w:rsidRPr="00D160FB" w:rsidRDefault="001C3855" w:rsidP="00C8019E">
            <w:pPr>
              <w:pStyle w:val="Marginlie"/>
              <w:rPr>
                <w:spacing w:val="-4"/>
                <w:lang w:val="en-GB"/>
              </w:rPr>
            </w:pPr>
          </w:p>
          <w:p w14:paraId="423B6B0A" w14:textId="77777777" w:rsidR="001C3855" w:rsidRPr="00D160FB" w:rsidRDefault="001C3855" w:rsidP="00C8019E">
            <w:pPr>
              <w:pStyle w:val="Marginlie"/>
              <w:rPr>
                <w:spacing w:val="-4"/>
                <w:lang w:val="en-GB"/>
              </w:rPr>
            </w:pPr>
          </w:p>
          <w:p w14:paraId="7C86426F" w14:textId="77777777" w:rsidR="001C3855" w:rsidRPr="00D160FB" w:rsidRDefault="001C3855" w:rsidP="00C8019E">
            <w:pPr>
              <w:pStyle w:val="Marginlie"/>
              <w:rPr>
                <w:spacing w:val="-4"/>
                <w:lang w:val="en-GB"/>
              </w:rPr>
            </w:pPr>
          </w:p>
          <w:p w14:paraId="45AF9A6E" w14:textId="630EBF80" w:rsidR="001C3855" w:rsidRPr="00D160FB" w:rsidRDefault="00DC77CB" w:rsidP="00C8019E">
            <w:pPr>
              <w:pStyle w:val="Marginlie"/>
              <w:rPr>
                <w:spacing w:val="-4"/>
                <w:lang w:val="en-GB"/>
              </w:rPr>
            </w:pPr>
            <w:r w:rsidRPr="00D160FB">
              <w:rPr>
                <w:spacing w:val="-4"/>
                <w:lang w:val="en-GB"/>
              </w:rPr>
              <w:t xml:space="preserve">Growth of wages in education moderated to seven-year minimum last year. </w:t>
            </w:r>
          </w:p>
          <w:p w14:paraId="7CC43C68" w14:textId="77777777" w:rsidR="001C3855" w:rsidRPr="00D160FB" w:rsidRDefault="001C3855" w:rsidP="00C8019E">
            <w:pPr>
              <w:pStyle w:val="Marginlie"/>
              <w:rPr>
                <w:spacing w:val="-4"/>
                <w:lang w:val="en-GB"/>
              </w:rPr>
            </w:pPr>
          </w:p>
          <w:p w14:paraId="0F4E68CE" w14:textId="77777777" w:rsidR="001C3855" w:rsidRPr="00D160FB" w:rsidRDefault="001C3855" w:rsidP="00C8019E">
            <w:pPr>
              <w:pStyle w:val="Marginlie"/>
              <w:rPr>
                <w:spacing w:val="-4"/>
                <w:lang w:val="en-GB"/>
              </w:rPr>
            </w:pPr>
            <w:r w:rsidRPr="00D160FB">
              <w:rPr>
                <w:spacing w:val="-4"/>
                <w:lang w:val="en-GB"/>
              </w:rPr>
              <w:t xml:space="preserve"> </w:t>
            </w:r>
          </w:p>
        </w:tc>
        <w:tc>
          <w:tcPr>
            <w:tcW w:w="202" w:type="dxa"/>
            <w:shd w:val="clear" w:color="auto" w:fill="auto"/>
            <w:tcMar>
              <w:left w:w="0" w:type="dxa"/>
            </w:tcMar>
          </w:tcPr>
          <w:p w14:paraId="4E176699" w14:textId="77777777" w:rsidR="001C3855" w:rsidRPr="00D160FB" w:rsidRDefault="001C3855" w:rsidP="00C8019E">
            <w:pPr>
              <w:pStyle w:val="Textpoznpodarou"/>
              <w:jc w:val="both"/>
              <w:rPr>
                <w:spacing w:val="-4"/>
                <w:lang w:val="en-GB"/>
              </w:rPr>
            </w:pPr>
          </w:p>
        </w:tc>
        <w:tc>
          <w:tcPr>
            <w:tcW w:w="7750" w:type="dxa"/>
            <w:shd w:val="clear" w:color="auto" w:fill="auto"/>
            <w:tcMar>
              <w:left w:w="0" w:type="dxa"/>
            </w:tcMar>
          </w:tcPr>
          <w:p w14:paraId="72C7EB86" w14:textId="1C6E7F1F" w:rsidR="001C3855" w:rsidRPr="00D160FB" w:rsidRDefault="00B66B65" w:rsidP="00C8019E">
            <w:pPr>
              <w:spacing w:after="0"/>
              <w:rPr>
                <w:rFonts w:cs="Arial"/>
                <w:color w:val="0D0D0D" w:themeColor="text1" w:themeTint="F2"/>
                <w:spacing w:val="-4"/>
                <w:szCs w:val="20"/>
                <w:lang w:val="en-GB"/>
              </w:rPr>
            </w:pPr>
            <w:r w:rsidRPr="00D160FB">
              <w:rPr>
                <w:rFonts w:cs="Arial"/>
                <w:color w:val="0D0D0D" w:themeColor="text1" w:themeTint="F2"/>
                <w:spacing w:val="-4"/>
                <w:szCs w:val="20"/>
                <w:lang w:val="en-GB"/>
              </w:rPr>
              <w:t xml:space="preserve">The average monthly wage in the economy increased by nominal 6.5% and tightly crossed the </w:t>
            </w:r>
            <w:r w:rsidR="001C3855" w:rsidRPr="00D160FB">
              <w:rPr>
                <w:rFonts w:cs="Arial"/>
                <w:color w:val="0D0D0D" w:themeColor="text1" w:themeTint="F2"/>
                <w:spacing w:val="-4"/>
                <w:szCs w:val="20"/>
                <w:lang w:val="en-GB"/>
              </w:rPr>
              <w:t>40</w:t>
            </w:r>
            <w:r w:rsidRPr="00D160FB">
              <w:rPr>
                <w:rFonts w:cs="Arial"/>
                <w:color w:val="0D0D0D" w:themeColor="text1" w:themeTint="F2"/>
                <w:spacing w:val="-4"/>
                <w:szCs w:val="20"/>
                <w:lang w:val="en-GB"/>
              </w:rPr>
              <w:t xml:space="preserve"> CZK thousand boundary in total for year 2020</w:t>
            </w:r>
            <w:r w:rsidR="001C3855" w:rsidRPr="00D160FB">
              <w:rPr>
                <w:rFonts w:cs="Arial"/>
                <w:color w:val="0D0D0D" w:themeColor="text1" w:themeTint="F2"/>
                <w:spacing w:val="-4"/>
                <w:szCs w:val="20"/>
                <w:lang w:val="en-GB"/>
              </w:rPr>
              <w:t xml:space="preserve">. </w:t>
            </w:r>
            <w:r w:rsidRPr="00D160FB">
              <w:rPr>
                <w:rFonts w:cs="Arial"/>
                <w:color w:val="0D0D0D" w:themeColor="text1" w:themeTint="F2"/>
                <w:spacing w:val="-4"/>
                <w:szCs w:val="20"/>
                <w:lang w:val="en-GB"/>
              </w:rPr>
              <w:t xml:space="preserve">The wage growth </w:t>
            </w:r>
            <w:r w:rsidR="001C3855" w:rsidRPr="00D160FB">
              <w:rPr>
                <w:rFonts w:cs="Arial"/>
                <w:color w:val="0D0D0D" w:themeColor="text1" w:themeTint="F2"/>
                <w:spacing w:val="-4"/>
                <w:szCs w:val="20"/>
                <w:lang w:val="en-GB"/>
              </w:rPr>
              <w:t>(</w:t>
            </w:r>
            <w:r w:rsidRPr="00D160FB">
              <w:rPr>
                <w:rFonts w:cs="Arial"/>
                <w:color w:val="0D0D0D" w:themeColor="text1" w:themeTint="F2"/>
                <w:spacing w:val="-4"/>
                <w:szCs w:val="20"/>
                <w:lang w:val="en-GB"/>
              </w:rPr>
              <w:t>unlike the employment</w:t>
            </w:r>
            <w:r w:rsidR="001C3855" w:rsidRPr="00D160FB">
              <w:rPr>
                <w:rFonts w:cs="Arial"/>
                <w:color w:val="0D0D0D" w:themeColor="text1" w:themeTint="F2"/>
                <w:spacing w:val="-4"/>
                <w:szCs w:val="20"/>
                <w:lang w:val="en-GB"/>
              </w:rPr>
              <w:t>)</w:t>
            </w:r>
            <w:r w:rsidRPr="00D160FB">
              <w:rPr>
                <w:rFonts w:cs="Arial"/>
                <w:color w:val="0D0D0D" w:themeColor="text1" w:themeTint="F2"/>
                <w:spacing w:val="-4"/>
                <w:szCs w:val="20"/>
                <w:lang w:val="en-GB"/>
              </w:rPr>
              <w:t xml:space="preserve"> did not fundamentally differ among market branches </w:t>
            </w:r>
            <w:r w:rsidR="001C3855" w:rsidRPr="00D160FB">
              <w:rPr>
                <w:rFonts w:cs="Arial"/>
                <w:color w:val="0D0D0D" w:themeColor="text1" w:themeTint="F2"/>
                <w:spacing w:val="-4"/>
                <w:szCs w:val="20"/>
                <w:lang w:val="en-GB"/>
              </w:rPr>
              <w:t xml:space="preserve">– </w:t>
            </w:r>
            <w:r w:rsidRPr="00D160FB">
              <w:rPr>
                <w:rFonts w:cs="Arial"/>
                <w:color w:val="0D0D0D" w:themeColor="text1" w:themeTint="F2"/>
                <w:spacing w:val="-4"/>
                <w:szCs w:val="20"/>
                <w:lang w:val="en-GB"/>
              </w:rPr>
              <w:t xml:space="preserve">it moved from </w:t>
            </w:r>
            <w:r w:rsidR="001C3855" w:rsidRPr="00D160FB">
              <w:rPr>
                <w:rFonts w:cs="Arial"/>
                <w:color w:val="0D0D0D" w:themeColor="text1" w:themeTint="F2"/>
                <w:spacing w:val="-4"/>
                <w:szCs w:val="20"/>
                <w:lang w:val="en-GB"/>
              </w:rPr>
              <w:t>7</w:t>
            </w:r>
            <w:r w:rsidRPr="00D160FB">
              <w:rPr>
                <w:rFonts w:cs="Arial"/>
                <w:color w:val="0D0D0D" w:themeColor="text1" w:themeTint="F2"/>
                <w:spacing w:val="-4"/>
                <w:szCs w:val="20"/>
                <w:lang w:val="en-GB"/>
              </w:rPr>
              <w:t>.</w:t>
            </w:r>
            <w:r w:rsidR="001C3855" w:rsidRPr="00D160FB">
              <w:rPr>
                <w:rFonts w:cs="Arial"/>
                <w:color w:val="0D0D0D" w:themeColor="text1" w:themeTint="F2"/>
                <w:spacing w:val="-4"/>
                <w:szCs w:val="20"/>
                <w:lang w:val="en-GB"/>
              </w:rPr>
              <w:t>4% (</w:t>
            </w:r>
            <w:r w:rsidRPr="00D160FB">
              <w:rPr>
                <w:rFonts w:cs="Arial"/>
                <w:color w:val="0D0D0D" w:themeColor="text1" w:themeTint="F2"/>
                <w:spacing w:val="-4"/>
                <w:szCs w:val="20"/>
                <w:lang w:val="en-GB"/>
              </w:rPr>
              <w:t>agriculture, forestry and fishing</w:t>
            </w:r>
            <w:r w:rsidR="001C3855" w:rsidRPr="00D160FB">
              <w:rPr>
                <w:rFonts w:cs="Arial"/>
                <w:color w:val="0D0D0D" w:themeColor="text1" w:themeTint="F2"/>
                <w:spacing w:val="-4"/>
                <w:szCs w:val="20"/>
                <w:lang w:val="en-GB"/>
              </w:rPr>
              <w:t>)</w:t>
            </w:r>
            <w:r w:rsidRPr="00D160FB">
              <w:rPr>
                <w:rFonts w:cs="Arial"/>
                <w:color w:val="0D0D0D" w:themeColor="text1" w:themeTint="F2"/>
                <w:spacing w:val="-4"/>
                <w:szCs w:val="20"/>
                <w:lang w:val="en-GB"/>
              </w:rPr>
              <w:t xml:space="preserve"> to </w:t>
            </w:r>
            <w:r w:rsidR="001C3855" w:rsidRPr="00D160FB">
              <w:rPr>
                <w:rFonts w:cs="Arial"/>
                <w:color w:val="0D0D0D" w:themeColor="text1" w:themeTint="F2"/>
                <w:spacing w:val="-4"/>
                <w:szCs w:val="20"/>
                <w:lang w:val="en-GB"/>
              </w:rPr>
              <w:t>10</w:t>
            </w:r>
            <w:r w:rsidRPr="00D160FB">
              <w:rPr>
                <w:rFonts w:cs="Arial"/>
                <w:color w:val="0D0D0D" w:themeColor="text1" w:themeTint="F2"/>
                <w:spacing w:val="-4"/>
                <w:szCs w:val="20"/>
                <w:lang w:val="en-GB"/>
              </w:rPr>
              <w:t>.</w:t>
            </w:r>
            <w:r w:rsidR="001C3855" w:rsidRPr="00D160FB">
              <w:rPr>
                <w:rFonts w:cs="Arial"/>
                <w:color w:val="0D0D0D" w:themeColor="text1" w:themeTint="F2"/>
                <w:spacing w:val="-4"/>
                <w:szCs w:val="20"/>
                <w:lang w:val="en-GB"/>
              </w:rPr>
              <w:t>7% (</w:t>
            </w:r>
            <w:r w:rsidRPr="00D160FB">
              <w:rPr>
                <w:rFonts w:cs="Arial"/>
                <w:color w:val="0D0D0D" w:themeColor="text1" w:themeTint="F2"/>
                <w:spacing w:val="-4"/>
                <w:szCs w:val="20"/>
                <w:lang w:val="en-GB"/>
              </w:rPr>
              <w:t>in financial services</w:t>
            </w:r>
            <w:r w:rsidR="001C3855" w:rsidRPr="00D160FB">
              <w:rPr>
                <w:rFonts w:cs="Arial"/>
                <w:color w:val="0D0D0D" w:themeColor="text1" w:themeTint="F2"/>
                <w:spacing w:val="-4"/>
                <w:szCs w:val="20"/>
                <w:lang w:val="en-GB"/>
              </w:rPr>
              <w:t>)</w:t>
            </w:r>
            <w:r w:rsidR="001C3855" w:rsidRPr="00D160FB">
              <w:rPr>
                <w:rStyle w:val="Znakapoznpodarou"/>
                <w:color w:val="0D0D0D" w:themeColor="text1" w:themeTint="F2"/>
                <w:spacing w:val="-4"/>
                <w:szCs w:val="20"/>
                <w:lang w:val="en-GB"/>
              </w:rPr>
              <w:footnoteReference w:id="20"/>
            </w:r>
            <w:r w:rsidR="001C3855" w:rsidRPr="00D160FB">
              <w:rPr>
                <w:rFonts w:cs="Arial"/>
                <w:color w:val="0D0D0D" w:themeColor="text1" w:themeTint="F2"/>
                <w:spacing w:val="-4"/>
                <w:szCs w:val="20"/>
                <w:lang w:val="en-GB"/>
              </w:rPr>
              <w:t xml:space="preserve">. </w:t>
            </w:r>
            <w:r w:rsidR="00EC0EE6" w:rsidRPr="00D160FB">
              <w:rPr>
                <w:rFonts w:cs="Arial"/>
                <w:color w:val="0D0D0D" w:themeColor="text1" w:themeTint="F2"/>
                <w:spacing w:val="-4"/>
                <w:szCs w:val="20"/>
                <w:lang w:val="en-GB"/>
              </w:rPr>
              <w:t xml:space="preserve">After-effects of the post-pandemic revival of demand was mirrored in the above average growth of earnings in some branches </w:t>
            </w:r>
            <w:r w:rsidR="001C3855" w:rsidRPr="00D160FB">
              <w:rPr>
                <w:rFonts w:cs="Arial"/>
                <w:color w:val="0D0D0D" w:themeColor="text1" w:themeTint="F2"/>
                <w:spacing w:val="-4"/>
                <w:szCs w:val="20"/>
                <w:lang w:val="en-GB"/>
              </w:rPr>
              <w:t>(</w:t>
            </w:r>
            <w:r w:rsidR="00EC0EE6" w:rsidRPr="00D160FB">
              <w:rPr>
                <w:rFonts w:cs="Arial"/>
                <w:color w:val="0D0D0D" w:themeColor="text1" w:themeTint="F2"/>
                <w:spacing w:val="-4"/>
                <w:szCs w:val="20"/>
                <w:lang w:val="en-GB"/>
              </w:rPr>
              <w:t>trade, transport and warehousing, accommodation, food services and restaurants</w:t>
            </w:r>
            <w:r w:rsidR="001C3855" w:rsidRPr="00D160FB">
              <w:rPr>
                <w:rFonts w:cs="Arial"/>
                <w:color w:val="0D0D0D" w:themeColor="text1" w:themeTint="F2"/>
                <w:spacing w:val="-4"/>
                <w:szCs w:val="20"/>
                <w:lang w:val="en-GB"/>
              </w:rPr>
              <w:t xml:space="preserve">). </w:t>
            </w:r>
            <w:r w:rsidR="00144C0B" w:rsidRPr="00D160FB">
              <w:rPr>
                <w:rFonts w:cs="Arial"/>
                <w:color w:val="0D0D0D" w:themeColor="text1" w:themeTint="F2"/>
                <w:spacing w:val="-4"/>
                <w:szCs w:val="20"/>
                <w:lang w:val="en-GB"/>
              </w:rPr>
              <w:t xml:space="preserve">In other places the growth of wages was likely associated to the dismissal of little qualified workers </w:t>
            </w:r>
            <w:r w:rsidR="001C3855" w:rsidRPr="00D160FB">
              <w:rPr>
                <w:rFonts w:cs="Arial"/>
                <w:color w:val="0D0D0D" w:themeColor="text1" w:themeTint="F2"/>
                <w:spacing w:val="-4"/>
                <w:szCs w:val="20"/>
                <w:lang w:val="en-GB"/>
              </w:rPr>
              <w:t>(administrativ</w:t>
            </w:r>
            <w:r w:rsidR="00144C0B" w:rsidRPr="00D160FB">
              <w:rPr>
                <w:rFonts w:cs="Arial"/>
                <w:color w:val="0D0D0D" w:themeColor="text1" w:themeTint="F2"/>
                <w:spacing w:val="-4"/>
                <w:szCs w:val="20"/>
                <w:lang w:val="en-GB"/>
              </w:rPr>
              <w:t>e and support services activities</w:t>
            </w:r>
            <w:r w:rsidR="001C3855" w:rsidRPr="00D160FB">
              <w:rPr>
                <w:rFonts w:cs="Arial"/>
                <w:color w:val="0D0D0D" w:themeColor="text1" w:themeTint="F2"/>
                <w:spacing w:val="-4"/>
                <w:szCs w:val="20"/>
                <w:lang w:val="en-GB"/>
              </w:rPr>
              <w:t xml:space="preserve">). </w:t>
            </w:r>
            <w:r w:rsidR="00144C0B" w:rsidRPr="00D160FB">
              <w:rPr>
                <w:rFonts w:cs="Arial"/>
                <w:color w:val="0D0D0D" w:themeColor="text1" w:themeTint="F2"/>
                <w:spacing w:val="-4"/>
                <w:szCs w:val="20"/>
                <w:lang w:val="en-GB"/>
              </w:rPr>
              <w:t xml:space="preserve">Wages in the branches with the significant role of the government sector nearly stagnated in total year-on-year </w:t>
            </w:r>
            <w:r w:rsidR="001C3855" w:rsidRPr="00D160FB">
              <w:rPr>
                <w:rFonts w:cs="Arial"/>
                <w:color w:val="0D0D0D" w:themeColor="text1" w:themeTint="F2"/>
                <w:spacing w:val="-4"/>
                <w:szCs w:val="20"/>
                <w:lang w:val="en-GB"/>
              </w:rPr>
              <w:t>(+0</w:t>
            </w:r>
            <w:r w:rsidR="00144C0B" w:rsidRPr="00D160FB">
              <w:rPr>
                <w:rFonts w:cs="Arial"/>
                <w:color w:val="0D0D0D" w:themeColor="text1" w:themeTint="F2"/>
                <w:spacing w:val="-4"/>
                <w:szCs w:val="20"/>
                <w:lang w:val="en-GB"/>
              </w:rPr>
              <w:t>.</w:t>
            </w:r>
            <w:r w:rsidR="001C3855" w:rsidRPr="00D160FB">
              <w:rPr>
                <w:rFonts w:cs="Arial"/>
                <w:color w:val="0D0D0D" w:themeColor="text1" w:themeTint="F2"/>
                <w:spacing w:val="-4"/>
                <w:szCs w:val="20"/>
                <w:lang w:val="en-GB"/>
              </w:rPr>
              <w:t>5%)</w:t>
            </w:r>
            <w:r w:rsidR="001C3855" w:rsidRPr="00D160FB">
              <w:rPr>
                <w:rStyle w:val="Znakapoznpodarou"/>
                <w:color w:val="0D0D0D" w:themeColor="text1" w:themeTint="F2"/>
                <w:spacing w:val="-4"/>
                <w:szCs w:val="20"/>
                <w:lang w:val="en-GB"/>
              </w:rPr>
              <w:footnoteReference w:id="21"/>
            </w:r>
            <w:r w:rsidR="001C3855" w:rsidRPr="00D160FB">
              <w:rPr>
                <w:rFonts w:cs="Arial"/>
                <w:color w:val="0D0D0D" w:themeColor="text1" w:themeTint="F2"/>
                <w:spacing w:val="-4"/>
                <w:szCs w:val="20"/>
                <w:lang w:val="en-GB"/>
              </w:rPr>
              <w:t xml:space="preserve">. </w:t>
            </w:r>
            <w:r w:rsidR="00144C0B" w:rsidRPr="00D160FB">
              <w:rPr>
                <w:rFonts w:cs="Arial"/>
                <w:color w:val="0D0D0D" w:themeColor="text1" w:themeTint="F2"/>
                <w:spacing w:val="-4"/>
                <w:szCs w:val="20"/>
                <w:lang w:val="en-GB"/>
              </w:rPr>
              <w:t xml:space="preserve">Wages in health and social work still maintained the highest level among them </w:t>
            </w:r>
            <w:r w:rsidR="001C3855" w:rsidRPr="00D160FB">
              <w:rPr>
                <w:rFonts w:cs="Arial"/>
                <w:color w:val="0D0D0D" w:themeColor="text1" w:themeTint="F2"/>
                <w:spacing w:val="-4"/>
                <w:szCs w:val="20"/>
                <w:lang w:val="en-GB"/>
              </w:rPr>
              <w:t>(44</w:t>
            </w:r>
            <w:r w:rsidR="00144C0B" w:rsidRPr="00D160FB">
              <w:rPr>
                <w:rFonts w:cs="Arial"/>
                <w:color w:val="0D0D0D" w:themeColor="text1" w:themeTint="F2"/>
                <w:spacing w:val="-4"/>
                <w:szCs w:val="20"/>
                <w:lang w:val="en-GB"/>
              </w:rPr>
              <w:t>.</w:t>
            </w:r>
            <w:r w:rsidR="001C3855" w:rsidRPr="00D160FB">
              <w:rPr>
                <w:rFonts w:cs="Arial"/>
                <w:color w:val="0D0D0D" w:themeColor="text1" w:themeTint="F2"/>
                <w:spacing w:val="-4"/>
                <w:szCs w:val="20"/>
                <w:lang w:val="en-GB"/>
              </w:rPr>
              <w:t xml:space="preserve">4 </w:t>
            </w:r>
            <w:r w:rsidR="00144C0B" w:rsidRPr="00D160FB">
              <w:rPr>
                <w:rFonts w:cs="Arial"/>
                <w:color w:val="0D0D0D" w:themeColor="text1" w:themeTint="F2"/>
                <w:spacing w:val="-4"/>
                <w:szCs w:val="20"/>
                <w:lang w:val="en-GB"/>
              </w:rPr>
              <w:t>CZK thousand monthly</w:t>
            </w:r>
            <w:r w:rsidR="001C3855" w:rsidRPr="00D160FB">
              <w:rPr>
                <w:rFonts w:cs="Arial"/>
                <w:color w:val="0D0D0D" w:themeColor="text1" w:themeTint="F2"/>
                <w:spacing w:val="-4"/>
                <w:szCs w:val="20"/>
                <w:lang w:val="en-GB"/>
              </w:rPr>
              <w:t xml:space="preserve">). </w:t>
            </w:r>
            <w:r w:rsidR="00B72CD3" w:rsidRPr="00D160FB">
              <w:rPr>
                <w:rFonts w:cs="Arial"/>
                <w:color w:val="0D0D0D" w:themeColor="text1" w:themeTint="F2"/>
                <w:spacing w:val="-4"/>
                <w:szCs w:val="20"/>
                <w:lang w:val="en-GB"/>
              </w:rPr>
              <w:t>Against the earnings from year 2</w:t>
            </w:r>
            <w:r w:rsidR="001C3855" w:rsidRPr="00D160FB">
              <w:rPr>
                <w:rFonts w:cs="Arial"/>
                <w:color w:val="0D0D0D" w:themeColor="text1" w:themeTint="F2"/>
                <w:spacing w:val="-4"/>
                <w:szCs w:val="20"/>
                <w:lang w:val="en-GB"/>
              </w:rPr>
              <w:t>021 (</w:t>
            </w:r>
            <w:r w:rsidR="00B72CD3" w:rsidRPr="00D160FB">
              <w:rPr>
                <w:rFonts w:cs="Arial"/>
                <w:color w:val="0D0D0D" w:themeColor="text1" w:themeTint="F2"/>
                <w:spacing w:val="-4"/>
                <w:szCs w:val="20"/>
                <w:lang w:val="en-GB"/>
              </w:rPr>
              <w:t xml:space="preserve">raised by extraordinary </w:t>
            </w:r>
            <w:r w:rsidR="001C3855" w:rsidRPr="00D160FB">
              <w:rPr>
                <w:rFonts w:cs="Arial"/>
                <w:color w:val="0D0D0D" w:themeColor="text1" w:themeTint="F2"/>
                <w:spacing w:val="-4"/>
                <w:szCs w:val="20"/>
                <w:lang w:val="en-GB"/>
              </w:rPr>
              <w:t xml:space="preserve">„pandemic“ </w:t>
            </w:r>
            <w:r w:rsidR="00B72CD3" w:rsidRPr="00D160FB">
              <w:rPr>
                <w:rFonts w:cs="Arial"/>
                <w:color w:val="0D0D0D" w:themeColor="text1" w:themeTint="F2"/>
                <w:spacing w:val="-4"/>
                <w:szCs w:val="20"/>
                <w:lang w:val="en-GB"/>
              </w:rPr>
              <w:t>bonuses</w:t>
            </w:r>
            <w:r w:rsidR="001C3855" w:rsidRPr="00D160FB">
              <w:rPr>
                <w:rFonts w:cs="Arial"/>
                <w:color w:val="0D0D0D" w:themeColor="text1" w:themeTint="F2"/>
                <w:spacing w:val="-4"/>
                <w:szCs w:val="20"/>
                <w:lang w:val="en-GB"/>
              </w:rPr>
              <w:t xml:space="preserve">) </w:t>
            </w:r>
            <w:r w:rsidR="00B72CD3" w:rsidRPr="00D160FB">
              <w:rPr>
                <w:rFonts w:cs="Arial"/>
                <w:color w:val="0D0D0D" w:themeColor="text1" w:themeTint="F2"/>
                <w:spacing w:val="-4"/>
                <w:szCs w:val="20"/>
                <w:lang w:val="en-GB"/>
              </w:rPr>
              <w:t xml:space="preserve">they however decreased by </w:t>
            </w:r>
            <w:r w:rsidR="001C3855" w:rsidRPr="00D160FB">
              <w:rPr>
                <w:rFonts w:cs="Arial"/>
                <w:color w:val="0D0D0D" w:themeColor="text1" w:themeTint="F2"/>
                <w:spacing w:val="-4"/>
                <w:szCs w:val="20"/>
                <w:lang w:val="en-GB"/>
              </w:rPr>
              <w:t>4</w:t>
            </w:r>
            <w:r w:rsidR="00B72CD3" w:rsidRPr="00D160FB">
              <w:rPr>
                <w:rFonts w:cs="Arial"/>
                <w:color w:val="0D0D0D" w:themeColor="text1" w:themeTint="F2"/>
                <w:spacing w:val="-4"/>
                <w:szCs w:val="20"/>
                <w:lang w:val="en-GB"/>
              </w:rPr>
              <w:t>.</w:t>
            </w:r>
            <w:r w:rsidR="001C3855" w:rsidRPr="00D160FB">
              <w:rPr>
                <w:rFonts w:cs="Arial"/>
                <w:color w:val="0D0D0D" w:themeColor="text1" w:themeTint="F2"/>
                <w:spacing w:val="-4"/>
                <w:szCs w:val="20"/>
                <w:lang w:val="en-GB"/>
              </w:rPr>
              <w:t>3% (</w:t>
            </w:r>
            <w:r w:rsidR="00B72CD3" w:rsidRPr="00D160FB">
              <w:rPr>
                <w:rFonts w:cs="Arial"/>
                <w:color w:val="0D0D0D" w:themeColor="text1" w:themeTint="F2"/>
                <w:spacing w:val="-4"/>
                <w:szCs w:val="20"/>
                <w:lang w:val="en-GB"/>
              </w:rPr>
              <w:t xml:space="preserve">in the annual sum they decreased for the first time in the comparable time series after year </w:t>
            </w:r>
            <w:r w:rsidR="001C3855" w:rsidRPr="00D160FB">
              <w:rPr>
                <w:rFonts w:cs="Arial"/>
                <w:color w:val="0D0D0D" w:themeColor="text1" w:themeTint="F2"/>
                <w:spacing w:val="-4"/>
                <w:szCs w:val="20"/>
                <w:lang w:val="en-GB"/>
              </w:rPr>
              <w:t xml:space="preserve">2000). </w:t>
            </w:r>
            <w:r w:rsidR="00B72CD3" w:rsidRPr="00D160FB">
              <w:rPr>
                <w:rFonts w:cs="Arial"/>
                <w:color w:val="0D0D0D" w:themeColor="text1" w:themeTint="F2"/>
                <w:spacing w:val="-4"/>
                <w:szCs w:val="20"/>
                <w:lang w:val="en-GB"/>
              </w:rPr>
              <w:t xml:space="preserve">Earnings increased by </w:t>
            </w:r>
            <w:r w:rsidR="001C3855" w:rsidRPr="00D160FB">
              <w:rPr>
                <w:rFonts w:cs="Arial"/>
                <w:color w:val="0D0D0D" w:themeColor="text1" w:themeTint="F2"/>
                <w:spacing w:val="-4"/>
                <w:szCs w:val="20"/>
                <w:lang w:val="en-GB"/>
              </w:rPr>
              <w:t>1</w:t>
            </w:r>
            <w:r w:rsidR="00B72CD3" w:rsidRPr="00D160FB">
              <w:rPr>
                <w:rFonts w:cs="Arial"/>
                <w:color w:val="0D0D0D" w:themeColor="text1" w:themeTint="F2"/>
                <w:spacing w:val="-4"/>
                <w:szCs w:val="20"/>
                <w:lang w:val="en-GB"/>
              </w:rPr>
              <w:t>.</w:t>
            </w:r>
            <w:r w:rsidR="001C3855" w:rsidRPr="00D160FB">
              <w:rPr>
                <w:rFonts w:cs="Arial"/>
                <w:color w:val="0D0D0D" w:themeColor="text1" w:themeTint="F2"/>
                <w:spacing w:val="-4"/>
                <w:szCs w:val="20"/>
                <w:lang w:val="en-GB"/>
              </w:rPr>
              <w:t>8%</w:t>
            </w:r>
            <w:r w:rsidR="00B72CD3" w:rsidRPr="00D160FB">
              <w:rPr>
                <w:rFonts w:cs="Arial"/>
                <w:color w:val="0D0D0D" w:themeColor="text1" w:themeTint="F2"/>
                <w:spacing w:val="-4"/>
                <w:szCs w:val="20"/>
                <w:lang w:val="en-GB"/>
              </w:rPr>
              <w:t xml:space="preserve"> in education</w:t>
            </w:r>
            <w:r w:rsidR="001C3855" w:rsidRPr="00D160FB">
              <w:rPr>
                <w:rFonts w:cs="Arial"/>
                <w:color w:val="0D0D0D" w:themeColor="text1" w:themeTint="F2"/>
                <w:spacing w:val="-4"/>
                <w:szCs w:val="20"/>
                <w:lang w:val="en-GB"/>
              </w:rPr>
              <w:t>,</w:t>
            </w:r>
            <w:r w:rsidR="00B72CD3" w:rsidRPr="00D160FB">
              <w:rPr>
                <w:rFonts w:cs="Arial"/>
                <w:color w:val="0D0D0D" w:themeColor="text1" w:themeTint="F2"/>
                <w:spacing w:val="-4"/>
                <w:szCs w:val="20"/>
                <w:lang w:val="en-GB"/>
              </w:rPr>
              <w:t xml:space="preserve"> the least in the last seven years</w:t>
            </w:r>
            <w:r w:rsidR="001C3855" w:rsidRPr="00D160FB">
              <w:rPr>
                <w:rFonts w:cs="Arial"/>
                <w:color w:val="0D0D0D" w:themeColor="text1" w:themeTint="F2"/>
                <w:spacing w:val="-4"/>
                <w:szCs w:val="20"/>
                <w:lang w:val="en-GB"/>
              </w:rPr>
              <w:t xml:space="preserve">. </w:t>
            </w:r>
            <w:r w:rsidR="00B72CD3" w:rsidRPr="00D160FB">
              <w:rPr>
                <w:rFonts w:cs="Arial"/>
                <w:color w:val="0D0D0D" w:themeColor="text1" w:themeTint="F2"/>
                <w:spacing w:val="-4"/>
                <w:szCs w:val="20"/>
                <w:lang w:val="en-GB"/>
              </w:rPr>
              <w:t>Still the</w:t>
            </w:r>
            <w:r w:rsidR="002F572C" w:rsidRPr="00D160FB">
              <w:rPr>
                <w:rFonts w:cs="Arial"/>
                <w:color w:val="0D0D0D" w:themeColor="text1" w:themeTint="F2"/>
                <w:spacing w:val="-4"/>
                <w:szCs w:val="20"/>
                <w:lang w:val="en-GB"/>
              </w:rPr>
              <w:t>ir</w:t>
            </w:r>
            <w:r w:rsidR="00B72CD3" w:rsidRPr="00D160FB">
              <w:rPr>
                <w:rFonts w:cs="Arial"/>
                <w:color w:val="0D0D0D" w:themeColor="text1" w:themeTint="F2"/>
                <w:spacing w:val="-4"/>
                <w:szCs w:val="20"/>
                <w:lang w:val="en-GB"/>
              </w:rPr>
              <w:t xml:space="preserve"> size stayed above the level of the whole economy, even though only by near 3% for the last year. </w:t>
            </w:r>
            <w:r w:rsidR="001C3855" w:rsidRPr="00D160FB">
              <w:rPr>
                <w:rFonts w:cs="Arial"/>
                <w:color w:val="0D0D0D" w:themeColor="text1" w:themeTint="F2"/>
                <w:spacing w:val="-4"/>
                <w:szCs w:val="20"/>
                <w:lang w:val="en-GB"/>
              </w:rPr>
              <w:t xml:space="preserve"> </w:t>
            </w:r>
          </w:p>
          <w:p w14:paraId="7AA35BC0" w14:textId="77777777" w:rsidR="001C3855" w:rsidRPr="00D160FB" w:rsidRDefault="001C3855" w:rsidP="00C8019E">
            <w:pPr>
              <w:spacing w:after="0" w:line="240" w:lineRule="auto"/>
              <w:rPr>
                <w:rFonts w:cs="Arial"/>
                <w:color w:val="0D0D0D" w:themeColor="text1" w:themeTint="F2"/>
                <w:spacing w:val="-4"/>
                <w:sz w:val="14"/>
                <w:szCs w:val="14"/>
                <w:lang w:val="en-GB"/>
              </w:rPr>
            </w:pPr>
          </w:p>
        </w:tc>
      </w:tr>
      <w:tr w:rsidR="003D13A6" w:rsidRPr="00D160FB" w14:paraId="17E029E1" w14:textId="77777777" w:rsidTr="003D13A6">
        <w:trPr>
          <w:trHeight w:val="132"/>
        </w:trPr>
        <w:tc>
          <w:tcPr>
            <w:tcW w:w="1722" w:type="dxa"/>
            <w:shd w:val="clear" w:color="auto" w:fill="auto"/>
            <w:tcMar>
              <w:left w:w="0" w:type="dxa"/>
            </w:tcMar>
          </w:tcPr>
          <w:p w14:paraId="52634CA4" w14:textId="77777777" w:rsidR="003D13A6" w:rsidRPr="00D160FB" w:rsidRDefault="003D13A6" w:rsidP="00C8019E">
            <w:pPr>
              <w:pStyle w:val="Marginlie"/>
              <w:rPr>
                <w:spacing w:val="-4"/>
                <w:lang w:val="en-GB"/>
              </w:rPr>
            </w:pPr>
          </w:p>
        </w:tc>
        <w:tc>
          <w:tcPr>
            <w:tcW w:w="202" w:type="dxa"/>
            <w:shd w:val="clear" w:color="auto" w:fill="auto"/>
            <w:tcMar>
              <w:left w:w="0" w:type="dxa"/>
            </w:tcMar>
          </w:tcPr>
          <w:p w14:paraId="46801255" w14:textId="77777777" w:rsidR="003D13A6" w:rsidRPr="00D160FB" w:rsidRDefault="003D13A6" w:rsidP="00C8019E">
            <w:pPr>
              <w:pStyle w:val="Textpoznpodarou"/>
              <w:jc w:val="both"/>
              <w:rPr>
                <w:spacing w:val="-4"/>
                <w:lang w:val="en-GB"/>
              </w:rPr>
            </w:pPr>
          </w:p>
        </w:tc>
        <w:tc>
          <w:tcPr>
            <w:tcW w:w="7750" w:type="dxa"/>
            <w:shd w:val="clear" w:color="auto" w:fill="auto"/>
            <w:tcMar>
              <w:left w:w="0" w:type="dxa"/>
            </w:tcMar>
          </w:tcPr>
          <w:p w14:paraId="550A319A" w14:textId="77777777" w:rsidR="003D13A6" w:rsidRPr="00D160FB" w:rsidRDefault="003D13A6" w:rsidP="003D13A6">
            <w:pPr>
              <w:spacing w:after="0"/>
              <w:rPr>
                <w:rFonts w:cs="Arial"/>
                <w:color w:val="0D0D0D" w:themeColor="text1" w:themeTint="F2"/>
                <w:spacing w:val="-4"/>
                <w:szCs w:val="20"/>
                <w:lang w:val="en-GB"/>
              </w:rPr>
            </w:pPr>
            <w:r w:rsidRPr="00D160FB">
              <w:rPr>
                <w:rFonts w:cs="Arial"/>
                <w:color w:val="0D0D0D" w:themeColor="text1" w:themeTint="F2"/>
                <w:spacing w:val="-4"/>
                <w:szCs w:val="20"/>
                <w:lang w:val="en-GB"/>
              </w:rPr>
              <w:t xml:space="preserve">Median of the wages in the economy expanded by even 9% year-on-year in Q4 2022. It was 40.2 CZK thousand monthly for males, 34.6 CZK thousand for females. Percentage growth of the medium earnings was mildly higher for males than females for the whole last year (the </w:t>
            </w:r>
            <w:r w:rsidRPr="00D160FB">
              <w:rPr>
                <w:rFonts w:cs="Arial"/>
                <w:color w:val="0D0D0D" w:themeColor="text1" w:themeTint="F2"/>
                <w:spacing w:val="-4"/>
                <w:szCs w:val="20"/>
                <w:lang w:val="en-GB"/>
              </w:rPr>
              <w:lastRenderedPageBreak/>
              <w:t>opposite pattern was generally valid in the preceding years).The wage differences slightly lowered throughout the whole year 2022, specifically thanks to females, for whom the relative growth of low wages (in the first decile) surpassed the increase of the highly above average earnings (in the ninth decile). From the view of the main groups of the classification of occupations the median wage increased the most to craft and repairmen (+8.4%)</w:t>
            </w:r>
            <w:r w:rsidRPr="00D160FB">
              <w:rPr>
                <w:rStyle w:val="Znakapoznpodarou"/>
                <w:color w:val="0D0D0D" w:themeColor="text1" w:themeTint="F2"/>
                <w:spacing w:val="-4"/>
                <w:szCs w:val="20"/>
                <w:lang w:val="en-GB"/>
              </w:rPr>
              <w:footnoteReference w:id="22"/>
            </w:r>
            <w:r w:rsidRPr="00D160FB">
              <w:rPr>
                <w:rFonts w:cs="Arial"/>
                <w:color w:val="0D0D0D" w:themeColor="text1" w:themeTint="F2"/>
                <w:spacing w:val="-4"/>
                <w:szCs w:val="20"/>
                <w:lang w:val="en-GB"/>
              </w:rPr>
              <w:t xml:space="preserve">, legislators and chief executives also recorded slightly above average growth (7.3%) last year. The average earnings grew the least to employees in armed forces (+1.8%). The numerous group of professionals also recorded weaker wage growth (+4.1%), which was also reflected in the below average percentage growth of earnings of university graduates.  </w:t>
            </w:r>
          </w:p>
          <w:p w14:paraId="3A4C3027" w14:textId="77777777" w:rsidR="003D13A6" w:rsidRPr="00D160FB" w:rsidRDefault="003D13A6" w:rsidP="00C8019E">
            <w:pPr>
              <w:spacing w:after="0"/>
              <w:rPr>
                <w:rFonts w:cs="Arial"/>
                <w:color w:val="0D0D0D" w:themeColor="text1" w:themeTint="F2"/>
                <w:spacing w:val="-4"/>
                <w:szCs w:val="20"/>
                <w:lang w:val="en-GB"/>
              </w:rPr>
            </w:pPr>
          </w:p>
        </w:tc>
      </w:tr>
      <w:tr w:rsidR="00B646BC" w:rsidRPr="00D160FB" w14:paraId="3F4861DB" w14:textId="77777777" w:rsidTr="003D13A6">
        <w:trPr>
          <w:trHeight w:val="132"/>
        </w:trPr>
        <w:tc>
          <w:tcPr>
            <w:tcW w:w="1722" w:type="dxa"/>
            <w:shd w:val="clear" w:color="auto" w:fill="auto"/>
            <w:tcMar>
              <w:left w:w="0" w:type="dxa"/>
            </w:tcMar>
          </w:tcPr>
          <w:p w14:paraId="77C81278" w14:textId="77777777" w:rsidR="001C3855" w:rsidRPr="00D160FB" w:rsidRDefault="001C3855" w:rsidP="00C8019E">
            <w:pPr>
              <w:pStyle w:val="Marginlie"/>
              <w:rPr>
                <w:spacing w:val="-4"/>
                <w:lang w:val="en-GB"/>
              </w:rPr>
            </w:pPr>
          </w:p>
        </w:tc>
        <w:tc>
          <w:tcPr>
            <w:tcW w:w="202" w:type="dxa"/>
            <w:shd w:val="clear" w:color="auto" w:fill="auto"/>
            <w:tcMar>
              <w:left w:w="0" w:type="dxa"/>
            </w:tcMar>
          </w:tcPr>
          <w:p w14:paraId="5179777C" w14:textId="77777777" w:rsidR="001C3855" w:rsidRPr="00D160FB" w:rsidRDefault="001C3855" w:rsidP="00C8019E">
            <w:pPr>
              <w:pStyle w:val="Textpoznpodarou"/>
              <w:jc w:val="both"/>
              <w:rPr>
                <w:spacing w:val="-4"/>
                <w:lang w:val="en-GB"/>
              </w:rPr>
            </w:pPr>
          </w:p>
        </w:tc>
        <w:tc>
          <w:tcPr>
            <w:tcW w:w="7750" w:type="dxa"/>
            <w:shd w:val="clear" w:color="auto" w:fill="auto"/>
            <w:tcMar>
              <w:left w:w="0" w:type="dxa"/>
            </w:tcMar>
          </w:tcPr>
          <w:p w14:paraId="559D90F2" w14:textId="4A2C23EC" w:rsidR="00834CC3" w:rsidRDefault="006B4B60" w:rsidP="00932F45">
            <w:pPr>
              <w:spacing w:after="0"/>
              <w:rPr>
                <w:b/>
                <w:spacing w:val="-2"/>
                <w:lang w:val="en-GB"/>
              </w:rPr>
            </w:pPr>
            <w:r w:rsidRPr="00D160FB">
              <w:rPr>
                <w:rFonts w:cs="Arial"/>
                <w:b/>
                <w:color w:val="0D0D0D" w:themeColor="text1" w:themeTint="F2"/>
                <w:spacing w:val="-4"/>
                <w:szCs w:val="20"/>
                <w:lang w:val="en-GB"/>
              </w:rPr>
              <w:t xml:space="preserve">Chart </w:t>
            </w:r>
            <w:r w:rsidR="008F525A" w:rsidRPr="00D160FB">
              <w:rPr>
                <w:rFonts w:cs="Arial"/>
                <w:b/>
                <w:color w:val="0D0D0D" w:themeColor="text1" w:themeTint="F2"/>
                <w:spacing w:val="-4"/>
                <w:szCs w:val="20"/>
                <w:lang w:val="en-GB"/>
              </w:rPr>
              <w:t>16</w:t>
            </w:r>
            <w:r w:rsidR="001C3855" w:rsidRPr="00D160FB">
              <w:rPr>
                <w:rFonts w:cs="Arial"/>
                <w:b/>
                <w:color w:val="0D0D0D" w:themeColor="text1" w:themeTint="F2"/>
                <w:spacing w:val="-4"/>
                <w:szCs w:val="20"/>
                <w:lang w:val="en-GB"/>
              </w:rPr>
              <w:t xml:space="preserve"> </w:t>
            </w:r>
            <w:r w:rsidR="00932F45" w:rsidRPr="00D160FB">
              <w:rPr>
                <w:b/>
                <w:spacing w:val="-2"/>
                <w:lang w:val="en-GB"/>
              </w:rPr>
              <w:t>Average nominal and re</w:t>
            </w:r>
            <w:r w:rsidR="00834CC3">
              <w:rPr>
                <w:b/>
                <w:spacing w:val="-2"/>
                <w:lang w:val="en-GB"/>
              </w:rPr>
              <w:t>al wage and real labour productivity</w:t>
            </w:r>
          </w:p>
          <w:p w14:paraId="0EB134EF" w14:textId="71CCB736" w:rsidR="001C3855" w:rsidRPr="00D160FB" w:rsidRDefault="00932F45" w:rsidP="00932F45">
            <w:pPr>
              <w:spacing w:after="0"/>
              <w:rPr>
                <w:rFonts w:cs="Arial"/>
                <w:color w:val="0D0D0D" w:themeColor="text1" w:themeTint="F2"/>
                <w:spacing w:val="-4"/>
                <w:szCs w:val="20"/>
                <w:lang w:val="en-GB"/>
              </w:rPr>
            </w:pPr>
            <w:r w:rsidRPr="00D160FB">
              <w:rPr>
                <w:spacing w:val="-2"/>
                <w:lang w:val="en-GB"/>
              </w:rPr>
              <w:t>(annual totals, y-o-y change in %)</w:t>
            </w:r>
          </w:p>
        </w:tc>
      </w:tr>
      <w:tr w:rsidR="00B646BC" w:rsidRPr="00D160FB" w14:paraId="1A8016D5" w14:textId="77777777" w:rsidTr="003D13A6">
        <w:tblPrEx>
          <w:tblCellMar>
            <w:left w:w="70" w:type="dxa"/>
            <w:right w:w="70" w:type="dxa"/>
          </w:tblCellMar>
        </w:tblPrEx>
        <w:trPr>
          <w:trHeight w:val="132"/>
        </w:trPr>
        <w:tc>
          <w:tcPr>
            <w:tcW w:w="1722" w:type="dxa"/>
            <w:shd w:val="clear" w:color="auto" w:fill="auto"/>
          </w:tcPr>
          <w:p w14:paraId="56DEEEC4" w14:textId="77777777" w:rsidR="001C3855" w:rsidRPr="00D160FB" w:rsidRDefault="001C3855" w:rsidP="00C8019E">
            <w:pPr>
              <w:pStyle w:val="Marginlie"/>
              <w:rPr>
                <w:spacing w:val="-4"/>
                <w:lang w:val="en-GB"/>
              </w:rPr>
            </w:pPr>
          </w:p>
        </w:tc>
        <w:tc>
          <w:tcPr>
            <w:tcW w:w="202" w:type="dxa"/>
            <w:shd w:val="clear" w:color="auto" w:fill="auto"/>
          </w:tcPr>
          <w:p w14:paraId="417AB7BC" w14:textId="77777777" w:rsidR="001C3855" w:rsidRPr="00D160FB" w:rsidRDefault="001C3855" w:rsidP="00C8019E">
            <w:pPr>
              <w:pStyle w:val="Textpoznpodarou"/>
              <w:jc w:val="both"/>
              <w:rPr>
                <w:spacing w:val="-4"/>
                <w:lang w:val="en-GB"/>
              </w:rPr>
            </w:pPr>
          </w:p>
        </w:tc>
        <w:tc>
          <w:tcPr>
            <w:tcW w:w="7750" w:type="dxa"/>
            <w:shd w:val="clear" w:color="auto" w:fill="auto"/>
          </w:tcPr>
          <w:p w14:paraId="1BE77BAB" w14:textId="33443BBA" w:rsidR="001C3855" w:rsidRPr="00D160FB" w:rsidRDefault="00834CC3" w:rsidP="00C8019E">
            <w:pPr>
              <w:spacing w:after="0" w:line="240" w:lineRule="auto"/>
              <w:rPr>
                <w:rFonts w:cs="Arial"/>
                <w:color w:val="0D0D0D" w:themeColor="text1" w:themeTint="F2"/>
                <w:spacing w:val="-4"/>
                <w:sz w:val="14"/>
                <w:szCs w:val="14"/>
                <w:lang w:val="en-GB"/>
              </w:rPr>
            </w:pPr>
            <w:r>
              <w:rPr>
                <w:noProof/>
              </w:rPr>
              <w:drawing>
                <wp:inline distT="0" distB="0" distL="0" distR="0" wp14:anchorId="5BB42CC1" wp14:editId="234968A8">
                  <wp:extent cx="4794389" cy="3752929"/>
                  <wp:effectExtent l="0" t="0" r="635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B646BC" w:rsidRPr="00D160FB" w14:paraId="59CF42E4" w14:textId="77777777" w:rsidTr="003D13A6">
        <w:trPr>
          <w:trHeight w:val="132"/>
        </w:trPr>
        <w:tc>
          <w:tcPr>
            <w:tcW w:w="1722" w:type="dxa"/>
            <w:shd w:val="clear" w:color="auto" w:fill="auto"/>
            <w:tcMar>
              <w:left w:w="0" w:type="dxa"/>
            </w:tcMar>
          </w:tcPr>
          <w:p w14:paraId="3EF89656" w14:textId="77777777" w:rsidR="001C3855" w:rsidRPr="00D160FB" w:rsidRDefault="001C3855" w:rsidP="00C8019E">
            <w:pPr>
              <w:pStyle w:val="Marginlie"/>
              <w:rPr>
                <w:spacing w:val="-4"/>
                <w:lang w:val="en-GB"/>
              </w:rPr>
            </w:pPr>
          </w:p>
        </w:tc>
        <w:tc>
          <w:tcPr>
            <w:tcW w:w="202" w:type="dxa"/>
            <w:shd w:val="clear" w:color="auto" w:fill="auto"/>
            <w:tcMar>
              <w:left w:w="0" w:type="dxa"/>
            </w:tcMar>
          </w:tcPr>
          <w:p w14:paraId="61AC3A7B" w14:textId="77777777" w:rsidR="001C3855" w:rsidRPr="00D160FB" w:rsidRDefault="001C3855" w:rsidP="00C8019E">
            <w:pPr>
              <w:pStyle w:val="Textpoznpodarou"/>
              <w:jc w:val="both"/>
              <w:rPr>
                <w:spacing w:val="-4"/>
                <w:lang w:val="en-GB"/>
              </w:rPr>
            </w:pPr>
          </w:p>
        </w:tc>
        <w:tc>
          <w:tcPr>
            <w:tcW w:w="7750" w:type="dxa"/>
            <w:shd w:val="clear" w:color="auto" w:fill="auto"/>
            <w:tcMar>
              <w:left w:w="0" w:type="dxa"/>
            </w:tcMar>
          </w:tcPr>
          <w:p w14:paraId="37E8B43F" w14:textId="146312D6" w:rsidR="00932F45" w:rsidRPr="00D160FB" w:rsidRDefault="00932F45" w:rsidP="00932F45">
            <w:pPr>
              <w:spacing w:after="0" w:line="240" w:lineRule="auto"/>
              <w:rPr>
                <w:rFonts w:cs="Arial"/>
                <w:spacing w:val="-3"/>
                <w:sz w:val="14"/>
                <w:szCs w:val="14"/>
                <w:lang w:val="en-GB"/>
              </w:rPr>
            </w:pPr>
            <w:r w:rsidRPr="00D160FB">
              <w:rPr>
                <w:bCs/>
                <w:sz w:val="14"/>
                <w:szCs w:val="14"/>
                <w:lang w:val="en-GB"/>
              </w:rPr>
              <w:t>*</w:t>
            </w:r>
            <w:r w:rsidRPr="00D160FB">
              <w:rPr>
                <w:rFonts w:cs="Arial"/>
                <w:spacing w:val="-3"/>
                <w:sz w:val="14"/>
                <w:szCs w:val="14"/>
                <w:lang w:val="en-GB"/>
              </w:rPr>
              <w:t xml:space="preserve"> Includes branches with a significant state involvement: Public administration, defence, social security; Education; Human health and social work a</w:t>
            </w:r>
            <w:r w:rsidR="00AD4FF6">
              <w:rPr>
                <w:rFonts w:cs="Arial"/>
                <w:spacing w:val="-3"/>
                <w:sz w:val="14"/>
                <w:szCs w:val="14"/>
                <w:lang w:val="en-GB"/>
              </w:rPr>
              <w:t>ctivities; Arts, entertainment</w:t>
            </w:r>
            <w:r w:rsidRPr="00D160FB">
              <w:rPr>
                <w:rFonts w:cs="Arial"/>
                <w:spacing w:val="-3"/>
                <w:sz w:val="14"/>
                <w:szCs w:val="14"/>
                <w:lang w:val="en-GB"/>
              </w:rPr>
              <w:t xml:space="preserve"> and recreational activities.</w:t>
            </w:r>
          </w:p>
          <w:p w14:paraId="3925223D" w14:textId="0FAE96D9" w:rsidR="001C3855" w:rsidRPr="00D160FB" w:rsidRDefault="001C3855" w:rsidP="00C8019E">
            <w:pPr>
              <w:spacing w:after="0" w:line="240" w:lineRule="auto"/>
              <w:rPr>
                <w:rFonts w:cs="Arial"/>
                <w:color w:val="0D0D0D" w:themeColor="text1" w:themeTint="F2"/>
                <w:spacing w:val="-4"/>
                <w:sz w:val="14"/>
                <w:szCs w:val="14"/>
                <w:lang w:val="en-GB"/>
              </w:rPr>
            </w:pPr>
            <w:r w:rsidRPr="00D160FB">
              <w:rPr>
                <w:rFonts w:cs="Arial"/>
                <w:color w:val="0D0D0D" w:themeColor="text1" w:themeTint="F2"/>
                <w:spacing w:val="-4"/>
                <w:sz w:val="14"/>
                <w:szCs w:val="14"/>
                <w:lang w:val="en-GB"/>
              </w:rPr>
              <w:t>**</w:t>
            </w:r>
            <w:r w:rsidR="00932F45" w:rsidRPr="00D160FB">
              <w:rPr>
                <w:rFonts w:cs="Arial"/>
                <w:color w:val="0D0D0D" w:themeColor="text1" w:themeTint="F2"/>
                <w:spacing w:val="-4"/>
                <w:sz w:val="14"/>
                <w:szCs w:val="14"/>
                <w:lang w:val="en-GB"/>
              </w:rPr>
              <w:t xml:space="preserve">Labour productivity </w:t>
            </w:r>
            <w:r w:rsidR="00834CC3">
              <w:rPr>
                <w:rFonts w:cs="Arial"/>
                <w:color w:val="0D0D0D" w:themeColor="text1" w:themeTint="F2"/>
                <w:spacing w:val="-4"/>
                <w:sz w:val="14"/>
                <w:szCs w:val="14"/>
                <w:lang w:val="en-GB"/>
              </w:rPr>
              <w:t xml:space="preserve">in national economy (NE) </w:t>
            </w:r>
            <w:r w:rsidR="00932F45" w:rsidRPr="00D160FB">
              <w:rPr>
                <w:rFonts w:cs="Arial"/>
                <w:color w:val="0D0D0D" w:themeColor="text1" w:themeTint="F2"/>
                <w:spacing w:val="-4"/>
                <w:sz w:val="14"/>
                <w:szCs w:val="14"/>
                <w:lang w:val="en-GB"/>
              </w:rPr>
              <w:t xml:space="preserve">is depicted by the gross value added (in comparable prices of year </w:t>
            </w:r>
            <w:r w:rsidRPr="00D160FB">
              <w:rPr>
                <w:rFonts w:cs="Arial"/>
                <w:color w:val="0D0D0D" w:themeColor="text1" w:themeTint="F2"/>
                <w:spacing w:val="-4"/>
                <w:sz w:val="14"/>
                <w:szCs w:val="14"/>
                <w:lang w:val="en-GB"/>
              </w:rPr>
              <w:t xml:space="preserve">2015) </w:t>
            </w:r>
            <w:r w:rsidR="00932F45" w:rsidRPr="00D160FB">
              <w:rPr>
                <w:rFonts w:cs="Arial"/>
                <w:color w:val="0D0D0D" w:themeColor="text1" w:themeTint="F2"/>
                <w:spacing w:val="-4"/>
                <w:sz w:val="14"/>
                <w:szCs w:val="14"/>
                <w:lang w:val="en-GB"/>
              </w:rPr>
              <w:t xml:space="preserve">per one worker. </w:t>
            </w:r>
          </w:p>
          <w:p w14:paraId="609F4963" w14:textId="5B8DA450" w:rsidR="00932F45" w:rsidRPr="00834CC3" w:rsidRDefault="006B4B60" w:rsidP="00834CC3">
            <w:pPr>
              <w:spacing w:after="220" w:line="240" w:lineRule="auto"/>
              <w:rPr>
                <w:rFonts w:cs="Arial"/>
                <w:color w:val="0D0D0D" w:themeColor="text1" w:themeTint="F2"/>
                <w:spacing w:val="-4"/>
                <w:sz w:val="14"/>
                <w:szCs w:val="14"/>
                <w:lang w:val="en-GB"/>
              </w:rPr>
            </w:pPr>
            <w:r w:rsidRPr="00D160FB">
              <w:rPr>
                <w:rFonts w:cs="Arial"/>
                <w:color w:val="0D0D0D" w:themeColor="text1" w:themeTint="F2"/>
                <w:spacing w:val="-4"/>
                <w:sz w:val="14"/>
                <w:szCs w:val="14"/>
                <w:lang w:val="en-GB"/>
              </w:rPr>
              <w:t>Source</w:t>
            </w:r>
            <w:r w:rsidR="001C3855" w:rsidRPr="00D160FB">
              <w:rPr>
                <w:rFonts w:cs="Arial"/>
                <w:color w:val="0D0D0D" w:themeColor="text1" w:themeTint="F2"/>
                <w:spacing w:val="-4"/>
                <w:sz w:val="14"/>
                <w:szCs w:val="14"/>
                <w:lang w:val="en-GB"/>
              </w:rPr>
              <w:t>:</w:t>
            </w:r>
            <w:r w:rsidRPr="00D160FB">
              <w:rPr>
                <w:rFonts w:cs="Arial"/>
                <w:color w:val="0D0D0D" w:themeColor="text1" w:themeTint="F2"/>
                <w:spacing w:val="-4"/>
                <w:sz w:val="14"/>
                <w:szCs w:val="14"/>
                <w:lang w:val="en-GB"/>
              </w:rPr>
              <w:t xml:space="preserve"> CZSO</w:t>
            </w:r>
          </w:p>
        </w:tc>
      </w:tr>
    </w:tbl>
    <w:p w14:paraId="1F6156F5" w14:textId="3CCF9630" w:rsidR="00435DE8" w:rsidRDefault="00435DE8">
      <w:pPr>
        <w:spacing w:after="0" w:line="240" w:lineRule="auto"/>
        <w:jc w:val="left"/>
        <w:rPr>
          <w:rFonts w:eastAsia="MS Gothic"/>
          <w:b/>
          <w:bCs/>
          <w:color w:val="71818C"/>
          <w:sz w:val="32"/>
          <w:szCs w:val="28"/>
          <w:lang w:val="en-GB"/>
        </w:rPr>
      </w:pPr>
    </w:p>
    <w:p w14:paraId="6D687C14" w14:textId="3DB28A8F" w:rsidR="001C3855" w:rsidRPr="00D160FB" w:rsidRDefault="001C3855" w:rsidP="00C15537">
      <w:pPr>
        <w:pStyle w:val="Nadpis11"/>
        <w:rPr>
          <w:sz w:val="2"/>
          <w:szCs w:val="2"/>
          <w:lang w:val="en-GB"/>
        </w:rPr>
      </w:pPr>
    </w:p>
    <w:sectPr w:rsidR="001C3855" w:rsidRPr="00D160FB" w:rsidSect="00317EDA">
      <w:headerReference w:type="even" r:id="rId15"/>
      <w:headerReference w:type="default" r:id="rId16"/>
      <w:footerReference w:type="even" r:id="rId17"/>
      <w:footerReference w:type="default" r:id="rId18"/>
      <w:pgSz w:w="11906" w:h="16838" w:code="9"/>
      <w:pgMar w:top="1134" w:right="1134" w:bottom="1418" w:left="1134" w:header="680" w:footer="737"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133C" w14:textId="77777777" w:rsidR="00E37C1C" w:rsidRDefault="00E37C1C" w:rsidP="00E71A58">
      <w:r>
        <w:separator/>
      </w:r>
    </w:p>
  </w:endnote>
  <w:endnote w:type="continuationSeparator" w:id="0">
    <w:p w14:paraId="1942F10C" w14:textId="77777777" w:rsidR="00E37C1C" w:rsidRDefault="00E37C1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6C8" w14:textId="4780870B" w:rsidR="00E37C1C" w:rsidRPr="00932443" w:rsidRDefault="00E37C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B354D">
      <w:rPr>
        <w:szCs w:val="16"/>
      </w:rPr>
      <w:t>52</w:t>
    </w:r>
    <w:r w:rsidRPr="00932443">
      <w:rPr>
        <w:szCs w:val="16"/>
      </w:rPr>
      <w:fldChar w:fldCharType="end"/>
    </w:r>
    <w:r w:rsidRPr="00932443">
      <w:rPr>
        <w:szCs w:val="16"/>
      </w:rPr>
      <w:tab/>
    </w:r>
    <w:r>
      <w:rPr>
        <w:szCs w:val="16"/>
      </w:rPr>
      <w:t>year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FAF" w14:textId="5D38B351" w:rsidR="00E37C1C" w:rsidRPr="00932443" w:rsidRDefault="00E37C1C" w:rsidP="00FA6CB6">
    <w:pPr>
      <w:pStyle w:val="Zpat"/>
      <w:rPr>
        <w:szCs w:val="16"/>
      </w:rPr>
    </w:pPr>
    <w:r>
      <w:rPr>
        <w:lang w:eastAsia="cs-CZ"/>
      </w:rPr>
      <w:drawing>
        <wp:anchor distT="0" distB="0" distL="114300" distR="114300" simplePos="0" relativeHeight="251670016" behindDoc="0" locked="0" layoutInCell="1" allowOverlap="1" wp14:anchorId="12E9288F" wp14:editId="581FC53F">
          <wp:simplePos x="0" y="0"/>
          <wp:positionH relativeFrom="margin">
            <wp:align>left</wp:align>
          </wp:positionH>
          <wp:positionV relativeFrom="paragraph">
            <wp:posOffset>-66675</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year 2022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B354D">
      <w:rPr>
        <w:rStyle w:val="ZpatChar"/>
        <w:szCs w:val="16"/>
      </w:rPr>
      <w:t>51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A97B" w14:textId="77777777" w:rsidR="00E37C1C" w:rsidRDefault="00E37C1C" w:rsidP="00A21B4D">
      <w:pPr>
        <w:spacing w:after="0"/>
      </w:pPr>
      <w:r>
        <w:separator/>
      </w:r>
    </w:p>
  </w:footnote>
  <w:footnote w:type="continuationSeparator" w:id="0">
    <w:p w14:paraId="5E251132" w14:textId="77777777" w:rsidR="00E37C1C" w:rsidRDefault="00E37C1C" w:rsidP="00E71A58">
      <w:r>
        <w:continuationSeparator/>
      </w:r>
    </w:p>
  </w:footnote>
  <w:footnote w:id="1">
    <w:p w14:paraId="4D6296D8" w14:textId="5C47E0B5" w:rsidR="00E37C1C" w:rsidRPr="00D717A1" w:rsidRDefault="00E37C1C" w:rsidP="00D717A1">
      <w:pPr>
        <w:pStyle w:val="Textpoznpodarou"/>
        <w:jc w:val="both"/>
        <w:rPr>
          <w:color w:val="0D0D0D" w:themeColor="text1" w:themeTint="F2"/>
          <w:spacing w:val="-2"/>
          <w:sz w:val="16"/>
          <w:szCs w:val="16"/>
          <w:lang w:val="en-GB"/>
        </w:rPr>
      </w:pPr>
      <w:r w:rsidRPr="00F72E52">
        <w:rPr>
          <w:rStyle w:val="Znakapoznpodarou"/>
          <w:color w:val="0D0D0D" w:themeColor="text1" w:themeTint="F2"/>
          <w:spacing w:val="-2"/>
          <w:sz w:val="16"/>
          <w:szCs w:val="16"/>
        </w:rPr>
        <w:footnoteRef/>
      </w:r>
      <w:r w:rsidRPr="00F72E52">
        <w:rPr>
          <w:color w:val="0D0D0D" w:themeColor="text1" w:themeTint="F2"/>
          <w:spacing w:val="-2"/>
          <w:sz w:val="16"/>
          <w:szCs w:val="16"/>
        </w:rPr>
        <w:t xml:space="preserve"> </w:t>
      </w:r>
      <w:r w:rsidRPr="009E74B3">
        <w:rPr>
          <w:sz w:val="16"/>
          <w:szCs w:val="16"/>
          <w:lang w:val="en-GB"/>
        </w:rPr>
        <w:t>Data regarding employment stem from the national accounts’ conception. They are expressed in physical persons and adjusted for seasonal effects</w:t>
      </w:r>
      <w:r w:rsidRPr="009E74B3">
        <w:rPr>
          <w:spacing w:val="-6"/>
          <w:sz w:val="16"/>
          <w:szCs w:val="16"/>
          <w:lang w:val="en-GB"/>
        </w:rPr>
        <w:t xml:space="preserve">. </w:t>
      </w:r>
    </w:p>
  </w:footnote>
  <w:footnote w:id="2">
    <w:p w14:paraId="5A41B721" w14:textId="5F23E74A" w:rsidR="00E37C1C" w:rsidRPr="00D717A1" w:rsidRDefault="00E37C1C" w:rsidP="00D717A1">
      <w:pPr>
        <w:pStyle w:val="Textpoznpodarou"/>
        <w:jc w:val="both"/>
        <w:rPr>
          <w:sz w:val="16"/>
          <w:szCs w:val="16"/>
          <w:lang w:val="en-GB"/>
        </w:rPr>
      </w:pPr>
      <w:r w:rsidRPr="00D717A1">
        <w:rPr>
          <w:rStyle w:val="Znakapoznpodarou"/>
          <w:sz w:val="16"/>
          <w:szCs w:val="16"/>
          <w:lang w:val="en-GB"/>
        </w:rPr>
        <w:footnoteRef/>
      </w:r>
      <w:r w:rsidRPr="00D717A1">
        <w:rPr>
          <w:sz w:val="16"/>
          <w:szCs w:val="16"/>
          <w:lang w:val="en-GB"/>
        </w:rPr>
        <w:t xml:space="preserve"> </w:t>
      </w:r>
      <w:r>
        <w:rPr>
          <w:sz w:val="16"/>
          <w:szCs w:val="16"/>
          <w:lang w:val="en-GB"/>
        </w:rPr>
        <w:t xml:space="preserve">More detailed data from the Labour Force Sample Survey </w:t>
      </w:r>
      <w:r w:rsidRPr="00D717A1">
        <w:rPr>
          <w:sz w:val="16"/>
          <w:szCs w:val="16"/>
          <w:lang w:val="en-GB"/>
        </w:rPr>
        <w:t>(</w:t>
      </w:r>
      <w:r>
        <w:rPr>
          <w:sz w:val="16"/>
          <w:szCs w:val="16"/>
          <w:lang w:val="en-GB"/>
        </w:rPr>
        <w:t>LFSS</w:t>
      </w:r>
      <w:r w:rsidRPr="00D717A1">
        <w:rPr>
          <w:sz w:val="16"/>
          <w:szCs w:val="16"/>
          <w:lang w:val="en-GB"/>
        </w:rPr>
        <w:t>)</w:t>
      </w:r>
      <w:r>
        <w:rPr>
          <w:sz w:val="16"/>
          <w:szCs w:val="16"/>
          <w:lang w:val="en-GB"/>
        </w:rPr>
        <w:t xml:space="preserve"> imply, that the number of employers </w:t>
      </w:r>
      <w:r w:rsidRPr="00D717A1">
        <w:rPr>
          <w:sz w:val="16"/>
          <w:szCs w:val="16"/>
          <w:lang w:val="en-GB"/>
        </w:rPr>
        <w:t>(</w:t>
      </w:r>
      <w:r>
        <w:rPr>
          <w:sz w:val="16"/>
          <w:szCs w:val="16"/>
          <w:lang w:val="en-GB"/>
        </w:rPr>
        <w:t>entrepreneurs with employees</w:t>
      </w:r>
      <w:r w:rsidRPr="00D717A1">
        <w:rPr>
          <w:sz w:val="16"/>
          <w:szCs w:val="16"/>
          <w:lang w:val="en-GB"/>
        </w:rPr>
        <w:t>)</w:t>
      </w:r>
      <w:r>
        <w:rPr>
          <w:sz w:val="16"/>
          <w:szCs w:val="16"/>
          <w:lang w:val="en-GB"/>
        </w:rPr>
        <w:t xml:space="preserve"> further decreased </w:t>
      </w:r>
      <w:r w:rsidRPr="00D717A1">
        <w:rPr>
          <w:sz w:val="16"/>
          <w:szCs w:val="16"/>
          <w:lang w:val="en-GB"/>
        </w:rPr>
        <w:t>(</w:t>
      </w:r>
      <w:r>
        <w:rPr>
          <w:sz w:val="16"/>
          <w:szCs w:val="16"/>
          <w:lang w:val="en-GB"/>
        </w:rPr>
        <w:t>fourth year in a row</w:t>
      </w:r>
      <w:r w:rsidRPr="00D717A1">
        <w:rPr>
          <w:sz w:val="16"/>
          <w:szCs w:val="16"/>
          <w:lang w:val="en-GB"/>
        </w:rPr>
        <w:t>). T</w:t>
      </w:r>
      <w:r>
        <w:rPr>
          <w:sz w:val="16"/>
          <w:szCs w:val="16"/>
          <w:lang w:val="en-GB"/>
        </w:rPr>
        <w:t xml:space="preserve">his group of entrepreneurs is in the methodology of national accounts included into the category of employees. </w:t>
      </w:r>
    </w:p>
  </w:footnote>
  <w:footnote w:id="3">
    <w:p w14:paraId="261B64F3" w14:textId="606840B9" w:rsidR="00E37C1C" w:rsidRPr="00D717A1" w:rsidRDefault="00E37C1C" w:rsidP="00D717A1">
      <w:pPr>
        <w:pStyle w:val="Textpoznpodarou"/>
        <w:jc w:val="both"/>
        <w:rPr>
          <w:color w:val="0D0D0D" w:themeColor="text1" w:themeTint="F2"/>
          <w:sz w:val="16"/>
          <w:szCs w:val="16"/>
          <w:lang w:val="en-GB"/>
        </w:rPr>
      </w:pPr>
      <w:r w:rsidRPr="00D717A1">
        <w:rPr>
          <w:rStyle w:val="Znakapoznpodarou"/>
          <w:color w:val="0D0D0D" w:themeColor="text1" w:themeTint="F2"/>
          <w:sz w:val="16"/>
          <w:szCs w:val="16"/>
          <w:lang w:val="en-GB"/>
        </w:rPr>
        <w:footnoteRef/>
      </w:r>
      <w:r w:rsidRPr="00D717A1">
        <w:rPr>
          <w:color w:val="0D0D0D" w:themeColor="text1" w:themeTint="F2"/>
          <w:sz w:val="16"/>
          <w:szCs w:val="16"/>
          <w:lang w:val="en-GB"/>
        </w:rPr>
        <w:t xml:space="preserve"> </w:t>
      </w:r>
      <w:r>
        <w:rPr>
          <w:color w:val="0D0D0D" w:themeColor="text1" w:themeTint="F2"/>
          <w:sz w:val="16"/>
          <w:szCs w:val="16"/>
          <w:lang w:val="en-GB"/>
        </w:rPr>
        <w:t>Branches with the prevalent public services, including p</w:t>
      </w:r>
      <w:r w:rsidRPr="00FC3DB2">
        <w:rPr>
          <w:sz w:val="16"/>
          <w:szCs w:val="16"/>
          <w:lang w:val="en-GB"/>
        </w:rPr>
        <w:t>ublic administration</w:t>
      </w:r>
      <w:r w:rsidR="003862C0">
        <w:rPr>
          <w:sz w:val="16"/>
          <w:szCs w:val="16"/>
          <w:lang w:val="en-GB"/>
        </w:rPr>
        <w:t>, defence</w:t>
      </w:r>
      <w:r>
        <w:rPr>
          <w:sz w:val="16"/>
          <w:szCs w:val="16"/>
          <w:lang w:val="en-GB"/>
        </w:rPr>
        <w:t xml:space="preserve"> and social security and also </w:t>
      </w:r>
      <w:r w:rsidRPr="00FC3DB2">
        <w:rPr>
          <w:sz w:val="16"/>
          <w:szCs w:val="16"/>
          <w:lang w:val="en-GB"/>
        </w:rPr>
        <w:t>education</w:t>
      </w:r>
      <w:r>
        <w:rPr>
          <w:sz w:val="16"/>
          <w:szCs w:val="16"/>
          <w:lang w:val="en-GB"/>
        </w:rPr>
        <w:t xml:space="preserve"> and </w:t>
      </w:r>
      <w:r w:rsidRPr="00FC3DB2">
        <w:rPr>
          <w:sz w:val="16"/>
          <w:szCs w:val="16"/>
          <w:lang w:val="en-GB"/>
        </w:rPr>
        <w:t>health and social work</w:t>
      </w:r>
      <w:r>
        <w:rPr>
          <w:sz w:val="16"/>
          <w:szCs w:val="16"/>
          <w:lang w:val="en-GB"/>
        </w:rPr>
        <w:t xml:space="preserve">, had the most pro-growth effect on the employment out of all key branches also in years </w:t>
      </w:r>
      <w:r w:rsidRPr="00C723DE">
        <w:rPr>
          <w:color w:val="0D0D0D" w:themeColor="text1" w:themeTint="F2"/>
          <w:sz w:val="16"/>
          <w:szCs w:val="16"/>
          <w:lang w:val="en-GB"/>
        </w:rPr>
        <w:t>2020 a</w:t>
      </w:r>
      <w:r>
        <w:rPr>
          <w:color w:val="0D0D0D" w:themeColor="text1" w:themeTint="F2"/>
          <w:sz w:val="16"/>
          <w:szCs w:val="16"/>
          <w:lang w:val="en-GB"/>
        </w:rPr>
        <w:t>nd</w:t>
      </w:r>
      <w:r w:rsidRPr="00C723DE">
        <w:rPr>
          <w:color w:val="0D0D0D" w:themeColor="text1" w:themeTint="F2"/>
          <w:sz w:val="16"/>
          <w:szCs w:val="16"/>
          <w:lang w:val="en-GB"/>
        </w:rPr>
        <w:t> 2021.</w:t>
      </w:r>
      <w:r>
        <w:rPr>
          <w:color w:val="0D0D0D" w:themeColor="text1" w:themeTint="F2"/>
          <w:sz w:val="16"/>
          <w:szCs w:val="16"/>
          <w:lang w:val="en-GB"/>
        </w:rPr>
        <w:t xml:space="preserve"> </w:t>
      </w:r>
    </w:p>
  </w:footnote>
  <w:footnote w:id="4">
    <w:p w14:paraId="03FC90B4" w14:textId="6ADF3A43" w:rsidR="00E37C1C" w:rsidRPr="00D717A1" w:rsidRDefault="00E37C1C" w:rsidP="00D717A1">
      <w:pPr>
        <w:pStyle w:val="Textpoznpodarou"/>
        <w:jc w:val="both"/>
        <w:rPr>
          <w:sz w:val="16"/>
          <w:szCs w:val="16"/>
          <w:lang w:val="en-GB"/>
        </w:rPr>
      </w:pPr>
      <w:r w:rsidRPr="00D717A1">
        <w:rPr>
          <w:rStyle w:val="Znakapoznpodarou"/>
          <w:sz w:val="16"/>
          <w:szCs w:val="16"/>
          <w:lang w:val="en-GB"/>
        </w:rPr>
        <w:footnoteRef/>
      </w:r>
      <w:r w:rsidRPr="00D717A1">
        <w:rPr>
          <w:sz w:val="16"/>
          <w:szCs w:val="16"/>
          <w:lang w:val="en-GB"/>
        </w:rPr>
        <w:t xml:space="preserve"> T</w:t>
      </w:r>
      <w:r w:rsidR="003862C0">
        <w:rPr>
          <w:sz w:val="16"/>
          <w:szCs w:val="16"/>
          <w:lang w:val="en-GB"/>
        </w:rPr>
        <w:t>hey include arts, entertainme</w:t>
      </w:r>
      <w:r>
        <w:rPr>
          <w:sz w:val="16"/>
          <w:szCs w:val="16"/>
          <w:lang w:val="en-GB"/>
        </w:rPr>
        <w:t xml:space="preserve">nt and recreational activities and further especially the provision of personal services </w:t>
      </w:r>
      <w:r w:rsidRPr="00D717A1">
        <w:rPr>
          <w:sz w:val="16"/>
          <w:szCs w:val="16"/>
          <w:lang w:val="en-GB"/>
        </w:rPr>
        <w:t>(</w:t>
      </w:r>
      <w:r>
        <w:rPr>
          <w:sz w:val="16"/>
          <w:szCs w:val="16"/>
          <w:lang w:val="en-GB"/>
        </w:rPr>
        <w:t>e.g. hairdressing, beauty services, cleaning services or repairs of products for personal use and mainly for households</w:t>
      </w:r>
      <w:r w:rsidRPr="00D717A1">
        <w:rPr>
          <w:sz w:val="16"/>
          <w:szCs w:val="16"/>
          <w:lang w:val="en-GB"/>
        </w:rPr>
        <w:t>).</w:t>
      </w:r>
    </w:p>
  </w:footnote>
  <w:footnote w:id="5">
    <w:p w14:paraId="0B47F561" w14:textId="1AC16AA5" w:rsidR="00E37C1C" w:rsidRPr="004C7D10" w:rsidRDefault="00E37C1C" w:rsidP="00A356C1">
      <w:pPr>
        <w:pStyle w:val="Textpoznpodarou"/>
        <w:jc w:val="both"/>
        <w:rPr>
          <w:spacing w:val="-4"/>
          <w:sz w:val="16"/>
          <w:szCs w:val="16"/>
          <w:lang w:val="en-GB"/>
        </w:rPr>
      </w:pPr>
      <w:r w:rsidRPr="00990A47">
        <w:rPr>
          <w:rStyle w:val="Znakapoznpodarou"/>
          <w:spacing w:val="-4"/>
          <w:sz w:val="16"/>
          <w:szCs w:val="16"/>
        </w:rPr>
        <w:footnoteRef/>
      </w:r>
      <w:r w:rsidRPr="00990A47">
        <w:rPr>
          <w:spacing w:val="-4"/>
          <w:sz w:val="16"/>
          <w:szCs w:val="16"/>
        </w:rPr>
        <w:t xml:space="preserve"> </w:t>
      </w:r>
      <w:r w:rsidRPr="004C7D10">
        <w:rPr>
          <w:spacing w:val="-4"/>
          <w:sz w:val="16"/>
          <w:szCs w:val="16"/>
          <w:lang w:val="en-GB"/>
        </w:rPr>
        <w:t xml:space="preserve">As also evidenced by the long-term decline of the number of economically inactive persons stating willingness to work (partially also affected by the change of the age structure of population, e.g. </w:t>
      </w:r>
      <w:r>
        <w:rPr>
          <w:spacing w:val="-4"/>
          <w:sz w:val="16"/>
          <w:szCs w:val="16"/>
          <w:lang w:val="en-GB"/>
        </w:rPr>
        <w:t xml:space="preserve">decrease of young aged </w:t>
      </w:r>
      <w:r w:rsidRPr="004C7D10">
        <w:rPr>
          <w:spacing w:val="-4"/>
          <w:sz w:val="16"/>
          <w:szCs w:val="16"/>
          <w:lang w:val="en-GB"/>
        </w:rPr>
        <w:t>15</w:t>
      </w:r>
      <w:r>
        <w:rPr>
          <w:spacing w:val="-4"/>
          <w:sz w:val="16"/>
          <w:szCs w:val="16"/>
          <w:lang w:val="en-GB"/>
        </w:rPr>
        <w:t xml:space="preserve"> to 2</w:t>
      </w:r>
      <w:r w:rsidRPr="004C7D10">
        <w:rPr>
          <w:spacing w:val="-4"/>
          <w:sz w:val="16"/>
          <w:szCs w:val="16"/>
          <w:lang w:val="en-GB"/>
        </w:rPr>
        <w:t xml:space="preserve">4 </w:t>
      </w:r>
      <w:r>
        <w:rPr>
          <w:spacing w:val="-4"/>
          <w:sz w:val="16"/>
          <w:szCs w:val="16"/>
          <w:lang w:val="en-GB"/>
        </w:rPr>
        <w:t>years</w:t>
      </w:r>
      <w:r w:rsidRPr="004C7D10">
        <w:rPr>
          <w:spacing w:val="-4"/>
          <w:sz w:val="16"/>
          <w:szCs w:val="16"/>
          <w:lang w:val="en-GB"/>
        </w:rPr>
        <w:t xml:space="preserve">). </w:t>
      </w:r>
      <w:r>
        <w:rPr>
          <w:spacing w:val="-4"/>
          <w:sz w:val="16"/>
          <w:szCs w:val="16"/>
          <w:lang w:val="en-GB"/>
        </w:rPr>
        <w:t>There were only 50 thousand of these inactive persons in Q4</w:t>
      </w:r>
      <w:r w:rsidRPr="004C7D10">
        <w:rPr>
          <w:spacing w:val="-4"/>
          <w:sz w:val="16"/>
          <w:szCs w:val="16"/>
          <w:lang w:val="en-GB"/>
        </w:rPr>
        <w:t xml:space="preserve">. </w:t>
      </w:r>
      <w:r>
        <w:rPr>
          <w:spacing w:val="-4"/>
          <w:sz w:val="16"/>
          <w:szCs w:val="16"/>
          <w:lang w:val="en-GB"/>
        </w:rPr>
        <w:t xml:space="preserve">Together with underemployed and all unemployed it was just below </w:t>
      </w:r>
      <w:r w:rsidRPr="004C7D10">
        <w:rPr>
          <w:spacing w:val="-4"/>
          <w:sz w:val="16"/>
          <w:szCs w:val="16"/>
          <w:lang w:val="en-GB"/>
        </w:rPr>
        <w:t>200 t</w:t>
      </w:r>
      <w:r>
        <w:rPr>
          <w:spacing w:val="-4"/>
          <w:sz w:val="16"/>
          <w:szCs w:val="16"/>
          <w:lang w:val="en-GB"/>
        </w:rPr>
        <w:t>housand of persons</w:t>
      </w:r>
      <w:r w:rsidRPr="004C7D10">
        <w:rPr>
          <w:spacing w:val="-4"/>
          <w:sz w:val="16"/>
          <w:szCs w:val="16"/>
          <w:lang w:val="en-GB"/>
        </w:rPr>
        <w:t xml:space="preserve">. </w:t>
      </w:r>
      <w:r>
        <w:rPr>
          <w:spacing w:val="-4"/>
          <w:sz w:val="16"/>
          <w:szCs w:val="16"/>
          <w:lang w:val="en-GB"/>
        </w:rPr>
        <w:t xml:space="preserve">In relation to the total number of employed it was less than </w:t>
      </w:r>
      <w:r w:rsidRPr="004C7D10">
        <w:rPr>
          <w:spacing w:val="-4"/>
          <w:sz w:val="16"/>
          <w:szCs w:val="16"/>
          <w:lang w:val="en-GB"/>
        </w:rPr>
        <w:t>4%.</w:t>
      </w:r>
    </w:p>
  </w:footnote>
  <w:footnote w:id="6">
    <w:p w14:paraId="629D2F40" w14:textId="48E349F9" w:rsidR="00E37C1C" w:rsidRPr="004C7D10" w:rsidRDefault="00E37C1C" w:rsidP="00A356C1">
      <w:pPr>
        <w:pStyle w:val="Textpoznpodarou"/>
        <w:jc w:val="both"/>
        <w:rPr>
          <w:color w:val="0D0D0D" w:themeColor="text1" w:themeTint="F2"/>
          <w:spacing w:val="-4"/>
          <w:sz w:val="16"/>
          <w:szCs w:val="16"/>
          <w:lang w:val="en-GB"/>
        </w:rPr>
      </w:pPr>
      <w:r w:rsidRPr="004C7D10">
        <w:rPr>
          <w:rStyle w:val="Znakapoznpodarou"/>
          <w:color w:val="0D0D0D" w:themeColor="text1" w:themeTint="F2"/>
          <w:spacing w:val="-4"/>
          <w:sz w:val="16"/>
          <w:szCs w:val="16"/>
          <w:lang w:val="en-GB"/>
        </w:rPr>
        <w:footnoteRef/>
      </w:r>
      <w:r w:rsidRPr="004C7D10">
        <w:rPr>
          <w:color w:val="0D0D0D" w:themeColor="text1" w:themeTint="F2"/>
          <w:spacing w:val="-4"/>
          <w:sz w:val="16"/>
          <w:szCs w:val="16"/>
          <w:lang w:val="en-GB"/>
        </w:rPr>
        <w:t xml:space="preserve"> </w:t>
      </w:r>
      <w:r>
        <w:rPr>
          <w:color w:val="0D0D0D" w:themeColor="text1" w:themeTint="F2"/>
          <w:spacing w:val="-4"/>
          <w:sz w:val="16"/>
          <w:szCs w:val="16"/>
          <w:lang w:val="en-GB"/>
        </w:rPr>
        <w:t xml:space="preserve">Labour offices (LO) registered </w:t>
      </w:r>
      <w:r w:rsidRPr="004C7D10">
        <w:rPr>
          <w:color w:val="0D0D0D" w:themeColor="text1" w:themeTint="F2"/>
          <w:spacing w:val="-4"/>
          <w:sz w:val="16"/>
          <w:szCs w:val="16"/>
          <w:lang w:val="en-GB"/>
        </w:rPr>
        <w:t>774 t</w:t>
      </w:r>
      <w:r>
        <w:rPr>
          <w:color w:val="0D0D0D" w:themeColor="text1" w:themeTint="F2"/>
          <w:spacing w:val="-4"/>
          <w:sz w:val="16"/>
          <w:szCs w:val="16"/>
          <w:lang w:val="en-GB"/>
        </w:rPr>
        <w:t xml:space="preserve">housand of foreigners in the employee position on the CR territory in January 2023 </w:t>
      </w:r>
      <w:r w:rsidRPr="004C7D10">
        <w:rPr>
          <w:color w:val="0D0D0D" w:themeColor="text1" w:themeTint="F2"/>
          <w:spacing w:val="-4"/>
          <w:sz w:val="16"/>
          <w:szCs w:val="16"/>
          <w:lang w:val="en-GB"/>
        </w:rPr>
        <w:t>(</w:t>
      </w:r>
      <w:r>
        <w:rPr>
          <w:color w:val="0D0D0D" w:themeColor="text1" w:themeTint="F2"/>
          <w:spacing w:val="-4"/>
          <w:sz w:val="16"/>
          <w:szCs w:val="16"/>
          <w:lang w:val="en-GB"/>
        </w:rPr>
        <w:t>mild decre</w:t>
      </w:r>
      <w:r w:rsidR="00C32290">
        <w:rPr>
          <w:color w:val="0D0D0D" w:themeColor="text1" w:themeTint="F2"/>
          <w:spacing w:val="-4"/>
          <w:sz w:val="16"/>
          <w:szCs w:val="16"/>
          <w:lang w:val="en-GB"/>
        </w:rPr>
        <w:t xml:space="preserve">ase against the end of the preceding </w:t>
      </w:r>
      <w:r>
        <w:rPr>
          <w:color w:val="0D0D0D" w:themeColor="text1" w:themeTint="F2"/>
          <w:spacing w:val="-4"/>
          <w:sz w:val="16"/>
          <w:szCs w:val="16"/>
          <w:lang w:val="en-GB"/>
        </w:rPr>
        <w:t>year is associated with regular seasonal movements</w:t>
      </w:r>
      <w:r w:rsidRPr="004C7D10">
        <w:rPr>
          <w:color w:val="0D0D0D" w:themeColor="text1" w:themeTint="F2"/>
          <w:spacing w:val="-4"/>
          <w:sz w:val="16"/>
          <w:szCs w:val="16"/>
          <w:lang w:val="en-GB"/>
        </w:rPr>
        <w:t xml:space="preserve">). </w:t>
      </w:r>
      <w:r>
        <w:rPr>
          <w:color w:val="0D0D0D" w:themeColor="text1" w:themeTint="F2"/>
          <w:spacing w:val="-4"/>
          <w:sz w:val="16"/>
          <w:szCs w:val="16"/>
          <w:lang w:val="en-GB"/>
        </w:rPr>
        <w:t xml:space="preserve">The number of working in employee positions expanded by </w:t>
      </w:r>
      <w:r w:rsidRPr="004C7D10">
        <w:rPr>
          <w:color w:val="0D0D0D" w:themeColor="text1" w:themeTint="F2"/>
          <w:spacing w:val="-4"/>
          <w:sz w:val="16"/>
          <w:szCs w:val="16"/>
          <w:lang w:val="en-GB"/>
        </w:rPr>
        <w:t>77 t</w:t>
      </w:r>
      <w:r>
        <w:rPr>
          <w:color w:val="0D0D0D" w:themeColor="text1" w:themeTint="F2"/>
          <w:spacing w:val="-4"/>
          <w:sz w:val="16"/>
          <w:szCs w:val="16"/>
          <w:lang w:val="en-GB"/>
        </w:rPr>
        <w:t>housand against January 2022</w:t>
      </w:r>
      <w:r w:rsidRPr="004C7D10">
        <w:rPr>
          <w:color w:val="0D0D0D" w:themeColor="text1" w:themeTint="F2"/>
          <w:spacing w:val="-4"/>
          <w:sz w:val="16"/>
          <w:szCs w:val="16"/>
          <w:lang w:val="en-GB"/>
        </w:rPr>
        <w:t xml:space="preserve">. </w:t>
      </w:r>
      <w:r>
        <w:rPr>
          <w:color w:val="0D0D0D" w:themeColor="text1" w:themeTint="F2"/>
          <w:spacing w:val="-4"/>
          <w:sz w:val="16"/>
          <w:szCs w:val="16"/>
          <w:lang w:val="en-GB"/>
        </w:rPr>
        <w:t xml:space="preserve">Workers from Ukraine essentially contributed to this result, with their number rising nearly by one third </w:t>
      </w:r>
      <w:r w:rsidRPr="004C7D10">
        <w:rPr>
          <w:color w:val="0D0D0D" w:themeColor="text1" w:themeTint="F2"/>
          <w:spacing w:val="-4"/>
          <w:sz w:val="16"/>
          <w:szCs w:val="16"/>
          <w:lang w:val="en-GB"/>
        </w:rPr>
        <w:t>(+63 t</w:t>
      </w:r>
      <w:r>
        <w:rPr>
          <w:color w:val="0D0D0D" w:themeColor="text1" w:themeTint="F2"/>
          <w:spacing w:val="-4"/>
          <w:sz w:val="16"/>
          <w:szCs w:val="16"/>
          <w:lang w:val="en-GB"/>
        </w:rPr>
        <w:t>housand</w:t>
      </w:r>
      <w:r w:rsidRPr="004C7D10">
        <w:rPr>
          <w:color w:val="0D0D0D" w:themeColor="text1" w:themeTint="F2"/>
          <w:spacing w:val="-4"/>
          <w:sz w:val="16"/>
          <w:szCs w:val="16"/>
          <w:lang w:val="en-GB"/>
        </w:rPr>
        <w:t xml:space="preserve">, </w:t>
      </w:r>
      <w:r>
        <w:rPr>
          <w:color w:val="0D0D0D" w:themeColor="text1" w:themeTint="F2"/>
          <w:spacing w:val="-4"/>
          <w:sz w:val="16"/>
          <w:szCs w:val="16"/>
          <w:lang w:val="en-GB"/>
        </w:rPr>
        <w:t xml:space="preserve">in that </w:t>
      </w:r>
      <w:r w:rsidRPr="004C7D10">
        <w:rPr>
          <w:color w:val="0D0D0D" w:themeColor="text1" w:themeTint="F2"/>
          <w:spacing w:val="-4"/>
          <w:sz w:val="16"/>
          <w:szCs w:val="16"/>
          <w:lang w:val="en-GB"/>
        </w:rPr>
        <w:t>+51 t</w:t>
      </w:r>
      <w:r>
        <w:rPr>
          <w:color w:val="0D0D0D" w:themeColor="text1" w:themeTint="F2"/>
          <w:spacing w:val="-4"/>
          <w:sz w:val="16"/>
          <w:szCs w:val="16"/>
          <w:lang w:val="en-GB"/>
        </w:rPr>
        <w:t>housand females</w:t>
      </w:r>
      <w:r w:rsidRPr="004C7D10">
        <w:rPr>
          <w:color w:val="0D0D0D" w:themeColor="text1" w:themeTint="F2"/>
          <w:spacing w:val="-4"/>
          <w:sz w:val="16"/>
          <w:szCs w:val="16"/>
          <w:lang w:val="en-GB"/>
        </w:rPr>
        <w:t xml:space="preserve">) </w:t>
      </w:r>
      <w:r>
        <w:rPr>
          <w:color w:val="0D0D0D" w:themeColor="text1" w:themeTint="F2"/>
          <w:spacing w:val="-4"/>
          <w:sz w:val="16"/>
          <w:szCs w:val="16"/>
          <w:lang w:val="en-GB"/>
        </w:rPr>
        <w:t xml:space="preserve">to total </w:t>
      </w:r>
      <w:r w:rsidRPr="004C7D10">
        <w:rPr>
          <w:color w:val="0D0D0D" w:themeColor="text1" w:themeTint="F2"/>
          <w:spacing w:val="-4"/>
          <w:sz w:val="16"/>
          <w:szCs w:val="16"/>
          <w:lang w:val="en-GB"/>
        </w:rPr>
        <w:t>262 t</w:t>
      </w:r>
      <w:r>
        <w:rPr>
          <w:color w:val="0D0D0D" w:themeColor="text1" w:themeTint="F2"/>
          <w:spacing w:val="-4"/>
          <w:sz w:val="16"/>
          <w:szCs w:val="16"/>
          <w:lang w:val="en-GB"/>
        </w:rPr>
        <w:t>housand</w:t>
      </w:r>
      <w:r w:rsidRPr="004C7D10">
        <w:rPr>
          <w:color w:val="0D0D0D" w:themeColor="text1" w:themeTint="F2"/>
          <w:spacing w:val="-4"/>
          <w:sz w:val="16"/>
          <w:szCs w:val="16"/>
          <w:lang w:val="en-GB"/>
        </w:rPr>
        <w:t xml:space="preserve">. </w:t>
      </w:r>
      <w:r>
        <w:rPr>
          <w:color w:val="0D0D0D" w:themeColor="text1" w:themeTint="F2"/>
          <w:spacing w:val="-4"/>
          <w:sz w:val="16"/>
          <w:szCs w:val="16"/>
          <w:lang w:val="en-GB"/>
        </w:rPr>
        <w:t xml:space="preserve">By contrast the number of Slovakians, who comprised the most numerous group of foreigners still in year </w:t>
      </w:r>
      <w:r w:rsidRPr="004C7D10">
        <w:rPr>
          <w:color w:val="0D0D0D" w:themeColor="text1" w:themeTint="F2"/>
          <w:spacing w:val="-4"/>
          <w:sz w:val="16"/>
          <w:szCs w:val="16"/>
          <w:lang w:val="en-GB"/>
        </w:rPr>
        <w:t xml:space="preserve">2021, </w:t>
      </w:r>
      <w:r>
        <w:rPr>
          <w:color w:val="0D0D0D" w:themeColor="text1" w:themeTint="F2"/>
          <w:spacing w:val="-4"/>
          <w:sz w:val="16"/>
          <w:szCs w:val="16"/>
          <w:lang w:val="en-GB"/>
        </w:rPr>
        <w:t>increased only by 2.6 thousand (to 208 thousand) for the similar period</w:t>
      </w:r>
      <w:r w:rsidR="00C32290">
        <w:rPr>
          <w:color w:val="0D0D0D" w:themeColor="text1" w:themeTint="F2"/>
          <w:spacing w:val="-4"/>
          <w:sz w:val="16"/>
          <w:szCs w:val="16"/>
          <w:lang w:val="en-GB"/>
        </w:rPr>
        <w:t>.</w:t>
      </w:r>
    </w:p>
  </w:footnote>
  <w:footnote w:id="7">
    <w:p w14:paraId="432AA01D" w14:textId="5F1504FD" w:rsidR="00E37C1C" w:rsidRPr="004C7D10" w:rsidRDefault="00E37C1C" w:rsidP="00A356C1">
      <w:pPr>
        <w:pStyle w:val="Textpoznpodarou"/>
        <w:jc w:val="both"/>
        <w:rPr>
          <w:spacing w:val="-4"/>
          <w:sz w:val="16"/>
          <w:szCs w:val="16"/>
          <w:lang w:val="en-GB"/>
        </w:rPr>
      </w:pPr>
      <w:r w:rsidRPr="004C7D10">
        <w:rPr>
          <w:rStyle w:val="Znakapoznpodarou"/>
          <w:spacing w:val="-4"/>
          <w:sz w:val="16"/>
          <w:szCs w:val="16"/>
          <w:lang w:val="en-GB"/>
        </w:rPr>
        <w:footnoteRef/>
      </w:r>
      <w:r w:rsidRPr="004C7D10">
        <w:rPr>
          <w:spacing w:val="-4"/>
          <w:sz w:val="16"/>
          <w:szCs w:val="16"/>
          <w:lang w:val="en-GB"/>
        </w:rPr>
        <w:t xml:space="preserve"> </w:t>
      </w:r>
      <w:r>
        <w:rPr>
          <w:spacing w:val="-4"/>
          <w:sz w:val="16"/>
          <w:szCs w:val="16"/>
          <w:lang w:val="en-GB"/>
        </w:rPr>
        <w:t>Number of all citizens of Ukraine with the temporary stay on the CR territory expanded according to the data of the MI CR from 10</w:t>
      </w:r>
      <w:r w:rsidRPr="004C7D10">
        <w:rPr>
          <w:spacing w:val="-4"/>
          <w:sz w:val="16"/>
          <w:szCs w:val="16"/>
          <w:lang w:val="en-GB"/>
        </w:rPr>
        <w:t>8 t</w:t>
      </w:r>
      <w:r>
        <w:rPr>
          <w:spacing w:val="-4"/>
          <w:sz w:val="16"/>
          <w:szCs w:val="16"/>
          <w:lang w:val="en-GB"/>
        </w:rPr>
        <w:t xml:space="preserve">housand </w:t>
      </w:r>
      <w:r w:rsidRPr="004C7D10">
        <w:rPr>
          <w:spacing w:val="-4"/>
          <w:sz w:val="16"/>
          <w:szCs w:val="16"/>
          <w:lang w:val="en-GB"/>
        </w:rPr>
        <w:t>(</w:t>
      </w:r>
      <w:r>
        <w:rPr>
          <w:spacing w:val="-4"/>
          <w:sz w:val="16"/>
          <w:szCs w:val="16"/>
          <w:lang w:val="en-GB"/>
        </w:rPr>
        <w:t>from the end of January</w:t>
      </w:r>
      <w:r w:rsidR="00C32290">
        <w:rPr>
          <w:spacing w:val="-4"/>
          <w:sz w:val="16"/>
          <w:szCs w:val="16"/>
          <w:lang w:val="en-GB"/>
        </w:rPr>
        <w:t xml:space="preserve"> 2022</w:t>
      </w:r>
      <w:r w:rsidRPr="004C7D10">
        <w:rPr>
          <w:spacing w:val="-4"/>
          <w:sz w:val="16"/>
          <w:szCs w:val="16"/>
          <w:lang w:val="en-GB"/>
        </w:rPr>
        <w:t xml:space="preserve">) </w:t>
      </w:r>
      <w:r>
        <w:rPr>
          <w:spacing w:val="-4"/>
          <w:sz w:val="16"/>
          <w:szCs w:val="16"/>
          <w:lang w:val="en-GB"/>
        </w:rPr>
        <w:t xml:space="preserve">to </w:t>
      </w:r>
      <w:r w:rsidRPr="004C7D10">
        <w:rPr>
          <w:spacing w:val="-4"/>
          <w:sz w:val="16"/>
          <w:szCs w:val="16"/>
          <w:lang w:val="en-GB"/>
        </w:rPr>
        <w:t>543 t</w:t>
      </w:r>
      <w:r>
        <w:rPr>
          <w:spacing w:val="-4"/>
          <w:sz w:val="16"/>
          <w:szCs w:val="16"/>
          <w:lang w:val="en-GB"/>
        </w:rPr>
        <w:t xml:space="preserve">housand </w:t>
      </w:r>
      <w:r w:rsidRPr="004C7D10">
        <w:rPr>
          <w:spacing w:val="-4"/>
          <w:sz w:val="16"/>
          <w:szCs w:val="16"/>
          <w:lang w:val="en-GB"/>
        </w:rPr>
        <w:t>(</w:t>
      </w:r>
      <w:r w:rsidR="00C32290">
        <w:rPr>
          <w:spacing w:val="-4"/>
          <w:sz w:val="16"/>
          <w:szCs w:val="16"/>
          <w:lang w:val="en-GB"/>
        </w:rPr>
        <w:t>December</w:t>
      </w:r>
      <w:r>
        <w:rPr>
          <w:spacing w:val="-4"/>
          <w:sz w:val="16"/>
          <w:szCs w:val="16"/>
          <w:lang w:val="en-GB"/>
        </w:rPr>
        <w:t xml:space="preserve"> </w:t>
      </w:r>
      <w:r w:rsidRPr="004C7D10">
        <w:rPr>
          <w:spacing w:val="-4"/>
          <w:sz w:val="16"/>
          <w:szCs w:val="16"/>
          <w:lang w:val="en-GB"/>
        </w:rPr>
        <w:t xml:space="preserve">2022). </w:t>
      </w:r>
      <w:r>
        <w:rPr>
          <w:spacing w:val="-4"/>
          <w:sz w:val="16"/>
          <w:szCs w:val="16"/>
          <w:lang w:val="en-GB"/>
        </w:rPr>
        <w:t>Women participated from more than three fifths on the total increase. Only a minority from the total number of persons with newly granted stay however could have</w:t>
      </w:r>
      <w:r w:rsidR="00C32290">
        <w:rPr>
          <w:spacing w:val="-4"/>
          <w:sz w:val="16"/>
          <w:szCs w:val="16"/>
          <w:lang w:val="en-GB"/>
        </w:rPr>
        <w:t xml:space="preserve"> joined </w:t>
      </w:r>
      <w:r>
        <w:rPr>
          <w:spacing w:val="-4"/>
          <w:sz w:val="16"/>
          <w:szCs w:val="16"/>
          <w:lang w:val="en-GB"/>
        </w:rPr>
        <w:t xml:space="preserve">the labour market in the CR </w:t>
      </w:r>
      <w:r w:rsidRPr="004C7D10">
        <w:rPr>
          <w:spacing w:val="-4"/>
          <w:sz w:val="16"/>
          <w:szCs w:val="16"/>
          <w:lang w:val="en-GB"/>
        </w:rPr>
        <w:t>(</w:t>
      </w:r>
      <w:r>
        <w:rPr>
          <w:spacing w:val="-4"/>
          <w:sz w:val="16"/>
          <w:szCs w:val="16"/>
          <w:lang w:val="en-GB"/>
        </w:rPr>
        <w:t>large part of them consists of children, pupils and students</w:t>
      </w:r>
      <w:r w:rsidRPr="004C7D10">
        <w:rPr>
          <w:spacing w:val="-4"/>
          <w:sz w:val="16"/>
          <w:szCs w:val="16"/>
          <w:lang w:val="en-GB"/>
        </w:rPr>
        <w:t xml:space="preserve">, </w:t>
      </w:r>
      <w:r>
        <w:rPr>
          <w:spacing w:val="-4"/>
          <w:sz w:val="16"/>
          <w:szCs w:val="16"/>
          <w:lang w:val="en-GB"/>
        </w:rPr>
        <w:t>in addition some persons likely already left the CR</w:t>
      </w:r>
      <w:r w:rsidRPr="004C7D10">
        <w:rPr>
          <w:spacing w:val="-4"/>
          <w:sz w:val="16"/>
          <w:szCs w:val="16"/>
          <w:lang w:val="en-GB"/>
        </w:rPr>
        <w:t xml:space="preserve">).  </w:t>
      </w:r>
    </w:p>
  </w:footnote>
  <w:footnote w:id="8">
    <w:p w14:paraId="554D47A9" w14:textId="2ED77821" w:rsidR="00E37C1C" w:rsidRPr="004C7D10" w:rsidRDefault="00E37C1C" w:rsidP="00A356C1">
      <w:pPr>
        <w:pStyle w:val="Textpoznpodarou"/>
        <w:jc w:val="both"/>
        <w:rPr>
          <w:sz w:val="16"/>
          <w:szCs w:val="16"/>
          <w:lang w:val="en-GB"/>
        </w:rPr>
      </w:pPr>
      <w:r w:rsidRPr="004C7D10">
        <w:rPr>
          <w:rStyle w:val="Znakapoznpodarou"/>
          <w:spacing w:val="-4"/>
          <w:sz w:val="16"/>
          <w:szCs w:val="16"/>
          <w:lang w:val="en-GB"/>
        </w:rPr>
        <w:footnoteRef/>
      </w:r>
      <w:r w:rsidRPr="004C7D10">
        <w:rPr>
          <w:spacing w:val="-4"/>
          <w:sz w:val="16"/>
          <w:szCs w:val="16"/>
          <w:lang w:val="en-GB"/>
        </w:rPr>
        <w:t xml:space="preserve"> </w:t>
      </w:r>
      <w:r>
        <w:rPr>
          <w:spacing w:val="-4"/>
          <w:sz w:val="16"/>
          <w:szCs w:val="16"/>
          <w:lang w:val="en-GB"/>
        </w:rPr>
        <w:t xml:space="preserve">Data are not seasonally adjusted. </w:t>
      </w:r>
      <w:r w:rsidRPr="004C7D10">
        <w:rPr>
          <w:sz w:val="16"/>
          <w:szCs w:val="16"/>
          <w:lang w:val="en-GB"/>
        </w:rPr>
        <w:t xml:space="preserve"> </w:t>
      </w:r>
    </w:p>
  </w:footnote>
  <w:footnote w:id="9">
    <w:p w14:paraId="10C2F10B" w14:textId="441B3C1D" w:rsidR="00E37C1C" w:rsidRPr="00481F18" w:rsidRDefault="00E37C1C" w:rsidP="00481F18">
      <w:pPr>
        <w:pStyle w:val="Textpoznpodarou"/>
        <w:jc w:val="both"/>
        <w:rPr>
          <w:sz w:val="16"/>
          <w:szCs w:val="16"/>
          <w:lang w:val="en-GB"/>
        </w:rPr>
      </w:pPr>
      <w:r w:rsidRPr="004C7D10">
        <w:rPr>
          <w:rStyle w:val="Znakapoznpodarou"/>
          <w:sz w:val="16"/>
          <w:szCs w:val="16"/>
          <w:lang w:val="en-GB"/>
        </w:rPr>
        <w:footnoteRef/>
      </w:r>
      <w:r w:rsidRPr="004C7D10">
        <w:rPr>
          <w:sz w:val="16"/>
          <w:szCs w:val="16"/>
          <w:lang w:val="en-GB"/>
        </w:rPr>
        <w:t xml:space="preserve"> </w:t>
      </w:r>
      <w:r w:rsidRPr="00481F18">
        <w:rPr>
          <w:sz w:val="16"/>
          <w:szCs w:val="16"/>
          <w:lang w:val="en-GB"/>
        </w:rPr>
        <w:t xml:space="preserve">Especially </w:t>
      </w:r>
      <w:r w:rsidR="00B647F4">
        <w:rPr>
          <w:sz w:val="16"/>
          <w:szCs w:val="16"/>
          <w:lang w:val="en-GB"/>
        </w:rPr>
        <w:t>industrial businesses in energy-</w:t>
      </w:r>
      <w:r w:rsidRPr="00481F18">
        <w:rPr>
          <w:sz w:val="16"/>
          <w:szCs w:val="16"/>
          <w:lang w:val="en-GB"/>
        </w:rPr>
        <w:t xml:space="preserve">intensive branches of metallurgy, metalworking industry, manufacturing of building materials, chemical industry or food industry anticipated a reduction of the number of employees (according to the survey from January 2023). </w:t>
      </w:r>
      <w:r>
        <w:rPr>
          <w:sz w:val="16"/>
          <w:szCs w:val="16"/>
          <w:lang w:val="en-GB"/>
        </w:rPr>
        <w:t>Further also in the main sub-supplier branches of manufacturing of motor vehicle and among the smaller branches mainly in manufacturing of wearing apparel. Manufacturers of computers, electronic and optical appliances, manufacturers of transport equipment and from the smaller branches then pharmaceutical industry and printing activities planned increase of employment</w:t>
      </w:r>
      <w:r w:rsidRPr="00481F18">
        <w:rPr>
          <w:sz w:val="16"/>
          <w:szCs w:val="16"/>
          <w:lang w:val="en-GB"/>
        </w:rPr>
        <w:t>.</w:t>
      </w:r>
    </w:p>
    <w:p w14:paraId="21A5F3E3" w14:textId="1D3D27AA" w:rsidR="00E37C1C" w:rsidRPr="00481F18" w:rsidRDefault="00E37C1C" w:rsidP="00481F18">
      <w:pPr>
        <w:pStyle w:val="Textpoznpodarou"/>
        <w:jc w:val="both"/>
        <w:rPr>
          <w:sz w:val="16"/>
          <w:szCs w:val="16"/>
          <w:lang w:val="en-GB"/>
        </w:rPr>
      </w:pPr>
      <w:r>
        <w:rPr>
          <w:sz w:val="16"/>
          <w:szCs w:val="16"/>
          <w:lang w:val="en-GB"/>
        </w:rPr>
        <w:t>In services the negative expectations were observed mainly in the air transport, travel agency activities, publishing activities, financial activities and further for instance in the area of advertising. On the contrary in number of services for business (legal and accounting activities job employment placement agencies</w:t>
      </w:r>
      <w:r w:rsidRPr="00481F18">
        <w:rPr>
          <w:sz w:val="16"/>
          <w:szCs w:val="16"/>
          <w:lang w:val="en-GB"/>
        </w:rPr>
        <w:t>)</w:t>
      </w:r>
      <w:r>
        <w:rPr>
          <w:sz w:val="16"/>
          <w:szCs w:val="16"/>
          <w:lang w:val="en-GB"/>
        </w:rPr>
        <w:t xml:space="preserve"> or in the area of insurance activities, programming or warehousing, rather higher employment is expected. </w:t>
      </w:r>
    </w:p>
  </w:footnote>
  <w:footnote w:id="10">
    <w:p w14:paraId="768A0A7A" w14:textId="4D6E6FE9" w:rsidR="00E37C1C" w:rsidRPr="00481F18" w:rsidRDefault="00E37C1C" w:rsidP="00481F18">
      <w:pPr>
        <w:pStyle w:val="Textpoznpodarou"/>
        <w:jc w:val="both"/>
        <w:rPr>
          <w:spacing w:val="-3"/>
          <w:sz w:val="16"/>
          <w:szCs w:val="16"/>
          <w:lang w:val="en-GB"/>
        </w:rPr>
      </w:pPr>
      <w:r w:rsidRPr="00481F18">
        <w:rPr>
          <w:rStyle w:val="Znakapoznpodarou"/>
          <w:spacing w:val="-3"/>
          <w:sz w:val="16"/>
          <w:szCs w:val="16"/>
          <w:lang w:val="en-GB"/>
        </w:rPr>
        <w:footnoteRef/>
      </w:r>
      <w:r w:rsidRPr="00481F18">
        <w:rPr>
          <w:spacing w:val="-3"/>
          <w:sz w:val="16"/>
          <w:szCs w:val="16"/>
          <w:lang w:val="en-GB"/>
        </w:rPr>
        <w:t xml:space="preserve"> Unless stated otherwise, all data regarding the unemployment rates are sourced from the LFSS (based on the ILO methodology) and are adjusted for seasonal effects.</w:t>
      </w:r>
    </w:p>
  </w:footnote>
  <w:footnote w:id="11">
    <w:p w14:paraId="28C0E14F" w14:textId="3850AF4D" w:rsidR="00E37C1C" w:rsidRPr="00481F18" w:rsidRDefault="00E37C1C" w:rsidP="00481F18">
      <w:pPr>
        <w:pStyle w:val="Textpoznpodarou"/>
        <w:jc w:val="both"/>
        <w:rPr>
          <w:lang w:val="en-GB"/>
        </w:rPr>
      </w:pPr>
      <w:r w:rsidRPr="00481F18">
        <w:rPr>
          <w:rStyle w:val="Znakapoznpodarou"/>
          <w:sz w:val="16"/>
          <w:szCs w:val="16"/>
          <w:lang w:val="en-GB"/>
        </w:rPr>
        <w:footnoteRef/>
      </w:r>
      <w:r w:rsidRPr="00481F18">
        <w:rPr>
          <w:lang w:val="en-GB"/>
        </w:rPr>
        <w:t xml:space="preserve"> </w:t>
      </w:r>
      <w:r>
        <w:rPr>
          <w:spacing w:val="-3"/>
          <w:sz w:val="16"/>
          <w:szCs w:val="16"/>
          <w:lang w:val="en-GB"/>
        </w:rPr>
        <w:t>According to the MLSA data, the proportion of reachable job applicants aged 15 to 64 per population of the same age was 3.6% in January</w:t>
      </w:r>
      <w:r w:rsidR="00B647F4">
        <w:rPr>
          <w:spacing w:val="-3"/>
          <w:sz w:val="16"/>
          <w:szCs w:val="16"/>
          <w:lang w:val="en-GB"/>
        </w:rPr>
        <w:t xml:space="preserve"> 2022</w:t>
      </w:r>
      <w:r>
        <w:rPr>
          <w:spacing w:val="-3"/>
          <w:sz w:val="16"/>
          <w:szCs w:val="16"/>
          <w:lang w:val="en-GB"/>
        </w:rPr>
        <w:t>, 3.1% in June and 3.7% in December last year.</w:t>
      </w:r>
    </w:p>
  </w:footnote>
  <w:footnote w:id="12">
    <w:p w14:paraId="0A905843" w14:textId="4B4542D1" w:rsidR="00E37C1C" w:rsidRDefault="00E37C1C" w:rsidP="00BE62ED">
      <w:pPr>
        <w:pStyle w:val="Textpoznpodarou"/>
        <w:jc w:val="both"/>
      </w:pPr>
      <w:r w:rsidRPr="00EB32E8">
        <w:rPr>
          <w:rStyle w:val="Znakapoznpodarou"/>
          <w:sz w:val="16"/>
          <w:szCs w:val="16"/>
        </w:rPr>
        <w:footnoteRef/>
      </w:r>
      <w:r w:rsidRPr="00EB32E8">
        <w:rPr>
          <w:sz w:val="16"/>
          <w:szCs w:val="16"/>
        </w:rPr>
        <w:t xml:space="preserve"> </w:t>
      </w:r>
      <w:r>
        <w:rPr>
          <w:sz w:val="16"/>
          <w:szCs w:val="16"/>
          <w:lang w:val="en-GB"/>
        </w:rPr>
        <w:t>Significant part of vacancies however cannot be considered active for various reasons.</w:t>
      </w:r>
      <w:r w:rsidRPr="00DD68F3">
        <w:rPr>
          <w:color w:val="0D0D0D" w:themeColor="text1" w:themeTint="F2"/>
          <w:sz w:val="16"/>
          <w:szCs w:val="16"/>
          <w:lang w:val="en-GB"/>
        </w:rPr>
        <w:t xml:space="preserve"> </w:t>
      </w:r>
      <w:r>
        <w:rPr>
          <w:color w:val="0D0D0D" w:themeColor="text1" w:themeTint="F2"/>
          <w:sz w:val="16"/>
          <w:szCs w:val="16"/>
          <w:lang w:val="en-GB"/>
        </w:rPr>
        <w:t>It e.g. constitutes positions offered by companies, which terminated their operations, further positions, which are outdated, but were not removed from the offer or positions considerably unattractive,</w:t>
      </w:r>
      <w:r w:rsidRPr="00DD68F3">
        <w:rPr>
          <w:sz w:val="16"/>
          <w:szCs w:val="16"/>
          <w:lang w:val="en-GB"/>
        </w:rPr>
        <w:t xml:space="preserve"> </w:t>
      </w:r>
      <w:r>
        <w:rPr>
          <w:sz w:val="16"/>
          <w:szCs w:val="16"/>
          <w:lang w:val="en-GB"/>
        </w:rPr>
        <w:t xml:space="preserve">remaining vacant for a long time. Only part of the entire offer of job vacancies can thus be considered truly active. Number of positions, which were offered less than half a year, totalled only </w:t>
      </w:r>
      <w:r w:rsidRPr="00DD68F3">
        <w:rPr>
          <w:sz w:val="16"/>
          <w:szCs w:val="16"/>
          <w:lang w:val="en-GB"/>
        </w:rPr>
        <w:t>1</w:t>
      </w:r>
      <w:r>
        <w:rPr>
          <w:sz w:val="16"/>
          <w:szCs w:val="16"/>
          <w:lang w:val="en-GB"/>
        </w:rPr>
        <w:t>24</w:t>
      </w:r>
      <w:r w:rsidRPr="00DD68F3">
        <w:rPr>
          <w:sz w:val="16"/>
          <w:szCs w:val="16"/>
          <w:lang w:val="en-GB"/>
        </w:rPr>
        <w:t xml:space="preserve"> t</w:t>
      </w:r>
      <w:r>
        <w:rPr>
          <w:sz w:val="16"/>
          <w:szCs w:val="16"/>
          <w:lang w:val="en-GB"/>
        </w:rPr>
        <w:t xml:space="preserve">housand at the end of Q4 2022, which was by 65 thousand less year-on-year. </w:t>
      </w:r>
    </w:p>
  </w:footnote>
  <w:footnote w:id="13">
    <w:p w14:paraId="5E96BD88" w14:textId="0893AE72" w:rsidR="00E37C1C" w:rsidRPr="00D57ABE" w:rsidRDefault="00E37C1C" w:rsidP="00D57ABE">
      <w:pPr>
        <w:pStyle w:val="Textpoznpodarou"/>
        <w:jc w:val="both"/>
        <w:rPr>
          <w:sz w:val="16"/>
          <w:szCs w:val="16"/>
          <w:lang w:val="en-GB"/>
        </w:rPr>
      </w:pPr>
      <w:r w:rsidRPr="00D57ABE">
        <w:rPr>
          <w:rStyle w:val="Znakapoznpodarou"/>
          <w:sz w:val="16"/>
          <w:szCs w:val="16"/>
          <w:lang w:val="en-GB"/>
        </w:rPr>
        <w:footnoteRef/>
      </w:r>
      <w:r w:rsidRPr="00D57ABE">
        <w:rPr>
          <w:sz w:val="16"/>
          <w:szCs w:val="16"/>
          <w:lang w:val="en-GB"/>
        </w:rPr>
        <w:t xml:space="preserve"> </w:t>
      </w:r>
      <w:r>
        <w:rPr>
          <w:sz w:val="16"/>
          <w:szCs w:val="16"/>
          <w:lang w:val="en-GB"/>
        </w:rPr>
        <w:t xml:space="preserve">The Gross disposable income </w:t>
      </w:r>
      <w:r w:rsidRPr="00D57ABE">
        <w:rPr>
          <w:sz w:val="16"/>
          <w:szCs w:val="16"/>
          <w:lang w:val="en-GB"/>
        </w:rPr>
        <w:t>(</w:t>
      </w:r>
      <w:r>
        <w:rPr>
          <w:sz w:val="16"/>
          <w:szCs w:val="16"/>
          <w:lang w:val="en-GB"/>
        </w:rPr>
        <w:t>GDI</w:t>
      </w:r>
      <w:r w:rsidRPr="00D57ABE">
        <w:rPr>
          <w:sz w:val="16"/>
          <w:szCs w:val="16"/>
          <w:lang w:val="en-GB"/>
        </w:rPr>
        <w:t>)</w:t>
      </w:r>
      <w:r>
        <w:rPr>
          <w:sz w:val="16"/>
          <w:szCs w:val="16"/>
          <w:lang w:val="en-GB"/>
        </w:rPr>
        <w:t xml:space="preserve"> of households in real expression decreased by 3.1% year-on-year in Q</w:t>
      </w:r>
      <w:r w:rsidRPr="00D57ABE">
        <w:rPr>
          <w:sz w:val="16"/>
          <w:szCs w:val="16"/>
          <w:lang w:val="en-GB"/>
        </w:rPr>
        <w:t>3</w:t>
      </w:r>
      <w:r>
        <w:rPr>
          <w:sz w:val="16"/>
          <w:szCs w:val="16"/>
          <w:lang w:val="en-GB"/>
        </w:rPr>
        <w:t xml:space="preserve"> </w:t>
      </w:r>
      <w:r w:rsidRPr="00D57ABE">
        <w:rPr>
          <w:sz w:val="16"/>
          <w:szCs w:val="16"/>
          <w:lang w:val="en-GB"/>
        </w:rPr>
        <w:t>2022</w:t>
      </w:r>
      <w:r>
        <w:rPr>
          <w:sz w:val="16"/>
          <w:szCs w:val="16"/>
          <w:lang w:val="en-GB"/>
        </w:rPr>
        <w:t>,</w:t>
      </w:r>
      <w:r w:rsidRPr="00D57ABE">
        <w:rPr>
          <w:sz w:val="16"/>
          <w:szCs w:val="16"/>
          <w:lang w:val="en-GB"/>
        </w:rPr>
        <w:t xml:space="preserve"> </w:t>
      </w:r>
      <w:r>
        <w:rPr>
          <w:sz w:val="16"/>
          <w:szCs w:val="16"/>
          <w:lang w:val="en-GB"/>
        </w:rPr>
        <w:t xml:space="preserve">the volume of wages and salaries in the national accounts conception </w:t>
      </w:r>
      <w:r w:rsidRPr="00D57ABE">
        <w:rPr>
          <w:sz w:val="16"/>
          <w:szCs w:val="16"/>
          <w:lang w:val="en-GB"/>
        </w:rPr>
        <w:t>(</w:t>
      </w:r>
      <w:r>
        <w:rPr>
          <w:sz w:val="16"/>
          <w:szCs w:val="16"/>
          <w:lang w:val="en-GB"/>
        </w:rPr>
        <w:t>after considering the price development of final consumption expenditure of households</w:t>
      </w:r>
      <w:r w:rsidRPr="00D57ABE">
        <w:rPr>
          <w:sz w:val="16"/>
          <w:szCs w:val="16"/>
          <w:lang w:val="en-GB"/>
        </w:rPr>
        <w:t xml:space="preserve">) </w:t>
      </w:r>
      <w:r>
        <w:rPr>
          <w:sz w:val="16"/>
          <w:szCs w:val="16"/>
          <w:lang w:val="en-GB"/>
        </w:rPr>
        <w:t xml:space="preserve">dived by </w:t>
      </w:r>
      <w:r w:rsidRPr="00D57ABE">
        <w:rPr>
          <w:sz w:val="16"/>
          <w:szCs w:val="16"/>
          <w:lang w:val="en-GB"/>
        </w:rPr>
        <w:t>9</w:t>
      </w:r>
      <w:r>
        <w:rPr>
          <w:sz w:val="16"/>
          <w:szCs w:val="16"/>
          <w:lang w:val="en-GB"/>
        </w:rPr>
        <w:t>.</w:t>
      </w:r>
      <w:r w:rsidRPr="00D57ABE">
        <w:rPr>
          <w:sz w:val="16"/>
          <w:szCs w:val="16"/>
          <w:lang w:val="en-GB"/>
        </w:rPr>
        <w:t>9%</w:t>
      </w:r>
      <w:r>
        <w:rPr>
          <w:sz w:val="16"/>
          <w:szCs w:val="16"/>
          <w:lang w:val="en-GB"/>
        </w:rPr>
        <w:t xml:space="preserve"> in real terms in the same time period</w:t>
      </w:r>
      <w:r w:rsidRPr="00D57ABE">
        <w:rPr>
          <w:sz w:val="16"/>
          <w:szCs w:val="16"/>
          <w:lang w:val="en-GB"/>
        </w:rPr>
        <w:t xml:space="preserve">. </w:t>
      </w:r>
      <w:r>
        <w:rPr>
          <w:sz w:val="16"/>
          <w:szCs w:val="16"/>
          <w:lang w:val="en-GB"/>
        </w:rPr>
        <w:t xml:space="preserve">Wages and salaries include </w:t>
      </w:r>
      <w:r w:rsidRPr="00D57ABE">
        <w:rPr>
          <w:sz w:val="16"/>
          <w:szCs w:val="16"/>
          <w:lang w:val="en-GB"/>
        </w:rPr>
        <w:t>(</w:t>
      </w:r>
      <w:r>
        <w:rPr>
          <w:sz w:val="16"/>
          <w:szCs w:val="16"/>
          <w:lang w:val="en-GB"/>
        </w:rPr>
        <w:t>in contrast to the business statistics</w:t>
      </w:r>
      <w:r w:rsidRPr="00D57ABE">
        <w:rPr>
          <w:sz w:val="16"/>
          <w:szCs w:val="16"/>
          <w:lang w:val="en-GB"/>
        </w:rPr>
        <w:t xml:space="preserve">) </w:t>
      </w:r>
      <w:r>
        <w:rPr>
          <w:sz w:val="16"/>
          <w:szCs w:val="16"/>
          <w:lang w:val="en-GB"/>
        </w:rPr>
        <w:t>also other factors, for instance grey economy, possible increase of economic activity of population, e</w:t>
      </w:r>
      <w:r w:rsidRPr="00F94390">
        <w:rPr>
          <w:sz w:val="16"/>
          <w:szCs w:val="16"/>
          <w:lang w:val="en-GB"/>
        </w:rPr>
        <w:t>.g. in the form of second employments</w:t>
      </w:r>
      <w:r>
        <w:rPr>
          <w:sz w:val="16"/>
          <w:szCs w:val="16"/>
          <w:lang w:val="en-GB"/>
        </w:rPr>
        <w:t xml:space="preserve"> or </w:t>
      </w:r>
      <w:r w:rsidRPr="00F94390">
        <w:rPr>
          <w:sz w:val="16"/>
          <w:szCs w:val="16"/>
          <w:lang w:val="en-GB"/>
        </w:rPr>
        <w:t>work agreements</w:t>
      </w:r>
      <w:r>
        <w:rPr>
          <w:sz w:val="16"/>
          <w:szCs w:val="16"/>
          <w:lang w:val="en-GB"/>
        </w:rPr>
        <w:t xml:space="preserve">. GDI contains next to wages and salaries also income flowing from running a business or ownership of capital and also </w:t>
      </w:r>
      <w:r w:rsidRPr="00D57ABE">
        <w:rPr>
          <w:sz w:val="16"/>
          <w:szCs w:val="16"/>
          <w:lang w:val="en-GB"/>
        </w:rPr>
        <w:t>soci</w:t>
      </w:r>
      <w:r>
        <w:rPr>
          <w:sz w:val="16"/>
          <w:szCs w:val="16"/>
          <w:lang w:val="en-GB"/>
        </w:rPr>
        <w:t xml:space="preserve">al transfers from state, including the retirement pensions </w:t>
      </w:r>
      <w:r w:rsidRPr="00D57ABE">
        <w:rPr>
          <w:sz w:val="16"/>
          <w:szCs w:val="16"/>
          <w:lang w:val="en-GB"/>
        </w:rPr>
        <w:t>(</w:t>
      </w:r>
      <w:r>
        <w:rPr>
          <w:sz w:val="16"/>
          <w:szCs w:val="16"/>
          <w:lang w:val="en-GB"/>
        </w:rPr>
        <w:t>which were adjusted three times last year</w:t>
      </w:r>
      <w:r w:rsidRPr="00D57ABE">
        <w:rPr>
          <w:sz w:val="16"/>
          <w:szCs w:val="16"/>
          <w:lang w:val="en-GB"/>
        </w:rPr>
        <w:t>).</w:t>
      </w:r>
    </w:p>
  </w:footnote>
  <w:footnote w:id="14">
    <w:p w14:paraId="57F1F747" w14:textId="258FA4B7" w:rsidR="00E37C1C" w:rsidRPr="00D57ABE" w:rsidRDefault="00E37C1C" w:rsidP="00D57ABE">
      <w:pPr>
        <w:pStyle w:val="Textpoznpodarou"/>
        <w:jc w:val="both"/>
        <w:rPr>
          <w:sz w:val="16"/>
          <w:szCs w:val="16"/>
          <w:lang w:val="en-GB"/>
        </w:rPr>
      </w:pPr>
      <w:r w:rsidRPr="00D57ABE">
        <w:rPr>
          <w:rStyle w:val="Znakapoznpodarou"/>
          <w:sz w:val="16"/>
          <w:szCs w:val="16"/>
          <w:lang w:val="en-GB"/>
        </w:rPr>
        <w:footnoteRef/>
      </w:r>
      <w:r w:rsidRPr="00D57ABE">
        <w:rPr>
          <w:sz w:val="16"/>
          <w:szCs w:val="16"/>
          <w:lang w:val="en-GB"/>
        </w:rPr>
        <w:t xml:space="preserve"> </w:t>
      </w:r>
      <w:r>
        <w:rPr>
          <w:sz w:val="16"/>
          <w:szCs w:val="16"/>
          <w:lang w:val="en-GB"/>
        </w:rPr>
        <w:t xml:space="preserve">Purchasing power of wages increased only in </w:t>
      </w:r>
      <w:r w:rsidRPr="00D57ABE">
        <w:rPr>
          <w:sz w:val="16"/>
          <w:szCs w:val="16"/>
          <w:lang w:val="en-GB"/>
        </w:rPr>
        <w:t>7</w:t>
      </w:r>
      <w:r>
        <w:rPr>
          <w:sz w:val="16"/>
          <w:szCs w:val="16"/>
          <w:lang w:val="en-GB"/>
        </w:rPr>
        <w:t xml:space="preserve"> out of </w:t>
      </w:r>
      <w:r w:rsidRPr="00D57ABE">
        <w:rPr>
          <w:sz w:val="16"/>
          <w:szCs w:val="16"/>
          <w:lang w:val="en-GB"/>
        </w:rPr>
        <w:t xml:space="preserve">19 </w:t>
      </w:r>
      <w:r>
        <w:rPr>
          <w:sz w:val="16"/>
          <w:szCs w:val="16"/>
          <w:lang w:val="en-GB"/>
        </w:rPr>
        <w:t>main branch divisions in this four year period</w:t>
      </w:r>
      <w:r w:rsidRPr="00D57ABE">
        <w:rPr>
          <w:sz w:val="16"/>
          <w:szCs w:val="16"/>
          <w:lang w:val="en-GB"/>
        </w:rPr>
        <w:t xml:space="preserve"> (</w:t>
      </w:r>
      <w:r>
        <w:rPr>
          <w:sz w:val="16"/>
          <w:szCs w:val="16"/>
          <w:lang w:val="en-GB"/>
        </w:rPr>
        <w:t>it concerned e.g. energy industry, real estate activities, education, health and social care and also administrative and support service activities</w:t>
      </w:r>
      <w:r w:rsidRPr="00D57ABE">
        <w:rPr>
          <w:sz w:val="16"/>
          <w:szCs w:val="16"/>
          <w:lang w:val="en-GB"/>
        </w:rPr>
        <w:t xml:space="preserve">, </w:t>
      </w:r>
      <w:r>
        <w:rPr>
          <w:sz w:val="16"/>
          <w:szCs w:val="16"/>
          <w:lang w:val="en-GB"/>
        </w:rPr>
        <w:t>where temporary agency workers play important part</w:t>
      </w:r>
      <w:r w:rsidRPr="00D57ABE">
        <w:rPr>
          <w:sz w:val="16"/>
          <w:szCs w:val="16"/>
          <w:lang w:val="en-GB"/>
        </w:rPr>
        <w:t xml:space="preserve">). </w:t>
      </w:r>
      <w:r>
        <w:rPr>
          <w:sz w:val="16"/>
          <w:szCs w:val="16"/>
          <w:lang w:val="en-GB"/>
        </w:rPr>
        <w:t xml:space="preserve">On the contrary, weight significant branches of manufacturing or trade experienced a mild decrease of wage purchasing power </w:t>
      </w:r>
      <w:r w:rsidRPr="00D57ABE">
        <w:rPr>
          <w:sz w:val="16"/>
          <w:szCs w:val="16"/>
          <w:lang w:val="en-GB"/>
        </w:rPr>
        <w:t>(</w:t>
      </w:r>
      <w:r>
        <w:rPr>
          <w:sz w:val="16"/>
          <w:szCs w:val="16"/>
          <w:lang w:val="en-GB"/>
        </w:rPr>
        <w:t xml:space="preserve">by </w:t>
      </w:r>
      <w:r w:rsidRPr="00D57ABE">
        <w:rPr>
          <w:sz w:val="16"/>
          <w:szCs w:val="16"/>
          <w:lang w:val="en-GB"/>
        </w:rPr>
        <w:t>4%, 1%</w:t>
      </w:r>
      <w:r>
        <w:rPr>
          <w:sz w:val="16"/>
          <w:szCs w:val="16"/>
          <w:lang w:val="en-GB"/>
        </w:rPr>
        <w:t xml:space="preserve"> resp.</w:t>
      </w:r>
      <w:r w:rsidRPr="00D57ABE">
        <w:rPr>
          <w:sz w:val="16"/>
          <w:szCs w:val="16"/>
          <w:lang w:val="en-GB"/>
        </w:rPr>
        <w:t>).</w:t>
      </w:r>
    </w:p>
  </w:footnote>
  <w:footnote w:id="15">
    <w:p w14:paraId="78A835B5" w14:textId="2B1C04B5" w:rsidR="00E37C1C" w:rsidRPr="00B646BC" w:rsidRDefault="00E37C1C" w:rsidP="00B646BC">
      <w:pPr>
        <w:pStyle w:val="Textpoznpodarou"/>
        <w:jc w:val="both"/>
        <w:rPr>
          <w:sz w:val="16"/>
          <w:szCs w:val="16"/>
          <w:lang w:val="en-GB"/>
        </w:rPr>
      </w:pPr>
      <w:r w:rsidRPr="000B1BC1">
        <w:rPr>
          <w:rStyle w:val="Znakapoznpodarou"/>
          <w:sz w:val="16"/>
          <w:szCs w:val="16"/>
        </w:rPr>
        <w:footnoteRef/>
      </w:r>
      <w:r w:rsidRPr="000B1BC1">
        <w:rPr>
          <w:sz w:val="16"/>
          <w:szCs w:val="16"/>
        </w:rPr>
        <w:t xml:space="preserve"> </w:t>
      </w:r>
      <w:r w:rsidRPr="00B646BC">
        <w:rPr>
          <w:spacing w:val="-4"/>
          <w:sz w:val="16"/>
          <w:szCs w:val="16"/>
          <w:lang w:val="en-GB"/>
        </w:rPr>
        <w:t>T</w:t>
      </w:r>
      <w:r>
        <w:rPr>
          <w:spacing w:val="-4"/>
          <w:sz w:val="16"/>
          <w:szCs w:val="16"/>
          <w:lang w:val="en-GB"/>
        </w:rPr>
        <w:t xml:space="preserve">hese persons integrated on the labour market gradually and often primarily via part-time jobs or only inf the form of various agreements. </w:t>
      </w:r>
    </w:p>
  </w:footnote>
  <w:footnote w:id="16">
    <w:p w14:paraId="68215591" w14:textId="1B79D418" w:rsidR="00E37C1C" w:rsidRPr="00B646BC" w:rsidRDefault="00E37C1C" w:rsidP="00B646BC">
      <w:pPr>
        <w:pStyle w:val="Textpoznpodarou"/>
        <w:jc w:val="both"/>
        <w:rPr>
          <w:sz w:val="16"/>
          <w:szCs w:val="16"/>
          <w:lang w:val="en-GB"/>
        </w:rPr>
      </w:pPr>
      <w:r w:rsidRPr="00B646BC">
        <w:rPr>
          <w:rStyle w:val="Znakapoznpodarou"/>
          <w:sz w:val="16"/>
          <w:szCs w:val="16"/>
          <w:lang w:val="en-GB"/>
        </w:rPr>
        <w:footnoteRef/>
      </w:r>
      <w:r w:rsidRPr="00B646BC">
        <w:rPr>
          <w:sz w:val="16"/>
          <w:szCs w:val="16"/>
          <w:lang w:val="en-GB"/>
        </w:rPr>
        <w:t xml:space="preserve"> </w:t>
      </w:r>
      <w:r>
        <w:rPr>
          <w:sz w:val="16"/>
          <w:szCs w:val="16"/>
          <w:lang w:val="en-GB"/>
        </w:rPr>
        <w:t xml:space="preserve">As of </w:t>
      </w:r>
      <w:r w:rsidRPr="00B646BC">
        <w:rPr>
          <w:sz w:val="16"/>
          <w:szCs w:val="16"/>
          <w:lang w:val="en-GB"/>
        </w:rPr>
        <w:t>1</w:t>
      </w:r>
      <w:r w:rsidRPr="00B72CD3">
        <w:rPr>
          <w:sz w:val="16"/>
          <w:szCs w:val="16"/>
          <w:vertAlign w:val="superscript"/>
          <w:lang w:val="en-GB"/>
        </w:rPr>
        <w:t>st</w:t>
      </w:r>
      <w:r>
        <w:rPr>
          <w:sz w:val="16"/>
          <w:szCs w:val="16"/>
          <w:lang w:val="en-GB"/>
        </w:rPr>
        <w:t xml:space="preserve"> September </w:t>
      </w:r>
      <w:r w:rsidRPr="00B646BC">
        <w:rPr>
          <w:sz w:val="16"/>
          <w:szCs w:val="16"/>
          <w:lang w:val="en-GB"/>
        </w:rPr>
        <w:t>2022</w:t>
      </w:r>
      <w:r>
        <w:rPr>
          <w:sz w:val="16"/>
          <w:szCs w:val="16"/>
          <w:lang w:val="en-GB"/>
        </w:rPr>
        <w:t xml:space="preserve">, </w:t>
      </w:r>
      <w:r w:rsidRPr="00B646BC">
        <w:rPr>
          <w:sz w:val="16"/>
          <w:szCs w:val="16"/>
          <w:lang w:val="en-GB"/>
        </w:rPr>
        <w:t>10%</w:t>
      </w:r>
      <w:r>
        <w:rPr>
          <w:sz w:val="16"/>
          <w:szCs w:val="16"/>
          <w:lang w:val="en-GB"/>
        </w:rPr>
        <w:t xml:space="preserve"> increase of wage tariffs eventuated for employees belonging under the Public Servants Act and further for part of workers in culture and other, mainly manual workers with low wage level. </w:t>
      </w:r>
      <w:r w:rsidRPr="00B646BC">
        <w:rPr>
          <w:sz w:val="16"/>
          <w:szCs w:val="16"/>
          <w:lang w:val="en-GB"/>
        </w:rPr>
        <w:t xml:space="preserve"> </w:t>
      </w:r>
    </w:p>
  </w:footnote>
  <w:footnote w:id="17">
    <w:p w14:paraId="61DC7C68" w14:textId="5F04E88C" w:rsidR="00E37C1C" w:rsidRPr="00B646BC" w:rsidRDefault="00E37C1C" w:rsidP="00B646BC">
      <w:pPr>
        <w:pStyle w:val="Textpoznpodarou"/>
        <w:jc w:val="both"/>
        <w:rPr>
          <w:sz w:val="16"/>
          <w:szCs w:val="16"/>
          <w:lang w:val="en-GB"/>
        </w:rPr>
      </w:pPr>
      <w:r w:rsidRPr="00B646BC">
        <w:rPr>
          <w:rStyle w:val="Znakapoznpodarou"/>
          <w:sz w:val="16"/>
          <w:szCs w:val="16"/>
          <w:lang w:val="en-GB"/>
        </w:rPr>
        <w:footnoteRef/>
      </w:r>
      <w:r w:rsidRPr="00B646BC">
        <w:rPr>
          <w:sz w:val="16"/>
          <w:szCs w:val="16"/>
          <w:lang w:val="en-GB"/>
        </w:rPr>
        <w:t xml:space="preserve"> </w:t>
      </w:r>
      <w:r>
        <w:rPr>
          <w:sz w:val="16"/>
          <w:szCs w:val="16"/>
          <w:lang w:val="en-GB"/>
        </w:rPr>
        <w:t xml:space="preserve">It involves generation and distribution of electricity, gas, heat and air conditioning. </w:t>
      </w:r>
    </w:p>
  </w:footnote>
  <w:footnote w:id="18">
    <w:p w14:paraId="629D8EBA" w14:textId="278A1957" w:rsidR="00E37C1C" w:rsidRPr="00B646BC" w:rsidRDefault="00E37C1C" w:rsidP="00B646BC">
      <w:pPr>
        <w:pStyle w:val="Textpoznpodarou"/>
        <w:jc w:val="both"/>
        <w:rPr>
          <w:sz w:val="16"/>
          <w:szCs w:val="16"/>
          <w:lang w:val="en-GB"/>
        </w:rPr>
      </w:pPr>
      <w:r w:rsidRPr="00B646BC">
        <w:rPr>
          <w:rStyle w:val="Znakapoznpodarou"/>
          <w:sz w:val="16"/>
          <w:szCs w:val="16"/>
          <w:lang w:val="en-GB"/>
        </w:rPr>
        <w:footnoteRef/>
      </w:r>
      <w:r w:rsidRPr="00B646BC">
        <w:rPr>
          <w:sz w:val="16"/>
          <w:szCs w:val="16"/>
          <w:lang w:val="en-GB"/>
        </w:rPr>
        <w:t xml:space="preserve"> </w:t>
      </w:r>
      <w:r>
        <w:rPr>
          <w:sz w:val="16"/>
          <w:szCs w:val="16"/>
          <w:lang w:val="en-GB"/>
        </w:rPr>
        <w:t>The wage pace however did not differ much between main manufacturing branches in total for year 2022</w:t>
      </w:r>
      <w:r w:rsidRPr="00B646BC">
        <w:rPr>
          <w:sz w:val="16"/>
          <w:szCs w:val="16"/>
          <w:lang w:val="en-GB"/>
        </w:rPr>
        <w:t>.</w:t>
      </w:r>
    </w:p>
  </w:footnote>
  <w:footnote w:id="19">
    <w:p w14:paraId="51795374" w14:textId="6B441486" w:rsidR="00E37C1C" w:rsidRPr="00B646BC" w:rsidRDefault="00E37C1C" w:rsidP="00B646BC">
      <w:pPr>
        <w:pStyle w:val="Textpoznpodarou"/>
        <w:jc w:val="both"/>
        <w:rPr>
          <w:sz w:val="16"/>
          <w:szCs w:val="16"/>
          <w:lang w:val="en-GB"/>
        </w:rPr>
      </w:pPr>
      <w:r w:rsidRPr="00B646BC">
        <w:rPr>
          <w:rStyle w:val="Znakapoznpodarou"/>
          <w:sz w:val="16"/>
          <w:szCs w:val="16"/>
          <w:lang w:val="en-GB"/>
        </w:rPr>
        <w:footnoteRef/>
      </w:r>
      <w:r w:rsidRPr="00B646BC">
        <w:rPr>
          <w:sz w:val="16"/>
          <w:szCs w:val="16"/>
          <w:lang w:val="en-GB"/>
        </w:rPr>
        <w:t xml:space="preserve"> </w:t>
      </w:r>
      <w:r>
        <w:rPr>
          <w:sz w:val="16"/>
          <w:szCs w:val="16"/>
          <w:lang w:val="en-GB"/>
        </w:rPr>
        <w:t>For simplification it includes branches Public administration and defence, mandatory social security</w:t>
      </w:r>
      <w:r w:rsidRPr="00B646BC">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Education</w:t>
      </w:r>
      <w:r w:rsidRPr="00B646BC">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Health and social care</w:t>
      </w:r>
      <w:r w:rsidRPr="00B646BC">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Cultural, amusement and recreation activities</w:t>
      </w:r>
      <w:r w:rsidRPr="00B646BC">
        <w:rPr>
          <w:rFonts w:cs="Arial"/>
          <w:color w:val="0D0D0D" w:themeColor="text1" w:themeTint="F2"/>
          <w:spacing w:val="-4"/>
          <w:sz w:val="16"/>
          <w:szCs w:val="16"/>
          <w:lang w:val="en-GB"/>
        </w:rPr>
        <w:t>.</w:t>
      </w:r>
    </w:p>
  </w:footnote>
  <w:footnote w:id="20">
    <w:p w14:paraId="368379D5" w14:textId="47BF9B2A" w:rsidR="00E37C1C" w:rsidRPr="00B646BC" w:rsidRDefault="00E37C1C" w:rsidP="00B646BC">
      <w:pPr>
        <w:pStyle w:val="Textpoznpodarou"/>
        <w:jc w:val="both"/>
        <w:rPr>
          <w:spacing w:val="-2"/>
          <w:sz w:val="16"/>
          <w:szCs w:val="16"/>
          <w:lang w:val="en-GB"/>
        </w:rPr>
      </w:pPr>
      <w:r w:rsidRPr="00B646BC">
        <w:rPr>
          <w:rStyle w:val="Znakapoznpodarou"/>
          <w:spacing w:val="-2"/>
          <w:sz w:val="16"/>
          <w:szCs w:val="16"/>
          <w:lang w:val="en-GB"/>
        </w:rPr>
        <w:footnoteRef/>
      </w:r>
      <w:r w:rsidRPr="00B646BC">
        <w:rPr>
          <w:spacing w:val="-2"/>
          <w:sz w:val="16"/>
          <w:szCs w:val="16"/>
          <w:lang w:val="en-GB"/>
        </w:rPr>
        <w:t xml:space="preserve"> Relativ</w:t>
      </w:r>
      <w:r>
        <w:rPr>
          <w:spacing w:val="-2"/>
          <w:sz w:val="16"/>
          <w:szCs w:val="16"/>
          <w:lang w:val="en-GB"/>
        </w:rPr>
        <w:t xml:space="preserve">ely smaller differences were present also in the growth of total average wages among regions outside Prague last year </w:t>
      </w:r>
      <w:r w:rsidRPr="00B646BC">
        <w:rPr>
          <w:spacing w:val="-2"/>
          <w:sz w:val="16"/>
          <w:szCs w:val="16"/>
          <w:lang w:val="en-GB"/>
        </w:rPr>
        <w:t>(</w:t>
      </w:r>
      <w:r>
        <w:rPr>
          <w:spacing w:val="-2"/>
          <w:sz w:val="16"/>
          <w:szCs w:val="16"/>
          <w:lang w:val="en-GB"/>
        </w:rPr>
        <w:t xml:space="preserve">from </w:t>
      </w:r>
      <w:r w:rsidRPr="00B646BC">
        <w:rPr>
          <w:spacing w:val="-2"/>
          <w:sz w:val="16"/>
          <w:szCs w:val="16"/>
          <w:lang w:val="en-GB"/>
        </w:rPr>
        <w:t>5</w:t>
      </w:r>
      <w:r>
        <w:rPr>
          <w:spacing w:val="-2"/>
          <w:sz w:val="16"/>
          <w:szCs w:val="16"/>
          <w:lang w:val="en-GB"/>
        </w:rPr>
        <w:t>.</w:t>
      </w:r>
      <w:r w:rsidRPr="00B646BC">
        <w:rPr>
          <w:spacing w:val="-2"/>
          <w:sz w:val="16"/>
          <w:szCs w:val="16"/>
          <w:lang w:val="en-GB"/>
        </w:rPr>
        <w:t>3%</w:t>
      </w:r>
      <w:r>
        <w:rPr>
          <w:spacing w:val="-2"/>
          <w:sz w:val="16"/>
          <w:szCs w:val="16"/>
          <w:lang w:val="en-GB"/>
        </w:rPr>
        <w:t xml:space="preserve"> in </w:t>
      </w:r>
      <w:proofErr w:type="spellStart"/>
      <w:r>
        <w:rPr>
          <w:spacing w:val="-2"/>
          <w:sz w:val="16"/>
          <w:szCs w:val="16"/>
          <w:lang w:val="en-GB"/>
        </w:rPr>
        <w:t>Ustecky</w:t>
      </w:r>
      <w:proofErr w:type="spellEnd"/>
      <w:r>
        <w:rPr>
          <w:spacing w:val="-2"/>
          <w:sz w:val="16"/>
          <w:szCs w:val="16"/>
          <w:lang w:val="en-GB"/>
        </w:rPr>
        <w:t xml:space="preserve"> region, to </w:t>
      </w:r>
      <w:r w:rsidRPr="00B646BC">
        <w:rPr>
          <w:spacing w:val="-2"/>
          <w:sz w:val="16"/>
          <w:szCs w:val="16"/>
          <w:lang w:val="en-GB"/>
        </w:rPr>
        <w:t>6</w:t>
      </w:r>
      <w:r>
        <w:rPr>
          <w:spacing w:val="-2"/>
          <w:sz w:val="16"/>
          <w:szCs w:val="16"/>
          <w:lang w:val="en-GB"/>
        </w:rPr>
        <w:t>.</w:t>
      </w:r>
      <w:r w:rsidRPr="00B646BC">
        <w:rPr>
          <w:spacing w:val="-2"/>
          <w:sz w:val="16"/>
          <w:szCs w:val="16"/>
          <w:lang w:val="en-GB"/>
        </w:rPr>
        <w:t>7%</w:t>
      </w:r>
      <w:r>
        <w:rPr>
          <w:spacing w:val="-2"/>
          <w:sz w:val="16"/>
          <w:szCs w:val="16"/>
          <w:lang w:val="en-GB"/>
        </w:rPr>
        <w:t xml:space="preserve"> in Central Bohemia, </w:t>
      </w:r>
      <w:proofErr w:type="spellStart"/>
      <w:r>
        <w:rPr>
          <w:spacing w:val="-2"/>
          <w:sz w:val="16"/>
          <w:szCs w:val="16"/>
          <w:lang w:val="en-GB"/>
        </w:rPr>
        <w:t>Zlinsky</w:t>
      </w:r>
      <w:proofErr w:type="spellEnd"/>
      <w:r>
        <w:rPr>
          <w:spacing w:val="-2"/>
          <w:sz w:val="16"/>
          <w:szCs w:val="16"/>
          <w:lang w:val="en-GB"/>
        </w:rPr>
        <w:t xml:space="preserve"> region resp.</w:t>
      </w:r>
      <w:r w:rsidRPr="00B646BC">
        <w:rPr>
          <w:spacing w:val="-2"/>
          <w:sz w:val="16"/>
          <w:szCs w:val="16"/>
          <w:lang w:val="en-GB"/>
        </w:rPr>
        <w:t xml:space="preserve">). </w:t>
      </w:r>
      <w:r>
        <w:rPr>
          <w:spacing w:val="-2"/>
          <w:sz w:val="16"/>
          <w:szCs w:val="16"/>
          <w:lang w:val="en-GB"/>
        </w:rPr>
        <w:t xml:space="preserve">Wages grew by </w:t>
      </w:r>
      <w:r w:rsidRPr="00B646BC">
        <w:rPr>
          <w:spacing w:val="-2"/>
          <w:sz w:val="16"/>
          <w:szCs w:val="16"/>
          <w:lang w:val="en-GB"/>
        </w:rPr>
        <w:t>7</w:t>
      </w:r>
      <w:r>
        <w:rPr>
          <w:spacing w:val="-2"/>
          <w:sz w:val="16"/>
          <w:szCs w:val="16"/>
          <w:lang w:val="en-GB"/>
        </w:rPr>
        <w:t>.</w:t>
      </w:r>
      <w:r w:rsidRPr="00B646BC">
        <w:rPr>
          <w:spacing w:val="-2"/>
          <w:sz w:val="16"/>
          <w:szCs w:val="16"/>
          <w:lang w:val="en-GB"/>
        </w:rPr>
        <w:t>2%</w:t>
      </w:r>
      <w:r>
        <w:rPr>
          <w:spacing w:val="-2"/>
          <w:sz w:val="16"/>
          <w:szCs w:val="16"/>
          <w:lang w:val="en-GB"/>
        </w:rPr>
        <w:t xml:space="preserve"> in Prague</w:t>
      </w:r>
      <w:r w:rsidRPr="00B646BC">
        <w:rPr>
          <w:spacing w:val="-2"/>
          <w:sz w:val="16"/>
          <w:szCs w:val="16"/>
          <w:lang w:val="en-GB"/>
        </w:rPr>
        <w:t xml:space="preserve">, </w:t>
      </w:r>
      <w:r>
        <w:rPr>
          <w:spacing w:val="-2"/>
          <w:sz w:val="16"/>
          <w:szCs w:val="16"/>
          <w:lang w:val="en-GB"/>
        </w:rPr>
        <w:t xml:space="preserve">even though the wage growth in the metropolis stayed behind the republic wide pace in the period of pandemics as well as previous boom. </w:t>
      </w:r>
    </w:p>
  </w:footnote>
  <w:footnote w:id="21">
    <w:p w14:paraId="6CE5C169" w14:textId="61173AD7" w:rsidR="00E37C1C" w:rsidRPr="00B646BC" w:rsidRDefault="00E37C1C" w:rsidP="00B646BC">
      <w:pPr>
        <w:pStyle w:val="Textpoznpodarou"/>
        <w:jc w:val="both"/>
        <w:rPr>
          <w:sz w:val="16"/>
          <w:szCs w:val="16"/>
          <w:lang w:val="en-GB"/>
        </w:rPr>
      </w:pPr>
      <w:r w:rsidRPr="00B646BC">
        <w:rPr>
          <w:rStyle w:val="Znakapoznpodarou"/>
          <w:sz w:val="16"/>
          <w:szCs w:val="16"/>
          <w:lang w:val="en-GB"/>
        </w:rPr>
        <w:footnoteRef/>
      </w:r>
      <w:r w:rsidRPr="00B646BC">
        <w:rPr>
          <w:sz w:val="16"/>
          <w:szCs w:val="16"/>
          <w:lang w:val="en-GB"/>
        </w:rPr>
        <w:t xml:space="preserve"> </w:t>
      </w:r>
      <w:r>
        <w:rPr>
          <w:sz w:val="16"/>
          <w:szCs w:val="16"/>
          <w:lang w:val="en-GB"/>
        </w:rPr>
        <w:t xml:space="preserve">Without their influence the hypothetic wage growth was 8.5% in the economy for the last year. </w:t>
      </w:r>
    </w:p>
  </w:footnote>
  <w:footnote w:id="22">
    <w:p w14:paraId="031DC042" w14:textId="77777777" w:rsidR="00E37C1C" w:rsidRPr="00B839B1" w:rsidRDefault="00E37C1C" w:rsidP="003D13A6">
      <w:pPr>
        <w:pStyle w:val="Textpoznpodarou"/>
        <w:jc w:val="both"/>
        <w:rPr>
          <w:sz w:val="16"/>
          <w:szCs w:val="16"/>
          <w:lang w:val="en-GB"/>
        </w:rPr>
      </w:pPr>
      <w:r w:rsidRPr="00AC59F2">
        <w:rPr>
          <w:rStyle w:val="Znakapoznpodarou"/>
          <w:sz w:val="16"/>
          <w:szCs w:val="16"/>
        </w:rPr>
        <w:footnoteRef/>
      </w:r>
      <w:r w:rsidRPr="00AC59F2">
        <w:rPr>
          <w:sz w:val="16"/>
          <w:szCs w:val="16"/>
        </w:rPr>
        <w:t xml:space="preserve"> </w:t>
      </w:r>
      <w:r w:rsidRPr="00B839B1">
        <w:rPr>
          <w:sz w:val="16"/>
          <w:szCs w:val="16"/>
          <w:lang w:val="en-GB"/>
        </w:rPr>
        <w:t xml:space="preserve">It represents a preliminary estimate. </w:t>
      </w:r>
      <w:r>
        <w:rPr>
          <w:sz w:val="16"/>
          <w:szCs w:val="16"/>
          <w:lang w:val="en-GB"/>
        </w:rPr>
        <w:t xml:space="preserve">More detailed figures will be available in the publication Employee wage structure for year </w:t>
      </w:r>
      <w:r w:rsidRPr="00B839B1">
        <w:rPr>
          <w:sz w:val="16"/>
          <w:szCs w:val="16"/>
          <w:lang w:val="en-GB"/>
        </w:rPr>
        <w:t xml:space="preserve">2022, </w:t>
      </w:r>
      <w:r>
        <w:rPr>
          <w:sz w:val="16"/>
          <w:szCs w:val="16"/>
          <w:lang w:val="en-GB"/>
        </w:rPr>
        <w:t xml:space="preserve">which will be published </w:t>
      </w:r>
      <w:r w:rsidRPr="00B839B1">
        <w:rPr>
          <w:sz w:val="16"/>
          <w:szCs w:val="16"/>
          <w:lang w:val="en-GB"/>
        </w:rPr>
        <w:t>23</w:t>
      </w:r>
      <w:r w:rsidRPr="00B839B1">
        <w:rPr>
          <w:sz w:val="16"/>
          <w:szCs w:val="16"/>
          <w:vertAlign w:val="superscript"/>
          <w:lang w:val="en-GB"/>
        </w:rPr>
        <w:t>rd</w:t>
      </w:r>
      <w:r>
        <w:rPr>
          <w:sz w:val="16"/>
          <w:szCs w:val="16"/>
          <w:lang w:val="en-GB"/>
        </w:rPr>
        <w:t xml:space="preserve"> May this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A67" w14:textId="6899CCC7" w:rsidR="00E37C1C" w:rsidRPr="00262B30" w:rsidRDefault="00E37C1C" w:rsidP="00937AE2">
    <w:pPr>
      <w:pStyle w:val="Zhlav"/>
      <w:rPr>
        <w:lang w:val="en-GB"/>
      </w:rPr>
    </w:pPr>
    <w:r w:rsidRPr="00262B30">
      <w:rPr>
        <w:lang w:val="en-GB"/>
      </w:rPr>
      <w:t>The Czech Economy Development</w:t>
    </w:r>
  </w:p>
  <w:p w14:paraId="3E881AB3" w14:textId="77777777" w:rsidR="00E37C1C" w:rsidRPr="006F5416" w:rsidRDefault="00E37C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3DB" w14:textId="407F6A42" w:rsidR="00E37C1C" w:rsidRPr="00262B30" w:rsidRDefault="00E37C1C" w:rsidP="00937AE2">
    <w:pPr>
      <w:pStyle w:val="Zhlav"/>
      <w:rPr>
        <w:lang w:val="en-GB"/>
      </w:rPr>
    </w:pPr>
    <w:r w:rsidRPr="00262B30">
      <w:rPr>
        <w:lang w:val="en-GB"/>
      </w:rPr>
      <w:t>The Czech Economy Development</w:t>
    </w:r>
  </w:p>
  <w:p w14:paraId="57266714" w14:textId="77777777" w:rsidR="00E37C1C" w:rsidRPr="006F5416" w:rsidRDefault="00E37C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28220310">
    <w:abstractNumId w:val="25"/>
  </w:num>
  <w:num w:numId="2" w16cid:durableId="670375540">
    <w:abstractNumId w:val="8"/>
  </w:num>
  <w:num w:numId="3" w16cid:durableId="2098867897">
    <w:abstractNumId w:val="3"/>
  </w:num>
  <w:num w:numId="4" w16cid:durableId="549193360">
    <w:abstractNumId w:val="2"/>
  </w:num>
  <w:num w:numId="5" w16cid:durableId="52126910">
    <w:abstractNumId w:val="1"/>
  </w:num>
  <w:num w:numId="6" w16cid:durableId="775442807">
    <w:abstractNumId w:val="0"/>
  </w:num>
  <w:num w:numId="7" w16cid:durableId="1384719231">
    <w:abstractNumId w:val="9"/>
  </w:num>
  <w:num w:numId="8" w16cid:durableId="697119485">
    <w:abstractNumId w:val="7"/>
  </w:num>
  <w:num w:numId="9" w16cid:durableId="1001153288">
    <w:abstractNumId w:val="6"/>
  </w:num>
  <w:num w:numId="10" w16cid:durableId="1909488694">
    <w:abstractNumId w:val="5"/>
  </w:num>
  <w:num w:numId="11" w16cid:durableId="281041759">
    <w:abstractNumId w:val="4"/>
  </w:num>
  <w:num w:numId="12" w16cid:durableId="1726367254">
    <w:abstractNumId w:val="15"/>
  </w:num>
  <w:num w:numId="13" w16cid:durableId="2116559951">
    <w:abstractNumId w:val="27"/>
  </w:num>
  <w:num w:numId="14" w16cid:durableId="1395474044">
    <w:abstractNumId w:val="14"/>
  </w:num>
  <w:num w:numId="15" w16cid:durableId="493961053">
    <w:abstractNumId w:val="20"/>
  </w:num>
  <w:num w:numId="16" w16cid:durableId="1286352367">
    <w:abstractNumId w:val="16"/>
  </w:num>
  <w:num w:numId="17" w16cid:durableId="2053066444">
    <w:abstractNumId w:val="28"/>
  </w:num>
  <w:num w:numId="18" w16cid:durableId="112795144">
    <w:abstractNumId w:val="21"/>
  </w:num>
  <w:num w:numId="19" w16cid:durableId="1327130238">
    <w:abstractNumId w:val="29"/>
  </w:num>
  <w:num w:numId="20" w16cid:durableId="452403738">
    <w:abstractNumId w:val="30"/>
  </w:num>
  <w:num w:numId="21" w16cid:durableId="732393256">
    <w:abstractNumId w:val="26"/>
  </w:num>
  <w:num w:numId="22" w16cid:durableId="921135234">
    <w:abstractNumId w:val="19"/>
  </w:num>
  <w:num w:numId="23" w16cid:durableId="1274216490">
    <w:abstractNumId w:val="17"/>
  </w:num>
  <w:num w:numId="24" w16cid:durableId="2004888184">
    <w:abstractNumId w:val="18"/>
  </w:num>
  <w:num w:numId="25" w16cid:durableId="390660536">
    <w:abstractNumId w:val="13"/>
  </w:num>
  <w:num w:numId="26" w16cid:durableId="914241952">
    <w:abstractNumId w:val="23"/>
  </w:num>
  <w:num w:numId="27" w16cid:durableId="1594585796">
    <w:abstractNumId w:val="22"/>
  </w:num>
  <w:num w:numId="28" w16cid:durableId="1499076826">
    <w:abstractNumId w:val="10"/>
  </w:num>
  <w:num w:numId="29" w16cid:durableId="30349636">
    <w:abstractNumId w:val="30"/>
  </w:num>
  <w:num w:numId="30" w16cid:durableId="1851409715">
    <w:abstractNumId w:val="24"/>
  </w:num>
  <w:num w:numId="31" w16cid:durableId="1620143949">
    <w:abstractNumId w:val="12"/>
  </w:num>
  <w:num w:numId="32" w16cid:durableId="1643804339">
    <w:abstractNumId w:val="31"/>
  </w:num>
  <w:num w:numId="33" w16cid:durableId="1401948313">
    <w:abstractNumId w:val="30"/>
  </w:num>
  <w:num w:numId="34" w16cid:durableId="11355621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994"/>
    <w:rsid w:val="00000B55"/>
    <w:rsid w:val="00001065"/>
    <w:rsid w:val="0000209D"/>
    <w:rsid w:val="000021B8"/>
    <w:rsid w:val="00002566"/>
    <w:rsid w:val="0000370A"/>
    <w:rsid w:val="00003849"/>
    <w:rsid w:val="00003F5C"/>
    <w:rsid w:val="000044CE"/>
    <w:rsid w:val="00004D5A"/>
    <w:rsid w:val="00005219"/>
    <w:rsid w:val="000056D5"/>
    <w:rsid w:val="00005D9E"/>
    <w:rsid w:val="000063D5"/>
    <w:rsid w:val="00006625"/>
    <w:rsid w:val="00006ABD"/>
    <w:rsid w:val="00006B67"/>
    <w:rsid w:val="00006C0B"/>
    <w:rsid w:val="00006D54"/>
    <w:rsid w:val="00006DE8"/>
    <w:rsid w:val="000073A0"/>
    <w:rsid w:val="0000767A"/>
    <w:rsid w:val="00007ABE"/>
    <w:rsid w:val="00010256"/>
    <w:rsid w:val="000103BB"/>
    <w:rsid w:val="00010702"/>
    <w:rsid w:val="00010A2C"/>
    <w:rsid w:val="0001128E"/>
    <w:rsid w:val="00011912"/>
    <w:rsid w:val="00011D8A"/>
    <w:rsid w:val="00011FC2"/>
    <w:rsid w:val="000129B7"/>
    <w:rsid w:val="00012C8A"/>
    <w:rsid w:val="0001387D"/>
    <w:rsid w:val="00014ED0"/>
    <w:rsid w:val="00016420"/>
    <w:rsid w:val="00016BDB"/>
    <w:rsid w:val="00017B01"/>
    <w:rsid w:val="000200BE"/>
    <w:rsid w:val="000200D8"/>
    <w:rsid w:val="000205D1"/>
    <w:rsid w:val="00020F22"/>
    <w:rsid w:val="00021623"/>
    <w:rsid w:val="0002195D"/>
    <w:rsid w:val="00021F9B"/>
    <w:rsid w:val="000228AE"/>
    <w:rsid w:val="000233D1"/>
    <w:rsid w:val="000234D6"/>
    <w:rsid w:val="00023D29"/>
    <w:rsid w:val="00024348"/>
    <w:rsid w:val="00024DC3"/>
    <w:rsid w:val="00025428"/>
    <w:rsid w:val="00026109"/>
    <w:rsid w:val="0002622B"/>
    <w:rsid w:val="00026389"/>
    <w:rsid w:val="00026608"/>
    <w:rsid w:val="0002669F"/>
    <w:rsid w:val="000279E5"/>
    <w:rsid w:val="000305E0"/>
    <w:rsid w:val="0003092C"/>
    <w:rsid w:val="00030B13"/>
    <w:rsid w:val="00031AE0"/>
    <w:rsid w:val="00031BB2"/>
    <w:rsid w:val="00031EAB"/>
    <w:rsid w:val="000322EF"/>
    <w:rsid w:val="000330D2"/>
    <w:rsid w:val="00033FCD"/>
    <w:rsid w:val="000348AF"/>
    <w:rsid w:val="00034B70"/>
    <w:rsid w:val="00034DF7"/>
    <w:rsid w:val="00034E68"/>
    <w:rsid w:val="000350C8"/>
    <w:rsid w:val="000351A6"/>
    <w:rsid w:val="00036195"/>
    <w:rsid w:val="000374B2"/>
    <w:rsid w:val="000376C0"/>
    <w:rsid w:val="0003779B"/>
    <w:rsid w:val="00040088"/>
    <w:rsid w:val="000403A7"/>
    <w:rsid w:val="00040632"/>
    <w:rsid w:val="0004096E"/>
    <w:rsid w:val="000411B1"/>
    <w:rsid w:val="00041266"/>
    <w:rsid w:val="00041AFC"/>
    <w:rsid w:val="00041CEC"/>
    <w:rsid w:val="00041D02"/>
    <w:rsid w:val="00041DC8"/>
    <w:rsid w:val="00042596"/>
    <w:rsid w:val="00042A4A"/>
    <w:rsid w:val="00042C5F"/>
    <w:rsid w:val="00044183"/>
    <w:rsid w:val="0004431D"/>
    <w:rsid w:val="00044AAC"/>
    <w:rsid w:val="000456B6"/>
    <w:rsid w:val="00045C4E"/>
    <w:rsid w:val="0004694F"/>
    <w:rsid w:val="00046F2F"/>
    <w:rsid w:val="00047AD4"/>
    <w:rsid w:val="00047D54"/>
    <w:rsid w:val="00050541"/>
    <w:rsid w:val="0005054A"/>
    <w:rsid w:val="00050A87"/>
    <w:rsid w:val="00051506"/>
    <w:rsid w:val="00051AAB"/>
    <w:rsid w:val="00051ADB"/>
    <w:rsid w:val="00051F88"/>
    <w:rsid w:val="000522E4"/>
    <w:rsid w:val="000525C4"/>
    <w:rsid w:val="00053713"/>
    <w:rsid w:val="000541F4"/>
    <w:rsid w:val="0005434E"/>
    <w:rsid w:val="00054477"/>
    <w:rsid w:val="00054B9B"/>
    <w:rsid w:val="0005576C"/>
    <w:rsid w:val="00055CB6"/>
    <w:rsid w:val="00055F11"/>
    <w:rsid w:val="000572DD"/>
    <w:rsid w:val="00057B1E"/>
    <w:rsid w:val="0006033F"/>
    <w:rsid w:val="000607D9"/>
    <w:rsid w:val="000610E1"/>
    <w:rsid w:val="000616AD"/>
    <w:rsid w:val="000622A6"/>
    <w:rsid w:val="000623C5"/>
    <w:rsid w:val="00062D6D"/>
    <w:rsid w:val="00062D70"/>
    <w:rsid w:val="00062EC5"/>
    <w:rsid w:val="00062F22"/>
    <w:rsid w:val="00063975"/>
    <w:rsid w:val="00063CEA"/>
    <w:rsid w:val="0006444D"/>
    <w:rsid w:val="000645FC"/>
    <w:rsid w:val="00065252"/>
    <w:rsid w:val="00065296"/>
    <w:rsid w:val="0006533F"/>
    <w:rsid w:val="00065348"/>
    <w:rsid w:val="0006551C"/>
    <w:rsid w:val="0006558D"/>
    <w:rsid w:val="00065A75"/>
    <w:rsid w:val="00065F67"/>
    <w:rsid w:val="000663F0"/>
    <w:rsid w:val="00066558"/>
    <w:rsid w:val="000671DB"/>
    <w:rsid w:val="00067737"/>
    <w:rsid w:val="00067982"/>
    <w:rsid w:val="00070A87"/>
    <w:rsid w:val="000712B3"/>
    <w:rsid w:val="00071A7C"/>
    <w:rsid w:val="00071E38"/>
    <w:rsid w:val="00071FF1"/>
    <w:rsid w:val="00072FF5"/>
    <w:rsid w:val="000735EF"/>
    <w:rsid w:val="00073A5A"/>
    <w:rsid w:val="0007474E"/>
    <w:rsid w:val="00074959"/>
    <w:rsid w:val="00074988"/>
    <w:rsid w:val="0007512B"/>
    <w:rsid w:val="00075551"/>
    <w:rsid w:val="0007621D"/>
    <w:rsid w:val="000767F5"/>
    <w:rsid w:val="00076D90"/>
    <w:rsid w:val="00077A49"/>
    <w:rsid w:val="00077FF0"/>
    <w:rsid w:val="00081542"/>
    <w:rsid w:val="00081A55"/>
    <w:rsid w:val="0008263E"/>
    <w:rsid w:val="00082C19"/>
    <w:rsid w:val="00082F89"/>
    <w:rsid w:val="00083457"/>
    <w:rsid w:val="000834ED"/>
    <w:rsid w:val="000837CD"/>
    <w:rsid w:val="00083B7F"/>
    <w:rsid w:val="00084BFF"/>
    <w:rsid w:val="00085395"/>
    <w:rsid w:val="00086433"/>
    <w:rsid w:val="00086896"/>
    <w:rsid w:val="00086AC1"/>
    <w:rsid w:val="00086D19"/>
    <w:rsid w:val="00087634"/>
    <w:rsid w:val="00087F2B"/>
    <w:rsid w:val="00090694"/>
    <w:rsid w:val="000909D5"/>
    <w:rsid w:val="00090EE2"/>
    <w:rsid w:val="00090FA5"/>
    <w:rsid w:val="00090FC6"/>
    <w:rsid w:val="0009122C"/>
    <w:rsid w:val="000913B1"/>
    <w:rsid w:val="000921AD"/>
    <w:rsid w:val="0009290F"/>
    <w:rsid w:val="00092977"/>
    <w:rsid w:val="00092BF8"/>
    <w:rsid w:val="00093241"/>
    <w:rsid w:val="00093868"/>
    <w:rsid w:val="000942BF"/>
    <w:rsid w:val="00094A84"/>
    <w:rsid w:val="00095025"/>
    <w:rsid w:val="00095135"/>
    <w:rsid w:val="00095191"/>
    <w:rsid w:val="0009626E"/>
    <w:rsid w:val="00096385"/>
    <w:rsid w:val="0009644D"/>
    <w:rsid w:val="00096AB8"/>
    <w:rsid w:val="00097191"/>
    <w:rsid w:val="000974D1"/>
    <w:rsid w:val="00097784"/>
    <w:rsid w:val="0009799E"/>
    <w:rsid w:val="000A07CB"/>
    <w:rsid w:val="000A0BC0"/>
    <w:rsid w:val="000A1183"/>
    <w:rsid w:val="000A12ED"/>
    <w:rsid w:val="000A185C"/>
    <w:rsid w:val="000A1D49"/>
    <w:rsid w:val="000A212B"/>
    <w:rsid w:val="000A242D"/>
    <w:rsid w:val="000A256D"/>
    <w:rsid w:val="000A2643"/>
    <w:rsid w:val="000A2E5F"/>
    <w:rsid w:val="000A385C"/>
    <w:rsid w:val="000A3A2C"/>
    <w:rsid w:val="000A3D9E"/>
    <w:rsid w:val="000A4A54"/>
    <w:rsid w:val="000A4ED9"/>
    <w:rsid w:val="000A4F07"/>
    <w:rsid w:val="000A580E"/>
    <w:rsid w:val="000A5C55"/>
    <w:rsid w:val="000A5DB7"/>
    <w:rsid w:val="000A65D5"/>
    <w:rsid w:val="000A6753"/>
    <w:rsid w:val="000A6D94"/>
    <w:rsid w:val="000A7377"/>
    <w:rsid w:val="000A74A4"/>
    <w:rsid w:val="000A775A"/>
    <w:rsid w:val="000A7D63"/>
    <w:rsid w:val="000A7FF4"/>
    <w:rsid w:val="000B03CC"/>
    <w:rsid w:val="000B0F52"/>
    <w:rsid w:val="000B31E1"/>
    <w:rsid w:val="000B3F7F"/>
    <w:rsid w:val="000B4212"/>
    <w:rsid w:val="000B556B"/>
    <w:rsid w:val="000B614F"/>
    <w:rsid w:val="000B6269"/>
    <w:rsid w:val="000B67B7"/>
    <w:rsid w:val="000B6A0A"/>
    <w:rsid w:val="000B79AB"/>
    <w:rsid w:val="000C0127"/>
    <w:rsid w:val="000C08B0"/>
    <w:rsid w:val="000C0CA6"/>
    <w:rsid w:val="000C0EA8"/>
    <w:rsid w:val="000C13A2"/>
    <w:rsid w:val="000C21E7"/>
    <w:rsid w:val="000C23EC"/>
    <w:rsid w:val="000C26A2"/>
    <w:rsid w:val="000C290E"/>
    <w:rsid w:val="000C30C3"/>
    <w:rsid w:val="000C3408"/>
    <w:rsid w:val="000C35AB"/>
    <w:rsid w:val="000C3F7B"/>
    <w:rsid w:val="000C4769"/>
    <w:rsid w:val="000C4D56"/>
    <w:rsid w:val="000C5744"/>
    <w:rsid w:val="000C5DFA"/>
    <w:rsid w:val="000C6AFD"/>
    <w:rsid w:val="000C6C90"/>
    <w:rsid w:val="000C6DCD"/>
    <w:rsid w:val="000C72B7"/>
    <w:rsid w:val="000C7A79"/>
    <w:rsid w:val="000C7B81"/>
    <w:rsid w:val="000D0A26"/>
    <w:rsid w:val="000D13CB"/>
    <w:rsid w:val="000D1585"/>
    <w:rsid w:val="000D2196"/>
    <w:rsid w:val="000D2C2E"/>
    <w:rsid w:val="000D3058"/>
    <w:rsid w:val="000D310A"/>
    <w:rsid w:val="000D3EF4"/>
    <w:rsid w:val="000D4632"/>
    <w:rsid w:val="000D4761"/>
    <w:rsid w:val="000D4DC0"/>
    <w:rsid w:val="000D55BA"/>
    <w:rsid w:val="000D5637"/>
    <w:rsid w:val="000D571F"/>
    <w:rsid w:val="000D5A03"/>
    <w:rsid w:val="000D5ED3"/>
    <w:rsid w:val="000D6209"/>
    <w:rsid w:val="000D6F4E"/>
    <w:rsid w:val="000D6FDA"/>
    <w:rsid w:val="000D726A"/>
    <w:rsid w:val="000D73BB"/>
    <w:rsid w:val="000D75CA"/>
    <w:rsid w:val="000D7AC7"/>
    <w:rsid w:val="000E006A"/>
    <w:rsid w:val="000E0D57"/>
    <w:rsid w:val="000E0E96"/>
    <w:rsid w:val="000E298B"/>
    <w:rsid w:val="000E2C7D"/>
    <w:rsid w:val="000E3E56"/>
    <w:rsid w:val="000E440D"/>
    <w:rsid w:val="000E4AC5"/>
    <w:rsid w:val="000E6253"/>
    <w:rsid w:val="000E6AC4"/>
    <w:rsid w:val="000E6BAA"/>
    <w:rsid w:val="000E6E4D"/>
    <w:rsid w:val="000E6FBD"/>
    <w:rsid w:val="000E6FCB"/>
    <w:rsid w:val="000E755A"/>
    <w:rsid w:val="000E767B"/>
    <w:rsid w:val="000F07C9"/>
    <w:rsid w:val="000F090B"/>
    <w:rsid w:val="000F0B07"/>
    <w:rsid w:val="000F0E3A"/>
    <w:rsid w:val="000F1242"/>
    <w:rsid w:val="000F15F7"/>
    <w:rsid w:val="000F1AA2"/>
    <w:rsid w:val="000F2411"/>
    <w:rsid w:val="000F34A8"/>
    <w:rsid w:val="000F378E"/>
    <w:rsid w:val="000F3B45"/>
    <w:rsid w:val="000F3F3B"/>
    <w:rsid w:val="000F4721"/>
    <w:rsid w:val="000F47E8"/>
    <w:rsid w:val="000F53AE"/>
    <w:rsid w:val="000F61AF"/>
    <w:rsid w:val="000F6B1B"/>
    <w:rsid w:val="000F70E4"/>
    <w:rsid w:val="000F76EA"/>
    <w:rsid w:val="00100A8B"/>
    <w:rsid w:val="00100F5C"/>
    <w:rsid w:val="00101B15"/>
    <w:rsid w:val="00101CDA"/>
    <w:rsid w:val="00102037"/>
    <w:rsid w:val="001034A0"/>
    <w:rsid w:val="00103DCB"/>
    <w:rsid w:val="00104022"/>
    <w:rsid w:val="00104C4C"/>
    <w:rsid w:val="00105015"/>
    <w:rsid w:val="001055D2"/>
    <w:rsid w:val="00105651"/>
    <w:rsid w:val="001057C2"/>
    <w:rsid w:val="00107124"/>
    <w:rsid w:val="0010748A"/>
    <w:rsid w:val="00107C3A"/>
    <w:rsid w:val="0011038E"/>
    <w:rsid w:val="001112F1"/>
    <w:rsid w:val="00111573"/>
    <w:rsid w:val="00112370"/>
    <w:rsid w:val="0011239B"/>
    <w:rsid w:val="001125EF"/>
    <w:rsid w:val="00112CAB"/>
    <w:rsid w:val="001140D5"/>
    <w:rsid w:val="0011440C"/>
    <w:rsid w:val="0011492C"/>
    <w:rsid w:val="00114A46"/>
    <w:rsid w:val="00114C33"/>
    <w:rsid w:val="001152E2"/>
    <w:rsid w:val="00115B00"/>
    <w:rsid w:val="00115BC8"/>
    <w:rsid w:val="00115DA9"/>
    <w:rsid w:val="00116D3F"/>
    <w:rsid w:val="00117167"/>
    <w:rsid w:val="00117474"/>
    <w:rsid w:val="00117623"/>
    <w:rsid w:val="00117FEA"/>
    <w:rsid w:val="001200CF"/>
    <w:rsid w:val="001208E3"/>
    <w:rsid w:val="00120D41"/>
    <w:rsid w:val="00121609"/>
    <w:rsid w:val="00121854"/>
    <w:rsid w:val="0012192F"/>
    <w:rsid w:val="001221B9"/>
    <w:rsid w:val="00122994"/>
    <w:rsid w:val="00123204"/>
    <w:rsid w:val="00124B46"/>
    <w:rsid w:val="001257BE"/>
    <w:rsid w:val="001257E0"/>
    <w:rsid w:val="00125D17"/>
    <w:rsid w:val="00125D69"/>
    <w:rsid w:val="0012799C"/>
    <w:rsid w:val="00127BC2"/>
    <w:rsid w:val="00127E15"/>
    <w:rsid w:val="001308F1"/>
    <w:rsid w:val="00130922"/>
    <w:rsid w:val="0013093B"/>
    <w:rsid w:val="00130ADC"/>
    <w:rsid w:val="00130D9F"/>
    <w:rsid w:val="00131DD8"/>
    <w:rsid w:val="001321AA"/>
    <w:rsid w:val="00132C4D"/>
    <w:rsid w:val="00133D3D"/>
    <w:rsid w:val="00133FC1"/>
    <w:rsid w:val="0013440F"/>
    <w:rsid w:val="00134659"/>
    <w:rsid w:val="00134E02"/>
    <w:rsid w:val="00135111"/>
    <w:rsid w:val="0013553B"/>
    <w:rsid w:val="00136A6F"/>
    <w:rsid w:val="00136C1A"/>
    <w:rsid w:val="00136FC1"/>
    <w:rsid w:val="00137804"/>
    <w:rsid w:val="00137812"/>
    <w:rsid w:val="001405FA"/>
    <w:rsid w:val="00140D1A"/>
    <w:rsid w:val="00141184"/>
    <w:rsid w:val="00141315"/>
    <w:rsid w:val="001415CC"/>
    <w:rsid w:val="00141AA0"/>
    <w:rsid w:val="001425C3"/>
    <w:rsid w:val="0014262D"/>
    <w:rsid w:val="00142B29"/>
    <w:rsid w:val="00142FA8"/>
    <w:rsid w:val="00144108"/>
    <w:rsid w:val="00144375"/>
    <w:rsid w:val="00144588"/>
    <w:rsid w:val="001447DD"/>
    <w:rsid w:val="00144C0B"/>
    <w:rsid w:val="00145358"/>
    <w:rsid w:val="001459BC"/>
    <w:rsid w:val="00147329"/>
    <w:rsid w:val="0014779E"/>
    <w:rsid w:val="00150ECA"/>
    <w:rsid w:val="0015108F"/>
    <w:rsid w:val="001516B9"/>
    <w:rsid w:val="00151707"/>
    <w:rsid w:val="001520D7"/>
    <w:rsid w:val="00152A72"/>
    <w:rsid w:val="00152C86"/>
    <w:rsid w:val="00152F4F"/>
    <w:rsid w:val="00153264"/>
    <w:rsid w:val="0015329F"/>
    <w:rsid w:val="00153DD3"/>
    <w:rsid w:val="001544A1"/>
    <w:rsid w:val="001553B8"/>
    <w:rsid w:val="001554C2"/>
    <w:rsid w:val="00156013"/>
    <w:rsid w:val="00156D04"/>
    <w:rsid w:val="00157077"/>
    <w:rsid w:val="001571C0"/>
    <w:rsid w:val="001574FE"/>
    <w:rsid w:val="0015753D"/>
    <w:rsid w:val="00157984"/>
    <w:rsid w:val="00157CC9"/>
    <w:rsid w:val="00160385"/>
    <w:rsid w:val="00160A1E"/>
    <w:rsid w:val="00160C21"/>
    <w:rsid w:val="001612F4"/>
    <w:rsid w:val="00161553"/>
    <w:rsid w:val="0016216F"/>
    <w:rsid w:val="0016256B"/>
    <w:rsid w:val="00162AC0"/>
    <w:rsid w:val="00162F81"/>
    <w:rsid w:val="00163793"/>
    <w:rsid w:val="00163868"/>
    <w:rsid w:val="00163885"/>
    <w:rsid w:val="00164CA1"/>
    <w:rsid w:val="001651BF"/>
    <w:rsid w:val="00165310"/>
    <w:rsid w:val="00165313"/>
    <w:rsid w:val="001655FA"/>
    <w:rsid w:val="001659C3"/>
    <w:rsid w:val="00166064"/>
    <w:rsid w:val="001665AB"/>
    <w:rsid w:val="00167485"/>
    <w:rsid w:val="001679F5"/>
    <w:rsid w:val="00167B92"/>
    <w:rsid w:val="00167CB9"/>
    <w:rsid w:val="00167DD8"/>
    <w:rsid w:val="001705AD"/>
    <w:rsid w:val="001706D6"/>
    <w:rsid w:val="00170C58"/>
    <w:rsid w:val="001714F2"/>
    <w:rsid w:val="00171F93"/>
    <w:rsid w:val="00171FEA"/>
    <w:rsid w:val="00173622"/>
    <w:rsid w:val="00175219"/>
    <w:rsid w:val="001759DE"/>
    <w:rsid w:val="00175B9F"/>
    <w:rsid w:val="001762F4"/>
    <w:rsid w:val="001777BA"/>
    <w:rsid w:val="00181029"/>
    <w:rsid w:val="00181788"/>
    <w:rsid w:val="001817E8"/>
    <w:rsid w:val="00181BBC"/>
    <w:rsid w:val="00183454"/>
    <w:rsid w:val="0018385F"/>
    <w:rsid w:val="00183BCF"/>
    <w:rsid w:val="00184017"/>
    <w:rsid w:val="001847BB"/>
    <w:rsid w:val="00184B08"/>
    <w:rsid w:val="00185010"/>
    <w:rsid w:val="001854F2"/>
    <w:rsid w:val="00185C22"/>
    <w:rsid w:val="00185FA4"/>
    <w:rsid w:val="00186538"/>
    <w:rsid w:val="00186BA9"/>
    <w:rsid w:val="00187090"/>
    <w:rsid w:val="00187D50"/>
    <w:rsid w:val="00190759"/>
    <w:rsid w:val="00190B4D"/>
    <w:rsid w:val="00190B9B"/>
    <w:rsid w:val="00190F6C"/>
    <w:rsid w:val="0019196C"/>
    <w:rsid w:val="001926A9"/>
    <w:rsid w:val="00192F05"/>
    <w:rsid w:val="001930BB"/>
    <w:rsid w:val="001937F8"/>
    <w:rsid w:val="00194729"/>
    <w:rsid w:val="00194818"/>
    <w:rsid w:val="00194850"/>
    <w:rsid w:val="00195234"/>
    <w:rsid w:val="00195EA6"/>
    <w:rsid w:val="00196016"/>
    <w:rsid w:val="00196117"/>
    <w:rsid w:val="00197557"/>
    <w:rsid w:val="00197A70"/>
    <w:rsid w:val="00197C0F"/>
    <w:rsid w:val="00197C16"/>
    <w:rsid w:val="00197D0E"/>
    <w:rsid w:val="001A0360"/>
    <w:rsid w:val="001A0487"/>
    <w:rsid w:val="001A0675"/>
    <w:rsid w:val="001A0A37"/>
    <w:rsid w:val="001A1F68"/>
    <w:rsid w:val="001A21FA"/>
    <w:rsid w:val="001A3044"/>
    <w:rsid w:val="001A3254"/>
    <w:rsid w:val="001A4393"/>
    <w:rsid w:val="001A4D08"/>
    <w:rsid w:val="001A4D7C"/>
    <w:rsid w:val="001A4ECD"/>
    <w:rsid w:val="001A4EF0"/>
    <w:rsid w:val="001A540E"/>
    <w:rsid w:val="001A552F"/>
    <w:rsid w:val="001A593A"/>
    <w:rsid w:val="001A5DD6"/>
    <w:rsid w:val="001A62F9"/>
    <w:rsid w:val="001A6CDD"/>
    <w:rsid w:val="001A70B1"/>
    <w:rsid w:val="001A7564"/>
    <w:rsid w:val="001A75E0"/>
    <w:rsid w:val="001A7672"/>
    <w:rsid w:val="001A77E1"/>
    <w:rsid w:val="001A7959"/>
    <w:rsid w:val="001B0738"/>
    <w:rsid w:val="001B10F0"/>
    <w:rsid w:val="001B1235"/>
    <w:rsid w:val="001B158D"/>
    <w:rsid w:val="001B1ADB"/>
    <w:rsid w:val="001B1BBB"/>
    <w:rsid w:val="001B2CA9"/>
    <w:rsid w:val="001B3110"/>
    <w:rsid w:val="001B3E38"/>
    <w:rsid w:val="001B40F5"/>
    <w:rsid w:val="001B4729"/>
    <w:rsid w:val="001B4AAC"/>
    <w:rsid w:val="001B4B62"/>
    <w:rsid w:val="001B4F0E"/>
    <w:rsid w:val="001B5F40"/>
    <w:rsid w:val="001B6310"/>
    <w:rsid w:val="001B6C09"/>
    <w:rsid w:val="001B6E12"/>
    <w:rsid w:val="001B75F7"/>
    <w:rsid w:val="001C05CD"/>
    <w:rsid w:val="001C082B"/>
    <w:rsid w:val="001C0F17"/>
    <w:rsid w:val="001C11A6"/>
    <w:rsid w:val="001C1B24"/>
    <w:rsid w:val="001C1B66"/>
    <w:rsid w:val="001C1BB5"/>
    <w:rsid w:val="001C2439"/>
    <w:rsid w:val="001C2732"/>
    <w:rsid w:val="001C2DF5"/>
    <w:rsid w:val="001C2F97"/>
    <w:rsid w:val="001C31A2"/>
    <w:rsid w:val="001C351D"/>
    <w:rsid w:val="001C3794"/>
    <w:rsid w:val="001C3855"/>
    <w:rsid w:val="001C4B8F"/>
    <w:rsid w:val="001C4BB8"/>
    <w:rsid w:val="001C4D8C"/>
    <w:rsid w:val="001C4FD0"/>
    <w:rsid w:val="001C544D"/>
    <w:rsid w:val="001C5E46"/>
    <w:rsid w:val="001C6B3B"/>
    <w:rsid w:val="001C74CD"/>
    <w:rsid w:val="001C7A26"/>
    <w:rsid w:val="001C7E3F"/>
    <w:rsid w:val="001D0EF1"/>
    <w:rsid w:val="001D1A44"/>
    <w:rsid w:val="001D22C2"/>
    <w:rsid w:val="001D2C99"/>
    <w:rsid w:val="001D2D3C"/>
    <w:rsid w:val="001D3652"/>
    <w:rsid w:val="001D3B58"/>
    <w:rsid w:val="001D3B75"/>
    <w:rsid w:val="001D452E"/>
    <w:rsid w:val="001D54C1"/>
    <w:rsid w:val="001D556E"/>
    <w:rsid w:val="001D55CF"/>
    <w:rsid w:val="001D57D2"/>
    <w:rsid w:val="001D5DF2"/>
    <w:rsid w:val="001D6175"/>
    <w:rsid w:val="001D68B2"/>
    <w:rsid w:val="001D6FA8"/>
    <w:rsid w:val="001D6FEE"/>
    <w:rsid w:val="001D7EFD"/>
    <w:rsid w:val="001D7F60"/>
    <w:rsid w:val="001E085B"/>
    <w:rsid w:val="001E149B"/>
    <w:rsid w:val="001E15CB"/>
    <w:rsid w:val="001E18C4"/>
    <w:rsid w:val="001E26FC"/>
    <w:rsid w:val="001E3306"/>
    <w:rsid w:val="001E5028"/>
    <w:rsid w:val="001E504C"/>
    <w:rsid w:val="001E5111"/>
    <w:rsid w:val="001E53BB"/>
    <w:rsid w:val="001E56AC"/>
    <w:rsid w:val="001E5A17"/>
    <w:rsid w:val="001E5F93"/>
    <w:rsid w:val="001E6DD9"/>
    <w:rsid w:val="001E74C5"/>
    <w:rsid w:val="001E74E8"/>
    <w:rsid w:val="001F007D"/>
    <w:rsid w:val="001F0A74"/>
    <w:rsid w:val="001F1236"/>
    <w:rsid w:val="001F13AF"/>
    <w:rsid w:val="001F1B91"/>
    <w:rsid w:val="001F2F90"/>
    <w:rsid w:val="001F4597"/>
    <w:rsid w:val="001F4826"/>
    <w:rsid w:val="001F4933"/>
    <w:rsid w:val="001F4A57"/>
    <w:rsid w:val="001F59C8"/>
    <w:rsid w:val="001F6483"/>
    <w:rsid w:val="001F6843"/>
    <w:rsid w:val="001F6CD3"/>
    <w:rsid w:val="001F75DA"/>
    <w:rsid w:val="001F78A8"/>
    <w:rsid w:val="001F7931"/>
    <w:rsid w:val="001F7CE0"/>
    <w:rsid w:val="00200085"/>
    <w:rsid w:val="00201633"/>
    <w:rsid w:val="002024FA"/>
    <w:rsid w:val="00203332"/>
    <w:rsid w:val="002036E6"/>
    <w:rsid w:val="00203CD5"/>
    <w:rsid w:val="00203D8F"/>
    <w:rsid w:val="00203DA4"/>
    <w:rsid w:val="0020473C"/>
    <w:rsid w:val="00204A71"/>
    <w:rsid w:val="00204EA6"/>
    <w:rsid w:val="00205186"/>
    <w:rsid w:val="00205EB7"/>
    <w:rsid w:val="00206516"/>
    <w:rsid w:val="002070CF"/>
    <w:rsid w:val="002071D5"/>
    <w:rsid w:val="002073FD"/>
    <w:rsid w:val="00207470"/>
    <w:rsid w:val="002108C8"/>
    <w:rsid w:val="002111E5"/>
    <w:rsid w:val="002112EB"/>
    <w:rsid w:val="0021149E"/>
    <w:rsid w:val="002118B9"/>
    <w:rsid w:val="002122EA"/>
    <w:rsid w:val="00213691"/>
    <w:rsid w:val="00213EF5"/>
    <w:rsid w:val="002142C0"/>
    <w:rsid w:val="00217BED"/>
    <w:rsid w:val="00217C5B"/>
    <w:rsid w:val="00217F53"/>
    <w:rsid w:val="00220A43"/>
    <w:rsid w:val="0022139E"/>
    <w:rsid w:val="00222729"/>
    <w:rsid w:val="0022287B"/>
    <w:rsid w:val="002228DB"/>
    <w:rsid w:val="002229FF"/>
    <w:rsid w:val="002230FC"/>
    <w:rsid w:val="00223185"/>
    <w:rsid w:val="00223264"/>
    <w:rsid w:val="002233D6"/>
    <w:rsid w:val="0022441D"/>
    <w:rsid w:val="00224574"/>
    <w:rsid w:val="00224CB7"/>
    <w:rsid w:val="00224E3F"/>
    <w:rsid w:val="00225000"/>
    <w:rsid w:val="002252E0"/>
    <w:rsid w:val="002255F6"/>
    <w:rsid w:val="00226032"/>
    <w:rsid w:val="0022639E"/>
    <w:rsid w:val="00226D31"/>
    <w:rsid w:val="0022738D"/>
    <w:rsid w:val="00227605"/>
    <w:rsid w:val="00227850"/>
    <w:rsid w:val="00227969"/>
    <w:rsid w:val="00227A53"/>
    <w:rsid w:val="00227C6C"/>
    <w:rsid w:val="00227E2E"/>
    <w:rsid w:val="00227F53"/>
    <w:rsid w:val="00230089"/>
    <w:rsid w:val="00230C36"/>
    <w:rsid w:val="00230C6E"/>
    <w:rsid w:val="00230E21"/>
    <w:rsid w:val="00231066"/>
    <w:rsid w:val="002316A8"/>
    <w:rsid w:val="00231859"/>
    <w:rsid w:val="00231E31"/>
    <w:rsid w:val="002320C9"/>
    <w:rsid w:val="0023288F"/>
    <w:rsid w:val="0023359B"/>
    <w:rsid w:val="00233603"/>
    <w:rsid w:val="002340EF"/>
    <w:rsid w:val="00234B82"/>
    <w:rsid w:val="00234F2B"/>
    <w:rsid w:val="00236241"/>
    <w:rsid w:val="00236443"/>
    <w:rsid w:val="00236700"/>
    <w:rsid w:val="00236EA9"/>
    <w:rsid w:val="00237669"/>
    <w:rsid w:val="002376D3"/>
    <w:rsid w:val="00237C8B"/>
    <w:rsid w:val="0024026A"/>
    <w:rsid w:val="00240391"/>
    <w:rsid w:val="00240AF3"/>
    <w:rsid w:val="00241020"/>
    <w:rsid w:val="002418D5"/>
    <w:rsid w:val="00241A9F"/>
    <w:rsid w:val="00241B06"/>
    <w:rsid w:val="00242265"/>
    <w:rsid w:val="0024233F"/>
    <w:rsid w:val="002426B4"/>
    <w:rsid w:val="00242E9A"/>
    <w:rsid w:val="0024343A"/>
    <w:rsid w:val="002436BA"/>
    <w:rsid w:val="002438DC"/>
    <w:rsid w:val="00243B5C"/>
    <w:rsid w:val="002443BC"/>
    <w:rsid w:val="00244652"/>
    <w:rsid w:val="00244A15"/>
    <w:rsid w:val="00244D6A"/>
    <w:rsid w:val="002452D9"/>
    <w:rsid w:val="00246909"/>
    <w:rsid w:val="00246AD7"/>
    <w:rsid w:val="00247319"/>
    <w:rsid w:val="0024772F"/>
    <w:rsid w:val="00247835"/>
    <w:rsid w:val="0024799E"/>
    <w:rsid w:val="00247E60"/>
    <w:rsid w:val="00250F19"/>
    <w:rsid w:val="002512B7"/>
    <w:rsid w:val="00251496"/>
    <w:rsid w:val="00251B08"/>
    <w:rsid w:val="00251C53"/>
    <w:rsid w:val="00252AB9"/>
    <w:rsid w:val="002532B1"/>
    <w:rsid w:val="00253C0F"/>
    <w:rsid w:val="002558C1"/>
    <w:rsid w:val="002559F8"/>
    <w:rsid w:val="00255A19"/>
    <w:rsid w:val="00256207"/>
    <w:rsid w:val="002575F3"/>
    <w:rsid w:val="00257E48"/>
    <w:rsid w:val="002601B4"/>
    <w:rsid w:val="002603E1"/>
    <w:rsid w:val="002605FE"/>
    <w:rsid w:val="0026120E"/>
    <w:rsid w:val="002617EE"/>
    <w:rsid w:val="00262582"/>
    <w:rsid w:val="0026291D"/>
    <w:rsid w:val="00262B30"/>
    <w:rsid w:val="00262CF3"/>
    <w:rsid w:val="00264309"/>
    <w:rsid w:val="00264992"/>
    <w:rsid w:val="00264B4F"/>
    <w:rsid w:val="00264B85"/>
    <w:rsid w:val="0026564B"/>
    <w:rsid w:val="00265C83"/>
    <w:rsid w:val="00265E85"/>
    <w:rsid w:val="00265F05"/>
    <w:rsid w:val="002660F7"/>
    <w:rsid w:val="0026632F"/>
    <w:rsid w:val="002668B0"/>
    <w:rsid w:val="002678E4"/>
    <w:rsid w:val="00267B49"/>
    <w:rsid w:val="00267C51"/>
    <w:rsid w:val="002700D9"/>
    <w:rsid w:val="00270133"/>
    <w:rsid w:val="0027025F"/>
    <w:rsid w:val="002709CC"/>
    <w:rsid w:val="00270D25"/>
    <w:rsid w:val="00271022"/>
    <w:rsid w:val="00271465"/>
    <w:rsid w:val="00271A07"/>
    <w:rsid w:val="00271E47"/>
    <w:rsid w:val="002721F5"/>
    <w:rsid w:val="00272DF4"/>
    <w:rsid w:val="00273B7A"/>
    <w:rsid w:val="0027401B"/>
    <w:rsid w:val="00275062"/>
    <w:rsid w:val="00275758"/>
    <w:rsid w:val="0027583D"/>
    <w:rsid w:val="002759C7"/>
    <w:rsid w:val="00275DEF"/>
    <w:rsid w:val="00275E43"/>
    <w:rsid w:val="002763A2"/>
    <w:rsid w:val="00276B33"/>
    <w:rsid w:val="00277669"/>
    <w:rsid w:val="002803A5"/>
    <w:rsid w:val="00280ACB"/>
    <w:rsid w:val="002812E3"/>
    <w:rsid w:val="00281576"/>
    <w:rsid w:val="00281D1B"/>
    <w:rsid w:val="00282451"/>
    <w:rsid w:val="00282AD4"/>
    <w:rsid w:val="0028341F"/>
    <w:rsid w:val="0028351F"/>
    <w:rsid w:val="002837AE"/>
    <w:rsid w:val="00283C13"/>
    <w:rsid w:val="00283F7B"/>
    <w:rsid w:val="0028431A"/>
    <w:rsid w:val="0028534D"/>
    <w:rsid w:val="002853FA"/>
    <w:rsid w:val="00285412"/>
    <w:rsid w:val="0028558A"/>
    <w:rsid w:val="00286220"/>
    <w:rsid w:val="00290745"/>
    <w:rsid w:val="0029110B"/>
    <w:rsid w:val="00291640"/>
    <w:rsid w:val="00291956"/>
    <w:rsid w:val="0029237E"/>
    <w:rsid w:val="00292997"/>
    <w:rsid w:val="00292EB0"/>
    <w:rsid w:val="00293939"/>
    <w:rsid w:val="00293D24"/>
    <w:rsid w:val="0029461A"/>
    <w:rsid w:val="0029509B"/>
    <w:rsid w:val="0029588F"/>
    <w:rsid w:val="00295C4D"/>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4946"/>
    <w:rsid w:val="002A4951"/>
    <w:rsid w:val="002A51AC"/>
    <w:rsid w:val="002A532A"/>
    <w:rsid w:val="002A5477"/>
    <w:rsid w:val="002A5846"/>
    <w:rsid w:val="002A5D97"/>
    <w:rsid w:val="002A603E"/>
    <w:rsid w:val="002A63B9"/>
    <w:rsid w:val="002A7089"/>
    <w:rsid w:val="002B03C2"/>
    <w:rsid w:val="002B0692"/>
    <w:rsid w:val="002B0987"/>
    <w:rsid w:val="002B0EDA"/>
    <w:rsid w:val="002B1619"/>
    <w:rsid w:val="002B322D"/>
    <w:rsid w:val="002B3EF4"/>
    <w:rsid w:val="002B4532"/>
    <w:rsid w:val="002B4845"/>
    <w:rsid w:val="002B5567"/>
    <w:rsid w:val="002B5812"/>
    <w:rsid w:val="002B72AA"/>
    <w:rsid w:val="002B75C0"/>
    <w:rsid w:val="002B772D"/>
    <w:rsid w:val="002C0673"/>
    <w:rsid w:val="002C1110"/>
    <w:rsid w:val="002C196C"/>
    <w:rsid w:val="002C1BC2"/>
    <w:rsid w:val="002C1F09"/>
    <w:rsid w:val="002C22A4"/>
    <w:rsid w:val="002C260B"/>
    <w:rsid w:val="002C27A6"/>
    <w:rsid w:val="002C27CD"/>
    <w:rsid w:val="002C2FFE"/>
    <w:rsid w:val="002C31E4"/>
    <w:rsid w:val="002C398D"/>
    <w:rsid w:val="002C40D2"/>
    <w:rsid w:val="002C43BD"/>
    <w:rsid w:val="002C47B7"/>
    <w:rsid w:val="002C4AA6"/>
    <w:rsid w:val="002C5245"/>
    <w:rsid w:val="002C5463"/>
    <w:rsid w:val="002C54A2"/>
    <w:rsid w:val="002C564A"/>
    <w:rsid w:val="002C59D8"/>
    <w:rsid w:val="002C5FEB"/>
    <w:rsid w:val="002C6494"/>
    <w:rsid w:val="002C70C1"/>
    <w:rsid w:val="002C7837"/>
    <w:rsid w:val="002D0553"/>
    <w:rsid w:val="002D05CB"/>
    <w:rsid w:val="002D0E59"/>
    <w:rsid w:val="002D1543"/>
    <w:rsid w:val="002D2C4F"/>
    <w:rsid w:val="002D3EBB"/>
    <w:rsid w:val="002D455C"/>
    <w:rsid w:val="002D6066"/>
    <w:rsid w:val="002D6630"/>
    <w:rsid w:val="002D67BD"/>
    <w:rsid w:val="002D6A4C"/>
    <w:rsid w:val="002D6D10"/>
    <w:rsid w:val="002D6E5F"/>
    <w:rsid w:val="002E010B"/>
    <w:rsid w:val="002E02A1"/>
    <w:rsid w:val="002E154B"/>
    <w:rsid w:val="002E196A"/>
    <w:rsid w:val="002E1F8A"/>
    <w:rsid w:val="002E20C7"/>
    <w:rsid w:val="002E20CD"/>
    <w:rsid w:val="002E222E"/>
    <w:rsid w:val="002E28D8"/>
    <w:rsid w:val="002E29D9"/>
    <w:rsid w:val="002E3638"/>
    <w:rsid w:val="002E372A"/>
    <w:rsid w:val="002E37D1"/>
    <w:rsid w:val="002E3BEE"/>
    <w:rsid w:val="002E4DCE"/>
    <w:rsid w:val="002E4E4C"/>
    <w:rsid w:val="002E4EA7"/>
    <w:rsid w:val="002E5437"/>
    <w:rsid w:val="002E5846"/>
    <w:rsid w:val="002E5C7F"/>
    <w:rsid w:val="002E631B"/>
    <w:rsid w:val="002E792B"/>
    <w:rsid w:val="002E7AEB"/>
    <w:rsid w:val="002E7B0C"/>
    <w:rsid w:val="002E7B79"/>
    <w:rsid w:val="002F0009"/>
    <w:rsid w:val="002F1B09"/>
    <w:rsid w:val="002F1D56"/>
    <w:rsid w:val="002F1DCB"/>
    <w:rsid w:val="002F1DE4"/>
    <w:rsid w:val="002F333D"/>
    <w:rsid w:val="002F351A"/>
    <w:rsid w:val="002F357F"/>
    <w:rsid w:val="002F46D6"/>
    <w:rsid w:val="002F498A"/>
    <w:rsid w:val="002F4AD8"/>
    <w:rsid w:val="002F4CD8"/>
    <w:rsid w:val="002F4E46"/>
    <w:rsid w:val="002F5285"/>
    <w:rsid w:val="002F560F"/>
    <w:rsid w:val="002F572C"/>
    <w:rsid w:val="002F5820"/>
    <w:rsid w:val="002F6086"/>
    <w:rsid w:val="002F64BB"/>
    <w:rsid w:val="002F7D9B"/>
    <w:rsid w:val="00300628"/>
    <w:rsid w:val="00300C31"/>
    <w:rsid w:val="003017EC"/>
    <w:rsid w:val="00302165"/>
    <w:rsid w:val="00302924"/>
    <w:rsid w:val="00303BB4"/>
    <w:rsid w:val="00304771"/>
    <w:rsid w:val="00304F9C"/>
    <w:rsid w:val="003052D4"/>
    <w:rsid w:val="00305863"/>
    <w:rsid w:val="00305AF4"/>
    <w:rsid w:val="003060E9"/>
    <w:rsid w:val="00306A62"/>
    <w:rsid w:val="00306C5B"/>
    <w:rsid w:val="00307529"/>
    <w:rsid w:val="00307AA2"/>
    <w:rsid w:val="00307D33"/>
    <w:rsid w:val="00307DB3"/>
    <w:rsid w:val="00307DDB"/>
    <w:rsid w:val="00307ED2"/>
    <w:rsid w:val="0031076D"/>
    <w:rsid w:val="00311242"/>
    <w:rsid w:val="0031169A"/>
    <w:rsid w:val="00311AA6"/>
    <w:rsid w:val="00311C4D"/>
    <w:rsid w:val="00311CA4"/>
    <w:rsid w:val="003121AB"/>
    <w:rsid w:val="00312A85"/>
    <w:rsid w:val="00312C83"/>
    <w:rsid w:val="00312E51"/>
    <w:rsid w:val="00315169"/>
    <w:rsid w:val="00315208"/>
    <w:rsid w:val="003153C8"/>
    <w:rsid w:val="00315524"/>
    <w:rsid w:val="00315561"/>
    <w:rsid w:val="0031645E"/>
    <w:rsid w:val="00316B3D"/>
    <w:rsid w:val="00317EDA"/>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0FF8"/>
    <w:rsid w:val="0033175E"/>
    <w:rsid w:val="003317A3"/>
    <w:rsid w:val="00332190"/>
    <w:rsid w:val="00332A98"/>
    <w:rsid w:val="00332D86"/>
    <w:rsid w:val="003334BD"/>
    <w:rsid w:val="00333973"/>
    <w:rsid w:val="00333CD0"/>
    <w:rsid w:val="00333F8B"/>
    <w:rsid w:val="0033448D"/>
    <w:rsid w:val="00334AD2"/>
    <w:rsid w:val="00334CB6"/>
    <w:rsid w:val="003369B0"/>
    <w:rsid w:val="0033709C"/>
    <w:rsid w:val="003370C5"/>
    <w:rsid w:val="003373C6"/>
    <w:rsid w:val="0033753A"/>
    <w:rsid w:val="003403C1"/>
    <w:rsid w:val="0034081B"/>
    <w:rsid w:val="00340BF3"/>
    <w:rsid w:val="00341C6C"/>
    <w:rsid w:val="00341D26"/>
    <w:rsid w:val="00341F05"/>
    <w:rsid w:val="003424A0"/>
    <w:rsid w:val="00342AD0"/>
    <w:rsid w:val="0034335E"/>
    <w:rsid w:val="00344668"/>
    <w:rsid w:val="0034466D"/>
    <w:rsid w:val="00344881"/>
    <w:rsid w:val="00344940"/>
    <w:rsid w:val="00346234"/>
    <w:rsid w:val="00346285"/>
    <w:rsid w:val="003462D9"/>
    <w:rsid w:val="00346576"/>
    <w:rsid w:val="0034723F"/>
    <w:rsid w:val="00347247"/>
    <w:rsid w:val="003474B6"/>
    <w:rsid w:val="00347DD4"/>
    <w:rsid w:val="00350138"/>
    <w:rsid w:val="00350F0C"/>
    <w:rsid w:val="003527E6"/>
    <w:rsid w:val="00352B43"/>
    <w:rsid w:val="00352C28"/>
    <w:rsid w:val="003541BB"/>
    <w:rsid w:val="00354502"/>
    <w:rsid w:val="00354F89"/>
    <w:rsid w:val="0035506D"/>
    <w:rsid w:val="0035547E"/>
    <w:rsid w:val="003559D1"/>
    <w:rsid w:val="003565DB"/>
    <w:rsid w:val="003574AB"/>
    <w:rsid w:val="003579A1"/>
    <w:rsid w:val="00357F42"/>
    <w:rsid w:val="0036077F"/>
    <w:rsid w:val="0036081A"/>
    <w:rsid w:val="00360A35"/>
    <w:rsid w:val="00360C86"/>
    <w:rsid w:val="00360F7A"/>
    <w:rsid w:val="00360FBC"/>
    <w:rsid w:val="0036102D"/>
    <w:rsid w:val="00361537"/>
    <w:rsid w:val="003619A0"/>
    <w:rsid w:val="00361A59"/>
    <w:rsid w:val="00361FB7"/>
    <w:rsid w:val="0036242A"/>
    <w:rsid w:val="003629A5"/>
    <w:rsid w:val="00362C23"/>
    <w:rsid w:val="00362DCA"/>
    <w:rsid w:val="00362E90"/>
    <w:rsid w:val="0036421A"/>
    <w:rsid w:val="003643CB"/>
    <w:rsid w:val="0036448C"/>
    <w:rsid w:val="00364FA0"/>
    <w:rsid w:val="003650D9"/>
    <w:rsid w:val="003657F3"/>
    <w:rsid w:val="00365844"/>
    <w:rsid w:val="00365F61"/>
    <w:rsid w:val="0036624C"/>
    <w:rsid w:val="003664FD"/>
    <w:rsid w:val="00367F84"/>
    <w:rsid w:val="003712BC"/>
    <w:rsid w:val="003716BE"/>
    <w:rsid w:val="00372164"/>
    <w:rsid w:val="003738BD"/>
    <w:rsid w:val="00373D43"/>
    <w:rsid w:val="00374263"/>
    <w:rsid w:val="00374278"/>
    <w:rsid w:val="003746F0"/>
    <w:rsid w:val="00374A20"/>
    <w:rsid w:val="00374B5D"/>
    <w:rsid w:val="00374B96"/>
    <w:rsid w:val="00374E21"/>
    <w:rsid w:val="00374ED6"/>
    <w:rsid w:val="0037537A"/>
    <w:rsid w:val="003755A0"/>
    <w:rsid w:val="00375CB9"/>
    <w:rsid w:val="00377007"/>
    <w:rsid w:val="00377B2E"/>
    <w:rsid w:val="00380C9B"/>
    <w:rsid w:val="003810F0"/>
    <w:rsid w:val="003815D4"/>
    <w:rsid w:val="003818DC"/>
    <w:rsid w:val="00382513"/>
    <w:rsid w:val="00383388"/>
    <w:rsid w:val="003834F8"/>
    <w:rsid w:val="003837B1"/>
    <w:rsid w:val="003838D0"/>
    <w:rsid w:val="003840C2"/>
    <w:rsid w:val="003840C3"/>
    <w:rsid w:val="00384327"/>
    <w:rsid w:val="00384A89"/>
    <w:rsid w:val="00385086"/>
    <w:rsid w:val="0038578B"/>
    <w:rsid w:val="00385D98"/>
    <w:rsid w:val="003862C0"/>
    <w:rsid w:val="0038712D"/>
    <w:rsid w:val="00390306"/>
    <w:rsid w:val="0039031A"/>
    <w:rsid w:val="003908A6"/>
    <w:rsid w:val="0039109D"/>
    <w:rsid w:val="00391989"/>
    <w:rsid w:val="00391A6C"/>
    <w:rsid w:val="00391B9F"/>
    <w:rsid w:val="00392238"/>
    <w:rsid w:val="003927F6"/>
    <w:rsid w:val="0039398D"/>
    <w:rsid w:val="00393B3F"/>
    <w:rsid w:val="00393B72"/>
    <w:rsid w:val="0039402D"/>
    <w:rsid w:val="00395773"/>
    <w:rsid w:val="00396739"/>
    <w:rsid w:val="003978B1"/>
    <w:rsid w:val="003A04F6"/>
    <w:rsid w:val="003A0837"/>
    <w:rsid w:val="003A2B4D"/>
    <w:rsid w:val="003A2D12"/>
    <w:rsid w:val="003A2EBA"/>
    <w:rsid w:val="003A39F3"/>
    <w:rsid w:val="003A3D89"/>
    <w:rsid w:val="003A45E3"/>
    <w:rsid w:val="003A46B8"/>
    <w:rsid w:val="003A478C"/>
    <w:rsid w:val="003A4A38"/>
    <w:rsid w:val="003A5295"/>
    <w:rsid w:val="003A5525"/>
    <w:rsid w:val="003A5854"/>
    <w:rsid w:val="003A5889"/>
    <w:rsid w:val="003A5B3F"/>
    <w:rsid w:val="003A5C8C"/>
    <w:rsid w:val="003A64A6"/>
    <w:rsid w:val="003A6B38"/>
    <w:rsid w:val="003A6B83"/>
    <w:rsid w:val="003A6C97"/>
    <w:rsid w:val="003A6E2E"/>
    <w:rsid w:val="003A722F"/>
    <w:rsid w:val="003A7373"/>
    <w:rsid w:val="003A77D8"/>
    <w:rsid w:val="003A7D09"/>
    <w:rsid w:val="003B039F"/>
    <w:rsid w:val="003B0DF4"/>
    <w:rsid w:val="003B1F9D"/>
    <w:rsid w:val="003B2A8D"/>
    <w:rsid w:val="003B2AD1"/>
    <w:rsid w:val="003B2D2E"/>
    <w:rsid w:val="003B2F69"/>
    <w:rsid w:val="003B376A"/>
    <w:rsid w:val="003B461F"/>
    <w:rsid w:val="003B483F"/>
    <w:rsid w:val="003B4998"/>
    <w:rsid w:val="003B5A32"/>
    <w:rsid w:val="003B5B59"/>
    <w:rsid w:val="003B5E81"/>
    <w:rsid w:val="003B709D"/>
    <w:rsid w:val="003B7B37"/>
    <w:rsid w:val="003B7B50"/>
    <w:rsid w:val="003C0504"/>
    <w:rsid w:val="003C086F"/>
    <w:rsid w:val="003C0B07"/>
    <w:rsid w:val="003C1EFD"/>
    <w:rsid w:val="003C2543"/>
    <w:rsid w:val="003C2CE7"/>
    <w:rsid w:val="003C2DB8"/>
    <w:rsid w:val="003C3490"/>
    <w:rsid w:val="003C3608"/>
    <w:rsid w:val="003C3813"/>
    <w:rsid w:val="003C3A87"/>
    <w:rsid w:val="003C3AE8"/>
    <w:rsid w:val="003C3D2C"/>
    <w:rsid w:val="003C4058"/>
    <w:rsid w:val="003C4E13"/>
    <w:rsid w:val="003C58A5"/>
    <w:rsid w:val="003C5EA3"/>
    <w:rsid w:val="003C6221"/>
    <w:rsid w:val="003C63D7"/>
    <w:rsid w:val="003C68CC"/>
    <w:rsid w:val="003C708D"/>
    <w:rsid w:val="003C7339"/>
    <w:rsid w:val="003C7E62"/>
    <w:rsid w:val="003D12B9"/>
    <w:rsid w:val="003D13A6"/>
    <w:rsid w:val="003D1828"/>
    <w:rsid w:val="003D1E7A"/>
    <w:rsid w:val="003D242B"/>
    <w:rsid w:val="003D2492"/>
    <w:rsid w:val="003D29AA"/>
    <w:rsid w:val="003D2A54"/>
    <w:rsid w:val="003D2A99"/>
    <w:rsid w:val="003D4FD2"/>
    <w:rsid w:val="003D6920"/>
    <w:rsid w:val="003D6E19"/>
    <w:rsid w:val="003E0249"/>
    <w:rsid w:val="003E08A4"/>
    <w:rsid w:val="003E105C"/>
    <w:rsid w:val="003E1EF8"/>
    <w:rsid w:val="003E2BF2"/>
    <w:rsid w:val="003E2DFB"/>
    <w:rsid w:val="003E333B"/>
    <w:rsid w:val="003E4466"/>
    <w:rsid w:val="003E4817"/>
    <w:rsid w:val="003E4C91"/>
    <w:rsid w:val="003E4DAB"/>
    <w:rsid w:val="003E52D8"/>
    <w:rsid w:val="003E62F1"/>
    <w:rsid w:val="003E6547"/>
    <w:rsid w:val="003E6F84"/>
    <w:rsid w:val="003F0148"/>
    <w:rsid w:val="003F0CC3"/>
    <w:rsid w:val="003F0FB6"/>
    <w:rsid w:val="003F167E"/>
    <w:rsid w:val="003F29B7"/>
    <w:rsid w:val="003F313C"/>
    <w:rsid w:val="003F3216"/>
    <w:rsid w:val="003F33B1"/>
    <w:rsid w:val="003F33B9"/>
    <w:rsid w:val="003F37FC"/>
    <w:rsid w:val="003F3E76"/>
    <w:rsid w:val="003F4230"/>
    <w:rsid w:val="003F4318"/>
    <w:rsid w:val="003F4B2C"/>
    <w:rsid w:val="003F4CDD"/>
    <w:rsid w:val="003F4E1E"/>
    <w:rsid w:val="003F4EA2"/>
    <w:rsid w:val="003F551C"/>
    <w:rsid w:val="003F61C2"/>
    <w:rsid w:val="003F626D"/>
    <w:rsid w:val="003F67D6"/>
    <w:rsid w:val="003F72ED"/>
    <w:rsid w:val="003F7872"/>
    <w:rsid w:val="003F7D23"/>
    <w:rsid w:val="003F7D98"/>
    <w:rsid w:val="00400050"/>
    <w:rsid w:val="004002C8"/>
    <w:rsid w:val="00400468"/>
    <w:rsid w:val="0040099D"/>
    <w:rsid w:val="004016CB"/>
    <w:rsid w:val="00401837"/>
    <w:rsid w:val="00401B23"/>
    <w:rsid w:val="00402ADB"/>
    <w:rsid w:val="0040368D"/>
    <w:rsid w:val="00403D1D"/>
    <w:rsid w:val="00403F57"/>
    <w:rsid w:val="00404051"/>
    <w:rsid w:val="0040469E"/>
    <w:rsid w:val="004046BD"/>
    <w:rsid w:val="00404BAB"/>
    <w:rsid w:val="00405318"/>
    <w:rsid w:val="0040545D"/>
    <w:rsid w:val="00405696"/>
    <w:rsid w:val="004059D2"/>
    <w:rsid w:val="004060C9"/>
    <w:rsid w:val="004066D0"/>
    <w:rsid w:val="00406C2E"/>
    <w:rsid w:val="00406CDA"/>
    <w:rsid w:val="00406EB0"/>
    <w:rsid w:val="00407711"/>
    <w:rsid w:val="00407863"/>
    <w:rsid w:val="00407C13"/>
    <w:rsid w:val="004103F6"/>
    <w:rsid w:val="00410638"/>
    <w:rsid w:val="00410A5C"/>
    <w:rsid w:val="0041107A"/>
    <w:rsid w:val="004123CB"/>
    <w:rsid w:val="00412511"/>
    <w:rsid w:val="004125C2"/>
    <w:rsid w:val="00412DFA"/>
    <w:rsid w:val="00413465"/>
    <w:rsid w:val="00413546"/>
    <w:rsid w:val="004149AC"/>
    <w:rsid w:val="0041501E"/>
    <w:rsid w:val="00415452"/>
    <w:rsid w:val="004159C3"/>
    <w:rsid w:val="00415A57"/>
    <w:rsid w:val="00416DAC"/>
    <w:rsid w:val="00417106"/>
    <w:rsid w:val="0041710D"/>
    <w:rsid w:val="00420880"/>
    <w:rsid w:val="00421022"/>
    <w:rsid w:val="00421179"/>
    <w:rsid w:val="004225D7"/>
    <w:rsid w:val="00423249"/>
    <w:rsid w:val="00423519"/>
    <w:rsid w:val="00423623"/>
    <w:rsid w:val="00424050"/>
    <w:rsid w:val="0042470E"/>
    <w:rsid w:val="00425352"/>
    <w:rsid w:val="00426C99"/>
    <w:rsid w:val="0042708A"/>
    <w:rsid w:val="004272BE"/>
    <w:rsid w:val="004273E7"/>
    <w:rsid w:val="00430114"/>
    <w:rsid w:val="004304D0"/>
    <w:rsid w:val="00430C96"/>
    <w:rsid w:val="0043174F"/>
    <w:rsid w:val="00431BFF"/>
    <w:rsid w:val="00432199"/>
    <w:rsid w:val="0043277C"/>
    <w:rsid w:val="00432A58"/>
    <w:rsid w:val="00432DA4"/>
    <w:rsid w:val="004331C3"/>
    <w:rsid w:val="00433C17"/>
    <w:rsid w:val="00434617"/>
    <w:rsid w:val="00434686"/>
    <w:rsid w:val="00434CB3"/>
    <w:rsid w:val="00434DE9"/>
    <w:rsid w:val="00435051"/>
    <w:rsid w:val="00435C69"/>
    <w:rsid w:val="00435DE8"/>
    <w:rsid w:val="004360FB"/>
    <w:rsid w:val="00437CED"/>
    <w:rsid w:val="004407BF"/>
    <w:rsid w:val="00440900"/>
    <w:rsid w:val="00440C2F"/>
    <w:rsid w:val="0044121D"/>
    <w:rsid w:val="00441BF6"/>
    <w:rsid w:val="00441D2B"/>
    <w:rsid w:val="00441F8B"/>
    <w:rsid w:val="00442085"/>
    <w:rsid w:val="0044279E"/>
    <w:rsid w:val="00442BD8"/>
    <w:rsid w:val="00443184"/>
    <w:rsid w:val="00443291"/>
    <w:rsid w:val="004441A0"/>
    <w:rsid w:val="00445861"/>
    <w:rsid w:val="00445A8E"/>
    <w:rsid w:val="00446D44"/>
    <w:rsid w:val="0045078A"/>
    <w:rsid w:val="0045086D"/>
    <w:rsid w:val="00450DAB"/>
    <w:rsid w:val="0045125B"/>
    <w:rsid w:val="00451E25"/>
    <w:rsid w:val="00451EF1"/>
    <w:rsid w:val="00452E60"/>
    <w:rsid w:val="0045321B"/>
    <w:rsid w:val="004548E8"/>
    <w:rsid w:val="004550FE"/>
    <w:rsid w:val="00455833"/>
    <w:rsid w:val="00455B02"/>
    <w:rsid w:val="00456AAB"/>
    <w:rsid w:val="00456FB5"/>
    <w:rsid w:val="00456FE5"/>
    <w:rsid w:val="00457490"/>
    <w:rsid w:val="0045778B"/>
    <w:rsid w:val="0045786C"/>
    <w:rsid w:val="00457953"/>
    <w:rsid w:val="0046041E"/>
    <w:rsid w:val="004604D8"/>
    <w:rsid w:val="00460656"/>
    <w:rsid w:val="00460FB3"/>
    <w:rsid w:val="00462DA6"/>
    <w:rsid w:val="00463D3C"/>
    <w:rsid w:val="00464851"/>
    <w:rsid w:val="00464BF5"/>
    <w:rsid w:val="00465934"/>
    <w:rsid w:val="00466595"/>
    <w:rsid w:val="00466B3E"/>
    <w:rsid w:val="00466D08"/>
    <w:rsid w:val="0046746A"/>
    <w:rsid w:val="00467938"/>
    <w:rsid w:val="00467B14"/>
    <w:rsid w:val="00470043"/>
    <w:rsid w:val="0047053B"/>
    <w:rsid w:val="004707FE"/>
    <w:rsid w:val="00470EDC"/>
    <w:rsid w:val="00471C37"/>
    <w:rsid w:val="00472418"/>
    <w:rsid w:val="0047276D"/>
    <w:rsid w:val="00472A29"/>
    <w:rsid w:val="00472AF6"/>
    <w:rsid w:val="00473482"/>
    <w:rsid w:val="004737F4"/>
    <w:rsid w:val="00474646"/>
    <w:rsid w:val="00474A04"/>
    <w:rsid w:val="00474FEE"/>
    <w:rsid w:val="004756DD"/>
    <w:rsid w:val="00476240"/>
    <w:rsid w:val="00476439"/>
    <w:rsid w:val="00476450"/>
    <w:rsid w:val="004769BF"/>
    <w:rsid w:val="004769E1"/>
    <w:rsid w:val="00476BD0"/>
    <w:rsid w:val="0047735C"/>
    <w:rsid w:val="004773A5"/>
    <w:rsid w:val="004776BC"/>
    <w:rsid w:val="00477820"/>
    <w:rsid w:val="00477B96"/>
    <w:rsid w:val="00480802"/>
    <w:rsid w:val="00480AC0"/>
    <w:rsid w:val="00480BAE"/>
    <w:rsid w:val="00480D7F"/>
    <w:rsid w:val="0048139F"/>
    <w:rsid w:val="00481E40"/>
    <w:rsid w:val="00481F18"/>
    <w:rsid w:val="00482405"/>
    <w:rsid w:val="004824C7"/>
    <w:rsid w:val="004826A7"/>
    <w:rsid w:val="00483392"/>
    <w:rsid w:val="0048368C"/>
    <w:rsid w:val="0048372F"/>
    <w:rsid w:val="0048399F"/>
    <w:rsid w:val="00483A0C"/>
    <w:rsid w:val="00483BDD"/>
    <w:rsid w:val="004841CC"/>
    <w:rsid w:val="0048499C"/>
    <w:rsid w:val="00484ECE"/>
    <w:rsid w:val="00485E82"/>
    <w:rsid w:val="00486132"/>
    <w:rsid w:val="004862C8"/>
    <w:rsid w:val="0048686D"/>
    <w:rsid w:val="00486A4D"/>
    <w:rsid w:val="00490F96"/>
    <w:rsid w:val="004915CB"/>
    <w:rsid w:val="00491A2B"/>
    <w:rsid w:val="004924DC"/>
    <w:rsid w:val="0049267F"/>
    <w:rsid w:val="00492879"/>
    <w:rsid w:val="00492BBA"/>
    <w:rsid w:val="004932A1"/>
    <w:rsid w:val="00493CF5"/>
    <w:rsid w:val="00493E85"/>
    <w:rsid w:val="00495145"/>
    <w:rsid w:val="0049531F"/>
    <w:rsid w:val="004979A5"/>
    <w:rsid w:val="00497F7C"/>
    <w:rsid w:val="004A0144"/>
    <w:rsid w:val="004A0197"/>
    <w:rsid w:val="004A036E"/>
    <w:rsid w:val="004A0498"/>
    <w:rsid w:val="004A06B0"/>
    <w:rsid w:val="004A0D0E"/>
    <w:rsid w:val="004A13B6"/>
    <w:rsid w:val="004A14E4"/>
    <w:rsid w:val="004A2017"/>
    <w:rsid w:val="004A204E"/>
    <w:rsid w:val="004A23BC"/>
    <w:rsid w:val="004A26A5"/>
    <w:rsid w:val="004A27F0"/>
    <w:rsid w:val="004A3212"/>
    <w:rsid w:val="004A37CD"/>
    <w:rsid w:val="004A40D9"/>
    <w:rsid w:val="004A49A5"/>
    <w:rsid w:val="004A4F8A"/>
    <w:rsid w:val="004A52AB"/>
    <w:rsid w:val="004A5494"/>
    <w:rsid w:val="004A5D4E"/>
    <w:rsid w:val="004A61C5"/>
    <w:rsid w:val="004A62A0"/>
    <w:rsid w:val="004A6BBF"/>
    <w:rsid w:val="004A74EE"/>
    <w:rsid w:val="004A77DF"/>
    <w:rsid w:val="004A78E3"/>
    <w:rsid w:val="004A7DC0"/>
    <w:rsid w:val="004B00D7"/>
    <w:rsid w:val="004B1417"/>
    <w:rsid w:val="004B1627"/>
    <w:rsid w:val="004B305C"/>
    <w:rsid w:val="004B30B1"/>
    <w:rsid w:val="004B31B8"/>
    <w:rsid w:val="004B339A"/>
    <w:rsid w:val="004B4C83"/>
    <w:rsid w:val="004B51C6"/>
    <w:rsid w:val="004B55B7"/>
    <w:rsid w:val="004B5831"/>
    <w:rsid w:val="004B5BFA"/>
    <w:rsid w:val="004B619E"/>
    <w:rsid w:val="004B6468"/>
    <w:rsid w:val="004B6EF8"/>
    <w:rsid w:val="004B7125"/>
    <w:rsid w:val="004B756A"/>
    <w:rsid w:val="004B7625"/>
    <w:rsid w:val="004B7EC0"/>
    <w:rsid w:val="004B7FB1"/>
    <w:rsid w:val="004C08DE"/>
    <w:rsid w:val="004C0970"/>
    <w:rsid w:val="004C0B3F"/>
    <w:rsid w:val="004C0F87"/>
    <w:rsid w:val="004C1648"/>
    <w:rsid w:val="004C18CE"/>
    <w:rsid w:val="004C1EF2"/>
    <w:rsid w:val="004C25F9"/>
    <w:rsid w:val="004C2794"/>
    <w:rsid w:val="004C2BB6"/>
    <w:rsid w:val="004C2C2D"/>
    <w:rsid w:val="004C3027"/>
    <w:rsid w:val="004C384C"/>
    <w:rsid w:val="004C3867"/>
    <w:rsid w:val="004C3DB0"/>
    <w:rsid w:val="004C3E03"/>
    <w:rsid w:val="004C3E63"/>
    <w:rsid w:val="004C439A"/>
    <w:rsid w:val="004C4720"/>
    <w:rsid w:val="004C4BEA"/>
    <w:rsid w:val="004C4CD0"/>
    <w:rsid w:val="004C5060"/>
    <w:rsid w:val="004C5165"/>
    <w:rsid w:val="004C589C"/>
    <w:rsid w:val="004C5AE8"/>
    <w:rsid w:val="004C64A3"/>
    <w:rsid w:val="004C6640"/>
    <w:rsid w:val="004C6D4D"/>
    <w:rsid w:val="004C6E0E"/>
    <w:rsid w:val="004C70DC"/>
    <w:rsid w:val="004C7341"/>
    <w:rsid w:val="004C7D10"/>
    <w:rsid w:val="004D0211"/>
    <w:rsid w:val="004D0794"/>
    <w:rsid w:val="004D0FB7"/>
    <w:rsid w:val="004D17A2"/>
    <w:rsid w:val="004D2D31"/>
    <w:rsid w:val="004D2E03"/>
    <w:rsid w:val="004D3296"/>
    <w:rsid w:val="004D4056"/>
    <w:rsid w:val="004D42F3"/>
    <w:rsid w:val="004D4CB0"/>
    <w:rsid w:val="004D5B0F"/>
    <w:rsid w:val="004D6602"/>
    <w:rsid w:val="004D6B32"/>
    <w:rsid w:val="004D7626"/>
    <w:rsid w:val="004E01C9"/>
    <w:rsid w:val="004E085C"/>
    <w:rsid w:val="004E12DF"/>
    <w:rsid w:val="004E186A"/>
    <w:rsid w:val="004E1A40"/>
    <w:rsid w:val="004E200A"/>
    <w:rsid w:val="004E2351"/>
    <w:rsid w:val="004E23FC"/>
    <w:rsid w:val="004E2409"/>
    <w:rsid w:val="004E2567"/>
    <w:rsid w:val="004E261D"/>
    <w:rsid w:val="004E3927"/>
    <w:rsid w:val="004E3B7F"/>
    <w:rsid w:val="004E506E"/>
    <w:rsid w:val="004E56E3"/>
    <w:rsid w:val="004E57BF"/>
    <w:rsid w:val="004E5C6A"/>
    <w:rsid w:val="004E5F41"/>
    <w:rsid w:val="004E6011"/>
    <w:rsid w:val="004E6D15"/>
    <w:rsid w:val="004E6DE6"/>
    <w:rsid w:val="004E765E"/>
    <w:rsid w:val="004E7815"/>
    <w:rsid w:val="004F06F5"/>
    <w:rsid w:val="004F1127"/>
    <w:rsid w:val="004F12A4"/>
    <w:rsid w:val="004F253F"/>
    <w:rsid w:val="004F33A0"/>
    <w:rsid w:val="004F3873"/>
    <w:rsid w:val="004F3BD2"/>
    <w:rsid w:val="004F46ED"/>
    <w:rsid w:val="004F49A3"/>
    <w:rsid w:val="004F4C99"/>
    <w:rsid w:val="004F4D83"/>
    <w:rsid w:val="004F4E4D"/>
    <w:rsid w:val="004F5358"/>
    <w:rsid w:val="004F5487"/>
    <w:rsid w:val="004F6484"/>
    <w:rsid w:val="004F6539"/>
    <w:rsid w:val="004F66AD"/>
    <w:rsid w:val="004F6AFB"/>
    <w:rsid w:val="0050057B"/>
    <w:rsid w:val="005022CA"/>
    <w:rsid w:val="00503D54"/>
    <w:rsid w:val="0050400C"/>
    <w:rsid w:val="005048E2"/>
    <w:rsid w:val="00504E9B"/>
    <w:rsid w:val="00505392"/>
    <w:rsid w:val="00505FC8"/>
    <w:rsid w:val="00506603"/>
    <w:rsid w:val="0050689D"/>
    <w:rsid w:val="005077F5"/>
    <w:rsid w:val="005108C0"/>
    <w:rsid w:val="0051094F"/>
    <w:rsid w:val="00511217"/>
    <w:rsid w:val="00511873"/>
    <w:rsid w:val="00511BAF"/>
    <w:rsid w:val="00511C65"/>
    <w:rsid w:val="00511CA1"/>
    <w:rsid w:val="00512461"/>
    <w:rsid w:val="00512585"/>
    <w:rsid w:val="00512A2F"/>
    <w:rsid w:val="00512B98"/>
    <w:rsid w:val="00513175"/>
    <w:rsid w:val="00513846"/>
    <w:rsid w:val="00513B7E"/>
    <w:rsid w:val="00513E9D"/>
    <w:rsid w:val="0051475C"/>
    <w:rsid w:val="0051475D"/>
    <w:rsid w:val="00514B11"/>
    <w:rsid w:val="00514DED"/>
    <w:rsid w:val="00514F47"/>
    <w:rsid w:val="00514FE2"/>
    <w:rsid w:val="00515079"/>
    <w:rsid w:val="00515485"/>
    <w:rsid w:val="00515BE9"/>
    <w:rsid w:val="00515C74"/>
    <w:rsid w:val="00515CEB"/>
    <w:rsid w:val="0051630F"/>
    <w:rsid w:val="00516997"/>
    <w:rsid w:val="00517113"/>
    <w:rsid w:val="0052007E"/>
    <w:rsid w:val="0052032E"/>
    <w:rsid w:val="00520C78"/>
    <w:rsid w:val="00521CAD"/>
    <w:rsid w:val="0052200D"/>
    <w:rsid w:val="00522199"/>
    <w:rsid w:val="00522425"/>
    <w:rsid w:val="005227DC"/>
    <w:rsid w:val="00522A1B"/>
    <w:rsid w:val="00522E01"/>
    <w:rsid w:val="0052337A"/>
    <w:rsid w:val="00524385"/>
    <w:rsid w:val="005246BE"/>
    <w:rsid w:val="00525137"/>
    <w:rsid w:val="005251DD"/>
    <w:rsid w:val="00526C1E"/>
    <w:rsid w:val="0052762C"/>
    <w:rsid w:val="0052792D"/>
    <w:rsid w:val="005279E0"/>
    <w:rsid w:val="00527CAF"/>
    <w:rsid w:val="0053012B"/>
    <w:rsid w:val="005301A6"/>
    <w:rsid w:val="00530A68"/>
    <w:rsid w:val="00530AD4"/>
    <w:rsid w:val="0053129F"/>
    <w:rsid w:val="00531C5A"/>
    <w:rsid w:val="00532CE7"/>
    <w:rsid w:val="00532D8B"/>
    <w:rsid w:val="00532FED"/>
    <w:rsid w:val="0053324C"/>
    <w:rsid w:val="00533A8D"/>
    <w:rsid w:val="005346B6"/>
    <w:rsid w:val="00534A28"/>
    <w:rsid w:val="00534A3A"/>
    <w:rsid w:val="00535018"/>
    <w:rsid w:val="00535333"/>
    <w:rsid w:val="0053570E"/>
    <w:rsid w:val="00535782"/>
    <w:rsid w:val="0053593E"/>
    <w:rsid w:val="0053595E"/>
    <w:rsid w:val="00537571"/>
    <w:rsid w:val="00540056"/>
    <w:rsid w:val="00540F2B"/>
    <w:rsid w:val="005410E2"/>
    <w:rsid w:val="00541508"/>
    <w:rsid w:val="00541AE3"/>
    <w:rsid w:val="00543498"/>
    <w:rsid w:val="005435D5"/>
    <w:rsid w:val="00543FF5"/>
    <w:rsid w:val="00544011"/>
    <w:rsid w:val="005446FB"/>
    <w:rsid w:val="00544BE5"/>
    <w:rsid w:val="005453A3"/>
    <w:rsid w:val="005455F6"/>
    <w:rsid w:val="0054582F"/>
    <w:rsid w:val="00546FC7"/>
    <w:rsid w:val="00547E33"/>
    <w:rsid w:val="005500F9"/>
    <w:rsid w:val="00550160"/>
    <w:rsid w:val="00550249"/>
    <w:rsid w:val="00550540"/>
    <w:rsid w:val="005519E2"/>
    <w:rsid w:val="00551E16"/>
    <w:rsid w:val="0055223F"/>
    <w:rsid w:val="005523A8"/>
    <w:rsid w:val="00552E44"/>
    <w:rsid w:val="00552F2C"/>
    <w:rsid w:val="00553A25"/>
    <w:rsid w:val="00553E69"/>
    <w:rsid w:val="005547EB"/>
    <w:rsid w:val="00554863"/>
    <w:rsid w:val="005555E0"/>
    <w:rsid w:val="005558B3"/>
    <w:rsid w:val="0055599F"/>
    <w:rsid w:val="00556D68"/>
    <w:rsid w:val="00556F75"/>
    <w:rsid w:val="0055707B"/>
    <w:rsid w:val="005570D6"/>
    <w:rsid w:val="00557E0E"/>
    <w:rsid w:val="00557E45"/>
    <w:rsid w:val="005605F3"/>
    <w:rsid w:val="005606B6"/>
    <w:rsid w:val="00560C41"/>
    <w:rsid w:val="00560CAC"/>
    <w:rsid w:val="00561F44"/>
    <w:rsid w:val="00562B4D"/>
    <w:rsid w:val="00562DB1"/>
    <w:rsid w:val="00563EB8"/>
    <w:rsid w:val="005647BF"/>
    <w:rsid w:val="00564AF1"/>
    <w:rsid w:val="00564E64"/>
    <w:rsid w:val="005655DB"/>
    <w:rsid w:val="00565E88"/>
    <w:rsid w:val="00566A8B"/>
    <w:rsid w:val="005671C4"/>
    <w:rsid w:val="00567339"/>
    <w:rsid w:val="0056764A"/>
    <w:rsid w:val="0056764B"/>
    <w:rsid w:val="005678EE"/>
    <w:rsid w:val="00567910"/>
    <w:rsid w:val="00570270"/>
    <w:rsid w:val="00570464"/>
    <w:rsid w:val="00570601"/>
    <w:rsid w:val="00570BC3"/>
    <w:rsid w:val="00571766"/>
    <w:rsid w:val="0057182A"/>
    <w:rsid w:val="00571A66"/>
    <w:rsid w:val="00571E59"/>
    <w:rsid w:val="00572079"/>
    <w:rsid w:val="00572900"/>
    <w:rsid w:val="0057295C"/>
    <w:rsid w:val="00573602"/>
    <w:rsid w:val="0057364B"/>
    <w:rsid w:val="00573C09"/>
    <w:rsid w:val="00574773"/>
    <w:rsid w:val="005761EC"/>
    <w:rsid w:val="00576E34"/>
    <w:rsid w:val="00577C07"/>
    <w:rsid w:val="00577DB1"/>
    <w:rsid w:val="00577F41"/>
    <w:rsid w:val="00580AD3"/>
    <w:rsid w:val="00580DE7"/>
    <w:rsid w:val="005810E1"/>
    <w:rsid w:val="005820CD"/>
    <w:rsid w:val="00582459"/>
    <w:rsid w:val="005827C6"/>
    <w:rsid w:val="0058364F"/>
    <w:rsid w:val="00583BDD"/>
    <w:rsid w:val="00583E52"/>
    <w:rsid w:val="00583FFD"/>
    <w:rsid w:val="00584252"/>
    <w:rsid w:val="005848DD"/>
    <w:rsid w:val="0058519A"/>
    <w:rsid w:val="005856BD"/>
    <w:rsid w:val="00585983"/>
    <w:rsid w:val="00586BCA"/>
    <w:rsid w:val="00587038"/>
    <w:rsid w:val="00587B1B"/>
    <w:rsid w:val="00590608"/>
    <w:rsid w:val="00590B28"/>
    <w:rsid w:val="005911BE"/>
    <w:rsid w:val="00591273"/>
    <w:rsid w:val="005912C9"/>
    <w:rsid w:val="00591E9E"/>
    <w:rsid w:val="005927A4"/>
    <w:rsid w:val="00593152"/>
    <w:rsid w:val="00593389"/>
    <w:rsid w:val="00593591"/>
    <w:rsid w:val="00593FE6"/>
    <w:rsid w:val="005943D7"/>
    <w:rsid w:val="005956A3"/>
    <w:rsid w:val="00595958"/>
    <w:rsid w:val="00595CAB"/>
    <w:rsid w:val="0059622E"/>
    <w:rsid w:val="0059687F"/>
    <w:rsid w:val="00597671"/>
    <w:rsid w:val="00597BBF"/>
    <w:rsid w:val="005A030F"/>
    <w:rsid w:val="005A040C"/>
    <w:rsid w:val="005A0463"/>
    <w:rsid w:val="005A0948"/>
    <w:rsid w:val="005A0A03"/>
    <w:rsid w:val="005A10F2"/>
    <w:rsid w:val="005A16C0"/>
    <w:rsid w:val="005A18CF"/>
    <w:rsid w:val="005A2156"/>
    <w:rsid w:val="005A21E0"/>
    <w:rsid w:val="005A2401"/>
    <w:rsid w:val="005A2692"/>
    <w:rsid w:val="005A28FF"/>
    <w:rsid w:val="005A2C09"/>
    <w:rsid w:val="005A3778"/>
    <w:rsid w:val="005A37B0"/>
    <w:rsid w:val="005A3DF8"/>
    <w:rsid w:val="005A4C24"/>
    <w:rsid w:val="005A5549"/>
    <w:rsid w:val="005A566A"/>
    <w:rsid w:val="005A56E0"/>
    <w:rsid w:val="005A5F92"/>
    <w:rsid w:val="005A6032"/>
    <w:rsid w:val="005A70CA"/>
    <w:rsid w:val="005A7ABD"/>
    <w:rsid w:val="005A7CF8"/>
    <w:rsid w:val="005B0EDA"/>
    <w:rsid w:val="005B121D"/>
    <w:rsid w:val="005B26B0"/>
    <w:rsid w:val="005B41C9"/>
    <w:rsid w:val="005B44E6"/>
    <w:rsid w:val="005B4853"/>
    <w:rsid w:val="005B5A17"/>
    <w:rsid w:val="005B6CA1"/>
    <w:rsid w:val="005B7580"/>
    <w:rsid w:val="005B770C"/>
    <w:rsid w:val="005C00F6"/>
    <w:rsid w:val="005C0461"/>
    <w:rsid w:val="005C06ED"/>
    <w:rsid w:val="005C0CE1"/>
    <w:rsid w:val="005C11B8"/>
    <w:rsid w:val="005C16C2"/>
    <w:rsid w:val="005C173A"/>
    <w:rsid w:val="005C18FB"/>
    <w:rsid w:val="005C1D5F"/>
    <w:rsid w:val="005C216C"/>
    <w:rsid w:val="005C2609"/>
    <w:rsid w:val="005C2B30"/>
    <w:rsid w:val="005C31D1"/>
    <w:rsid w:val="005C412B"/>
    <w:rsid w:val="005C41BD"/>
    <w:rsid w:val="005C43EC"/>
    <w:rsid w:val="005C45DD"/>
    <w:rsid w:val="005C4704"/>
    <w:rsid w:val="005C4841"/>
    <w:rsid w:val="005C484D"/>
    <w:rsid w:val="005C4CB1"/>
    <w:rsid w:val="005C612E"/>
    <w:rsid w:val="005C63EC"/>
    <w:rsid w:val="005C70AB"/>
    <w:rsid w:val="005D015C"/>
    <w:rsid w:val="005D2873"/>
    <w:rsid w:val="005D3365"/>
    <w:rsid w:val="005D3F06"/>
    <w:rsid w:val="005D4608"/>
    <w:rsid w:val="005D4B73"/>
    <w:rsid w:val="005D533D"/>
    <w:rsid w:val="005D5645"/>
    <w:rsid w:val="005D5802"/>
    <w:rsid w:val="005D5AA9"/>
    <w:rsid w:val="005D66E6"/>
    <w:rsid w:val="005D7119"/>
    <w:rsid w:val="005D76C8"/>
    <w:rsid w:val="005D7890"/>
    <w:rsid w:val="005D7B4F"/>
    <w:rsid w:val="005E0478"/>
    <w:rsid w:val="005E09B4"/>
    <w:rsid w:val="005E18E8"/>
    <w:rsid w:val="005E19C1"/>
    <w:rsid w:val="005E2194"/>
    <w:rsid w:val="005E24F0"/>
    <w:rsid w:val="005E3113"/>
    <w:rsid w:val="005E36FE"/>
    <w:rsid w:val="005E3854"/>
    <w:rsid w:val="005E3AAC"/>
    <w:rsid w:val="005E3F66"/>
    <w:rsid w:val="005E490F"/>
    <w:rsid w:val="005E4BC9"/>
    <w:rsid w:val="005E5314"/>
    <w:rsid w:val="005E6274"/>
    <w:rsid w:val="005E7724"/>
    <w:rsid w:val="005E7C78"/>
    <w:rsid w:val="005E7FA6"/>
    <w:rsid w:val="005F04A7"/>
    <w:rsid w:val="005F0E3A"/>
    <w:rsid w:val="005F1123"/>
    <w:rsid w:val="005F114F"/>
    <w:rsid w:val="005F18C5"/>
    <w:rsid w:val="005F23DC"/>
    <w:rsid w:val="005F247B"/>
    <w:rsid w:val="005F2A08"/>
    <w:rsid w:val="005F36CC"/>
    <w:rsid w:val="005F3EB1"/>
    <w:rsid w:val="005F413E"/>
    <w:rsid w:val="005F466B"/>
    <w:rsid w:val="005F46D8"/>
    <w:rsid w:val="005F480F"/>
    <w:rsid w:val="005F5271"/>
    <w:rsid w:val="005F5469"/>
    <w:rsid w:val="005F61BF"/>
    <w:rsid w:val="005F63F3"/>
    <w:rsid w:val="005F66F0"/>
    <w:rsid w:val="005F6B2D"/>
    <w:rsid w:val="005F6D7F"/>
    <w:rsid w:val="005F6DFE"/>
    <w:rsid w:val="005F7174"/>
    <w:rsid w:val="00600ECB"/>
    <w:rsid w:val="00601191"/>
    <w:rsid w:val="0060120D"/>
    <w:rsid w:val="006017C1"/>
    <w:rsid w:val="00601ADE"/>
    <w:rsid w:val="00601EEF"/>
    <w:rsid w:val="0060255A"/>
    <w:rsid w:val="00602998"/>
    <w:rsid w:val="00602EB3"/>
    <w:rsid w:val="00603273"/>
    <w:rsid w:val="00603787"/>
    <w:rsid w:val="00604307"/>
    <w:rsid w:val="0060487F"/>
    <w:rsid w:val="00604EAD"/>
    <w:rsid w:val="0060513F"/>
    <w:rsid w:val="006065E2"/>
    <w:rsid w:val="0060694B"/>
    <w:rsid w:val="00607DBA"/>
    <w:rsid w:val="006104FB"/>
    <w:rsid w:val="00610E23"/>
    <w:rsid w:val="0061176D"/>
    <w:rsid w:val="00611866"/>
    <w:rsid w:val="0061200F"/>
    <w:rsid w:val="006125EF"/>
    <w:rsid w:val="00612680"/>
    <w:rsid w:val="00612756"/>
    <w:rsid w:val="00612A2F"/>
    <w:rsid w:val="00612A85"/>
    <w:rsid w:val="00612AA0"/>
    <w:rsid w:val="00612AAE"/>
    <w:rsid w:val="00612B07"/>
    <w:rsid w:val="00612FD9"/>
    <w:rsid w:val="006139E0"/>
    <w:rsid w:val="00613C26"/>
    <w:rsid w:val="00614D35"/>
    <w:rsid w:val="006155BA"/>
    <w:rsid w:val="006156B4"/>
    <w:rsid w:val="00615DAF"/>
    <w:rsid w:val="00616254"/>
    <w:rsid w:val="0061672A"/>
    <w:rsid w:val="00616A46"/>
    <w:rsid w:val="00616E05"/>
    <w:rsid w:val="006176EF"/>
    <w:rsid w:val="00617939"/>
    <w:rsid w:val="00617985"/>
    <w:rsid w:val="006205C7"/>
    <w:rsid w:val="00620641"/>
    <w:rsid w:val="00620B77"/>
    <w:rsid w:val="00621190"/>
    <w:rsid w:val="0062131B"/>
    <w:rsid w:val="00621D46"/>
    <w:rsid w:val="00621E26"/>
    <w:rsid w:val="00621E77"/>
    <w:rsid w:val="006224EA"/>
    <w:rsid w:val="0062263A"/>
    <w:rsid w:val="006227DF"/>
    <w:rsid w:val="006234A0"/>
    <w:rsid w:val="006236C8"/>
    <w:rsid w:val="00624093"/>
    <w:rsid w:val="00625A84"/>
    <w:rsid w:val="00626079"/>
    <w:rsid w:val="00626F0E"/>
    <w:rsid w:val="00631698"/>
    <w:rsid w:val="00631E44"/>
    <w:rsid w:val="00632874"/>
    <w:rsid w:val="00634C57"/>
    <w:rsid w:val="00634CE7"/>
    <w:rsid w:val="006350D5"/>
    <w:rsid w:val="0063642C"/>
    <w:rsid w:val="0063723A"/>
    <w:rsid w:val="006376B3"/>
    <w:rsid w:val="00637858"/>
    <w:rsid w:val="006404A7"/>
    <w:rsid w:val="006407EB"/>
    <w:rsid w:val="0064086F"/>
    <w:rsid w:val="00640A38"/>
    <w:rsid w:val="00640BA6"/>
    <w:rsid w:val="00640E6B"/>
    <w:rsid w:val="00641787"/>
    <w:rsid w:val="0064179B"/>
    <w:rsid w:val="00641BBD"/>
    <w:rsid w:val="00642489"/>
    <w:rsid w:val="0064378A"/>
    <w:rsid w:val="00644055"/>
    <w:rsid w:val="00644137"/>
    <w:rsid w:val="0064478C"/>
    <w:rsid w:val="00645160"/>
    <w:rsid w:val="006451E4"/>
    <w:rsid w:val="0064574B"/>
    <w:rsid w:val="00645B33"/>
    <w:rsid w:val="00646C3A"/>
    <w:rsid w:val="00647074"/>
    <w:rsid w:val="006476D7"/>
    <w:rsid w:val="006516CB"/>
    <w:rsid w:val="0065235A"/>
    <w:rsid w:val="00652E30"/>
    <w:rsid w:val="00653601"/>
    <w:rsid w:val="00653BD0"/>
    <w:rsid w:val="00654110"/>
    <w:rsid w:val="006547DA"/>
    <w:rsid w:val="00656C5D"/>
    <w:rsid w:val="00656CFB"/>
    <w:rsid w:val="00656D25"/>
    <w:rsid w:val="006574EA"/>
    <w:rsid w:val="00657977"/>
    <w:rsid w:val="00657E87"/>
    <w:rsid w:val="00660533"/>
    <w:rsid w:val="0066096D"/>
    <w:rsid w:val="00660C64"/>
    <w:rsid w:val="00660CD3"/>
    <w:rsid w:val="00660D2D"/>
    <w:rsid w:val="00661745"/>
    <w:rsid w:val="00661C41"/>
    <w:rsid w:val="00661C99"/>
    <w:rsid w:val="00661EC9"/>
    <w:rsid w:val="00662469"/>
    <w:rsid w:val="006627FF"/>
    <w:rsid w:val="00662860"/>
    <w:rsid w:val="0066345F"/>
    <w:rsid w:val="0066411C"/>
    <w:rsid w:val="00664205"/>
    <w:rsid w:val="00664647"/>
    <w:rsid w:val="00664803"/>
    <w:rsid w:val="0066502F"/>
    <w:rsid w:val="0066539A"/>
    <w:rsid w:val="006653CC"/>
    <w:rsid w:val="00665501"/>
    <w:rsid w:val="00665769"/>
    <w:rsid w:val="00665982"/>
    <w:rsid w:val="00665BA4"/>
    <w:rsid w:val="00666104"/>
    <w:rsid w:val="00666BF3"/>
    <w:rsid w:val="00667856"/>
    <w:rsid w:val="00667AF2"/>
    <w:rsid w:val="00667F4A"/>
    <w:rsid w:val="00670489"/>
    <w:rsid w:val="006710C9"/>
    <w:rsid w:val="00671564"/>
    <w:rsid w:val="00671D85"/>
    <w:rsid w:val="00672257"/>
    <w:rsid w:val="00672586"/>
    <w:rsid w:val="006727BC"/>
    <w:rsid w:val="00673F39"/>
    <w:rsid w:val="006741CD"/>
    <w:rsid w:val="006748EA"/>
    <w:rsid w:val="00674D89"/>
    <w:rsid w:val="0067514E"/>
    <w:rsid w:val="00675E37"/>
    <w:rsid w:val="006760B8"/>
    <w:rsid w:val="0067635D"/>
    <w:rsid w:val="00676736"/>
    <w:rsid w:val="006767F8"/>
    <w:rsid w:val="006769A4"/>
    <w:rsid w:val="006769C6"/>
    <w:rsid w:val="00676D76"/>
    <w:rsid w:val="00676F9F"/>
    <w:rsid w:val="00677519"/>
    <w:rsid w:val="00677591"/>
    <w:rsid w:val="00677594"/>
    <w:rsid w:val="00677FA3"/>
    <w:rsid w:val="0068032F"/>
    <w:rsid w:val="00680D37"/>
    <w:rsid w:val="0068174E"/>
    <w:rsid w:val="00681797"/>
    <w:rsid w:val="00681DCE"/>
    <w:rsid w:val="00682110"/>
    <w:rsid w:val="0068260E"/>
    <w:rsid w:val="006839EB"/>
    <w:rsid w:val="00683C4F"/>
    <w:rsid w:val="006846B3"/>
    <w:rsid w:val="00684B9B"/>
    <w:rsid w:val="00684C96"/>
    <w:rsid w:val="00684D59"/>
    <w:rsid w:val="00684E25"/>
    <w:rsid w:val="006858A4"/>
    <w:rsid w:val="00685C08"/>
    <w:rsid w:val="00686718"/>
    <w:rsid w:val="00686BFA"/>
    <w:rsid w:val="00686D6A"/>
    <w:rsid w:val="00686DED"/>
    <w:rsid w:val="006875A0"/>
    <w:rsid w:val="006878C6"/>
    <w:rsid w:val="00687B85"/>
    <w:rsid w:val="00687D27"/>
    <w:rsid w:val="00690A0C"/>
    <w:rsid w:val="006911ED"/>
    <w:rsid w:val="00691943"/>
    <w:rsid w:val="00693550"/>
    <w:rsid w:val="00693D9B"/>
    <w:rsid w:val="00693F29"/>
    <w:rsid w:val="00694467"/>
    <w:rsid w:val="00694622"/>
    <w:rsid w:val="00695065"/>
    <w:rsid w:val="00695BEF"/>
    <w:rsid w:val="0069610F"/>
    <w:rsid w:val="00696251"/>
    <w:rsid w:val="00696689"/>
    <w:rsid w:val="006966C7"/>
    <w:rsid w:val="006968C1"/>
    <w:rsid w:val="006977F6"/>
    <w:rsid w:val="00697A13"/>
    <w:rsid w:val="006A085E"/>
    <w:rsid w:val="006A0B96"/>
    <w:rsid w:val="006A0DD4"/>
    <w:rsid w:val="006A109C"/>
    <w:rsid w:val="006A1C31"/>
    <w:rsid w:val="006A23F2"/>
    <w:rsid w:val="006A26DA"/>
    <w:rsid w:val="006A3A42"/>
    <w:rsid w:val="006A4E91"/>
    <w:rsid w:val="006A5F4B"/>
    <w:rsid w:val="006A6114"/>
    <w:rsid w:val="006A6233"/>
    <w:rsid w:val="006A6565"/>
    <w:rsid w:val="006A7665"/>
    <w:rsid w:val="006A7691"/>
    <w:rsid w:val="006A7EE2"/>
    <w:rsid w:val="006B0514"/>
    <w:rsid w:val="006B0F92"/>
    <w:rsid w:val="006B1A3F"/>
    <w:rsid w:val="006B2785"/>
    <w:rsid w:val="006B27C7"/>
    <w:rsid w:val="006B344A"/>
    <w:rsid w:val="006B3B67"/>
    <w:rsid w:val="006B3FBA"/>
    <w:rsid w:val="006B4B60"/>
    <w:rsid w:val="006B5898"/>
    <w:rsid w:val="006B58C9"/>
    <w:rsid w:val="006B60ED"/>
    <w:rsid w:val="006B662A"/>
    <w:rsid w:val="006B6CC5"/>
    <w:rsid w:val="006B74AC"/>
    <w:rsid w:val="006B78D8"/>
    <w:rsid w:val="006B79EA"/>
    <w:rsid w:val="006C0C5D"/>
    <w:rsid w:val="006C0CFA"/>
    <w:rsid w:val="006C113F"/>
    <w:rsid w:val="006C123E"/>
    <w:rsid w:val="006C15A1"/>
    <w:rsid w:val="006C1752"/>
    <w:rsid w:val="006C177F"/>
    <w:rsid w:val="006C1DDC"/>
    <w:rsid w:val="006C1FD3"/>
    <w:rsid w:val="006C2764"/>
    <w:rsid w:val="006C28CA"/>
    <w:rsid w:val="006C2BBF"/>
    <w:rsid w:val="006C2EAB"/>
    <w:rsid w:val="006C2FBD"/>
    <w:rsid w:val="006C3336"/>
    <w:rsid w:val="006C3495"/>
    <w:rsid w:val="006C37C5"/>
    <w:rsid w:val="006C4355"/>
    <w:rsid w:val="006C4587"/>
    <w:rsid w:val="006C469D"/>
    <w:rsid w:val="006C46B5"/>
    <w:rsid w:val="006C484F"/>
    <w:rsid w:val="006C52EC"/>
    <w:rsid w:val="006C5506"/>
    <w:rsid w:val="006C56D4"/>
    <w:rsid w:val="006C5980"/>
    <w:rsid w:val="006C5FD8"/>
    <w:rsid w:val="006C6407"/>
    <w:rsid w:val="006C6681"/>
    <w:rsid w:val="006C683C"/>
    <w:rsid w:val="006C6924"/>
    <w:rsid w:val="006C6C1E"/>
    <w:rsid w:val="006C7076"/>
    <w:rsid w:val="006C7518"/>
    <w:rsid w:val="006C7981"/>
    <w:rsid w:val="006C7AEC"/>
    <w:rsid w:val="006C7CA6"/>
    <w:rsid w:val="006D022C"/>
    <w:rsid w:val="006D18B3"/>
    <w:rsid w:val="006D1E89"/>
    <w:rsid w:val="006D26CE"/>
    <w:rsid w:val="006D317E"/>
    <w:rsid w:val="006D3E8A"/>
    <w:rsid w:val="006D47D9"/>
    <w:rsid w:val="006D4F16"/>
    <w:rsid w:val="006D61F6"/>
    <w:rsid w:val="006D68E0"/>
    <w:rsid w:val="006D7208"/>
    <w:rsid w:val="006D74F7"/>
    <w:rsid w:val="006E023D"/>
    <w:rsid w:val="006E0EBE"/>
    <w:rsid w:val="006E0F83"/>
    <w:rsid w:val="006E1081"/>
    <w:rsid w:val="006E1332"/>
    <w:rsid w:val="006E19CB"/>
    <w:rsid w:val="006E279A"/>
    <w:rsid w:val="006E313B"/>
    <w:rsid w:val="006E34B2"/>
    <w:rsid w:val="006E3A45"/>
    <w:rsid w:val="006E3C3D"/>
    <w:rsid w:val="006E4078"/>
    <w:rsid w:val="006E4547"/>
    <w:rsid w:val="006E4BCB"/>
    <w:rsid w:val="006E4EB9"/>
    <w:rsid w:val="006E51C4"/>
    <w:rsid w:val="006E53AD"/>
    <w:rsid w:val="006E56AE"/>
    <w:rsid w:val="006E58CB"/>
    <w:rsid w:val="006E5F68"/>
    <w:rsid w:val="006E6A93"/>
    <w:rsid w:val="006E7227"/>
    <w:rsid w:val="006E761A"/>
    <w:rsid w:val="006F04C5"/>
    <w:rsid w:val="006F0646"/>
    <w:rsid w:val="006F0741"/>
    <w:rsid w:val="006F1C27"/>
    <w:rsid w:val="006F2A65"/>
    <w:rsid w:val="006F3367"/>
    <w:rsid w:val="006F348F"/>
    <w:rsid w:val="006F3DD6"/>
    <w:rsid w:val="006F40DF"/>
    <w:rsid w:val="006F41FE"/>
    <w:rsid w:val="006F42BB"/>
    <w:rsid w:val="006F438E"/>
    <w:rsid w:val="006F440B"/>
    <w:rsid w:val="006F48A3"/>
    <w:rsid w:val="006F4C21"/>
    <w:rsid w:val="006F4DA4"/>
    <w:rsid w:val="006F5416"/>
    <w:rsid w:val="006F624B"/>
    <w:rsid w:val="006F6D87"/>
    <w:rsid w:val="006F6EB9"/>
    <w:rsid w:val="006F6FBF"/>
    <w:rsid w:val="006F6FF2"/>
    <w:rsid w:val="006F79FB"/>
    <w:rsid w:val="007008A9"/>
    <w:rsid w:val="00700E8A"/>
    <w:rsid w:val="007012CB"/>
    <w:rsid w:val="00701691"/>
    <w:rsid w:val="00701955"/>
    <w:rsid w:val="0070398A"/>
    <w:rsid w:val="00703F21"/>
    <w:rsid w:val="00704210"/>
    <w:rsid w:val="00705242"/>
    <w:rsid w:val="007055E0"/>
    <w:rsid w:val="007056ED"/>
    <w:rsid w:val="00705D62"/>
    <w:rsid w:val="00705DF2"/>
    <w:rsid w:val="00705F4E"/>
    <w:rsid w:val="0070658E"/>
    <w:rsid w:val="007065C5"/>
    <w:rsid w:val="007068E1"/>
    <w:rsid w:val="00706AA0"/>
    <w:rsid w:val="00706AD4"/>
    <w:rsid w:val="00707150"/>
    <w:rsid w:val="007071C2"/>
    <w:rsid w:val="00707991"/>
    <w:rsid w:val="007124D7"/>
    <w:rsid w:val="00712913"/>
    <w:rsid w:val="00712C20"/>
    <w:rsid w:val="00713549"/>
    <w:rsid w:val="007140BE"/>
    <w:rsid w:val="007147AB"/>
    <w:rsid w:val="00714D1E"/>
    <w:rsid w:val="00715502"/>
    <w:rsid w:val="00715D01"/>
    <w:rsid w:val="00715E4D"/>
    <w:rsid w:val="00715F12"/>
    <w:rsid w:val="0071677A"/>
    <w:rsid w:val="00716F48"/>
    <w:rsid w:val="007170FB"/>
    <w:rsid w:val="00717114"/>
    <w:rsid w:val="0071779F"/>
    <w:rsid w:val="00720310"/>
    <w:rsid w:val="00720D7A"/>
    <w:rsid w:val="007211F5"/>
    <w:rsid w:val="007213C3"/>
    <w:rsid w:val="0072145E"/>
    <w:rsid w:val="007214EE"/>
    <w:rsid w:val="00721601"/>
    <w:rsid w:val="00722777"/>
    <w:rsid w:val="00722B11"/>
    <w:rsid w:val="00723435"/>
    <w:rsid w:val="00723436"/>
    <w:rsid w:val="007234D4"/>
    <w:rsid w:val="00723553"/>
    <w:rsid w:val="0072382D"/>
    <w:rsid w:val="007240E2"/>
    <w:rsid w:val="0072454C"/>
    <w:rsid w:val="0072526D"/>
    <w:rsid w:val="0072583E"/>
    <w:rsid w:val="00725BB5"/>
    <w:rsid w:val="00725F9D"/>
    <w:rsid w:val="007276DF"/>
    <w:rsid w:val="00727A7C"/>
    <w:rsid w:val="00727C02"/>
    <w:rsid w:val="00727C94"/>
    <w:rsid w:val="0073008E"/>
    <w:rsid w:val="0073044E"/>
    <w:rsid w:val="00730A8B"/>
    <w:rsid w:val="00730AE8"/>
    <w:rsid w:val="00730F1B"/>
    <w:rsid w:val="0073186D"/>
    <w:rsid w:val="0073260E"/>
    <w:rsid w:val="0073261D"/>
    <w:rsid w:val="0073333D"/>
    <w:rsid w:val="00733638"/>
    <w:rsid w:val="007343D9"/>
    <w:rsid w:val="00734926"/>
    <w:rsid w:val="00734AFC"/>
    <w:rsid w:val="00734F71"/>
    <w:rsid w:val="00735448"/>
    <w:rsid w:val="007359EC"/>
    <w:rsid w:val="00736F07"/>
    <w:rsid w:val="00737369"/>
    <w:rsid w:val="007377BD"/>
    <w:rsid w:val="00737DEC"/>
    <w:rsid w:val="0074004D"/>
    <w:rsid w:val="00740D1F"/>
    <w:rsid w:val="00741493"/>
    <w:rsid w:val="0074154A"/>
    <w:rsid w:val="007418E2"/>
    <w:rsid w:val="00741B02"/>
    <w:rsid w:val="00741E79"/>
    <w:rsid w:val="00741F2A"/>
    <w:rsid w:val="00742227"/>
    <w:rsid w:val="007434E5"/>
    <w:rsid w:val="007435CC"/>
    <w:rsid w:val="00743A94"/>
    <w:rsid w:val="00744237"/>
    <w:rsid w:val="0074499B"/>
    <w:rsid w:val="00744F9D"/>
    <w:rsid w:val="0074501E"/>
    <w:rsid w:val="007450BF"/>
    <w:rsid w:val="0074599A"/>
    <w:rsid w:val="00746F45"/>
    <w:rsid w:val="007471A1"/>
    <w:rsid w:val="007477BD"/>
    <w:rsid w:val="007477DA"/>
    <w:rsid w:val="00747EE9"/>
    <w:rsid w:val="007520B6"/>
    <w:rsid w:val="00752180"/>
    <w:rsid w:val="00752323"/>
    <w:rsid w:val="0075236C"/>
    <w:rsid w:val="007532B7"/>
    <w:rsid w:val="007533A0"/>
    <w:rsid w:val="00753CAB"/>
    <w:rsid w:val="00754A70"/>
    <w:rsid w:val="00754BC9"/>
    <w:rsid w:val="00755202"/>
    <w:rsid w:val="00755D3A"/>
    <w:rsid w:val="00757241"/>
    <w:rsid w:val="0075751D"/>
    <w:rsid w:val="0075763E"/>
    <w:rsid w:val="007578D3"/>
    <w:rsid w:val="007602CF"/>
    <w:rsid w:val="00760391"/>
    <w:rsid w:val="007609C6"/>
    <w:rsid w:val="007609DA"/>
    <w:rsid w:val="007615F3"/>
    <w:rsid w:val="0076175D"/>
    <w:rsid w:val="00761774"/>
    <w:rsid w:val="00761CB5"/>
    <w:rsid w:val="007629D5"/>
    <w:rsid w:val="007632D3"/>
    <w:rsid w:val="007635F8"/>
    <w:rsid w:val="007636D4"/>
    <w:rsid w:val="00763B85"/>
    <w:rsid w:val="007644A2"/>
    <w:rsid w:val="00764974"/>
    <w:rsid w:val="00764D18"/>
    <w:rsid w:val="0076521E"/>
    <w:rsid w:val="00765BCC"/>
    <w:rsid w:val="0076600D"/>
    <w:rsid w:val="007661E9"/>
    <w:rsid w:val="00766460"/>
    <w:rsid w:val="00766A98"/>
    <w:rsid w:val="00767062"/>
    <w:rsid w:val="00767601"/>
    <w:rsid w:val="00767777"/>
    <w:rsid w:val="00767933"/>
    <w:rsid w:val="00767FEB"/>
    <w:rsid w:val="00770AB9"/>
    <w:rsid w:val="00770CFC"/>
    <w:rsid w:val="0077130E"/>
    <w:rsid w:val="007715EE"/>
    <w:rsid w:val="00771972"/>
    <w:rsid w:val="00772279"/>
    <w:rsid w:val="007728DF"/>
    <w:rsid w:val="00772DAB"/>
    <w:rsid w:val="00772FF9"/>
    <w:rsid w:val="0077348B"/>
    <w:rsid w:val="0077399F"/>
    <w:rsid w:val="007743DB"/>
    <w:rsid w:val="0077450B"/>
    <w:rsid w:val="00774D2C"/>
    <w:rsid w:val="00775B09"/>
    <w:rsid w:val="00775E00"/>
    <w:rsid w:val="0077605B"/>
    <w:rsid w:val="00776169"/>
    <w:rsid w:val="00776527"/>
    <w:rsid w:val="00777040"/>
    <w:rsid w:val="00777342"/>
    <w:rsid w:val="0077771B"/>
    <w:rsid w:val="00777CE6"/>
    <w:rsid w:val="00777D57"/>
    <w:rsid w:val="007807ED"/>
    <w:rsid w:val="00780EF1"/>
    <w:rsid w:val="007812D2"/>
    <w:rsid w:val="007815FF"/>
    <w:rsid w:val="00781A91"/>
    <w:rsid w:val="00781AD3"/>
    <w:rsid w:val="00781F36"/>
    <w:rsid w:val="00783576"/>
    <w:rsid w:val="00783B17"/>
    <w:rsid w:val="00784AD3"/>
    <w:rsid w:val="00785778"/>
    <w:rsid w:val="00786C87"/>
    <w:rsid w:val="0078755E"/>
    <w:rsid w:val="007877C9"/>
    <w:rsid w:val="00787E26"/>
    <w:rsid w:val="00790764"/>
    <w:rsid w:val="00790831"/>
    <w:rsid w:val="0079085F"/>
    <w:rsid w:val="00790E96"/>
    <w:rsid w:val="00791005"/>
    <w:rsid w:val="007910F6"/>
    <w:rsid w:val="0079124A"/>
    <w:rsid w:val="00791ACA"/>
    <w:rsid w:val="00793049"/>
    <w:rsid w:val="007930C1"/>
    <w:rsid w:val="00793D78"/>
    <w:rsid w:val="0079420B"/>
    <w:rsid w:val="0079453C"/>
    <w:rsid w:val="00794677"/>
    <w:rsid w:val="00794722"/>
    <w:rsid w:val="00795759"/>
    <w:rsid w:val="00797B18"/>
    <w:rsid w:val="007A0831"/>
    <w:rsid w:val="007A1063"/>
    <w:rsid w:val="007A170B"/>
    <w:rsid w:val="007A1ECA"/>
    <w:rsid w:val="007A20EB"/>
    <w:rsid w:val="007A282C"/>
    <w:rsid w:val="007A293C"/>
    <w:rsid w:val="007A2986"/>
    <w:rsid w:val="007A2A3A"/>
    <w:rsid w:val="007A2A40"/>
    <w:rsid w:val="007A33E2"/>
    <w:rsid w:val="007A3CAF"/>
    <w:rsid w:val="007A4664"/>
    <w:rsid w:val="007A4782"/>
    <w:rsid w:val="007A516D"/>
    <w:rsid w:val="007A5DC6"/>
    <w:rsid w:val="007A5E65"/>
    <w:rsid w:val="007A65E1"/>
    <w:rsid w:val="007A6A6E"/>
    <w:rsid w:val="007A6AAA"/>
    <w:rsid w:val="007A7033"/>
    <w:rsid w:val="007A775D"/>
    <w:rsid w:val="007B04B0"/>
    <w:rsid w:val="007B0587"/>
    <w:rsid w:val="007B0820"/>
    <w:rsid w:val="007B0834"/>
    <w:rsid w:val="007B0E83"/>
    <w:rsid w:val="007B11FA"/>
    <w:rsid w:val="007B1396"/>
    <w:rsid w:val="007B16D6"/>
    <w:rsid w:val="007B1D1B"/>
    <w:rsid w:val="007B2011"/>
    <w:rsid w:val="007B289A"/>
    <w:rsid w:val="007B2CFE"/>
    <w:rsid w:val="007B309B"/>
    <w:rsid w:val="007B34EB"/>
    <w:rsid w:val="007B3D5E"/>
    <w:rsid w:val="007B3DCB"/>
    <w:rsid w:val="007B40E8"/>
    <w:rsid w:val="007B4D1F"/>
    <w:rsid w:val="007B54AE"/>
    <w:rsid w:val="007B5725"/>
    <w:rsid w:val="007B5C1F"/>
    <w:rsid w:val="007B6689"/>
    <w:rsid w:val="007B6747"/>
    <w:rsid w:val="007B6F72"/>
    <w:rsid w:val="007B74AA"/>
    <w:rsid w:val="007B78A7"/>
    <w:rsid w:val="007B7AD1"/>
    <w:rsid w:val="007C0319"/>
    <w:rsid w:val="007C10BD"/>
    <w:rsid w:val="007C162D"/>
    <w:rsid w:val="007C16C3"/>
    <w:rsid w:val="007C1BB1"/>
    <w:rsid w:val="007C1F0C"/>
    <w:rsid w:val="007C1FFB"/>
    <w:rsid w:val="007C2D6F"/>
    <w:rsid w:val="007C2D94"/>
    <w:rsid w:val="007C477C"/>
    <w:rsid w:val="007C4A6B"/>
    <w:rsid w:val="007C505E"/>
    <w:rsid w:val="007C55A7"/>
    <w:rsid w:val="007C5F92"/>
    <w:rsid w:val="007C6227"/>
    <w:rsid w:val="007C64F7"/>
    <w:rsid w:val="007C6BBD"/>
    <w:rsid w:val="007C6D89"/>
    <w:rsid w:val="007C6F5E"/>
    <w:rsid w:val="007C7242"/>
    <w:rsid w:val="007C79C0"/>
    <w:rsid w:val="007D0351"/>
    <w:rsid w:val="007D0382"/>
    <w:rsid w:val="007D0F6B"/>
    <w:rsid w:val="007D14FE"/>
    <w:rsid w:val="007D1A1F"/>
    <w:rsid w:val="007D1FC3"/>
    <w:rsid w:val="007D213B"/>
    <w:rsid w:val="007D2783"/>
    <w:rsid w:val="007D2E18"/>
    <w:rsid w:val="007D36D8"/>
    <w:rsid w:val="007D3EF3"/>
    <w:rsid w:val="007D40DF"/>
    <w:rsid w:val="007D42E5"/>
    <w:rsid w:val="007D4458"/>
    <w:rsid w:val="007D4EB4"/>
    <w:rsid w:val="007D6AF9"/>
    <w:rsid w:val="007D7763"/>
    <w:rsid w:val="007E031B"/>
    <w:rsid w:val="007E0535"/>
    <w:rsid w:val="007E07F2"/>
    <w:rsid w:val="007E0CBA"/>
    <w:rsid w:val="007E0D4A"/>
    <w:rsid w:val="007E1788"/>
    <w:rsid w:val="007E1EE3"/>
    <w:rsid w:val="007E29B4"/>
    <w:rsid w:val="007E2F12"/>
    <w:rsid w:val="007E3627"/>
    <w:rsid w:val="007E3B66"/>
    <w:rsid w:val="007E435A"/>
    <w:rsid w:val="007E442B"/>
    <w:rsid w:val="007E445C"/>
    <w:rsid w:val="007E49F7"/>
    <w:rsid w:val="007E4C70"/>
    <w:rsid w:val="007E4DAA"/>
    <w:rsid w:val="007E52EB"/>
    <w:rsid w:val="007E5B5F"/>
    <w:rsid w:val="007E69C6"/>
    <w:rsid w:val="007E7623"/>
    <w:rsid w:val="007E78B6"/>
    <w:rsid w:val="007E7E61"/>
    <w:rsid w:val="007F0845"/>
    <w:rsid w:val="007F0873"/>
    <w:rsid w:val="007F0910"/>
    <w:rsid w:val="007F20F3"/>
    <w:rsid w:val="007F2353"/>
    <w:rsid w:val="007F2390"/>
    <w:rsid w:val="007F2CAC"/>
    <w:rsid w:val="007F2FC5"/>
    <w:rsid w:val="007F3339"/>
    <w:rsid w:val="007F3CB6"/>
    <w:rsid w:val="007F4740"/>
    <w:rsid w:val="007F566F"/>
    <w:rsid w:val="007F595A"/>
    <w:rsid w:val="007F5C38"/>
    <w:rsid w:val="007F5C85"/>
    <w:rsid w:val="007F6638"/>
    <w:rsid w:val="007F708D"/>
    <w:rsid w:val="007F7E3F"/>
    <w:rsid w:val="008006B3"/>
    <w:rsid w:val="00800B63"/>
    <w:rsid w:val="00800D16"/>
    <w:rsid w:val="0080158A"/>
    <w:rsid w:val="00801E13"/>
    <w:rsid w:val="00803008"/>
    <w:rsid w:val="00803069"/>
    <w:rsid w:val="0080346B"/>
    <w:rsid w:val="00804155"/>
    <w:rsid w:val="00804C9F"/>
    <w:rsid w:val="0080559E"/>
    <w:rsid w:val="00805A7E"/>
    <w:rsid w:val="00805AF3"/>
    <w:rsid w:val="00806C53"/>
    <w:rsid w:val="00806C9C"/>
    <w:rsid w:val="008071B1"/>
    <w:rsid w:val="0080734C"/>
    <w:rsid w:val="0080774F"/>
    <w:rsid w:val="00807B47"/>
    <w:rsid w:val="00807C82"/>
    <w:rsid w:val="008112A0"/>
    <w:rsid w:val="008117CC"/>
    <w:rsid w:val="00811FF8"/>
    <w:rsid w:val="008132F7"/>
    <w:rsid w:val="00813601"/>
    <w:rsid w:val="00813AED"/>
    <w:rsid w:val="00813AF4"/>
    <w:rsid w:val="00813D58"/>
    <w:rsid w:val="00813DCA"/>
    <w:rsid w:val="0081535D"/>
    <w:rsid w:val="00815B5D"/>
    <w:rsid w:val="008161A6"/>
    <w:rsid w:val="008165B8"/>
    <w:rsid w:val="008167EC"/>
    <w:rsid w:val="00816905"/>
    <w:rsid w:val="00816D98"/>
    <w:rsid w:val="00816E42"/>
    <w:rsid w:val="00817040"/>
    <w:rsid w:val="008172A9"/>
    <w:rsid w:val="00817A17"/>
    <w:rsid w:val="00817EC1"/>
    <w:rsid w:val="00821092"/>
    <w:rsid w:val="0082112D"/>
    <w:rsid w:val="00821624"/>
    <w:rsid w:val="00821FF6"/>
    <w:rsid w:val="00822574"/>
    <w:rsid w:val="00822980"/>
    <w:rsid w:val="00822F08"/>
    <w:rsid w:val="00824075"/>
    <w:rsid w:val="00824BA6"/>
    <w:rsid w:val="00825007"/>
    <w:rsid w:val="00825120"/>
    <w:rsid w:val="00825406"/>
    <w:rsid w:val="00825C4D"/>
    <w:rsid w:val="00826A08"/>
    <w:rsid w:val="00826AC0"/>
    <w:rsid w:val="00826AE7"/>
    <w:rsid w:val="00826D45"/>
    <w:rsid w:val="00827186"/>
    <w:rsid w:val="00827C8E"/>
    <w:rsid w:val="00830569"/>
    <w:rsid w:val="00830AEA"/>
    <w:rsid w:val="00830E86"/>
    <w:rsid w:val="0083143E"/>
    <w:rsid w:val="008315B8"/>
    <w:rsid w:val="008315D5"/>
    <w:rsid w:val="00831CDE"/>
    <w:rsid w:val="00831F2B"/>
    <w:rsid w:val="008320CF"/>
    <w:rsid w:val="008324A3"/>
    <w:rsid w:val="0083295B"/>
    <w:rsid w:val="00832F77"/>
    <w:rsid w:val="00834304"/>
    <w:rsid w:val="0083471A"/>
    <w:rsid w:val="00834CC3"/>
    <w:rsid w:val="00834FAA"/>
    <w:rsid w:val="008354FB"/>
    <w:rsid w:val="0083569D"/>
    <w:rsid w:val="00835FF1"/>
    <w:rsid w:val="00836086"/>
    <w:rsid w:val="0083630F"/>
    <w:rsid w:val="00836A06"/>
    <w:rsid w:val="00836B5C"/>
    <w:rsid w:val="008374BC"/>
    <w:rsid w:val="008379D6"/>
    <w:rsid w:val="00837E48"/>
    <w:rsid w:val="00840293"/>
    <w:rsid w:val="008402AD"/>
    <w:rsid w:val="00840503"/>
    <w:rsid w:val="008408D4"/>
    <w:rsid w:val="008417B5"/>
    <w:rsid w:val="0084184A"/>
    <w:rsid w:val="00841901"/>
    <w:rsid w:val="00843143"/>
    <w:rsid w:val="008431BB"/>
    <w:rsid w:val="00844C3B"/>
    <w:rsid w:val="008458BD"/>
    <w:rsid w:val="00846121"/>
    <w:rsid w:val="00846130"/>
    <w:rsid w:val="008461C2"/>
    <w:rsid w:val="008462F1"/>
    <w:rsid w:val="008466C6"/>
    <w:rsid w:val="0084708F"/>
    <w:rsid w:val="00847627"/>
    <w:rsid w:val="008477C8"/>
    <w:rsid w:val="008478A6"/>
    <w:rsid w:val="00847CD6"/>
    <w:rsid w:val="008502F6"/>
    <w:rsid w:val="0085036C"/>
    <w:rsid w:val="00850E83"/>
    <w:rsid w:val="0085114D"/>
    <w:rsid w:val="00851163"/>
    <w:rsid w:val="008520A8"/>
    <w:rsid w:val="00852217"/>
    <w:rsid w:val="0085291E"/>
    <w:rsid w:val="00853282"/>
    <w:rsid w:val="0085334C"/>
    <w:rsid w:val="00853455"/>
    <w:rsid w:val="00854291"/>
    <w:rsid w:val="00855408"/>
    <w:rsid w:val="00855D03"/>
    <w:rsid w:val="00856D65"/>
    <w:rsid w:val="00856FA4"/>
    <w:rsid w:val="00857DB4"/>
    <w:rsid w:val="00860D79"/>
    <w:rsid w:val="00861B41"/>
    <w:rsid w:val="00861B9F"/>
    <w:rsid w:val="00861BE3"/>
    <w:rsid w:val="00861EB6"/>
    <w:rsid w:val="008625D3"/>
    <w:rsid w:val="00862A30"/>
    <w:rsid w:val="00862C0A"/>
    <w:rsid w:val="00863434"/>
    <w:rsid w:val="0086344F"/>
    <w:rsid w:val="008641AC"/>
    <w:rsid w:val="00865E4C"/>
    <w:rsid w:val="00866074"/>
    <w:rsid w:val="00867546"/>
    <w:rsid w:val="0086796D"/>
    <w:rsid w:val="008679A5"/>
    <w:rsid w:val="00867B7B"/>
    <w:rsid w:val="00867DAB"/>
    <w:rsid w:val="0087000B"/>
    <w:rsid w:val="008701E4"/>
    <w:rsid w:val="008704E9"/>
    <w:rsid w:val="008705FB"/>
    <w:rsid w:val="008706B0"/>
    <w:rsid w:val="00870ECD"/>
    <w:rsid w:val="00871125"/>
    <w:rsid w:val="008716E0"/>
    <w:rsid w:val="008720B3"/>
    <w:rsid w:val="00872F9F"/>
    <w:rsid w:val="0087347C"/>
    <w:rsid w:val="008734E7"/>
    <w:rsid w:val="0087368D"/>
    <w:rsid w:val="008739FA"/>
    <w:rsid w:val="008740CC"/>
    <w:rsid w:val="0087442A"/>
    <w:rsid w:val="00874578"/>
    <w:rsid w:val="00874624"/>
    <w:rsid w:val="00874962"/>
    <w:rsid w:val="00874FE8"/>
    <w:rsid w:val="0087554A"/>
    <w:rsid w:val="0087573C"/>
    <w:rsid w:val="00875A32"/>
    <w:rsid w:val="00875CC1"/>
    <w:rsid w:val="00876086"/>
    <w:rsid w:val="0087616B"/>
    <w:rsid w:val="00876651"/>
    <w:rsid w:val="00876E06"/>
    <w:rsid w:val="00876E83"/>
    <w:rsid w:val="0087722C"/>
    <w:rsid w:val="008772BC"/>
    <w:rsid w:val="00880A0E"/>
    <w:rsid w:val="00880F17"/>
    <w:rsid w:val="008817FE"/>
    <w:rsid w:val="00881CD7"/>
    <w:rsid w:val="00882911"/>
    <w:rsid w:val="00882F6E"/>
    <w:rsid w:val="00883202"/>
    <w:rsid w:val="008842AA"/>
    <w:rsid w:val="008847B8"/>
    <w:rsid w:val="00884E02"/>
    <w:rsid w:val="0088502B"/>
    <w:rsid w:val="00885D40"/>
    <w:rsid w:val="00886032"/>
    <w:rsid w:val="00886274"/>
    <w:rsid w:val="0088673E"/>
    <w:rsid w:val="00886926"/>
    <w:rsid w:val="008873D4"/>
    <w:rsid w:val="00887911"/>
    <w:rsid w:val="00890CB1"/>
    <w:rsid w:val="00891EDF"/>
    <w:rsid w:val="00892872"/>
    <w:rsid w:val="0089296D"/>
    <w:rsid w:val="00892A24"/>
    <w:rsid w:val="00893E85"/>
    <w:rsid w:val="00893EBE"/>
    <w:rsid w:val="00894031"/>
    <w:rsid w:val="00894C5D"/>
    <w:rsid w:val="00895114"/>
    <w:rsid w:val="00895508"/>
    <w:rsid w:val="00895797"/>
    <w:rsid w:val="0089651B"/>
    <w:rsid w:val="008967E9"/>
    <w:rsid w:val="00896A5C"/>
    <w:rsid w:val="00897155"/>
    <w:rsid w:val="008972D2"/>
    <w:rsid w:val="0089754C"/>
    <w:rsid w:val="00897CFA"/>
    <w:rsid w:val="008A0659"/>
    <w:rsid w:val="008A0ADD"/>
    <w:rsid w:val="008A0D27"/>
    <w:rsid w:val="008A1C59"/>
    <w:rsid w:val="008A2046"/>
    <w:rsid w:val="008A208B"/>
    <w:rsid w:val="008A30B3"/>
    <w:rsid w:val="008A37E2"/>
    <w:rsid w:val="008A388E"/>
    <w:rsid w:val="008A394E"/>
    <w:rsid w:val="008A3CBA"/>
    <w:rsid w:val="008A48E1"/>
    <w:rsid w:val="008A4B59"/>
    <w:rsid w:val="008A5116"/>
    <w:rsid w:val="008A63E1"/>
    <w:rsid w:val="008A6475"/>
    <w:rsid w:val="008A66B7"/>
    <w:rsid w:val="008A68BB"/>
    <w:rsid w:val="008A6AA5"/>
    <w:rsid w:val="008A7127"/>
    <w:rsid w:val="008A7597"/>
    <w:rsid w:val="008B06C2"/>
    <w:rsid w:val="008B0CBA"/>
    <w:rsid w:val="008B1792"/>
    <w:rsid w:val="008B1850"/>
    <w:rsid w:val="008B2639"/>
    <w:rsid w:val="008B2D31"/>
    <w:rsid w:val="008B3537"/>
    <w:rsid w:val="008B3690"/>
    <w:rsid w:val="008B3A80"/>
    <w:rsid w:val="008B3AEC"/>
    <w:rsid w:val="008B3C07"/>
    <w:rsid w:val="008B3F7B"/>
    <w:rsid w:val="008B4242"/>
    <w:rsid w:val="008B43CA"/>
    <w:rsid w:val="008B5324"/>
    <w:rsid w:val="008B5C99"/>
    <w:rsid w:val="008B6106"/>
    <w:rsid w:val="008B6409"/>
    <w:rsid w:val="008B7C02"/>
    <w:rsid w:val="008B7D2B"/>
    <w:rsid w:val="008B7EF9"/>
    <w:rsid w:val="008C0049"/>
    <w:rsid w:val="008C0314"/>
    <w:rsid w:val="008C0A94"/>
    <w:rsid w:val="008C0E3C"/>
    <w:rsid w:val="008C0E88"/>
    <w:rsid w:val="008C0EBE"/>
    <w:rsid w:val="008C1717"/>
    <w:rsid w:val="008C17F0"/>
    <w:rsid w:val="008C239D"/>
    <w:rsid w:val="008C3A32"/>
    <w:rsid w:val="008C3B05"/>
    <w:rsid w:val="008C4B50"/>
    <w:rsid w:val="008C5128"/>
    <w:rsid w:val="008C58EF"/>
    <w:rsid w:val="008C5A37"/>
    <w:rsid w:val="008C6EB0"/>
    <w:rsid w:val="008C7569"/>
    <w:rsid w:val="008C79C3"/>
    <w:rsid w:val="008D006F"/>
    <w:rsid w:val="008D033D"/>
    <w:rsid w:val="008D0759"/>
    <w:rsid w:val="008D0DBD"/>
    <w:rsid w:val="008D117E"/>
    <w:rsid w:val="008D127E"/>
    <w:rsid w:val="008D1CA8"/>
    <w:rsid w:val="008D1E0A"/>
    <w:rsid w:val="008D1E6A"/>
    <w:rsid w:val="008D2407"/>
    <w:rsid w:val="008D2A16"/>
    <w:rsid w:val="008D2AEC"/>
    <w:rsid w:val="008D2F75"/>
    <w:rsid w:val="008D3295"/>
    <w:rsid w:val="008D33F5"/>
    <w:rsid w:val="008D35E4"/>
    <w:rsid w:val="008D3ACD"/>
    <w:rsid w:val="008D3CEE"/>
    <w:rsid w:val="008D4200"/>
    <w:rsid w:val="008D5F1D"/>
    <w:rsid w:val="008D6C3A"/>
    <w:rsid w:val="008D70E2"/>
    <w:rsid w:val="008D7F47"/>
    <w:rsid w:val="008E0001"/>
    <w:rsid w:val="008E039E"/>
    <w:rsid w:val="008E0CFA"/>
    <w:rsid w:val="008E292B"/>
    <w:rsid w:val="008E2C57"/>
    <w:rsid w:val="008E31FF"/>
    <w:rsid w:val="008E3287"/>
    <w:rsid w:val="008E38E4"/>
    <w:rsid w:val="008E3C67"/>
    <w:rsid w:val="008E3DFA"/>
    <w:rsid w:val="008E3E88"/>
    <w:rsid w:val="008E490D"/>
    <w:rsid w:val="008E51EB"/>
    <w:rsid w:val="008E5746"/>
    <w:rsid w:val="008E64D7"/>
    <w:rsid w:val="008E69F6"/>
    <w:rsid w:val="008E6CA2"/>
    <w:rsid w:val="008E6DCB"/>
    <w:rsid w:val="008E6F06"/>
    <w:rsid w:val="008E7000"/>
    <w:rsid w:val="008E723E"/>
    <w:rsid w:val="008E7B8E"/>
    <w:rsid w:val="008E7FC9"/>
    <w:rsid w:val="008F0107"/>
    <w:rsid w:val="008F029B"/>
    <w:rsid w:val="008F0589"/>
    <w:rsid w:val="008F115A"/>
    <w:rsid w:val="008F2A5D"/>
    <w:rsid w:val="008F2BC7"/>
    <w:rsid w:val="008F2E83"/>
    <w:rsid w:val="008F3636"/>
    <w:rsid w:val="008F3FC9"/>
    <w:rsid w:val="008F509F"/>
    <w:rsid w:val="008F525A"/>
    <w:rsid w:val="008F5383"/>
    <w:rsid w:val="008F585B"/>
    <w:rsid w:val="008F7FB0"/>
    <w:rsid w:val="009003A8"/>
    <w:rsid w:val="009005E4"/>
    <w:rsid w:val="00900977"/>
    <w:rsid w:val="00900AA5"/>
    <w:rsid w:val="009021DA"/>
    <w:rsid w:val="00902500"/>
    <w:rsid w:val="00902EFF"/>
    <w:rsid w:val="00903A8E"/>
    <w:rsid w:val="0090432C"/>
    <w:rsid w:val="00904F96"/>
    <w:rsid w:val="00905037"/>
    <w:rsid w:val="009052A3"/>
    <w:rsid w:val="00905314"/>
    <w:rsid w:val="009056D7"/>
    <w:rsid w:val="00905B8D"/>
    <w:rsid w:val="00905D90"/>
    <w:rsid w:val="00906401"/>
    <w:rsid w:val="009065CB"/>
    <w:rsid w:val="009067EA"/>
    <w:rsid w:val="00906B79"/>
    <w:rsid w:val="0090786F"/>
    <w:rsid w:val="009079CA"/>
    <w:rsid w:val="0091001E"/>
    <w:rsid w:val="00910C18"/>
    <w:rsid w:val="009110F7"/>
    <w:rsid w:val="009112E3"/>
    <w:rsid w:val="0091155E"/>
    <w:rsid w:val="00912437"/>
    <w:rsid w:val="00912A38"/>
    <w:rsid w:val="00912A92"/>
    <w:rsid w:val="00913237"/>
    <w:rsid w:val="00913B36"/>
    <w:rsid w:val="00913FDA"/>
    <w:rsid w:val="0091476D"/>
    <w:rsid w:val="00914AC7"/>
    <w:rsid w:val="00915D07"/>
    <w:rsid w:val="009160D6"/>
    <w:rsid w:val="009162AE"/>
    <w:rsid w:val="00917154"/>
    <w:rsid w:val="00917251"/>
    <w:rsid w:val="0091728D"/>
    <w:rsid w:val="00917351"/>
    <w:rsid w:val="00917A2B"/>
    <w:rsid w:val="0092036B"/>
    <w:rsid w:val="009203CC"/>
    <w:rsid w:val="00920EC4"/>
    <w:rsid w:val="0092180B"/>
    <w:rsid w:val="00921F14"/>
    <w:rsid w:val="009227A9"/>
    <w:rsid w:val="0092292F"/>
    <w:rsid w:val="00922AAE"/>
    <w:rsid w:val="00922D28"/>
    <w:rsid w:val="00923AE5"/>
    <w:rsid w:val="00923CB0"/>
    <w:rsid w:val="00923D8C"/>
    <w:rsid w:val="00924871"/>
    <w:rsid w:val="009248DB"/>
    <w:rsid w:val="00924AC8"/>
    <w:rsid w:val="00924E73"/>
    <w:rsid w:val="00925429"/>
    <w:rsid w:val="00925615"/>
    <w:rsid w:val="0092572D"/>
    <w:rsid w:val="0092597A"/>
    <w:rsid w:val="00926427"/>
    <w:rsid w:val="00926520"/>
    <w:rsid w:val="00926956"/>
    <w:rsid w:val="00926C8A"/>
    <w:rsid w:val="00926CF0"/>
    <w:rsid w:val="009273A9"/>
    <w:rsid w:val="00927E1A"/>
    <w:rsid w:val="00930251"/>
    <w:rsid w:val="0093033E"/>
    <w:rsid w:val="009305FC"/>
    <w:rsid w:val="00930FB1"/>
    <w:rsid w:val="00931163"/>
    <w:rsid w:val="0093139F"/>
    <w:rsid w:val="00932098"/>
    <w:rsid w:val="00932239"/>
    <w:rsid w:val="00932443"/>
    <w:rsid w:val="00932B32"/>
    <w:rsid w:val="00932BF5"/>
    <w:rsid w:val="00932F45"/>
    <w:rsid w:val="0093305E"/>
    <w:rsid w:val="00933F4A"/>
    <w:rsid w:val="009341F1"/>
    <w:rsid w:val="00934FF2"/>
    <w:rsid w:val="009358D7"/>
    <w:rsid w:val="00935BD4"/>
    <w:rsid w:val="00935DFE"/>
    <w:rsid w:val="00935F70"/>
    <w:rsid w:val="0093648B"/>
    <w:rsid w:val="00936906"/>
    <w:rsid w:val="00937017"/>
    <w:rsid w:val="009373B2"/>
    <w:rsid w:val="009378B2"/>
    <w:rsid w:val="00937AE2"/>
    <w:rsid w:val="00937CE5"/>
    <w:rsid w:val="0094061F"/>
    <w:rsid w:val="00940F0F"/>
    <w:rsid w:val="00940FB0"/>
    <w:rsid w:val="00941912"/>
    <w:rsid w:val="009434A5"/>
    <w:rsid w:val="0094356F"/>
    <w:rsid w:val="00943B66"/>
    <w:rsid w:val="0094416B"/>
    <w:rsid w:val="0094427A"/>
    <w:rsid w:val="009449C6"/>
    <w:rsid w:val="00944C7C"/>
    <w:rsid w:val="00945245"/>
    <w:rsid w:val="00945523"/>
    <w:rsid w:val="0094580E"/>
    <w:rsid w:val="00946C43"/>
    <w:rsid w:val="00950921"/>
    <w:rsid w:val="00951457"/>
    <w:rsid w:val="00951D68"/>
    <w:rsid w:val="00951E5B"/>
    <w:rsid w:val="00952050"/>
    <w:rsid w:val="00952315"/>
    <w:rsid w:val="009523D9"/>
    <w:rsid w:val="00952B7B"/>
    <w:rsid w:val="00952C67"/>
    <w:rsid w:val="0095357B"/>
    <w:rsid w:val="009538B3"/>
    <w:rsid w:val="00953B99"/>
    <w:rsid w:val="00954183"/>
    <w:rsid w:val="00954F39"/>
    <w:rsid w:val="009550A2"/>
    <w:rsid w:val="009550FF"/>
    <w:rsid w:val="009555FD"/>
    <w:rsid w:val="00955655"/>
    <w:rsid w:val="00955BAD"/>
    <w:rsid w:val="00955CDA"/>
    <w:rsid w:val="009560D7"/>
    <w:rsid w:val="009563B3"/>
    <w:rsid w:val="0095664B"/>
    <w:rsid w:val="009566A4"/>
    <w:rsid w:val="009567A9"/>
    <w:rsid w:val="009568DC"/>
    <w:rsid w:val="00957140"/>
    <w:rsid w:val="00957445"/>
    <w:rsid w:val="0095759C"/>
    <w:rsid w:val="0096101F"/>
    <w:rsid w:val="009618EE"/>
    <w:rsid w:val="00961DDD"/>
    <w:rsid w:val="009624D2"/>
    <w:rsid w:val="009628D9"/>
    <w:rsid w:val="009630EB"/>
    <w:rsid w:val="009637AE"/>
    <w:rsid w:val="00963A06"/>
    <w:rsid w:val="00963B36"/>
    <w:rsid w:val="00964068"/>
    <w:rsid w:val="009640F6"/>
    <w:rsid w:val="0096469D"/>
    <w:rsid w:val="00964776"/>
    <w:rsid w:val="00964A4E"/>
    <w:rsid w:val="00964B35"/>
    <w:rsid w:val="00964F43"/>
    <w:rsid w:val="009651C7"/>
    <w:rsid w:val="00965797"/>
    <w:rsid w:val="00965A10"/>
    <w:rsid w:val="00965AD0"/>
    <w:rsid w:val="009670A3"/>
    <w:rsid w:val="009674BE"/>
    <w:rsid w:val="0097053D"/>
    <w:rsid w:val="00970FB5"/>
    <w:rsid w:val="00971710"/>
    <w:rsid w:val="00971B87"/>
    <w:rsid w:val="00971C77"/>
    <w:rsid w:val="00971CDA"/>
    <w:rsid w:val="0097203A"/>
    <w:rsid w:val="00972FCD"/>
    <w:rsid w:val="0097328E"/>
    <w:rsid w:val="00973324"/>
    <w:rsid w:val="009736DF"/>
    <w:rsid w:val="009741AE"/>
    <w:rsid w:val="009741FC"/>
    <w:rsid w:val="0097442F"/>
    <w:rsid w:val="00974782"/>
    <w:rsid w:val="00974923"/>
    <w:rsid w:val="00975909"/>
    <w:rsid w:val="00976631"/>
    <w:rsid w:val="00977C33"/>
    <w:rsid w:val="00977C3D"/>
    <w:rsid w:val="009804F2"/>
    <w:rsid w:val="00980997"/>
    <w:rsid w:val="00980D3D"/>
    <w:rsid w:val="0098103E"/>
    <w:rsid w:val="0098157D"/>
    <w:rsid w:val="00981894"/>
    <w:rsid w:val="00981B62"/>
    <w:rsid w:val="00982CB5"/>
    <w:rsid w:val="00982FEF"/>
    <w:rsid w:val="00983101"/>
    <w:rsid w:val="00983E41"/>
    <w:rsid w:val="009845E1"/>
    <w:rsid w:val="00984CE5"/>
    <w:rsid w:val="00984D1B"/>
    <w:rsid w:val="00985DA3"/>
    <w:rsid w:val="00986246"/>
    <w:rsid w:val="00986EB1"/>
    <w:rsid w:val="00987743"/>
    <w:rsid w:val="00987A2E"/>
    <w:rsid w:val="00987A30"/>
    <w:rsid w:val="00990312"/>
    <w:rsid w:val="009908AF"/>
    <w:rsid w:val="0099182E"/>
    <w:rsid w:val="00991D45"/>
    <w:rsid w:val="00992B49"/>
    <w:rsid w:val="00992BB3"/>
    <w:rsid w:val="00992CF3"/>
    <w:rsid w:val="00992F11"/>
    <w:rsid w:val="00993194"/>
    <w:rsid w:val="0099321E"/>
    <w:rsid w:val="00994171"/>
    <w:rsid w:val="00994868"/>
    <w:rsid w:val="00994976"/>
    <w:rsid w:val="00994D28"/>
    <w:rsid w:val="00994F2C"/>
    <w:rsid w:val="00995720"/>
    <w:rsid w:val="009957CC"/>
    <w:rsid w:val="00996370"/>
    <w:rsid w:val="009968D6"/>
    <w:rsid w:val="0099699F"/>
    <w:rsid w:val="00997646"/>
    <w:rsid w:val="00997953"/>
    <w:rsid w:val="00997D55"/>
    <w:rsid w:val="00997E23"/>
    <w:rsid w:val="009A0BFF"/>
    <w:rsid w:val="009A10A0"/>
    <w:rsid w:val="009A12B7"/>
    <w:rsid w:val="009A16E6"/>
    <w:rsid w:val="009A1CAB"/>
    <w:rsid w:val="009A2359"/>
    <w:rsid w:val="009A24F1"/>
    <w:rsid w:val="009A27E0"/>
    <w:rsid w:val="009A4D57"/>
    <w:rsid w:val="009A4E5E"/>
    <w:rsid w:val="009A51A5"/>
    <w:rsid w:val="009A5309"/>
    <w:rsid w:val="009A5526"/>
    <w:rsid w:val="009A5759"/>
    <w:rsid w:val="009A5E32"/>
    <w:rsid w:val="009A60D1"/>
    <w:rsid w:val="009A6225"/>
    <w:rsid w:val="009A64F5"/>
    <w:rsid w:val="009A6C12"/>
    <w:rsid w:val="009A6D5C"/>
    <w:rsid w:val="009B00D2"/>
    <w:rsid w:val="009B05B3"/>
    <w:rsid w:val="009B0CAF"/>
    <w:rsid w:val="009B1324"/>
    <w:rsid w:val="009B2558"/>
    <w:rsid w:val="009B284F"/>
    <w:rsid w:val="009B2CE4"/>
    <w:rsid w:val="009B3764"/>
    <w:rsid w:val="009B3840"/>
    <w:rsid w:val="009B4B8E"/>
    <w:rsid w:val="009B4F2C"/>
    <w:rsid w:val="009B52AC"/>
    <w:rsid w:val="009B553D"/>
    <w:rsid w:val="009B59EA"/>
    <w:rsid w:val="009B5B6E"/>
    <w:rsid w:val="009B66CE"/>
    <w:rsid w:val="009B6FD3"/>
    <w:rsid w:val="009B72BE"/>
    <w:rsid w:val="009B78A4"/>
    <w:rsid w:val="009B7DB2"/>
    <w:rsid w:val="009C03DB"/>
    <w:rsid w:val="009C047E"/>
    <w:rsid w:val="009C15AF"/>
    <w:rsid w:val="009C1750"/>
    <w:rsid w:val="009C1A5A"/>
    <w:rsid w:val="009C2E29"/>
    <w:rsid w:val="009C3E8F"/>
    <w:rsid w:val="009C4275"/>
    <w:rsid w:val="009C550E"/>
    <w:rsid w:val="009C554B"/>
    <w:rsid w:val="009C5E83"/>
    <w:rsid w:val="009C7126"/>
    <w:rsid w:val="009C719E"/>
    <w:rsid w:val="009C7799"/>
    <w:rsid w:val="009C77AF"/>
    <w:rsid w:val="009D07A9"/>
    <w:rsid w:val="009D0AE2"/>
    <w:rsid w:val="009D0D9F"/>
    <w:rsid w:val="009D0EBB"/>
    <w:rsid w:val="009D12B7"/>
    <w:rsid w:val="009D1FE6"/>
    <w:rsid w:val="009D2038"/>
    <w:rsid w:val="009D25FB"/>
    <w:rsid w:val="009D27D1"/>
    <w:rsid w:val="009D2C46"/>
    <w:rsid w:val="009D370B"/>
    <w:rsid w:val="009D3ACD"/>
    <w:rsid w:val="009D4254"/>
    <w:rsid w:val="009D4F21"/>
    <w:rsid w:val="009D587D"/>
    <w:rsid w:val="009D6EA6"/>
    <w:rsid w:val="009D7731"/>
    <w:rsid w:val="009E00E1"/>
    <w:rsid w:val="009E066D"/>
    <w:rsid w:val="009E1120"/>
    <w:rsid w:val="009E1393"/>
    <w:rsid w:val="009E1922"/>
    <w:rsid w:val="009E1A3D"/>
    <w:rsid w:val="009E1FDE"/>
    <w:rsid w:val="009E22A5"/>
    <w:rsid w:val="009E3388"/>
    <w:rsid w:val="009E3975"/>
    <w:rsid w:val="009E4715"/>
    <w:rsid w:val="009E4A58"/>
    <w:rsid w:val="009E4DFB"/>
    <w:rsid w:val="009E5273"/>
    <w:rsid w:val="009E57A8"/>
    <w:rsid w:val="009E5B85"/>
    <w:rsid w:val="009E5C39"/>
    <w:rsid w:val="009E5DDB"/>
    <w:rsid w:val="009F01E6"/>
    <w:rsid w:val="009F026B"/>
    <w:rsid w:val="009F032E"/>
    <w:rsid w:val="009F1CA6"/>
    <w:rsid w:val="009F23F8"/>
    <w:rsid w:val="009F2921"/>
    <w:rsid w:val="009F42CF"/>
    <w:rsid w:val="009F4982"/>
    <w:rsid w:val="009F4CA7"/>
    <w:rsid w:val="009F4F6A"/>
    <w:rsid w:val="009F55BA"/>
    <w:rsid w:val="009F5A60"/>
    <w:rsid w:val="009F6723"/>
    <w:rsid w:val="009F7BE2"/>
    <w:rsid w:val="009F7D36"/>
    <w:rsid w:val="009F7D61"/>
    <w:rsid w:val="00A00E71"/>
    <w:rsid w:val="00A00E76"/>
    <w:rsid w:val="00A01839"/>
    <w:rsid w:val="00A0187B"/>
    <w:rsid w:val="00A01F1D"/>
    <w:rsid w:val="00A02E8B"/>
    <w:rsid w:val="00A02F2C"/>
    <w:rsid w:val="00A0306F"/>
    <w:rsid w:val="00A032E2"/>
    <w:rsid w:val="00A03511"/>
    <w:rsid w:val="00A03B10"/>
    <w:rsid w:val="00A03E2E"/>
    <w:rsid w:val="00A04616"/>
    <w:rsid w:val="00A04717"/>
    <w:rsid w:val="00A0535F"/>
    <w:rsid w:val="00A05AED"/>
    <w:rsid w:val="00A05D8F"/>
    <w:rsid w:val="00A05EB1"/>
    <w:rsid w:val="00A05EE4"/>
    <w:rsid w:val="00A06280"/>
    <w:rsid w:val="00A06F99"/>
    <w:rsid w:val="00A07730"/>
    <w:rsid w:val="00A1053B"/>
    <w:rsid w:val="00A107F5"/>
    <w:rsid w:val="00A10D66"/>
    <w:rsid w:val="00A113A4"/>
    <w:rsid w:val="00A12A8E"/>
    <w:rsid w:val="00A12BBD"/>
    <w:rsid w:val="00A133F9"/>
    <w:rsid w:val="00A13718"/>
    <w:rsid w:val="00A14114"/>
    <w:rsid w:val="00A149E5"/>
    <w:rsid w:val="00A152AF"/>
    <w:rsid w:val="00A1615C"/>
    <w:rsid w:val="00A16413"/>
    <w:rsid w:val="00A16545"/>
    <w:rsid w:val="00A16A1A"/>
    <w:rsid w:val="00A16A9F"/>
    <w:rsid w:val="00A16AED"/>
    <w:rsid w:val="00A16BD3"/>
    <w:rsid w:val="00A16C37"/>
    <w:rsid w:val="00A16E1D"/>
    <w:rsid w:val="00A170D7"/>
    <w:rsid w:val="00A171D5"/>
    <w:rsid w:val="00A17A15"/>
    <w:rsid w:val="00A17A37"/>
    <w:rsid w:val="00A17D5B"/>
    <w:rsid w:val="00A2016A"/>
    <w:rsid w:val="00A201E1"/>
    <w:rsid w:val="00A20FE1"/>
    <w:rsid w:val="00A21B4D"/>
    <w:rsid w:val="00A21D58"/>
    <w:rsid w:val="00A21F44"/>
    <w:rsid w:val="00A22073"/>
    <w:rsid w:val="00A223E0"/>
    <w:rsid w:val="00A22959"/>
    <w:rsid w:val="00A22F57"/>
    <w:rsid w:val="00A23158"/>
    <w:rsid w:val="00A232D7"/>
    <w:rsid w:val="00A23538"/>
    <w:rsid w:val="00A23847"/>
    <w:rsid w:val="00A23E43"/>
    <w:rsid w:val="00A24726"/>
    <w:rsid w:val="00A24DEB"/>
    <w:rsid w:val="00A24ED9"/>
    <w:rsid w:val="00A251DB"/>
    <w:rsid w:val="00A25216"/>
    <w:rsid w:val="00A2597D"/>
    <w:rsid w:val="00A2628E"/>
    <w:rsid w:val="00A263BA"/>
    <w:rsid w:val="00A266BF"/>
    <w:rsid w:val="00A26777"/>
    <w:rsid w:val="00A269AB"/>
    <w:rsid w:val="00A26BB8"/>
    <w:rsid w:val="00A26E12"/>
    <w:rsid w:val="00A26F2A"/>
    <w:rsid w:val="00A272FF"/>
    <w:rsid w:val="00A2731E"/>
    <w:rsid w:val="00A27707"/>
    <w:rsid w:val="00A30568"/>
    <w:rsid w:val="00A307C2"/>
    <w:rsid w:val="00A308D6"/>
    <w:rsid w:val="00A309AC"/>
    <w:rsid w:val="00A30EA4"/>
    <w:rsid w:val="00A30F65"/>
    <w:rsid w:val="00A315D0"/>
    <w:rsid w:val="00A3279E"/>
    <w:rsid w:val="00A32984"/>
    <w:rsid w:val="00A331E0"/>
    <w:rsid w:val="00A33CF3"/>
    <w:rsid w:val="00A33DB1"/>
    <w:rsid w:val="00A33EEB"/>
    <w:rsid w:val="00A345C2"/>
    <w:rsid w:val="00A34C63"/>
    <w:rsid w:val="00A351C8"/>
    <w:rsid w:val="00A3559C"/>
    <w:rsid w:val="00A356C1"/>
    <w:rsid w:val="00A35900"/>
    <w:rsid w:val="00A35E98"/>
    <w:rsid w:val="00A35F33"/>
    <w:rsid w:val="00A36231"/>
    <w:rsid w:val="00A37262"/>
    <w:rsid w:val="00A37F9F"/>
    <w:rsid w:val="00A401A3"/>
    <w:rsid w:val="00A40C39"/>
    <w:rsid w:val="00A40CD6"/>
    <w:rsid w:val="00A40EAC"/>
    <w:rsid w:val="00A418BC"/>
    <w:rsid w:val="00A419FF"/>
    <w:rsid w:val="00A41FCF"/>
    <w:rsid w:val="00A424B0"/>
    <w:rsid w:val="00A42936"/>
    <w:rsid w:val="00A43A2B"/>
    <w:rsid w:val="00A43CF8"/>
    <w:rsid w:val="00A43DF2"/>
    <w:rsid w:val="00A445A8"/>
    <w:rsid w:val="00A44B0D"/>
    <w:rsid w:val="00A44D21"/>
    <w:rsid w:val="00A45087"/>
    <w:rsid w:val="00A45489"/>
    <w:rsid w:val="00A45858"/>
    <w:rsid w:val="00A45CED"/>
    <w:rsid w:val="00A46502"/>
    <w:rsid w:val="00A465E9"/>
    <w:rsid w:val="00A46854"/>
    <w:rsid w:val="00A46894"/>
    <w:rsid w:val="00A468E7"/>
    <w:rsid w:val="00A46A86"/>
    <w:rsid w:val="00A46DE0"/>
    <w:rsid w:val="00A47240"/>
    <w:rsid w:val="00A478BA"/>
    <w:rsid w:val="00A5003B"/>
    <w:rsid w:val="00A50D73"/>
    <w:rsid w:val="00A518BB"/>
    <w:rsid w:val="00A51A85"/>
    <w:rsid w:val="00A51B7E"/>
    <w:rsid w:val="00A52A88"/>
    <w:rsid w:val="00A52CAD"/>
    <w:rsid w:val="00A53340"/>
    <w:rsid w:val="00A53FC7"/>
    <w:rsid w:val="00A54E0A"/>
    <w:rsid w:val="00A55569"/>
    <w:rsid w:val="00A55C36"/>
    <w:rsid w:val="00A56017"/>
    <w:rsid w:val="00A5661B"/>
    <w:rsid w:val="00A566A0"/>
    <w:rsid w:val="00A56EAA"/>
    <w:rsid w:val="00A56F8E"/>
    <w:rsid w:val="00A57580"/>
    <w:rsid w:val="00A601E7"/>
    <w:rsid w:val="00A60AC1"/>
    <w:rsid w:val="00A61EB1"/>
    <w:rsid w:val="00A62162"/>
    <w:rsid w:val="00A62427"/>
    <w:rsid w:val="00A626FF"/>
    <w:rsid w:val="00A62B42"/>
    <w:rsid w:val="00A62CE1"/>
    <w:rsid w:val="00A64939"/>
    <w:rsid w:val="00A65469"/>
    <w:rsid w:val="00A65528"/>
    <w:rsid w:val="00A655D3"/>
    <w:rsid w:val="00A65C25"/>
    <w:rsid w:val="00A662D9"/>
    <w:rsid w:val="00A6630C"/>
    <w:rsid w:val="00A66C06"/>
    <w:rsid w:val="00A670A0"/>
    <w:rsid w:val="00A6741E"/>
    <w:rsid w:val="00A67E29"/>
    <w:rsid w:val="00A7016A"/>
    <w:rsid w:val="00A7018D"/>
    <w:rsid w:val="00A7191D"/>
    <w:rsid w:val="00A722F9"/>
    <w:rsid w:val="00A72D42"/>
    <w:rsid w:val="00A733D0"/>
    <w:rsid w:val="00A7439C"/>
    <w:rsid w:val="00A746C9"/>
    <w:rsid w:val="00A74C2A"/>
    <w:rsid w:val="00A75E40"/>
    <w:rsid w:val="00A76818"/>
    <w:rsid w:val="00A771F7"/>
    <w:rsid w:val="00A7769C"/>
    <w:rsid w:val="00A77747"/>
    <w:rsid w:val="00A77AE6"/>
    <w:rsid w:val="00A77D1D"/>
    <w:rsid w:val="00A77E6B"/>
    <w:rsid w:val="00A801C9"/>
    <w:rsid w:val="00A80902"/>
    <w:rsid w:val="00A80F81"/>
    <w:rsid w:val="00A81652"/>
    <w:rsid w:val="00A82BF0"/>
    <w:rsid w:val="00A82C91"/>
    <w:rsid w:val="00A83150"/>
    <w:rsid w:val="00A83177"/>
    <w:rsid w:val="00A83398"/>
    <w:rsid w:val="00A83898"/>
    <w:rsid w:val="00A83D6E"/>
    <w:rsid w:val="00A83FD5"/>
    <w:rsid w:val="00A8508C"/>
    <w:rsid w:val="00A8521A"/>
    <w:rsid w:val="00A853BB"/>
    <w:rsid w:val="00A857C0"/>
    <w:rsid w:val="00A85ACB"/>
    <w:rsid w:val="00A8657A"/>
    <w:rsid w:val="00A9036F"/>
    <w:rsid w:val="00A9092B"/>
    <w:rsid w:val="00A90F2C"/>
    <w:rsid w:val="00A90FED"/>
    <w:rsid w:val="00A911D8"/>
    <w:rsid w:val="00A91482"/>
    <w:rsid w:val="00A9189D"/>
    <w:rsid w:val="00A91E71"/>
    <w:rsid w:val="00A92523"/>
    <w:rsid w:val="00A9254E"/>
    <w:rsid w:val="00A925B1"/>
    <w:rsid w:val="00A92A3E"/>
    <w:rsid w:val="00A934F9"/>
    <w:rsid w:val="00A936A2"/>
    <w:rsid w:val="00A940E3"/>
    <w:rsid w:val="00A94983"/>
    <w:rsid w:val="00A94C2A"/>
    <w:rsid w:val="00A9532C"/>
    <w:rsid w:val="00A95F1A"/>
    <w:rsid w:val="00A96116"/>
    <w:rsid w:val="00A9614E"/>
    <w:rsid w:val="00A96422"/>
    <w:rsid w:val="00A96A2F"/>
    <w:rsid w:val="00A96C0F"/>
    <w:rsid w:val="00A97075"/>
    <w:rsid w:val="00AA0052"/>
    <w:rsid w:val="00AA0E80"/>
    <w:rsid w:val="00AA16F4"/>
    <w:rsid w:val="00AA17CD"/>
    <w:rsid w:val="00AA1D85"/>
    <w:rsid w:val="00AA212B"/>
    <w:rsid w:val="00AA212F"/>
    <w:rsid w:val="00AA26A9"/>
    <w:rsid w:val="00AA2996"/>
    <w:rsid w:val="00AA2AF4"/>
    <w:rsid w:val="00AA3734"/>
    <w:rsid w:val="00AA37D2"/>
    <w:rsid w:val="00AA3EE8"/>
    <w:rsid w:val="00AA4282"/>
    <w:rsid w:val="00AA43F2"/>
    <w:rsid w:val="00AA4790"/>
    <w:rsid w:val="00AA50E6"/>
    <w:rsid w:val="00AA52BF"/>
    <w:rsid w:val="00AA53CE"/>
    <w:rsid w:val="00AA559A"/>
    <w:rsid w:val="00AA68C7"/>
    <w:rsid w:val="00AA6C31"/>
    <w:rsid w:val="00AA7752"/>
    <w:rsid w:val="00AA7CE8"/>
    <w:rsid w:val="00AA7F31"/>
    <w:rsid w:val="00AB1457"/>
    <w:rsid w:val="00AB1CF7"/>
    <w:rsid w:val="00AB2AF1"/>
    <w:rsid w:val="00AB32CB"/>
    <w:rsid w:val="00AB3AD7"/>
    <w:rsid w:val="00AB3BA7"/>
    <w:rsid w:val="00AB3EC7"/>
    <w:rsid w:val="00AB5901"/>
    <w:rsid w:val="00AB5A64"/>
    <w:rsid w:val="00AB5CA1"/>
    <w:rsid w:val="00AB6456"/>
    <w:rsid w:val="00AB75C5"/>
    <w:rsid w:val="00AB7E01"/>
    <w:rsid w:val="00AC044E"/>
    <w:rsid w:val="00AC1A6B"/>
    <w:rsid w:val="00AC1B6A"/>
    <w:rsid w:val="00AC2118"/>
    <w:rsid w:val="00AC2395"/>
    <w:rsid w:val="00AC24FE"/>
    <w:rsid w:val="00AC2960"/>
    <w:rsid w:val="00AC2996"/>
    <w:rsid w:val="00AC2AC4"/>
    <w:rsid w:val="00AC4284"/>
    <w:rsid w:val="00AC433A"/>
    <w:rsid w:val="00AC45BD"/>
    <w:rsid w:val="00AC4D34"/>
    <w:rsid w:val="00AC50BB"/>
    <w:rsid w:val="00AC5256"/>
    <w:rsid w:val="00AC5657"/>
    <w:rsid w:val="00AC7002"/>
    <w:rsid w:val="00AC78F1"/>
    <w:rsid w:val="00AC7B96"/>
    <w:rsid w:val="00AC7DB8"/>
    <w:rsid w:val="00AD0B22"/>
    <w:rsid w:val="00AD0D2F"/>
    <w:rsid w:val="00AD0EE7"/>
    <w:rsid w:val="00AD168E"/>
    <w:rsid w:val="00AD1B42"/>
    <w:rsid w:val="00AD202E"/>
    <w:rsid w:val="00AD306C"/>
    <w:rsid w:val="00AD44CD"/>
    <w:rsid w:val="00AD47A7"/>
    <w:rsid w:val="00AD4876"/>
    <w:rsid w:val="00AD4FF6"/>
    <w:rsid w:val="00AD5AD2"/>
    <w:rsid w:val="00AD5DD8"/>
    <w:rsid w:val="00AD6462"/>
    <w:rsid w:val="00AD66C5"/>
    <w:rsid w:val="00AD68C4"/>
    <w:rsid w:val="00AD71F9"/>
    <w:rsid w:val="00AD7B6C"/>
    <w:rsid w:val="00AE09B3"/>
    <w:rsid w:val="00AE0A6C"/>
    <w:rsid w:val="00AE1617"/>
    <w:rsid w:val="00AE1A83"/>
    <w:rsid w:val="00AE207E"/>
    <w:rsid w:val="00AE20B3"/>
    <w:rsid w:val="00AE2A78"/>
    <w:rsid w:val="00AE30BE"/>
    <w:rsid w:val="00AE3258"/>
    <w:rsid w:val="00AE3E6A"/>
    <w:rsid w:val="00AE4122"/>
    <w:rsid w:val="00AE417E"/>
    <w:rsid w:val="00AE434F"/>
    <w:rsid w:val="00AE4909"/>
    <w:rsid w:val="00AE540F"/>
    <w:rsid w:val="00AE56EE"/>
    <w:rsid w:val="00AE631C"/>
    <w:rsid w:val="00AE6414"/>
    <w:rsid w:val="00AE7269"/>
    <w:rsid w:val="00AE797C"/>
    <w:rsid w:val="00AE7CE7"/>
    <w:rsid w:val="00AE7FAB"/>
    <w:rsid w:val="00AF0DE4"/>
    <w:rsid w:val="00AF12A0"/>
    <w:rsid w:val="00AF1E87"/>
    <w:rsid w:val="00AF3A39"/>
    <w:rsid w:val="00AF436B"/>
    <w:rsid w:val="00AF5179"/>
    <w:rsid w:val="00AF5CC2"/>
    <w:rsid w:val="00AF660D"/>
    <w:rsid w:val="00AF6776"/>
    <w:rsid w:val="00AF6F98"/>
    <w:rsid w:val="00AF7277"/>
    <w:rsid w:val="00AF72B7"/>
    <w:rsid w:val="00AF79D9"/>
    <w:rsid w:val="00AF7E09"/>
    <w:rsid w:val="00B00024"/>
    <w:rsid w:val="00B00550"/>
    <w:rsid w:val="00B00913"/>
    <w:rsid w:val="00B00D4D"/>
    <w:rsid w:val="00B01548"/>
    <w:rsid w:val="00B01593"/>
    <w:rsid w:val="00B017AF"/>
    <w:rsid w:val="00B01D0F"/>
    <w:rsid w:val="00B01FF9"/>
    <w:rsid w:val="00B023F2"/>
    <w:rsid w:val="00B026FE"/>
    <w:rsid w:val="00B0271F"/>
    <w:rsid w:val="00B038CA"/>
    <w:rsid w:val="00B05424"/>
    <w:rsid w:val="00B056FC"/>
    <w:rsid w:val="00B05761"/>
    <w:rsid w:val="00B05F00"/>
    <w:rsid w:val="00B06DB4"/>
    <w:rsid w:val="00B0750D"/>
    <w:rsid w:val="00B07850"/>
    <w:rsid w:val="00B0799C"/>
    <w:rsid w:val="00B07C6A"/>
    <w:rsid w:val="00B10258"/>
    <w:rsid w:val="00B102CE"/>
    <w:rsid w:val="00B10A4D"/>
    <w:rsid w:val="00B10C90"/>
    <w:rsid w:val="00B11002"/>
    <w:rsid w:val="00B1114F"/>
    <w:rsid w:val="00B118FA"/>
    <w:rsid w:val="00B121B2"/>
    <w:rsid w:val="00B131B1"/>
    <w:rsid w:val="00B1401E"/>
    <w:rsid w:val="00B141B6"/>
    <w:rsid w:val="00B144C6"/>
    <w:rsid w:val="00B14BC1"/>
    <w:rsid w:val="00B154DE"/>
    <w:rsid w:val="00B162C3"/>
    <w:rsid w:val="00B16DD1"/>
    <w:rsid w:val="00B16EB8"/>
    <w:rsid w:val="00B1700A"/>
    <w:rsid w:val="00B17E71"/>
    <w:rsid w:val="00B17FDE"/>
    <w:rsid w:val="00B20632"/>
    <w:rsid w:val="00B20D04"/>
    <w:rsid w:val="00B20F55"/>
    <w:rsid w:val="00B2161E"/>
    <w:rsid w:val="00B21BCB"/>
    <w:rsid w:val="00B2379C"/>
    <w:rsid w:val="00B23D5D"/>
    <w:rsid w:val="00B23E6E"/>
    <w:rsid w:val="00B2450C"/>
    <w:rsid w:val="00B24E48"/>
    <w:rsid w:val="00B265AE"/>
    <w:rsid w:val="00B2687D"/>
    <w:rsid w:val="00B27EC6"/>
    <w:rsid w:val="00B3108D"/>
    <w:rsid w:val="00B323BE"/>
    <w:rsid w:val="00B327C0"/>
    <w:rsid w:val="00B32DDB"/>
    <w:rsid w:val="00B32F57"/>
    <w:rsid w:val="00B3345C"/>
    <w:rsid w:val="00B33672"/>
    <w:rsid w:val="00B33DE5"/>
    <w:rsid w:val="00B3410E"/>
    <w:rsid w:val="00B343BC"/>
    <w:rsid w:val="00B343C4"/>
    <w:rsid w:val="00B34528"/>
    <w:rsid w:val="00B34750"/>
    <w:rsid w:val="00B34B95"/>
    <w:rsid w:val="00B34CC9"/>
    <w:rsid w:val="00B34CDA"/>
    <w:rsid w:val="00B3563B"/>
    <w:rsid w:val="00B3574D"/>
    <w:rsid w:val="00B362A3"/>
    <w:rsid w:val="00B36BDC"/>
    <w:rsid w:val="00B37D3A"/>
    <w:rsid w:val="00B37D96"/>
    <w:rsid w:val="00B402FC"/>
    <w:rsid w:val="00B405E3"/>
    <w:rsid w:val="00B40A7D"/>
    <w:rsid w:val="00B40DF5"/>
    <w:rsid w:val="00B41424"/>
    <w:rsid w:val="00B422E2"/>
    <w:rsid w:val="00B42517"/>
    <w:rsid w:val="00B42902"/>
    <w:rsid w:val="00B42D5F"/>
    <w:rsid w:val="00B43216"/>
    <w:rsid w:val="00B43740"/>
    <w:rsid w:val="00B439DA"/>
    <w:rsid w:val="00B43DDF"/>
    <w:rsid w:val="00B4411A"/>
    <w:rsid w:val="00B45376"/>
    <w:rsid w:val="00B45A99"/>
    <w:rsid w:val="00B45FE8"/>
    <w:rsid w:val="00B46604"/>
    <w:rsid w:val="00B46637"/>
    <w:rsid w:val="00B47089"/>
    <w:rsid w:val="00B4712D"/>
    <w:rsid w:val="00B47587"/>
    <w:rsid w:val="00B5150A"/>
    <w:rsid w:val="00B52151"/>
    <w:rsid w:val="00B530CD"/>
    <w:rsid w:val="00B53639"/>
    <w:rsid w:val="00B53C7D"/>
    <w:rsid w:val="00B53DEF"/>
    <w:rsid w:val="00B53E56"/>
    <w:rsid w:val="00B54058"/>
    <w:rsid w:val="00B55311"/>
    <w:rsid w:val="00B55437"/>
    <w:rsid w:val="00B55A97"/>
    <w:rsid w:val="00B55F5E"/>
    <w:rsid w:val="00B5601B"/>
    <w:rsid w:val="00B560E3"/>
    <w:rsid w:val="00B5642C"/>
    <w:rsid w:val="00B5658D"/>
    <w:rsid w:val="00B56B6F"/>
    <w:rsid w:val="00B5713F"/>
    <w:rsid w:val="00B5752E"/>
    <w:rsid w:val="00B57ABC"/>
    <w:rsid w:val="00B60AC1"/>
    <w:rsid w:val="00B61FF6"/>
    <w:rsid w:val="00B62316"/>
    <w:rsid w:val="00B6274C"/>
    <w:rsid w:val="00B63A11"/>
    <w:rsid w:val="00B64425"/>
    <w:rsid w:val="00B646BC"/>
    <w:rsid w:val="00B647F4"/>
    <w:rsid w:val="00B64C24"/>
    <w:rsid w:val="00B64E72"/>
    <w:rsid w:val="00B659B0"/>
    <w:rsid w:val="00B65CEF"/>
    <w:rsid w:val="00B6608F"/>
    <w:rsid w:val="00B66B65"/>
    <w:rsid w:val="00B674C7"/>
    <w:rsid w:val="00B67749"/>
    <w:rsid w:val="00B679FB"/>
    <w:rsid w:val="00B67E43"/>
    <w:rsid w:val="00B71FBF"/>
    <w:rsid w:val="00B72CD3"/>
    <w:rsid w:val="00B734A0"/>
    <w:rsid w:val="00B73A14"/>
    <w:rsid w:val="00B73D35"/>
    <w:rsid w:val="00B74148"/>
    <w:rsid w:val="00B748BD"/>
    <w:rsid w:val="00B76100"/>
    <w:rsid w:val="00B7680F"/>
    <w:rsid w:val="00B76B48"/>
    <w:rsid w:val="00B76D1E"/>
    <w:rsid w:val="00B774BD"/>
    <w:rsid w:val="00B77543"/>
    <w:rsid w:val="00B77584"/>
    <w:rsid w:val="00B77E34"/>
    <w:rsid w:val="00B80D44"/>
    <w:rsid w:val="00B80D89"/>
    <w:rsid w:val="00B80EC6"/>
    <w:rsid w:val="00B81288"/>
    <w:rsid w:val="00B81D70"/>
    <w:rsid w:val="00B82EE1"/>
    <w:rsid w:val="00B833B9"/>
    <w:rsid w:val="00B836DA"/>
    <w:rsid w:val="00B839B1"/>
    <w:rsid w:val="00B83AAF"/>
    <w:rsid w:val="00B83CBF"/>
    <w:rsid w:val="00B83E07"/>
    <w:rsid w:val="00B84CF6"/>
    <w:rsid w:val="00B85016"/>
    <w:rsid w:val="00B85226"/>
    <w:rsid w:val="00B8561A"/>
    <w:rsid w:val="00B86628"/>
    <w:rsid w:val="00B86643"/>
    <w:rsid w:val="00B868F7"/>
    <w:rsid w:val="00B86EB1"/>
    <w:rsid w:val="00B871A7"/>
    <w:rsid w:val="00B90131"/>
    <w:rsid w:val="00B9074F"/>
    <w:rsid w:val="00B91136"/>
    <w:rsid w:val="00B92661"/>
    <w:rsid w:val="00B92951"/>
    <w:rsid w:val="00B92D1D"/>
    <w:rsid w:val="00B92D7E"/>
    <w:rsid w:val="00B930CE"/>
    <w:rsid w:val="00B938C5"/>
    <w:rsid w:val="00B940A8"/>
    <w:rsid w:val="00B944D4"/>
    <w:rsid w:val="00B95443"/>
    <w:rsid w:val="00B9554A"/>
    <w:rsid w:val="00B95940"/>
    <w:rsid w:val="00B95ACA"/>
    <w:rsid w:val="00B95C12"/>
    <w:rsid w:val="00B96D74"/>
    <w:rsid w:val="00B96FFD"/>
    <w:rsid w:val="00B9720E"/>
    <w:rsid w:val="00B97ACC"/>
    <w:rsid w:val="00B97FE2"/>
    <w:rsid w:val="00BA0E0B"/>
    <w:rsid w:val="00BA201A"/>
    <w:rsid w:val="00BA21DF"/>
    <w:rsid w:val="00BA2391"/>
    <w:rsid w:val="00BA270A"/>
    <w:rsid w:val="00BA3256"/>
    <w:rsid w:val="00BA361D"/>
    <w:rsid w:val="00BA3787"/>
    <w:rsid w:val="00BA3B00"/>
    <w:rsid w:val="00BA403A"/>
    <w:rsid w:val="00BA46E8"/>
    <w:rsid w:val="00BA49DB"/>
    <w:rsid w:val="00BA4AE9"/>
    <w:rsid w:val="00BA4E19"/>
    <w:rsid w:val="00BA62B5"/>
    <w:rsid w:val="00BA6436"/>
    <w:rsid w:val="00BA64F2"/>
    <w:rsid w:val="00BA684E"/>
    <w:rsid w:val="00BA6C2B"/>
    <w:rsid w:val="00BA7B64"/>
    <w:rsid w:val="00BB02A3"/>
    <w:rsid w:val="00BB0351"/>
    <w:rsid w:val="00BB085C"/>
    <w:rsid w:val="00BB15C3"/>
    <w:rsid w:val="00BB1AF4"/>
    <w:rsid w:val="00BB1CDD"/>
    <w:rsid w:val="00BB2202"/>
    <w:rsid w:val="00BB224A"/>
    <w:rsid w:val="00BB2A7E"/>
    <w:rsid w:val="00BB354D"/>
    <w:rsid w:val="00BB3C6B"/>
    <w:rsid w:val="00BB3EFB"/>
    <w:rsid w:val="00BB3FD6"/>
    <w:rsid w:val="00BB453F"/>
    <w:rsid w:val="00BB46F3"/>
    <w:rsid w:val="00BB4A71"/>
    <w:rsid w:val="00BB4CB1"/>
    <w:rsid w:val="00BB4F98"/>
    <w:rsid w:val="00BB50C0"/>
    <w:rsid w:val="00BB58A9"/>
    <w:rsid w:val="00BB5AB2"/>
    <w:rsid w:val="00BB5ABF"/>
    <w:rsid w:val="00BB6EA2"/>
    <w:rsid w:val="00BB7142"/>
    <w:rsid w:val="00BB736B"/>
    <w:rsid w:val="00BB76F3"/>
    <w:rsid w:val="00BB7ABB"/>
    <w:rsid w:val="00BB7B5B"/>
    <w:rsid w:val="00BB7EB1"/>
    <w:rsid w:val="00BC003F"/>
    <w:rsid w:val="00BC0930"/>
    <w:rsid w:val="00BC1D26"/>
    <w:rsid w:val="00BC2923"/>
    <w:rsid w:val="00BC327F"/>
    <w:rsid w:val="00BC3512"/>
    <w:rsid w:val="00BC4B35"/>
    <w:rsid w:val="00BC507A"/>
    <w:rsid w:val="00BC50BE"/>
    <w:rsid w:val="00BC5332"/>
    <w:rsid w:val="00BC5715"/>
    <w:rsid w:val="00BC5C12"/>
    <w:rsid w:val="00BC6105"/>
    <w:rsid w:val="00BC641B"/>
    <w:rsid w:val="00BC6706"/>
    <w:rsid w:val="00BC6CAD"/>
    <w:rsid w:val="00BC7154"/>
    <w:rsid w:val="00BC731E"/>
    <w:rsid w:val="00BC7614"/>
    <w:rsid w:val="00BC7EFA"/>
    <w:rsid w:val="00BD041B"/>
    <w:rsid w:val="00BD0595"/>
    <w:rsid w:val="00BD05C2"/>
    <w:rsid w:val="00BD25BB"/>
    <w:rsid w:val="00BD2AF8"/>
    <w:rsid w:val="00BD366B"/>
    <w:rsid w:val="00BD3C09"/>
    <w:rsid w:val="00BD410B"/>
    <w:rsid w:val="00BD4A73"/>
    <w:rsid w:val="00BD4EDD"/>
    <w:rsid w:val="00BD4EF4"/>
    <w:rsid w:val="00BD5C11"/>
    <w:rsid w:val="00BD6659"/>
    <w:rsid w:val="00BD672C"/>
    <w:rsid w:val="00BD6C75"/>
    <w:rsid w:val="00BD6D50"/>
    <w:rsid w:val="00BD7105"/>
    <w:rsid w:val="00BD73D2"/>
    <w:rsid w:val="00BD754D"/>
    <w:rsid w:val="00BE0AD1"/>
    <w:rsid w:val="00BE0EF9"/>
    <w:rsid w:val="00BE10A1"/>
    <w:rsid w:val="00BE18B9"/>
    <w:rsid w:val="00BE190A"/>
    <w:rsid w:val="00BE2495"/>
    <w:rsid w:val="00BE24DD"/>
    <w:rsid w:val="00BE34BB"/>
    <w:rsid w:val="00BE386D"/>
    <w:rsid w:val="00BE3A5C"/>
    <w:rsid w:val="00BE4071"/>
    <w:rsid w:val="00BE4DA9"/>
    <w:rsid w:val="00BE54BF"/>
    <w:rsid w:val="00BE557B"/>
    <w:rsid w:val="00BE55EF"/>
    <w:rsid w:val="00BE62ED"/>
    <w:rsid w:val="00BE6350"/>
    <w:rsid w:val="00BE779C"/>
    <w:rsid w:val="00BE7F5F"/>
    <w:rsid w:val="00BF0099"/>
    <w:rsid w:val="00BF02C8"/>
    <w:rsid w:val="00BF057E"/>
    <w:rsid w:val="00BF1099"/>
    <w:rsid w:val="00BF14A6"/>
    <w:rsid w:val="00BF1578"/>
    <w:rsid w:val="00BF15CA"/>
    <w:rsid w:val="00BF1672"/>
    <w:rsid w:val="00BF1D12"/>
    <w:rsid w:val="00BF1D3A"/>
    <w:rsid w:val="00BF2B5B"/>
    <w:rsid w:val="00BF2D41"/>
    <w:rsid w:val="00BF2D9D"/>
    <w:rsid w:val="00BF3274"/>
    <w:rsid w:val="00BF32DC"/>
    <w:rsid w:val="00BF35C9"/>
    <w:rsid w:val="00BF361E"/>
    <w:rsid w:val="00BF3D54"/>
    <w:rsid w:val="00BF4329"/>
    <w:rsid w:val="00BF450E"/>
    <w:rsid w:val="00BF4E10"/>
    <w:rsid w:val="00BF4E43"/>
    <w:rsid w:val="00BF5C4C"/>
    <w:rsid w:val="00BF5E71"/>
    <w:rsid w:val="00BF765C"/>
    <w:rsid w:val="00BF771F"/>
    <w:rsid w:val="00BF77FC"/>
    <w:rsid w:val="00BF7EC7"/>
    <w:rsid w:val="00C006D6"/>
    <w:rsid w:val="00C00BD7"/>
    <w:rsid w:val="00C01410"/>
    <w:rsid w:val="00C024BB"/>
    <w:rsid w:val="00C02D23"/>
    <w:rsid w:val="00C03264"/>
    <w:rsid w:val="00C03D4D"/>
    <w:rsid w:val="00C041F5"/>
    <w:rsid w:val="00C044F4"/>
    <w:rsid w:val="00C04B78"/>
    <w:rsid w:val="00C052AA"/>
    <w:rsid w:val="00C0540C"/>
    <w:rsid w:val="00C061AE"/>
    <w:rsid w:val="00C0644D"/>
    <w:rsid w:val="00C06EE3"/>
    <w:rsid w:val="00C07279"/>
    <w:rsid w:val="00C07749"/>
    <w:rsid w:val="00C07C67"/>
    <w:rsid w:val="00C07E8B"/>
    <w:rsid w:val="00C10742"/>
    <w:rsid w:val="00C10805"/>
    <w:rsid w:val="00C11244"/>
    <w:rsid w:val="00C113FF"/>
    <w:rsid w:val="00C114A7"/>
    <w:rsid w:val="00C118A9"/>
    <w:rsid w:val="00C11D48"/>
    <w:rsid w:val="00C12304"/>
    <w:rsid w:val="00C12316"/>
    <w:rsid w:val="00C1246C"/>
    <w:rsid w:val="00C133BB"/>
    <w:rsid w:val="00C14187"/>
    <w:rsid w:val="00C147B1"/>
    <w:rsid w:val="00C1493E"/>
    <w:rsid w:val="00C15537"/>
    <w:rsid w:val="00C159FA"/>
    <w:rsid w:val="00C15DBD"/>
    <w:rsid w:val="00C161C5"/>
    <w:rsid w:val="00C172F7"/>
    <w:rsid w:val="00C176A3"/>
    <w:rsid w:val="00C2010D"/>
    <w:rsid w:val="00C20CB5"/>
    <w:rsid w:val="00C21430"/>
    <w:rsid w:val="00C216DF"/>
    <w:rsid w:val="00C21B30"/>
    <w:rsid w:val="00C21CA0"/>
    <w:rsid w:val="00C21E61"/>
    <w:rsid w:val="00C21F94"/>
    <w:rsid w:val="00C224BD"/>
    <w:rsid w:val="00C224DF"/>
    <w:rsid w:val="00C22546"/>
    <w:rsid w:val="00C2272B"/>
    <w:rsid w:val="00C234DB"/>
    <w:rsid w:val="00C23B82"/>
    <w:rsid w:val="00C23C5C"/>
    <w:rsid w:val="00C2479A"/>
    <w:rsid w:val="00C24903"/>
    <w:rsid w:val="00C2590D"/>
    <w:rsid w:val="00C25D9C"/>
    <w:rsid w:val="00C27913"/>
    <w:rsid w:val="00C27FA7"/>
    <w:rsid w:val="00C300E2"/>
    <w:rsid w:val="00C311B0"/>
    <w:rsid w:val="00C3186E"/>
    <w:rsid w:val="00C31F21"/>
    <w:rsid w:val="00C32290"/>
    <w:rsid w:val="00C32631"/>
    <w:rsid w:val="00C32805"/>
    <w:rsid w:val="00C32DF9"/>
    <w:rsid w:val="00C33301"/>
    <w:rsid w:val="00C33311"/>
    <w:rsid w:val="00C33AA6"/>
    <w:rsid w:val="00C33B68"/>
    <w:rsid w:val="00C34AD4"/>
    <w:rsid w:val="00C35570"/>
    <w:rsid w:val="00C35A2A"/>
    <w:rsid w:val="00C36A79"/>
    <w:rsid w:val="00C375DE"/>
    <w:rsid w:val="00C401A9"/>
    <w:rsid w:val="00C401D2"/>
    <w:rsid w:val="00C4031A"/>
    <w:rsid w:val="00C405D4"/>
    <w:rsid w:val="00C40AFD"/>
    <w:rsid w:val="00C419D5"/>
    <w:rsid w:val="00C41D54"/>
    <w:rsid w:val="00C41FC7"/>
    <w:rsid w:val="00C42EBB"/>
    <w:rsid w:val="00C435E8"/>
    <w:rsid w:val="00C44277"/>
    <w:rsid w:val="00C44806"/>
    <w:rsid w:val="00C4513B"/>
    <w:rsid w:val="00C45CAD"/>
    <w:rsid w:val="00C46654"/>
    <w:rsid w:val="00C466EF"/>
    <w:rsid w:val="00C4729B"/>
    <w:rsid w:val="00C475E8"/>
    <w:rsid w:val="00C47996"/>
    <w:rsid w:val="00C50101"/>
    <w:rsid w:val="00C50E79"/>
    <w:rsid w:val="00C5197D"/>
    <w:rsid w:val="00C525FB"/>
    <w:rsid w:val="00C5390B"/>
    <w:rsid w:val="00C53A9B"/>
    <w:rsid w:val="00C53CDD"/>
    <w:rsid w:val="00C54257"/>
    <w:rsid w:val="00C54697"/>
    <w:rsid w:val="00C550CE"/>
    <w:rsid w:val="00C55249"/>
    <w:rsid w:val="00C553A5"/>
    <w:rsid w:val="00C55402"/>
    <w:rsid w:val="00C5603B"/>
    <w:rsid w:val="00C57023"/>
    <w:rsid w:val="00C60973"/>
    <w:rsid w:val="00C60AE3"/>
    <w:rsid w:val="00C60FA1"/>
    <w:rsid w:val="00C61F47"/>
    <w:rsid w:val="00C62828"/>
    <w:rsid w:val="00C63340"/>
    <w:rsid w:val="00C6337A"/>
    <w:rsid w:val="00C63B2C"/>
    <w:rsid w:val="00C644F0"/>
    <w:rsid w:val="00C655DA"/>
    <w:rsid w:val="00C65A5C"/>
    <w:rsid w:val="00C65C81"/>
    <w:rsid w:val="00C66509"/>
    <w:rsid w:val="00C66D4C"/>
    <w:rsid w:val="00C672C1"/>
    <w:rsid w:val="00C67908"/>
    <w:rsid w:val="00C67B10"/>
    <w:rsid w:val="00C7053D"/>
    <w:rsid w:val="00C706D2"/>
    <w:rsid w:val="00C71060"/>
    <w:rsid w:val="00C715CC"/>
    <w:rsid w:val="00C719A3"/>
    <w:rsid w:val="00C71D2F"/>
    <w:rsid w:val="00C72984"/>
    <w:rsid w:val="00C72D93"/>
    <w:rsid w:val="00C73885"/>
    <w:rsid w:val="00C73C93"/>
    <w:rsid w:val="00C7435A"/>
    <w:rsid w:val="00C747B1"/>
    <w:rsid w:val="00C7520F"/>
    <w:rsid w:val="00C75510"/>
    <w:rsid w:val="00C755F9"/>
    <w:rsid w:val="00C75752"/>
    <w:rsid w:val="00C75B60"/>
    <w:rsid w:val="00C75F8E"/>
    <w:rsid w:val="00C761EC"/>
    <w:rsid w:val="00C770C9"/>
    <w:rsid w:val="00C800C9"/>
    <w:rsid w:val="00C8019E"/>
    <w:rsid w:val="00C81070"/>
    <w:rsid w:val="00C8174E"/>
    <w:rsid w:val="00C81D8E"/>
    <w:rsid w:val="00C82191"/>
    <w:rsid w:val="00C829C2"/>
    <w:rsid w:val="00C82A0C"/>
    <w:rsid w:val="00C83134"/>
    <w:rsid w:val="00C831E7"/>
    <w:rsid w:val="00C832F3"/>
    <w:rsid w:val="00C84307"/>
    <w:rsid w:val="00C845A4"/>
    <w:rsid w:val="00C847BB"/>
    <w:rsid w:val="00C85219"/>
    <w:rsid w:val="00C85545"/>
    <w:rsid w:val="00C855B5"/>
    <w:rsid w:val="00C85BEC"/>
    <w:rsid w:val="00C85F0E"/>
    <w:rsid w:val="00C866FE"/>
    <w:rsid w:val="00C867F9"/>
    <w:rsid w:val="00C872AA"/>
    <w:rsid w:val="00C87C6B"/>
    <w:rsid w:val="00C87EB8"/>
    <w:rsid w:val="00C90357"/>
    <w:rsid w:val="00C90627"/>
    <w:rsid w:val="00C90CF4"/>
    <w:rsid w:val="00C91103"/>
    <w:rsid w:val="00C91C20"/>
    <w:rsid w:val="00C922DE"/>
    <w:rsid w:val="00C92843"/>
    <w:rsid w:val="00C92EB6"/>
    <w:rsid w:val="00C93019"/>
    <w:rsid w:val="00C93389"/>
    <w:rsid w:val="00C93938"/>
    <w:rsid w:val="00C94743"/>
    <w:rsid w:val="00C948E6"/>
    <w:rsid w:val="00C94CDD"/>
    <w:rsid w:val="00C95123"/>
    <w:rsid w:val="00C96C96"/>
    <w:rsid w:val="00C9714C"/>
    <w:rsid w:val="00C9735A"/>
    <w:rsid w:val="00C97588"/>
    <w:rsid w:val="00C97D83"/>
    <w:rsid w:val="00CA0346"/>
    <w:rsid w:val="00CA0BD5"/>
    <w:rsid w:val="00CA0DA1"/>
    <w:rsid w:val="00CA0F40"/>
    <w:rsid w:val="00CA1293"/>
    <w:rsid w:val="00CA1BD6"/>
    <w:rsid w:val="00CA2B32"/>
    <w:rsid w:val="00CA37FF"/>
    <w:rsid w:val="00CA3B9C"/>
    <w:rsid w:val="00CA423A"/>
    <w:rsid w:val="00CA4441"/>
    <w:rsid w:val="00CA47BC"/>
    <w:rsid w:val="00CA4FA7"/>
    <w:rsid w:val="00CA5EAD"/>
    <w:rsid w:val="00CA6AB4"/>
    <w:rsid w:val="00CA7255"/>
    <w:rsid w:val="00CA79E2"/>
    <w:rsid w:val="00CB043F"/>
    <w:rsid w:val="00CB111E"/>
    <w:rsid w:val="00CB1BEE"/>
    <w:rsid w:val="00CB2351"/>
    <w:rsid w:val="00CB2AB0"/>
    <w:rsid w:val="00CB3CEC"/>
    <w:rsid w:val="00CB4022"/>
    <w:rsid w:val="00CB42C0"/>
    <w:rsid w:val="00CB4930"/>
    <w:rsid w:val="00CB4BA9"/>
    <w:rsid w:val="00CB4C48"/>
    <w:rsid w:val="00CB4C63"/>
    <w:rsid w:val="00CB5371"/>
    <w:rsid w:val="00CB5565"/>
    <w:rsid w:val="00CB5A48"/>
    <w:rsid w:val="00CB5E10"/>
    <w:rsid w:val="00CB613B"/>
    <w:rsid w:val="00CB6152"/>
    <w:rsid w:val="00CB64E1"/>
    <w:rsid w:val="00CB6C6F"/>
    <w:rsid w:val="00CB6E4D"/>
    <w:rsid w:val="00CC009B"/>
    <w:rsid w:val="00CC0834"/>
    <w:rsid w:val="00CC0894"/>
    <w:rsid w:val="00CC0AEA"/>
    <w:rsid w:val="00CC0F7D"/>
    <w:rsid w:val="00CC157C"/>
    <w:rsid w:val="00CC20FE"/>
    <w:rsid w:val="00CC225C"/>
    <w:rsid w:val="00CC2AF6"/>
    <w:rsid w:val="00CC2E7D"/>
    <w:rsid w:val="00CC3A0C"/>
    <w:rsid w:val="00CC469E"/>
    <w:rsid w:val="00CC5BE8"/>
    <w:rsid w:val="00CC612B"/>
    <w:rsid w:val="00CC655F"/>
    <w:rsid w:val="00CC66F0"/>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6DE1"/>
    <w:rsid w:val="00CD7E9E"/>
    <w:rsid w:val="00CE14BE"/>
    <w:rsid w:val="00CE17A4"/>
    <w:rsid w:val="00CE1BA9"/>
    <w:rsid w:val="00CE1BE3"/>
    <w:rsid w:val="00CE245A"/>
    <w:rsid w:val="00CE2A11"/>
    <w:rsid w:val="00CE2D8F"/>
    <w:rsid w:val="00CE33B1"/>
    <w:rsid w:val="00CE3532"/>
    <w:rsid w:val="00CE3E48"/>
    <w:rsid w:val="00CE46C0"/>
    <w:rsid w:val="00CE47B8"/>
    <w:rsid w:val="00CE4A31"/>
    <w:rsid w:val="00CE4A7A"/>
    <w:rsid w:val="00CE54FD"/>
    <w:rsid w:val="00CE5C92"/>
    <w:rsid w:val="00CE5CC2"/>
    <w:rsid w:val="00CE5E12"/>
    <w:rsid w:val="00CE62FA"/>
    <w:rsid w:val="00CE670B"/>
    <w:rsid w:val="00CE6833"/>
    <w:rsid w:val="00CE7562"/>
    <w:rsid w:val="00CE7D0B"/>
    <w:rsid w:val="00CF020B"/>
    <w:rsid w:val="00CF04DC"/>
    <w:rsid w:val="00CF05F4"/>
    <w:rsid w:val="00CF082E"/>
    <w:rsid w:val="00CF0F7D"/>
    <w:rsid w:val="00CF0FA0"/>
    <w:rsid w:val="00CF15BF"/>
    <w:rsid w:val="00CF2E4D"/>
    <w:rsid w:val="00CF35A7"/>
    <w:rsid w:val="00CF4205"/>
    <w:rsid w:val="00CF42CB"/>
    <w:rsid w:val="00CF4908"/>
    <w:rsid w:val="00CF494A"/>
    <w:rsid w:val="00CF5078"/>
    <w:rsid w:val="00CF51EC"/>
    <w:rsid w:val="00CF545D"/>
    <w:rsid w:val="00CF5873"/>
    <w:rsid w:val="00CF6A39"/>
    <w:rsid w:val="00CF6AB7"/>
    <w:rsid w:val="00CF6E02"/>
    <w:rsid w:val="00CF73AE"/>
    <w:rsid w:val="00CF7777"/>
    <w:rsid w:val="00D001BE"/>
    <w:rsid w:val="00D004F1"/>
    <w:rsid w:val="00D0085A"/>
    <w:rsid w:val="00D00D23"/>
    <w:rsid w:val="00D016AE"/>
    <w:rsid w:val="00D0197F"/>
    <w:rsid w:val="00D01A83"/>
    <w:rsid w:val="00D01B31"/>
    <w:rsid w:val="00D0242D"/>
    <w:rsid w:val="00D02716"/>
    <w:rsid w:val="00D027C4"/>
    <w:rsid w:val="00D03207"/>
    <w:rsid w:val="00D036E3"/>
    <w:rsid w:val="00D03A72"/>
    <w:rsid w:val="00D03B6B"/>
    <w:rsid w:val="00D04076"/>
    <w:rsid w:val="00D040DD"/>
    <w:rsid w:val="00D04134"/>
    <w:rsid w:val="00D052A7"/>
    <w:rsid w:val="00D0538E"/>
    <w:rsid w:val="00D05C65"/>
    <w:rsid w:val="00D05F36"/>
    <w:rsid w:val="00D0676F"/>
    <w:rsid w:val="00D06A26"/>
    <w:rsid w:val="00D06B56"/>
    <w:rsid w:val="00D06CA2"/>
    <w:rsid w:val="00D06D68"/>
    <w:rsid w:val="00D06F7A"/>
    <w:rsid w:val="00D075BE"/>
    <w:rsid w:val="00D07AFF"/>
    <w:rsid w:val="00D10566"/>
    <w:rsid w:val="00D10C15"/>
    <w:rsid w:val="00D11011"/>
    <w:rsid w:val="00D11476"/>
    <w:rsid w:val="00D1271C"/>
    <w:rsid w:val="00D12C25"/>
    <w:rsid w:val="00D130FB"/>
    <w:rsid w:val="00D133B4"/>
    <w:rsid w:val="00D133FF"/>
    <w:rsid w:val="00D13704"/>
    <w:rsid w:val="00D13986"/>
    <w:rsid w:val="00D13F3E"/>
    <w:rsid w:val="00D14C5B"/>
    <w:rsid w:val="00D152B6"/>
    <w:rsid w:val="00D158DA"/>
    <w:rsid w:val="00D15D3A"/>
    <w:rsid w:val="00D15FED"/>
    <w:rsid w:val="00D1605A"/>
    <w:rsid w:val="00D160FB"/>
    <w:rsid w:val="00D16712"/>
    <w:rsid w:val="00D169F6"/>
    <w:rsid w:val="00D174E0"/>
    <w:rsid w:val="00D174FD"/>
    <w:rsid w:val="00D17F29"/>
    <w:rsid w:val="00D214EF"/>
    <w:rsid w:val="00D215B0"/>
    <w:rsid w:val="00D21B36"/>
    <w:rsid w:val="00D21D6D"/>
    <w:rsid w:val="00D21D83"/>
    <w:rsid w:val="00D21F29"/>
    <w:rsid w:val="00D22437"/>
    <w:rsid w:val="00D22A47"/>
    <w:rsid w:val="00D232ED"/>
    <w:rsid w:val="00D235B7"/>
    <w:rsid w:val="00D2371B"/>
    <w:rsid w:val="00D23A99"/>
    <w:rsid w:val="00D23FAE"/>
    <w:rsid w:val="00D25F28"/>
    <w:rsid w:val="00D26071"/>
    <w:rsid w:val="00D260C7"/>
    <w:rsid w:val="00D2641A"/>
    <w:rsid w:val="00D269B9"/>
    <w:rsid w:val="00D27384"/>
    <w:rsid w:val="00D27973"/>
    <w:rsid w:val="00D27F3A"/>
    <w:rsid w:val="00D31537"/>
    <w:rsid w:val="00D31E1E"/>
    <w:rsid w:val="00D322A0"/>
    <w:rsid w:val="00D32824"/>
    <w:rsid w:val="00D328E1"/>
    <w:rsid w:val="00D334E2"/>
    <w:rsid w:val="00D33950"/>
    <w:rsid w:val="00D34078"/>
    <w:rsid w:val="00D350B1"/>
    <w:rsid w:val="00D35AD6"/>
    <w:rsid w:val="00D35BBB"/>
    <w:rsid w:val="00D35E1A"/>
    <w:rsid w:val="00D364E1"/>
    <w:rsid w:val="00D36B0A"/>
    <w:rsid w:val="00D36DFB"/>
    <w:rsid w:val="00D36E1C"/>
    <w:rsid w:val="00D373AF"/>
    <w:rsid w:val="00D40556"/>
    <w:rsid w:val="00D4115C"/>
    <w:rsid w:val="00D41F74"/>
    <w:rsid w:val="00D4223D"/>
    <w:rsid w:val="00D428C8"/>
    <w:rsid w:val="00D43034"/>
    <w:rsid w:val="00D43ED2"/>
    <w:rsid w:val="00D45D2C"/>
    <w:rsid w:val="00D45D7F"/>
    <w:rsid w:val="00D46076"/>
    <w:rsid w:val="00D4768F"/>
    <w:rsid w:val="00D50BC3"/>
    <w:rsid w:val="00D50F46"/>
    <w:rsid w:val="00D51BF9"/>
    <w:rsid w:val="00D5302A"/>
    <w:rsid w:val="00D533AD"/>
    <w:rsid w:val="00D533C4"/>
    <w:rsid w:val="00D5384E"/>
    <w:rsid w:val="00D53AD9"/>
    <w:rsid w:val="00D544E7"/>
    <w:rsid w:val="00D5499F"/>
    <w:rsid w:val="00D5560A"/>
    <w:rsid w:val="00D56FBF"/>
    <w:rsid w:val="00D57677"/>
    <w:rsid w:val="00D5781F"/>
    <w:rsid w:val="00D57ABE"/>
    <w:rsid w:val="00D57AF9"/>
    <w:rsid w:val="00D60415"/>
    <w:rsid w:val="00D60DAE"/>
    <w:rsid w:val="00D60E3C"/>
    <w:rsid w:val="00D60EAE"/>
    <w:rsid w:val="00D60FA7"/>
    <w:rsid w:val="00D60FF1"/>
    <w:rsid w:val="00D61FAB"/>
    <w:rsid w:val="00D62C4E"/>
    <w:rsid w:val="00D63BE5"/>
    <w:rsid w:val="00D6475F"/>
    <w:rsid w:val="00D64B85"/>
    <w:rsid w:val="00D650C4"/>
    <w:rsid w:val="00D655D4"/>
    <w:rsid w:val="00D658A7"/>
    <w:rsid w:val="00D66060"/>
    <w:rsid w:val="00D66223"/>
    <w:rsid w:val="00D667B8"/>
    <w:rsid w:val="00D66981"/>
    <w:rsid w:val="00D67D55"/>
    <w:rsid w:val="00D70117"/>
    <w:rsid w:val="00D70289"/>
    <w:rsid w:val="00D7041F"/>
    <w:rsid w:val="00D70822"/>
    <w:rsid w:val="00D70A33"/>
    <w:rsid w:val="00D717A1"/>
    <w:rsid w:val="00D72076"/>
    <w:rsid w:val="00D721B4"/>
    <w:rsid w:val="00D726A9"/>
    <w:rsid w:val="00D72DBA"/>
    <w:rsid w:val="00D7329C"/>
    <w:rsid w:val="00D743E0"/>
    <w:rsid w:val="00D7469D"/>
    <w:rsid w:val="00D7490C"/>
    <w:rsid w:val="00D75AC1"/>
    <w:rsid w:val="00D76698"/>
    <w:rsid w:val="00D76E4A"/>
    <w:rsid w:val="00D77252"/>
    <w:rsid w:val="00D772A5"/>
    <w:rsid w:val="00D777AC"/>
    <w:rsid w:val="00D778EB"/>
    <w:rsid w:val="00D804C7"/>
    <w:rsid w:val="00D8084C"/>
    <w:rsid w:val="00D81578"/>
    <w:rsid w:val="00D81809"/>
    <w:rsid w:val="00D82EF1"/>
    <w:rsid w:val="00D83277"/>
    <w:rsid w:val="00D832FA"/>
    <w:rsid w:val="00D840AF"/>
    <w:rsid w:val="00D84CC9"/>
    <w:rsid w:val="00D84F43"/>
    <w:rsid w:val="00D85114"/>
    <w:rsid w:val="00D855D5"/>
    <w:rsid w:val="00D85668"/>
    <w:rsid w:val="00D85821"/>
    <w:rsid w:val="00D8598C"/>
    <w:rsid w:val="00D85CC3"/>
    <w:rsid w:val="00D86B80"/>
    <w:rsid w:val="00D87C06"/>
    <w:rsid w:val="00D915EA"/>
    <w:rsid w:val="00D919ED"/>
    <w:rsid w:val="00D91B90"/>
    <w:rsid w:val="00D922A1"/>
    <w:rsid w:val="00D928BE"/>
    <w:rsid w:val="00D932B8"/>
    <w:rsid w:val="00D932F0"/>
    <w:rsid w:val="00D937A0"/>
    <w:rsid w:val="00D95104"/>
    <w:rsid w:val="00D95140"/>
    <w:rsid w:val="00D95302"/>
    <w:rsid w:val="00D95889"/>
    <w:rsid w:val="00D95C5D"/>
    <w:rsid w:val="00D95CBE"/>
    <w:rsid w:val="00D95E7F"/>
    <w:rsid w:val="00D97D00"/>
    <w:rsid w:val="00DA0255"/>
    <w:rsid w:val="00DA0359"/>
    <w:rsid w:val="00DA096C"/>
    <w:rsid w:val="00DA1AB6"/>
    <w:rsid w:val="00DA2080"/>
    <w:rsid w:val="00DA213D"/>
    <w:rsid w:val="00DA23DE"/>
    <w:rsid w:val="00DA2E21"/>
    <w:rsid w:val="00DA2E65"/>
    <w:rsid w:val="00DA37CA"/>
    <w:rsid w:val="00DA37DE"/>
    <w:rsid w:val="00DA3ADF"/>
    <w:rsid w:val="00DA3F34"/>
    <w:rsid w:val="00DA4174"/>
    <w:rsid w:val="00DA5378"/>
    <w:rsid w:val="00DA544C"/>
    <w:rsid w:val="00DA5F8E"/>
    <w:rsid w:val="00DA6364"/>
    <w:rsid w:val="00DA7114"/>
    <w:rsid w:val="00DA7C0C"/>
    <w:rsid w:val="00DA7E2F"/>
    <w:rsid w:val="00DB03DD"/>
    <w:rsid w:val="00DB04B2"/>
    <w:rsid w:val="00DB08A9"/>
    <w:rsid w:val="00DB0B33"/>
    <w:rsid w:val="00DB0D79"/>
    <w:rsid w:val="00DB0FD9"/>
    <w:rsid w:val="00DB13EF"/>
    <w:rsid w:val="00DB1DF4"/>
    <w:rsid w:val="00DB2DFA"/>
    <w:rsid w:val="00DB2EC8"/>
    <w:rsid w:val="00DB321D"/>
    <w:rsid w:val="00DB3FD0"/>
    <w:rsid w:val="00DB459B"/>
    <w:rsid w:val="00DB47FD"/>
    <w:rsid w:val="00DB4F13"/>
    <w:rsid w:val="00DB51B9"/>
    <w:rsid w:val="00DB5403"/>
    <w:rsid w:val="00DB5E3A"/>
    <w:rsid w:val="00DB5E9A"/>
    <w:rsid w:val="00DB613B"/>
    <w:rsid w:val="00DB61EE"/>
    <w:rsid w:val="00DB657E"/>
    <w:rsid w:val="00DB7342"/>
    <w:rsid w:val="00DB7489"/>
    <w:rsid w:val="00DC0B4D"/>
    <w:rsid w:val="00DC0CBB"/>
    <w:rsid w:val="00DC120D"/>
    <w:rsid w:val="00DC17D0"/>
    <w:rsid w:val="00DC1E5D"/>
    <w:rsid w:val="00DC1ED4"/>
    <w:rsid w:val="00DC2B41"/>
    <w:rsid w:val="00DC2EA7"/>
    <w:rsid w:val="00DC3128"/>
    <w:rsid w:val="00DC37DD"/>
    <w:rsid w:val="00DC3B47"/>
    <w:rsid w:val="00DC435B"/>
    <w:rsid w:val="00DC4AC4"/>
    <w:rsid w:val="00DC53D8"/>
    <w:rsid w:val="00DC56FE"/>
    <w:rsid w:val="00DC5B3B"/>
    <w:rsid w:val="00DC5F11"/>
    <w:rsid w:val="00DC6C2D"/>
    <w:rsid w:val="00DC77CB"/>
    <w:rsid w:val="00DC7A19"/>
    <w:rsid w:val="00DC7B1A"/>
    <w:rsid w:val="00DC7EB8"/>
    <w:rsid w:val="00DD04B0"/>
    <w:rsid w:val="00DD0E32"/>
    <w:rsid w:val="00DD129F"/>
    <w:rsid w:val="00DD13FC"/>
    <w:rsid w:val="00DD1A3F"/>
    <w:rsid w:val="00DD253D"/>
    <w:rsid w:val="00DD29B5"/>
    <w:rsid w:val="00DD3096"/>
    <w:rsid w:val="00DD32DD"/>
    <w:rsid w:val="00DD33E8"/>
    <w:rsid w:val="00DD5287"/>
    <w:rsid w:val="00DD56D4"/>
    <w:rsid w:val="00DD5B36"/>
    <w:rsid w:val="00DD6003"/>
    <w:rsid w:val="00DD7849"/>
    <w:rsid w:val="00DE03DE"/>
    <w:rsid w:val="00DE0D8B"/>
    <w:rsid w:val="00DE1237"/>
    <w:rsid w:val="00DE140F"/>
    <w:rsid w:val="00DE17E9"/>
    <w:rsid w:val="00DE1B2A"/>
    <w:rsid w:val="00DE2491"/>
    <w:rsid w:val="00DE273F"/>
    <w:rsid w:val="00DE2C79"/>
    <w:rsid w:val="00DE3503"/>
    <w:rsid w:val="00DE3E22"/>
    <w:rsid w:val="00DE3E5D"/>
    <w:rsid w:val="00DE450F"/>
    <w:rsid w:val="00DE4865"/>
    <w:rsid w:val="00DE503E"/>
    <w:rsid w:val="00DE5CA6"/>
    <w:rsid w:val="00DE5E55"/>
    <w:rsid w:val="00DE60BC"/>
    <w:rsid w:val="00DE63AE"/>
    <w:rsid w:val="00DE7156"/>
    <w:rsid w:val="00DE7AC8"/>
    <w:rsid w:val="00DF0830"/>
    <w:rsid w:val="00DF0852"/>
    <w:rsid w:val="00DF0DA6"/>
    <w:rsid w:val="00DF1877"/>
    <w:rsid w:val="00DF2C5D"/>
    <w:rsid w:val="00DF2CD3"/>
    <w:rsid w:val="00DF3643"/>
    <w:rsid w:val="00DF42FF"/>
    <w:rsid w:val="00DF4369"/>
    <w:rsid w:val="00DF4423"/>
    <w:rsid w:val="00DF4ADF"/>
    <w:rsid w:val="00DF57D6"/>
    <w:rsid w:val="00DF5D1E"/>
    <w:rsid w:val="00DF77E4"/>
    <w:rsid w:val="00DF7F88"/>
    <w:rsid w:val="00E00B88"/>
    <w:rsid w:val="00E01C0E"/>
    <w:rsid w:val="00E02071"/>
    <w:rsid w:val="00E0368F"/>
    <w:rsid w:val="00E03D73"/>
    <w:rsid w:val="00E03F9A"/>
    <w:rsid w:val="00E040DA"/>
    <w:rsid w:val="00E04485"/>
    <w:rsid w:val="00E04694"/>
    <w:rsid w:val="00E04AEF"/>
    <w:rsid w:val="00E04F23"/>
    <w:rsid w:val="00E05333"/>
    <w:rsid w:val="00E06251"/>
    <w:rsid w:val="00E062CF"/>
    <w:rsid w:val="00E07392"/>
    <w:rsid w:val="00E0768A"/>
    <w:rsid w:val="00E07C03"/>
    <w:rsid w:val="00E1085C"/>
    <w:rsid w:val="00E11480"/>
    <w:rsid w:val="00E1168B"/>
    <w:rsid w:val="00E12191"/>
    <w:rsid w:val="00E129E7"/>
    <w:rsid w:val="00E12ABE"/>
    <w:rsid w:val="00E12B1E"/>
    <w:rsid w:val="00E12C42"/>
    <w:rsid w:val="00E135EB"/>
    <w:rsid w:val="00E13995"/>
    <w:rsid w:val="00E14119"/>
    <w:rsid w:val="00E1444C"/>
    <w:rsid w:val="00E14469"/>
    <w:rsid w:val="00E1492B"/>
    <w:rsid w:val="00E14D05"/>
    <w:rsid w:val="00E156A3"/>
    <w:rsid w:val="00E15FA8"/>
    <w:rsid w:val="00E17262"/>
    <w:rsid w:val="00E17F36"/>
    <w:rsid w:val="00E20016"/>
    <w:rsid w:val="00E2009B"/>
    <w:rsid w:val="00E20BB9"/>
    <w:rsid w:val="00E20BCC"/>
    <w:rsid w:val="00E21DDD"/>
    <w:rsid w:val="00E2251C"/>
    <w:rsid w:val="00E2291F"/>
    <w:rsid w:val="00E23388"/>
    <w:rsid w:val="00E2363D"/>
    <w:rsid w:val="00E23C6A"/>
    <w:rsid w:val="00E2484B"/>
    <w:rsid w:val="00E253A2"/>
    <w:rsid w:val="00E260F6"/>
    <w:rsid w:val="00E26122"/>
    <w:rsid w:val="00E26903"/>
    <w:rsid w:val="00E27127"/>
    <w:rsid w:val="00E27233"/>
    <w:rsid w:val="00E274BB"/>
    <w:rsid w:val="00E30B71"/>
    <w:rsid w:val="00E30F15"/>
    <w:rsid w:val="00E31771"/>
    <w:rsid w:val="00E3186D"/>
    <w:rsid w:val="00E31A3E"/>
    <w:rsid w:val="00E32080"/>
    <w:rsid w:val="00E32778"/>
    <w:rsid w:val="00E3309D"/>
    <w:rsid w:val="00E346F4"/>
    <w:rsid w:val="00E34E3F"/>
    <w:rsid w:val="00E350B1"/>
    <w:rsid w:val="00E35339"/>
    <w:rsid w:val="00E353D7"/>
    <w:rsid w:val="00E35A53"/>
    <w:rsid w:val="00E3634A"/>
    <w:rsid w:val="00E3656B"/>
    <w:rsid w:val="00E3712B"/>
    <w:rsid w:val="00E3724A"/>
    <w:rsid w:val="00E378B1"/>
    <w:rsid w:val="00E37C1C"/>
    <w:rsid w:val="00E41131"/>
    <w:rsid w:val="00E41179"/>
    <w:rsid w:val="00E41463"/>
    <w:rsid w:val="00E417BE"/>
    <w:rsid w:val="00E41CD5"/>
    <w:rsid w:val="00E42054"/>
    <w:rsid w:val="00E4273C"/>
    <w:rsid w:val="00E4328C"/>
    <w:rsid w:val="00E4372D"/>
    <w:rsid w:val="00E43889"/>
    <w:rsid w:val="00E43A9E"/>
    <w:rsid w:val="00E44243"/>
    <w:rsid w:val="00E449A8"/>
    <w:rsid w:val="00E453F9"/>
    <w:rsid w:val="00E45D7D"/>
    <w:rsid w:val="00E4623F"/>
    <w:rsid w:val="00E465A0"/>
    <w:rsid w:val="00E4665D"/>
    <w:rsid w:val="00E47854"/>
    <w:rsid w:val="00E478E2"/>
    <w:rsid w:val="00E47EBA"/>
    <w:rsid w:val="00E50156"/>
    <w:rsid w:val="00E504EB"/>
    <w:rsid w:val="00E5076C"/>
    <w:rsid w:val="00E50D2E"/>
    <w:rsid w:val="00E50D7D"/>
    <w:rsid w:val="00E513B4"/>
    <w:rsid w:val="00E51D3C"/>
    <w:rsid w:val="00E51EF0"/>
    <w:rsid w:val="00E53470"/>
    <w:rsid w:val="00E5368D"/>
    <w:rsid w:val="00E539F6"/>
    <w:rsid w:val="00E53B5C"/>
    <w:rsid w:val="00E54698"/>
    <w:rsid w:val="00E54BE9"/>
    <w:rsid w:val="00E54FB4"/>
    <w:rsid w:val="00E5539A"/>
    <w:rsid w:val="00E55791"/>
    <w:rsid w:val="00E55E1A"/>
    <w:rsid w:val="00E578A2"/>
    <w:rsid w:val="00E579ED"/>
    <w:rsid w:val="00E60043"/>
    <w:rsid w:val="00E6105A"/>
    <w:rsid w:val="00E61740"/>
    <w:rsid w:val="00E61EB5"/>
    <w:rsid w:val="00E62429"/>
    <w:rsid w:val="00E6324D"/>
    <w:rsid w:val="00E63AC6"/>
    <w:rsid w:val="00E64782"/>
    <w:rsid w:val="00E647C1"/>
    <w:rsid w:val="00E64D6C"/>
    <w:rsid w:val="00E65084"/>
    <w:rsid w:val="00E6519D"/>
    <w:rsid w:val="00E66062"/>
    <w:rsid w:val="00E6660E"/>
    <w:rsid w:val="00E666EA"/>
    <w:rsid w:val="00E66768"/>
    <w:rsid w:val="00E67305"/>
    <w:rsid w:val="00E673E4"/>
    <w:rsid w:val="00E67696"/>
    <w:rsid w:val="00E67DEF"/>
    <w:rsid w:val="00E7027F"/>
    <w:rsid w:val="00E705A5"/>
    <w:rsid w:val="00E709AF"/>
    <w:rsid w:val="00E70C5F"/>
    <w:rsid w:val="00E71A58"/>
    <w:rsid w:val="00E71ECD"/>
    <w:rsid w:val="00E72774"/>
    <w:rsid w:val="00E72792"/>
    <w:rsid w:val="00E728D7"/>
    <w:rsid w:val="00E72A26"/>
    <w:rsid w:val="00E72A7A"/>
    <w:rsid w:val="00E7335A"/>
    <w:rsid w:val="00E73986"/>
    <w:rsid w:val="00E74234"/>
    <w:rsid w:val="00E7467D"/>
    <w:rsid w:val="00E747DC"/>
    <w:rsid w:val="00E74A2D"/>
    <w:rsid w:val="00E75B3A"/>
    <w:rsid w:val="00E75C94"/>
    <w:rsid w:val="00E76A08"/>
    <w:rsid w:val="00E76B9B"/>
    <w:rsid w:val="00E76BA9"/>
    <w:rsid w:val="00E76C70"/>
    <w:rsid w:val="00E76E61"/>
    <w:rsid w:val="00E76EE4"/>
    <w:rsid w:val="00E77CC0"/>
    <w:rsid w:val="00E801B0"/>
    <w:rsid w:val="00E80B3D"/>
    <w:rsid w:val="00E80CA3"/>
    <w:rsid w:val="00E81504"/>
    <w:rsid w:val="00E81AAA"/>
    <w:rsid w:val="00E82618"/>
    <w:rsid w:val="00E82A42"/>
    <w:rsid w:val="00E82B16"/>
    <w:rsid w:val="00E83D8D"/>
    <w:rsid w:val="00E84E09"/>
    <w:rsid w:val="00E859E5"/>
    <w:rsid w:val="00E874B1"/>
    <w:rsid w:val="00E87811"/>
    <w:rsid w:val="00E87CE2"/>
    <w:rsid w:val="00E87D5B"/>
    <w:rsid w:val="00E90CA8"/>
    <w:rsid w:val="00E911C6"/>
    <w:rsid w:val="00E917A5"/>
    <w:rsid w:val="00E920DE"/>
    <w:rsid w:val="00E930A1"/>
    <w:rsid w:val="00E93820"/>
    <w:rsid w:val="00E93E65"/>
    <w:rsid w:val="00E94A86"/>
    <w:rsid w:val="00E951AB"/>
    <w:rsid w:val="00E953F6"/>
    <w:rsid w:val="00E95DAB"/>
    <w:rsid w:val="00E96018"/>
    <w:rsid w:val="00E96143"/>
    <w:rsid w:val="00E96833"/>
    <w:rsid w:val="00E973D3"/>
    <w:rsid w:val="00E97506"/>
    <w:rsid w:val="00E977B0"/>
    <w:rsid w:val="00E97BB5"/>
    <w:rsid w:val="00E97D5B"/>
    <w:rsid w:val="00E97F14"/>
    <w:rsid w:val="00EA04C3"/>
    <w:rsid w:val="00EA0C68"/>
    <w:rsid w:val="00EA0E39"/>
    <w:rsid w:val="00EA1D0E"/>
    <w:rsid w:val="00EA1DAD"/>
    <w:rsid w:val="00EA2072"/>
    <w:rsid w:val="00EA2841"/>
    <w:rsid w:val="00EA32BC"/>
    <w:rsid w:val="00EA35A7"/>
    <w:rsid w:val="00EA3B32"/>
    <w:rsid w:val="00EA3CEB"/>
    <w:rsid w:val="00EA3D05"/>
    <w:rsid w:val="00EA4222"/>
    <w:rsid w:val="00EA4402"/>
    <w:rsid w:val="00EA4B8D"/>
    <w:rsid w:val="00EA4F0E"/>
    <w:rsid w:val="00EA513E"/>
    <w:rsid w:val="00EA60E9"/>
    <w:rsid w:val="00EA658A"/>
    <w:rsid w:val="00EA7419"/>
    <w:rsid w:val="00EA7CD5"/>
    <w:rsid w:val="00EB070B"/>
    <w:rsid w:val="00EB0E32"/>
    <w:rsid w:val="00EB1CDC"/>
    <w:rsid w:val="00EB1D89"/>
    <w:rsid w:val="00EB3E60"/>
    <w:rsid w:val="00EB4511"/>
    <w:rsid w:val="00EB48D7"/>
    <w:rsid w:val="00EB4994"/>
    <w:rsid w:val="00EB49F1"/>
    <w:rsid w:val="00EB4A8E"/>
    <w:rsid w:val="00EB4BC5"/>
    <w:rsid w:val="00EB599C"/>
    <w:rsid w:val="00EB5BF7"/>
    <w:rsid w:val="00EB5E79"/>
    <w:rsid w:val="00EB620B"/>
    <w:rsid w:val="00EB6DA6"/>
    <w:rsid w:val="00EB6F12"/>
    <w:rsid w:val="00EB6FAC"/>
    <w:rsid w:val="00EB73CA"/>
    <w:rsid w:val="00EB7BAC"/>
    <w:rsid w:val="00EB7CC9"/>
    <w:rsid w:val="00EC03D7"/>
    <w:rsid w:val="00EC0EE6"/>
    <w:rsid w:val="00EC13A7"/>
    <w:rsid w:val="00EC148A"/>
    <w:rsid w:val="00EC1984"/>
    <w:rsid w:val="00EC2177"/>
    <w:rsid w:val="00EC2EB6"/>
    <w:rsid w:val="00EC39F9"/>
    <w:rsid w:val="00EC4FFF"/>
    <w:rsid w:val="00EC51F7"/>
    <w:rsid w:val="00EC53D0"/>
    <w:rsid w:val="00EC5517"/>
    <w:rsid w:val="00EC602A"/>
    <w:rsid w:val="00EC64EC"/>
    <w:rsid w:val="00EC6E8C"/>
    <w:rsid w:val="00EC7386"/>
    <w:rsid w:val="00ED018F"/>
    <w:rsid w:val="00ED05B0"/>
    <w:rsid w:val="00ED0962"/>
    <w:rsid w:val="00ED0EF0"/>
    <w:rsid w:val="00ED0F73"/>
    <w:rsid w:val="00ED12B9"/>
    <w:rsid w:val="00ED15EF"/>
    <w:rsid w:val="00ED16B8"/>
    <w:rsid w:val="00ED1959"/>
    <w:rsid w:val="00ED1A00"/>
    <w:rsid w:val="00ED1CB1"/>
    <w:rsid w:val="00ED1DF0"/>
    <w:rsid w:val="00ED1FB8"/>
    <w:rsid w:val="00ED2386"/>
    <w:rsid w:val="00ED250F"/>
    <w:rsid w:val="00ED2525"/>
    <w:rsid w:val="00ED2EA1"/>
    <w:rsid w:val="00ED3448"/>
    <w:rsid w:val="00ED3851"/>
    <w:rsid w:val="00ED3E51"/>
    <w:rsid w:val="00ED3F10"/>
    <w:rsid w:val="00ED3F9B"/>
    <w:rsid w:val="00ED3FB3"/>
    <w:rsid w:val="00ED4380"/>
    <w:rsid w:val="00ED4D04"/>
    <w:rsid w:val="00ED566D"/>
    <w:rsid w:val="00ED5907"/>
    <w:rsid w:val="00ED5F5B"/>
    <w:rsid w:val="00ED62B7"/>
    <w:rsid w:val="00ED62C6"/>
    <w:rsid w:val="00ED64C1"/>
    <w:rsid w:val="00ED6CDF"/>
    <w:rsid w:val="00ED73B7"/>
    <w:rsid w:val="00ED781F"/>
    <w:rsid w:val="00EE0E7E"/>
    <w:rsid w:val="00EE222F"/>
    <w:rsid w:val="00EE22A5"/>
    <w:rsid w:val="00EE249F"/>
    <w:rsid w:val="00EE2EB4"/>
    <w:rsid w:val="00EE3446"/>
    <w:rsid w:val="00EE3E78"/>
    <w:rsid w:val="00EE41FD"/>
    <w:rsid w:val="00EE460E"/>
    <w:rsid w:val="00EE4B1B"/>
    <w:rsid w:val="00EE5FBA"/>
    <w:rsid w:val="00EE601C"/>
    <w:rsid w:val="00EE66E3"/>
    <w:rsid w:val="00EE6E06"/>
    <w:rsid w:val="00EE7179"/>
    <w:rsid w:val="00EF0C55"/>
    <w:rsid w:val="00EF0D90"/>
    <w:rsid w:val="00EF0DA4"/>
    <w:rsid w:val="00EF150D"/>
    <w:rsid w:val="00EF1F5A"/>
    <w:rsid w:val="00EF23B5"/>
    <w:rsid w:val="00EF2AFA"/>
    <w:rsid w:val="00EF326A"/>
    <w:rsid w:val="00EF3898"/>
    <w:rsid w:val="00EF47BF"/>
    <w:rsid w:val="00EF4D0A"/>
    <w:rsid w:val="00EF52F7"/>
    <w:rsid w:val="00EF59B1"/>
    <w:rsid w:val="00EF5A13"/>
    <w:rsid w:val="00EF5D79"/>
    <w:rsid w:val="00EF5FF9"/>
    <w:rsid w:val="00EF6950"/>
    <w:rsid w:val="00EF6A17"/>
    <w:rsid w:val="00EF75D0"/>
    <w:rsid w:val="00EF77D4"/>
    <w:rsid w:val="00EF7CC7"/>
    <w:rsid w:val="00F00535"/>
    <w:rsid w:val="00F00853"/>
    <w:rsid w:val="00F00866"/>
    <w:rsid w:val="00F0086F"/>
    <w:rsid w:val="00F00EC8"/>
    <w:rsid w:val="00F0160B"/>
    <w:rsid w:val="00F0193E"/>
    <w:rsid w:val="00F03E2F"/>
    <w:rsid w:val="00F03F8D"/>
    <w:rsid w:val="00F044D1"/>
    <w:rsid w:val="00F04811"/>
    <w:rsid w:val="00F04869"/>
    <w:rsid w:val="00F0488C"/>
    <w:rsid w:val="00F04955"/>
    <w:rsid w:val="00F052D2"/>
    <w:rsid w:val="00F0730A"/>
    <w:rsid w:val="00F073ED"/>
    <w:rsid w:val="00F07730"/>
    <w:rsid w:val="00F07C4C"/>
    <w:rsid w:val="00F07E45"/>
    <w:rsid w:val="00F10F11"/>
    <w:rsid w:val="00F11159"/>
    <w:rsid w:val="00F115E4"/>
    <w:rsid w:val="00F11AC4"/>
    <w:rsid w:val="00F120A5"/>
    <w:rsid w:val="00F123DF"/>
    <w:rsid w:val="00F12CFB"/>
    <w:rsid w:val="00F13E60"/>
    <w:rsid w:val="00F13FDB"/>
    <w:rsid w:val="00F15AAA"/>
    <w:rsid w:val="00F15BEF"/>
    <w:rsid w:val="00F17898"/>
    <w:rsid w:val="00F204BF"/>
    <w:rsid w:val="00F205AB"/>
    <w:rsid w:val="00F207C2"/>
    <w:rsid w:val="00F21337"/>
    <w:rsid w:val="00F219A1"/>
    <w:rsid w:val="00F23520"/>
    <w:rsid w:val="00F23E20"/>
    <w:rsid w:val="00F24407"/>
    <w:rsid w:val="00F249CE"/>
    <w:rsid w:val="00F24FAA"/>
    <w:rsid w:val="00F25040"/>
    <w:rsid w:val="00F2507B"/>
    <w:rsid w:val="00F2533E"/>
    <w:rsid w:val="00F25A4E"/>
    <w:rsid w:val="00F26359"/>
    <w:rsid w:val="00F269D7"/>
    <w:rsid w:val="00F27071"/>
    <w:rsid w:val="00F27331"/>
    <w:rsid w:val="00F276D3"/>
    <w:rsid w:val="00F27EE5"/>
    <w:rsid w:val="00F27FB1"/>
    <w:rsid w:val="00F27FD6"/>
    <w:rsid w:val="00F307C3"/>
    <w:rsid w:val="00F307CB"/>
    <w:rsid w:val="00F30C0C"/>
    <w:rsid w:val="00F30C65"/>
    <w:rsid w:val="00F30CA2"/>
    <w:rsid w:val="00F30D46"/>
    <w:rsid w:val="00F321D2"/>
    <w:rsid w:val="00F32649"/>
    <w:rsid w:val="00F33523"/>
    <w:rsid w:val="00F3364D"/>
    <w:rsid w:val="00F33914"/>
    <w:rsid w:val="00F349BF"/>
    <w:rsid w:val="00F34DDC"/>
    <w:rsid w:val="00F36191"/>
    <w:rsid w:val="00F3629F"/>
    <w:rsid w:val="00F363F5"/>
    <w:rsid w:val="00F36DF3"/>
    <w:rsid w:val="00F37362"/>
    <w:rsid w:val="00F37EDC"/>
    <w:rsid w:val="00F416AE"/>
    <w:rsid w:val="00F41C19"/>
    <w:rsid w:val="00F43035"/>
    <w:rsid w:val="00F437CC"/>
    <w:rsid w:val="00F43A77"/>
    <w:rsid w:val="00F43C60"/>
    <w:rsid w:val="00F44537"/>
    <w:rsid w:val="00F44BEE"/>
    <w:rsid w:val="00F45EE4"/>
    <w:rsid w:val="00F45F6A"/>
    <w:rsid w:val="00F46185"/>
    <w:rsid w:val="00F46423"/>
    <w:rsid w:val="00F4680A"/>
    <w:rsid w:val="00F4696A"/>
    <w:rsid w:val="00F47067"/>
    <w:rsid w:val="00F47234"/>
    <w:rsid w:val="00F5199B"/>
    <w:rsid w:val="00F51ADD"/>
    <w:rsid w:val="00F525AB"/>
    <w:rsid w:val="00F525EB"/>
    <w:rsid w:val="00F52CB5"/>
    <w:rsid w:val="00F52D67"/>
    <w:rsid w:val="00F52F07"/>
    <w:rsid w:val="00F53378"/>
    <w:rsid w:val="00F53917"/>
    <w:rsid w:val="00F53A68"/>
    <w:rsid w:val="00F54934"/>
    <w:rsid w:val="00F54C62"/>
    <w:rsid w:val="00F55A92"/>
    <w:rsid w:val="00F5615B"/>
    <w:rsid w:val="00F56809"/>
    <w:rsid w:val="00F575D3"/>
    <w:rsid w:val="00F57983"/>
    <w:rsid w:val="00F57A76"/>
    <w:rsid w:val="00F57D57"/>
    <w:rsid w:val="00F60ECA"/>
    <w:rsid w:val="00F6178B"/>
    <w:rsid w:val="00F61CB5"/>
    <w:rsid w:val="00F62BFF"/>
    <w:rsid w:val="00F62CCE"/>
    <w:rsid w:val="00F63092"/>
    <w:rsid w:val="00F63AAE"/>
    <w:rsid w:val="00F63DDE"/>
    <w:rsid w:val="00F63FB7"/>
    <w:rsid w:val="00F6421B"/>
    <w:rsid w:val="00F647F1"/>
    <w:rsid w:val="00F649D2"/>
    <w:rsid w:val="00F64D5A"/>
    <w:rsid w:val="00F65460"/>
    <w:rsid w:val="00F65CA4"/>
    <w:rsid w:val="00F6602B"/>
    <w:rsid w:val="00F66656"/>
    <w:rsid w:val="00F67077"/>
    <w:rsid w:val="00F6715A"/>
    <w:rsid w:val="00F6779D"/>
    <w:rsid w:val="00F6799D"/>
    <w:rsid w:val="00F703B6"/>
    <w:rsid w:val="00F70CC7"/>
    <w:rsid w:val="00F70DE0"/>
    <w:rsid w:val="00F7150B"/>
    <w:rsid w:val="00F717E4"/>
    <w:rsid w:val="00F71DE6"/>
    <w:rsid w:val="00F72D71"/>
    <w:rsid w:val="00F7381C"/>
    <w:rsid w:val="00F73A0C"/>
    <w:rsid w:val="00F74397"/>
    <w:rsid w:val="00F74B00"/>
    <w:rsid w:val="00F752DC"/>
    <w:rsid w:val="00F7549F"/>
    <w:rsid w:val="00F756DB"/>
    <w:rsid w:val="00F766BE"/>
    <w:rsid w:val="00F767A8"/>
    <w:rsid w:val="00F768DE"/>
    <w:rsid w:val="00F77590"/>
    <w:rsid w:val="00F77A50"/>
    <w:rsid w:val="00F80012"/>
    <w:rsid w:val="00F80BB3"/>
    <w:rsid w:val="00F81340"/>
    <w:rsid w:val="00F81B1E"/>
    <w:rsid w:val="00F81D58"/>
    <w:rsid w:val="00F82C44"/>
    <w:rsid w:val="00F82D14"/>
    <w:rsid w:val="00F82E98"/>
    <w:rsid w:val="00F84E7D"/>
    <w:rsid w:val="00F85066"/>
    <w:rsid w:val="00F868EE"/>
    <w:rsid w:val="00F874F8"/>
    <w:rsid w:val="00F87520"/>
    <w:rsid w:val="00F87A4D"/>
    <w:rsid w:val="00F87C30"/>
    <w:rsid w:val="00F90EEB"/>
    <w:rsid w:val="00F91237"/>
    <w:rsid w:val="00F9135C"/>
    <w:rsid w:val="00F919C6"/>
    <w:rsid w:val="00F91B66"/>
    <w:rsid w:val="00F91C3D"/>
    <w:rsid w:val="00F93688"/>
    <w:rsid w:val="00F939F3"/>
    <w:rsid w:val="00F93C6E"/>
    <w:rsid w:val="00F93F2C"/>
    <w:rsid w:val="00F94390"/>
    <w:rsid w:val="00F947E9"/>
    <w:rsid w:val="00F9516B"/>
    <w:rsid w:val="00F95E27"/>
    <w:rsid w:val="00F962AD"/>
    <w:rsid w:val="00F9644E"/>
    <w:rsid w:val="00F977DB"/>
    <w:rsid w:val="00F97EDD"/>
    <w:rsid w:val="00FA0105"/>
    <w:rsid w:val="00FA05A0"/>
    <w:rsid w:val="00FA0AEF"/>
    <w:rsid w:val="00FA0ECC"/>
    <w:rsid w:val="00FA17CC"/>
    <w:rsid w:val="00FA1CFE"/>
    <w:rsid w:val="00FA1ECA"/>
    <w:rsid w:val="00FA1EE7"/>
    <w:rsid w:val="00FA1F01"/>
    <w:rsid w:val="00FA268D"/>
    <w:rsid w:val="00FA26DF"/>
    <w:rsid w:val="00FA298B"/>
    <w:rsid w:val="00FA32BC"/>
    <w:rsid w:val="00FA3FA8"/>
    <w:rsid w:val="00FA4059"/>
    <w:rsid w:val="00FA4230"/>
    <w:rsid w:val="00FA4574"/>
    <w:rsid w:val="00FA46B9"/>
    <w:rsid w:val="00FA48A4"/>
    <w:rsid w:val="00FA4CB7"/>
    <w:rsid w:val="00FA5112"/>
    <w:rsid w:val="00FA5526"/>
    <w:rsid w:val="00FA5D4D"/>
    <w:rsid w:val="00FA6CB6"/>
    <w:rsid w:val="00FA6CE4"/>
    <w:rsid w:val="00FA6E38"/>
    <w:rsid w:val="00FA70D3"/>
    <w:rsid w:val="00FA7AEC"/>
    <w:rsid w:val="00FB0AEA"/>
    <w:rsid w:val="00FB0DB4"/>
    <w:rsid w:val="00FB0EE2"/>
    <w:rsid w:val="00FB1A79"/>
    <w:rsid w:val="00FB1F0B"/>
    <w:rsid w:val="00FB208B"/>
    <w:rsid w:val="00FB2494"/>
    <w:rsid w:val="00FB2A31"/>
    <w:rsid w:val="00FB2B2D"/>
    <w:rsid w:val="00FB373F"/>
    <w:rsid w:val="00FB542E"/>
    <w:rsid w:val="00FB5580"/>
    <w:rsid w:val="00FB564F"/>
    <w:rsid w:val="00FB59BA"/>
    <w:rsid w:val="00FB6E8F"/>
    <w:rsid w:val="00FB6F62"/>
    <w:rsid w:val="00FB744F"/>
    <w:rsid w:val="00FB7DBB"/>
    <w:rsid w:val="00FC05F8"/>
    <w:rsid w:val="00FC077B"/>
    <w:rsid w:val="00FC0B1B"/>
    <w:rsid w:val="00FC0E5F"/>
    <w:rsid w:val="00FC1070"/>
    <w:rsid w:val="00FC1266"/>
    <w:rsid w:val="00FC1A95"/>
    <w:rsid w:val="00FC1ED4"/>
    <w:rsid w:val="00FC368D"/>
    <w:rsid w:val="00FC3BEC"/>
    <w:rsid w:val="00FC3FC0"/>
    <w:rsid w:val="00FC42C5"/>
    <w:rsid w:val="00FC440B"/>
    <w:rsid w:val="00FC5180"/>
    <w:rsid w:val="00FC56DE"/>
    <w:rsid w:val="00FC5B13"/>
    <w:rsid w:val="00FC5DD2"/>
    <w:rsid w:val="00FC63D9"/>
    <w:rsid w:val="00FC64DE"/>
    <w:rsid w:val="00FC6785"/>
    <w:rsid w:val="00FC684B"/>
    <w:rsid w:val="00FC7D98"/>
    <w:rsid w:val="00FD091B"/>
    <w:rsid w:val="00FD0F8C"/>
    <w:rsid w:val="00FD1135"/>
    <w:rsid w:val="00FD125F"/>
    <w:rsid w:val="00FD3265"/>
    <w:rsid w:val="00FD3CF7"/>
    <w:rsid w:val="00FD4124"/>
    <w:rsid w:val="00FD43E6"/>
    <w:rsid w:val="00FD4916"/>
    <w:rsid w:val="00FD4D12"/>
    <w:rsid w:val="00FD4F73"/>
    <w:rsid w:val="00FD595E"/>
    <w:rsid w:val="00FD5B4C"/>
    <w:rsid w:val="00FD6D53"/>
    <w:rsid w:val="00FD7802"/>
    <w:rsid w:val="00FD7D3B"/>
    <w:rsid w:val="00FD7FBE"/>
    <w:rsid w:val="00FE00E7"/>
    <w:rsid w:val="00FE0730"/>
    <w:rsid w:val="00FE0FB9"/>
    <w:rsid w:val="00FE1B5F"/>
    <w:rsid w:val="00FE27C7"/>
    <w:rsid w:val="00FE2C7E"/>
    <w:rsid w:val="00FE2F78"/>
    <w:rsid w:val="00FE3137"/>
    <w:rsid w:val="00FE3156"/>
    <w:rsid w:val="00FE346B"/>
    <w:rsid w:val="00FE346F"/>
    <w:rsid w:val="00FE37F1"/>
    <w:rsid w:val="00FE431E"/>
    <w:rsid w:val="00FE4418"/>
    <w:rsid w:val="00FE460E"/>
    <w:rsid w:val="00FE48E4"/>
    <w:rsid w:val="00FE521B"/>
    <w:rsid w:val="00FE5466"/>
    <w:rsid w:val="00FE634C"/>
    <w:rsid w:val="00FE6D9C"/>
    <w:rsid w:val="00FE6E69"/>
    <w:rsid w:val="00FE6F59"/>
    <w:rsid w:val="00FE736B"/>
    <w:rsid w:val="00FE7EAB"/>
    <w:rsid w:val="00FF01B6"/>
    <w:rsid w:val="00FF0989"/>
    <w:rsid w:val="00FF0C09"/>
    <w:rsid w:val="00FF0F79"/>
    <w:rsid w:val="00FF1136"/>
    <w:rsid w:val="00FF2666"/>
    <w:rsid w:val="00FF2A6D"/>
    <w:rsid w:val="00FF2D47"/>
    <w:rsid w:val="00FF2F4F"/>
    <w:rsid w:val="00FF3612"/>
    <w:rsid w:val="00FF3D76"/>
    <w:rsid w:val="00FF5B8C"/>
    <w:rsid w:val="00FF6072"/>
    <w:rsid w:val="00FF63E6"/>
    <w:rsid w:val="00FF72DC"/>
    <w:rsid w:val="00FF7B96"/>
    <w:rsid w:val="0523CDF2"/>
    <w:rsid w:val="06B1A837"/>
    <w:rsid w:val="12650F4E"/>
    <w:rsid w:val="1394E51D"/>
    <w:rsid w:val="2A0E9F3A"/>
    <w:rsid w:val="2A2A6298"/>
    <w:rsid w:val="38C72AFC"/>
    <w:rsid w:val="3E4A9713"/>
    <w:rsid w:val="48038D4B"/>
    <w:rsid w:val="49E8263C"/>
    <w:rsid w:val="50A35788"/>
    <w:rsid w:val="52944939"/>
    <w:rsid w:val="5CF587E8"/>
    <w:rsid w:val="6AEA4E8B"/>
    <w:rsid w:val="75B5B7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character" w:styleId="Sledovanodkaz">
    <w:name w:val="FollowedHyperlink"/>
    <w:basedOn w:val="Standardnpsmoodstavce"/>
    <w:uiPriority w:val="99"/>
    <w:semiHidden/>
    <w:unhideWhenUsed/>
    <w:rsid w:val="004D6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111294050">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Q-makro-2022\Celorok-2022\ENGL\ENGL-Trh%20pr&#225;ce%20celorok-2022-ak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Q-makro-2022\Celorok-2022\ENGL\ENGL-Trh%20pr&#225;ce%20rok-2022-ak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Q-makro-2022\Celorok-2022\ENGL\ENGL-Trh%20pr&#225;ce%20celorok-2022-ak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4495121574960907"/>
          <c:h val="0.67557130739459548"/>
        </c:manualLayout>
      </c:layout>
      <c:barChart>
        <c:barDir val="col"/>
        <c:grouping val="stacked"/>
        <c:varyColors val="0"/>
        <c:ser>
          <c:idx val="0"/>
          <c:order val="0"/>
          <c:tx>
            <c:strRef>
              <c:f>'Trh práce 1-SNÚ'!$AC$7</c:f>
              <c:strCache>
                <c:ptCount val="1"/>
                <c:pt idx="0">
                  <c:v>Agriculture, forestry and fishing</c:v>
                </c:pt>
              </c:strCache>
            </c:strRef>
          </c:tx>
          <c:spPr>
            <a:solidFill>
              <a:srgbClr val="7DBB2D"/>
            </a:solidFill>
            <a:ln>
              <a:noFill/>
            </a:ln>
          </c:spPr>
          <c:invertIfNegative val="0"/>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1-SNÚ'!$AC$28:$AC$60</c:f>
              <c:numCache>
                <c:formatCode>#\ ##0.0</c:formatCode>
                <c:ptCount val="33"/>
                <c:pt idx="0">
                  <c:v>-5.6991893197978323E-2</c:v>
                </c:pt>
                <c:pt idx="1">
                  <c:v>-5.3077004431979151E-2</c:v>
                </c:pt>
                <c:pt idx="2">
                  <c:v>-6.9683605158033346E-2</c:v>
                </c:pt>
                <c:pt idx="3">
                  <c:v>-0.13993931548915456</c:v>
                </c:pt>
                <c:pt idx="4">
                  <c:v>-0.12488466174466099</c:v>
                </c:pt>
                <c:pt idx="5">
                  <c:v>-3.2025271621926824E-2</c:v>
                </c:pt>
                <c:pt idx="6">
                  <c:v>-4.5209168072263314E-2</c:v>
                </c:pt>
                <c:pt idx="7">
                  <c:v>5.8178231424048252E-2</c:v>
                </c:pt>
                <c:pt idx="8">
                  <c:v>9.8473168738459127E-2</c:v>
                </c:pt>
                <c:pt idx="9">
                  <c:v>3.5827695758654118E-2</c:v>
                </c:pt>
                <c:pt idx="10">
                  <c:v>1.9597324357556144E-2</c:v>
                </c:pt>
                <c:pt idx="11">
                  <c:v>-9.3256093124704398E-2</c:v>
                </c:pt>
                <c:pt idx="12">
                  <c:v>2.8281779223500534E-2</c:v>
                </c:pt>
                <c:pt idx="13">
                  <c:v>3.1385538570036599E-2</c:v>
                </c:pt>
                <c:pt idx="14">
                  <c:v>1.6521075080556488E-2</c:v>
                </c:pt>
                <c:pt idx="15">
                  <c:v>8.3398360204895924E-2</c:v>
                </c:pt>
                <c:pt idx="16">
                  <c:v>-3.2066957439228133E-2</c:v>
                </c:pt>
                <c:pt idx="17">
                  <c:v>-9.1886912097250681E-2</c:v>
                </c:pt>
                <c:pt idx="18">
                  <c:v>-0.12544281535318705</c:v>
                </c:pt>
                <c:pt idx="19">
                  <c:v>-0.13296546528421765</c:v>
                </c:pt>
                <c:pt idx="20">
                  <c:v>-8.0149764825409767E-2</c:v>
                </c:pt>
                <c:pt idx="21">
                  <c:v>1.2847127079559917E-4</c:v>
                </c:pt>
                <c:pt idx="22">
                  <c:v>9.2281662728676842E-2</c:v>
                </c:pt>
                <c:pt idx="23">
                  <c:v>7.8785121950452425E-2</c:v>
                </c:pt>
                <c:pt idx="24">
                  <c:v>3.9467525638141862E-2</c:v>
                </c:pt>
                <c:pt idx="25">
                  <c:v>-3.5679661917382199E-2</c:v>
                </c:pt>
                <c:pt idx="26">
                  <c:v>-6.7116536974324847E-2</c:v>
                </c:pt>
                <c:pt idx="27">
                  <c:v>-2.1524420295770993E-2</c:v>
                </c:pt>
                <c:pt idx="28">
                  <c:v>-2.1396085155666728E-2</c:v>
                </c:pt>
                <c:pt idx="29">
                  <c:v>8.9564611387649637E-2</c:v>
                </c:pt>
                <c:pt idx="30">
                  <c:v>3.6987296379261805E-2</c:v>
                </c:pt>
                <c:pt idx="31">
                  <c:v>-5.9061454391102539E-2</c:v>
                </c:pt>
              </c:numCache>
            </c:numRef>
          </c:val>
          <c:extLst>
            <c:ext xmlns:c16="http://schemas.microsoft.com/office/drawing/2014/chart" uri="{C3380CC4-5D6E-409C-BE32-E72D297353CC}">
              <c16:uniqueId val="{00000000-6FA5-466A-A201-D4067BB917F6}"/>
            </c:ext>
          </c:extLst>
        </c:ser>
        <c:ser>
          <c:idx val="1"/>
          <c:order val="1"/>
          <c:tx>
            <c:strRef>
              <c:f>'Trh práce 1-SNÚ'!$AD$7</c:f>
              <c:strCache>
                <c:ptCount val="1"/>
                <c:pt idx="0">
                  <c:v>Manufacturing </c:v>
                </c:pt>
              </c:strCache>
            </c:strRef>
          </c:tx>
          <c:spPr>
            <a:solidFill>
              <a:srgbClr val="A6CDE8"/>
            </a:solidFill>
            <a:ln>
              <a:noFill/>
            </a:ln>
          </c:spPr>
          <c:invertIfNegative val="0"/>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1-SNÚ'!$AD$28:$AD$60</c:f>
              <c:numCache>
                <c:formatCode>#\ ##0.0</c:formatCode>
                <c:ptCount val="33"/>
                <c:pt idx="0">
                  <c:v>0.88197902580416176</c:v>
                </c:pt>
                <c:pt idx="1">
                  <c:v>0.93619594656509764</c:v>
                </c:pt>
                <c:pt idx="2">
                  <c:v>0.79380670100221373</c:v>
                </c:pt>
                <c:pt idx="3">
                  <c:v>0.92941048859384778</c:v>
                </c:pt>
                <c:pt idx="4">
                  <c:v>0.86436958871149239</c:v>
                </c:pt>
                <c:pt idx="5">
                  <c:v>0.64306976785438008</c:v>
                </c:pt>
                <c:pt idx="6">
                  <c:v>0.67102358376255722</c:v>
                </c:pt>
                <c:pt idx="7">
                  <c:v>0.51768439491468099</c:v>
                </c:pt>
                <c:pt idx="8">
                  <c:v>0.27352595704925392</c:v>
                </c:pt>
                <c:pt idx="9">
                  <c:v>0.40495174469100209</c:v>
                </c:pt>
                <c:pt idx="10">
                  <c:v>0.48296390541252465</c:v>
                </c:pt>
                <c:pt idx="11">
                  <c:v>0.47073561501166572</c:v>
                </c:pt>
                <c:pt idx="12">
                  <c:v>0.35993792705298522</c:v>
                </c:pt>
                <c:pt idx="13">
                  <c:v>0.28632749685910475</c:v>
                </c:pt>
                <c:pt idx="14">
                  <c:v>9.3203449496172111E-2</c:v>
                </c:pt>
                <c:pt idx="15">
                  <c:v>8.6360902490994762E-2</c:v>
                </c:pt>
                <c:pt idx="16">
                  <c:v>0.14709256185686426</c:v>
                </c:pt>
                <c:pt idx="17">
                  <c:v>-2.0854942188738988E-2</c:v>
                </c:pt>
                <c:pt idx="18">
                  <c:v>-0.16258097669671445</c:v>
                </c:pt>
                <c:pt idx="19">
                  <c:v>-0.55102805433099211</c:v>
                </c:pt>
                <c:pt idx="20">
                  <c:v>-0.82136508594643176</c:v>
                </c:pt>
                <c:pt idx="21">
                  <c:v>-1.0952359365711679</c:v>
                </c:pt>
                <c:pt idx="22">
                  <c:v>-1.0796051443294794</c:v>
                </c:pt>
                <c:pt idx="23">
                  <c:v>-0.91314157662366346</c:v>
                </c:pt>
                <c:pt idx="24">
                  <c:v>-0.48322704277798206</c:v>
                </c:pt>
                <c:pt idx="25">
                  <c:v>-6.9933638079916316E-2</c:v>
                </c:pt>
                <c:pt idx="26">
                  <c:v>0.17887110622763175</c:v>
                </c:pt>
                <c:pt idx="27">
                  <c:v>0.31056393603222171</c:v>
                </c:pt>
                <c:pt idx="28">
                  <c:v>7.5243526180121478E-2</c:v>
                </c:pt>
                <c:pt idx="29">
                  <c:v>0.3891904573249359</c:v>
                </c:pt>
                <c:pt idx="30">
                  <c:v>0.19536879625969056</c:v>
                </c:pt>
                <c:pt idx="31">
                  <c:v>9.9464098143858024E-2</c:v>
                </c:pt>
              </c:numCache>
            </c:numRef>
          </c:val>
          <c:extLst>
            <c:ext xmlns:c16="http://schemas.microsoft.com/office/drawing/2014/chart" uri="{C3380CC4-5D6E-409C-BE32-E72D297353CC}">
              <c16:uniqueId val="{00000001-6FA5-466A-A201-D4067BB917F6}"/>
            </c:ext>
          </c:extLst>
        </c:ser>
        <c:ser>
          <c:idx val="2"/>
          <c:order val="2"/>
          <c:tx>
            <c:strRef>
              <c:f>'Trh práce 1-SNÚ'!$AE$7</c:f>
              <c:strCache>
                <c:ptCount val="1"/>
                <c:pt idx="0">
                  <c:v>Construction</c:v>
                </c:pt>
              </c:strCache>
            </c:strRef>
          </c:tx>
          <c:spPr>
            <a:solidFill>
              <a:srgbClr val="48AEE7"/>
            </a:solidFill>
            <a:ln w="19050">
              <a:noFill/>
            </a:ln>
          </c:spPr>
          <c:invertIfNegative val="0"/>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1-SNÚ'!$AE$28:$AE$60</c:f>
              <c:numCache>
                <c:formatCode>#\ ##0.0</c:formatCode>
                <c:ptCount val="33"/>
                <c:pt idx="0">
                  <c:v>-0.11535945278349405</c:v>
                </c:pt>
                <c:pt idx="1">
                  <c:v>-0.10277905701098218</c:v>
                </c:pt>
                <c:pt idx="2">
                  <c:v>-0.15744780912986214</c:v>
                </c:pt>
                <c:pt idx="3">
                  <c:v>-0.17964656072744931</c:v>
                </c:pt>
                <c:pt idx="4">
                  <c:v>-0.11205258317894969</c:v>
                </c:pt>
                <c:pt idx="5">
                  <c:v>-0.12466911878830755</c:v>
                </c:pt>
                <c:pt idx="6">
                  <c:v>-2.5910926178730021E-2</c:v>
                </c:pt>
                <c:pt idx="7">
                  <c:v>9.6483224892210846E-3</c:v>
                </c:pt>
                <c:pt idx="8">
                  <c:v>-9.8473168738459124E-3</c:v>
                </c:pt>
                <c:pt idx="9">
                  <c:v>1.9091640634913781E-2</c:v>
                </c:pt>
                <c:pt idx="10">
                  <c:v>7.2407555983877492E-2</c:v>
                </c:pt>
                <c:pt idx="11">
                  <c:v>-7.2320666550757598E-2</c:v>
                </c:pt>
                <c:pt idx="12">
                  <c:v>0.10670200915568524</c:v>
                </c:pt>
                <c:pt idx="13">
                  <c:v>7.102944379245156E-2</c:v>
                </c:pt>
                <c:pt idx="14">
                  <c:v>5.9006500400454305E-2</c:v>
                </c:pt>
                <c:pt idx="15">
                  <c:v>0.11179404853203206</c:v>
                </c:pt>
                <c:pt idx="16">
                  <c:v>3.5683531586509498E-2</c:v>
                </c:pt>
                <c:pt idx="17">
                  <c:v>8.4487365089419189E-2</c:v>
                </c:pt>
                <c:pt idx="18">
                  <c:v>9.86228608640492E-2</c:v>
                </c:pt>
                <c:pt idx="19">
                  <c:v>0.12706817507064183</c:v>
                </c:pt>
                <c:pt idx="20">
                  <c:v>1.7073866434947418E-2</c:v>
                </c:pt>
                <c:pt idx="21">
                  <c:v>-0.21562985151107064</c:v>
                </c:pt>
                <c:pt idx="22">
                  <c:v>-0.10234473200166617</c:v>
                </c:pt>
                <c:pt idx="23">
                  <c:v>-5.2591242475965305E-2</c:v>
                </c:pt>
                <c:pt idx="24">
                  <c:v>-5.9386582004809708E-2</c:v>
                </c:pt>
                <c:pt idx="25">
                  <c:v>0.13637809786507285</c:v>
                </c:pt>
                <c:pt idx="26">
                  <c:v>-3.172884093474513E-2</c:v>
                </c:pt>
                <c:pt idx="27">
                  <c:v>6.5121292659549482E-2</c:v>
                </c:pt>
                <c:pt idx="28">
                  <c:v>0.26034410470168473</c:v>
                </c:pt>
                <c:pt idx="29">
                  <c:v>0.27560497205938905</c:v>
                </c:pt>
                <c:pt idx="30">
                  <c:v>0.25807425799466832</c:v>
                </c:pt>
                <c:pt idx="31">
                  <c:v>0.24362385324511113</c:v>
                </c:pt>
              </c:numCache>
            </c:numRef>
          </c:val>
          <c:extLst>
            <c:ext xmlns:c16="http://schemas.microsoft.com/office/drawing/2014/chart" uri="{C3380CC4-5D6E-409C-BE32-E72D297353CC}">
              <c16:uniqueId val="{00000002-6FA5-466A-A201-D4067BB917F6}"/>
            </c:ext>
          </c:extLst>
        </c:ser>
        <c:ser>
          <c:idx val="3"/>
          <c:order val="3"/>
          <c:tx>
            <c:strRef>
              <c:f>'Trh práce 1-SNÚ'!$AF$7</c:f>
              <c:strCache>
                <c:ptCount val="1"/>
                <c:pt idx="0">
                  <c:v>Trade, transport.,accommod.,food service</c:v>
                </c:pt>
              </c:strCache>
            </c:strRef>
          </c:tx>
          <c:spPr>
            <a:solidFill>
              <a:srgbClr val="FDDEB3"/>
            </a:solidFill>
            <a:ln w="19050">
              <a:noFill/>
            </a:ln>
          </c:spPr>
          <c:invertIfNegative val="0"/>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1-SNÚ'!$AF$28:$AF$60</c:f>
              <c:numCache>
                <c:formatCode>#\ ##0.0</c:formatCode>
                <c:ptCount val="33"/>
                <c:pt idx="0">
                  <c:v>0.23291997178704796</c:v>
                </c:pt>
                <c:pt idx="1">
                  <c:v>0.49484250453607476</c:v>
                </c:pt>
                <c:pt idx="2">
                  <c:v>0.32328110679066302</c:v>
                </c:pt>
                <c:pt idx="3">
                  <c:v>0.16315218273979085</c:v>
                </c:pt>
                <c:pt idx="4">
                  <c:v>8.7514387555562234E-2</c:v>
                </c:pt>
                <c:pt idx="5">
                  <c:v>0.23539827888748016</c:v>
                </c:pt>
                <c:pt idx="6">
                  <c:v>-1.0121455538566413E-2</c:v>
                </c:pt>
                <c:pt idx="7">
                  <c:v>6.4501534410011871E-2</c:v>
                </c:pt>
                <c:pt idx="8">
                  <c:v>0.17491894128532504</c:v>
                </c:pt>
                <c:pt idx="9">
                  <c:v>5.376054029532935E-3</c:v>
                </c:pt>
                <c:pt idx="10">
                  <c:v>0.3554863488114835</c:v>
                </c:pt>
                <c:pt idx="11">
                  <c:v>0.17830036428397431</c:v>
                </c:pt>
                <c:pt idx="12">
                  <c:v>0.15887539134747272</c:v>
                </c:pt>
                <c:pt idx="13">
                  <c:v>0.40293713210708682</c:v>
                </c:pt>
                <c:pt idx="14">
                  <c:v>0.21063905082977827</c:v>
                </c:pt>
                <c:pt idx="15">
                  <c:v>0.22355083238122012</c:v>
                </c:pt>
                <c:pt idx="16">
                  <c:v>0.43914483415040123</c:v>
                </c:pt>
                <c:pt idx="17">
                  <c:v>0.11318361828645723</c:v>
                </c:pt>
                <c:pt idx="18">
                  <c:v>-1.4877414534236133E-2</c:v>
                </c:pt>
                <c:pt idx="19">
                  <c:v>-4.6754453974505915E-2</c:v>
                </c:pt>
                <c:pt idx="20">
                  <c:v>-0.11596996469808202</c:v>
                </c:pt>
                <c:pt idx="21">
                  <c:v>-0.57289010255494677</c:v>
                </c:pt>
                <c:pt idx="22">
                  <c:v>-0.41512925330551576</c:v>
                </c:pt>
                <c:pt idx="23">
                  <c:v>-0.99009534683119627</c:v>
                </c:pt>
                <c:pt idx="24">
                  <c:v>-0.85418472506699616</c:v>
                </c:pt>
                <c:pt idx="25">
                  <c:v>-0.15881388948083999</c:v>
                </c:pt>
                <c:pt idx="26">
                  <c:v>0.24439275764343901</c:v>
                </c:pt>
                <c:pt idx="27">
                  <c:v>0.73867123838551074</c:v>
                </c:pt>
                <c:pt idx="28">
                  <c:v>0.44187240187036858</c:v>
                </c:pt>
                <c:pt idx="29">
                  <c:v>0.90504152566544072</c:v>
                </c:pt>
                <c:pt idx="30">
                  <c:v>0.40806899534767266</c:v>
                </c:pt>
                <c:pt idx="31">
                  <c:v>0.19173600533448865</c:v>
                </c:pt>
              </c:numCache>
            </c:numRef>
          </c:val>
          <c:extLst>
            <c:ext xmlns:c16="http://schemas.microsoft.com/office/drawing/2014/chart" uri="{C3380CC4-5D6E-409C-BE32-E72D297353CC}">
              <c16:uniqueId val="{00000003-6FA5-466A-A201-D4067BB917F6}"/>
            </c:ext>
          </c:extLst>
        </c:ser>
        <c:ser>
          <c:idx val="4"/>
          <c:order val="4"/>
          <c:tx>
            <c:strRef>
              <c:f>'Trh práce 1-SNÚ'!$AG$7</c:f>
              <c:strCache>
                <c:ptCount val="1"/>
                <c:pt idx="0">
                  <c:v>Information and communication</c:v>
                </c:pt>
              </c:strCache>
            </c:strRef>
          </c:tx>
          <c:spPr>
            <a:solidFill>
              <a:srgbClr val="F8A124"/>
            </a:solidFill>
            <a:ln w="19050">
              <a:noFill/>
            </a:ln>
          </c:spPr>
          <c:invertIfNegative val="0"/>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1-SNÚ'!$AG$28:$AG$60</c:f>
              <c:numCache>
                <c:formatCode>#\ ##0.0</c:formatCode>
                <c:ptCount val="33"/>
                <c:pt idx="0">
                  <c:v>1.2223778472118108E-2</c:v>
                </c:pt>
                <c:pt idx="1">
                  <c:v>6.0238966213004064E-2</c:v>
                </c:pt>
                <c:pt idx="2">
                  <c:v>7.0191816584150843E-2</c:v>
                </c:pt>
                <c:pt idx="3">
                  <c:v>9.7973099947945536E-2</c:v>
                </c:pt>
                <c:pt idx="4">
                  <c:v>0.11574107777423734</c:v>
                </c:pt>
                <c:pt idx="5">
                  <c:v>0.11485523362541727</c:v>
                </c:pt>
                <c:pt idx="6">
                  <c:v>0.13512625118059429</c:v>
                </c:pt>
                <c:pt idx="7">
                  <c:v>0.16390616372126973</c:v>
                </c:pt>
                <c:pt idx="8">
                  <c:v>0.13639011895367553</c:v>
                </c:pt>
                <c:pt idx="9">
                  <c:v>0.13690890950828222</c:v>
                </c:pt>
                <c:pt idx="10">
                  <c:v>0.13784590844137601</c:v>
                </c:pt>
                <c:pt idx="11">
                  <c:v>0.11872218009337367</c:v>
                </c:pt>
                <c:pt idx="12">
                  <c:v>0.12284956731327347</c:v>
                </c:pt>
                <c:pt idx="13">
                  <c:v>0.1377705293912645</c:v>
                </c:pt>
                <c:pt idx="14">
                  <c:v>0.12183128760081174</c:v>
                </c:pt>
                <c:pt idx="15">
                  <c:v>0.14710233552673219</c:v>
                </c:pt>
                <c:pt idx="16">
                  <c:v>0.15146954390177916</c:v>
                </c:pt>
                <c:pt idx="17">
                  <c:v>8.5481334090471192E-2</c:v>
                </c:pt>
                <c:pt idx="18">
                  <c:v>0.13044502296953692</c:v>
                </c:pt>
                <c:pt idx="19">
                  <c:v>0.14053979740227912</c:v>
                </c:pt>
                <c:pt idx="20">
                  <c:v>0.12892698928003887</c:v>
                </c:pt>
                <c:pt idx="21">
                  <c:v>8.7929408340245083E-2</c:v>
                </c:pt>
                <c:pt idx="22">
                  <c:v>0.10800290465149717</c:v>
                </c:pt>
                <c:pt idx="23">
                  <c:v>7.2310646091645572E-2</c:v>
                </c:pt>
                <c:pt idx="24">
                  <c:v>7.4765946455353255E-2</c:v>
                </c:pt>
                <c:pt idx="25">
                  <c:v>0.13000003001443672</c:v>
                </c:pt>
                <c:pt idx="26">
                  <c:v>0.1020163856665933</c:v>
                </c:pt>
                <c:pt idx="27">
                  <c:v>3.6434664030067142E-2</c:v>
                </c:pt>
                <c:pt idx="28">
                  <c:v>0.11743404910570686</c:v>
                </c:pt>
                <c:pt idx="29">
                  <c:v>0.10430214598303141</c:v>
                </c:pt>
                <c:pt idx="30">
                  <c:v>0.10363509437990248</c:v>
                </c:pt>
                <c:pt idx="31">
                  <c:v>0.18052956826783198</c:v>
                </c:pt>
              </c:numCache>
            </c:numRef>
          </c:val>
          <c:extLst>
            <c:ext xmlns:c16="http://schemas.microsoft.com/office/drawing/2014/chart" uri="{C3380CC4-5D6E-409C-BE32-E72D297353CC}">
              <c16:uniqueId val="{00000004-6FA5-466A-A201-D4067BB917F6}"/>
            </c:ext>
          </c:extLst>
        </c:ser>
        <c:ser>
          <c:idx val="5"/>
          <c:order val="5"/>
          <c:tx>
            <c:strRef>
              <c:f>'Trh práce 1-SNÚ'!$AH$7</c:f>
              <c:strCache>
                <c:ptCount val="1"/>
                <c:pt idx="0">
                  <c:v>Professional,scientific.,technic.&amp;admin.act.</c:v>
                </c:pt>
              </c:strCache>
            </c:strRef>
          </c:tx>
          <c:spPr>
            <a:solidFill>
              <a:srgbClr val="E8C0BE"/>
            </a:solidFill>
            <a:ln w="19050">
              <a:noFill/>
            </a:ln>
          </c:spPr>
          <c:invertIfNegative val="0"/>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1-SNÚ'!$AH$28:$AH$60</c:f>
              <c:numCache>
                <c:formatCode>#\ ##0.0</c:formatCode>
                <c:ptCount val="33"/>
                <c:pt idx="0">
                  <c:v>0.10850077322277182</c:v>
                </c:pt>
                <c:pt idx="1">
                  <c:v>0.12304838994193759</c:v>
                </c:pt>
                <c:pt idx="2">
                  <c:v>0.25299155723995104</c:v>
                </c:pt>
                <c:pt idx="3">
                  <c:v>0.35101672163818687</c:v>
                </c:pt>
                <c:pt idx="4">
                  <c:v>0.2419070060625246</c:v>
                </c:pt>
                <c:pt idx="5">
                  <c:v>0.24438309320163906</c:v>
                </c:pt>
                <c:pt idx="6">
                  <c:v>0.25066507602369625</c:v>
                </c:pt>
                <c:pt idx="7">
                  <c:v>0.26288795818240235</c:v>
                </c:pt>
                <c:pt idx="8">
                  <c:v>0.40909387284647242</c:v>
                </c:pt>
                <c:pt idx="9">
                  <c:v>0.3560353520194568</c:v>
                </c:pt>
                <c:pt idx="10">
                  <c:v>0.31414586903784036</c:v>
                </c:pt>
                <c:pt idx="11">
                  <c:v>0.14060149424955432</c:v>
                </c:pt>
                <c:pt idx="12">
                  <c:v>0.17385474809809426</c:v>
                </c:pt>
                <c:pt idx="13">
                  <c:v>0.14777045635809</c:v>
                </c:pt>
                <c:pt idx="14">
                  <c:v>9.3482836335189431E-2</c:v>
                </c:pt>
                <c:pt idx="15">
                  <c:v>0.18868972158064815</c:v>
                </c:pt>
                <c:pt idx="16">
                  <c:v>-9.607104657906403E-3</c:v>
                </c:pt>
                <c:pt idx="17">
                  <c:v>-3.2359213034248137E-2</c:v>
                </c:pt>
                <c:pt idx="18">
                  <c:v>-2.9422579116094784E-2</c:v>
                </c:pt>
                <c:pt idx="19">
                  <c:v>-0.20393566719821937</c:v>
                </c:pt>
                <c:pt idx="20">
                  <c:v>-0.16053845350835916</c:v>
                </c:pt>
                <c:pt idx="21">
                  <c:v>-0.28764717531134654</c:v>
                </c:pt>
                <c:pt idx="22">
                  <c:v>-0.41553472496120397</c:v>
                </c:pt>
                <c:pt idx="23">
                  <c:v>-0.1922734345041095</c:v>
                </c:pt>
                <c:pt idx="24">
                  <c:v>-0.1810873840664603</c:v>
                </c:pt>
                <c:pt idx="25">
                  <c:v>8.9049082608734648E-2</c:v>
                </c:pt>
                <c:pt idx="26">
                  <c:v>0.19420077094891311</c:v>
                </c:pt>
                <c:pt idx="27">
                  <c:v>9.0255163593153873E-2</c:v>
                </c:pt>
                <c:pt idx="28">
                  <c:v>7.9511462322772064E-2</c:v>
                </c:pt>
                <c:pt idx="29">
                  <c:v>3.6049989567917377E-2</c:v>
                </c:pt>
                <c:pt idx="30">
                  <c:v>0.13800036522398282</c:v>
                </c:pt>
                <c:pt idx="31">
                  <c:v>0.13672596600231007</c:v>
                </c:pt>
              </c:numCache>
            </c:numRef>
          </c:val>
          <c:extLst>
            <c:ext xmlns:c16="http://schemas.microsoft.com/office/drawing/2014/chart" uri="{C3380CC4-5D6E-409C-BE32-E72D297353CC}">
              <c16:uniqueId val="{00000005-6FA5-466A-A201-D4067BB917F6}"/>
            </c:ext>
          </c:extLst>
        </c:ser>
        <c:ser>
          <c:idx val="6"/>
          <c:order val="6"/>
          <c:tx>
            <c:strRef>
              <c:f>'Trh práce 1-SNÚ'!$AI$7</c:f>
              <c:strCache>
                <c:ptCount val="1"/>
                <c:pt idx="0">
                  <c:v>Public admin, education, health, soc. work</c:v>
                </c:pt>
              </c:strCache>
            </c:strRef>
          </c:tx>
          <c:spPr>
            <a:solidFill>
              <a:srgbClr val="D58D8B"/>
            </a:solidFill>
            <a:ln>
              <a:noFill/>
            </a:ln>
          </c:spPr>
          <c:invertIfNegative val="0"/>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1-SNÚ'!$AI$28:$AI$60</c:f>
              <c:numCache>
                <c:formatCode>#\ ##0.0</c:formatCode>
                <c:ptCount val="33"/>
                <c:pt idx="0">
                  <c:v>0.22356544035179357</c:v>
                </c:pt>
                <c:pt idx="1">
                  <c:v>0.22121632087472565</c:v>
                </c:pt>
                <c:pt idx="2">
                  <c:v>0.12507865060484022</c:v>
                </c:pt>
                <c:pt idx="3">
                  <c:v>0.12632707202590393</c:v>
                </c:pt>
                <c:pt idx="4">
                  <c:v>0.32907195728800698</c:v>
                </c:pt>
                <c:pt idx="5">
                  <c:v>0.33515671077902104</c:v>
                </c:pt>
                <c:pt idx="6">
                  <c:v>0.44146897214787112</c:v>
                </c:pt>
                <c:pt idx="7">
                  <c:v>0.55904533116329413</c:v>
                </c:pt>
                <c:pt idx="8">
                  <c:v>0.45377965834973044</c:v>
                </c:pt>
                <c:pt idx="9">
                  <c:v>0.48758720415555434</c:v>
                </c:pt>
                <c:pt idx="10">
                  <c:v>0.52434236449693816</c:v>
                </c:pt>
                <c:pt idx="11">
                  <c:v>0.53403271627626769</c:v>
                </c:pt>
                <c:pt idx="12">
                  <c:v>0.4379247919471016</c:v>
                </c:pt>
                <c:pt idx="13">
                  <c:v>0.46550221824222543</c:v>
                </c:pt>
                <c:pt idx="14">
                  <c:v>0.29622455251541197</c:v>
                </c:pt>
                <c:pt idx="15">
                  <c:v>0.24393461389689397</c:v>
                </c:pt>
                <c:pt idx="16">
                  <c:v>0.20792519366754575</c:v>
                </c:pt>
                <c:pt idx="17">
                  <c:v>0.13389130580837372</c:v>
                </c:pt>
                <c:pt idx="18">
                  <c:v>0.14884797866511187</c:v>
                </c:pt>
                <c:pt idx="19">
                  <c:v>0.16857035494868175</c:v>
                </c:pt>
                <c:pt idx="20">
                  <c:v>0.34228599406292859</c:v>
                </c:pt>
                <c:pt idx="21">
                  <c:v>0.27122120568819491</c:v>
                </c:pt>
                <c:pt idx="22">
                  <c:v>0.38125393952574577</c:v>
                </c:pt>
                <c:pt idx="23">
                  <c:v>0.32350181091089736</c:v>
                </c:pt>
                <c:pt idx="24">
                  <c:v>0.18331090663762326</c:v>
                </c:pt>
                <c:pt idx="25">
                  <c:v>0.29725547988582457</c:v>
                </c:pt>
                <c:pt idx="26">
                  <c:v>0.29415318706918947</c:v>
                </c:pt>
                <c:pt idx="27">
                  <c:v>0.35013560951715972</c:v>
                </c:pt>
                <c:pt idx="28">
                  <c:v>0.42965143934736039</c:v>
                </c:pt>
                <c:pt idx="29">
                  <c:v>0.38472623581885712</c:v>
                </c:pt>
                <c:pt idx="30">
                  <c:v>0.45225291500434744</c:v>
                </c:pt>
                <c:pt idx="31">
                  <c:v>0.51709436972247869</c:v>
                </c:pt>
              </c:numCache>
            </c:numRef>
          </c:val>
          <c:extLst>
            <c:ext xmlns:c16="http://schemas.microsoft.com/office/drawing/2014/chart" uri="{C3380CC4-5D6E-409C-BE32-E72D297353CC}">
              <c16:uniqueId val="{00000006-6FA5-466A-A201-D4067BB917F6}"/>
            </c:ext>
          </c:extLst>
        </c:ser>
        <c:ser>
          <c:idx val="7"/>
          <c:order val="7"/>
          <c:tx>
            <c:strRef>
              <c:f>'Trh práce 1-SNÚ'!$AJ$7</c:f>
              <c:strCache>
                <c:ptCount val="1"/>
                <c:pt idx="0">
                  <c:v>Other branches*</c:v>
                </c:pt>
              </c:strCache>
            </c:strRef>
          </c:tx>
          <c:spPr>
            <a:solidFill>
              <a:schemeClr val="bg1">
                <a:lumMod val="85000"/>
              </a:schemeClr>
            </a:solidFill>
            <a:ln>
              <a:noFill/>
            </a:ln>
          </c:spPr>
          <c:invertIfNegative val="0"/>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1-SNÚ'!$AJ$28:$AJ$60</c:f>
              <c:numCache>
                <c:formatCode>#\ ##0.0</c:formatCode>
                <c:ptCount val="33"/>
                <c:pt idx="0">
                  <c:v>-5.4437084192551728E-2</c:v>
                </c:pt>
                <c:pt idx="1">
                  <c:v>8.941660229076856E-2</c:v>
                </c:pt>
                <c:pt idx="2">
                  <c:v>4.9980639099324334E-2</c:v>
                </c:pt>
                <c:pt idx="3">
                  <c:v>-2.6133949538887476E-2</c:v>
                </c:pt>
                <c:pt idx="4">
                  <c:v>0.12610768889994062</c:v>
                </c:pt>
                <c:pt idx="5">
                  <c:v>7.9147344977730044E-2</c:v>
                </c:pt>
                <c:pt idx="6">
                  <c:v>0.10645843330278808</c:v>
                </c:pt>
                <c:pt idx="7">
                  <c:v>0.17588007788617954</c:v>
                </c:pt>
                <c:pt idx="8">
                  <c:v>-5.5355305533561008E-2</c:v>
                </c:pt>
                <c:pt idx="9">
                  <c:v>-2.887491916922294E-3</c:v>
                </c:pt>
                <c:pt idx="10">
                  <c:v>4.6771521213818591E-2</c:v>
                </c:pt>
                <c:pt idx="11">
                  <c:v>4.0303999761385406E-2</c:v>
                </c:pt>
                <c:pt idx="12">
                  <c:v>0.20445408817735128</c:v>
                </c:pt>
                <c:pt idx="13">
                  <c:v>0.19370645045850754</c:v>
                </c:pt>
                <c:pt idx="14">
                  <c:v>1.6316191398610472E-2</c:v>
                </c:pt>
                <c:pt idx="15">
                  <c:v>1.837148864209727E-2</c:v>
                </c:pt>
                <c:pt idx="16">
                  <c:v>-2.6762648689882127E-2</c:v>
                </c:pt>
                <c:pt idx="17">
                  <c:v>2.1167858355736847E-2</c:v>
                </c:pt>
                <c:pt idx="18">
                  <c:v>0.1052494015809112</c:v>
                </c:pt>
                <c:pt idx="19">
                  <c:v>0.12295850095305616</c:v>
                </c:pt>
                <c:pt idx="20">
                  <c:v>-0.12300902911636498</c:v>
                </c:pt>
                <c:pt idx="21">
                  <c:v>-0.35208469413468202</c:v>
                </c:pt>
                <c:pt idx="22">
                  <c:v>-0.34275256276516941</c:v>
                </c:pt>
                <c:pt idx="23">
                  <c:v>-0.43863649018293677</c:v>
                </c:pt>
                <c:pt idx="24">
                  <c:v>-0.16702360380385478</c:v>
                </c:pt>
                <c:pt idx="25">
                  <c:v>4.1494959075315155E-2</c:v>
                </c:pt>
                <c:pt idx="26">
                  <c:v>-1.4410260105194726E-2</c:v>
                </c:pt>
                <c:pt idx="27">
                  <c:v>0.11548352276335078</c:v>
                </c:pt>
                <c:pt idx="28">
                  <c:v>8.7370481299106573E-2</c:v>
                </c:pt>
                <c:pt idx="29">
                  <c:v>0.16487733570777549</c:v>
                </c:pt>
                <c:pt idx="30">
                  <c:v>0.18233305228690899</c:v>
                </c:pt>
                <c:pt idx="31">
                  <c:v>1.4718902415907245E-2</c:v>
                </c:pt>
              </c:numCache>
            </c:numRef>
          </c:val>
          <c:extLst>
            <c:ext xmlns:c16="http://schemas.microsoft.com/office/drawing/2014/chart" uri="{C3380CC4-5D6E-409C-BE32-E72D297353CC}">
              <c16:uniqueId val="{00000007-6FA5-466A-A201-D4067BB917F6}"/>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1-SNÚ'!$AK$7</c:f>
              <c:strCache>
                <c:ptCount val="1"/>
                <c:pt idx="0">
                  <c:v>Total employment growth</c:v>
                </c:pt>
              </c:strCache>
            </c:strRef>
          </c:tx>
          <c:spPr>
            <a:ln w="19050">
              <a:solidFill>
                <a:schemeClr val="tx1">
                  <a:lumMod val="95000"/>
                  <a:lumOff val="5000"/>
                </a:schemeClr>
              </a:solidFill>
            </a:ln>
          </c:spPr>
          <c:marker>
            <c:symbol val="none"/>
          </c:marker>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1-SNÚ'!$AK$28:$AK$60</c:f>
              <c:numCache>
                <c:formatCode>#\ ##0.0</c:formatCode>
                <c:ptCount val="33"/>
                <c:pt idx="0">
                  <c:v>1.2324005594638692</c:v>
                </c:pt>
                <c:pt idx="1">
                  <c:v>1.7691026689786469</c:v>
                </c:pt>
                <c:pt idx="2">
                  <c:v>1.3881990570332476</c:v>
                </c:pt>
                <c:pt idx="3">
                  <c:v>1.3221597391901838</c:v>
                </c:pt>
                <c:pt idx="4">
                  <c:v>1.5277744613681534</c:v>
                </c:pt>
                <c:pt idx="5">
                  <c:v>1.4953160389154334</c:v>
                </c:pt>
                <c:pt idx="6">
                  <c:v>1.5235007666279472</c:v>
                </c:pt>
                <c:pt idx="7">
                  <c:v>1.811732014191108</c:v>
                </c:pt>
                <c:pt idx="8">
                  <c:v>1.4809790948155097</c:v>
                </c:pt>
                <c:pt idx="9">
                  <c:v>1.4428911088804739</c:v>
                </c:pt>
                <c:pt idx="10">
                  <c:v>1.953560797755415</c:v>
                </c:pt>
                <c:pt idx="11">
                  <c:v>1.3171196100007592</c:v>
                </c:pt>
                <c:pt idx="12">
                  <c:v>1.5928803023154643</c:v>
                </c:pt>
                <c:pt idx="13">
                  <c:v>1.7364292657787672</c:v>
                </c:pt>
                <c:pt idx="14">
                  <c:v>0.90722494365698481</c:v>
                </c:pt>
                <c:pt idx="15">
                  <c:v>1.1032023032555145</c:v>
                </c:pt>
                <c:pt idx="16">
                  <c:v>0.91287895437608313</c:v>
                </c:pt>
                <c:pt idx="17">
                  <c:v>0.29311041431022034</c:v>
                </c:pt>
                <c:pt idx="18">
                  <c:v>0.15084147837937678</c:v>
                </c:pt>
                <c:pt idx="19">
                  <c:v>-0.37554681241327614</c:v>
                </c:pt>
                <c:pt idx="20">
                  <c:v>-0.81274544831673268</c:v>
                </c:pt>
                <c:pt idx="21">
                  <c:v>-2.1642086747839784</c:v>
                </c:pt>
                <c:pt idx="22">
                  <c:v>-1.7738279104571149</c:v>
                </c:pt>
                <c:pt idx="23">
                  <c:v>-2.1121405116648759</c:v>
                </c:pt>
                <c:pt idx="24">
                  <c:v>-1.4473649589889845</c:v>
                </c:pt>
                <c:pt idx="25">
                  <c:v>0.42975045997124539</c:v>
                </c:pt>
                <c:pt idx="26">
                  <c:v>0.90037856954150186</c:v>
                </c:pt>
                <c:pt idx="27">
                  <c:v>1.6851410066852424</c:v>
                </c:pt>
                <c:pt idx="28">
                  <c:v>1.4700313796714539</c:v>
                </c:pt>
                <c:pt idx="29">
                  <c:v>2.3493572735149968</c:v>
                </c:pt>
                <c:pt idx="30">
                  <c:v>1.7747207728764351</c:v>
                </c:pt>
                <c:pt idx="31">
                  <c:v>1.3248313087408832</c:v>
                </c:pt>
              </c:numCache>
            </c:numRef>
          </c:val>
          <c:smooth val="0"/>
          <c:extLst>
            <c:ext xmlns:c16="http://schemas.microsoft.com/office/drawing/2014/chart" uri="{C3380CC4-5D6E-409C-BE32-E72D297353CC}">
              <c16:uniqueId val="{00000008-6FA5-466A-A201-D4067BB917F6}"/>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1-SNÚ'!$AL$7</c:f>
              <c:strCache>
                <c:ptCount val="1"/>
              </c:strCache>
            </c:strRef>
          </c:tx>
          <c:spPr>
            <a:ln>
              <a:noFill/>
            </a:ln>
          </c:spPr>
          <c:marker>
            <c:symbol val="none"/>
          </c:marker>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1-SNÚ'!$AL$28:$AL$60</c:f>
              <c:numCache>
                <c:formatCode>General</c:formatCode>
                <c:ptCount val="33"/>
              </c:numCache>
            </c:numRef>
          </c:val>
          <c:smooth val="0"/>
          <c:extLst>
            <c:ext xmlns:c16="http://schemas.microsoft.com/office/drawing/2014/chart" uri="{C3380CC4-5D6E-409C-BE32-E72D297353CC}">
              <c16:uniqueId val="{00000009-6FA5-466A-A201-D4067BB917F6}"/>
            </c:ext>
          </c:extLst>
        </c:ser>
        <c:ser>
          <c:idx val="10"/>
          <c:order val="10"/>
          <c:tx>
            <c:strRef>
              <c:f>'Trh práce 1-SNÚ'!$AM$7</c:f>
              <c:strCache>
                <c:ptCount val="1"/>
                <c:pt idx="0">
                  <c:v>Employment expectations (industry)</c:v>
                </c:pt>
              </c:strCache>
            </c:strRef>
          </c:tx>
          <c:spPr>
            <a:ln w="15875">
              <a:solidFill>
                <a:schemeClr val="tx1">
                  <a:lumMod val="95000"/>
                  <a:lumOff val="5000"/>
                </a:schemeClr>
              </a:solidFill>
              <a:prstDash val="sysDot"/>
            </a:ln>
          </c:spPr>
          <c:marker>
            <c:symbol val="none"/>
          </c:marker>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1-SNÚ'!$AM$28:$AM$60</c:f>
              <c:numCache>
                <c:formatCode>#\ ##0.0</c:formatCode>
                <c:ptCount val="33"/>
                <c:pt idx="0">
                  <c:v>-3</c:v>
                </c:pt>
                <c:pt idx="1">
                  <c:v>4.3</c:v>
                </c:pt>
                <c:pt idx="2">
                  <c:v>5.5</c:v>
                </c:pt>
                <c:pt idx="3">
                  <c:v>7.8</c:v>
                </c:pt>
                <c:pt idx="4">
                  <c:v>8.1999999999999993</c:v>
                </c:pt>
                <c:pt idx="5">
                  <c:v>9.9</c:v>
                </c:pt>
                <c:pt idx="6">
                  <c:v>3.8</c:v>
                </c:pt>
                <c:pt idx="7">
                  <c:v>9.5</c:v>
                </c:pt>
                <c:pt idx="8">
                  <c:v>11.1</c:v>
                </c:pt>
                <c:pt idx="9">
                  <c:v>5.7</c:v>
                </c:pt>
                <c:pt idx="10">
                  <c:v>8.1999999999999993</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pt idx="31">
                  <c:v>-9.9</c:v>
                </c:pt>
                <c:pt idx="32">
                  <c:v>-13.6</c:v>
                </c:pt>
              </c:numCache>
            </c:numRef>
          </c:val>
          <c:smooth val="0"/>
          <c:extLst>
            <c:ext xmlns:c16="http://schemas.microsoft.com/office/drawing/2014/chart" uri="{C3380CC4-5D6E-409C-BE32-E72D297353CC}">
              <c16:uniqueId val="{0000000A-6FA5-466A-A201-D4067BB917F6}"/>
            </c:ext>
          </c:extLst>
        </c:ser>
        <c:ser>
          <c:idx val="11"/>
          <c:order val="11"/>
          <c:tx>
            <c:strRef>
              <c:f>'Trh práce 1-SNÚ'!$AN$7</c:f>
              <c:strCache>
                <c:ptCount val="1"/>
                <c:pt idx="0">
                  <c:v>Empl. expectations (construction)</c:v>
                </c:pt>
              </c:strCache>
            </c:strRef>
          </c:tx>
          <c:spPr>
            <a:ln w="15875">
              <a:solidFill>
                <a:srgbClr val="00B0F0"/>
              </a:solidFill>
              <a:prstDash val="sysDot"/>
            </a:ln>
          </c:spPr>
          <c:marker>
            <c:symbol val="none"/>
          </c:marker>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1-SNÚ'!$AN$28:$AN$60</c:f>
              <c:numCache>
                <c:formatCode>#\ ##0.0</c:formatCode>
                <c:ptCount val="33"/>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5.7</c:v>
                </c:pt>
                <c:pt idx="21">
                  <c:v>-4.2</c:v>
                </c:pt>
                <c:pt idx="22">
                  <c:v>1.5</c:v>
                </c:pt>
                <c:pt idx="23">
                  <c:v>-1.5</c:v>
                </c:pt>
                <c:pt idx="24">
                  <c:v>3.6</c:v>
                </c:pt>
                <c:pt idx="25">
                  <c:v>4.0999999999999996</c:v>
                </c:pt>
                <c:pt idx="26">
                  <c:v>4.2</c:v>
                </c:pt>
                <c:pt idx="27">
                  <c:v>8.9</c:v>
                </c:pt>
                <c:pt idx="28">
                  <c:v>9.5</c:v>
                </c:pt>
                <c:pt idx="29">
                  <c:v>7.3</c:v>
                </c:pt>
                <c:pt idx="30">
                  <c:v>1.3</c:v>
                </c:pt>
                <c:pt idx="31">
                  <c:v>0.1</c:v>
                </c:pt>
                <c:pt idx="32">
                  <c:v>-11.3</c:v>
                </c:pt>
              </c:numCache>
            </c:numRef>
          </c:val>
          <c:smooth val="0"/>
          <c:extLst>
            <c:ext xmlns:c16="http://schemas.microsoft.com/office/drawing/2014/chart" uri="{C3380CC4-5D6E-409C-BE32-E72D297353CC}">
              <c16:uniqueId val="{0000000B-6FA5-466A-A201-D4067BB917F6}"/>
            </c:ext>
          </c:extLst>
        </c:ser>
        <c:ser>
          <c:idx val="12"/>
          <c:order val="12"/>
          <c:tx>
            <c:strRef>
              <c:f>'Trh práce 1-SNÚ'!$AO$7</c:f>
              <c:strCache>
                <c:ptCount val="1"/>
                <c:pt idx="0">
                  <c:v>Empl. expectations (trade)</c:v>
                </c:pt>
              </c:strCache>
            </c:strRef>
          </c:tx>
          <c:spPr>
            <a:ln w="15875">
              <a:solidFill>
                <a:schemeClr val="accent6">
                  <a:lumMod val="75000"/>
                </a:schemeClr>
              </a:solidFill>
              <a:prstDash val="sysDot"/>
            </a:ln>
          </c:spPr>
          <c:marker>
            <c:symbol val="none"/>
          </c:marker>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1-SNÚ'!$AO$28:$AO$60</c:f>
              <c:numCache>
                <c:formatCode>#\ ##0.0</c:formatCode>
                <c:ptCount val="33"/>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c:v>
                </c:pt>
                <c:pt idx="24">
                  <c:v>5.6</c:v>
                </c:pt>
                <c:pt idx="25">
                  <c:v>13.2</c:v>
                </c:pt>
                <c:pt idx="26">
                  <c:v>10.7</c:v>
                </c:pt>
                <c:pt idx="27">
                  <c:v>8.3000000000000007</c:v>
                </c:pt>
                <c:pt idx="28">
                  <c:v>10.1</c:v>
                </c:pt>
                <c:pt idx="29">
                  <c:v>3.1</c:v>
                </c:pt>
                <c:pt idx="30">
                  <c:v>5.2</c:v>
                </c:pt>
                <c:pt idx="31">
                  <c:v>12.5</c:v>
                </c:pt>
                <c:pt idx="32">
                  <c:v>10.199999999999999</c:v>
                </c:pt>
              </c:numCache>
            </c:numRef>
          </c:val>
          <c:smooth val="0"/>
          <c:extLst>
            <c:ext xmlns:c16="http://schemas.microsoft.com/office/drawing/2014/chart" uri="{C3380CC4-5D6E-409C-BE32-E72D297353CC}">
              <c16:uniqueId val="{0000000C-6FA5-466A-A201-D4067BB917F6}"/>
            </c:ext>
          </c:extLst>
        </c:ser>
        <c:ser>
          <c:idx val="13"/>
          <c:order val="13"/>
          <c:tx>
            <c:strRef>
              <c:f>'Trh práce 1-SNÚ'!$AP$7</c:f>
              <c:strCache>
                <c:ptCount val="1"/>
                <c:pt idx="0">
                  <c:v>Empl. expectations (selected services)</c:v>
                </c:pt>
              </c:strCache>
            </c:strRef>
          </c:tx>
          <c:spPr>
            <a:ln w="15875">
              <a:solidFill>
                <a:srgbClr val="C00000"/>
              </a:solidFill>
              <a:prstDash val="sysDot"/>
            </a:ln>
          </c:spPr>
          <c:marker>
            <c:symbol val="none"/>
          </c:marker>
          <c:cat>
            <c:multiLvlStrRef>
              <c:f>'Trh práce 1-SNÚ'!$AA$28:$AB$60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1-SNÚ'!$AP$28:$AP$60</c:f>
              <c:numCache>
                <c:formatCode>#\ ##0.0</c:formatCode>
                <c:ptCount val="33"/>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-32.299999999999997</c:v>
                </c:pt>
                <c:pt idx="22">
                  <c:v>-28.6</c:v>
                </c:pt>
                <c:pt idx="23">
                  <c:v>-30.1</c:v>
                </c:pt>
                <c:pt idx="24">
                  <c:v>-27</c:v>
                </c:pt>
                <c:pt idx="25">
                  <c:v>-27.7</c:v>
                </c:pt>
                <c:pt idx="26">
                  <c:v>-12.1</c:v>
                </c:pt>
                <c:pt idx="27">
                  <c:v>-15.8</c:v>
                </c:pt>
                <c:pt idx="28">
                  <c:v>-6.8</c:v>
                </c:pt>
                <c:pt idx="29">
                  <c:v>-3.5</c:v>
                </c:pt>
                <c:pt idx="30">
                  <c:v>-6.1</c:v>
                </c:pt>
                <c:pt idx="31">
                  <c:v>-6.4</c:v>
                </c:pt>
                <c:pt idx="32">
                  <c:v>-10.7</c:v>
                </c:pt>
              </c:numCache>
            </c:numRef>
          </c:val>
          <c:smooth val="0"/>
          <c:extLst>
            <c:ext xmlns:c16="http://schemas.microsoft.com/office/drawing/2014/chart" uri="{C3380CC4-5D6E-409C-BE32-E72D297353CC}">
              <c16:uniqueId val="{0000000D-6FA5-466A-A201-D4067BB917F6}"/>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Contribution to the employment growth</a:t>
                </a:r>
              </a:p>
            </c:rich>
          </c:tx>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Employment expectations (in businesses)</a:t>
                </a:r>
              </a:p>
            </c:rich>
          </c:tx>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7.303653606351831E-3"/>
          <c:y val="0.77992823117070742"/>
          <c:w val="0.98456316582992143"/>
          <c:h val="0.21194618315349945"/>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5413005601973626"/>
        </c:manualLayout>
      </c:layout>
      <c:barChart>
        <c:barDir val="col"/>
        <c:grouping val="clustered"/>
        <c:varyColors val="0"/>
        <c:ser>
          <c:idx val="0"/>
          <c:order val="0"/>
          <c:tx>
            <c:strRef>
              <c:f>'Trh práce-2b'!$A$30</c:f>
              <c:strCache>
                <c:ptCount val="1"/>
                <c:pt idx="0">
                  <c:v>Male unemployment rate</c:v>
                </c:pt>
              </c:strCache>
            </c:strRef>
          </c:tx>
          <c:spPr>
            <a:solidFill>
              <a:srgbClr val="BCBCBC"/>
            </a:solidFill>
          </c:spPr>
          <c:invertIfNegative val="0"/>
          <c:cat>
            <c:multiLvlStrRef>
              <c:f>'Trh práce-2b'!$B$28:$AH$29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práce-2b'!$B$30:$AH$30</c:f>
              <c:numCache>
                <c:formatCode>0.0</c:formatCode>
                <c:ptCount val="33"/>
                <c:pt idx="0">
                  <c:v>5.018449855727825</c:v>
                </c:pt>
                <c:pt idx="1">
                  <c:v>4.3151435519817865</c:v>
                </c:pt>
                <c:pt idx="2">
                  <c:v>4.0653569827424283</c:v>
                </c:pt>
                <c:pt idx="3">
                  <c:v>3.7854260166193523</c:v>
                </c:pt>
                <c:pt idx="4">
                  <c:v>3.6474975169630262</c:v>
                </c:pt>
                <c:pt idx="5">
                  <c:v>3.5654830555353301</c:v>
                </c:pt>
                <c:pt idx="6">
                  <c:v>3.3989604167359637</c:v>
                </c:pt>
                <c:pt idx="7">
                  <c:v>3.1504941789659227</c:v>
                </c:pt>
                <c:pt idx="8">
                  <c:v>2.6905697458963438</c:v>
                </c:pt>
                <c:pt idx="9">
                  <c:v>2.4896599632821239</c:v>
                </c:pt>
                <c:pt idx="10">
                  <c:v>2.2551170095832918</c:v>
                </c:pt>
                <c:pt idx="11">
                  <c:v>2.0776134206978401</c:v>
                </c:pt>
                <c:pt idx="12">
                  <c:v>1.8918478975900792</c:v>
                </c:pt>
                <c:pt idx="13">
                  <c:v>1.8305349024755444</c:v>
                </c:pt>
                <c:pt idx="14">
                  <c:v>1.8940050899262619</c:v>
                </c:pt>
                <c:pt idx="15">
                  <c:v>1.6761905519941769</c:v>
                </c:pt>
                <c:pt idx="16">
                  <c:v>1.8002825463432963</c:v>
                </c:pt>
                <c:pt idx="17">
                  <c:v>1.6771476901478308</c:v>
                </c:pt>
                <c:pt idx="18">
                  <c:v>1.7720037672502047</c:v>
                </c:pt>
                <c:pt idx="19">
                  <c:v>1.8485018676570995</c:v>
                </c:pt>
                <c:pt idx="20">
                  <c:v>1.8397687048630029</c:v>
                </c:pt>
                <c:pt idx="21">
                  <c:v>2.2844542160880894</c:v>
                </c:pt>
                <c:pt idx="22">
                  <c:v>2.5189637649999312</c:v>
                </c:pt>
                <c:pt idx="23">
                  <c:v>2.5568056874518637</c:v>
                </c:pt>
                <c:pt idx="24">
                  <c:v>2.6511157781093431</c:v>
                </c:pt>
                <c:pt idx="25">
                  <c:v>2.5558537145751248</c:v>
                </c:pt>
                <c:pt idx="26">
                  <c:v>2.2901538060327766</c:v>
                </c:pt>
                <c:pt idx="27">
                  <c:v>1.9496167650763063</c:v>
                </c:pt>
                <c:pt idx="28">
                  <c:v>1.9720395538197195</c:v>
                </c:pt>
                <c:pt idx="29">
                  <c:v>1.8974171672263427</c:v>
                </c:pt>
                <c:pt idx="30">
                  <c:v>1.9138067672143422</c:v>
                </c:pt>
                <c:pt idx="31">
                  <c:v>2.0818370633895995</c:v>
                </c:pt>
              </c:numCache>
            </c:numRef>
          </c:val>
          <c:extLst>
            <c:ext xmlns:c16="http://schemas.microsoft.com/office/drawing/2014/chart" uri="{C3380CC4-5D6E-409C-BE32-E72D297353CC}">
              <c16:uniqueId val="{00000000-5C69-4D3C-A0A0-1C371541B4BE}"/>
            </c:ext>
          </c:extLst>
        </c:ser>
        <c:ser>
          <c:idx val="1"/>
          <c:order val="1"/>
          <c:tx>
            <c:strRef>
              <c:f>'Trh práce-2b'!$A$31</c:f>
              <c:strCache>
                <c:ptCount val="1"/>
                <c:pt idx="0">
                  <c:v>Female unemployment rate</c:v>
                </c:pt>
              </c:strCache>
            </c:strRef>
          </c:tx>
          <c:spPr>
            <a:solidFill>
              <a:schemeClr val="bg1">
                <a:lumMod val="95000"/>
              </a:schemeClr>
            </a:solidFill>
            <a:ln>
              <a:solidFill>
                <a:schemeClr val="bg1">
                  <a:lumMod val="65000"/>
                </a:schemeClr>
              </a:solidFill>
            </a:ln>
          </c:spPr>
          <c:invertIfNegative val="0"/>
          <c:cat>
            <c:multiLvlStrRef>
              <c:f>'Trh práce-2b'!$B$28:$AH$29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práce-2b'!$B$31:$AH$31</c:f>
              <c:numCache>
                <c:formatCode>0.0</c:formatCode>
                <c:ptCount val="33"/>
                <c:pt idx="0">
                  <c:v>6.9222553285182284</c:v>
                </c:pt>
                <c:pt idx="1">
                  <c:v>6.1574734010641619</c:v>
                </c:pt>
                <c:pt idx="2">
                  <c:v>5.9782623258088377</c:v>
                </c:pt>
                <c:pt idx="3">
                  <c:v>5.6620152495567586</c:v>
                </c:pt>
                <c:pt idx="4">
                  <c:v>5.0673452085604369</c:v>
                </c:pt>
                <c:pt idx="5">
                  <c:v>4.8043887472568434</c:v>
                </c:pt>
                <c:pt idx="6">
                  <c:v>4.8106927452925108</c:v>
                </c:pt>
                <c:pt idx="7">
                  <c:v>4.3651406959211547</c:v>
                </c:pt>
                <c:pt idx="8">
                  <c:v>4.2662202987956901</c:v>
                </c:pt>
                <c:pt idx="9">
                  <c:v>3.895989609330353</c:v>
                </c:pt>
                <c:pt idx="10">
                  <c:v>3.4106288974811796</c:v>
                </c:pt>
                <c:pt idx="11">
                  <c:v>3.0248852601317608</c:v>
                </c:pt>
                <c:pt idx="12">
                  <c:v>2.937438095997102</c:v>
                </c:pt>
                <c:pt idx="13">
                  <c:v>2.8942131985459234</c:v>
                </c:pt>
                <c:pt idx="14">
                  <c:v>2.8595897081181061</c:v>
                </c:pt>
                <c:pt idx="15">
                  <c:v>2.6790615757528808</c:v>
                </c:pt>
                <c:pt idx="16">
                  <c:v>2.2422670386030705</c:v>
                </c:pt>
                <c:pt idx="17">
                  <c:v>2.4749436172794574</c:v>
                </c:pt>
                <c:pt idx="18">
                  <c:v>2.5674106554391818</c:v>
                </c:pt>
                <c:pt idx="19">
                  <c:v>2.4331319301010672</c:v>
                </c:pt>
                <c:pt idx="20">
                  <c:v>2.0406633937113834</c:v>
                </c:pt>
                <c:pt idx="21">
                  <c:v>2.8151720875870319</c:v>
                </c:pt>
                <c:pt idx="22">
                  <c:v>3.37211739582686</c:v>
                </c:pt>
                <c:pt idx="23">
                  <c:v>3.8941512714495925</c:v>
                </c:pt>
                <c:pt idx="24">
                  <c:v>4.1466133438217581</c:v>
                </c:pt>
                <c:pt idx="25">
                  <c:v>3.9108278351467125</c:v>
                </c:pt>
                <c:pt idx="26">
                  <c:v>3.2642331011371843</c:v>
                </c:pt>
                <c:pt idx="27">
                  <c:v>2.7320770364618543</c:v>
                </c:pt>
                <c:pt idx="28">
                  <c:v>2.9886729723100074</c:v>
                </c:pt>
                <c:pt idx="29">
                  <c:v>3.2165326130380656</c:v>
                </c:pt>
                <c:pt idx="30">
                  <c:v>2.9001874705692408</c:v>
                </c:pt>
                <c:pt idx="31">
                  <c:v>2.7940167262836417</c:v>
                </c:pt>
              </c:numCache>
            </c:numRef>
          </c:val>
          <c:extLst>
            <c:ext xmlns:c16="http://schemas.microsoft.com/office/drawing/2014/chart" uri="{C3380CC4-5D6E-409C-BE32-E72D297353CC}">
              <c16:uniqueId val="{00000001-5C69-4D3C-A0A0-1C371541B4BE}"/>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práce-2b'!$A$32</c:f>
              <c:strCache>
                <c:ptCount val="1"/>
                <c:pt idx="0">
                  <c:v>Rate of economic activity, males</c:v>
                </c:pt>
              </c:strCache>
            </c:strRef>
          </c:tx>
          <c:spPr>
            <a:ln w="19050">
              <a:solidFill>
                <a:srgbClr val="4FD1FF"/>
              </a:solidFill>
              <a:prstDash val="solid"/>
            </a:ln>
          </c:spPr>
          <c:marker>
            <c:symbol val="none"/>
          </c:marker>
          <c:cat>
            <c:multiLvlStrRef>
              <c:f>'Trh práce-2b'!$B$28:$AH$29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práce-2b'!$B$32:$AH$32</c:f>
              <c:numCache>
                <c:formatCode>0.0</c:formatCode>
                <c:ptCount val="33"/>
                <c:pt idx="0">
                  <c:v>81.413481997639423</c:v>
                </c:pt>
                <c:pt idx="1">
                  <c:v>81.419110594189576</c:v>
                </c:pt>
                <c:pt idx="2">
                  <c:v>81.349582359517356</c:v>
                </c:pt>
                <c:pt idx="3">
                  <c:v>81.513665177863871</c:v>
                </c:pt>
                <c:pt idx="4">
                  <c:v>81.95464671816957</c:v>
                </c:pt>
                <c:pt idx="5">
                  <c:v>82.083249820800901</c:v>
                </c:pt>
                <c:pt idx="6">
                  <c:v>82.176405797492166</c:v>
                </c:pt>
                <c:pt idx="7">
                  <c:v>82.467848071365168</c:v>
                </c:pt>
                <c:pt idx="8">
                  <c:v>82.727860041774349</c:v>
                </c:pt>
                <c:pt idx="9">
                  <c:v>82.857472384057985</c:v>
                </c:pt>
                <c:pt idx="10">
                  <c:v>83.019684737731765</c:v>
                </c:pt>
                <c:pt idx="11">
                  <c:v>83.176217916024044</c:v>
                </c:pt>
                <c:pt idx="12">
                  <c:v>83.366789147231756</c:v>
                </c:pt>
                <c:pt idx="13">
                  <c:v>83.41277761607445</c:v>
                </c:pt>
                <c:pt idx="14">
                  <c:v>83.22791826411914</c:v>
                </c:pt>
                <c:pt idx="15">
                  <c:v>83.429606669855332</c:v>
                </c:pt>
                <c:pt idx="16">
                  <c:v>83.682240247092324</c:v>
                </c:pt>
                <c:pt idx="17">
                  <c:v>83.455854890894599</c:v>
                </c:pt>
                <c:pt idx="18">
                  <c:v>83.299122325687904</c:v>
                </c:pt>
                <c:pt idx="19">
                  <c:v>83.581723193428729</c:v>
                </c:pt>
                <c:pt idx="20">
                  <c:v>83.439582450321765</c:v>
                </c:pt>
                <c:pt idx="21">
                  <c:v>83.067870438412925</c:v>
                </c:pt>
                <c:pt idx="22">
                  <c:v>83.403417829033472</c:v>
                </c:pt>
                <c:pt idx="23">
                  <c:v>83.153717731021928</c:v>
                </c:pt>
                <c:pt idx="24">
                  <c:v>82.990935835508196</c:v>
                </c:pt>
                <c:pt idx="25">
                  <c:v>83.019143570825904</c:v>
                </c:pt>
                <c:pt idx="26">
                  <c:v>83.358986296034871</c:v>
                </c:pt>
                <c:pt idx="27">
                  <c:v>83.646745052051983</c:v>
                </c:pt>
                <c:pt idx="28">
                  <c:v>83.752911933942713</c:v>
                </c:pt>
                <c:pt idx="29">
                  <c:v>83.77188977710199</c:v>
                </c:pt>
                <c:pt idx="30">
                  <c:v>83.585423870007347</c:v>
                </c:pt>
                <c:pt idx="31">
                  <c:v>83.347599287949279</c:v>
                </c:pt>
              </c:numCache>
            </c:numRef>
          </c:val>
          <c:smooth val="0"/>
          <c:extLst>
            <c:ext xmlns:c16="http://schemas.microsoft.com/office/drawing/2014/chart" uri="{C3380CC4-5D6E-409C-BE32-E72D297353CC}">
              <c16:uniqueId val="{00000002-5C69-4D3C-A0A0-1C371541B4BE}"/>
            </c:ext>
          </c:extLst>
        </c:ser>
        <c:ser>
          <c:idx val="3"/>
          <c:order val="3"/>
          <c:tx>
            <c:strRef>
              <c:f>'Trh práce-2b'!$A$33</c:f>
              <c:strCache>
                <c:ptCount val="1"/>
                <c:pt idx="0">
                  <c:v>Rate of economic activity, females</c:v>
                </c:pt>
              </c:strCache>
            </c:strRef>
          </c:tx>
          <c:spPr>
            <a:ln w="19050">
              <a:solidFill>
                <a:schemeClr val="accent2">
                  <a:lumMod val="60000"/>
                  <a:lumOff val="40000"/>
                </a:schemeClr>
              </a:solidFill>
              <a:prstDash val="solid"/>
            </a:ln>
          </c:spPr>
          <c:marker>
            <c:symbol val="none"/>
          </c:marker>
          <c:cat>
            <c:multiLvlStrRef>
              <c:f>'Trh práce-2b'!$B$28:$AH$29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práce-2b'!$B$33:$AH$33</c:f>
              <c:numCache>
                <c:formatCode>0.0</c:formatCode>
                <c:ptCount val="33"/>
                <c:pt idx="0">
                  <c:v>66.54252814007161</c:v>
                </c:pt>
                <c:pt idx="1">
                  <c:v>66.666431768491464</c:v>
                </c:pt>
                <c:pt idx="2">
                  <c:v>66.654792914968979</c:v>
                </c:pt>
                <c:pt idx="3">
                  <c:v>66.418889866464653</c:v>
                </c:pt>
                <c:pt idx="4">
                  <c:v>67.04627543928467</c:v>
                </c:pt>
                <c:pt idx="5">
                  <c:v>67.7106216149934</c:v>
                </c:pt>
                <c:pt idx="6">
                  <c:v>67.837768163348059</c:v>
                </c:pt>
                <c:pt idx="7">
                  <c:v>68.456265295297257</c:v>
                </c:pt>
                <c:pt idx="8">
                  <c:v>68.697468612411953</c:v>
                </c:pt>
                <c:pt idx="9">
                  <c:v>68.713756307271595</c:v>
                </c:pt>
                <c:pt idx="10">
                  <c:v>69.103189641889657</c:v>
                </c:pt>
                <c:pt idx="11">
                  <c:v>68.910813934937678</c:v>
                </c:pt>
                <c:pt idx="12">
                  <c:v>69.34051694184366</c:v>
                </c:pt>
                <c:pt idx="13">
                  <c:v>69.813848571477024</c:v>
                </c:pt>
                <c:pt idx="14">
                  <c:v>69.950002702371691</c:v>
                </c:pt>
                <c:pt idx="15">
                  <c:v>70.044975969350247</c:v>
                </c:pt>
                <c:pt idx="16">
                  <c:v>70.049718587143374</c:v>
                </c:pt>
                <c:pt idx="17">
                  <c:v>69.833313596022066</c:v>
                </c:pt>
                <c:pt idx="18">
                  <c:v>69.925958459528331</c:v>
                </c:pt>
                <c:pt idx="19">
                  <c:v>69.668015731742159</c:v>
                </c:pt>
                <c:pt idx="20">
                  <c:v>69.333922930053191</c:v>
                </c:pt>
                <c:pt idx="21">
                  <c:v>68.928487762383369</c:v>
                </c:pt>
                <c:pt idx="22">
                  <c:v>68.946784735681547</c:v>
                </c:pt>
                <c:pt idx="23">
                  <c:v>69.349546510975927</c:v>
                </c:pt>
                <c:pt idx="24">
                  <c:v>69.402776735529287</c:v>
                </c:pt>
                <c:pt idx="25">
                  <c:v>68.843817581364831</c:v>
                </c:pt>
                <c:pt idx="26">
                  <c:v>69.983896064987391</c:v>
                </c:pt>
                <c:pt idx="27">
                  <c:v>70.127127346898362</c:v>
                </c:pt>
                <c:pt idx="28">
                  <c:v>70.135331194241289</c:v>
                </c:pt>
                <c:pt idx="29">
                  <c:v>70.397950263800368</c:v>
                </c:pt>
                <c:pt idx="30">
                  <c:v>70.91598815813694</c:v>
                </c:pt>
                <c:pt idx="31">
                  <c:v>70.823612459758422</c:v>
                </c:pt>
              </c:numCache>
            </c:numRef>
          </c:val>
          <c:smooth val="0"/>
          <c:extLst>
            <c:ext xmlns:c16="http://schemas.microsoft.com/office/drawing/2014/chart" uri="{C3380CC4-5D6E-409C-BE32-E72D297353CC}">
              <c16:uniqueId val="{00000003-5C69-4D3C-A0A0-1C371541B4BE}"/>
            </c:ext>
          </c:extLst>
        </c:ser>
        <c:ser>
          <c:idx val="4"/>
          <c:order val="4"/>
          <c:tx>
            <c:strRef>
              <c:f>'Trh práce-2b'!$A$34</c:f>
              <c:strCache>
                <c:ptCount val="1"/>
                <c:pt idx="0">
                  <c:v>Economically inactive willing to work*</c:v>
                </c:pt>
              </c:strCache>
            </c:strRef>
          </c:tx>
          <c:spPr>
            <a:ln w="19050">
              <a:solidFill>
                <a:schemeClr val="bg2">
                  <a:lumMod val="50000"/>
                </a:schemeClr>
              </a:solidFill>
              <a:prstDash val="sysDash"/>
            </a:ln>
          </c:spPr>
          <c:marker>
            <c:symbol val="none"/>
          </c:marker>
          <c:cat>
            <c:multiLvlStrRef>
              <c:f>'Trh práce-2b'!$B$28:$AH$29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práce-2b'!$B$34:$AH$34</c:f>
              <c:numCache>
                <c:formatCode>0.0</c:formatCode>
                <c:ptCount val="33"/>
                <c:pt idx="0">
                  <c:v>138.5</c:v>
                </c:pt>
                <c:pt idx="1">
                  <c:v>141.4</c:v>
                </c:pt>
                <c:pt idx="2">
                  <c:v>137.1</c:v>
                </c:pt>
                <c:pt idx="3">
                  <c:v>130.4</c:v>
                </c:pt>
                <c:pt idx="4">
                  <c:v>141</c:v>
                </c:pt>
                <c:pt idx="5">
                  <c:v>126.4</c:v>
                </c:pt>
                <c:pt idx="6">
                  <c:v>129.69999999999999</c:v>
                </c:pt>
                <c:pt idx="7">
                  <c:v>127.1</c:v>
                </c:pt>
                <c:pt idx="8">
                  <c:v>133.1</c:v>
                </c:pt>
                <c:pt idx="9">
                  <c:v>120.1</c:v>
                </c:pt>
                <c:pt idx="10">
                  <c:v>121.3</c:v>
                </c:pt>
                <c:pt idx="11">
                  <c:v>119.1</c:v>
                </c:pt>
                <c:pt idx="12">
                  <c:v>113.5</c:v>
                </c:pt>
                <c:pt idx="13">
                  <c:v>108.4</c:v>
                </c:pt>
                <c:pt idx="14">
                  <c:v>110.3</c:v>
                </c:pt>
                <c:pt idx="15">
                  <c:v>101.7</c:v>
                </c:pt>
                <c:pt idx="16">
                  <c:v>104.6</c:v>
                </c:pt>
                <c:pt idx="17">
                  <c:v>104.6</c:v>
                </c:pt>
                <c:pt idx="18">
                  <c:v>97.6</c:v>
                </c:pt>
                <c:pt idx="19">
                  <c:v>99.9</c:v>
                </c:pt>
                <c:pt idx="20">
                  <c:v>93.4</c:v>
                </c:pt>
                <c:pt idx="21">
                  <c:v>109.3</c:v>
                </c:pt>
                <c:pt idx="22">
                  <c:v>98.8</c:v>
                </c:pt>
                <c:pt idx="23">
                  <c:v>95.7</c:v>
                </c:pt>
                <c:pt idx="24">
                  <c:v>108</c:v>
                </c:pt>
                <c:pt idx="25">
                  <c:v>113.7</c:v>
                </c:pt>
                <c:pt idx="26">
                  <c:v>64.599999999999994</c:v>
                </c:pt>
                <c:pt idx="27">
                  <c:v>63.3</c:v>
                </c:pt>
                <c:pt idx="28">
                  <c:v>67</c:v>
                </c:pt>
                <c:pt idx="29">
                  <c:v>58.7</c:v>
                </c:pt>
                <c:pt idx="30">
                  <c:v>56.6</c:v>
                </c:pt>
                <c:pt idx="31">
                  <c:v>50</c:v>
                </c:pt>
              </c:numCache>
            </c:numRef>
          </c:val>
          <c:smooth val="0"/>
          <c:extLst>
            <c:ext xmlns:c16="http://schemas.microsoft.com/office/drawing/2014/chart" uri="{C3380CC4-5D6E-409C-BE32-E72D297353CC}">
              <c16:uniqueId val="{00000004-5C69-4D3C-A0A0-1C371541B4BE}"/>
            </c:ext>
          </c:extLst>
        </c:ser>
        <c:ser>
          <c:idx val="5"/>
          <c:order val="5"/>
          <c:tx>
            <c:strRef>
              <c:f>'Trh práce-2b'!$A$35</c:f>
              <c:strCache>
                <c:ptCount val="1"/>
                <c:pt idx="0">
                  <c:v>Unemployment expectations**</c:v>
                </c:pt>
              </c:strCache>
            </c:strRef>
          </c:tx>
          <c:spPr>
            <a:ln w="15875">
              <a:solidFill>
                <a:schemeClr val="accent6">
                  <a:lumMod val="75000"/>
                </a:schemeClr>
              </a:solidFill>
              <a:prstDash val="dash"/>
            </a:ln>
          </c:spPr>
          <c:marker>
            <c:symbol val="none"/>
          </c:marker>
          <c:cat>
            <c:multiLvlStrRef>
              <c:f>'Trh práce-2b'!$B$28:$AH$29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práce-2b'!$B$35:$AH$35</c:f>
              <c:numCache>
                <c:formatCode>0.0</c:formatCode>
                <c:ptCount val="33"/>
                <c:pt idx="0">
                  <c:v>7.1643000000000052</c:v>
                </c:pt>
                <c:pt idx="1">
                  <c:v>7.285100000000007</c:v>
                </c:pt>
                <c:pt idx="2">
                  <c:v>12.284650000000003</c:v>
                </c:pt>
                <c:pt idx="3">
                  <c:v>4.916600000000007</c:v>
                </c:pt>
                <c:pt idx="4">
                  <c:v>1.0857999999999979</c:v>
                </c:pt>
                <c:pt idx="5">
                  <c:v>8.5</c:v>
                </c:pt>
                <c:pt idx="6">
                  <c:v>7.0434000000000001</c:v>
                </c:pt>
                <c:pt idx="7">
                  <c:v>3.6378000000000008</c:v>
                </c:pt>
                <c:pt idx="8">
                  <c:v>-1.5695999999999994</c:v>
                </c:pt>
                <c:pt idx="9">
                  <c:v>-4.08</c:v>
                </c:pt>
                <c:pt idx="10">
                  <c:v>3.47</c:v>
                </c:pt>
                <c:pt idx="11">
                  <c:v>-0.24125000000000119</c:v>
                </c:pt>
                <c:pt idx="12">
                  <c:v>-2.7831500000000031</c:v>
                </c:pt>
                <c:pt idx="13">
                  <c:v>-3.4120999999999997</c:v>
                </c:pt>
                <c:pt idx="14">
                  <c:v>1.7031000000000025</c:v>
                </c:pt>
                <c:pt idx="15">
                  <c:v>5.4753000000000016</c:v>
                </c:pt>
                <c:pt idx="16">
                  <c:v>6.049950000000007</c:v>
                </c:pt>
                <c:pt idx="17">
                  <c:v>6.7826500000000092</c:v>
                </c:pt>
                <c:pt idx="18">
                  <c:v>13.915050000000004</c:v>
                </c:pt>
                <c:pt idx="19">
                  <c:v>12.833350000000015</c:v>
                </c:pt>
                <c:pt idx="20">
                  <c:v>16.191749999999999</c:v>
                </c:pt>
                <c:pt idx="21">
                  <c:v>48.613783013874162</c:v>
                </c:pt>
                <c:pt idx="22">
                  <c:v>46.743935992335011</c:v>
                </c:pt>
                <c:pt idx="23">
                  <c:v>59.451661916404809</c:v>
                </c:pt>
                <c:pt idx="24">
                  <c:v>51.491542099717549</c:v>
                </c:pt>
                <c:pt idx="25">
                  <c:v>17.798405633777271</c:v>
                </c:pt>
                <c:pt idx="26">
                  <c:v>14.166188913138253</c:v>
                </c:pt>
                <c:pt idx="27">
                  <c:v>24.802588956528094</c:v>
                </c:pt>
                <c:pt idx="28">
                  <c:v>15.46</c:v>
                </c:pt>
                <c:pt idx="29">
                  <c:v>21.48</c:v>
                </c:pt>
                <c:pt idx="30">
                  <c:v>27.68</c:v>
                </c:pt>
                <c:pt idx="31">
                  <c:v>46.57</c:v>
                </c:pt>
                <c:pt idx="32">
                  <c:v>31.69</c:v>
                </c:pt>
              </c:numCache>
            </c:numRef>
          </c:val>
          <c:smooth val="0"/>
          <c:extLst>
            <c:ext xmlns:c16="http://schemas.microsoft.com/office/drawing/2014/chart" uri="{C3380CC4-5D6E-409C-BE32-E72D297353CC}">
              <c16:uniqueId val="{00000005-5C69-4D3C-A0A0-1C371541B4BE}"/>
            </c:ext>
          </c:extLst>
        </c:ser>
        <c:ser>
          <c:idx val="6"/>
          <c:order val="6"/>
          <c:tx>
            <c:strRef>
              <c:f>'Trh práce-2b'!$A$36</c:f>
              <c:strCache>
                <c:ptCount val="1"/>
                <c:pt idx="0">
                  <c:v>JV for people with lower education***</c:v>
                </c:pt>
              </c:strCache>
            </c:strRef>
          </c:tx>
          <c:spPr>
            <a:ln>
              <a:noFill/>
            </a:ln>
          </c:spPr>
          <c:marker>
            <c:symbol val="circle"/>
            <c:size val="4"/>
            <c:spPr>
              <a:solidFill>
                <a:srgbClr val="8EB149"/>
              </a:solidFill>
              <a:ln>
                <a:noFill/>
              </a:ln>
            </c:spPr>
          </c:marker>
          <c:cat>
            <c:multiLvlStrRef>
              <c:f>'Trh práce-2b'!$B$28:$AH$29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práce-2b'!$B$36:$AH$36</c:f>
              <c:numCache>
                <c:formatCode>0.0</c:formatCode>
                <c:ptCount val="33"/>
                <c:pt idx="0">
                  <c:v>31.7</c:v>
                </c:pt>
                <c:pt idx="1">
                  <c:v>39.700000000000003</c:v>
                </c:pt>
                <c:pt idx="2">
                  <c:v>44.4</c:v>
                </c:pt>
                <c:pt idx="3">
                  <c:v>41.2</c:v>
                </c:pt>
                <c:pt idx="4">
                  <c:v>45.3</c:v>
                </c:pt>
                <c:pt idx="5">
                  <c:v>51.4</c:v>
                </c:pt>
                <c:pt idx="6">
                  <c:v>52.8</c:v>
                </c:pt>
                <c:pt idx="7">
                  <c:v>47.2</c:v>
                </c:pt>
                <c:pt idx="8">
                  <c:v>51.5</c:v>
                </c:pt>
                <c:pt idx="9">
                  <c:v>59.1</c:v>
                </c:pt>
                <c:pt idx="10">
                  <c:v>63.1</c:v>
                </c:pt>
                <c:pt idx="11">
                  <c:v>60.9</c:v>
                </c:pt>
                <c:pt idx="12">
                  <c:v>65.3</c:v>
                </c:pt>
                <c:pt idx="13">
                  <c:v>73.3</c:v>
                </c:pt>
                <c:pt idx="14">
                  <c:v>74.2</c:v>
                </c:pt>
                <c:pt idx="15">
                  <c:v>70.400000000000006</c:v>
                </c:pt>
                <c:pt idx="16">
                  <c:v>70.2</c:v>
                </c:pt>
                <c:pt idx="17">
                  <c:v>68</c:v>
                </c:pt>
                <c:pt idx="18">
                  <c:v>65.8</c:v>
                </c:pt>
                <c:pt idx="19">
                  <c:v>59.1</c:v>
                </c:pt>
                <c:pt idx="20">
                  <c:v>57.7</c:v>
                </c:pt>
                <c:pt idx="21">
                  <c:v>54.3</c:v>
                </c:pt>
                <c:pt idx="22">
                  <c:v>49.1</c:v>
                </c:pt>
                <c:pt idx="23">
                  <c:v>46.6</c:v>
                </c:pt>
                <c:pt idx="24">
                  <c:v>47.9</c:v>
                </c:pt>
                <c:pt idx="25">
                  <c:v>53.9</c:v>
                </c:pt>
                <c:pt idx="26">
                  <c:v>55.5</c:v>
                </c:pt>
                <c:pt idx="27">
                  <c:v>48.9</c:v>
                </c:pt>
                <c:pt idx="28">
                  <c:v>53.7</c:v>
                </c:pt>
                <c:pt idx="29">
                  <c:v>51.3</c:v>
                </c:pt>
                <c:pt idx="30">
                  <c:v>48.2</c:v>
                </c:pt>
                <c:pt idx="31">
                  <c:v>43.887</c:v>
                </c:pt>
              </c:numCache>
            </c:numRef>
          </c:val>
          <c:smooth val="0"/>
          <c:extLst>
            <c:ext xmlns:c16="http://schemas.microsoft.com/office/drawing/2014/chart" uri="{C3380CC4-5D6E-409C-BE32-E72D297353CC}">
              <c16:uniqueId val="{00000006-5C69-4D3C-A0A0-1C371541B4BE}"/>
            </c:ext>
          </c:extLst>
        </c:ser>
        <c:ser>
          <c:idx val="7"/>
          <c:order val="7"/>
          <c:tx>
            <c:strRef>
              <c:f>'Trh práce-2b'!$A$37</c:f>
              <c:strCache>
                <c:ptCount val="1"/>
                <c:pt idx="0">
                  <c:v>JV for people with higher education***</c:v>
                </c:pt>
              </c:strCache>
            </c:strRef>
          </c:tx>
          <c:spPr>
            <a:ln>
              <a:noFill/>
            </a:ln>
          </c:spPr>
          <c:marker>
            <c:symbol val="diamond"/>
            <c:size val="5"/>
            <c:spPr>
              <a:solidFill>
                <a:srgbClr val="00B050"/>
              </a:solidFill>
              <a:ln>
                <a:noFill/>
              </a:ln>
            </c:spPr>
          </c:marker>
          <c:cat>
            <c:multiLvlStrRef>
              <c:f>'Trh práce-2b'!$B$28:$AH$29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práce-2b'!$B$37:$AH$37</c:f>
              <c:numCache>
                <c:formatCode>0.0</c:formatCode>
                <c:ptCount val="33"/>
                <c:pt idx="0">
                  <c:v>16.600000000000001</c:v>
                </c:pt>
                <c:pt idx="1">
                  <c:v>19.3</c:v>
                </c:pt>
                <c:pt idx="2">
                  <c:v>20</c:v>
                </c:pt>
                <c:pt idx="3">
                  <c:v>19.600000000000001</c:v>
                </c:pt>
                <c:pt idx="4">
                  <c:v>23.4</c:v>
                </c:pt>
                <c:pt idx="5">
                  <c:v>24.8</c:v>
                </c:pt>
                <c:pt idx="6">
                  <c:v>25.2</c:v>
                </c:pt>
                <c:pt idx="7">
                  <c:v>23.5</c:v>
                </c:pt>
                <c:pt idx="8">
                  <c:v>25.9</c:v>
                </c:pt>
                <c:pt idx="9">
                  <c:v>30.3</c:v>
                </c:pt>
                <c:pt idx="10">
                  <c:v>31.4</c:v>
                </c:pt>
                <c:pt idx="11">
                  <c:v>31.8</c:v>
                </c:pt>
                <c:pt idx="12">
                  <c:v>34.299999999999997</c:v>
                </c:pt>
                <c:pt idx="13">
                  <c:v>38</c:v>
                </c:pt>
                <c:pt idx="14">
                  <c:v>37.200000000000003</c:v>
                </c:pt>
                <c:pt idx="15">
                  <c:v>36.6</c:v>
                </c:pt>
                <c:pt idx="16">
                  <c:v>37.299999999999997</c:v>
                </c:pt>
                <c:pt idx="17">
                  <c:v>38.299999999999997</c:v>
                </c:pt>
                <c:pt idx="18">
                  <c:v>38.6</c:v>
                </c:pt>
                <c:pt idx="19">
                  <c:v>36.299999999999997</c:v>
                </c:pt>
                <c:pt idx="20">
                  <c:v>37.700000000000003</c:v>
                </c:pt>
                <c:pt idx="21">
                  <c:v>38.1</c:v>
                </c:pt>
                <c:pt idx="22">
                  <c:v>34.4</c:v>
                </c:pt>
                <c:pt idx="23">
                  <c:v>34.1</c:v>
                </c:pt>
                <c:pt idx="24">
                  <c:v>36.299999999999997</c:v>
                </c:pt>
                <c:pt idx="25">
                  <c:v>39.6</c:v>
                </c:pt>
                <c:pt idx="26">
                  <c:v>40.299999999999997</c:v>
                </c:pt>
                <c:pt idx="27">
                  <c:v>39.200000000000003</c:v>
                </c:pt>
                <c:pt idx="28">
                  <c:v>42.5</c:v>
                </c:pt>
                <c:pt idx="29">
                  <c:v>41</c:v>
                </c:pt>
                <c:pt idx="30">
                  <c:v>38.5</c:v>
                </c:pt>
                <c:pt idx="31">
                  <c:v>36.56</c:v>
                </c:pt>
              </c:numCache>
            </c:numRef>
          </c:val>
          <c:smooth val="0"/>
          <c:extLst>
            <c:ext xmlns:c16="http://schemas.microsoft.com/office/drawing/2014/chart" uri="{C3380CC4-5D6E-409C-BE32-E72D297353CC}">
              <c16:uniqueId val="{00000007-5C69-4D3C-A0A0-1C371541B4BE}"/>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Unemployment rate</a:t>
                </a:r>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cs-CZ" sz="700" b="0" i="1"/>
                  <a:t>Ec. activity rate, Ec. inactive, Unemployment expectations, Jobs</a:t>
                </a:r>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7.7707750087519942E-2"/>
          <c:y val="0.85621702146200651"/>
          <c:w val="0.87725909810586777"/>
          <c:h val="0.13327617558991148"/>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32E-2"/>
          <c:y val="2.0203894786331125E-2"/>
          <c:w val="0.94100987714831696"/>
          <c:h val="0.80794462874881756"/>
        </c:manualLayout>
      </c:layout>
      <c:barChart>
        <c:barDir val="col"/>
        <c:grouping val="clustered"/>
        <c:varyColors val="0"/>
        <c:ser>
          <c:idx val="4"/>
          <c:order val="1"/>
          <c:tx>
            <c:strRef>
              <c:f>'Trh práce 3'!$D$65</c:f>
              <c:strCache>
                <c:ptCount val="1"/>
                <c:pt idx="0">
                  <c:v>Total wage (real growth)</c:v>
                </c:pt>
              </c:strCache>
            </c:strRef>
          </c:tx>
          <c:spPr>
            <a:solidFill>
              <a:srgbClr val="DBDBDB"/>
            </a:solidFill>
            <a:ln w="19050">
              <a:noFill/>
            </a:ln>
          </c:spPr>
          <c:invertIfNegative val="0"/>
          <c:cat>
            <c:numRef>
              <c:f>'Trh práce 3'!$B$66:$B$83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'Trh práce 3'!$D$66:$D$83</c:f>
              <c:numCache>
                <c:formatCode>#\ ##0.0</c:formatCode>
                <c:ptCount val="18"/>
                <c:pt idx="0">
                  <c:v>3</c:v>
                </c:pt>
                <c:pt idx="1">
                  <c:v>4</c:v>
                </c:pt>
                <c:pt idx="2">
                  <c:v>4.2999999999999972</c:v>
                </c:pt>
                <c:pt idx="3">
                  <c:v>1.4000000000000057</c:v>
                </c:pt>
                <c:pt idx="4">
                  <c:v>2.2999999999999972</c:v>
                </c:pt>
                <c:pt idx="5">
                  <c:v>0.70000000000000284</c:v>
                </c:pt>
                <c:pt idx="6">
                  <c:v>0.59999999999999432</c:v>
                </c:pt>
                <c:pt idx="7">
                  <c:v>-0.79999999999999716</c:v>
                </c:pt>
                <c:pt idx="8">
                  <c:v>-1.5</c:v>
                </c:pt>
                <c:pt idx="9">
                  <c:v>2.5</c:v>
                </c:pt>
                <c:pt idx="10">
                  <c:v>2.9000000000000057</c:v>
                </c:pt>
                <c:pt idx="11">
                  <c:v>3.7000000000000028</c:v>
                </c:pt>
                <c:pt idx="12">
                  <c:v>4.2000000000000028</c:v>
                </c:pt>
                <c:pt idx="13">
                  <c:v>5.9000000000000057</c:v>
                </c:pt>
                <c:pt idx="14">
                  <c:v>5</c:v>
                </c:pt>
                <c:pt idx="15">
                  <c:v>1.4000000000000057</c:v>
                </c:pt>
                <c:pt idx="16">
                  <c:v>1</c:v>
                </c:pt>
                <c:pt idx="17">
                  <c:v>-7.5</c:v>
                </c:pt>
              </c:numCache>
            </c:numRef>
          </c:val>
          <c:extLst>
            <c:ext xmlns:c16="http://schemas.microsoft.com/office/drawing/2014/chart" uri="{C3380CC4-5D6E-409C-BE32-E72D297353CC}">
              <c16:uniqueId val="{00000000-300C-44B9-81AE-DB94D0F65606}"/>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3'!$C$65</c:f>
              <c:strCache>
                <c:ptCount val="1"/>
                <c:pt idx="0">
                  <c:v>Total wage (nominal growth)</c:v>
                </c:pt>
              </c:strCache>
            </c:strRef>
          </c:tx>
          <c:spPr>
            <a:ln w="19050">
              <a:solidFill>
                <a:schemeClr val="tx1">
                  <a:lumMod val="95000"/>
                  <a:lumOff val="5000"/>
                </a:schemeClr>
              </a:solidFill>
              <a:prstDash val="sysDash"/>
            </a:ln>
          </c:spPr>
          <c:marker>
            <c:symbol val="none"/>
          </c:marker>
          <c:cat>
            <c:numRef>
              <c:f>'Trh práce 3'!$B$66:$B$83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'Trh práce 3'!$C$66:$C$83</c:f>
              <c:numCache>
                <c:formatCode>General</c:formatCode>
                <c:ptCount val="18"/>
                <c:pt idx="0" formatCode="0.0">
                  <c:v>5</c:v>
                </c:pt>
                <c:pt idx="1">
                  <c:v>6.5999999999999943</c:v>
                </c:pt>
                <c:pt idx="2">
                  <c:v>7.2000000000000028</c:v>
                </c:pt>
                <c:pt idx="3">
                  <c:v>7.7999999999999972</c:v>
                </c:pt>
                <c:pt idx="4" formatCode="#\ ##0.0">
                  <c:v>3.2999999999999972</c:v>
                </c:pt>
                <c:pt idx="5" formatCode="#\ ##0.0">
                  <c:v>2.2000000000000028</c:v>
                </c:pt>
                <c:pt idx="6" formatCode="#\ ##0.0">
                  <c:v>2.5</c:v>
                </c:pt>
                <c:pt idx="7" formatCode="#\ ##0.0">
                  <c:v>2.5</c:v>
                </c:pt>
                <c:pt idx="8" formatCode="#\ ##0.0">
                  <c:v>-9.9999999999994316E-2</c:v>
                </c:pt>
                <c:pt idx="9" formatCode="#\ ##0.0">
                  <c:v>2.9000000000000057</c:v>
                </c:pt>
                <c:pt idx="10" formatCode="#\ ##0.0">
                  <c:v>3.2000000000000028</c:v>
                </c:pt>
                <c:pt idx="11" formatCode="#\ ##0.0">
                  <c:v>4.4000000000000057</c:v>
                </c:pt>
                <c:pt idx="12" formatCode="#\ ##0.0">
                  <c:v>6.7999999999999972</c:v>
                </c:pt>
                <c:pt idx="13" formatCode="#\ ##0.0">
                  <c:v>8.0999999999999943</c:v>
                </c:pt>
                <c:pt idx="14" formatCode="#\ ##0.0">
                  <c:v>7.9000000000000057</c:v>
                </c:pt>
                <c:pt idx="15" formatCode="#\ ##0.0">
                  <c:v>4.5999999999999943</c:v>
                </c:pt>
                <c:pt idx="16" formatCode="#\ ##0.0">
                  <c:v>4.7999999999999972</c:v>
                </c:pt>
                <c:pt idx="17" formatCode="#\ ##0.0">
                  <c:v>6.5</c:v>
                </c:pt>
              </c:numCache>
            </c:numRef>
          </c:val>
          <c:smooth val="0"/>
          <c:extLst>
            <c:ext xmlns:c16="http://schemas.microsoft.com/office/drawing/2014/chart" uri="{C3380CC4-5D6E-409C-BE32-E72D297353CC}">
              <c16:uniqueId val="{00000001-300C-44B9-81AE-DB94D0F65606}"/>
            </c:ext>
          </c:extLst>
        </c:ser>
        <c:ser>
          <c:idx val="5"/>
          <c:order val="2"/>
          <c:tx>
            <c:strRef>
              <c:f>'Trh práce 3'!$E$65</c:f>
              <c:strCache>
                <c:ptCount val="1"/>
                <c:pt idx="0">
                  <c:v>Wage in industry (nominal growth)</c:v>
                </c:pt>
              </c:strCache>
            </c:strRef>
          </c:tx>
          <c:spPr>
            <a:ln w="9525">
              <a:solidFill>
                <a:srgbClr val="C00000"/>
              </a:solidFill>
              <a:prstDash val="solid"/>
            </a:ln>
          </c:spPr>
          <c:marker>
            <c:symbol val="none"/>
          </c:marker>
          <c:cat>
            <c:numRef>
              <c:f>'Trh práce 3'!$B$66:$B$83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'Trh práce 3'!$E$66:$E$83</c:f>
              <c:numCache>
                <c:formatCode>0.0</c:formatCode>
                <c:ptCount val="18"/>
                <c:pt idx="0">
                  <c:v>4.7940779037659382</c:v>
                </c:pt>
                <c:pt idx="1">
                  <c:v>6.3912092840724455</c:v>
                </c:pt>
                <c:pt idx="2">
                  <c:v>7.0295621014912797</c:v>
                </c:pt>
                <c:pt idx="3">
                  <c:v>8.8966569839003427</c:v>
                </c:pt>
                <c:pt idx="4">
                  <c:v>2.2922506555746338</c:v>
                </c:pt>
                <c:pt idx="5">
                  <c:v>4.4817679558011037</c:v>
                </c:pt>
                <c:pt idx="6">
                  <c:v>3.1854139345996089</c:v>
                </c:pt>
                <c:pt idx="7">
                  <c:v>3.0337815677271323</c:v>
                </c:pt>
                <c:pt idx="8">
                  <c:v>0.81171414929173125</c:v>
                </c:pt>
                <c:pt idx="9">
                  <c:v>3.3154404799494728</c:v>
                </c:pt>
                <c:pt idx="10">
                  <c:v>2.6016198044009684</c:v>
                </c:pt>
                <c:pt idx="11">
                  <c:v>4.2558737014558545</c:v>
                </c:pt>
                <c:pt idx="12">
                  <c:v>6.8214285714285836</c:v>
                </c:pt>
                <c:pt idx="13">
                  <c:v>7.7465730524908025</c:v>
                </c:pt>
                <c:pt idx="14">
                  <c:v>6.6310857355633459</c:v>
                </c:pt>
                <c:pt idx="15">
                  <c:v>2.0282854149691616</c:v>
                </c:pt>
                <c:pt idx="16">
                  <c:v>4.1128319215082172</c:v>
                </c:pt>
                <c:pt idx="17">
                  <c:v>8.007561022381708</c:v>
                </c:pt>
              </c:numCache>
            </c:numRef>
          </c:val>
          <c:smooth val="0"/>
          <c:extLst>
            <c:ext xmlns:c16="http://schemas.microsoft.com/office/drawing/2014/chart" uri="{C3380CC4-5D6E-409C-BE32-E72D297353CC}">
              <c16:uniqueId val="{00000002-300C-44B9-81AE-DB94D0F65606}"/>
            </c:ext>
          </c:extLst>
        </c:ser>
        <c:ser>
          <c:idx val="1"/>
          <c:order val="3"/>
          <c:tx>
            <c:strRef>
              <c:f>'Trh práce 3'!$F$65</c:f>
              <c:strCache>
                <c:ptCount val="1"/>
                <c:pt idx="0">
                  <c:v>Wage in trade (nominal growth)</c:v>
                </c:pt>
              </c:strCache>
            </c:strRef>
          </c:tx>
          <c:spPr>
            <a:ln w="9525">
              <a:solidFill>
                <a:srgbClr val="0070C0"/>
              </a:solidFill>
              <a:prstDash val="solid"/>
            </a:ln>
          </c:spPr>
          <c:marker>
            <c:symbol val="none"/>
          </c:marker>
          <c:cat>
            <c:numRef>
              <c:f>'Trh práce 3'!$B$66:$B$83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'Trh práce 3'!$F$66:$F$83</c:f>
              <c:numCache>
                <c:formatCode>0.0</c:formatCode>
                <c:ptCount val="18"/>
                <c:pt idx="0">
                  <c:v>4.6374677953625394</c:v>
                </c:pt>
                <c:pt idx="1">
                  <c:v>6.9175753312228778</c:v>
                </c:pt>
                <c:pt idx="2">
                  <c:v>8.6796797894505886</c:v>
                </c:pt>
                <c:pt idx="3">
                  <c:v>7.6686342767771549</c:v>
                </c:pt>
                <c:pt idx="4">
                  <c:v>7.9658872592673902E-2</c:v>
                </c:pt>
                <c:pt idx="5">
                  <c:v>3.193182882292362</c:v>
                </c:pt>
                <c:pt idx="6">
                  <c:v>3.5117967332123357</c:v>
                </c:pt>
                <c:pt idx="7">
                  <c:v>2.25738581572719</c:v>
                </c:pt>
                <c:pt idx="8">
                  <c:v>-0.84015602897680708</c:v>
                </c:pt>
                <c:pt idx="9">
                  <c:v>3.3156097350105966</c:v>
                </c:pt>
                <c:pt idx="10">
                  <c:v>4.2301255230125605</c:v>
                </c:pt>
                <c:pt idx="11">
                  <c:v>4.7609489783629613</c:v>
                </c:pt>
                <c:pt idx="12">
                  <c:v>7.4453002260796382</c:v>
                </c:pt>
                <c:pt idx="13">
                  <c:v>6.9400855920113997</c:v>
                </c:pt>
                <c:pt idx="14">
                  <c:v>7.7869672513839703</c:v>
                </c:pt>
                <c:pt idx="15">
                  <c:v>3.5920918288419301</c:v>
                </c:pt>
                <c:pt idx="16">
                  <c:v>3.5212950241920993</c:v>
                </c:pt>
                <c:pt idx="17">
                  <c:v>8.4071434753757899</c:v>
                </c:pt>
              </c:numCache>
            </c:numRef>
          </c:val>
          <c:smooth val="0"/>
          <c:extLst>
            <c:ext xmlns:c16="http://schemas.microsoft.com/office/drawing/2014/chart" uri="{C3380CC4-5D6E-409C-BE32-E72D297353CC}">
              <c16:uniqueId val="{00000003-300C-44B9-81AE-DB94D0F65606}"/>
            </c:ext>
          </c:extLst>
        </c:ser>
        <c:ser>
          <c:idx val="2"/>
          <c:order val="4"/>
          <c:tx>
            <c:strRef>
              <c:f>'Trh práce 3'!$G$65</c:f>
              <c:strCache>
                <c:ptCount val="1"/>
                <c:pt idx="0">
                  <c:v>Wage in public services (nominal growth)*</c:v>
                </c:pt>
              </c:strCache>
            </c:strRef>
          </c:tx>
          <c:spPr>
            <a:ln w="9525">
              <a:solidFill>
                <a:srgbClr val="00B050"/>
              </a:solidFill>
              <a:prstDash val="solid"/>
            </a:ln>
          </c:spPr>
          <c:marker>
            <c:symbol val="none"/>
          </c:marker>
          <c:cat>
            <c:numRef>
              <c:f>'Trh práce 3'!$B$66:$B$83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'Trh práce 3'!$G$66:$G$83</c:f>
              <c:numCache>
                <c:formatCode>0.0</c:formatCode>
                <c:ptCount val="18"/>
                <c:pt idx="0">
                  <c:v>5.7448429075864311</c:v>
                </c:pt>
                <c:pt idx="1">
                  <c:v>6.2139886096904462</c:v>
                </c:pt>
                <c:pt idx="2">
                  <c:v>6.5213266053676193</c:v>
                </c:pt>
                <c:pt idx="3">
                  <c:v>4.5033471199856336</c:v>
                </c:pt>
                <c:pt idx="4">
                  <c:v>5.6068124661603491</c:v>
                </c:pt>
                <c:pt idx="5">
                  <c:v>9.2548488337286017E-2</c:v>
                </c:pt>
                <c:pt idx="6">
                  <c:v>1.3745128342853405</c:v>
                </c:pt>
                <c:pt idx="7">
                  <c:v>1.9623700739873584</c:v>
                </c:pt>
                <c:pt idx="8">
                  <c:v>0.61373585270925446</c:v>
                </c:pt>
                <c:pt idx="9">
                  <c:v>2.5772633649077363</c:v>
                </c:pt>
                <c:pt idx="10">
                  <c:v>3.7559457553514335</c:v>
                </c:pt>
                <c:pt idx="11">
                  <c:v>4.9014309200953221</c:v>
                </c:pt>
                <c:pt idx="12">
                  <c:v>7.9550010446935602</c:v>
                </c:pt>
                <c:pt idx="13">
                  <c:v>10.160948468455345</c:v>
                </c:pt>
                <c:pt idx="14">
                  <c:v>9.5948437653510865</c:v>
                </c:pt>
                <c:pt idx="15">
                  <c:v>8.4588710877466298</c:v>
                </c:pt>
                <c:pt idx="16">
                  <c:v>5.894506020291729</c:v>
                </c:pt>
                <c:pt idx="17">
                  <c:v>0.49511194805045022</c:v>
                </c:pt>
              </c:numCache>
            </c:numRef>
          </c:val>
          <c:smooth val="0"/>
          <c:extLst>
            <c:ext xmlns:c16="http://schemas.microsoft.com/office/drawing/2014/chart" uri="{C3380CC4-5D6E-409C-BE32-E72D297353CC}">
              <c16:uniqueId val="{00000004-300C-44B9-81AE-DB94D0F65606}"/>
            </c:ext>
          </c:extLst>
        </c:ser>
        <c:ser>
          <c:idx val="3"/>
          <c:order val="5"/>
          <c:tx>
            <c:strRef>
              <c:f>'Trh práce 3'!$H$65</c:f>
              <c:strCache>
                <c:ptCount val="1"/>
                <c:pt idx="0">
                  <c:v>Labour productivity in NE (real)**</c:v>
                </c:pt>
              </c:strCache>
            </c:strRef>
          </c:tx>
          <c:spPr>
            <a:ln w="19050">
              <a:noFill/>
            </a:ln>
          </c:spPr>
          <c:marker>
            <c:symbol val="circle"/>
            <c:size val="5"/>
            <c:spPr>
              <a:solidFill>
                <a:srgbClr val="FFFF00"/>
              </a:solidFill>
              <a:ln w="6350">
                <a:solidFill>
                  <a:schemeClr val="bg1">
                    <a:lumMod val="50000"/>
                  </a:schemeClr>
                </a:solidFill>
              </a:ln>
            </c:spPr>
          </c:marker>
          <c:cat>
            <c:numRef>
              <c:f>'Trh práce 3'!$B$66:$B$83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'Trh práce 3'!$H$66:$H$83</c:f>
              <c:numCache>
                <c:formatCode>0.0</c:formatCode>
                <c:ptCount val="18"/>
                <c:pt idx="0">
                  <c:v>4.8184392486091383</c:v>
                </c:pt>
                <c:pt idx="1">
                  <c:v>6.0283887468309842</c:v>
                </c:pt>
                <c:pt idx="2">
                  <c:v>3.1203468878058942</c:v>
                </c:pt>
                <c:pt idx="3">
                  <c:v>1.1960060577281411</c:v>
                </c:pt>
                <c:pt idx="4">
                  <c:v>-3.3926648626845264</c:v>
                </c:pt>
                <c:pt idx="5">
                  <c:v>3.9244043600750871</c:v>
                </c:pt>
                <c:pt idx="6">
                  <c:v>2.0324802370246857</c:v>
                </c:pt>
                <c:pt idx="7">
                  <c:v>-1.1785053132423684</c:v>
                </c:pt>
                <c:pt idx="8">
                  <c:v>-0.3318870555178961</c:v>
                </c:pt>
                <c:pt idx="9">
                  <c:v>2.2922851854517035</c:v>
                </c:pt>
                <c:pt idx="10">
                  <c:v>3.42348826939795</c:v>
                </c:pt>
                <c:pt idx="11">
                  <c:v>0.80058075383486482</c:v>
                </c:pt>
                <c:pt idx="12">
                  <c:v>3.7890043117499772</c:v>
                </c:pt>
                <c:pt idx="13">
                  <c:v>2.0329992649659374</c:v>
                </c:pt>
                <c:pt idx="14">
                  <c:v>2.6850552456238574</c:v>
                </c:pt>
                <c:pt idx="15">
                  <c:v>-3.6283055899581313</c:v>
                </c:pt>
                <c:pt idx="16">
                  <c:v>2.9638733267345856</c:v>
                </c:pt>
                <c:pt idx="17">
                  <c:v>0.72609942307819608</c:v>
                </c:pt>
              </c:numCache>
            </c:numRef>
          </c:val>
          <c:smooth val="0"/>
          <c:extLst>
            <c:ext xmlns:c16="http://schemas.microsoft.com/office/drawing/2014/chart" uri="{C3380CC4-5D6E-409C-BE32-E72D297353CC}">
              <c16:uniqueId val="{00000005-300C-44B9-81AE-DB94D0F65606}"/>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1"/>
          <c:min val="-8"/>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1"/>
      </c:valAx>
      <c:spPr>
        <a:ln>
          <a:solidFill>
            <a:schemeClr val="tx1"/>
          </a:solidFill>
        </a:ln>
      </c:spPr>
    </c:plotArea>
    <c:legend>
      <c:legendPos val="b"/>
      <c:layout>
        <c:manualLayout>
          <c:xMode val="edge"/>
          <c:yMode val="edge"/>
          <c:x val="9.1291858669558714E-3"/>
          <c:y val="0.87578213890776335"/>
          <c:w val="0.9774444484255399"/>
          <c:h val="0.1134186018625844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3B3C-E855-42D8-BDDB-5EB01D49CAB0}">
  <ds:schemaRefs>
    <ds:schemaRef ds:uri="http://schemas.openxmlformats.org/officeDocument/2006/bibliography"/>
  </ds:schemaRefs>
</ds:datastoreItem>
</file>

<file path=customXml/itemProps2.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3.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4932FB-3B0E-493B-94B6-5B00B1C8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12</TotalTime>
  <Pages>7</Pages>
  <Words>3332</Words>
  <Characters>19660</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2023-04-20T07:09:00Z</dcterms:created>
  <dcterms:modified xsi:type="dcterms:W3CDTF">2023-04-20T07:26:00Z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y fmtid="{D5CDD505-2E9C-101B-9397-08002B2CF9AE}" pid="3" name="MSIP_Label_29db9e61-aac5-4f6e-805d-ceb8cb9983a1_Enabled">
    <vt:lpwstr>true</vt:lpwstr>
  </property>
  <property fmtid="{D5CDD505-2E9C-101B-9397-08002B2CF9AE}" pid="4" name="MSIP_Label_29db9e61-aac5-4f6e-805d-ceb8cb9983a1_SetDate">
    <vt:lpwstr>2023-03-27T13:04:49Z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de2450ee-4915-4da0-b25a-4e858a474ced</vt:lpwstr>
  </property>
  <property fmtid="{D5CDD505-2E9C-101B-9397-08002B2CF9AE}" pid="9" name="MSIP_Label_29db9e61-aac5-4f6e-805d-ceb8cb9983a1_ContentBits">
    <vt:lpwstr>0</vt:lpwstr>
  </property>
</Properties>
</file>