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1F3D1" w14:textId="77777777" w:rsidR="00073B58" w:rsidRPr="00A00994" w:rsidRDefault="00073B58" w:rsidP="00073B58">
      <w:pPr>
        <w:pStyle w:val="Nadpis11"/>
        <w:spacing w:after="120"/>
        <w:rPr>
          <w:lang w:val="en-GB"/>
        </w:rPr>
      </w:pPr>
      <w:bookmarkStart w:id="0" w:name="_Toc116642876"/>
      <w:r w:rsidRPr="00A00994">
        <w:rPr>
          <w:lang w:val="en-GB"/>
        </w:rPr>
        <w:t>7. Monetary Conditions</w:t>
      </w:r>
      <w:bookmarkEnd w:id="0"/>
    </w:p>
    <w:tbl>
      <w:tblPr>
        <w:tblW w:w="9641" w:type="dxa"/>
        <w:tblInd w:w="-15" w:type="dxa"/>
        <w:tblCellMar>
          <w:left w:w="0" w:type="dxa"/>
          <w:right w:w="0" w:type="dxa"/>
        </w:tblCellMar>
        <w:tblLook w:val="00A0" w:firstRow="1" w:lastRow="0" w:firstColumn="1" w:lastColumn="0" w:noHBand="0" w:noVBand="0"/>
      </w:tblPr>
      <w:tblGrid>
        <w:gridCol w:w="1802"/>
        <w:gridCol w:w="229"/>
        <w:gridCol w:w="7610"/>
      </w:tblGrid>
      <w:tr w:rsidR="00073B58" w:rsidRPr="00A00994" w14:paraId="0B29F81F" w14:textId="77777777" w:rsidTr="00073B58">
        <w:trPr>
          <w:trHeight w:val="145"/>
        </w:trPr>
        <w:tc>
          <w:tcPr>
            <w:tcW w:w="1802" w:type="dxa"/>
          </w:tcPr>
          <w:p w14:paraId="614354B8" w14:textId="77777777" w:rsidR="00073B58" w:rsidRPr="00A00994" w:rsidRDefault="00073B58" w:rsidP="00073B58">
            <w:pPr>
              <w:pStyle w:val="Marginlie"/>
              <w:rPr>
                <w:lang w:val="en-GB" w:eastAsia="en-US"/>
              </w:rPr>
            </w:pPr>
            <w:r w:rsidRPr="00A00994">
              <w:rPr>
                <w:lang w:val="en-GB" w:eastAsia="en-US"/>
              </w:rPr>
              <w:t>Monetary policy-relevant interest rates were changed three times during Q2.</w:t>
            </w:r>
          </w:p>
        </w:tc>
        <w:tc>
          <w:tcPr>
            <w:tcW w:w="229" w:type="dxa"/>
          </w:tcPr>
          <w:p w14:paraId="6F15EEBB" w14:textId="77777777" w:rsidR="00073B58" w:rsidRPr="00A00994" w:rsidRDefault="00073B58" w:rsidP="00073B58">
            <w:pPr>
              <w:pStyle w:val="Textpoznpodarou"/>
              <w:jc w:val="both"/>
              <w:rPr>
                <w:spacing w:val="-4"/>
                <w:lang w:val="en-GB" w:eastAsia="en-US"/>
              </w:rPr>
            </w:pPr>
          </w:p>
        </w:tc>
        <w:tc>
          <w:tcPr>
            <w:tcW w:w="7610" w:type="dxa"/>
          </w:tcPr>
          <w:p w14:paraId="37747E9C" w14:textId="77777777" w:rsidR="00073B58" w:rsidRPr="00A00994" w:rsidRDefault="00073B58" w:rsidP="00073B58">
            <w:pPr>
              <w:rPr>
                <w:spacing w:val="-2"/>
                <w:lang w:val="en-GB" w:eastAsia="en-US"/>
              </w:rPr>
            </w:pPr>
            <w:r w:rsidRPr="00A00994">
              <w:rPr>
                <w:spacing w:val="-2"/>
                <w:lang w:val="en-GB" w:eastAsia="en-US"/>
              </w:rPr>
              <w:t>In the environment of significantly accelerating inflation, the monetary policy-relevant interest rates were raised three times during Q2. At first, the two-week repo rate was increased by 0.50 p.p. to 5.00% in April</w:t>
            </w:r>
            <w:r w:rsidRPr="00A00994">
              <w:rPr>
                <w:rStyle w:val="Znakapoznpodarou"/>
                <w:spacing w:val="-2"/>
                <w:lang w:val="en-GB" w:eastAsia="en-US"/>
              </w:rPr>
              <w:footnoteReference w:id="1"/>
            </w:r>
            <w:r w:rsidRPr="00A00994">
              <w:rPr>
                <w:spacing w:val="-2"/>
                <w:lang w:val="en-GB" w:eastAsia="en-US"/>
              </w:rPr>
              <w:t xml:space="preserve">, another increase to 5.75 % took place in May and another one to 7.00% in June. The discount rate reached 6.00 %at the end of Q2 and the Lombard rate 8.0%. Koruna foreign exchange per euro attained an average value of 24.64 CZK/EUR in Q2. The CNB forex intervention played a major role, which following the steep depreciation, which manifested in the half of May returned the koruna foreign exchange to the previous level and were preventing further depreciation. The koruna foreign exchange per euro was stronger by 3.9% compared to last year’s Q2 and it nearly did not change quarter-on-quarter. Koruna foreign exchange per dollar fluctuated more substantially during Q2. The average reached 23.16 CZK/USD for the whole Q2, the koruna foreign exchange per dollar however depreciated from the level of 22.06 CZK per dollar at the beginning of April up to 23.82 CZK at the end of June. The jump depreciation, which was common to all countries of the Central Europe with own currencies, occurred in the second half of April in connection to the interruption of supplies of gas to Europe and the timing of May as well as June shift of the koruna foreign exchange coincided with the period of inflation data publishing. Koruna foreign exchange per dollar was weaker by 8.9% year-on-year in Q2 and by 5.3% quarter-on-quarter.   </w:t>
            </w:r>
          </w:p>
        </w:tc>
      </w:tr>
      <w:tr w:rsidR="00073B58" w:rsidRPr="00A00994" w14:paraId="57553552" w14:textId="77777777" w:rsidTr="00073B58">
        <w:trPr>
          <w:trHeight w:val="145"/>
        </w:trPr>
        <w:tc>
          <w:tcPr>
            <w:tcW w:w="1802" w:type="dxa"/>
          </w:tcPr>
          <w:p w14:paraId="642081BF" w14:textId="77777777" w:rsidR="00073B58" w:rsidRPr="00A00994" w:rsidRDefault="00073B58" w:rsidP="00073B58">
            <w:pPr>
              <w:pStyle w:val="Marginlie"/>
              <w:rPr>
                <w:lang w:val="en-GB" w:eastAsia="en-US"/>
              </w:rPr>
            </w:pPr>
            <w:r w:rsidRPr="00A00994">
              <w:rPr>
                <w:lang w:val="en-GB" w:eastAsia="en-US"/>
              </w:rPr>
              <w:t>Yields of government bonds went up.</w:t>
            </w:r>
          </w:p>
        </w:tc>
        <w:tc>
          <w:tcPr>
            <w:tcW w:w="229" w:type="dxa"/>
          </w:tcPr>
          <w:p w14:paraId="4E1E56F9" w14:textId="77777777" w:rsidR="00073B58" w:rsidRPr="00A00994" w:rsidRDefault="00073B58" w:rsidP="00073B58">
            <w:pPr>
              <w:pStyle w:val="Textpoznpodarou"/>
              <w:jc w:val="both"/>
              <w:rPr>
                <w:spacing w:val="-4"/>
                <w:lang w:val="en-GB" w:eastAsia="en-US"/>
              </w:rPr>
            </w:pPr>
          </w:p>
        </w:tc>
        <w:tc>
          <w:tcPr>
            <w:tcW w:w="7610" w:type="dxa"/>
          </w:tcPr>
          <w:p w14:paraId="7CFB7F72" w14:textId="77777777" w:rsidR="00073B58" w:rsidRPr="00A00994" w:rsidRDefault="00073B58" w:rsidP="00073B58">
            <w:pPr>
              <w:rPr>
                <w:spacing w:val="-1"/>
                <w:lang w:val="en-GB" w:eastAsia="en-US"/>
              </w:rPr>
            </w:pPr>
            <w:r w:rsidRPr="00A00994">
              <w:rPr>
                <w:spacing w:val="-1"/>
                <w:lang w:val="en-GB" w:eastAsia="en-US"/>
              </w:rPr>
              <w:t>The interbank rates reacted to the increase of the monetary policy-relevant interest rates by analogous increase. The three-month PRIBOR rate rose by 1.78 p.p.</w:t>
            </w:r>
            <w:r w:rsidRPr="00A00994">
              <w:rPr>
                <w:rStyle w:val="Znakapoznpodarou"/>
                <w:spacing w:val="-1"/>
                <w:lang w:val="en-GB" w:eastAsia="en-US"/>
              </w:rPr>
              <w:footnoteReference w:id="2"/>
            </w:r>
            <w:r w:rsidRPr="00A00994">
              <w:rPr>
                <w:spacing w:val="-1"/>
                <w:lang w:val="en-GB" w:eastAsia="en-US"/>
              </w:rPr>
              <w:t xml:space="preserve"> to 6.64% in Q2 and the interest rates of other maturities also behaved similarly. The yields of government bonds continued growing in Q2, which lasts since the second half of year 2020. Bonds with short-term maturity thus bore interest on average of 6.26% at the end of June 2022 (increase by 1.72 p.p.), with medium-term maturity 5.49% (+1.64 p.p.) and with long-term maturity 5.12% (+1.59 p. p).         </w:t>
            </w:r>
          </w:p>
        </w:tc>
      </w:tr>
      <w:tr w:rsidR="00073B58" w:rsidRPr="00A00994" w14:paraId="491C2566" w14:textId="77777777" w:rsidTr="00073B58">
        <w:trPr>
          <w:trHeight w:val="145"/>
        </w:trPr>
        <w:tc>
          <w:tcPr>
            <w:tcW w:w="1802" w:type="dxa"/>
            <w:hideMark/>
          </w:tcPr>
          <w:p w14:paraId="7AEB5CD5" w14:textId="77777777" w:rsidR="00073B58" w:rsidRPr="00A00994" w:rsidRDefault="00073B58" w:rsidP="00073B58">
            <w:pPr>
              <w:pStyle w:val="Marginlie"/>
              <w:rPr>
                <w:lang w:val="en-GB" w:eastAsia="en-US"/>
              </w:rPr>
            </w:pPr>
            <w:r w:rsidRPr="00A00994">
              <w:rPr>
                <w:lang w:val="en-GB" w:eastAsia="en-US"/>
              </w:rPr>
              <w:t xml:space="preserve">Strong inflow of funds to term deposits continued. </w:t>
            </w:r>
          </w:p>
        </w:tc>
        <w:tc>
          <w:tcPr>
            <w:tcW w:w="229" w:type="dxa"/>
          </w:tcPr>
          <w:p w14:paraId="3255539C" w14:textId="77777777" w:rsidR="00073B58" w:rsidRPr="00A00994" w:rsidRDefault="00073B58" w:rsidP="00073B58">
            <w:pPr>
              <w:pStyle w:val="Textpoznpodarou"/>
              <w:jc w:val="both"/>
              <w:rPr>
                <w:spacing w:val="-4"/>
                <w:lang w:val="en-GB" w:eastAsia="en-US"/>
              </w:rPr>
            </w:pPr>
          </w:p>
        </w:tc>
        <w:tc>
          <w:tcPr>
            <w:tcW w:w="7610" w:type="dxa"/>
          </w:tcPr>
          <w:p w14:paraId="0E7567CF" w14:textId="77777777" w:rsidR="00073B58" w:rsidRPr="00A00994" w:rsidRDefault="00073B58" w:rsidP="00073B58">
            <w:pPr>
              <w:rPr>
                <w:spacing w:val="-3"/>
                <w:lang w:val="en-GB" w:eastAsia="en-US"/>
              </w:rPr>
            </w:pPr>
            <w:r w:rsidRPr="00A00994">
              <w:rPr>
                <w:spacing w:val="-3"/>
                <w:lang w:val="en-GB" w:eastAsia="en-US"/>
              </w:rPr>
              <w:t>Interest rates on client deposits also generally moved upwards. In case of current accounts of households</w:t>
            </w:r>
            <w:r w:rsidRPr="00A00994">
              <w:rPr>
                <w:rStyle w:val="Znakapoznpodarou"/>
                <w:spacing w:val="-3"/>
                <w:lang w:val="en-GB" w:eastAsia="en-US"/>
              </w:rPr>
              <w:footnoteReference w:id="3"/>
            </w:r>
            <w:r w:rsidRPr="00A00994">
              <w:rPr>
                <w:spacing w:val="-3"/>
                <w:lang w:val="en-GB" w:eastAsia="en-US"/>
              </w:rPr>
              <w:t xml:space="preserve"> the interest rates stayed at a very low level (0.08%), but the average interest on one-day deposits went up by 0.26 p.p. to 0.77% in Q2. Deposits with agreed maturity recorded a large shift (by 1.86 p. p. to 5.37%). Current accounts of non-financial businesses bore interest of 0.7% on average at the end of Q2, which represents an increase of 0.33 p.p. The average interest rate on their deposits with agreed maturity rose by 1.9 p. p. to 5.8%. The development of the volume of deposits reflected the growing inflation and shift of interest rates. In Q2, the decrease of volume of non-term deposits atypical from the long-term point of view further continued (by 261.6 CZK bn year-on-year, by 54.9 bn quarter-on-quarter). This decrease was evidently absorbed by term deposits, which bear much better interest currently. They expanded by 746.9 CZK bn year-on-year and by 223.2 bn quarter-on-quarter. The dynamics of the total volume of deposits did not alter significantly.     </w:t>
            </w:r>
          </w:p>
        </w:tc>
      </w:tr>
      <w:tr w:rsidR="00073B58" w:rsidRPr="00A00994" w14:paraId="3F3B636C" w14:textId="77777777" w:rsidTr="00073B58">
        <w:trPr>
          <w:trHeight w:val="145"/>
        </w:trPr>
        <w:tc>
          <w:tcPr>
            <w:tcW w:w="1802" w:type="dxa"/>
          </w:tcPr>
          <w:p w14:paraId="57D3928B" w14:textId="77777777" w:rsidR="00073B58" w:rsidRPr="00A00994" w:rsidRDefault="00073B58" w:rsidP="00073B58">
            <w:pPr>
              <w:pStyle w:val="Marginlie"/>
              <w:rPr>
                <w:lang w:val="en-GB" w:eastAsia="en-US"/>
              </w:rPr>
            </w:pPr>
            <w:r w:rsidRPr="00A00994">
              <w:rPr>
                <w:lang w:val="en-GB" w:eastAsia="en-US"/>
              </w:rPr>
              <w:t xml:space="preserve">Increase of interest rates on credit for households was accompanied by cooling of their provision.  </w:t>
            </w:r>
          </w:p>
        </w:tc>
        <w:tc>
          <w:tcPr>
            <w:tcW w:w="229" w:type="dxa"/>
          </w:tcPr>
          <w:p w14:paraId="6AA9CC30" w14:textId="77777777" w:rsidR="00073B58" w:rsidRPr="00A00994" w:rsidRDefault="00073B58" w:rsidP="00073B58">
            <w:pPr>
              <w:pStyle w:val="Textpoznpodarou"/>
              <w:jc w:val="both"/>
              <w:rPr>
                <w:spacing w:val="-4"/>
                <w:lang w:val="en-GB" w:eastAsia="en-US"/>
              </w:rPr>
            </w:pPr>
          </w:p>
        </w:tc>
        <w:tc>
          <w:tcPr>
            <w:tcW w:w="7610" w:type="dxa"/>
          </w:tcPr>
          <w:p w14:paraId="0F0B4AA5" w14:textId="77777777" w:rsidR="00073B58" w:rsidRPr="00A00994" w:rsidRDefault="00073B58" w:rsidP="00073B58">
            <w:pPr>
              <w:rPr>
                <w:lang w:val="en-GB" w:eastAsia="en-US"/>
              </w:rPr>
            </w:pPr>
            <w:r w:rsidRPr="00A00994">
              <w:rPr>
                <w:lang w:val="en-GB" w:eastAsia="en-US"/>
              </w:rPr>
              <w:t xml:space="preserve">The growth of interest rates on credit for households also continued. The average interest on consumer credit increased by 0.64 p. p. to 8.84% during Q2, which is the most since the end of Q3 2017. The average interest rate on credit to purchase residential real estate also had another large increase (by 0.59 p. p. to 4.43%). Expansion of the volume of credit provided to households markedly slowed down in Q2. The year-on-year increase of consumer credit slowed down to 7.1% in Q2. The still </w:t>
            </w:r>
            <w:r w:rsidRPr="00A00994">
              <w:rPr>
                <w:lang w:val="en-GB" w:eastAsia="en-US"/>
              </w:rPr>
              <w:lastRenderedPageBreak/>
              <w:t xml:space="preserve">relatively strong increase was assisted by the weaker comparative basis of last year’s Q2, when the retail trade set in motion after the pandemics shutdown. The quarter-on-quarter increase however slowed down to 0.4%, while it was more than 2% in the previous four quarters. Volume of provided mortgages was by 8.8% higher year-on-year at the end of June 2022. Their expansion nevertheless slowed down to 0.7% between the end of June and March, which was the least since Q1 2014. The sharp hike of rates put further brakes on the provision of new mortgages. The volume of new mortgage credits attained 28.2 CZK bn, which was the least since the end of year 2019. Mainly the </w:t>
            </w:r>
            <w:r>
              <w:rPr>
                <w:lang w:val="en-GB" w:eastAsia="en-US"/>
              </w:rPr>
              <w:t>pure</w:t>
            </w:r>
            <w:r w:rsidRPr="00A00994">
              <w:rPr>
                <w:lang w:val="en-GB" w:eastAsia="en-US"/>
              </w:rPr>
              <w:t xml:space="preserve"> new loans dropped</w:t>
            </w:r>
            <w:r w:rsidRPr="00A00994">
              <w:rPr>
                <w:rStyle w:val="Znakapoznpodarou"/>
                <w:lang w:val="en-GB" w:eastAsia="en-US"/>
              </w:rPr>
              <w:footnoteReference w:id="4"/>
            </w:r>
            <w:r w:rsidRPr="00A00994">
              <w:rPr>
                <w:lang w:val="en-GB" w:eastAsia="en-US"/>
              </w:rPr>
              <w:t xml:space="preserve">. Total indebtedness of households went up by 8.1% year-on-year, but quarter-on-quarter addition slowed down to 0.7%.  </w:t>
            </w:r>
          </w:p>
        </w:tc>
      </w:tr>
      <w:tr w:rsidR="00073B58" w:rsidRPr="00A00994" w14:paraId="3154D194" w14:textId="77777777" w:rsidTr="00073B58">
        <w:trPr>
          <w:trHeight w:val="145"/>
        </w:trPr>
        <w:tc>
          <w:tcPr>
            <w:tcW w:w="1802" w:type="dxa"/>
          </w:tcPr>
          <w:p w14:paraId="64620B03" w14:textId="77777777" w:rsidR="00073B58" w:rsidRPr="00A00994" w:rsidRDefault="00073B58" w:rsidP="00073B58">
            <w:pPr>
              <w:pStyle w:val="Marginlie"/>
              <w:rPr>
                <w:lang w:val="en-GB" w:eastAsia="en-US"/>
              </w:rPr>
            </w:pPr>
            <w:r w:rsidRPr="00A00994">
              <w:rPr>
                <w:lang w:val="en-GB" w:eastAsia="en-US"/>
              </w:rPr>
              <w:lastRenderedPageBreak/>
              <w:t xml:space="preserve">Volume of credit and liabilities of non-financial businesses in foreign currencies sharply increased. </w:t>
            </w:r>
          </w:p>
        </w:tc>
        <w:tc>
          <w:tcPr>
            <w:tcW w:w="229" w:type="dxa"/>
          </w:tcPr>
          <w:p w14:paraId="204D57B2" w14:textId="77777777" w:rsidR="00073B58" w:rsidRPr="00A00994" w:rsidRDefault="00073B58" w:rsidP="00073B58">
            <w:pPr>
              <w:pStyle w:val="Textpoznpodarou"/>
              <w:jc w:val="both"/>
              <w:rPr>
                <w:spacing w:val="-4"/>
                <w:lang w:val="en-GB" w:eastAsia="en-US"/>
              </w:rPr>
            </w:pPr>
          </w:p>
        </w:tc>
        <w:tc>
          <w:tcPr>
            <w:tcW w:w="7610" w:type="dxa"/>
          </w:tcPr>
          <w:p w14:paraId="522A06D4" w14:textId="77777777" w:rsidR="00073B58" w:rsidRPr="00A00994" w:rsidRDefault="00073B58" w:rsidP="00073B58">
            <w:pPr>
              <w:rPr>
                <w:lang w:val="en-GB" w:eastAsia="en-US"/>
              </w:rPr>
            </w:pPr>
            <w:r w:rsidRPr="00A00994">
              <w:rPr>
                <w:lang w:val="en-GB" w:eastAsia="en-US"/>
              </w:rPr>
              <w:t xml:space="preserve">The cost of credit financing was raised also to non-financial businesses. The interest on loans with volume above 30 CZK mil went up the most in Q2 (by 1.92 p.p. to 8.14%). The medium category of credit between 7.5 and 30 mil the interest rate was raised by 0.78 p.p. to 6.56% and by 0.63 p.p. to 6.9% in case of credit up to 7.5 mil. The total volume of credit and liabilities of non-financial businesses was by 7.7% year-on-year in Q2. Mainly short term credit expanded (17.6%). At the same time the volume of credit provided in CZK was lower year-on-year (−5.7%), while those denominated in foreign currencies increased by 36.2% and their proportion in total volume of provided credit climbed above 40%. From the view of individual branches, the volume of credit was growing the most year-on-year in wholesale, retail and repairs and maintenance of motor vehicles (20.4%), in transportation and storage (17.1%) and the pace briskly accelerated in financial and insurance activities (12.6%). The year-on-year increase of the volume of credit in real estate activities (7.9%) also strengthened. Apart from the usual slump of credit for mining and quarrying (−45.0%), credit in public administration, mandatory social security, education, health and social works (−27.9%) also shrank markedly. The volume of credit for production and distribution of electricity, gas, heat, air, water and waste water shrank by 7.2%.   </w:t>
            </w:r>
          </w:p>
        </w:tc>
      </w:tr>
      <w:tr w:rsidR="00073B58" w:rsidRPr="00A00994" w14:paraId="3770AAD0" w14:textId="77777777" w:rsidTr="00073B58">
        <w:trPr>
          <w:trHeight w:val="304"/>
        </w:trPr>
        <w:tc>
          <w:tcPr>
            <w:tcW w:w="1802" w:type="dxa"/>
            <w:vMerge w:val="restart"/>
          </w:tcPr>
          <w:p w14:paraId="1DF8D716" w14:textId="77777777" w:rsidR="00073B58" w:rsidRPr="00A00994" w:rsidRDefault="00073B58" w:rsidP="00073B58">
            <w:pPr>
              <w:pStyle w:val="Marginlie"/>
              <w:rPr>
                <w:lang w:val="en-GB" w:eastAsia="en-US"/>
              </w:rPr>
            </w:pPr>
          </w:p>
        </w:tc>
        <w:tc>
          <w:tcPr>
            <w:tcW w:w="229" w:type="dxa"/>
            <w:vMerge w:val="restart"/>
          </w:tcPr>
          <w:p w14:paraId="6E6022EF" w14:textId="77777777" w:rsidR="00073B58" w:rsidRPr="00A00994" w:rsidRDefault="00073B58" w:rsidP="00073B58">
            <w:pPr>
              <w:pStyle w:val="Textpoznpodarou"/>
              <w:jc w:val="both"/>
              <w:rPr>
                <w:spacing w:val="-4"/>
                <w:lang w:val="en-GB" w:eastAsia="en-US"/>
              </w:rPr>
            </w:pPr>
          </w:p>
        </w:tc>
        <w:tc>
          <w:tcPr>
            <w:tcW w:w="7610" w:type="dxa"/>
            <w:hideMark/>
          </w:tcPr>
          <w:p w14:paraId="792910A6" w14:textId="77777777" w:rsidR="00073B58" w:rsidRPr="00A00994" w:rsidRDefault="00073B58" w:rsidP="00073B58">
            <w:pPr>
              <w:spacing w:after="0"/>
              <w:rPr>
                <w:szCs w:val="20"/>
                <w:lang w:val="en-GB" w:eastAsia="en-US"/>
              </w:rPr>
            </w:pPr>
            <w:r w:rsidRPr="00A00994">
              <w:rPr>
                <w:rFonts w:cs="Arial"/>
                <w:b/>
                <w:bCs/>
                <w:color w:val="000000"/>
                <w:szCs w:val="20"/>
                <w:lang w:val="en-GB" w:eastAsia="en-US"/>
              </w:rPr>
              <w:t xml:space="preserve">Chart 16 Market interest rates </w:t>
            </w:r>
            <w:r w:rsidRPr="00A00994">
              <w:rPr>
                <w:bCs/>
                <w:spacing w:val="-4"/>
                <w:szCs w:val="20"/>
                <w:lang w:val="en-GB" w:eastAsia="en-US"/>
              </w:rPr>
              <w:t>(in %)</w:t>
            </w:r>
          </w:p>
        </w:tc>
      </w:tr>
      <w:tr w:rsidR="00073B58" w:rsidRPr="00A00994" w14:paraId="472AD6BB" w14:textId="77777777" w:rsidTr="00073B58">
        <w:tblPrEx>
          <w:tblCellMar>
            <w:left w:w="70" w:type="dxa"/>
            <w:right w:w="70" w:type="dxa"/>
          </w:tblCellMar>
        </w:tblPrEx>
        <w:trPr>
          <w:trHeight w:val="170"/>
        </w:trPr>
        <w:tc>
          <w:tcPr>
            <w:tcW w:w="1802" w:type="dxa"/>
            <w:vMerge/>
            <w:vAlign w:val="center"/>
            <w:hideMark/>
          </w:tcPr>
          <w:p w14:paraId="7855C6CD" w14:textId="77777777" w:rsidR="00073B58" w:rsidRPr="00A00994" w:rsidRDefault="00073B58" w:rsidP="00073B58">
            <w:pPr>
              <w:spacing w:after="0" w:line="240" w:lineRule="auto"/>
              <w:jc w:val="left"/>
              <w:rPr>
                <w:spacing w:val="-2"/>
                <w:sz w:val="16"/>
                <w:szCs w:val="16"/>
                <w:lang w:val="en-GB" w:eastAsia="en-US"/>
              </w:rPr>
            </w:pPr>
          </w:p>
        </w:tc>
        <w:tc>
          <w:tcPr>
            <w:tcW w:w="229" w:type="dxa"/>
            <w:vMerge/>
            <w:vAlign w:val="center"/>
            <w:hideMark/>
          </w:tcPr>
          <w:p w14:paraId="0DB88D21" w14:textId="77777777" w:rsidR="00073B58" w:rsidRPr="00A00994" w:rsidRDefault="00073B58" w:rsidP="00073B58">
            <w:pPr>
              <w:spacing w:after="0" w:line="240" w:lineRule="auto"/>
              <w:jc w:val="left"/>
              <w:rPr>
                <w:rFonts w:eastAsia="Calibri"/>
                <w:spacing w:val="-4"/>
                <w:szCs w:val="20"/>
                <w:lang w:val="en-GB" w:eastAsia="en-US"/>
              </w:rPr>
            </w:pPr>
          </w:p>
        </w:tc>
        <w:tc>
          <w:tcPr>
            <w:tcW w:w="7610" w:type="dxa"/>
            <w:hideMark/>
          </w:tcPr>
          <w:p w14:paraId="7C0AD8C4" w14:textId="77777777" w:rsidR="00073B58" w:rsidRPr="00A00994" w:rsidRDefault="00073B58" w:rsidP="00073B58">
            <w:pPr>
              <w:spacing w:after="0"/>
              <w:rPr>
                <w:sz w:val="14"/>
                <w:szCs w:val="14"/>
                <w:lang w:val="en-GB" w:eastAsia="en-US"/>
              </w:rPr>
            </w:pPr>
            <w:bookmarkStart w:id="1" w:name="_GoBack"/>
            <w:r>
              <w:rPr>
                <w:noProof/>
              </w:rPr>
              <w:drawing>
                <wp:inline distT="0" distB="0" distL="0" distR="0" wp14:anchorId="088F14DF" wp14:editId="07C9E7DD">
                  <wp:extent cx="4737600" cy="3528000"/>
                  <wp:effectExtent l="0" t="0" r="6350" b="0"/>
                  <wp:docPr id="52" name="Graf 52">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1"/>
          </w:p>
        </w:tc>
      </w:tr>
      <w:tr w:rsidR="00073B58" w:rsidRPr="00A00994" w14:paraId="22EA10B1" w14:textId="77777777" w:rsidTr="00073B58">
        <w:trPr>
          <w:trHeight w:val="170"/>
        </w:trPr>
        <w:tc>
          <w:tcPr>
            <w:tcW w:w="0" w:type="auto"/>
            <w:vMerge/>
            <w:vAlign w:val="center"/>
            <w:hideMark/>
          </w:tcPr>
          <w:p w14:paraId="517CA3C4" w14:textId="77777777" w:rsidR="00073B58" w:rsidRPr="00A00994" w:rsidRDefault="00073B58" w:rsidP="00073B58">
            <w:pPr>
              <w:spacing w:after="0" w:line="240" w:lineRule="auto"/>
              <w:jc w:val="left"/>
              <w:rPr>
                <w:spacing w:val="-2"/>
                <w:sz w:val="16"/>
                <w:szCs w:val="16"/>
                <w:lang w:val="en-GB" w:eastAsia="en-US"/>
              </w:rPr>
            </w:pPr>
          </w:p>
        </w:tc>
        <w:tc>
          <w:tcPr>
            <w:tcW w:w="0" w:type="auto"/>
            <w:vMerge/>
            <w:vAlign w:val="center"/>
            <w:hideMark/>
          </w:tcPr>
          <w:p w14:paraId="35A37C42" w14:textId="77777777" w:rsidR="00073B58" w:rsidRPr="00A00994" w:rsidRDefault="00073B58" w:rsidP="00073B58">
            <w:pPr>
              <w:spacing w:after="0" w:line="240" w:lineRule="auto"/>
              <w:jc w:val="left"/>
              <w:rPr>
                <w:rFonts w:eastAsia="Calibri"/>
                <w:spacing w:val="-4"/>
                <w:szCs w:val="20"/>
                <w:lang w:val="en-GB" w:eastAsia="en-US"/>
              </w:rPr>
            </w:pPr>
          </w:p>
        </w:tc>
        <w:tc>
          <w:tcPr>
            <w:tcW w:w="7610" w:type="dxa"/>
            <w:hideMark/>
          </w:tcPr>
          <w:p w14:paraId="5BE2B296" w14:textId="77777777" w:rsidR="00073B58" w:rsidRPr="00A00994" w:rsidRDefault="00073B58" w:rsidP="00073B58">
            <w:pPr>
              <w:spacing w:after="0"/>
              <w:rPr>
                <w:b/>
                <w:bCs/>
                <w:sz w:val="16"/>
                <w:szCs w:val="16"/>
                <w:lang w:val="en-GB" w:eastAsia="en-US"/>
              </w:rPr>
            </w:pPr>
            <w:r w:rsidRPr="00A00994">
              <w:rPr>
                <w:sz w:val="14"/>
                <w:szCs w:val="14"/>
                <w:lang w:val="en-GB" w:eastAsia="en-US"/>
              </w:rPr>
              <w:t>Source: CNB</w:t>
            </w:r>
          </w:p>
        </w:tc>
      </w:tr>
    </w:tbl>
    <w:p w14:paraId="5BAB8EA3" w14:textId="23A06DC9" w:rsidR="000663F0" w:rsidRPr="00A00994" w:rsidRDefault="000663F0" w:rsidP="00E2650F">
      <w:pPr>
        <w:pStyle w:val="Nadpis11"/>
        <w:rPr>
          <w:b w:val="0"/>
          <w:sz w:val="2"/>
          <w:szCs w:val="2"/>
          <w:lang w:val="en-GB"/>
        </w:rPr>
      </w:pPr>
    </w:p>
    <w:sectPr w:rsidR="000663F0" w:rsidRPr="00A00994" w:rsidSect="00E2650F">
      <w:headerReference w:type="even" r:id="rId10"/>
      <w:headerReference w:type="default" r:id="rId11"/>
      <w:footerReference w:type="even" r:id="rId12"/>
      <w:footerReference w:type="default" r:id="rId13"/>
      <w:pgSz w:w="11906" w:h="16838" w:code="9"/>
      <w:pgMar w:top="1134" w:right="1134" w:bottom="1418" w:left="1134" w:header="680" w:footer="737" w:gutter="0"/>
      <w:pgNumType w:start="35"/>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577CA" w16cid:durableId="26F133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83708" w14:textId="77777777" w:rsidR="00790F10" w:rsidRDefault="00790F10" w:rsidP="00E71A58">
      <w:r>
        <w:separator/>
      </w:r>
    </w:p>
  </w:endnote>
  <w:endnote w:type="continuationSeparator" w:id="0">
    <w:p w14:paraId="130FE129" w14:textId="77777777" w:rsidR="00790F10" w:rsidRDefault="00790F1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57EB7D8B" w:rsidR="00073B58" w:rsidRPr="00932443" w:rsidRDefault="00073B58"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E2650F">
      <w:rPr>
        <w:szCs w:val="16"/>
      </w:rPr>
      <w:t>36</w:t>
    </w:r>
    <w:r w:rsidRPr="00932443">
      <w:rPr>
        <w:szCs w:val="16"/>
      </w:rPr>
      <w:fldChar w:fldCharType="end"/>
    </w:r>
    <w:r w:rsidRPr="00932443">
      <w:rPr>
        <w:szCs w:val="16"/>
      </w:rPr>
      <w:tab/>
    </w:r>
    <w:r w:rsidRPr="00D060D1">
      <w:rPr>
        <w:szCs w:val="16"/>
        <w:lang w:val="en-GB"/>
      </w:rPr>
      <w:t>First half of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043235F8" w:rsidR="00073B58" w:rsidRPr="00932443" w:rsidRDefault="00073B58" w:rsidP="00FA6CB6">
    <w:pPr>
      <w:pStyle w:val="Zpat"/>
      <w:rPr>
        <w:szCs w:val="16"/>
      </w:rPr>
    </w:pPr>
    <w:r w:rsidRPr="00FA6CB6">
      <w:rPr>
        <w:szCs w:val="16"/>
      </w:rPr>
      <w:tab/>
    </w:r>
    <w:r w:rsidRPr="00D060D1">
      <w:rPr>
        <w:szCs w:val="16"/>
        <w:lang w:val="en-GB"/>
      </w:rPr>
      <w:t xml:space="preserve">First </w:t>
    </w:r>
    <w:r>
      <w:rPr>
        <w:szCs w:val="16"/>
        <w:lang w:val="en-GB"/>
      </w:rPr>
      <w:t>h</w:t>
    </w:r>
    <w:r w:rsidRPr="00D060D1">
      <w:rPr>
        <w:szCs w:val="16"/>
        <w:lang w:val="en-GB"/>
      </w:rPr>
      <w:t>alf of 202</w:t>
    </w:r>
    <w:r>
      <w:rPr>
        <w:lang w:eastAsia="cs-CZ"/>
      </w:rPr>
      <w:drawing>
        <wp:anchor distT="0" distB="0" distL="114300" distR="114300" simplePos="0" relativeHeight="251670016" behindDoc="0" locked="0" layoutInCell="1" allowOverlap="1" wp14:anchorId="3E4346EB" wp14:editId="36046FDA">
          <wp:simplePos x="0" y="0"/>
          <wp:positionH relativeFrom="margin">
            <wp:posOffset>0</wp:posOffset>
          </wp:positionH>
          <wp:positionV relativeFrom="paragraph">
            <wp:posOffset>0</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16"/>
      </w:rPr>
      <w:t>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E2650F">
      <w:rPr>
        <w:rStyle w:val="ZpatChar"/>
        <w:szCs w:val="16"/>
      </w:rPr>
      <w:t>35</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86918" w14:textId="77777777" w:rsidR="00790F10" w:rsidRDefault="00790F10" w:rsidP="00A21B4D">
      <w:pPr>
        <w:spacing w:after="0"/>
      </w:pPr>
      <w:r>
        <w:separator/>
      </w:r>
    </w:p>
  </w:footnote>
  <w:footnote w:type="continuationSeparator" w:id="0">
    <w:p w14:paraId="4221E390" w14:textId="77777777" w:rsidR="00790F10" w:rsidRDefault="00790F10" w:rsidP="00E71A58">
      <w:r>
        <w:continuationSeparator/>
      </w:r>
    </w:p>
  </w:footnote>
  <w:footnote w:id="1">
    <w:p w14:paraId="17895CF1" w14:textId="77777777" w:rsidR="00073B58" w:rsidRPr="001C044E" w:rsidRDefault="00073B58" w:rsidP="00073B58">
      <w:pPr>
        <w:pStyle w:val="Textpoznpodarou"/>
        <w:jc w:val="both"/>
        <w:rPr>
          <w:sz w:val="16"/>
          <w:szCs w:val="16"/>
          <w:lang w:val="en-GB"/>
        </w:rPr>
      </w:pPr>
      <w:r>
        <w:rPr>
          <w:rStyle w:val="Znakapoznpodarou"/>
          <w:sz w:val="16"/>
          <w:szCs w:val="16"/>
        </w:rPr>
        <w:footnoteRef/>
      </w:r>
      <w:r>
        <w:rPr>
          <w:sz w:val="16"/>
          <w:szCs w:val="16"/>
        </w:rPr>
        <w:t xml:space="preserve"> </w:t>
      </w:r>
      <w:r w:rsidRPr="0018655E">
        <w:rPr>
          <w:sz w:val="16"/>
          <w:szCs w:val="16"/>
          <w:lang w:val="en-GB"/>
        </w:rPr>
        <w:t>Unless stated otherwise, the source of data in the chapter is the Czech National Bank database ARAD. Values of foreign exchange rates also</w:t>
      </w:r>
      <w:r>
        <w:rPr>
          <w:sz w:val="16"/>
          <w:szCs w:val="16"/>
          <w:lang w:val="en-GB"/>
        </w:rPr>
        <w:t xml:space="preserve"> stem </w:t>
      </w:r>
      <w:r w:rsidRPr="0018655E">
        <w:rPr>
          <w:sz w:val="16"/>
          <w:szCs w:val="16"/>
          <w:lang w:val="en-GB"/>
        </w:rPr>
        <w:t>from the CNB</w:t>
      </w:r>
      <w:r w:rsidRPr="001C044E">
        <w:rPr>
          <w:sz w:val="16"/>
          <w:szCs w:val="16"/>
          <w:lang w:val="en-GB"/>
        </w:rPr>
        <w:t>.</w:t>
      </w:r>
    </w:p>
  </w:footnote>
  <w:footnote w:id="2">
    <w:p w14:paraId="0BBF4293" w14:textId="77777777" w:rsidR="00073B58" w:rsidRPr="001C044E" w:rsidRDefault="00073B58" w:rsidP="00073B58">
      <w:pPr>
        <w:pStyle w:val="Textpoznpodarou"/>
        <w:jc w:val="both"/>
        <w:rPr>
          <w:sz w:val="16"/>
          <w:szCs w:val="16"/>
          <w:lang w:val="en-GB"/>
        </w:rPr>
      </w:pPr>
      <w:r w:rsidRPr="001C044E">
        <w:rPr>
          <w:rStyle w:val="Znakapoznpodarou"/>
          <w:sz w:val="16"/>
          <w:szCs w:val="16"/>
          <w:lang w:val="en-GB"/>
        </w:rPr>
        <w:footnoteRef/>
      </w:r>
      <w:r w:rsidRPr="001C044E">
        <w:rPr>
          <w:sz w:val="16"/>
          <w:szCs w:val="16"/>
          <w:lang w:val="en-GB"/>
        </w:rPr>
        <w:t xml:space="preserve"> </w:t>
      </w:r>
      <w:r>
        <w:rPr>
          <w:sz w:val="16"/>
          <w:szCs w:val="16"/>
          <w:lang w:val="en-GB"/>
        </w:rPr>
        <w:t>Unless stated otherwise, as the change of interest rates is meant the difference between value as of 30</w:t>
      </w:r>
      <w:r w:rsidRPr="006063BB">
        <w:rPr>
          <w:sz w:val="16"/>
          <w:szCs w:val="16"/>
          <w:vertAlign w:val="superscript"/>
          <w:lang w:val="en-GB"/>
        </w:rPr>
        <w:t>th</w:t>
      </w:r>
      <w:r>
        <w:rPr>
          <w:sz w:val="16"/>
          <w:szCs w:val="16"/>
          <w:lang w:val="en-GB"/>
        </w:rPr>
        <w:t xml:space="preserve"> June</w:t>
      </w:r>
      <w:r w:rsidRPr="001C044E">
        <w:rPr>
          <w:sz w:val="16"/>
          <w:szCs w:val="16"/>
          <w:lang w:val="en-GB"/>
        </w:rPr>
        <w:t xml:space="preserve"> 2022 a</w:t>
      </w:r>
      <w:r>
        <w:rPr>
          <w:sz w:val="16"/>
          <w:szCs w:val="16"/>
          <w:lang w:val="en-GB"/>
        </w:rPr>
        <w:t>nd 31</w:t>
      </w:r>
      <w:r w:rsidRPr="006063BB">
        <w:rPr>
          <w:sz w:val="16"/>
          <w:szCs w:val="16"/>
          <w:vertAlign w:val="superscript"/>
          <w:lang w:val="en-GB"/>
        </w:rPr>
        <w:t>st</w:t>
      </w:r>
      <w:r>
        <w:rPr>
          <w:sz w:val="16"/>
          <w:szCs w:val="16"/>
          <w:lang w:val="en-GB"/>
        </w:rPr>
        <w:t xml:space="preserve"> March</w:t>
      </w:r>
      <w:r w:rsidRPr="001C044E">
        <w:rPr>
          <w:sz w:val="16"/>
          <w:szCs w:val="16"/>
          <w:lang w:val="en-GB"/>
        </w:rPr>
        <w:t xml:space="preserve"> 2022.</w:t>
      </w:r>
    </w:p>
  </w:footnote>
  <w:footnote w:id="3">
    <w:p w14:paraId="4369BDA5" w14:textId="77777777" w:rsidR="00073B58" w:rsidRPr="001C044E" w:rsidRDefault="00073B58" w:rsidP="00073B58">
      <w:pPr>
        <w:pStyle w:val="Textpoznpodarou"/>
        <w:jc w:val="both"/>
        <w:rPr>
          <w:sz w:val="16"/>
          <w:szCs w:val="16"/>
          <w:lang w:val="en-GB"/>
        </w:rPr>
      </w:pPr>
      <w:r w:rsidRPr="001C044E">
        <w:rPr>
          <w:rStyle w:val="Znakapoznpodarou"/>
          <w:sz w:val="16"/>
          <w:szCs w:val="16"/>
          <w:lang w:val="en-GB"/>
        </w:rPr>
        <w:footnoteRef/>
      </w:r>
      <w:r w:rsidRPr="001C044E">
        <w:rPr>
          <w:sz w:val="16"/>
          <w:szCs w:val="16"/>
          <w:lang w:val="en-GB"/>
        </w:rPr>
        <w:t xml:space="preserve"> </w:t>
      </w:r>
      <w:r>
        <w:rPr>
          <w:sz w:val="16"/>
          <w:szCs w:val="16"/>
          <w:lang w:val="en-GB"/>
        </w:rPr>
        <w:t xml:space="preserve">Population including self-employed persons. </w:t>
      </w:r>
    </w:p>
  </w:footnote>
  <w:footnote w:id="4">
    <w:p w14:paraId="4A9D3E47" w14:textId="77777777" w:rsidR="00073B58" w:rsidRPr="00284DA5" w:rsidRDefault="00073B58" w:rsidP="00073B58">
      <w:pPr>
        <w:pStyle w:val="Textpoznpodarou"/>
        <w:jc w:val="both"/>
        <w:rPr>
          <w:sz w:val="16"/>
          <w:szCs w:val="16"/>
        </w:rPr>
      </w:pPr>
      <w:r w:rsidRPr="00284DA5">
        <w:rPr>
          <w:rStyle w:val="Znakapoznpodarou"/>
          <w:sz w:val="16"/>
          <w:szCs w:val="16"/>
        </w:rPr>
        <w:footnoteRef/>
      </w:r>
      <w:r w:rsidRPr="00284DA5">
        <w:rPr>
          <w:sz w:val="16"/>
          <w:szCs w:val="16"/>
        </w:rPr>
        <w:t xml:space="preserve"> </w:t>
      </w:r>
      <w:r w:rsidRPr="00437701">
        <w:rPr>
          <w:sz w:val="16"/>
          <w:szCs w:val="16"/>
          <w:lang w:val="en-GB"/>
        </w:rPr>
        <w:t>New contracts also include the refinanced credit and other agreements (mainly</w:t>
      </w:r>
      <w:r>
        <w:rPr>
          <w:sz w:val="16"/>
          <w:szCs w:val="16"/>
          <w:lang w:val="en-GB"/>
        </w:rPr>
        <w:t xml:space="preserve"> the suspension of payments in the last two years</w:t>
      </w:r>
      <w:r w:rsidRPr="0082371F">
        <w:rPr>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5496D026" w:rsidR="00073B58" w:rsidRPr="00D060D1" w:rsidRDefault="00073B58" w:rsidP="00937AE2">
    <w:pPr>
      <w:pStyle w:val="Zhlav"/>
      <w:rPr>
        <w:lang w:val="en-GB"/>
      </w:rPr>
    </w:pPr>
    <w:r w:rsidRPr="00D060D1">
      <w:rPr>
        <w:lang w:val="en-GB"/>
      </w:rPr>
      <w:t>The Czech Economy Development</w:t>
    </w:r>
  </w:p>
  <w:p w14:paraId="3E881AB3" w14:textId="77777777" w:rsidR="00073B58" w:rsidRPr="006F5416" w:rsidRDefault="00073B58"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0E20256D" w:rsidR="00073B58" w:rsidRPr="00D060D1" w:rsidRDefault="00073B58" w:rsidP="00937AE2">
    <w:pPr>
      <w:pStyle w:val="Zhlav"/>
      <w:rPr>
        <w:lang w:val="en-GB"/>
      </w:rPr>
    </w:pPr>
    <w:r w:rsidRPr="00D060D1">
      <w:rPr>
        <w:lang w:val="en-GB"/>
      </w:rPr>
      <w:t>The Czech Economy Development</w:t>
    </w:r>
  </w:p>
  <w:p w14:paraId="57266714" w14:textId="77777777" w:rsidR="00073B58" w:rsidRPr="006F5416" w:rsidRDefault="00073B58"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2A2B"/>
    <w:rsid w:val="0000370A"/>
    <w:rsid w:val="00003849"/>
    <w:rsid w:val="00003D02"/>
    <w:rsid w:val="00003F5C"/>
    <w:rsid w:val="00004D5A"/>
    <w:rsid w:val="00005219"/>
    <w:rsid w:val="000056D5"/>
    <w:rsid w:val="00005D9E"/>
    <w:rsid w:val="000063D5"/>
    <w:rsid w:val="00006625"/>
    <w:rsid w:val="00006ABD"/>
    <w:rsid w:val="00006B67"/>
    <w:rsid w:val="00006C0B"/>
    <w:rsid w:val="000073A0"/>
    <w:rsid w:val="0000767A"/>
    <w:rsid w:val="00007ABE"/>
    <w:rsid w:val="00010256"/>
    <w:rsid w:val="0001068D"/>
    <w:rsid w:val="00010702"/>
    <w:rsid w:val="00010A2C"/>
    <w:rsid w:val="0001128E"/>
    <w:rsid w:val="00011912"/>
    <w:rsid w:val="0001193B"/>
    <w:rsid w:val="00011E90"/>
    <w:rsid w:val="000129B7"/>
    <w:rsid w:val="0001387D"/>
    <w:rsid w:val="00014CE1"/>
    <w:rsid w:val="00014ED0"/>
    <w:rsid w:val="0001641E"/>
    <w:rsid w:val="00016420"/>
    <w:rsid w:val="00016BDB"/>
    <w:rsid w:val="00017B01"/>
    <w:rsid w:val="000200BE"/>
    <w:rsid w:val="000204E5"/>
    <w:rsid w:val="000205D1"/>
    <w:rsid w:val="00020F22"/>
    <w:rsid w:val="0002195D"/>
    <w:rsid w:val="00021F9B"/>
    <w:rsid w:val="000228AE"/>
    <w:rsid w:val="000230CC"/>
    <w:rsid w:val="000233D1"/>
    <w:rsid w:val="000234D6"/>
    <w:rsid w:val="00023D29"/>
    <w:rsid w:val="00024280"/>
    <w:rsid w:val="00024348"/>
    <w:rsid w:val="000243D4"/>
    <w:rsid w:val="00024449"/>
    <w:rsid w:val="00026109"/>
    <w:rsid w:val="0002622B"/>
    <w:rsid w:val="00026389"/>
    <w:rsid w:val="0002669F"/>
    <w:rsid w:val="000279E5"/>
    <w:rsid w:val="000305E0"/>
    <w:rsid w:val="00031AE0"/>
    <w:rsid w:val="00031BB2"/>
    <w:rsid w:val="000322EF"/>
    <w:rsid w:val="00032AE0"/>
    <w:rsid w:val="00033FCD"/>
    <w:rsid w:val="00034776"/>
    <w:rsid w:val="000348AF"/>
    <w:rsid w:val="00034B70"/>
    <w:rsid w:val="00034DF7"/>
    <w:rsid w:val="00034E68"/>
    <w:rsid w:val="000350C8"/>
    <w:rsid w:val="00036195"/>
    <w:rsid w:val="000374B2"/>
    <w:rsid w:val="000376C0"/>
    <w:rsid w:val="000403A7"/>
    <w:rsid w:val="00040632"/>
    <w:rsid w:val="00040A64"/>
    <w:rsid w:val="00041AFC"/>
    <w:rsid w:val="00041CEC"/>
    <w:rsid w:val="00041D02"/>
    <w:rsid w:val="00042596"/>
    <w:rsid w:val="00042A4A"/>
    <w:rsid w:val="00043A33"/>
    <w:rsid w:val="00044183"/>
    <w:rsid w:val="0004431D"/>
    <w:rsid w:val="00044AAC"/>
    <w:rsid w:val="00045426"/>
    <w:rsid w:val="0004694F"/>
    <w:rsid w:val="00046F2F"/>
    <w:rsid w:val="00047AD4"/>
    <w:rsid w:val="00047D54"/>
    <w:rsid w:val="00047EC5"/>
    <w:rsid w:val="0005054A"/>
    <w:rsid w:val="00050A87"/>
    <w:rsid w:val="00051506"/>
    <w:rsid w:val="00051A2E"/>
    <w:rsid w:val="000522E4"/>
    <w:rsid w:val="0005312A"/>
    <w:rsid w:val="00053713"/>
    <w:rsid w:val="0005434E"/>
    <w:rsid w:val="00054C5F"/>
    <w:rsid w:val="00055CB6"/>
    <w:rsid w:val="0005621E"/>
    <w:rsid w:val="00056628"/>
    <w:rsid w:val="000572DD"/>
    <w:rsid w:val="00057B1E"/>
    <w:rsid w:val="0006033F"/>
    <w:rsid w:val="000603ED"/>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65"/>
    <w:rsid w:val="000663F0"/>
    <w:rsid w:val="00066558"/>
    <w:rsid w:val="000671DB"/>
    <w:rsid w:val="00067982"/>
    <w:rsid w:val="0007053D"/>
    <w:rsid w:val="00070A87"/>
    <w:rsid w:val="000712B3"/>
    <w:rsid w:val="00071A7C"/>
    <w:rsid w:val="00071E38"/>
    <w:rsid w:val="00071E60"/>
    <w:rsid w:val="00072FF5"/>
    <w:rsid w:val="00073A5A"/>
    <w:rsid w:val="00073B58"/>
    <w:rsid w:val="000746AF"/>
    <w:rsid w:val="0007474E"/>
    <w:rsid w:val="00074988"/>
    <w:rsid w:val="0007512B"/>
    <w:rsid w:val="00075551"/>
    <w:rsid w:val="000767F5"/>
    <w:rsid w:val="00076CCB"/>
    <w:rsid w:val="00076D90"/>
    <w:rsid w:val="00077FF0"/>
    <w:rsid w:val="00081A55"/>
    <w:rsid w:val="0008263E"/>
    <w:rsid w:val="00082C19"/>
    <w:rsid w:val="00082F89"/>
    <w:rsid w:val="00083457"/>
    <w:rsid w:val="000837CD"/>
    <w:rsid w:val="00083B7F"/>
    <w:rsid w:val="00084BFF"/>
    <w:rsid w:val="00085395"/>
    <w:rsid w:val="000863DC"/>
    <w:rsid w:val="00086896"/>
    <w:rsid w:val="00086AC1"/>
    <w:rsid w:val="00086D19"/>
    <w:rsid w:val="0008729C"/>
    <w:rsid w:val="00087634"/>
    <w:rsid w:val="00087F2B"/>
    <w:rsid w:val="00090694"/>
    <w:rsid w:val="00090EE2"/>
    <w:rsid w:val="00090FC6"/>
    <w:rsid w:val="000913B1"/>
    <w:rsid w:val="0009190F"/>
    <w:rsid w:val="0009290F"/>
    <w:rsid w:val="00093241"/>
    <w:rsid w:val="00093868"/>
    <w:rsid w:val="000940BC"/>
    <w:rsid w:val="00094A84"/>
    <w:rsid w:val="00095025"/>
    <w:rsid w:val="00095135"/>
    <w:rsid w:val="0009626E"/>
    <w:rsid w:val="0009644D"/>
    <w:rsid w:val="00097191"/>
    <w:rsid w:val="000974D1"/>
    <w:rsid w:val="00097784"/>
    <w:rsid w:val="0009799E"/>
    <w:rsid w:val="00097E48"/>
    <w:rsid w:val="000A07CB"/>
    <w:rsid w:val="000A0BC0"/>
    <w:rsid w:val="000A1183"/>
    <w:rsid w:val="000A12ED"/>
    <w:rsid w:val="000A17BB"/>
    <w:rsid w:val="000A1D49"/>
    <w:rsid w:val="000A212B"/>
    <w:rsid w:val="000A242D"/>
    <w:rsid w:val="000A256D"/>
    <w:rsid w:val="000A2643"/>
    <w:rsid w:val="000A2E5F"/>
    <w:rsid w:val="000A3A2C"/>
    <w:rsid w:val="000A3D9E"/>
    <w:rsid w:val="000A4A54"/>
    <w:rsid w:val="000A4ED9"/>
    <w:rsid w:val="000A50C7"/>
    <w:rsid w:val="000A5DB7"/>
    <w:rsid w:val="000A6597"/>
    <w:rsid w:val="000A6753"/>
    <w:rsid w:val="000A6D94"/>
    <w:rsid w:val="000A7377"/>
    <w:rsid w:val="000A74A4"/>
    <w:rsid w:val="000A775A"/>
    <w:rsid w:val="000A7D63"/>
    <w:rsid w:val="000A7FF4"/>
    <w:rsid w:val="000B03CC"/>
    <w:rsid w:val="000B0842"/>
    <w:rsid w:val="000B2B79"/>
    <w:rsid w:val="000B4212"/>
    <w:rsid w:val="000B54B5"/>
    <w:rsid w:val="000B67B7"/>
    <w:rsid w:val="000B6A0A"/>
    <w:rsid w:val="000C0127"/>
    <w:rsid w:val="000C0CA6"/>
    <w:rsid w:val="000C0EA8"/>
    <w:rsid w:val="000C0EB2"/>
    <w:rsid w:val="000C13A2"/>
    <w:rsid w:val="000C21E7"/>
    <w:rsid w:val="000C23EC"/>
    <w:rsid w:val="000C26A2"/>
    <w:rsid w:val="000C290E"/>
    <w:rsid w:val="000C30C3"/>
    <w:rsid w:val="000C3408"/>
    <w:rsid w:val="000C35AB"/>
    <w:rsid w:val="000C3F7B"/>
    <w:rsid w:val="000C45A5"/>
    <w:rsid w:val="000C4769"/>
    <w:rsid w:val="000C4D56"/>
    <w:rsid w:val="000C5DFA"/>
    <w:rsid w:val="000C62C0"/>
    <w:rsid w:val="000C6306"/>
    <w:rsid w:val="000C6AFD"/>
    <w:rsid w:val="000C6C90"/>
    <w:rsid w:val="000C72B7"/>
    <w:rsid w:val="000C7A79"/>
    <w:rsid w:val="000D0A26"/>
    <w:rsid w:val="000D13CB"/>
    <w:rsid w:val="000D1ECA"/>
    <w:rsid w:val="000D2196"/>
    <w:rsid w:val="000D246F"/>
    <w:rsid w:val="000D27C9"/>
    <w:rsid w:val="000D2C2E"/>
    <w:rsid w:val="000D2F9F"/>
    <w:rsid w:val="000D3058"/>
    <w:rsid w:val="000D310A"/>
    <w:rsid w:val="000D3EF4"/>
    <w:rsid w:val="000D4761"/>
    <w:rsid w:val="000D4DC0"/>
    <w:rsid w:val="000D55BA"/>
    <w:rsid w:val="000D5637"/>
    <w:rsid w:val="000D5A03"/>
    <w:rsid w:val="000D5BED"/>
    <w:rsid w:val="000D5ED3"/>
    <w:rsid w:val="000D616C"/>
    <w:rsid w:val="000D6AD9"/>
    <w:rsid w:val="000D6F4E"/>
    <w:rsid w:val="000D6FDA"/>
    <w:rsid w:val="000D73BB"/>
    <w:rsid w:val="000E0820"/>
    <w:rsid w:val="000E0E96"/>
    <w:rsid w:val="000E298B"/>
    <w:rsid w:val="000E2C7D"/>
    <w:rsid w:val="000E3E56"/>
    <w:rsid w:val="000E440D"/>
    <w:rsid w:val="000E4AC5"/>
    <w:rsid w:val="000E6253"/>
    <w:rsid w:val="000E6A04"/>
    <w:rsid w:val="000E6AC4"/>
    <w:rsid w:val="000E6E4D"/>
    <w:rsid w:val="000E6FBD"/>
    <w:rsid w:val="000E6FCB"/>
    <w:rsid w:val="000F090B"/>
    <w:rsid w:val="000F15F7"/>
    <w:rsid w:val="000F1AA2"/>
    <w:rsid w:val="000F378E"/>
    <w:rsid w:val="000F3F3B"/>
    <w:rsid w:val="000F4721"/>
    <w:rsid w:val="000F47E8"/>
    <w:rsid w:val="000F5C59"/>
    <w:rsid w:val="000F629E"/>
    <w:rsid w:val="000F70E4"/>
    <w:rsid w:val="000F76EA"/>
    <w:rsid w:val="001002DE"/>
    <w:rsid w:val="001006AB"/>
    <w:rsid w:val="00100A8B"/>
    <w:rsid w:val="00100F5C"/>
    <w:rsid w:val="001014D9"/>
    <w:rsid w:val="00101B15"/>
    <w:rsid w:val="00101CDA"/>
    <w:rsid w:val="00102037"/>
    <w:rsid w:val="00103DCB"/>
    <w:rsid w:val="001041F2"/>
    <w:rsid w:val="00104C4C"/>
    <w:rsid w:val="00105015"/>
    <w:rsid w:val="001055D2"/>
    <w:rsid w:val="001057C2"/>
    <w:rsid w:val="00105B09"/>
    <w:rsid w:val="0010707E"/>
    <w:rsid w:val="00107124"/>
    <w:rsid w:val="0011038E"/>
    <w:rsid w:val="00111573"/>
    <w:rsid w:val="00111E98"/>
    <w:rsid w:val="001125EF"/>
    <w:rsid w:val="00112CAB"/>
    <w:rsid w:val="0011440C"/>
    <w:rsid w:val="00114C33"/>
    <w:rsid w:val="00116D3F"/>
    <w:rsid w:val="00117474"/>
    <w:rsid w:val="00117623"/>
    <w:rsid w:val="00117642"/>
    <w:rsid w:val="00117FEA"/>
    <w:rsid w:val="001200CF"/>
    <w:rsid w:val="001208E3"/>
    <w:rsid w:val="00120F97"/>
    <w:rsid w:val="00121609"/>
    <w:rsid w:val="0012192F"/>
    <w:rsid w:val="00122994"/>
    <w:rsid w:val="00123204"/>
    <w:rsid w:val="00124B46"/>
    <w:rsid w:val="001257BE"/>
    <w:rsid w:val="001257E0"/>
    <w:rsid w:val="00125D69"/>
    <w:rsid w:val="00126538"/>
    <w:rsid w:val="00126A48"/>
    <w:rsid w:val="0012799C"/>
    <w:rsid w:val="00127BC2"/>
    <w:rsid w:val="00127E15"/>
    <w:rsid w:val="001308F1"/>
    <w:rsid w:val="00130ADC"/>
    <w:rsid w:val="00130D9F"/>
    <w:rsid w:val="00132C4D"/>
    <w:rsid w:val="00133FC1"/>
    <w:rsid w:val="00134659"/>
    <w:rsid w:val="00135111"/>
    <w:rsid w:val="00136A6F"/>
    <w:rsid w:val="00136C1A"/>
    <w:rsid w:val="00137812"/>
    <w:rsid w:val="001405FA"/>
    <w:rsid w:val="00140D1A"/>
    <w:rsid w:val="00141184"/>
    <w:rsid w:val="00141315"/>
    <w:rsid w:val="00141AA0"/>
    <w:rsid w:val="001425C3"/>
    <w:rsid w:val="0014262D"/>
    <w:rsid w:val="00142B29"/>
    <w:rsid w:val="00144108"/>
    <w:rsid w:val="00144588"/>
    <w:rsid w:val="001447DD"/>
    <w:rsid w:val="00145358"/>
    <w:rsid w:val="001455DA"/>
    <w:rsid w:val="001459BC"/>
    <w:rsid w:val="00145D5C"/>
    <w:rsid w:val="00146310"/>
    <w:rsid w:val="001502B9"/>
    <w:rsid w:val="00150ECA"/>
    <w:rsid w:val="00150FA4"/>
    <w:rsid w:val="00151707"/>
    <w:rsid w:val="00152C86"/>
    <w:rsid w:val="00152F4F"/>
    <w:rsid w:val="00153264"/>
    <w:rsid w:val="0015329F"/>
    <w:rsid w:val="00153378"/>
    <w:rsid w:val="00153D54"/>
    <w:rsid w:val="001544A1"/>
    <w:rsid w:val="001553B8"/>
    <w:rsid w:val="001554C2"/>
    <w:rsid w:val="00156D04"/>
    <w:rsid w:val="001571C0"/>
    <w:rsid w:val="0015753D"/>
    <w:rsid w:val="00157984"/>
    <w:rsid w:val="00157CC9"/>
    <w:rsid w:val="00160C21"/>
    <w:rsid w:val="001612F4"/>
    <w:rsid w:val="00161553"/>
    <w:rsid w:val="0016206D"/>
    <w:rsid w:val="0016216F"/>
    <w:rsid w:val="0016256B"/>
    <w:rsid w:val="00162C26"/>
    <w:rsid w:val="00162F81"/>
    <w:rsid w:val="00163793"/>
    <w:rsid w:val="00164CA1"/>
    <w:rsid w:val="00165313"/>
    <w:rsid w:val="001665AB"/>
    <w:rsid w:val="00167485"/>
    <w:rsid w:val="001679F5"/>
    <w:rsid w:val="00167B92"/>
    <w:rsid w:val="00167CB9"/>
    <w:rsid w:val="00167DD8"/>
    <w:rsid w:val="001705AD"/>
    <w:rsid w:val="001706D6"/>
    <w:rsid w:val="001714F2"/>
    <w:rsid w:val="00171BA9"/>
    <w:rsid w:val="00171E8E"/>
    <w:rsid w:val="00171FEA"/>
    <w:rsid w:val="00173622"/>
    <w:rsid w:val="001738A5"/>
    <w:rsid w:val="00173CB7"/>
    <w:rsid w:val="001742E7"/>
    <w:rsid w:val="00174501"/>
    <w:rsid w:val="00174965"/>
    <w:rsid w:val="00175B9F"/>
    <w:rsid w:val="00176217"/>
    <w:rsid w:val="001762F4"/>
    <w:rsid w:val="001777BA"/>
    <w:rsid w:val="00181029"/>
    <w:rsid w:val="00181BBC"/>
    <w:rsid w:val="00181E9D"/>
    <w:rsid w:val="00182D3C"/>
    <w:rsid w:val="0018385F"/>
    <w:rsid w:val="00183931"/>
    <w:rsid w:val="00183BCF"/>
    <w:rsid w:val="00184017"/>
    <w:rsid w:val="0018477D"/>
    <w:rsid w:val="001847BB"/>
    <w:rsid w:val="00184B08"/>
    <w:rsid w:val="00185010"/>
    <w:rsid w:val="001854F2"/>
    <w:rsid w:val="00185C22"/>
    <w:rsid w:val="00186BA9"/>
    <w:rsid w:val="00187D50"/>
    <w:rsid w:val="00190796"/>
    <w:rsid w:val="00190B4D"/>
    <w:rsid w:val="00191298"/>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DBF"/>
    <w:rsid w:val="001A1F68"/>
    <w:rsid w:val="001A21FA"/>
    <w:rsid w:val="001A4D7C"/>
    <w:rsid w:val="001A4DC3"/>
    <w:rsid w:val="001A4EF0"/>
    <w:rsid w:val="001A552F"/>
    <w:rsid w:val="001A6015"/>
    <w:rsid w:val="001A70B1"/>
    <w:rsid w:val="001A7672"/>
    <w:rsid w:val="001B01CB"/>
    <w:rsid w:val="001B0738"/>
    <w:rsid w:val="001B1235"/>
    <w:rsid w:val="001B158D"/>
    <w:rsid w:val="001B1BBB"/>
    <w:rsid w:val="001B2CA9"/>
    <w:rsid w:val="001B3110"/>
    <w:rsid w:val="001B3E38"/>
    <w:rsid w:val="001B40F5"/>
    <w:rsid w:val="001B4729"/>
    <w:rsid w:val="001B4F0E"/>
    <w:rsid w:val="001B5F40"/>
    <w:rsid w:val="001B6310"/>
    <w:rsid w:val="001B6C09"/>
    <w:rsid w:val="001B6E12"/>
    <w:rsid w:val="001C044E"/>
    <w:rsid w:val="001C05CD"/>
    <w:rsid w:val="001C082B"/>
    <w:rsid w:val="001C0F17"/>
    <w:rsid w:val="001C11A6"/>
    <w:rsid w:val="001C1B24"/>
    <w:rsid w:val="001C1B66"/>
    <w:rsid w:val="001C1BB5"/>
    <w:rsid w:val="001C2732"/>
    <w:rsid w:val="001C31A2"/>
    <w:rsid w:val="001C351D"/>
    <w:rsid w:val="001C3794"/>
    <w:rsid w:val="001C4B8F"/>
    <w:rsid w:val="001C4BB8"/>
    <w:rsid w:val="001C4FD0"/>
    <w:rsid w:val="001C5081"/>
    <w:rsid w:val="001C544D"/>
    <w:rsid w:val="001C5A8A"/>
    <w:rsid w:val="001C5C63"/>
    <w:rsid w:val="001C5E46"/>
    <w:rsid w:val="001C69CE"/>
    <w:rsid w:val="001C6B3B"/>
    <w:rsid w:val="001C7051"/>
    <w:rsid w:val="001C7A26"/>
    <w:rsid w:val="001C7E3F"/>
    <w:rsid w:val="001D0EF1"/>
    <w:rsid w:val="001D1A44"/>
    <w:rsid w:val="001D2029"/>
    <w:rsid w:val="001D22C2"/>
    <w:rsid w:val="001D2C99"/>
    <w:rsid w:val="001D3852"/>
    <w:rsid w:val="001D3B75"/>
    <w:rsid w:val="001D452E"/>
    <w:rsid w:val="001D4E19"/>
    <w:rsid w:val="001D54C1"/>
    <w:rsid w:val="001D556E"/>
    <w:rsid w:val="001D5DF2"/>
    <w:rsid w:val="001D6175"/>
    <w:rsid w:val="001D68B2"/>
    <w:rsid w:val="001D7EFD"/>
    <w:rsid w:val="001D7F60"/>
    <w:rsid w:val="001E085B"/>
    <w:rsid w:val="001E111C"/>
    <w:rsid w:val="001E149B"/>
    <w:rsid w:val="001E15CB"/>
    <w:rsid w:val="001E3227"/>
    <w:rsid w:val="001E3306"/>
    <w:rsid w:val="001E4452"/>
    <w:rsid w:val="001E504C"/>
    <w:rsid w:val="001E56AC"/>
    <w:rsid w:val="001E5A17"/>
    <w:rsid w:val="001E74C5"/>
    <w:rsid w:val="001F1236"/>
    <w:rsid w:val="001F1CAE"/>
    <w:rsid w:val="001F2F90"/>
    <w:rsid w:val="001F406B"/>
    <w:rsid w:val="001F4597"/>
    <w:rsid w:val="001F4826"/>
    <w:rsid w:val="001F4933"/>
    <w:rsid w:val="001F59C8"/>
    <w:rsid w:val="001F6CD3"/>
    <w:rsid w:val="001F75DA"/>
    <w:rsid w:val="001F7931"/>
    <w:rsid w:val="001F7CE0"/>
    <w:rsid w:val="00200085"/>
    <w:rsid w:val="00201633"/>
    <w:rsid w:val="00203332"/>
    <w:rsid w:val="00203CD5"/>
    <w:rsid w:val="00203D8F"/>
    <w:rsid w:val="00203DA4"/>
    <w:rsid w:val="00204EA6"/>
    <w:rsid w:val="00205186"/>
    <w:rsid w:val="0020549F"/>
    <w:rsid w:val="00206516"/>
    <w:rsid w:val="00206CF4"/>
    <w:rsid w:val="002070CF"/>
    <w:rsid w:val="002071D5"/>
    <w:rsid w:val="00210941"/>
    <w:rsid w:val="002111E5"/>
    <w:rsid w:val="0021149E"/>
    <w:rsid w:val="002118B9"/>
    <w:rsid w:val="00211E4A"/>
    <w:rsid w:val="00213691"/>
    <w:rsid w:val="002142C0"/>
    <w:rsid w:val="002151B4"/>
    <w:rsid w:val="00217BED"/>
    <w:rsid w:val="00217C5B"/>
    <w:rsid w:val="002208C9"/>
    <w:rsid w:val="00220A43"/>
    <w:rsid w:val="0022139E"/>
    <w:rsid w:val="00222729"/>
    <w:rsid w:val="0022287B"/>
    <w:rsid w:val="002228DB"/>
    <w:rsid w:val="00223185"/>
    <w:rsid w:val="00223264"/>
    <w:rsid w:val="002233D6"/>
    <w:rsid w:val="002235EA"/>
    <w:rsid w:val="002243FB"/>
    <w:rsid w:val="0022441D"/>
    <w:rsid w:val="00224574"/>
    <w:rsid w:val="00224E3F"/>
    <w:rsid w:val="00225000"/>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8C7"/>
    <w:rsid w:val="00244A15"/>
    <w:rsid w:val="002452D9"/>
    <w:rsid w:val="00246649"/>
    <w:rsid w:val="00247319"/>
    <w:rsid w:val="002474FE"/>
    <w:rsid w:val="0024799E"/>
    <w:rsid w:val="00247E60"/>
    <w:rsid w:val="00251496"/>
    <w:rsid w:val="00251B08"/>
    <w:rsid w:val="00251C53"/>
    <w:rsid w:val="00251F7A"/>
    <w:rsid w:val="00252AB9"/>
    <w:rsid w:val="002532B1"/>
    <w:rsid w:val="00253C0F"/>
    <w:rsid w:val="00253ED9"/>
    <w:rsid w:val="002558C1"/>
    <w:rsid w:val="00256207"/>
    <w:rsid w:val="002575F3"/>
    <w:rsid w:val="002603E1"/>
    <w:rsid w:val="002605FE"/>
    <w:rsid w:val="0026120E"/>
    <w:rsid w:val="002617EE"/>
    <w:rsid w:val="0026183A"/>
    <w:rsid w:val="00261C26"/>
    <w:rsid w:val="00262582"/>
    <w:rsid w:val="002626B4"/>
    <w:rsid w:val="0026288F"/>
    <w:rsid w:val="0026291D"/>
    <w:rsid w:val="00262CF3"/>
    <w:rsid w:val="002631D6"/>
    <w:rsid w:val="00264309"/>
    <w:rsid w:val="00264992"/>
    <w:rsid w:val="00264B4F"/>
    <w:rsid w:val="00264B85"/>
    <w:rsid w:val="0026564B"/>
    <w:rsid w:val="0026588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63A2"/>
    <w:rsid w:val="00276B33"/>
    <w:rsid w:val="00277669"/>
    <w:rsid w:val="002803A5"/>
    <w:rsid w:val="00280ACB"/>
    <w:rsid w:val="002812E3"/>
    <w:rsid w:val="00282881"/>
    <w:rsid w:val="00282AD4"/>
    <w:rsid w:val="0028341F"/>
    <w:rsid w:val="002837AE"/>
    <w:rsid w:val="00283C13"/>
    <w:rsid w:val="00283F7B"/>
    <w:rsid w:val="0028431A"/>
    <w:rsid w:val="002853FA"/>
    <w:rsid w:val="00285412"/>
    <w:rsid w:val="002857D3"/>
    <w:rsid w:val="00286220"/>
    <w:rsid w:val="0029110B"/>
    <w:rsid w:val="00291640"/>
    <w:rsid w:val="00291EBD"/>
    <w:rsid w:val="0029237E"/>
    <w:rsid w:val="00292997"/>
    <w:rsid w:val="00293043"/>
    <w:rsid w:val="00293D24"/>
    <w:rsid w:val="00293FC1"/>
    <w:rsid w:val="0029461A"/>
    <w:rsid w:val="00294F74"/>
    <w:rsid w:val="0029509B"/>
    <w:rsid w:val="0029588F"/>
    <w:rsid w:val="00295E96"/>
    <w:rsid w:val="00297256"/>
    <w:rsid w:val="00297A5C"/>
    <w:rsid w:val="00297D51"/>
    <w:rsid w:val="002A0122"/>
    <w:rsid w:val="002A016B"/>
    <w:rsid w:val="002A0B40"/>
    <w:rsid w:val="002A103E"/>
    <w:rsid w:val="002A16D4"/>
    <w:rsid w:val="002A1E4F"/>
    <w:rsid w:val="002A230C"/>
    <w:rsid w:val="002A23F9"/>
    <w:rsid w:val="002A2AF7"/>
    <w:rsid w:val="002A3209"/>
    <w:rsid w:val="002A35F7"/>
    <w:rsid w:val="002A38F3"/>
    <w:rsid w:val="002A3EA2"/>
    <w:rsid w:val="002A4701"/>
    <w:rsid w:val="002A4F23"/>
    <w:rsid w:val="002A51AC"/>
    <w:rsid w:val="002A532A"/>
    <w:rsid w:val="002A5846"/>
    <w:rsid w:val="002A5D3A"/>
    <w:rsid w:val="002A5D97"/>
    <w:rsid w:val="002A603E"/>
    <w:rsid w:val="002A63B9"/>
    <w:rsid w:val="002A6FCC"/>
    <w:rsid w:val="002A7089"/>
    <w:rsid w:val="002B0692"/>
    <w:rsid w:val="002B0763"/>
    <w:rsid w:val="002B1619"/>
    <w:rsid w:val="002B3DD7"/>
    <w:rsid w:val="002B3EF4"/>
    <w:rsid w:val="002B4845"/>
    <w:rsid w:val="002B5567"/>
    <w:rsid w:val="002B5812"/>
    <w:rsid w:val="002B6545"/>
    <w:rsid w:val="002B72AA"/>
    <w:rsid w:val="002B764D"/>
    <w:rsid w:val="002B7E7F"/>
    <w:rsid w:val="002C1110"/>
    <w:rsid w:val="002C1BC2"/>
    <w:rsid w:val="002C1F09"/>
    <w:rsid w:val="002C22A4"/>
    <w:rsid w:val="002C260B"/>
    <w:rsid w:val="002C27A6"/>
    <w:rsid w:val="002C288C"/>
    <w:rsid w:val="002C2EB0"/>
    <w:rsid w:val="002C31E4"/>
    <w:rsid w:val="002C398D"/>
    <w:rsid w:val="002C40D2"/>
    <w:rsid w:val="002C43BD"/>
    <w:rsid w:val="002C5245"/>
    <w:rsid w:val="002C564A"/>
    <w:rsid w:val="002C59D8"/>
    <w:rsid w:val="002C5FEB"/>
    <w:rsid w:val="002C6494"/>
    <w:rsid w:val="002D05CB"/>
    <w:rsid w:val="002D0E59"/>
    <w:rsid w:val="002D2127"/>
    <w:rsid w:val="002D2C4F"/>
    <w:rsid w:val="002D3EBB"/>
    <w:rsid w:val="002D455C"/>
    <w:rsid w:val="002D6066"/>
    <w:rsid w:val="002D6A4C"/>
    <w:rsid w:val="002E01AD"/>
    <w:rsid w:val="002E02A1"/>
    <w:rsid w:val="002E196A"/>
    <w:rsid w:val="002E1F8A"/>
    <w:rsid w:val="002E20C7"/>
    <w:rsid w:val="002E20CD"/>
    <w:rsid w:val="002E222E"/>
    <w:rsid w:val="002E28D8"/>
    <w:rsid w:val="002E3638"/>
    <w:rsid w:val="002E37D1"/>
    <w:rsid w:val="002E3BEE"/>
    <w:rsid w:val="002E4DCE"/>
    <w:rsid w:val="002E4E4C"/>
    <w:rsid w:val="002E4EA7"/>
    <w:rsid w:val="002E5846"/>
    <w:rsid w:val="002E759E"/>
    <w:rsid w:val="002E792B"/>
    <w:rsid w:val="002E7AEB"/>
    <w:rsid w:val="002E7B79"/>
    <w:rsid w:val="002F0C47"/>
    <w:rsid w:val="002F1B09"/>
    <w:rsid w:val="002F1D56"/>
    <w:rsid w:val="002F1DCB"/>
    <w:rsid w:val="002F1DE4"/>
    <w:rsid w:val="002F327C"/>
    <w:rsid w:val="002F333D"/>
    <w:rsid w:val="002F351A"/>
    <w:rsid w:val="002F357F"/>
    <w:rsid w:val="002F46D6"/>
    <w:rsid w:val="002F498A"/>
    <w:rsid w:val="002F4AD8"/>
    <w:rsid w:val="002F5285"/>
    <w:rsid w:val="002F5820"/>
    <w:rsid w:val="002F58CC"/>
    <w:rsid w:val="002F5F60"/>
    <w:rsid w:val="002F616A"/>
    <w:rsid w:val="002F64BB"/>
    <w:rsid w:val="002F7D9B"/>
    <w:rsid w:val="00300C31"/>
    <w:rsid w:val="003017EC"/>
    <w:rsid w:val="00302165"/>
    <w:rsid w:val="00303BB4"/>
    <w:rsid w:val="00304194"/>
    <w:rsid w:val="00304771"/>
    <w:rsid w:val="00304F9C"/>
    <w:rsid w:val="0030521E"/>
    <w:rsid w:val="003052D4"/>
    <w:rsid w:val="00305863"/>
    <w:rsid w:val="00305FE5"/>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7C6"/>
    <w:rsid w:val="00316B3D"/>
    <w:rsid w:val="00317343"/>
    <w:rsid w:val="0032058C"/>
    <w:rsid w:val="003208D0"/>
    <w:rsid w:val="003209D6"/>
    <w:rsid w:val="003217B9"/>
    <w:rsid w:val="00321924"/>
    <w:rsid w:val="00321AF1"/>
    <w:rsid w:val="00321EB6"/>
    <w:rsid w:val="003220A5"/>
    <w:rsid w:val="00322CF6"/>
    <w:rsid w:val="003238E0"/>
    <w:rsid w:val="00323A1C"/>
    <w:rsid w:val="00323A2F"/>
    <w:rsid w:val="0032417B"/>
    <w:rsid w:val="003247E1"/>
    <w:rsid w:val="00324B59"/>
    <w:rsid w:val="00325071"/>
    <w:rsid w:val="00325E46"/>
    <w:rsid w:val="003263F9"/>
    <w:rsid w:val="0032656E"/>
    <w:rsid w:val="0032788F"/>
    <w:rsid w:val="00332190"/>
    <w:rsid w:val="00332A98"/>
    <w:rsid w:val="003334BD"/>
    <w:rsid w:val="00333973"/>
    <w:rsid w:val="00333CD0"/>
    <w:rsid w:val="0033448D"/>
    <w:rsid w:val="00334AD2"/>
    <w:rsid w:val="00334CB6"/>
    <w:rsid w:val="00336F1E"/>
    <w:rsid w:val="0033709C"/>
    <w:rsid w:val="003370C5"/>
    <w:rsid w:val="003373C6"/>
    <w:rsid w:val="0033753A"/>
    <w:rsid w:val="00340BF3"/>
    <w:rsid w:val="00341D26"/>
    <w:rsid w:val="00341F05"/>
    <w:rsid w:val="0034210C"/>
    <w:rsid w:val="0034335E"/>
    <w:rsid w:val="003434C5"/>
    <w:rsid w:val="00344668"/>
    <w:rsid w:val="00344940"/>
    <w:rsid w:val="00344E77"/>
    <w:rsid w:val="00346234"/>
    <w:rsid w:val="003462D9"/>
    <w:rsid w:val="0034699F"/>
    <w:rsid w:val="0034723F"/>
    <w:rsid w:val="00347247"/>
    <w:rsid w:val="003474B6"/>
    <w:rsid w:val="00347DD4"/>
    <w:rsid w:val="00350580"/>
    <w:rsid w:val="00350B13"/>
    <w:rsid w:val="00352B43"/>
    <w:rsid w:val="00352C28"/>
    <w:rsid w:val="003541BB"/>
    <w:rsid w:val="00354F89"/>
    <w:rsid w:val="0035506D"/>
    <w:rsid w:val="0036077F"/>
    <w:rsid w:val="00360C86"/>
    <w:rsid w:val="00360F7A"/>
    <w:rsid w:val="00360FBC"/>
    <w:rsid w:val="00361537"/>
    <w:rsid w:val="00361FB7"/>
    <w:rsid w:val="0036242A"/>
    <w:rsid w:val="003627D3"/>
    <w:rsid w:val="00362C23"/>
    <w:rsid w:val="00362DCA"/>
    <w:rsid w:val="00362E90"/>
    <w:rsid w:val="00364FA0"/>
    <w:rsid w:val="003657F3"/>
    <w:rsid w:val="00365844"/>
    <w:rsid w:val="00365DA5"/>
    <w:rsid w:val="00365EF5"/>
    <w:rsid w:val="00365F61"/>
    <w:rsid w:val="0036624C"/>
    <w:rsid w:val="00366461"/>
    <w:rsid w:val="003667F6"/>
    <w:rsid w:val="00367F84"/>
    <w:rsid w:val="003712BC"/>
    <w:rsid w:val="00372164"/>
    <w:rsid w:val="003738BD"/>
    <w:rsid w:val="00374263"/>
    <w:rsid w:val="0037445E"/>
    <w:rsid w:val="003746F0"/>
    <w:rsid w:val="00374A20"/>
    <w:rsid w:val="00374B96"/>
    <w:rsid w:val="00374E21"/>
    <w:rsid w:val="0037537A"/>
    <w:rsid w:val="0037713E"/>
    <w:rsid w:val="00377B2E"/>
    <w:rsid w:val="00380C9B"/>
    <w:rsid w:val="0038102E"/>
    <w:rsid w:val="003810F0"/>
    <w:rsid w:val="003815D4"/>
    <w:rsid w:val="003818DC"/>
    <w:rsid w:val="003820ED"/>
    <w:rsid w:val="00382513"/>
    <w:rsid w:val="00382D80"/>
    <w:rsid w:val="00383388"/>
    <w:rsid w:val="003834F8"/>
    <w:rsid w:val="003838D0"/>
    <w:rsid w:val="003840C2"/>
    <w:rsid w:val="00384327"/>
    <w:rsid w:val="00384A89"/>
    <w:rsid w:val="00385086"/>
    <w:rsid w:val="00385D98"/>
    <w:rsid w:val="003866AA"/>
    <w:rsid w:val="00390306"/>
    <w:rsid w:val="003908A6"/>
    <w:rsid w:val="00390CE5"/>
    <w:rsid w:val="0039109D"/>
    <w:rsid w:val="00391989"/>
    <w:rsid w:val="00391A6C"/>
    <w:rsid w:val="003927F6"/>
    <w:rsid w:val="0039398D"/>
    <w:rsid w:val="00393B3F"/>
    <w:rsid w:val="0039402D"/>
    <w:rsid w:val="003962CA"/>
    <w:rsid w:val="00396739"/>
    <w:rsid w:val="003978B1"/>
    <w:rsid w:val="003A04F6"/>
    <w:rsid w:val="003A0837"/>
    <w:rsid w:val="003A2B4D"/>
    <w:rsid w:val="003A2D12"/>
    <w:rsid w:val="003A2E46"/>
    <w:rsid w:val="003A2EBA"/>
    <w:rsid w:val="003A3343"/>
    <w:rsid w:val="003A45E3"/>
    <w:rsid w:val="003A46B8"/>
    <w:rsid w:val="003A478C"/>
    <w:rsid w:val="003A4A38"/>
    <w:rsid w:val="003A5525"/>
    <w:rsid w:val="003A5889"/>
    <w:rsid w:val="003A5C8C"/>
    <w:rsid w:val="003A6B38"/>
    <w:rsid w:val="003A6B83"/>
    <w:rsid w:val="003A6C97"/>
    <w:rsid w:val="003A722F"/>
    <w:rsid w:val="003A7373"/>
    <w:rsid w:val="003A7D09"/>
    <w:rsid w:val="003B039F"/>
    <w:rsid w:val="003B0DF4"/>
    <w:rsid w:val="003B1C8D"/>
    <w:rsid w:val="003B1EA8"/>
    <w:rsid w:val="003B1F9D"/>
    <w:rsid w:val="003B2A8D"/>
    <w:rsid w:val="003B2AD1"/>
    <w:rsid w:val="003B2D2E"/>
    <w:rsid w:val="003B3135"/>
    <w:rsid w:val="003B376A"/>
    <w:rsid w:val="003B42C7"/>
    <w:rsid w:val="003B461F"/>
    <w:rsid w:val="003B483F"/>
    <w:rsid w:val="003B4998"/>
    <w:rsid w:val="003B5A32"/>
    <w:rsid w:val="003B5B59"/>
    <w:rsid w:val="003B709D"/>
    <w:rsid w:val="003B7B50"/>
    <w:rsid w:val="003C0B07"/>
    <w:rsid w:val="003C2284"/>
    <w:rsid w:val="003C2CE7"/>
    <w:rsid w:val="003C2DB8"/>
    <w:rsid w:val="003C3490"/>
    <w:rsid w:val="003C3608"/>
    <w:rsid w:val="003C3AE8"/>
    <w:rsid w:val="003C3D2C"/>
    <w:rsid w:val="003C4058"/>
    <w:rsid w:val="003C4E13"/>
    <w:rsid w:val="003C53AB"/>
    <w:rsid w:val="003C58A5"/>
    <w:rsid w:val="003C6221"/>
    <w:rsid w:val="003C63D7"/>
    <w:rsid w:val="003C672E"/>
    <w:rsid w:val="003C68CC"/>
    <w:rsid w:val="003C7D39"/>
    <w:rsid w:val="003C7E62"/>
    <w:rsid w:val="003D12B9"/>
    <w:rsid w:val="003D1A33"/>
    <w:rsid w:val="003D1E7A"/>
    <w:rsid w:val="003D242B"/>
    <w:rsid w:val="003D2492"/>
    <w:rsid w:val="003D29AA"/>
    <w:rsid w:val="003D2A99"/>
    <w:rsid w:val="003D4EFE"/>
    <w:rsid w:val="003D55EA"/>
    <w:rsid w:val="003D6920"/>
    <w:rsid w:val="003E0249"/>
    <w:rsid w:val="003E08A4"/>
    <w:rsid w:val="003E1EF8"/>
    <w:rsid w:val="003E2DFB"/>
    <w:rsid w:val="003E4466"/>
    <w:rsid w:val="003E4C91"/>
    <w:rsid w:val="003E52D8"/>
    <w:rsid w:val="003E585F"/>
    <w:rsid w:val="003E5FA9"/>
    <w:rsid w:val="003E62F1"/>
    <w:rsid w:val="003E6F84"/>
    <w:rsid w:val="003F0148"/>
    <w:rsid w:val="003F313C"/>
    <w:rsid w:val="003F33B1"/>
    <w:rsid w:val="003F33B9"/>
    <w:rsid w:val="003F37FC"/>
    <w:rsid w:val="003F3E76"/>
    <w:rsid w:val="003F4318"/>
    <w:rsid w:val="003F4B2C"/>
    <w:rsid w:val="003F551C"/>
    <w:rsid w:val="003F5A2B"/>
    <w:rsid w:val="003F5B3D"/>
    <w:rsid w:val="003F626D"/>
    <w:rsid w:val="003F72ED"/>
    <w:rsid w:val="003F778A"/>
    <w:rsid w:val="003F79B6"/>
    <w:rsid w:val="003F7D23"/>
    <w:rsid w:val="00400050"/>
    <w:rsid w:val="004002C8"/>
    <w:rsid w:val="00400468"/>
    <w:rsid w:val="0040099D"/>
    <w:rsid w:val="00400B87"/>
    <w:rsid w:val="004016CB"/>
    <w:rsid w:val="00401B23"/>
    <w:rsid w:val="00402ADB"/>
    <w:rsid w:val="0040368D"/>
    <w:rsid w:val="00403D1D"/>
    <w:rsid w:val="00403F57"/>
    <w:rsid w:val="00404398"/>
    <w:rsid w:val="004046BD"/>
    <w:rsid w:val="0040488D"/>
    <w:rsid w:val="00404BAB"/>
    <w:rsid w:val="004052EF"/>
    <w:rsid w:val="00405318"/>
    <w:rsid w:val="004059D2"/>
    <w:rsid w:val="00405FFC"/>
    <w:rsid w:val="004060C9"/>
    <w:rsid w:val="004066D0"/>
    <w:rsid w:val="00406B0D"/>
    <w:rsid w:val="00406C2E"/>
    <w:rsid w:val="00406CDA"/>
    <w:rsid w:val="00406EB0"/>
    <w:rsid w:val="00407711"/>
    <w:rsid w:val="0040772C"/>
    <w:rsid w:val="00407C13"/>
    <w:rsid w:val="004103F6"/>
    <w:rsid w:val="00410638"/>
    <w:rsid w:val="00412511"/>
    <w:rsid w:val="004125C2"/>
    <w:rsid w:val="00412DFA"/>
    <w:rsid w:val="00413465"/>
    <w:rsid w:val="004149AC"/>
    <w:rsid w:val="0041501E"/>
    <w:rsid w:val="00415452"/>
    <w:rsid w:val="004159C3"/>
    <w:rsid w:val="00415A57"/>
    <w:rsid w:val="00416730"/>
    <w:rsid w:val="00416DAC"/>
    <w:rsid w:val="00417068"/>
    <w:rsid w:val="00417106"/>
    <w:rsid w:val="00420792"/>
    <w:rsid w:val="00420880"/>
    <w:rsid w:val="00421179"/>
    <w:rsid w:val="004225D7"/>
    <w:rsid w:val="004227DA"/>
    <w:rsid w:val="00423623"/>
    <w:rsid w:val="0042425A"/>
    <w:rsid w:val="0042470E"/>
    <w:rsid w:val="00424B72"/>
    <w:rsid w:val="00425352"/>
    <w:rsid w:val="00425734"/>
    <w:rsid w:val="00426C99"/>
    <w:rsid w:val="004272BE"/>
    <w:rsid w:val="00427654"/>
    <w:rsid w:val="004305E4"/>
    <w:rsid w:val="00430C96"/>
    <w:rsid w:val="0043174F"/>
    <w:rsid w:val="00431BFF"/>
    <w:rsid w:val="00432199"/>
    <w:rsid w:val="00432A58"/>
    <w:rsid w:val="004331C3"/>
    <w:rsid w:val="00433C17"/>
    <w:rsid w:val="00434617"/>
    <w:rsid w:val="00434DE9"/>
    <w:rsid w:val="00435051"/>
    <w:rsid w:val="00435C69"/>
    <w:rsid w:val="004360FB"/>
    <w:rsid w:val="00437701"/>
    <w:rsid w:val="00437CED"/>
    <w:rsid w:val="004407BF"/>
    <w:rsid w:val="00440900"/>
    <w:rsid w:val="0044121D"/>
    <w:rsid w:val="00441BF6"/>
    <w:rsid w:val="00441D2B"/>
    <w:rsid w:val="00441F8B"/>
    <w:rsid w:val="00442085"/>
    <w:rsid w:val="0044279E"/>
    <w:rsid w:val="004441A0"/>
    <w:rsid w:val="00444618"/>
    <w:rsid w:val="00444C8C"/>
    <w:rsid w:val="00445861"/>
    <w:rsid w:val="00445A8E"/>
    <w:rsid w:val="00446D44"/>
    <w:rsid w:val="0045078A"/>
    <w:rsid w:val="0045086D"/>
    <w:rsid w:val="00450DAB"/>
    <w:rsid w:val="0045125B"/>
    <w:rsid w:val="00451E25"/>
    <w:rsid w:val="00451EF1"/>
    <w:rsid w:val="004521DF"/>
    <w:rsid w:val="00452E60"/>
    <w:rsid w:val="0045321B"/>
    <w:rsid w:val="00456FE5"/>
    <w:rsid w:val="00457490"/>
    <w:rsid w:val="00457744"/>
    <w:rsid w:val="0045778B"/>
    <w:rsid w:val="0045786C"/>
    <w:rsid w:val="00457953"/>
    <w:rsid w:val="0046011D"/>
    <w:rsid w:val="004604D8"/>
    <w:rsid w:val="00460656"/>
    <w:rsid w:val="00460FB3"/>
    <w:rsid w:val="00463205"/>
    <w:rsid w:val="00463D3C"/>
    <w:rsid w:val="00464851"/>
    <w:rsid w:val="00464990"/>
    <w:rsid w:val="00464BF5"/>
    <w:rsid w:val="00466595"/>
    <w:rsid w:val="00466B3E"/>
    <w:rsid w:val="0046746A"/>
    <w:rsid w:val="00467B14"/>
    <w:rsid w:val="004706ED"/>
    <w:rsid w:val="004707FE"/>
    <w:rsid w:val="00470EDC"/>
    <w:rsid w:val="00471533"/>
    <w:rsid w:val="00471D6A"/>
    <w:rsid w:val="00472418"/>
    <w:rsid w:val="0047276D"/>
    <w:rsid w:val="00472AF6"/>
    <w:rsid w:val="00473482"/>
    <w:rsid w:val="00473491"/>
    <w:rsid w:val="00474646"/>
    <w:rsid w:val="004748E0"/>
    <w:rsid w:val="00474A04"/>
    <w:rsid w:val="00476240"/>
    <w:rsid w:val="00476439"/>
    <w:rsid w:val="00476450"/>
    <w:rsid w:val="004764B7"/>
    <w:rsid w:val="004769BF"/>
    <w:rsid w:val="004769E1"/>
    <w:rsid w:val="0047735C"/>
    <w:rsid w:val="004776BC"/>
    <w:rsid w:val="00477820"/>
    <w:rsid w:val="00477B96"/>
    <w:rsid w:val="00480802"/>
    <w:rsid w:val="00480BAE"/>
    <w:rsid w:val="00480D7F"/>
    <w:rsid w:val="0048139F"/>
    <w:rsid w:val="00481E40"/>
    <w:rsid w:val="00482405"/>
    <w:rsid w:val="004826A7"/>
    <w:rsid w:val="0048368C"/>
    <w:rsid w:val="0048372F"/>
    <w:rsid w:val="00483A0C"/>
    <w:rsid w:val="004841CC"/>
    <w:rsid w:val="00484880"/>
    <w:rsid w:val="00484ECE"/>
    <w:rsid w:val="00485145"/>
    <w:rsid w:val="00485E4D"/>
    <w:rsid w:val="00485E82"/>
    <w:rsid w:val="00486132"/>
    <w:rsid w:val="0048686D"/>
    <w:rsid w:val="004868F4"/>
    <w:rsid w:val="00486A4D"/>
    <w:rsid w:val="00487FC3"/>
    <w:rsid w:val="004915CB"/>
    <w:rsid w:val="004924DC"/>
    <w:rsid w:val="00492879"/>
    <w:rsid w:val="00493E85"/>
    <w:rsid w:val="00494464"/>
    <w:rsid w:val="00495145"/>
    <w:rsid w:val="0049531F"/>
    <w:rsid w:val="00496A39"/>
    <w:rsid w:val="004979A5"/>
    <w:rsid w:val="004A0144"/>
    <w:rsid w:val="004A0328"/>
    <w:rsid w:val="004A036E"/>
    <w:rsid w:val="004A0498"/>
    <w:rsid w:val="004A06B0"/>
    <w:rsid w:val="004A0D0E"/>
    <w:rsid w:val="004A14E4"/>
    <w:rsid w:val="004A204E"/>
    <w:rsid w:val="004A2642"/>
    <w:rsid w:val="004A26A5"/>
    <w:rsid w:val="004A27F0"/>
    <w:rsid w:val="004A3212"/>
    <w:rsid w:val="004A37CD"/>
    <w:rsid w:val="004A40D9"/>
    <w:rsid w:val="004A49A5"/>
    <w:rsid w:val="004A4F8A"/>
    <w:rsid w:val="004A52AB"/>
    <w:rsid w:val="004A5494"/>
    <w:rsid w:val="004A5D4E"/>
    <w:rsid w:val="004A61C5"/>
    <w:rsid w:val="004A62A0"/>
    <w:rsid w:val="004A77B8"/>
    <w:rsid w:val="004A77DF"/>
    <w:rsid w:val="004B0A56"/>
    <w:rsid w:val="004B1417"/>
    <w:rsid w:val="004B18DF"/>
    <w:rsid w:val="004B1D3D"/>
    <w:rsid w:val="004B305C"/>
    <w:rsid w:val="004B31B8"/>
    <w:rsid w:val="004B339A"/>
    <w:rsid w:val="004B3BD0"/>
    <w:rsid w:val="004B4C83"/>
    <w:rsid w:val="004B55B7"/>
    <w:rsid w:val="004B5BFA"/>
    <w:rsid w:val="004B6005"/>
    <w:rsid w:val="004B619E"/>
    <w:rsid w:val="004B6468"/>
    <w:rsid w:val="004B6AC1"/>
    <w:rsid w:val="004B6EF8"/>
    <w:rsid w:val="004B7125"/>
    <w:rsid w:val="004B756A"/>
    <w:rsid w:val="004B7A0C"/>
    <w:rsid w:val="004B7FB1"/>
    <w:rsid w:val="004C06D6"/>
    <w:rsid w:val="004C0970"/>
    <w:rsid w:val="004C0B3F"/>
    <w:rsid w:val="004C0F87"/>
    <w:rsid w:val="004C1178"/>
    <w:rsid w:val="004C25F9"/>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438"/>
    <w:rsid w:val="004C6E0E"/>
    <w:rsid w:val="004C70DC"/>
    <w:rsid w:val="004C7100"/>
    <w:rsid w:val="004D0211"/>
    <w:rsid w:val="004D0794"/>
    <w:rsid w:val="004D07B9"/>
    <w:rsid w:val="004D0822"/>
    <w:rsid w:val="004D108E"/>
    <w:rsid w:val="004D122F"/>
    <w:rsid w:val="004D2A9A"/>
    <w:rsid w:val="004D2D31"/>
    <w:rsid w:val="004D2E03"/>
    <w:rsid w:val="004D3296"/>
    <w:rsid w:val="004D4056"/>
    <w:rsid w:val="004D4CB0"/>
    <w:rsid w:val="004D5B0F"/>
    <w:rsid w:val="004D7626"/>
    <w:rsid w:val="004E085C"/>
    <w:rsid w:val="004E12DF"/>
    <w:rsid w:val="004E186A"/>
    <w:rsid w:val="004E1A40"/>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22B"/>
    <w:rsid w:val="004F3272"/>
    <w:rsid w:val="004F33A0"/>
    <w:rsid w:val="004F3873"/>
    <w:rsid w:val="004F3BD2"/>
    <w:rsid w:val="004F46ED"/>
    <w:rsid w:val="004F49A3"/>
    <w:rsid w:val="004F4C99"/>
    <w:rsid w:val="004F5358"/>
    <w:rsid w:val="004F55FA"/>
    <w:rsid w:val="004F6339"/>
    <w:rsid w:val="004F6484"/>
    <w:rsid w:val="004F6539"/>
    <w:rsid w:val="005021F1"/>
    <w:rsid w:val="00503D54"/>
    <w:rsid w:val="005040D3"/>
    <w:rsid w:val="005048E2"/>
    <w:rsid w:val="00504BA2"/>
    <w:rsid w:val="00505FC8"/>
    <w:rsid w:val="00506603"/>
    <w:rsid w:val="0050686E"/>
    <w:rsid w:val="0050689D"/>
    <w:rsid w:val="005077F5"/>
    <w:rsid w:val="005108C0"/>
    <w:rsid w:val="0051094F"/>
    <w:rsid w:val="00511217"/>
    <w:rsid w:val="00511873"/>
    <w:rsid w:val="0051190D"/>
    <w:rsid w:val="00511BAF"/>
    <w:rsid w:val="00512461"/>
    <w:rsid w:val="00512501"/>
    <w:rsid w:val="00512585"/>
    <w:rsid w:val="00512A2F"/>
    <w:rsid w:val="00513B7E"/>
    <w:rsid w:val="00513E9D"/>
    <w:rsid w:val="0051475D"/>
    <w:rsid w:val="00514B11"/>
    <w:rsid w:val="00514DED"/>
    <w:rsid w:val="0051500A"/>
    <w:rsid w:val="00515485"/>
    <w:rsid w:val="00515BE9"/>
    <w:rsid w:val="00515C74"/>
    <w:rsid w:val="00515CEB"/>
    <w:rsid w:val="0051630F"/>
    <w:rsid w:val="00516337"/>
    <w:rsid w:val="00517113"/>
    <w:rsid w:val="00517615"/>
    <w:rsid w:val="0052007E"/>
    <w:rsid w:val="0052032E"/>
    <w:rsid w:val="00520F4A"/>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728"/>
    <w:rsid w:val="00530A68"/>
    <w:rsid w:val="00530AD4"/>
    <w:rsid w:val="0053129F"/>
    <w:rsid w:val="00531C5A"/>
    <w:rsid w:val="00532CE7"/>
    <w:rsid w:val="00532D8B"/>
    <w:rsid w:val="0053324C"/>
    <w:rsid w:val="00533A8D"/>
    <w:rsid w:val="00534A28"/>
    <w:rsid w:val="00535018"/>
    <w:rsid w:val="0053595E"/>
    <w:rsid w:val="00537571"/>
    <w:rsid w:val="00540056"/>
    <w:rsid w:val="0054101E"/>
    <w:rsid w:val="005410E2"/>
    <w:rsid w:val="00541508"/>
    <w:rsid w:val="00541AE3"/>
    <w:rsid w:val="00542748"/>
    <w:rsid w:val="00543498"/>
    <w:rsid w:val="00544011"/>
    <w:rsid w:val="005441A8"/>
    <w:rsid w:val="00544BE5"/>
    <w:rsid w:val="005453A3"/>
    <w:rsid w:val="005455F6"/>
    <w:rsid w:val="0054582F"/>
    <w:rsid w:val="00546FC7"/>
    <w:rsid w:val="005500D6"/>
    <w:rsid w:val="005500F9"/>
    <w:rsid w:val="00550160"/>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57EFC"/>
    <w:rsid w:val="00560825"/>
    <w:rsid w:val="00560C41"/>
    <w:rsid w:val="00560CAC"/>
    <w:rsid w:val="00561751"/>
    <w:rsid w:val="00561F44"/>
    <w:rsid w:val="00562015"/>
    <w:rsid w:val="005621B9"/>
    <w:rsid w:val="00562B4D"/>
    <w:rsid w:val="00562DB1"/>
    <w:rsid w:val="00563EB8"/>
    <w:rsid w:val="005647BF"/>
    <w:rsid w:val="00564AF1"/>
    <w:rsid w:val="005655DB"/>
    <w:rsid w:val="00565E88"/>
    <w:rsid w:val="005662F5"/>
    <w:rsid w:val="00567339"/>
    <w:rsid w:val="005678EE"/>
    <w:rsid w:val="00567910"/>
    <w:rsid w:val="00570270"/>
    <w:rsid w:val="00570464"/>
    <w:rsid w:val="00570BC3"/>
    <w:rsid w:val="0057182A"/>
    <w:rsid w:val="00571E59"/>
    <w:rsid w:val="00572079"/>
    <w:rsid w:val="00572900"/>
    <w:rsid w:val="00572C04"/>
    <w:rsid w:val="00573602"/>
    <w:rsid w:val="0057364B"/>
    <w:rsid w:val="00574773"/>
    <w:rsid w:val="005761EC"/>
    <w:rsid w:val="00576E34"/>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87D30"/>
    <w:rsid w:val="00590608"/>
    <w:rsid w:val="00590B28"/>
    <w:rsid w:val="00591187"/>
    <w:rsid w:val="005911BE"/>
    <w:rsid w:val="00591273"/>
    <w:rsid w:val="005915EA"/>
    <w:rsid w:val="00591E9E"/>
    <w:rsid w:val="005927A4"/>
    <w:rsid w:val="00593152"/>
    <w:rsid w:val="00593389"/>
    <w:rsid w:val="00593FE6"/>
    <w:rsid w:val="005956A3"/>
    <w:rsid w:val="00595958"/>
    <w:rsid w:val="00595CAB"/>
    <w:rsid w:val="0059622E"/>
    <w:rsid w:val="00597671"/>
    <w:rsid w:val="00597BBF"/>
    <w:rsid w:val="005A040C"/>
    <w:rsid w:val="005A0443"/>
    <w:rsid w:val="005A0463"/>
    <w:rsid w:val="005A0948"/>
    <w:rsid w:val="005A0A03"/>
    <w:rsid w:val="005A10F2"/>
    <w:rsid w:val="005A16C0"/>
    <w:rsid w:val="005A2156"/>
    <w:rsid w:val="005A21E0"/>
    <w:rsid w:val="005A28FF"/>
    <w:rsid w:val="005A2C09"/>
    <w:rsid w:val="005A3778"/>
    <w:rsid w:val="005A37B0"/>
    <w:rsid w:val="005A3DF8"/>
    <w:rsid w:val="005A5549"/>
    <w:rsid w:val="005A566A"/>
    <w:rsid w:val="005A56E0"/>
    <w:rsid w:val="005A70CA"/>
    <w:rsid w:val="005A7ABD"/>
    <w:rsid w:val="005A7CF8"/>
    <w:rsid w:val="005B0EDA"/>
    <w:rsid w:val="005B121D"/>
    <w:rsid w:val="005B26B0"/>
    <w:rsid w:val="005B2756"/>
    <w:rsid w:val="005B41C9"/>
    <w:rsid w:val="005B44E6"/>
    <w:rsid w:val="005B4853"/>
    <w:rsid w:val="005B62D1"/>
    <w:rsid w:val="005B6CA1"/>
    <w:rsid w:val="005B6F04"/>
    <w:rsid w:val="005B770C"/>
    <w:rsid w:val="005C06ED"/>
    <w:rsid w:val="005C0CE1"/>
    <w:rsid w:val="005C11B8"/>
    <w:rsid w:val="005C181B"/>
    <w:rsid w:val="005C19E3"/>
    <w:rsid w:val="005C216C"/>
    <w:rsid w:val="005C230A"/>
    <w:rsid w:val="005C2609"/>
    <w:rsid w:val="005C2B30"/>
    <w:rsid w:val="005C412B"/>
    <w:rsid w:val="005C43EC"/>
    <w:rsid w:val="005C45DD"/>
    <w:rsid w:val="005C4704"/>
    <w:rsid w:val="005C4CB1"/>
    <w:rsid w:val="005C70AB"/>
    <w:rsid w:val="005C771D"/>
    <w:rsid w:val="005D015C"/>
    <w:rsid w:val="005D1117"/>
    <w:rsid w:val="005D3F06"/>
    <w:rsid w:val="005D4608"/>
    <w:rsid w:val="005D4B73"/>
    <w:rsid w:val="005D533D"/>
    <w:rsid w:val="005D5645"/>
    <w:rsid w:val="005D5802"/>
    <w:rsid w:val="005D5AA9"/>
    <w:rsid w:val="005D66E6"/>
    <w:rsid w:val="005D7119"/>
    <w:rsid w:val="005D7508"/>
    <w:rsid w:val="005D76C8"/>
    <w:rsid w:val="005D7890"/>
    <w:rsid w:val="005E19C1"/>
    <w:rsid w:val="005E2194"/>
    <w:rsid w:val="005E24F0"/>
    <w:rsid w:val="005E3113"/>
    <w:rsid w:val="005E36FE"/>
    <w:rsid w:val="005E3F66"/>
    <w:rsid w:val="005E490F"/>
    <w:rsid w:val="005E4BC9"/>
    <w:rsid w:val="005E531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CB0"/>
    <w:rsid w:val="005F6D7F"/>
    <w:rsid w:val="005F6DFE"/>
    <w:rsid w:val="005F7174"/>
    <w:rsid w:val="005F724F"/>
    <w:rsid w:val="0060120D"/>
    <w:rsid w:val="006017C1"/>
    <w:rsid w:val="00601ADE"/>
    <w:rsid w:val="00601EEF"/>
    <w:rsid w:val="0060255A"/>
    <w:rsid w:val="00602998"/>
    <w:rsid w:val="00602EB3"/>
    <w:rsid w:val="00604307"/>
    <w:rsid w:val="0060487F"/>
    <w:rsid w:val="00604EAD"/>
    <w:rsid w:val="0060513F"/>
    <w:rsid w:val="006063BB"/>
    <w:rsid w:val="006065E2"/>
    <w:rsid w:val="0060694B"/>
    <w:rsid w:val="006104FB"/>
    <w:rsid w:val="0061176D"/>
    <w:rsid w:val="0061200F"/>
    <w:rsid w:val="00612756"/>
    <w:rsid w:val="00612A2F"/>
    <w:rsid w:val="00612AAE"/>
    <w:rsid w:val="00612B07"/>
    <w:rsid w:val="00612FD9"/>
    <w:rsid w:val="006139E0"/>
    <w:rsid w:val="00613A32"/>
    <w:rsid w:val="00613BAF"/>
    <w:rsid w:val="00614D35"/>
    <w:rsid w:val="006156B4"/>
    <w:rsid w:val="00615DAF"/>
    <w:rsid w:val="00616254"/>
    <w:rsid w:val="0061672A"/>
    <w:rsid w:val="00616E05"/>
    <w:rsid w:val="00617174"/>
    <w:rsid w:val="00617985"/>
    <w:rsid w:val="00620B77"/>
    <w:rsid w:val="00621190"/>
    <w:rsid w:val="0062131B"/>
    <w:rsid w:val="00621E26"/>
    <w:rsid w:val="006224EA"/>
    <w:rsid w:val="0062263A"/>
    <w:rsid w:val="006227DF"/>
    <w:rsid w:val="006234A0"/>
    <w:rsid w:val="006235CD"/>
    <w:rsid w:val="006236C8"/>
    <w:rsid w:val="00624093"/>
    <w:rsid w:val="006240A3"/>
    <w:rsid w:val="00625A19"/>
    <w:rsid w:val="00625A84"/>
    <w:rsid w:val="00626079"/>
    <w:rsid w:val="006305F7"/>
    <w:rsid w:val="00630741"/>
    <w:rsid w:val="00631698"/>
    <w:rsid w:val="00631E44"/>
    <w:rsid w:val="00632B4B"/>
    <w:rsid w:val="0063476C"/>
    <w:rsid w:val="00634C57"/>
    <w:rsid w:val="00634CE7"/>
    <w:rsid w:val="006350D5"/>
    <w:rsid w:val="006359F7"/>
    <w:rsid w:val="00635C51"/>
    <w:rsid w:val="0063642C"/>
    <w:rsid w:val="00636492"/>
    <w:rsid w:val="0063714C"/>
    <w:rsid w:val="006376B3"/>
    <w:rsid w:val="00637858"/>
    <w:rsid w:val="006404A7"/>
    <w:rsid w:val="00640A38"/>
    <w:rsid w:val="00640E6B"/>
    <w:rsid w:val="0064123E"/>
    <w:rsid w:val="00641787"/>
    <w:rsid w:val="0064179B"/>
    <w:rsid w:val="00642489"/>
    <w:rsid w:val="0064341F"/>
    <w:rsid w:val="00644055"/>
    <w:rsid w:val="00644137"/>
    <w:rsid w:val="0064478C"/>
    <w:rsid w:val="0064513D"/>
    <w:rsid w:val="00645160"/>
    <w:rsid w:val="006451E4"/>
    <w:rsid w:val="0064574B"/>
    <w:rsid w:val="006459DF"/>
    <w:rsid w:val="00645B33"/>
    <w:rsid w:val="00646B42"/>
    <w:rsid w:val="006516CB"/>
    <w:rsid w:val="00652E30"/>
    <w:rsid w:val="00653BD0"/>
    <w:rsid w:val="00654110"/>
    <w:rsid w:val="00654604"/>
    <w:rsid w:val="00656C5D"/>
    <w:rsid w:val="00656CFB"/>
    <w:rsid w:val="00656D25"/>
    <w:rsid w:val="00657E87"/>
    <w:rsid w:val="00660D2D"/>
    <w:rsid w:val="00661C41"/>
    <w:rsid w:val="00661E03"/>
    <w:rsid w:val="00661EC9"/>
    <w:rsid w:val="00661EF8"/>
    <w:rsid w:val="00662469"/>
    <w:rsid w:val="0066411C"/>
    <w:rsid w:val="00664205"/>
    <w:rsid w:val="00664647"/>
    <w:rsid w:val="00664803"/>
    <w:rsid w:val="0066502F"/>
    <w:rsid w:val="006653CC"/>
    <w:rsid w:val="00665982"/>
    <w:rsid w:val="00665A05"/>
    <w:rsid w:val="00665BA4"/>
    <w:rsid w:val="00666BF3"/>
    <w:rsid w:val="00667856"/>
    <w:rsid w:val="00667AF2"/>
    <w:rsid w:val="00670489"/>
    <w:rsid w:val="006710C9"/>
    <w:rsid w:val="00671D85"/>
    <w:rsid w:val="00672586"/>
    <w:rsid w:val="006727BC"/>
    <w:rsid w:val="006741CD"/>
    <w:rsid w:val="00674D89"/>
    <w:rsid w:val="0067514E"/>
    <w:rsid w:val="00675E37"/>
    <w:rsid w:val="0067623E"/>
    <w:rsid w:val="0067635D"/>
    <w:rsid w:val="00676736"/>
    <w:rsid w:val="006769A4"/>
    <w:rsid w:val="006769C6"/>
    <w:rsid w:val="00676D76"/>
    <w:rsid w:val="00676F9F"/>
    <w:rsid w:val="00677519"/>
    <w:rsid w:val="00677591"/>
    <w:rsid w:val="00677594"/>
    <w:rsid w:val="0067794F"/>
    <w:rsid w:val="00677FA3"/>
    <w:rsid w:val="0068032F"/>
    <w:rsid w:val="00680D37"/>
    <w:rsid w:val="00681060"/>
    <w:rsid w:val="0068174E"/>
    <w:rsid w:val="0068177E"/>
    <w:rsid w:val="00681DCE"/>
    <w:rsid w:val="00682110"/>
    <w:rsid w:val="0068260E"/>
    <w:rsid w:val="00683CE6"/>
    <w:rsid w:val="006846B3"/>
    <w:rsid w:val="00684B9B"/>
    <w:rsid w:val="00684D59"/>
    <w:rsid w:val="00684E25"/>
    <w:rsid w:val="006858A4"/>
    <w:rsid w:val="00685C08"/>
    <w:rsid w:val="00686718"/>
    <w:rsid w:val="00686A63"/>
    <w:rsid w:val="00686BFA"/>
    <w:rsid w:val="00686DED"/>
    <w:rsid w:val="00686DFB"/>
    <w:rsid w:val="006875A0"/>
    <w:rsid w:val="006878C6"/>
    <w:rsid w:val="00687D27"/>
    <w:rsid w:val="00691943"/>
    <w:rsid w:val="00691FB9"/>
    <w:rsid w:val="0069212C"/>
    <w:rsid w:val="00693550"/>
    <w:rsid w:val="00694622"/>
    <w:rsid w:val="006948DE"/>
    <w:rsid w:val="00695065"/>
    <w:rsid w:val="00695BEF"/>
    <w:rsid w:val="00696251"/>
    <w:rsid w:val="006966C7"/>
    <w:rsid w:val="006968C1"/>
    <w:rsid w:val="00696DBC"/>
    <w:rsid w:val="0069752C"/>
    <w:rsid w:val="006977B8"/>
    <w:rsid w:val="006977F6"/>
    <w:rsid w:val="00697A13"/>
    <w:rsid w:val="006A0DD4"/>
    <w:rsid w:val="006A109C"/>
    <w:rsid w:val="006A30E5"/>
    <w:rsid w:val="006A39A7"/>
    <w:rsid w:val="006A4E91"/>
    <w:rsid w:val="006A5F4B"/>
    <w:rsid w:val="006A6114"/>
    <w:rsid w:val="006A6565"/>
    <w:rsid w:val="006A7665"/>
    <w:rsid w:val="006A7691"/>
    <w:rsid w:val="006A7E73"/>
    <w:rsid w:val="006A7EE2"/>
    <w:rsid w:val="006B0514"/>
    <w:rsid w:val="006B0F92"/>
    <w:rsid w:val="006B2785"/>
    <w:rsid w:val="006B27C7"/>
    <w:rsid w:val="006B3006"/>
    <w:rsid w:val="006B344A"/>
    <w:rsid w:val="006B3B51"/>
    <w:rsid w:val="006B3EF1"/>
    <w:rsid w:val="006B4485"/>
    <w:rsid w:val="006B58C9"/>
    <w:rsid w:val="006B60ED"/>
    <w:rsid w:val="006B6CC5"/>
    <w:rsid w:val="006B74AC"/>
    <w:rsid w:val="006B757F"/>
    <w:rsid w:val="006B78D8"/>
    <w:rsid w:val="006B79EA"/>
    <w:rsid w:val="006C0C5D"/>
    <w:rsid w:val="006C113F"/>
    <w:rsid w:val="006C123E"/>
    <w:rsid w:val="006C15A1"/>
    <w:rsid w:val="006C1752"/>
    <w:rsid w:val="006C1DDC"/>
    <w:rsid w:val="006C28CA"/>
    <w:rsid w:val="006C2BBF"/>
    <w:rsid w:val="006C2FBD"/>
    <w:rsid w:val="006C3336"/>
    <w:rsid w:val="006C3495"/>
    <w:rsid w:val="006C36E1"/>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04D"/>
    <w:rsid w:val="006D18B3"/>
    <w:rsid w:val="006D1E89"/>
    <w:rsid w:val="006D26CE"/>
    <w:rsid w:val="006D2A74"/>
    <w:rsid w:val="006D317E"/>
    <w:rsid w:val="006D3E8A"/>
    <w:rsid w:val="006D47D9"/>
    <w:rsid w:val="006D61F6"/>
    <w:rsid w:val="006E1081"/>
    <w:rsid w:val="006E1332"/>
    <w:rsid w:val="006E19CB"/>
    <w:rsid w:val="006E2364"/>
    <w:rsid w:val="006E2589"/>
    <w:rsid w:val="006E279A"/>
    <w:rsid w:val="006E313B"/>
    <w:rsid w:val="006E34B2"/>
    <w:rsid w:val="006E3A45"/>
    <w:rsid w:val="006E4078"/>
    <w:rsid w:val="006E4F68"/>
    <w:rsid w:val="006E51C4"/>
    <w:rsid w:val="006E53AD"/>
    <w:rsid w:val="006E58CB"/>
    <w:rsid w:val="006E6A93"/>
    <w:rsid w:val="006E7227"/>
    <w:rsid w:val="006E7410"/>
    <w:rsid w:val="006E761A"/>
    <w:rsid w:val="006F0646"/>
    <w:rsid w:val="006F0741"/>
    <w:rsid w:val="006F0EE2"/>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448"/>
    <w:rsid w:val="007008A9"/>
    <w:rsid w:val="00700E8A"/>
    <w:rsid w:val="0070398A"/>
    <w:rsid w:val="00705242"/>
    <w:rsid w:val="007055E0"/>
    <w:rsid w:val="007056ED"/>
    <w:rsid w:val="00705C47"/>
    <w:rsid w:val="00705F4E"/>
    <w:rsid w:val="0070658E"/>
    <w:rsid w:val="007065C5"/>
    <w:rsid w:val="007068E1"/>
    <w:rsid w:val="00706AA0"/>
    <w:rsid w:val="00706AD4"/>
    <w:rsid w:val="00707150"/>
    <w:rsid w:val="00711CF9"/>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310"/>
    <w:rsid w:val="00720D7A"/>
    <w:rsid w:val="007211F5"/>
    <w:rsid w:val="007213C3"/>
    <w:rsid w:val="00721504"/>
    <w:rsid w:val="00721601"/>
    <w:rsid w:val="00722777"/>
    <w:rsid w:val="00723435"/>
    <w:rsid w:val="00723436"/>
    <w:rsid w:val="007240E2"/>
    <w:rsid w:val="0072454C"/>
    <w:rsid w:val="0072583E"/>
    <w:rsid w:val="00725BB5"/>
    <w:rsid w:val="00726978"/>
    <w:rsid w:val="00727C02"/>
    <w:rsid w:val="0073008E"/>
    <w:rsid w:val="00730A8B"/>
    <w:rsid w:val="00730AE8"/>
    <w:rsid w:val="00730F1B"/>
    <w:rsid w:val="007310AC"/>
    <w:rsid w:val="0073186D"/>
    <w:rsid w:val="0073261D"/>
    <w:rsid w:val="0073333D"/>
    <w:rsid w:val="007335AE"/>
    <w:rsid w:val="00733EF2"/>
    <w:rsid w:val="007343D9"/>
    <w:rsid w:val="00734F71"/>
    <w:rsid w:val="00735448"/>
    <w:rsid w:val="00736F07"/>
    <w:rsid w:val="007377BD"/>
    <w:rsid w:val="00737DEC"/>
    <w:rsid w:val="0074004D"/>
    <w:rsid w:val="00741493"/>
    <w:rsid w:val="007434E5"/>
    <w:rsid w:val="00743DB7"/>
    <w:rsid w:val="0074499B"/>
    <w:rsid w:val="0074501E"/>
    <w:rsid w:val="007450BF"/>
    <w:rsid w:val="0074599A"/>
    <w:rsid w:val="00746F45"/>
    <w:rsid w:val="007471A1"/>
    <w:rsid w:val="0074744D"/>
    <w:rsid w:val="007477BD"/>
    <w:rsid w:val="007477DA"/>
    <w:rsid w:val="00747EE9"/>
    <w:rsid w:val="007511CD"/>
    <w:rsid w:val="007520B6"/>
    <w:rsid w:val="007520F6"/>
    <w:rsid w:val="00752180"/>
    <w:rsid w:val="00752323"/>
    <w:rsid w:val="0075291E"/>
    <w:rsid w:val="007532B7"/>
    <w:rsid w:val="00753CAB"/>
    <w:rsid w:val="00754A70"/>
    <w:rsid w:val="00754BC9"/>
    <w:rsid w:val="00755202"/>
    <w:rsid w:val="00755D3A"/>
    <w:rsid w:val="00757140"/>
    <w:rsid w:val="00757241"/>
    <w:rsid w:val="0075751D"/>
    <w:rsid w:val="0075763E"/>
    <w:rsid w:val="007578D3"/>
    <w:rsid w:val="0076029B"/>
    <w:rsid w:val="007602CF"/>
    <w:rsid w:val="00760391"/>
    <w:rsid w:val="007609C6"/>
    <w:rsid w:val="007615F3"/>
    <w:rsid w:val="0076175D"/>
    <w:rsid w:val="00761CB5"/>
    <w:rsid w:val="007622B7"/>
    <w:rsid w:val="007629D5"/>
    <w:rsid w:val="007635F8"/>
    <w:rsid w:val="00763B85"/>
    <w:rsid w:val="00763DB7"/>
    <w:rsid w:val="007644A2"/>
    <w:rsid w:val="00764932"/>
    <w:rsid w:val="00764974"/>
    <w:rsid w:val="00764C76"/>
    <w:rsid w:val="00764D18"/>
    <w:rsid w:val="0076521E"/>
    <w:rsid w:val="00765BCC"/>
    <w:rsid w:val="0076600D"/>
    <w:rsid w:val="007661E9"/>
    <w:rsid w:val="00766460"/>
    <w:rsid w:val="00767062"/>
    <w:rsid w:val="00767601"/>
    <w:rsid w:val="00767777"/>
    <w:rsid w:val="00767933"/>
    <w:rsid w:val="00770AB9"/>
    <w:rsid w:val="00770CFC"/>
    <w:rsid w:val="0077130E"/>
    <w:rsid w:val="007715EE"/>
    <w:rsid w:val="0077190D"/>
    <w:rsid w:val="00771972"/>
    <w:rsid w:val="007721AD"/>
    <w:rsid w:val="00772279"/>
    <w:rsid w:val="00772DAB"/>
    <w:rsid w:val="00772FF9"/>
    <w:rsid w:val="0077348B"/>
    <w:rsid w:val="007734F5"/>
    <w:rsid w:val="007743DB"/>
    <w:rsid w:val="00774D2C"/>
    <w:rsid w:val="007759C8"/>
    <w:rsid w:val="00775E00"/>
    <w:rsid w:val="0077605B"/>
    <w:rsid w:val="00776169"/>
    <w:rsid w:val="00776527"/>
    <w:rsid w:val="00777040"/>
    <w:rsid w:val="00777CE6"/>
    <w:rsid w:val="00777D57"/>
    <w:rsid w:val="00780EF1"/>
    <w:rsid w:val="00781A91"/>
    <w:rsid w:val="00781AD3"/>
    <w:rsid w:val="00781F36"/>
    <w:rsid w:val="00783576"/>
    <w:rsid w:val="00784492"/>
    <w:rsid w:val="00785778"/>
    <w:rsid w:val="00785890"/>
    <w:rsid w:val="00786C87"/>
    <w:rsid w:val="0078755E"/>
    <w:rsid w:val="007877C9"/>
    <w:rsid w:val="0079058A"/>
    <w:rsid w:val="00790764"/>
    <w:rsid w:val="0079085F"/>
    <w:rsid w:val="00790E96"/>
    <w:rsid w:val="00790F10"/>
    <w:rsid w:val="00791005"/>
    <w:rsid w:val="00792007"/>
    <w:rsid w:val="007924BF"/>
    <w:rsid w:val="007932D3"/>
    <w:rsid w:val="00793597"/>
    <w:rsid w:val="00793D78"/>
    <w:rsid w:val="0079420B"/>
    <w:rsid w:val="0079453C"/>
    <w:rsid w:val="00794677"/>
    <w:rsid w:val="00794925"/>
    <w:rsid w:val="00795759"/>
    <w:rsid w:val="007971DC"/>
    <w:rsid w:val="007A170B"/>
    <w:rsid w:val="007A20EB"/>
    <w:rsid w:val="007A282C"/>
    <w:rsid w:val="007A293C"/>
    <w:rsid w:val="007A2A3A"/>
    <w:rsid w:val="007A33E2"/>
    <w:rsid w:val="007A3CAF"/>
    <w:rsid w:val="007A4664"/>
    <w:rsid w:val="007A4782"/>
    <w:rsid w:val="007A516D"/>
    <w:rsid w:val="007A5E65"/>
    <w:rsid w:val="007A65E1"/>
    <w:rsid w:val="007A6AAA"/>
    <w:rsid w:val="007A7033"/>
    <w:rsid w:val="007A775D"/>
    <w:rsid w:val="007A7A92"/>
    <w:rsid w:val="007A7B13"/>
    <w:rsid w:val="007B04B0"/>
    <w:rsid w:val="007B0834"/>
    <w:rsid w:val="007B0E83"/>
    <w:rsid w:val="007B11FA"/>
    <w:rsid w:val="007B12AF"/>
    <w:rsid w:val="007B1396"/>
    <w:rsid w:val="007B16D6"/>
    <w:rsid w:val="007B1D1B"/>
    <w:rsid w:val="007B2011"/>
    <w:rsid w:val="007B2CFE"/>
    <w:rsid w:val="007B309B"/>
    <w:rsid w:val="007B3D5E"/>
    <w:rsid w:val="007B3DCB"/>
    <w:rsid w:val="007B54AE"/>
    <w:rsid w:val="007B561F"/>
    <w:rsid w:val="007B5725"/>
    <w:rsid w:val="007B5C1F"/>
    <w:rsid w:val="007B60D7"/>
    <w:rsid w:val="007B6689"/>
    <w:rsid w:val="007B66AD"/>
    <w:rsid w:val="007B6747"/>
    <w:rsid w:val="007B6F72"/>
    <w:rsid w:val="007B74AA"/>
    <w:rsid w:val="007B75E8"/>
    <w:rsid w:val="007C0069"/>
    <w:rsid w:val="007C06AF"/>
    <w:rsid w:val="007C09FB"/>
    <w:rsid w:val="007C10BD"/>
    <w:rsid w:val="007C162D"/>
    <w:rsid w:val="007C1EC4"/>
    <w:rsid w:val="007C1F0C"/>
    <w:rsid w:val="007C1FFB"/>
    <w:rsid w:val="007C289D"/>
    <w:rsid w:val="007C2D94"/>
    <w:rsid w:val="007C4A6B"/>
    <w:rsid w:val="007C5F92"/>
    <w:rsid w:val="007C6227"/>
    <w:rsid w:val="007C6BBD"/>
    <w:rsid w:val="007C6D89"/>
    <w:rsid w:val="007C6F5E"/>
    <w:rsid w:val="007D0382"/>
    <w:rsid w:val="007D0F6B"/>
    <w:rsid w:val="007D14FE"/>
    <w:rsid w:val="007D1A1F"/>
    <w:rsid w:val="007D213B"/>
    <w:rsid w:val="007D2783"/>
    <w:rsid w:val="007D2E18"/>
    <w:rsid w:val="007D3EF3"/>
    <w:rsid w:val="007D40DF"/>
    <w:rsid w:val="007D4171"/>
    <w:rsid w:val="007D42E5"/>
    <w:rsid w:val="007D4458"/>
    <w:rsid w:val="007D6A9F"/>
    <w:rsid w:val="007D6AF9"/>
    <w:rsid w:val="007D7763"/>
    <w:rsid w:val="007E0535"/>
    <w:rsid w:val="007E07F2"/>
    <w:rsid w:val="007E0D4A"/>
    <w:rsid w:val="007E0D64"/>
    <w:rsid w:val="007E1788"/>
    <w:rsid w:val="007E1EE3"/>
    <w:rsid w:val="007E29B4"/>
    <w:rsid w:val="007E2F12"/>
    <w:rsid w:val="007E435A"/>
    <w:rsid w:val="007E445C"/>
    <w:rsid w:val="007E49F7"/>
    <w:rsid w:val="007E4C70"/>
    <w:rsid w:val="007E5B5F"/>
    <w:rsid w:val="007E69C6"/>
    <w:rsid w:val="007E78B6"/>
    <w:rsid w:val="007E7E61"/>
    <w:rsid w:val="007F0845"/>
    <w:rsid w:val="007F0873"/>
    <w:rsid w:val="007F20F3"/>
    <w:rsid w:val="007F22DE"/>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4D33"/>
    <w:rsid w:val="0080559E"/>
    <w:rsid w:val="00805AF3"/>
    <w:rsid w:val="00806C9C"/>
    <w:rsid w:val="0080734C"/>
    <w:rsid w:val="00807C82"/>
    <w:rsid w:val="00810BD0"/>
    <w:rsid w:val="008117CC"/>
    <w:rsid w:val="00811FF8"/>
    <w:rsid w:val="0081294E"/>
    <w:rsid w:val="008129AC"/>
    <w:rsid w:val="00813D58"/>
    <w:rsid w:val="00813DCA"/>
    <w:rsid w:val="0081402B"/>
    <w:rsid w:val="008161A6"/>
    <w:rsid w:val="008165B8"/>
    <w:rsid w:val="00816905"/>
    <w:rsid w:val="00816D98"/>
    <w:rsid w:val="00816E42"/>
    <w:rsid w:val="00817040"/>
    <w:rsid w:val="00817A17"/>
    <w:rsid w:val="00817EC1"/>
    <w:rsid w:val="008207D1"/>
    <w:rsid w:val="00820D2A"/>
    <w:rsid w:val="0082112D"/>
    <w:rsid w:val="00821624"/>
    <w:rsid w:val="00821FF6"/>
    <w:rsid w:val="00822490"/>
    <w:rsid w:val="00822574"/>
    <w:rsid w:val="00822980"/>
    <w:rsid w:val="00822F08"/>
    <w:rsid w:val="0082371F"/>
    <w:rsid w:val="00824BA6"/>
    <w:rsid w:val="00825120"/>
    <w:rsid w:val="00825C4D"/>
    <w:rsid w:val="00826A08"/>
    <w:rsid w:val="00826AC0"/>
    <w:rsid w:val="00827094"/>
    <w:rsid w:val="00827186"/>
    <w:rsid w:val="00827C8E"/>
    <w:rsid w:val="00830569"/>
    <w:rsid w:val="00830AEA"/>
    <w:rsid w:val="00830E86"/>
    <w:rsid w:val="0083143E"/>
    <w:rsid w:val="008315B8"/>
    <w:rsid w:val="008315D5"/>
    <w:rsid w:val="00831CDE"/>
    <w:rsid w:val="00831F2B"/>
    <w:rsid w:val="008320CF"/>
    <w:rsid w:val="008324A3"/>
    <w:rsid w:val="00832B76"/>
    <w:rsid w:val="00832F77"/>
    <w:rsid w:val="008331B4"/>
    <w:rsid w:val="00834304"/>
    <w:rsid w:val="00834336"/>
    <w:rsid w:val="00834FAA"/>
    <w:rsid w:val="008354FB"/>
    <w:rsid w:val="00835FF1"/>
    <w:rsid w:val="00836086"/>
    <w:rsid w:val="0083630F"/>
    <w:rsid w:val="008369DA"/>
    <w:rsid w:val="00836A06"/>
    <w:rsid w:val="008374BC"/>
    <w:rsid w:val="0083785E"/>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669"/>
    <w:rsid w:val="00850E83"/>
    <w:rsid w:val="0085114D"/>
    <w:rsid w:val="00851163"/>
    <w:rsid w:val="008520A8"/>
    <w:rsid w:val="00852210"/>
    <w:rsid w:val="00852217"/>
    <w:rsid w:val="00853282"/>
    <w:rsid w:val="0085334C"/>
    <w:rsid w:val="00854291"/>
    <w:rsid w:val="00855408"/>
    <w:rsid w:val="00855D03"/>
    <w:rsid w:val="00856D65"/>
    <w:rsid w:val="00856FA4"/>
    <w:rsid w:val="00860943"/>
    <w:rsid w:val="00860D79"/>
    <w:rsid w:val="00861289"/>
    <w:rsid w:val="00861B41"/>
    <w:rsid w:val="00861B9F"/>
    <w:rsid w:val="00861BE3"/>
    <w:rsid w:val="008625D3"/>
    <w:rsid w:val="008627B1"/>
    <w:rsid w:val="00862C0A"/>
    <w:rsid w:val="00863434"/>
    <w:rsid w:val="0086344F"/>
    <w:rsid w:val="00863949"/>
    <w:rsid w:val="008641AC"/>
    <w:rsid w:val="00865E4C"/>
    <w:rsid w:val="00866074"/>
    <w:rsid w:val="0086720C"/>
    <w:rsid w:val="00867546"/>
    <w:rsid w:val="0086781C"/>
    <w:rsid w:val="00867934"/>
    <w:rsid w:val="0086796D"/>
    <w:rsid w:val="00867DAB"/>
    <w:rsid w:val="0087000B"/>
    <w:rsid w:val="008701E4"/>
    <w:rsid w:val="008704E9"/>
    <w:rsid w:val="008705FB"/>
    <w:rsid w:val="00870ECD"/>
    <w:rsid w:val="008710A4"/>
    <w:rsid w:val="0087186F"/>
    <w:rsid w:val="008726F0"/>
    <w:rsid w:val="0087347C"/>
    <w:rsid w:val="008734E7"/>
    <w:rsid w:val="0087368D"/>
    <w:rsid w:val="008740CC"/>
    <w:rsid w:val="0087442A"/>
    <w:rsid w:val="00874578"/>
    <w:rsid w:val="00874FE8"/>
    <w:rsid w:val="00875A32"/>
    <w:rsid w:val="00875CC1"/>
    <w:rsid w:val="00876086"/>
    <w:rsid w:val="00876297"/>
    <w:rsid w:val="00876651"/>
    <w:rsid w:val="00876E83"/>
    <w:rsid w:val="008772BC"/>
    <w:rsid w:val="00880A0E"/>
    <w:rsid w:val="00880C61"/>
    <w:rsid w:val="00880D68"/>
    <w:rsid w:val="008817FE"/>
    <w:rsid w:val="00881CD7"/>
    <w:rsid w:val="00882911"/>
    <w:rsid w:val="00882F6E"/>
    <w:rsid w:val="00883202"/>
    <w:rsid w:val="00884E02"/>
    <w:rsid w:val="0088502B"/>
    <w:rsid w:val="008851D8"/>
    <w:rsid w:val="008854EB"/>
    <w:rsid w:val="00885D40"/>
    <w:rsid w:val="008869C4"/>
    <w:rsid w:val="008873D4"/>
    <w:rsid w:val="00890CB1"/>
    <w:rsid w:val="00891D31"/>
    <w:rsid w:val="00891EDF"/>
    <w:rsid w:val="00892872"/>
    <w:rsid w:val="0089296D"/>
    <w:rsid w:val="00893E85"/>
    <w:rsid w:val="00893EBE"/>
    <w:rsid w:val="00893F40"/>
    <w:rsid w:val="00894029"/>
    <w:rsid w:val="00894031"/>
    <w:rsid w:val="00894C5D"/>
    <w:rsid w:val="00895508"/>
    <w:rsid w:val="008964BB"/>
    <w:rsid w:val="008967E9"/>
    <w:rsid w:val="00896A5C"/>
    <w:rsid w:val="00896AA1"/>
    <w:rsid w:val="00896E33"/>
    <w:rsid w:val="008972D2"/>
    <w:rsid w:val="0089754C"/>
    <w:rsid w:val="00897CFA"/>
    <w:rsid w:val="008A0659"/>
    <w:rsid w:val="008A0ADD"/>
    <w:rsid w:val="008A0D27"/>
    <w:rsid w:val="008A1A58"/>
    <w:rsid w:val="008A1C59"/>
    <w:rsid w:val="008A29A7"/>
    <w:rsid w:val="008A37E2"/>
    <w:rsid w:val="008A388E"/>
    <w:rsid w:val="008A394E"/>
    <w:rsid w:val="008A3CBA"/>
    <w:rsid w:val="008A4B59"/>
    <w:rsid w:val="008A58DB"/>
    <w:rsid w:val="008A63E1"/>
    <w:rsid w:val="008A66B7"/>
    <w:rsid w:val="008A68BB"/>
    <w:rsid w:val="008A6AA5"/>
    <w:rsid w:val="008A7127"/>
    <w:rsid w:val="008B0CBA"/>
    <w:rsid w:val="008B0E9E"/>
    <w:rsid w:val="008B2639"/>
    <w:rsid w:val="008B3537"/>
    <w:rsid w:val="008B3690"/>
    <w:rsid w:val="008B3A80"/>
    <w:rsid w:val="008B3AEC"/>
    <w:rsid w:val="008B3C07"/>
    <w:rsid w:val="008B3F7B"/>
    <w:rsid w:val="008B43CA"/>
    <w:rsid w:val="008B5068"/>
    <w:rsid w:val="008B50AC"/>
    <w:rsid w:val="008B5324"/>
    <w:rsid w:val="008B5C99"/>
    <w:rsid w:val="008B6106"/>
    <w:rsid w:val="008B7C02"/>
    <w:rsid w:val="008B7D2B"/>
    <w:rsid w:val="008B7EF9"/>
    <w:rsid w:val="008C0049"/>
    <w:rsid w:val="008C0314"/>
    <w:rsid w:val="008C0900"/>
    <w:rsid w:val="008C0E88"/>
    <w:rsid w:val="008C0EBE"/>
    <w:rsid w:val="008C1717"/>
    <w:rsid w:val="008C17F0"/>
    <w:rsid w:val="008C1CB5"/>
    <w:rsid w:val="008C3B05"/>
    <w:rsid w:val="008C3B6A"/>
    <w:rsid w:val="008C4A3C"/>
    <w:rsid w:val="008C4B50"/>
    <w:rsid w:val="008C5A37"/>
    <w:rsid w:val="008C5AB8"/>
    <w:rsid w:val="008C7132"/>
    <w:rsid w:val="008C7569"/>
    <w:rsid w:val="008C79C3"/>
    <w:rsid w:val="008D006F"/>
    <w:rsid w:val="008D033D"/>
    <w:rsid w:val="008D0DBD"/>
    <w:rsid w:val="008D117E"/>
    <w:rsid w:val="008D127E"/>
    <w:rsid w:val="008D1CA8"/>
    <w:rsid w:val="008D1E0A"/>
    <w:rsid w:val="008D1E6A"/>
    <w:rsid w:val="008D2407"/>
    <w:rsid w:val="008D2A16"/>
    <w:rsid w:val="008D2AEC"/>
    <w:rsid w:val="008D3295"/>
    <w:rsid w:val="008D33F5"/>
    <w:rsid w:val="008D35E4"/>
    <w:rsid w:val="008D3709"/>
    <w:rsid w:val="008D3ACD"/>
    <w:rsid w:val="008D6C3A"/>
    <w:rsid w:val="008D70E2"/>
    <w:rsid w:val="008D7BFE"/>
    <w:rsid w:val="008D7F47"/>
    <w:rsid w:val="008E0001"/>
    <w:rsid w:val="008E039E"/>
    <w:rsid w:val="008E0C88"/>
    <w:rsid w:val="008E292B"/>
    <w:rsid w:val="008E2C57"/>
    <w:rsid w:val="008E31FF"/>
    <w:rsid w:val="008E3287"/>
    <w:rsid w:val="008E36AE"/>
    <w:rsid w:val="008E38E4"/>
    <w:rsid w:val="008E3DFA"/>
    <w:rsid w:val="008E51EB"/>
    <w:rsid w:val="008E5746"/>
    <w:rsid w:val="008E5925"/>
    <w:rsid w:val="008E5997"/>
    <w:rsid w:val="008E64D7"/>
    <w:rsid w:val="008E6DCB"/>
    <w:rsid w:val="008E6F06"/>
    <w:rsid w:val="008E7000"/>
    <w:rsid w:val="008E723E"/>
    <w:rsid w:val="008E7B8E"/>
    <w:rsid w:val="008E7FC9"/>
    <w:rsid w:val="008F00AE"/>
    <w:rsid w:val="008F0107"/>
    <w:rsid w:val="008F029B"/>
    <w:rsid w:val="008F04BA"/>
    <w:rsid w:val="008F0589"/>
    <w:rsid w:val="008F0FBC"/>
    <w:rsid w:val="008F2A5D"/>
    <w:rsid w:val="008F2BC7"/>
    <w:rsid w:val="008F2E83"/>
    <w:rsid w:val="008F3636"/>
    <w:rsid w:val="008F3AD4"/>
    <w:rsid w:val="008F3FC9"/>
    <w:rsid w:val="008F509F"/>
    <w:rsid w:val="008F5383"/>
    <w:rsid w:val="008F585B"/>
    <w:rsid w:val="008F7FB0"/>
    <w:rsid w:val="009003A8"/>
    <w:rsid w:val="009005E4"/>
    <w:rsid w:val="0090081B"/>
    <w:rsid w:val="00900977"/>
    <w:rsid w:val="009011BB"/>
    <w:rsid w:val="00901C7F"/>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2C6"/>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66E"/>
    <w:rsid w:val="00920EC4"/>
    <w:rsid w:val="0092180B"/>
    <w:rsid w:val="00921F14"/>
    <w:rsid w:val="00922443"/>
    <w:rsid w:val="0092276B"/>
    <w:rsid w:val="0092292F"/>
    <w:rsid w:val="00922D28"/>
    <w:rsid w:val="00923970"/>
    <w:rsid w:val="00923CB0"/>
    <w:rsid w:val="00923D8C"/>
    <w:rsid w:val="00924871"/>
    <w:rsid w:val="00924AC8"/>
    <w:rsid w:val="00924D6B"/>
    <w:rsid w:val="00925429"/>
    <w:rsid w:val="00925615"/>
    <w:rsid w:val="0092597A"/>
    <w:rsid w:val="00926520"/>
    <w:rsid w:val="009266A3"/>
    <w:rsid w:val="00926CF0"/>
    <w:rsid w:val="009273A9"/>
    <w:rsid w:val="009301B5"/>
    <w:rsid w:val="00930251"/>
    <w:rsid w:val="0093033E"/>
    <w:rsid w:val="009305FC"/>
    <w:rsid w:val="00930A99"/>
    <w:rsid w:val="00930FB1"/>
    <w:rsid w:val="0093139F"/>
    <w:rsid w:val="009318C3"/>
    <w:rsid w:val="00932239"/>
    <w:rsid w:val="00932443"/>
    <w:rsid w:val="00932B32"/>
    <w:rsid w:val="0093305E"/>
    <w:rsid w:val="00933BFC"/>
    <w:rsid w:val="00933F4A"/>
    <w:rsid w:val="009341F1"/>
    <w:rsid w:val="00934FF2"/>
    <w:rsid w:val="009358D7"/>
    <w:rsid w:val="00935BD4"/>
    <w:rsid w:val="00935DFE"/>
    <w:rsid w:val="00935F70"/>
    <w:rsid w:val="0093648B"/>
    <w:rsid w:val="00937017"/>
    <w:rsid w:val="009373B2"/>
    <w:rsid w:val="00937AE2"/>
    <w:rsid w:val="009400F5"/>
    <w:rsid w:val="0094061F"/>
    <w:rsid w:val="00940F0F"/>
    <w:rsid w:val="00941912"/>
    <w:rsid w:val="00942393"/>
    <w:rsid w:val="0094416B"/>
    <w:rsid w:val="0094427A"/>
    <w:rsid w:val="009449C6"/>
    <w:rsid w:val="00944A17"/>
    <w:rsid w:val="00944C7C"/>
    <w:rsid w:val="00945245"/>
    <w:rsid w:val="00945523"/>
    <w:rsid w:val="00946C43"/>
    <w:rsid w:val="00950921"/>
    <w:rsid w:val="009513F7"/>
    <w:rsid w:val="00951D68"/>
    <w:rsid w:val="00951E5B"/>
    <w:rsid w:val="00952050"/>
    <w:rsid w:val="00952315"/>
    <w:rsid w:val="009523D9"/>
    <w:rsid w:val="00952B7B"/>
    <w:rsid w:val="0095357B"/>
    <w:rsid w:val="009538B3"/>
    <w:rsid w:val="00953B93"/>
    <w:rsid w:val="00954F39"/>
    <w:rsid w:val="009555FD"/>
    <w:rsid w:val="00955BAD"/>
    <w:rsid w:val="0095664B"/>
    <w:rsid w:val="009568DC"/>
    <w:rsid w:val="00956F60"/>
    <w:rsid w:val="00957140"/>
    <w:rsid w:val="00957445"/>
    <w:rsid w:val="0095759C"/>
    <w:rsid w:val="00960F4F"/>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928"/>
    <w:rsid w:val="00965A10"/>
    <w:rsid w:val="00965AD0"/>
    <w:rsid w:val="009670A3"/>
    <w:rsid w:val="009674BE"/>
    <w:rsid w:val="00967675"/>
    <w:rsid w:val="00970FB5"/>
    <w:rsid w:val="009715F2"/>
    <w:rsid w:val="00971710"/>
    <w:rsid w:val="00971B87"/>
    <w:rsid w:val="00971C77"/>
    <w:rsid w:val="0097203A"/>
    <w:rsid w:val="00972FCD"/>
    <w:rsid w:val="00973324"/>
    <w:rsid w:val="009736DF"/>
    <w:rsid w:val="009741AE"/>
    <w:rsid w:val="009741FC"/>
    <w:rsid w:val="00974475"/>
    <w:rsid w:val="00974782"/>
    <w:rsid w:val="00974923"/>
    <w:rsid w:val="009757EA"/>
    <w:rsid w:val="00975909"/>
    <w:rsid w:val="0097737B"/>
    <w:rsid w:val="009774CA"/>
    <w:rsid w:val="00977C3D"/>
    <w:rsid w:val="00980C28"/>
    <w:rsid w:val="00980D3D"/>
    <w:rsid w:val="0098103E"/>
    <w:rsid w:val="0098157D"/>
    <w:rsid w:val="00983101"/>
    <w:rsid w:val="00983E41"/>
    <w:rsid w:val="009845E1"/>
    <w:rsid w:val="00984D1B"/>
    <w:rsid w:val="00986246"/>
    <w:rsid w:val="00987A30"/>
    <w:rsid w:val="00987F57"/>
    <w:rsid w:val="00990312"/>
    <w:rsid w:val="0099182E"/>
    <w:rsid w:val="00991957"/>
    <w:rsid w:val="00991D45"/>
    <w:rsid w:val="00992BB3"/>
    <w:rsid w:val="00992CF3"/>
    <w:rsid w:val="00993194"/>
    <w:rsid w:val="0099321E"/>
    <w:rsid w:val="00994171"/>
    <w:rsid w:val="00994868"/>
    <w:rsid w:val="00994976"/>
    <w:rsid w:val="00994D28"/>
    <w:rsid w:val="00994F2C"/>
    <w:rsid w:val="00995720"/>
    <w:rsid w:val="009957CC"/>
    <w:rsid w:val="009968D6"/>
    <w:rsid w:val="00996BD9"/>
    <w:rsid w:val="00997213"/>
    <w:rsid w:val="009974E8"/>
    <w:rsid w:val="00997953"/>
    <w:rsid w:val="00997D55"/>
    <w:rsid w:val="009A0349"/>
    <w:rsid w:val="009A0BFF"/>
    <w:rsid w:val="009A10A0"/>
    <w:rsid w:val="009A1CAB"/>
    <w:rsid w:val="009A2359"/>
    <w:rsid w:val="009A24F1"/>
    <w:rsid w:val="009A27E0"/>
    <w:rsid w:val="009A2DBB"/>
    <w:rsid w:val="009A4D57"/>
    <w:rsid w:val="009A5049"/>
    <w:rsid w:val="009A51A5"/>
    <w:rsid w:val="009A5309"/>
    <w:rsid w:val="009A5759"/>
    <w:rsid w:val="009A60D1"/>
    <w:rsid w:val="009A6225"/>
    <w:rsid w:val="009A64F5"/>
    <w:rsid w:val="009B00D2"/>
    <w:rsid w:val="009B05B3"/>
    <w:rsid w:val="009B0CAF"/>
    <w:rsid w:val="009B1324"/>
    <w:rsid w:val="009B2558"/>
    <w:rsid w:val="009B284F"/>
    <w:rsid w:val="009B35A0"/>
    <w:rsid w:val="009B3764"/>
    <w:rsid w:val="009B3840"/>
    <w:rsid w:val="009B52AC"/>
    <w:rsid w:val="009B553D"/>
    <w:rsid w:val="009B59EA"/>
    <w:rsid w:val="009B66CE"/>
    <w:rsid w:val="009B6A37"/>
    <w:rsid w:val="009B6FD3"/>
    <w:rsid w:val="009B72BE"/>
    <w:rsid w:val="009B78A4"/>
    <w:rsid w:val="009B7DB2"/>
    <w:rsid w:val="009C03DB"/>
    <w:rsid w:val="009C15AF"/>
    <w:rsid w:val="009C1750"/>
    <w:rsid w:val="009C1E76"/>
    <w:rsid w:val="009C243F"/>
    <w:rsid w:val="009C2E29"/>
    <w:rsid w:val="009C3032"/>
    <w:rsid w:val="009C3170"/>
    <w:rsid w:val="009C37BD"/>
    <w:rsid w:val="009C3E8F"/>
    <w:rsid w:val="009C554B"/>
    <w:rsid w:val="009C5E83"/>
    <w:rsid w:val="009C6AE5"/>
    <w:rsid w:val="009C7126"/>
    <w:rsid w:val="009C719E"/>
    <w:rsid w:val="009C7238"/>
    <w:rsid w:val="009C7799"/>
    <w:rsid w:val="009D07A9"/>
    <w:rsid w:val="009D0AE2"/>
    <w:rsid w:val="009D0D9F"/>
    <w:rsid w:val="009D0EBB"/>
    <w:rsid w:val="009D2890"/>
    <w:rsid w:val="009D2C46"/>
    <w:rsid w:val="009D3ACD"/>
    <w:rsid w:val="009D3F73"/>
    <w:rsid w:val="009D4254"/>
    <w:rsid w:val="009D4847"/>
    <w:rsid w:val="009D4F21"/>
    <w:rsid w:val="009D587D"/>
    <w:rsid w:val="009D6EA6"/>
    <w:rsid w:val="009D7731"/>
    <w:rsid w:val="009D7C31"/>
    <w:rsid w:val="009E1120"/>
    <w:rsid w:val="009E1393"/>
    <w:rsid w:val="009E1922"/>
    <w:rsid w:val="009E1A3D"/>
    <w:rsid w:val="009E3EA1"/>
    <w:rsid w:val="009E4715"/>
    <w:rsid w:val="009E4A58"/>
    <w:rsid w:val="009E5273"/>
    <w:rsid w:val="009E57A8"/>
    <w:rsid w:val="009E5B85"/>
    <w:rsid w:val="009E5DDB"/>
    <w:rsid w:val="009E74B3"/>
    <w:rsid w:val="009F1CA6"/>
    <w:rsid w:val="009F2921"/>
    <w:rsid w:val="009F42CF"/>
    <w:rsid w:val="009F4982"/>
    <w:rsid w:val="009F4CA7"/>
    <w:rsid w:val="009F4F6A"/>
    <w:rsid w:val="009F55BA"/>
    <w:rsid w:val="009F7541"/>
    <w:rsid w:val="009F7D36"/>
    <w:rsid w:val="009F7D61"/>
    <w:rsid w:val="009F7DF4"/>
    <w:rsid w:val="00A00994"/>
    <w:rsid w:val="00A009B0"/>
    <w:rsid w:val="00A00E71"/>
    <w:rsid w:val="00A0187B"/>
    <w:rsid w:val="00A02E8B"/>
    <w:rsid w:val="00A0306F"/>
    <w:rsid w:val="00A03511"/>
    <w:rsid w:val="00A03B10"/>
    <w:rsid w:val="00A03E2E"/>
    <w:rsid w:val="00A04616"/>
    <w:rsid w:val="00A04717"/>
    <w:rsid w:val="00A05D8F"/>
    <w:rsid w:val="00A05EB1"/>
    <w:rsid w:val="00A05EE4"/>
    <w:rsid w:val="00A06F99"/>
    <w:rsid w:val="00A1004C"/>
    <w:rsid w:val="00A1053B"/>
    <w:rsid w:val="00A106E6"/>
    <w:rsid w:val="00A10D66"/>
    <w:rsid w:val="00A113A4"/>
    <w:rsid w:val="00A11E70"/>
    <w:rsid w:val="00A12A8E"/>
    <w:rsid w:val="00A12CAD"/>
    <w:rsid w:val="00A12D93"/>
    <w:rsid w:val="00A133F9"/>
    <w:rsid w:val="00A14114"/>
    <w:rsid w:val="00A1576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FE1"/>
    <w:rsid w:val="00A21B4D"/>
    <w:rsid w:val="00A21ED3"/>
    <w:rsid w:val="00A22073"/>
    <w:rsid w:val="00A2229E"/>
    <w:rsid w:val="00A22361"/>
    <w:rsid w:val="00A223E0"/>
    <w:rsid w:val="00A22418"/>
    <w:rsid w:val="00A22959"/>
    <w:rsid w:val="00A2312C"/>
    <w:rsid w:val="00A23158"/>
    <w:rsid w:val="00A232D7"/>
    <w:rsid w:val="00A237C6"/>
    <w:rsid w:val="00A23847"/>
    <w:rsid w:val="00A23E43"/>
    <w:rsid w:val="00A24726"/>
    <w:rsid w:val="00A24DEB"/>
    <w:rsid w:val="00A24ED9"/>
    <w:rsid w:val="00A251DB"/>
    <w:rsid w:val="00A25216"/>
    <w:rsid w:val="00A252AC"/>
    <w:rsid w:val="00A2597D"/>
    <w:rsid w:val="00A2628E"/>
    <w:rsid w:val="00A264E0"/>
    <w:rsid w:val="00A264F5"/>
    <w:rsid w:val="00A266BF"/>
    <w:rsid w:val="00A26777"/>
    <w:rsid w:val="00A2731E"/>
    <w:rsid w:val="00A309AC"/>
    <w:rsid w:val="00A30F65"/>
    <w:rsid w:val="00A315D0"/>
    <w:rsid w:val="00A3279E"/>
    <w:rsid w:val="00A33DB1"/>
    <w:rsid w:val="00A33EEB"/>
    <w:rsid w:val="00A35900"/>
    <w:rsid w:val="00A35982"/>
    <w:rsid w:val="00A35F33"/>
    <w:rsid w:val="00A36E9D"/>
    <w:rsid w:val="00A401A3"/>
    <w:rsid w:val="00A4064D"/>
    <w:rsid w:val="00A40EAC"/>
    <w:rsid w:val="00A418BC"/>
    <w:rsid w:val="00A419FF"/>
    <w:rsid w:val="00A41FCF"/>
    <w:rsid w:val="00A42593"/>
    <w:rsid w:val="00A42936"/>
    <w:rsid w:val="00A433ED"/>
    <w:rsid w:val="00A43CF8"/>
    <w:rsid w:val="00A43DF2"/>
    <w:rsid w:val="00A445A8"/>
    <w:rsid w:val="00A44ADE"/>
    <w:rsid w:val="00A44B0D"/>
    <w:rsid w:val="00A44D21"/>
    <w:rsid w:val="00A45087"/>
    <w:rsid w:val="00A45489"/>
    <w:rsid w:val="00A45858"/>
    <w:rsid w:val="00A45988"/>
    <w:rsid w:val="00A45CED"/>
    <w:rsid w:val="00A465E9"/>
    <w:rsid w:val="00A468E7"/>
    <w:rsid w:val="00A46DE0"/>
    <w:rsid w:val="00A478BA"/>
    <w:rsid w:val="00A50D73"/>
    <w:rsid w:val="00A518BB"/>
    <w:rsid w:val="00A52A88"/>
    <w:rsid w:val="00A52CAD"/>
    <w:rsid w:val="00A53340"/>
    <w:rsid w:val="00A53FC7"/>
    <w:rsid w:val="00A55569"/>
    <w:rsid w:val="00A55C36"/>
    <w:rsid w:val="00A5661B"/>
    <w:rsid w:val="00A566A0"/>
    <w:rsid w:val="00A571D8"/>
    <w:rsid w:val="00A600E7"/>
    <w:rsid w:val="00A601E7"/>
    <w:rsid w:val="00A60AC1"/>
    <w:rsid w:val="00A626FF"/>
    <w:rsid w:val="00A62CB0"/>
    <w:rsid w:val="00A62CE1"/>
    <w:rsid w:val="00A65469"/>
    <w:rsid w:val="00A65528"/>
    <w:rsid w:val="00A655D3"/>
    <w:rsid w:val="00A662D9"/>
    <w:rsid w:val="00A6630C"/>
    <w:rsid w:val="00A6741E"/>
    <w:rsid w:val="00A67E29"/>
    <w:rsid w:val="00A7016A"/>
    <w:rsid w:val="00A7018D"/>
    <w:rsid w:val="00A7191D"/>
    <w:rsid w:val="00A722F9"/>
    <w:rsid w:val="00A72D42"/>
    <w:rsid w:val="00A73DB6"/>
    <w:rsid w:val="00A746C9"/>
    <w:rsid w:val="00A74C2A"/>
    <w:rsid w:val="00A75E40"/>
    <w:rsid w:val="00A76818"/>
    <w:rsid w:val="00A777FE"/>
    <w:rsid w:val="00A77D1D"/>
    <w:rsid w:val="00A77E6B"/>
    <w:rsid w:val="00A81652"/>
    <w:rsid w:val="00A82BF0"/>
    <w:rsid w:val="00A82C91"/>
    <w:rsid w:val="00A83150"/>
    <w:rsid w:val="00A83398"/>
    <w:rsid w:val="00A8394B"/>
    <w:rsid w:val="00A83D6E"/>
    <w:rsid w:val="00A83FD5"/>
    <w:rsid w:val="00A8521A"/>
    <w:rsid w:val="00A85323"/>
    <w:rsid w:val="00A853BF"/>
    <w:rsid w:val="00A857C0"/>
    <w:rsid w:val="00A85ACB"/>
    <w:rsid w:val="00A85DE3"/>
    <w:rsid w:val="00A85F12"/>
    <w:rsid w:val="00A86FEF"/>
    <w:rsid w:val="00A9036F"/>
    <w:rsid w:val="00A9092B"/>
    <w:rsid w:val="00A90F2C"/>
    <w:rsid w:val="00A90FED"/>
    <w:rsid w:val="00A91482"/>
    <w:rsid w:val="00A9189D"/>
    <w:rsid w:val="00A91E71"/>
    <w:rsid w:val="00A925B1"/>
    <w:rsid w:val="00A92A3E"/>
    <w:rsid w:val="00A934F9"/>
    <w:rsid w:val="00A938E0"/>
    <w:rsid w:val="00A940E3"/>
    <w:rsid w:val="00A942B7"/>
    <w:rsid w:val="00A94983"/>
    <w:rsid w:val="00A94DF9"/>
    <w:rsid w:val="00A9532C"/>
    <w:rsid w:val="00A95A5C"/>
    <w:rsid w:val="00A95F1A"/>
    <w:rsid w:val="00A96116"/>
    <w:rsid w:val="00A9614E"/>
    <w:rsid w:val="00A96422"/>
    <w:rsid w:val="00A96C0F"/>
    <w:rsid w:val="00A97075"/>
    <w:rsid w:val="00A970D7"/>
    <w:rsid w:val="00AA0A80"/>
    <w:rsid w:val="00AA0E80"/>
    <w:rsid w:val="00AA16F4"/>
    <w:rsid w:val="00AA17CD"/>
    <w:rsid w:val="00AA1D85"/>
    <w:rsid w:val="00AA212B"/>
    <w:rsid w:val="00AA212F"/>
    <w:rsid w:val="00AA2130"/>
    <w:rsid w:val="00AA2648"/>
    <w:rsid w:val="00AA26A9"/>
    <w:rsid w:val="00AA28FC"/>
    <w:rsid w:val="00AA2996"/>
    <w:rsid w:val="00AA2AF4"/>
    <w:rsid w:val="00AA3B9F"/>
    <w:rsid w:val="00AA4282"/>
    <w:rsid w:val="00AA43F2"/>
    <w:rsid w:val="00AA4790"/>
    <w:rsid w:val="00AA52BF"/>
    <w:rsid w:val="00AA559A"/>
    <w:rsid w:val="00AA67D6"/>
    <w:rsid w:val="00AA6C31"/>
    <w:rsid w:val="00AA7752"/>
    <w:rsid w:val="00AA7CE8"/>
    <w:rsid w:val="00AB1457"/>
    <w:rsid w:val="00AB2AF1"/>
    <w:rsid w:val="00AB32CB"/>
    <w:rsid w:val="00AB348F"/>
    <w:rsid w:val="00AB3AD7"/>
    <w:rsid w:val="00AB3BA7"/>
    <w:rsid w:val="00AB3EC7"/>
    <w:rsid w:val="00AB5A64"/>
    <w:rsid w:val="00AB5CA1"/>
    <w:rsid w:val="00AB6395"/>
    <w:rsid w:val="00AB6456"/>
    <w:rsid w:val="00AB75C5"/>
    <w:rsid w:val="00AC044E"/>
    <w:rsid w:val="00AC2118"/>
    <w:rsid w:val="00AC2395"/>
    <w:rsid w:val="00AC271D"/>
    <w:rsid w:val="00AC2960"/>
    <w:rsid w:val="00AC2AC4"/>
    <w:rsid w:val="00AC4284"/>
    <w:rsid w:val="00AC45BD"/>
    <w:rsid w:val="00AC50BB"/>
    <w:rsid w:val="00AC5256"/>
    <w:rsid w:val="00AC5AA9"/>
    <w:rsid w:val="00AC78F1"/>
    <w:rsid w:val="00AD0B22"/>
    <w:rsid w:val="00AD0EE7"/>
    <w:rsid w:val="00AD168E"/>
    <w:rsid w:val="00AD2530"/>
    <w:rsid w:val="00AD306C"/>
    <w:rsid w:val="00AD3A14"/>
    <w:rsid w:val="00AD44CD"/>
    <w:rsid w:val="00AD47A7"/>
    <w:rsid w:val="00AD5AD2"/>
    <w:rsid w:val="00AD6462"/>
    <w:rsid w:val="00AD66C5"/>
    <w:rsid w:val="00AD68C4"/>
    <w:rsid w:val="00AD71F9"/>
    <w:rsid w:val="00AE09B3"/>
    <w:rsid w:val="00AE1311"/>
    <w:rsid w:val="00AE18FB"/>
    <w:rsid w:val="00AE1A83"/>
    <w:rsid w:val="00AE2C25"/>
    <w:rsid w:val="00AE30BE"/>
    <w:rsid w:val="00AE3858"/>
    <w:rsid w:val="00AE3DAA"/>
    <w:rsid w:val="00AE3E6A"/>
    <w:rsid w:val="00AE417E"/>
    <w:rsid w:val="00AE56EE"/>
    <w:rsid w:val="00AE6414"/>
    <w:rsid w:val="00AE6A0F"/>
    <w:rsid w:val="00AE7269"/>
    <w:rsid w:val="00AE7739"/>
    <w:rsid w:val="00AE797C"/>
    <w:rsid w:val="00AE7CE7"/>
    <w:rsid w:val="00AE7FAB"/>
    <w:rsid w:val="00AF0DE4"/>
    <w:rsid w:val="00AF12A0"/>
    <w:rsid w:val="00AF1E87"/>
    <w:rsid w:val="00AF436B"/>
    <w:rsid w:val="00AF50DD"/>
    <w:rsid w:val="00AF5179"/>
    <w:rsid w:val="00AF5CC2"/>
    <w:rsid w:val="00AF660D"/>
    <w:rsid w:val="00AF6776"/>
    <w:rsid w:val="00AF6D54"/>
    <w:rsid w:val="00AF6F98"/>
    <w:rsid w:val="00AF7277"/>
    <w:rsid w:val="00B00550"/>
    <w:rsid w:val="00B00913"/>
    <w:rsid w:val="00B00D4D"/>
    <w:rsid w:val="00B01593"/>
    <w:rsid w:val="00B018DF"/>
    <w:rsid w:val="00B01D0F"/>
    <w:rsid w:val="00B01FF9"/>
    <w:rsid w:val="00B023F2"/>
    <w:rsid w:val="00B026FE"/>
    <w:rsid w:val="00B0271F"/>
    <w:rsid w:val="00B038CA"/>
    <w:rsid w:val="00B049A5"/>
    <w:rsid w:val="00B05F00"/>
    <w:rsid w:val="00B06DB4"/>
    <w:rsid w:val="00B07132"/>
    <w:rsid w:val="00B0750D"/>
    <w:rsid w:val="00B07674"/>
    <w:rsid w:val="00B07850"/>
    <w:rsid w:val="00B0799C"/>
    <w:rsid w:val="00B102CE"/>
    <w:rsid w:val="00B108C1"/>
    <w:rsid w:val="00B10A4D"/>
    <w:rsid w:val="00B10B82"/>
    <w:rsid w:val="00B10C90"/>
    <w:rsid w:val="00B11002"/>
    <w:rsid w:val="00B1114F"/>
    <w:rsid w:val="00B11A78"/>
    <w:rsid w:val="00B11B59"/>
    <w:rsid w:val="00B121B2"/>
    <w:rsid w:val="00B12B59"/>
    <w:rsid w:val="00B131B1"/>
    <w:rsid w:val="00B13671"/>
    <w:rsid w:val="00B141B6"/>
    <w:rsid w:val="00B14BC1"/>
    <w:rsid w:val="00B14E93"/>
    <w:rsid w:val="00B154DE"/>
    <w:rsid w:val="00B162C3"/>
    <w:rsid w:val="00B16DD1"/>
    <w:rsid w:val="00B16EB8"/>
    <w:rsid w:val="00B1700A"/>
    <w:rsid w:val="00B17E71"/>
    <w:rsid w:val="00B17FDE"/>
    <w:rsid w:val="00B20632"/>
    <w:rsid w:val="00B22210"/>
    <w:rsid w:val="00B22DD8"/>
    <w:rsid w:val="00B233BF"/>
    <w:rsid w:val="00B2379C"/>
    <w:rsid w:val="00B23D5D"/>
    <w:rsid w:val="00B23E6E"/>
    <w:rsid w:val="00B2450C"/>
    <w:rsid w:val="00B2464B"/>
    <w:rsid w:val="00B2501C"/>
    <w:rsid w:val="00B2687D"/>
    <w:rsid w:val="00B276F5"/>
    <w:rsid w:val="00B3108D"/>
    <w:rsid w:val="00B310AC"/>
    <w:rsid w:val="00B32DDB"/>
    <w:rsid w:val="00B32F31"/>
    <w:rsid w:val="00B32F57"/>
    <w:rsid w:val="00B3345C"/>
    <w:rsid w:val="00B343C4"/>
    <w:rsid w:val="00B34528"/>
    <w:rsid w:val="00B34750"/>
    <w:rsid w:val="00B34CC9"/>
    <w:rsid w:val="00B34CDA"/>
    <w:rsid w:val="00B3563B"/>
    <w:rsid w:val="00B36BDC"/>
    <w:rsid w:val="00B37D3A"/>
    <w:rsid w:val="00B37D96"/>
    <w:rsid w:val="00B402FC"/>
    <w:rsid w:val="00B422E2"/>
    <w:rsid w:val="00B42517"/>
    <w:rsid w:val="00B42D5F"/>
    <w:rsid w:val="00B43216"/>
    <w:rsid w:val="00B43496"/>
    <w:rsid w:val="00B439DA"/>
    <w:rsid w:val="00B44097"/>
    <w:rsid w:val="00B4411A"/>
    <w:rsid w:val="00B44504"/>
    <w:rsid w:val="00B44566"/>
    <w:rsid w:val="00B45FE8"/>
    <w:rsid w:val="00B46604"/>
    <w:rsid w:val="00B47089"/>
    <w:rsid w:val="00B47587"/>
    <w:rsid w:val="00B5150A"/>
    <w:rsid w:val="00B51B36"/>
    <w:rsid w:val="00B52151"/>
    <w:rsid w:val="00B52188"/>
    <w:rsid w:val="00B530CD"/>
    <w:rsid w:val="00B53639"/>
    <w:rsid w:val="00B53C7D"/>
    <w:rsid w:val="00B53E56"/>
    <w:rsid w:val="00B55311"/>
    <w:rsid w:val="00B5597E"/>
    <w:rsid w:val="00B55A97"/>
    <w:rsid w:val="00B55F5E"/>
    <w:rsid w:val="00B5601B"/>
    <w:rsid w:val="00B56196"/>
    <w:rsid w:val="00B5642C"/>
    <w:rsid w:val="00B5658D"/>
    <w:rsid w:val="00B56B6F"/>
    <w:rsid w:val="00B5752E"/>
    <w:rsid w:val="00B60AC1"/>
    <w:rsid w:val="00B61FF6"/>
    <w:rsid w:val="00B62316"/>
    <w:rsid w:val="00B63A11"/>
    <w:rsid w:val="00B64425"/>
    <w:rsid w:val="00B64C24"/>
    <w:rsid w:val="00B64E72"/>
    <w:rsid w:val="00B65CEF"/>
    <w:rsid w:val="00B6608F"/>
    <w:rsid w:val="00B67749"/>
    <w:rsid w:val="00B679FB"/>
    <w:rsid w:val="00B67CA1"/>
    <w:rsid w:val="00B71FBF"/>
    <w:rsid w:val="00B734A0"/>
    <w:rsid w:val="00B73A14"/>
    <w:rsid w:val="00B73B91"/>
    <w:rsid w:val="00B74306"/>
    <w:rsid w:val="00B748BD"/>
    <w:rsid w:val="00B74FD7"/>
    <w:rsid w:val="00B754D6"/>
    <w:rsid w:val="00B76100"/>
    <w:rsid w:val="00B7680F"/>
    <w:rsid w:val="00B76B48"/>
    <w:rsid w:val="00B76D1E"/>
    <w:rsid w:val="00B77543"/>
    <w:rsid w:val="00B77584"/>
    <w:rsid w:val="00B77D23"/>
    <w:rsid w:val="00B77E34"/>
    <w:rsid w:val="00B80D44"/>
    <w:rsid w:val="00B80D89"/>
    <w:rsid w:val="00B80EC6"/>
    <w:rsid w:val="00B81288"/>
    <w:rsid w:val="00B8128A"/>
    <w:rsid w:val="00B81D70"/>
    <w:rsid w:val="00B81EBC"/>
    <w:rsid w:val="00B833B9"/>
    <w:rsid w:val="00B83AAF"/>
    <w:rsid w:val="00B83E07"/>
    <w:rsid w:val="00B84CF6"/>
    <w:rsid w:val="00B85016"/>
    <w:rsid w:val="00B8561A"/>
    <w:rsid w:val="00B86628"/>
    <w:rsid w:val="00B86643"/>
    <w:rsid w:val="00B868F7"/>
    <w:rsid w:val="00B86EB1"/>
    <w:rsid w:val="00B871A7"/>
    <w:rsid w:val="00B8792C"/>
    <w:rsid w:val="00B90131"/>
    <w:rsid w:val="00B9215C"/>
    <w:rsid w:val="00B9225C"/>
    <w:rsid w:val="00B92951"/>
    <w:rsid w:val="00B92D1D"/>
    <w:rsid w:val="00B92D7E"/>
    <w:rsid w:val="00B930CE"/>
    <w:rsid w:val="00B938C5"/>
    <w:rsid w:val="00B940A8"/>
    <w:rsid w:val="00B9554A"/>
    <w:rsid w:val="00B95940"/>
    <w:rsid w:val="00B95ACA"/>
    <w:rsid w:val="00B95C12"/>
    <w:rsid w:val="00B96035"/>
    <w:rsid w:val="00B96D74"/>
    <w:rsid w:val="00B9720E"/>
    <w:rsid w:val="00B973A0"/>
    <w:rsid w:val="00B97ACC"/>
    <w:rsid w:val="00B97FE2"/>
    <w:rsid w:val="00BA0E0B"/>
    <w:rsid w:val="00BA201A"/>
    <w:rsid w:val="00BA21DF"/>
    <w:rsid w:val="00BA2C4A"/>
    <w:rsid w:val="00BA361D"/>
    <w:rsid w:val="00BA3787"/>
    <w:rsid w:val="00BA403A"/>
    <w:rsid w:val="00BA4085"/>
    <w:rsid w:val="00BA4287"/>
    <w:rsid w:val="00BA46E8"/>
    <w:rsid w:val="00BA49DB"/>
    <w:rsid w:val="00BA4AE9"/>
    <w:rsid w:val="00BA4E19"/>
    <w:rsid w:val="00BA6436"/>
    <w:rsid w:val="00BA64F2"/>
    <w:rsid w:val="00BA684E"/>
    <w:rsid w:val="00BA6C2B"/>
    <w:rsid w:val="00BA7B64"/>
    <w:rsid w:val="00BB02A3"/>
    <w:rsid w:val="00BB0351"/>
    <w:rsid w:val="00BB0D48"/>
    <w:rsid w:val="00BB1209"/>
    <w:rsid w:val="00BB15C3"/>
    <w:rsid w:val="00BB1AF4"/>
    <w:rsid w:val="00BB2202"/>
    <w:rsid w:val="00BB3C6B"/>
    <w:rsid w:val="00BB3FD6"/>
    <w:rsid w:val="00BB453F"/>
    <w:rsid w:val="00BB46F3"/>
    <w:rsid w:val="00BB4A71"/>
    <w:rsid w:val="00BB4CB1"/>
    <w:rsid w:val="00BB4F98"/>
    <w:rsid w:val="00BB50C0"/>
    <w:rsid w:val="00BB5AB2"/>
    <w:rsid w:val="00BB5ABF"/>
    <w:rsid w:val="00BB6EA2"/>
    <w:rsid w:val="00BB7142"/>
    <w:rsid w:val="00BB76F3"/>
    <w:rsid w:val="00BB7B5B"/>
    <w:rsid w:val="00BB7EB1"/>
    <w:rsid w:val="00BC003F"/>
    <w:rsid w:val="00BC060A"/>
    <w:rsid w:val="00BC0930"/>
    <w:rsid w:val="00BC1537"/>
    <w:rsid w:val="00BC327F"/>
    <w:rsid w:val="00BC3512"/>
    <w:rsid w:val="00BC4A8C"/>
    <w:rsid w:val="00BC4B35"/>
    <w:rsid w:val="00BC50BE"/>
    <w:rsid w:val="00BC5332"/>
    <w:rsid w:val="00BC5715"/>
    <w:rsid w:val="00BC5C12"/>
    <w:rsid w:val="00BC641B"/>
    <w:rsid w:val="00BC69C7"/>
    <w:rsid w:val="00BC7154"/>
    <w:rsid w:val="00BC731E"/>
    <w:rsid w:val="00BC7614"/>
    <w:rsid w:val="00BC7BCB"/>
    <w:rsid w:val="00BC7EFA"/>
    <w:rsid w:val="00BD041B"/>
    <w:rsid w:val="00BD25BB"/>
    <w:rsid w:val="00BD2AF8"/>
    <w:rsid w:val="00BD366B"/>
    <w:rsid w:val="00BD3C09"/>
    <w:rsid w:val="00BD410B"/>
    <w:rsid w:val="00BD41DB"/>
    <w:rsid w:val="00BD4A73"/>
    <w:rsid w:val="00BD4EDD"/>
    <w:rsid w:val="00BD4EF4"/>
    <w:rsid w:val="00BD4EFA"/>
    <w:rsid w:val="00BD5822"/>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70AF"/>
    <w:rsid w:val="00BE7F5F"/>
    <w:rsid w:val="00BF02C8"/>
    <w:rsid w:val="00BF1481"/>
    <w:rsid w:val="00BF1578"/>
    <w:rsid w:val="00BF15CA"/>
    <w:rsid w:val="00BF1D12"/>
    <w:rsid w:val="00BF1D3A"/>
    <w:rsid w:val="00BF2B5B"/>
    <w:rsid w:val="00BF2D41"/>
    <w:rsid w:val="00BF3274"/>
    <w:rsid w:val="00BF32DC"/>
    <w:rsid w:val="00BF35C9"/>
    <w:rsid w:val="00BF4329"/>
    <w:rsid w:val="00BF4E43"/>
    <w:rsid w:val="00BF53D9"/>
    <w:rsid w:val="00BF5C4C"/>
    <w:rsid w:val="00BF765C"/>
    <w:rsid w:val="00BF77FC"/>
    <w:rsid w:val="00C000A4"/>
    <w:rsid w:val="00C006D6"/>
    <w:rsid w:val="00C00BD7"/>
    <w:rsid w:val="00C01410"/>
    <w:rsid w:val="00C015C0"/>
    <w:rsid w:val="00C02D23"/>
    <w:rsid w:val="00C03D4D"/>
    <w:rsid w:val="00C044F4"/>
    <w:rsid w:val="00C04B78"/>
    <w:rsid w:val="00C052AA"/>
    <w:rsid w:val="00C06EE3"/>
    <w:rsid w:val="00C07279"/>
    <w:rsid w:val="00C07749"/>
    <w:rsid w:val="00C07C67"/>
    <w:rsid w:val="00C102FB"/>
    <w:rsid w:val="00C107F8"/>
    <w:rsid w:val="00C11244"/>
    <w:rsid w:val="00C118A9"/>
    <w:rsid w:val="00C11D48"/>
    <w:rsid w:val="00C12304"/>
    <w:rsid w:val="00C12316"/>
    <w:rsid w:val="00C1234A"/>
    <w:rsid w:val="00C1246C"/>
    <w:rsid w:val="00C139F8"/>
    <w:rsid w:val="00C141AD"/>
    <w:rsid w:val="00C1493E"/>
    <w:rsid w:val="00C15708"/>
    <w:rsid w:val="00C15DBD"/>
    <w:rsid w:val="00C161C5"/>
    <w:rsid w:val="00C16DD1"/>
    <w:rsid w:val="00C172F7"/>
    <w:rsid w:val="00C2010D"/>
    <w:rsid w:val="00C20CB5"/>
    <w:rsid w:val="00C20DE9"/>
    <w:rsid w:val="00C21430"/>
    <w:rsid w:val="00C216DF"/>
    <w:rsid w:val="00C21E61"/>
    <w:rsid w:val="00C21F94"/>
    <w:rsid w:val="00C224BD"/>
    <w:rsid w:val="00C2272B"/>
    <w:rsid w:val="00C234DB"/>
    <w:rsid w:val="00C23C5C"/>
    <w:rsid w:val="00C2479A"/>
    <w:rsid w:val="00C24903"/>
    <w:rsid w:val="00C2590D"/>
    <w:rsid w:val="00C25D9C"/>
    <w:rsid w:val="00C27913"/>
    <w:rsid w:val="00C27FA7"/>
    <w:rsid w:val="00C300E2"/>
    <w:rsid w:val="00C31B76"/>
    <w:rsid w:val="00C31F21"/>
    <w:rsid w:val="00C32631"/>
    <w:rsid w:val="00C33301"/>
    <w:rsid w:val="00C33311"/>
    <w:rsid w:val="00C33B68"/>
    <w:rsid w:val="00C34430"/>
    <w:rsid w:val="00C34AD4"/>
    <w:rsid w:val="00C35570"/>
    <w:rsid w:val="00C3566B"/>
    <w:rsid w:val="00C35A2A"/>
    <w:rsid w:val="00C36A79"/>
    <w:rsid w:val="00C37234"/>
    <w:rsid w:val="00C401A9"/>
    <w:rsid w:val="00C401D2"/>
    <w:rsid w:val="00C4031A"/>
    <w:rsid w:val="00C405D4"/>
    <w:rsid w:val="00C419D5"/>
    <w:rsid w:val="00C41D54"/>
    <w:rsid w:val="00C42EBB"/>
    <w:rsid w:val="00C44644"/>
    <w:rsid w:val="00C4513B"/>
    <w:rsid w:val="00C475E8"/>
    <w:rsid w:val="00C50E79"/>
    <w:rsid w:val="00C5197D"/>
    <w:rsid w:val="00C525FB"/>
    <w:rsid w:val="00C5390B"/>
    <w:rsid w:val="00C53E99"/>
    <w:rsid w:val="00C54257"/>
    <w:rsid w:val="00C54697"/>
    <w:rsid w:val="00C550CE"/>
    <w:rsid w:val="00C553A5"/>
    <w:rsid w:val="00C55402"/>
    <w:rsid w:val="00C5603B"/>
    <w:rsid w:val="00C60AE3"/>
    <w:rsid w:val="00C61299"/>
    <w:rsid w:val="00C61F47"/>
    <w:rsid w:val="00C62828"/>
    <w:rsid w:val="00C63D91"/>
    <w:rsid w:val="00C655DA"/>
    <w:rsid w:val="00C672C1"/>
    <w:rsid w:val="00C706D2"/>
    <w:rsid w:val="00C7109C"/>
    <w:rsid w:val="00C715CC"/>
    <w:rsid w:val="00C719A3"/>
    <w:rsid w:val="00C71D2F"/>
    <w:rsid w:val="00C71D71"/>
    <w:rsid w:val="00C723DE"/>
    <w:rsid w:val="00C72984"/>
    <w:rsid w:val="00C73885"/>
    <w:rsid w:val="00C73C93"/>
    <w:rsid w:val="00C7435A"/>
    <w:rsid w:val="00C747B1"/>
    <w:rsid w:val="00C74FD1"/>
    <w:rsid w:val="00C753DD"/>
    <w:rsid w:val="00C75510"/>
    <w:rsid w:val="00C755F9"/>
    <w:rsid w:val="00C75752"/>
    <w:rsid w:val="00C75B60"/>
    <w:rsid w:val="00C761EC"/>
    <w:rsid w:val="00C76C2F"/>
    <w:rsid w:val="00C7704F"/>
    <w:rsid w:val="00C770C9"/>
    <w:rsid w:val="00C8090B"/>
    <w:rsid w:val="00C81070"/>
    <w:rsid w:val="00C8174E"/>
    <w:rsid w:val="00C8182D"/>
    <w:rsid w:val="00C82191"/>
    <w:rsid w:val="00C83134"/>
    <w:rsid w:val="00C831E7"/>
    <w:rsid w:val="00C832F3"/>
    <w:rsid w:val="00C84307"/>
    <w:rsid w:val="00C845A4"/>
    <w:rsid w:val="00C85545"/>
    <w:rsid w:val="00C855B5"/>
    <w:rsid w:val="00C85F0E"/>
    <w:rsid w:val="00C867F9"/>
    <w:rsid w:val="00C872AA"/>
    <w:rsid w:val="00C87817"/>
    <w:rsid w:val="00C87C6B"/>
    <w:rsid w:val="00C90357"/>
    <w:rsid w:val="00C90CF4"/>
    <w:rsid w:val="00C91C20"/>
    <w:rsid w:val="00C922DE"/>
    <w:rsid w:val="00C92843"/>
    <w:rsid w:val="00C92EB6"/>
    <w:rsid w:val="00C93389"/>
    <w:rsid w:val="00C948E6"/>
    <w:rsid w:val="00C94CDD"/>
    <w:rsid w:val="00C95123"/>
    <w:rsid w:val="00C95CB1"/>
    <w:rsid w:val="00C97588"/>
    <w:rsid w:val="00CA0346"/>
    <w:rsid w:val="00CA0BD5"/>
    <w:rsid w:val="00CA0DA1"/>
    <w:rsid w:val="00CA1BD6"/>
    <w:rsid w:val="00CA37FF"/>
    <w:rsid w:val="00CA423A"/>
    <w:rsid w:val="00CA47BC"/>
    <w:rsid w:val="00CA5EAD"/>
    <w:rsid w:val="00CA5EBE"/>
    <w:rsid w:val="00CA6AB4"/>
    <w:rsid w:val="00CA7255"/>
    <w:rsid w:val="00CA79E2"/>
    <w:rsid w:val="00CB0E4A"/>
    <w:rsid w:val="00CB111E"/>
    <w:rsid w:val="00CB1BEE"/>
    <w:rsid w:val="00CB2351"/>
    <w:rsid w:val="00CB2AA2"/>
    <w:rsid w:val="00CB4022"/>
    <w:rsid w:val="00CB4930"/>
    <w:rsid w:val="00CB4BA9"/>
    <w:rsid w:val="00CB4C48"/>
    <w:rsid w:val="00CB4C63"/>
    <w:rsid w:val="00CB5A48"/>
    <w:rsid w:val="00CB5E10"/>
    <w:rsid w:val="00CB613B"/>
    <w:rsid w:val="00CB6152"/>
    <w:rsid w:val="00CB64E1"/>
    <w:rsid w:val="00CB6C6F"/>
    <w:rsid w:val="00CB6E4D"/>
    <w:rsid w:val="00CB7D69"/>
    <w:rsid w:val="00CC009B"/>
    <w:rsid w:val="00CC0834"/>
    <w:rsid w:val="00CC0AEA"/>
    <w:rsid w:val="00CC20FE"/>
    <w:rsid w:val="00CC225C"/>
    <w:rsid w:val="00CC2E7D"/>
    <w:rsid w:val="00CC469E"/>
    <w:rsid w:val="00CC5BE8"/>
    <w:rsid w:val="00CC612B"/>
    <w:rsid w:val="00CC655F"/>
    <w:rsid w:val="00CC66F9"/>
    <w:rsid w:val="00CC6C2A"/>
    <w:rsid w:val="00CC6E69"/>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AF5"/>
    <w:rsid w:val="00CD2B78"/>
    <w:rsid w:val="00CD3866"/>
    <w:rsid w:val="00CD3FAB"/>
    <w:rsid w:val="00CD5456"/>
    <w:rsid w:val="00CD5C3E"/>
    <w:rsid w:val="00CD5C57"/>
    <w:rsid w:val="00CD6331"/>
    <w:rsid w:val="00CD7E9E"/>
    <w:rsid w:val="00CE03DD"/>
    <w:rsid w:val="00CE14BE"/>
    <w:rsid w:val="00CE17A4"/>
    <w:rsid w:val="00CE1BA9"/>
    <w:rsid w:val="00CE2D8F"/>
    <w:rsid w:val="00CE3532"/>
    <w:rsid w:val="00CE3E48"/>
    <w:rsid w:val="00CE46C0"/>
    <w:rsid w:val="00CE47B8"/>
    <w:rsid w:val="00CE4DAB"/>
    <w:rsid w:val="00CE4F15"/>
    <w:rsid w:val="00CE54FD"/>
    <w:rsid w:val="00CE5C92"/>
    <w:rsid w:val="00CE5E12"/>
    <w:rsid w:val="00CE62FA"/>
    <w:rsid w:val="00CE670B"/>
    <w:rsid w:val="00CE6833"/>
    <w:rsid w:val="00CE7562"/>
    <w:rsid w:val="00CF020B"/>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2E1"/>
    <w:rsid w:val="00D03A72"/>
    <w:rsid w:val="00D03BAE"/>
    <w:rsid w:val="00D040DD"/>
    <w:rsid w:val="00D04134"/>
    <w:rsid w:val="00D05C65"/>
    <w:rsid w:val="00D060D1"/>
    <w:rsid w:val="00D06B56"/>
    <w:rsid w:val="00D06D68"/>
    <w:rsid w:val="00D075BE"/>
    <w:rsid w:val="00D07AFF"/>
    <w:rsid w:val="00D10C15"/>
    <w:rsid w:val="00D11011"/>
    <w:rsid w:val="00D11476"/>
    <w:rsid w:val="00D12C25"/>
    <w:rsid w:val="00D133B4"/>
    <w:rsid w:val="00D13986"/>
    <w:rsid w:val="00D13F3E"/>
    <w:rsid w:val="00D14C5B"/>
    <w:rsid w:val="00D15FED"/>
    <w:rsid w:val="00D16712"/>
    <w:rsid w:val="00D20B69"/>
    <w:rsid w:val="00D214EF"/>
    <w:rsid w:val="00D215B0"/>
    <w:rsid w:val="00D21D6D"/>
    <w:rsid w:val="00D21D83"/>
    <w:rsid w:val="00D22A47"/>
    <w:rsid w:val="00D23331"/>
    <w:rsid w:val="00D235B7"/>
    <w:rsid w:val="00D23A99"/>
    <w:rsid w:val="00D23FAE"/>
    <w:rsid w:val="00D2455B"/>
    <w:rsid w:val="00D25F28"/>
    <w:rsid w:val="00D26071"/>
    <w:rsid w:val="00D260C7"/>
    <w:rsid w:val="00D269B9"/>
    <w:rsid w:val="00D273F7"/>
    <w:rsid w:val="00D2793E"/>
    <w:rsid w:val="00D27973"/>
    <w:rsid w:val="00D27F3A"/>
    <w:rsid w:val="00D3008B"/>
    <w:rsid w:val="00D31537"/>
    <w:rsid w:val="00D31E1E"/>
    <w:rsid w:val="00D31F1F"/>
    <w:rsid w:val="00D322A0"/>
    <w:rsid w:val="00D32824"/>
    <w:rsid w:val="00D334E2"/>
    <w:rsid w:val="00D350B1"/>
    <w:rsid w:val="00D35123"/>
    <w:rsid w:val="00D355CB"/>
    <w:rsid w:val="00D35AD6"/>
    <w:rsid w:val="00D35BBB"/>
    <w:rsid w:val="00D35E1A"/>
    <w:rsid w:val="00D36B0A"/>
    <w:rsid w:val="00D36DFB"/>
    <w:rsid w:val="00D36E1C"/>
    <w:rsid w:val="00D373AF"/>
    <w:rsid w:val="00D40556"/>
    <w:rsid w:val="00D406C8"/>
    <w:rsid w:val="00D40824"/>
    <w:rsid w:val="00D41829"/>
    <w:rsid w:val="00D41F74"/>
    <w:rsid w:val="00D42250"/>
    <w:rsid w:val="00D428C8"/>
    <w:rsid w:val="00D43034"/>
    <w:rsid w:val="00D43ED2"/>
    <w:rsid w:val="00D45649"/>
    <w:rsid w:val="00D47ED6"/>
    <w:rsid w:val="00D50100"/>
    <w:rsid w:val="00D50C95"/>
    <w:rsid w:val="00D50F46"/>
    <w:rsid w:val="00D511D8"/>
    <w:rsid w:val="00D5130D"/>
    <w:rsid w:val="00D5133A"/>
    <w:rsid w:val="00D526FA"/>
    <w:rsid w:val="00D5302A"/>
    <w:rsid w:val="00D533C4"/>
    <w:rsid w:val="00D5384E"/>
    <w:rsid w:val="00D544E7"/>
    <w:rsid w:val="00D5499F"/>
    <w:rsid w:val="00D5560A"/>
    <w:rsid w:val="00D559D2"/>
    <w:rsid w:val="00D56FBF"/>
    <w:rsid w:val="00D57677"/>
    <w:rsid w:val="00D5781F"/>
    <w:rsid w:val="00D60415"/>
    <w:rsid w:val="00D60E3C"/>
    <w:rsid w:val="00D60FA7"/>
    <w:rsid w:val="00D61FAB"/>
    <w:rsid w:val="00D63BE5"/>
    <w:rsid w:val="00D64685"/>
    <w:rsid w:val="00D6475F"/>
    <w:rsid w:val="00D655D4"/>
    <w:rsid w:val="00D65F61"/>
    <w:rsid w:val="00D66223"/>
    <w:rsid w:val="00D667B8"/>
    <w:rsid w:val="00D67D55"/>
    <w:rsid w:val="00D70289"/>
    <w:rsid w:val="00D7041F"/>
    <w:rsid w:val="00D70700"/>
    <w:rsid w:val="00D70800"/>
    <w:rsid w:val="00D70822"/>
    <w:rsid w:val="00D72076"/>
    <w:rsid w:val="00D721B4"/>
    <w:rsid w:val="00D726A9"/>
    <w:rsid w:val="00D728D5"/>
    <w:rsid w:val="00D72DBA"/>
    <w:rsid w:val="00D73D48"/>
    <w:rsid w:val="00D743E0"/>
    <w:rsid w:val="00D7469D"/>
    <w:rsid w:val="00D7490C"/>
    <w:rsid w:val="00D75AC1"/>
    <w:rsid w:val="00D77252"/>
    <w:rsid w:val="00D8084C"/>
    <w:rsid w:val="00D81809"/>
    <w:rsid w:val="00D82119"/>
    <w:rsid w:val="00D82EF1"/>
    <w:rsid w:val="00D84CC9"/>
    <w:rsid w:val="00D84F43"/>
    <w:rsid w:val="00D85114"/>
    <w:rsid w:val="00D85821"/>
    <w:rsid w:val="00D8598C"/>
    <w:rsid w:val="00D86677"/>
    <w:rsid w:val="00D87C06"/>
    <w:rsid w:val="00D9140D"/>
    <w:rsid w:val="00D915EA"/>
    <w:rsid w:val="00D919ED"/>
    <w:rsid w:val="00D922A1"/>
    <w:rsid w:val="00D928BE"/>
    <w:rsid w:val="00D932B8"/>
    <w:rsid w:val="00D932F0"/>
    <w:rsid w:val="00D933F2"/>
    <w:rsid w:val="00D94929"/>
    <w:rsid w:val="00D95302"/>
    <w:rsid w:val="00D95889"/>
    <w:rsid w:val="00D95C5D"/>
    <w:rsid w:val="00D96424"/>
    <w:rsid w:val="00D97400"/>
    <w:rsid w:val="00D97D00"/>
    <w:rsid w:val="00DA096C"/>
    <w:rsid w:val="00DA0DFB"/>
    <w:rsid w:val="00DA1445"/>
    <w:rsid w:val="00DA1AB6"/>
    <w:rsid w:val="00DA273D"/>
    <w:rsid w:val="00DA2E65"/>
    <w:rsid w:val="00DA37DE"/>
    <w:rsid w:val="00DA3ADF"/>
    <w:rsid w:val="00DA4174"/>
    <w:rsid w:val="00DA4F0A"/>
    <w:rsid w:val="00DA5241"/>
    <w:rsid w:val="00DA544C"/>
    <w:rsid w:val="00DA5F8E"/>
    <w:rsid w:val="00DA6364"/>
    <w:rsid w:val="00DA6938"/>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5FDA"/>
    <w:rsid w:val="00DB613B"/>
    <w:rsid w:val="00DB657E"/>
    <w:rsid w:val="00DB7342"/>
    <w:rsid w:val="00DB7489"/>
    <w:rsid w:val="00DB75A6"/>
    <w:rsid w:val="00DB791E"/>
    <w:rsid w:val="00DC0B4D"/>
    <w:rsid w:val="00DC0CBB"/>
    <w:rsid w:val="00DC17D0"/>
    <w:rsid w:val="00DC1A3D"/>
    <w:rsid w:val="00DC1DD1"/>
    <w:rsid w:val="00DC1E5D"/>
    <w:rsid w:val="00DC2B41"/>
    <w:rsid w:val="00DC2EA7"/>
    <w:rsid w:val="00DC3128"/>
    <w:rsid w:val="00DC435B"/>
    <w:rsid w:val="00DC4AC4"/>
    <w:rsid w:val="00DC53D8"/>
    <w:rsid w:val="00DC56FE"/>
    <w:rsid w:val="00DC5AB0"/>
    <w:rsid w:val="00DC5B3B"/>
    <w:rsid w:val="00DC5F11"/>
    <w:rsid w:val="00DC6C2D"/>
    <w:rsid w:val="00DC6D72"/>
    <w:rsid w:val="00DC7ABB"/>
    <w:rsid w:val="00DC7B1A"/>
    <w:rsid w:val="00DD04B0"/>
    <w:rsid w:val="00DD129F"/>
    <w:rsid w:val="00DD13FC"/>
    <w:rsid w:val="00DD1A3F"/>
    <w:rsid w:val="00DD29B5"/>
    <w:rsid w:val="00DD32DD"/>
    <w:rsid w:val="00DD33E8"/>
    <w:rsid w:val="00DD3CC0"/>
    <w:rsid w:val="00DD5287"/>
    <w:rsid w:val="00DD5B36"/>
    <w:rsid w:val="00DD5C58"/>
    <w:rsid w:val="00DD6191"/>
    <w:rsid w:val="00DD68F3"/>
    <w:rsid w:val="00DD7849"/>
    <w:rsid w:val="00DE03DE"/>
    <w:rsid w:val="00DE0D8B"/>
    <w:rsid w:val="00DE1237"/>
    <w:rsid w:val="00DE140F"/>
    <w:rsid w:val="00DE17E9"/>
    <w:rsid w:val="00DE2491"/>
    <w:rsid w:val="00DE3E5D"/>
    <w:rsid w:val="00DE450F"/>
    <w:rsid w:val="00DE4865"/>
    <w:rsid w:val="00DE5A0C"/>
    <w:rsid w:val="00DE5CA6"/>
    <w:rsid w:val="00DE5E55"/>
    <w:rsid w:val="00DE622F"/>
    <w:rsid w:val="00DE6E29"/>
    <w:rsid w:val="00DE7156"/>
    <w:rsid w:val="00DE7AC8"/>
    <w:rsid w:val="00DF0830"/>
    <w:rsid w:val="00DF2C5D"/>
    <w:rsid w:val="00DF2CD3"/>
    <w:rsid w:val="00DF3643"/>
    <w:rsid w:val="00DF42FF"/>
    <w:rsid w:val="00DF4369"/>
    <w:rsid w:val="00DF4423"/>
    <w:rsid w:val="00DF4ADF"/>
    <w:rsid w:val="00DF57D6"/>
    <w:rsid w:val="00DF5D1E"/>
    <w:rsid w:val="00DF63B5"/>
    <w:rsid w:val="00DF77E4"/>
    <w:rsid w:val="00DF7F88"/>
    <w:rsid w:val="00E00B88"/>
    <w:rsid w:val="00E00CB7"/>
    <w:rsid w:val="00E010D9"/>
    <w:rsid w:val="00E01C0E"/>
    <w:rsid w:val="00E0368F"/>
    <w:rsid w:val="00E03805"/>
    <w:rsid w:val="00E03D73"/>
    <w:rsid w:val="00E03F9A"/>
    <w:rsid w:val="00E040DA"/>
    <w:rsid w:val="00E04694"/>
    <w:rsid w:val="00E05333"/>
    <w:rsid w:val="00E1168B"/>
    <w:rsid w:val="00E119E9"/>
    <w:rsid w:val="00E11C7E"/>
    <w:rsid w:val="00E12191"/>
    <w:rsid w:val="00E129E7"/>
    <w:rsid w:val="00E12ABE"/>
    <w:rsid w:val="00E12B1E"/>
    <w:rsid w:val="00E135EB"/>
    <w:rsid w:val="00E13995"/>
    <w:rsid w:val="00E1444C"/>
    <w:rsid w:val="00E156FE"/>
    <w:rsid w:val="00E1690C"/>
    <w:rsid w:val="00E16FC8"/>
    <w:rsid w:val="00E17262"/>
    <w:rsid w:val="00E17F36"/>
    <w:rsid w:val="00E20016"/>
    <w:rsid w:val="00E2009B"/>
    <w:rsid w:val="00E20BB9"/>
    <w:rsid w:val="00E20BCC"/>
    <w:rsid w:val="00E2251C"/>
    <w:rsid w:val="00E2363D"/>
    <w:rsid w:val="00E23C6A"/>
    <w:rsid w:val="00E2484B"/>
    <w:rsid w:val="00E25304"/>
    <w:rsid w:val="00E253A2"/>
    <w:rsid w:val="00E260F6"/>
    <w:rsid w:val="00E2650F"/>
    <w:rsid w:val="00E2665E"/>
    <w:rsid w:val="00E27127"/>
    <w:rsid w:val="00E27233"/>
    <w:rsid w:val="00E274BB"/>
    <w:rsid w:val="00E30601"/>
    <w:rsid w:val="00E30F15"/>
    <w:rsid w:val="00E31771"/>
    <w:rsid w:val="00E3186D"/>
    <w:rsid w:val="00E31A3E"/>
    <w:rsid w:val="00E32080"/>
    <w:rsid w:val="00E32426"/>
    <w:rsid w:val="00E32778"/>
    <w:rsid w:val="00E3309D"/>
    <w:rsid w:val="00E34E3F"/>
    <w:rsid w:val="00E350B1"/>
    <w:rsid w:val="00E35A53"/>
    <w:rsid w:val="00E35D83"/>
    <w:rsid w:val="00E3634A"/>
    <w:rsid w:val="00E3656B"/>
    <w:rsid w:val="00E3712B"/>
    <w:rsid w:val="00E3724A"/>
    <w:rsid w:val="00E378B1"/>
    <w:rsid w:val="00E41179"/>
    <w:rsid w:val="00E411F9"/>
    <w:rsid w:val="00E417BE"/>
    <w:rsid w:val="00E41CD5"/>
    <w:rsid w:val="00E42054"/>
    <w:rsid w:val="00E42D94"/>
    <w:rsid w:val="00E4372D"/>
    <w:rsid w:val="00E43A9E"/>
    <w:rsid w:val="00E44243"/>
    <w:rsid w:val="00E453F9"/>
    <w:rsid w:val="00E45D7D"/>
    <w:rsid w:val="00E4623F"/>
    <w:rsid w:val="00E4665D"/>
    <w:rsid w:val="00E467E3"/>
    <w:rsid w:val="00E47854"/>
    <w:rsid w:val="00E478E2"/>
    <w:rsid w:val="00E47EBA"/>
    <w:rsid w:val="00E50156"/>
    <w:rsid w:val="00E504EB"/>
    <w:rsid w:val="00E5076C"/>
    <w:rsid w:val="00E50D2E"/>
    <w:rsid w:val="00E50D7D"/>
    <w:rsid w:val="00E50E8A"/>
    <w:rsid w:val="00E51EF0"/>
    <w:rsid w:val="00E53470"/>
    <w:rsid w:val="00E5368D"/>
    <w:rsid w:val="00E539F6"/>
    <w:rsid w:val="00E54698"/>
    <w:rsid w:val="00E54BE9"/>
    <w:rsid w:val="00E54FB4"/>
    <w:rsid w:val="00E55046"/>
    <w:rsid w:val="00E5539A"/>
    <w:rsid w:val="00E55791"/>
    <w:rsid w:val="00E55AB2"/>
    <w:rsid w:val="00E55E1A"/>
    <w:rsid w:val="00E578A2"/>
    <w:rsid w:val="00E579ED"/>
    <w:rsid w:val="00E60043"/>
    <w:rsid w:val="00E61740"/>
    <w:rsid w:val="00E61EB5"/>
    <w:rsid w:val="00E62287"/>
    <w:rsid w:val="00E62EDE"/>
    <w:rsid w:val="00E6324D"/>
    <w:rsid w:val="00E636EC"/>
    <w:rsid w:val="00E65084"/>
    <w:rsid w:val="00E6519D"/>
    <w:rsid w:val="00E657C8"/>
    <w:rsid w:val="00E66062"/>
    <w:rsid w:val="00E6660E"/>
    <w:rsid w:val="00E66768"/>
    <w:rsid w:val="00E67305"/>
    <w:rsid w:val="00E673BD"/>
    <w:rsid w:val="00E67696"/>
    <w:rsid w:val="00E700B4"/>
    <w:rsid w:val="00E709AF"/>
    <w:rsid w:val="00E70A85"/>
    <w:rsid w:val="00E70C5F"/>
    <w:rsid w:val="00E71A58"/>
    <w:rsid w:val="00E728D7"/>
    <w:rsid w:val="00E72A26"/>
    <w:rsid w:val="00E72A7A"/>
    <w:rsid w:val="00E7335A"/>
    <w:rsid w:val="00E73986"/>
    <w:rsid w:val="00E73D21"/>
    <w:rsid w:val="00E7467D"/>
    <w:rsid w:val="00E747DC"/>
    <w:rsid w:val="00E74A2D"/>
    <w:rsid w:val="00E74FE4"/>
    <w:rsid w:val="00E75C94"/>
    <w:rsid w:val="00E76A08"/>
    <w:rsid w:val="00E76B9B"/>
    <w:rsid w:val="00E76E61"/>
    <w:rsid w:val="00E76EE4"/>
    <w:rsid w:val="00E77CC0"/>
    <w:rsid w:val="00E77E8B"/>
    <w:rsid w:val="00E77F50"/>
    <w:rsid w:val="00E80B3D"/>
    <w:rsid w:val="00E80CA3"/>
    <w:rsid w:val="00E8184F"/>
    <w:rsid w:val="00E81AAA"/>
    <w:rsid w:val="00E82618"/>
    <w:rsid w:val="00E82A0F"/>
    <w:rsid w:val="00E82A42"/>
    <w:rsid w:val="00E832F4"/>
    <w:rsid w:val="00E846B0"/>
    <w:rsid w:val="00E84E09"/>
    <w:rsid w:val="00E87CE2"/>
    <w:rsid w:val="00E90CA8"/>
    <w:rsid w:val="00E91113"/>
    <w:rsid w:val="00E911C6"/>
    <w:rsid w:val="00E920DE"/>
    <w:rsid w:val="00E930A1"/>
    <w:rsid w:val="00E93820"/>
    <w:rsid w:val="00E94A86"/>
    <w:rsid w:val="00E951AB"/>
    <w:rsid w:val="00E953F6"/>
    <w:rsid w:val="00E9580F"/>
    <w:rsid w:val="00E95882"/>
    <w:rsid w:val="00E95C3B"/>
    <w:rsid w:val="00E96143"/>
    <w:rsid w:val="00E96833"/>
    <w:rsid w:val="00E96869"/>
    <w:rsid w:val="00E97506"/>
    <w:rsid w:val="00E97BB5"/>
    <w:rsid w:val="00E97D5B"/>
    <w:rsid w:val="00E97F14"/>
    <w:rsid w:val="00EA02FE"/>
    <w:rsid w:val="00EA0C68"/>
    <w:rsid w:val="00EA0E39"/>
    <w:rsid w:val="00EA1D0E"/>
    <w:rsid w:val="00EA2072"/>
    <w:rsid w:val="00EA2841"/>
    <w:rsid w:val="00EA32BC"/>
    <w:rsid w:val="00EA35A7"/>
    <w:rsid w:val="00EA3B32"/>
    <w:rsid w:val="00EA3CEB"/>
    <w:rsid w:val="00EA3D05"/>
    <w:rsid w:val="00EA4222"/>
    <w:rsid w:val="00EA4402"/>
    <w:rsid w:val="00EA4B8D"/>
    <w:rsid w:val="00EA513E"/>
    <w:rsid w:val="00EA5E3D"/>
    <w:rsid w:val="00EA7419"/>
    <w:rsid w:val="00EB0203"/>
    <w:rsid w:val="00EB0E32"/>
    <w:rsid w:val="00EB1786"/>
    <w:rsid w:val="00EB1CDC"/>
    <w:rsid w:val="00EB1D89"/>
    <w:rsid w:val="00EB2693"/>
    <w:rsid w:val="00EB3E60"/>
    <w:rsid w:val="00EB4511"/>
    <w:rsid w:val="00EB48D7"/>
    <w:rsid w:val="00EB49F1"/>
    <w:rsid w:val="00EB4A8E"/>
    <w:rsid w:val="00EB4BC5"/>
    <w:rsid w:val="00EB5BF7"/>
    <w:rsid w:val="00EB5E79"/>
    <w:rsid w:val="00EB6788"/>
    <w:rsid w:val="00EB6FAC"/>
    <w:rsid w:val="00EB7BAC"/>
    <w:rsid w:val="00EB7CC9"/>
    <w:rsid w:val="00EC03D7"/>
    <w:rsid w:val="00EC0749"/>
    <w:rsid w:val="00EC0B86"/>
    <w:rsid w:val="00EC13A7"/>
    <w:rsid w:val="00EC1D31"/>
    <w:rsid w:val="00EC2EB6"/>
    <w:rsid w:val="00EC3F49"/>
    <w:rsid w:val="00EC4FFF"/>
    <w:rsid w:val="00EC5517"/>
    <w:rsid w:val="00EC6E8C"/>
    <w:rsid w:val="00EC729D"/>
    <w:rsid w:val="00ED0702"/>
    <w:rsid w:val="00ED0962"/>
    <w:rsid w:val="00ED0EF0"/>
    <w:rsid w:val="00ED112D"/>
    <w:rsid w:val="00ED12B9"/>
    <w:rsid w:val="00ED16B8"/>
    <w:rsid w:val="00ED1959"/>
    <w:rsid w:val="00ED1A00"/>
    <w:rsid w:val="00ED1DF0"/>
    <w:rsid w:val="00ED2386"/>
    <w:rsid w:val="00ED25F5"/>
    <w:rsid w:val="00ED2EA1"/>
    <w:rsid w:val="00ED3851"/>
    <w:rsid w:val="00ED39D7"/>
    <w:rsid w:val="00ED3E51"/>
    <w:rsid w:val="00ED3F10"/>
    <w:rsid w:val="00ED3F9B"/>
    <w:rsid w:val="00ED3FB3"/>
    <w:rsid w:val="00ED4D04"/>
    <w:rsid w:val="00ED566D"/>
    <w:rsid w:val="00ED5907"/>
    <w:rsid w:val="00ED5F5B"/>
    <w:rsid w:val="00ED62C6"/>
    <w:rsid w:val="00ED64C1"/>
    <w:rsid w:val="00ED72E7"/>
    <w:rsid w:val="00ED74BD"/>
    <w:rsid w:val="00ED781F"/>
    <w:rsid w:val="00EE0E7E"/>
    <w:rsid w:val="00EE2236"/>
    <w:rsid w:val="00EE249F"/>
    <w:rsid w:val="00EE2EB4"/>
    <w:rsid w:val="00EE3446"/>
    <w:rsid w:val="00EE3E78"/>
    <w:rsid w:val="00EE41FD"/>
    <w:rsid w:val="00EE460E"/>
    <w:rsid w:val="00EE4B1B"/>
    <w:rsid w:val="00EE5FBA"/>
    <w:rsid w:val="00EE601C"/>
    <w:rsid w:val="00EE6E06"/>
    <w:rsid w:val="00EE7179"/>
    <w:rsid w:val="00EE762D"/>
    <w:rsid w:val="00EF0D90"/>
    <w:rsid w:val="00EF150D"/>
    <w:rsid w:val="00EF1916"/>
    <w:rsid w:val="00EF1F5A"/>
    <w:rsid w:val="00EF22E2"/>
    <w:rsid w:val="00EF23B5"/>
    <w:rsid w:val="00EF326A"/>
    <w:rsid w:val="00EF3898"/>
    <w:rsid w:val="00EF47BF"/>
    <w:rsid w:val="00EF52F7"/>
    <w:rsid w:val="00EF59B1"/>
    <w:rsid w:val="00EF5A13"/>
    <w:rsid w:val="00EF5FF9"/>
    <w:rsid w:val="00EF600F"/>
    <w:rsid w:val="00EF77D4"/>
    <w:rsid w:val="00EF7CC7"/>
    <w:rsid w:val="00F00535"/>
    <w:rsid w:val="00F00853"/>
    <w:rsid w:val="00F00866"/>
    <w:rsid w:val="00F00EC8"/>
    <w:rsid w:val="00F0160B"/>
    <w:rsid w:val="00F0193E"/>
    <w:rsid w:val="00F028B4"/>
    <w:rsid w:val="00F02A91"/>
    <w:rsid w:val="00F03E2F"/>
    <w:rsid w:val="00F03F8D"/>
    <w:rsid w:val="00F04811"/>
    <w:rsid w:val="00F0488C"/>
    <w:rsid w:val="00F04955"/>
    <w:rsid w:val="00F06203"/>
    <w:rsid w:val="00F073ED"/>
    <w:rsid w:val="00F07C4C"/>
    <w:rsid w:val="00F07E45"/>
    <w:rsid w:val="00F10F11"/>
    <w:rsid w:val="00F11159"/>
    <w:rsid w:val="00F1146D"/>
    <w:rsid w:val="00F115E4"/>
    <w:rsid w:val="00F11AC4"/>
    <w:rsid w:val="00F11C1D"/>
    <w:rsid w:val="00F11D01"/>
    <w:rsid w:val="00F120A5"/>
    <w:rsid w:val="00F12CFB"/>
    <w:rsid w:val="00F13E60"/>
    <w:rsid w:val="00F13F81"/>
    <w:rsid w:val="00F13FDB"/>
    <w:rsid w:val="00F15653"/>
    <w:rsid w:val="00F15AAA"/>
    <w:rsid w:val="00F15BEF"/>
    <w:rsid w:val="00F16F10"/>
    <w:rsid w:val="00F17898"/>
    <w:rsid w:val="00F17FBF"/>
    <w:rsid w:val="00F204BF"/>
    <w:rsid w:val="00F207C2"/>
    <w:rsid w:val="00F21337"/>
    <w:rsid w:val="00F219A1"/>
    <w:rsid w:val="00F235B2"/>
    <w:rsid w:val="00F23E20"/>
    <w:rsid w:val="00F24407"/>
    <w:rsid w:val="00F249CE"/>
    <w:rsid w:val="00F24FAA"/>
    <w:rsid w:val="00F25040"/>
    <w:rsid w:val="00F269D7"/>
    <w:rsid w:val="00F26D1F"/>
    <w:rsid w:val="00F27071"/>
    <w:rsid w:val="00F27331"/>
    <w:rsid w:val="00F276D3"/>
    <w:rsid w:val="00F27EE5"/>
    <w:rsid w:val="00F27FB1"/>
    <w:rsid w:val="00F27FD6"/>
    <w:rsid w:val="00F307CB"/>
    <w:rsid w:val="00F30C0C"/>
    <w:rsid w:val="00F30C65"/>
    <w:rsid w:val="00F3148E"/>
    <w:rsid w:val="00F31E10"/>
    <w:rsid w:val="00F321D2"/>
    <w:rsid w:val="00F32649"/>
    <w:rsid w:val="00F33523"/>
    <w:rsid w:val="00F3364D"/>
    <w:rsid w:val="00F33914"/>
    <w:rsid w:val="00F340B2"/>
    <w:rsid w:val="00F349BF"/>
    <w:rsid w:val="00F34DDC"/>
    <w:rsid w:val="00F36191"/>
    <w:rsid w:val="00F3629F"/>
    <w:rsid w:val="00F36DF3"/>
    <w:rsid w:val="00F371A2"/>
    <w:rsid w:val="00F37362"/>
    <w:rsid w:val="00F375CB"/>
    <w:rsid w:val="00F37EDC"/>
    <w:rsid w:val="00F40205"/>
    <w:rsid w:val="00F437CC"/>
    <w:rsid w:val="00F43A4E"/>
    <w:rsid w:val="00F44537"/>
    <w:rsid w:val="00F458BE"/>
    <w:rsid w:val="00F46185"/>
    <w:rsid w:val="00F46423"/>
    <w:rsid w:val="00F4696A"/>
    <w:rsid w:val="00F47067"/>
    <w:rsid w:val="00F47234"/>
    <w:rsid w:val="00F50451"/>
    <w:rsid w:val="00F51ADD"/>
    <w:rsid w:val="00F525AB"/>
    <w:rsid w:val="00F525EB"/>
    <w:rsid w:val="00F52BFA"/>
    <w:rsid w:val="00F52CB5"/>
    <w:rsid w:val="00F53378"/>
    <w:rsid w:val="00F53A68"/>
    <w:rsid w:val="00F53D2E"/>
    <w:rsid w:val="00F54934"/>
    <w:rsid w:val="00F55A92"/>
    <w:rsid w:val="00F5615B"/>
    <w:rsid w:val="00F5635E"/>
    <w:rsid w:val="00F5657D"/>
    <w:rsid w:val="00F57427"/>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113"/>
    <w:rsid w:val="00F71393"/>
    <w:rsid w:val="00F7150B"/>
    <w:rsid w:val="00F7162D"/>
    <w:rsid w:val="00F717E4"/>
    <w:rsid w:val="00F71DE6"/>
    <w:rsid w:val="00F72C79"/>
    <w:rsid w:val="00F72D71"/>
    <w:rsid w:val="00F7381C"/>
    <w:rsid w:val="00F73A0C"/>
    <w:rsid w:val="00F73AA6"/>
    <w:rsid w:val="00F7467F"/>
    <w:rsid w:val="00F752DC"/>
    <w:rsid w:val="00F7549F"/>
    <w:rsid w:val="00F756DB"/>
    <w:rsid w:val="00F766BE"/>
    <w:rsid w:val="00F767A8"/>
    <w:rsid w:val="00F77590"/>
    <w:rsid w:val="00F77A50"/>
    <w:rsid w:val="00F77E95"/>
    <w:rsid w:val="00F809C0"/>
    <w:rsid w:val="00F81B0F"/>
    <w:rsid w:val="00F822CE"/>
    <w:rsid w:val="00F823E4"/>
    <w:rsid w:val="00F82D14"/>
    <w:rsid w:val="00F842EB"/>
    <w:rsid w:val="00F84E7D"/>
    <w:rsid w:val="00F85066"/>
    <w:rsid w:val="00F8670E"/>
    <w:rsid w:val="00F867A2"/>
    <w:rsid w:val="00F874F8"/>
    <w:rsid w:val="00F87A4D"/>
    <w:rsid w:val="00F90A3E"/>
    <w:rsid w:val="00F90C68"/>
    <w:rsid w:val="00F90EEB"/>
    <w:rsid w:val="00F91B66"/>
    <w:rsid w:val="00F93688"/>
    <w:rsid w:val="00F939F3"/>
    <w:rsid w:val="00F93C6E"/>
    <w:rsid w:val="00F93F2C"/>
    <w:rsid w:val="00F947E9"/>
    <w:rsid w:val="00F962AD"/>
    <w:rsid w:val="00F9644E"/>
    <w:rsid w:val="00F96EE8"/>
    <w:rsid w:val="00FA0105"/>
    <w:rsid w:val="00FA05A0"/>
    <w:rsid w:val="00FA0AEF"/>
    <w:rsid w:val="00FA12B0"/>
    <w:rsid w:val="00FA17CC"/>
    <w:rsid w:val="00FA1CFE"/>
    <w:rsid w:val="00FA1EE7"/>
    <w:rsid w:val="00FA1F01"/>
    <w:rsid w:val="00FA26DF"/>
    <w:rsid w:val="00FA32BC"/>
    <w:rsid w:val="00FA3E13"/>
    <w:rsid w:val="00FA3FA8"/>
    <w:rsid w:val="00FA4059"/>
    <w:rsid w:val="00FA4574"/>
    <w:rsid w:val="00FA48A4"/>
    <w:rsid w:val="00FA4CB7"/>
    <w:rsid w:val="00FA5112"/>
    <w:rsid w:val="00FA5526"/>
    <w:rsid w:val="00FA5D48"/>
    <w:rsid w:val="00FA5D4D"/>
    <w:rsid w:val="00FA6122"/>
    <w:rsid w:val="00FA6CB6"/>
    <w:rsid w:val="00FA70D3"/>
    <w:rsid w:val="00FA792A"/>
    <w:rsid w:val="00FA7AEC"/>
    <w:rsid w:val="00FB0AEA"/>
    <w:rsid w:val="00FB0EE2"/>
    <w:rsid w:val="00FB1A79"/>
    <w:rsid w:val="00FB1B48"/>
    <w:rsid w:val="00FB208B"/>
    <w:rsid w:val="00FB2B2D"/>
    <w:rsid w:val="00FB542E"/>
    <w:rsid w:val="00FB5580"/>
    <w:rsid w:val="00FB564F"/>
    <w:rsid w:val="00FB7DBB"/>
    <w:rsid w:val="00FC05F8"/>
    <w:rsid w:val="00FC077B"/>
    <w:rsid w:val="00FC0BE0"/>
    <w:rsid w:val="00FC0E5F"/>
    <w:rsid w:val="00FC1070"/>
    <w:rsid w:val="00FC1266"/>
    <w:rsid w:val="00FC1A95"/>
    <w:rsid w:val="00FC1ED4"/>
    <w:rsid w:val="00FC35BF"/>
    <w:rsid w:val="00FC3BEC"/>
    <w:rsid w:val="00FC42C5"/>
    <w:rsid w:val="00FC440B"/>
    <w:rsid w:val="00FC4F4B"/>
    <w:rsid w:val="00FC56DE"/>
    <w:rsid w:val="00FC63D9"/>
    <w:rsid w:val="00FC64DE"/>
    <w:rsid w:val="00FC6785"/>
    <w:rsid w:val="00FC684B"/>
    <w:rsid w:val="00FC7136"/>
    <w:rsid w:val="00FC7D98"/>
    <w:rsid w:val="00FC7EB2"/>
    <w:rsid w:val="00FD1135"/>
    <w:rsid w:val="00FD3265"/>
    <w:rsid w:val="00FD3BFE"/>
    <w:rsid w:val="00FD3CF7"/>
    <w:rsid w:val="00FD4124"/>
    <w:rsid w:val="00FD4916"/>
    <w:rsid w:val="00FD4D12"/>
    <w:rsid w:val="00FD4F73"/>
    <w:rsid w:val="00FD595E"/>
    <w:rsid w:val="00FD62E6"/>
    <w:rsid w:val="00FD7802"/>
    <w:rsid w:val="00FD7D3B"/>
    <w:rsid w:val="00FD7F83"/>
    <w:rsid w:val="00FD7FBE"/>
    <w:rsid w:val="00FE0292"/>
    <w:rsid w:val="00FE1209"/>
    <w:rsid w:val="00FE27C7"/>
    <w:rsid w:val="00FE2814"/>
    <w:rsid w:val="00FE2C7E"/>
    <w:rsid w:val="00FE2F78"/>
    <w:rsid w:val="00FE3137"/>
    <w:rsid w:val="00FE346B"/>
    <w:rsid w:val="00FE346F"/>
    <w:rsid w:val="00FE431E"/>
    <w:rsid w:val="00FE460E"/>
    <w:rsid w:val="00FE48E4"/>
    <w:rsid w:val="00FE5466"/>
    <w:rsid w:val="00FE5BF1"/>
    <w:rsid w:val="00FE633D"/>
    <w:rsid w:val="00FE634C"/>
    <w:rsid w:val="00FE6E69"/>
    <w:rsid w:val="00FE6F59"/>
    <w:rsid w:val="00FF01B6"/>
    <w:rsid w:val="00FF0989"/>
    <w:rsid w:val="00FF0F79"/>
    <w:rsid w:val="00FF1136"/>
    <w:rsid w:val="00FF3D76"/>
    <w:rsid w:val="00FF445B"/>
    <w:rsid w:val="00FF5B8C"/>
    <w:rsid w:val="00FF63E6"/>
    <w:rsid w:val="00FF649C"/>
    <w:rsid w:val="00FF72DC"/>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A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Standardnpsmoodstavce"/>
    <w:rsid w:val="00211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3844434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zabojnikova31519\Documents\Anal&#253;za\Q\2022Q2\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557159743329959E-2"/>
          <c:y val="2.1711264016309892E-2"/>
          <c:w val="0.93757303275920301"/>
          <c:h val="0.73130361364404473"/>
        </c:manualLayout>
      </c:layout>
      <c:barChart>
        <c:barDir val="col"/>
        <c:grouping val="clustered"/>
        <c:varyColors val="0"/>
        <c:ser>
          <c:idx val="0"/>
          <c:order val="0"/>
          <c:tx>
            <c:strRef>
              <c:f>'Měnové podmínky 1'!$C$5</c:f>
              <c:strCache>
                <c:ptCount val="1"/>
                <c:pt idx="0">
                  <c:v>2W repo rate</c:v>
                </c:pt>
              </c:strCache>
            </c:strRef>
          </c:tx>
          <c:spPr>
            <a:solidFill>
              <a:schemeClr val="bg1">
                <a:lumMod val="65000"/>
              </a:schemeClr>
            </a:solidFill>
          </c:spPr>
          <c:invertIfNegative val="0"/>
          <c:cat>
            <c:multiLvlStrRef>
              <c:f>'Měnové podmínky 1'!$A$66:$B$131</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'Měnové podmínky 1'!$C$66:$C$131</c:f>
              <c:numCache>
                <c:formatCode>General</c:formatCode>
                <c:ptCount val="66"/>
                <c:pt idx="0">
                  <c:v>0.05</c:v>
                </c:pt>
                <c:pt idx="1">
                  <c:v>0.05</c:v>
                </c:pt>
                <c:pt idx="2">
                  <c:v>0.05</c:v>
                </c:pt>
                <c:pt idx="3">
                  <c:v>0.05</c:v>
                </c:pt>
                <c:pt idx="4">
                  <c:v>0.05</c:v>
                </c:pt>
                <c:pt idx="5">
                  <c:v>0.05</c:v>
                </c:pt>
                <c:pt idx="6">
                  <c:v>0.05</c:v>
                </c:pt>
                <c:pt idx="7">
                  <c:v>0.25</c:v>
                </c:pt>
                <c:pt idx="8">
                  <c:v>0.25</c:v>
                </c:pt>
                <c:pt idx="9">
                  <c:v>0.25</c:v>
                </c:pt>
                <c:pt idx="10">
                  <c:v>0.5</c:v>
                </c:pt>
                <c:pt idx="11">
                  <c:v>0.5</c:v>
                </c:pt>
                <c:pt idx="12">
                  <c:v>0.5</c:v>
                </c:pt>
                <c:pt idx="13">
                  <c:v>0.75</c:v>
                </c:pt>
                <c:pt idx="14">
                  <c:v>0.75</c:v>
                </c:pt>
                <c:pt idx="15">
                  <c:v>0.75</c:v>
                </c:pt>
                <c:pt idx="16">
                  <c:v>0.75</c:v>
                </c:pt>
                <c:pt idx="17">
                  <c:v>1</c:v>
                </c:pt>
                <c:pt idx="18">
                  <c:v>1</c:v>
                </c:pt>
                <c:pt idx="19">
                  <c:v>1.25</c:v>
                </c:pt>
                <c:pt idx="20">
                  <c:v>1.5</c:v>
                </c:pt>
                <c:pt idx="21">
                  <c:v>1.5</c:v>
                </c:pt>
                <c:pt idx="22">
                  <c:v>1.75</c:v>
                </c:pt>
                <c:pt idx="23">
                  <c:v>1.75</c:v>
                </c:pt>
                <c:pt idx="24">
                  <c:v>1.75</c:v>
                </c:pt>
                <c:pt idx="25">
                  <c:v>1.75</c:v>
                </c:pt>
                <c:pt idx="26">
                  <c:v>1.75</c:v>
                </c:pt>
                <c:pt idx="27">
                  <c:v>1.75</c:v>
                </c:pt>
                <c:pt idx="28">
                  <c:v>2</c:v>
                </c:pt>
                <c:pt idx="29">
                  <c:v>2</c:v>
                </c:pt>
                <c:pt idx="30">
                  <c:v>2</c:v>
                </c:pt>
                <c:pt idx="31">
                  <c:v>2</c:v>
                </c:pt>
                <c:pt idx="32">
                  <c:v>2</c:v>
                </c:pt>
                <c:pt idx="33">
                  <c:v>2</c:v>
                </c:pt>
                <c:pt idx="34">
                  <c:v>2</c:v>
                </c:pt>
                <c:pt idx="35">
                  <c:v>2</c:v>
                </c:pt>
                <c:pt idx="36">
                  <c:v>2</c:v>
                </c:pt>
                <c:pt idx="37">
                  <c:v>2.25</c:v>
                </c:pt>
                <c:pt idx="38">
                  <c:v>1</c:v>
                </c:pt>
                <c:pt idx="39">
                  <c:v>1</c:v>
                </c:pt>
                <c:pt idx="40">
                  <c:v>0.25</c:v>
                </c:pt>
                <c:pt idx="41">
                  <c:v>0.25</c:v>
                </c:pt>
                <c:pt idx="42">
                  <c:v>0.25</c:v>
                </c:pt>
                <c:pt idx="43">
                  <c:v>0.25</c:v>
                </c:pt>
                <c:pt idx="44">
                  <c:v>0.25</c:v>
                </c:pt>
                <c:pt idx="45">
                  <c:v>0.25</c:v>
                </c:pt>
                <c:pt idx="46">
                  <c:v>0.25</c:v>
                </c:pt>
                <c:pt idx="47">
                  <c:v>0.25</c:v>
                </c:pt>
                <c:pt idx="48">
                  <c:v>0.25</c:v>
                </c:pt>
                <c:pt idx="49">
                  <c:v>0.25</c:v>
                </c:pt>
                <c:pt idx="50">
                  <c:v>0.25</c:v>
                </c:pt>
                <c:pt idx="51">
                  <c:v>0.25</c:v>
                </c:pt>
                <c:pt idx="52">
                  <c:v>0.25</c:v>
                </c:pt>
                <c:pt idx="53">
                  <c:v>0.5</c:v>
                </c:pt>
                <c:pt idx="54">
                  <c:v>0.5</c:v>
                </c:pt>
                <c:pt idx="55">
                  <c:v>0.75</c:v>
                </c:pt>
                <c:pt idx="56">
                  <c:v>0.75</c:v>
                </c:pt>
                <c:pt idx="57">
                  <c:v>1.5</c:v>
                </c:pt>
                <c:pt idx="58">
                  <c:v>2.75</c:v>
                </c:pt>
                <c:pt idx="59">
                  <c:v>3.75</c:v>
                </c:pt>
                <c:pt idx="60">
                  <c:v>3.75</c:v>
                </c:pt>
                <c:pt idx="61">
                  <c:v>4.5</c:v>
                </c:pt>
                <c:pt idx="62">
                  <c:v>4.5</c:v>
                </c:pt>
                <c:pt idx="63">
                  <c:v>5</c:v>
                </c:pt>
                <c:pt idx="64">
                  <c:v>5.75</c:v>
                </c:pt>
                <c:pt idx="65">
                  <c:v>7</c:v>
                </c:pt>
              </c:numCache>
            </c:numRef>
          </c:val>
          <c:extLst>
            <c:ext xmlns:c16="http://schemas.microsoft.com/office/drawing/2014/chart" uri="{C3380CC4-5D6E-409C-BE32-E72D297353CC}">
              <c16:uniqueId val="{00000000-B66A-4895-8515-673EB758BE76}"/>
            </c:ext>
          </c:extLst>
        </c:ser>
        <c:dLbls>
          <c:showLegendKey val="0"/>
          <c:showVal val="0"/>
          <c:showCatName val="0"/>
          <c:showSerName val="0"/>
          <c:showPercent val="0"/>
          <c:showBubbleSize val="0"/>
        </c:dLbls>
        <c:gapWidth val="31"/>
        <c:axId val="131001344"/>
        <c:axId val="131027712"/>
      </c:barChart>
      <c:lineChart>
        <c:grouping val="standard"/>
        <c:varyColors val="0"/>
        <c:ser>
          <c:idx val="3"/>
          <c:order val="1"/>
          <c:tx>
            <c:strRef>
              <c:f>'Měnové podmínky 1'!$F$5</c:f>
              <c:strCache>
                <c:ptCount val="1"/>
                <c:pt idx="0">
                  <c:v>Average yield of government bonds (2Y)</c:v>
                </c:pt>
              </c:strCache>
            </c:strRef>
          </c:tx>
          <c:spPr>
            <a:ln w="19050">
              <a:solidFill>
                <a:srgbClr val="7DBB2D"/>
              </a:solidFill>
            </a:ln>
          </c:spPr>
          <c:marker>
            <c:symbol val="none"/>
          </c:marker>
          <c:cat>
            <c:multiLvlStrRef>
              <c:f>'Měnové podmínky 1'!$A$66:$B$131</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'Měnové podmínky 1'!$F$66:$F$131</c:f>
              <c:numCache>
                <c:formatCode>General</c:formatCode>
                <c:ptCount val="66"/>
                <c:pt idx="0">
                  <c:v>-0.88</c:v>
                </c:pt>
                <c:pt idx="1">
                  <c:v>-0.53</c:v>
                </c:pt>
                <c:pt idx="2">
                  <c:v>-0.44</c:v>
                </c:pt>
                <c:pt idx="3">
                  <c:v>-0.23</c:v>
                </c:pt>
                <c:pt idx="4">
                  <c:v>-0.24</c:v>
                </c:pt>
                <c:pt idx="5">
                  <c:v>-0.25</c:v>
                </c:pt>
                <c:pt idx="6">
                  <c:v>-0.28999999999999998</c:v>
                </c:pt>
                <c:pt idx="7">
                  <c:v>-0.33</c:v>
                </c:pt>
                <c:pt idx="8">
                  <c:v>-0.28999999999999998</c:v>
                </c:pt>
                <c:pt idx="9">
                  <c:v>0.12</c:v>
                </c:pt>
                <c:pt idx="10">
                  <c:v>0.31</c:v>
                </c:pt>
                <c:pt idx="11">
                  <c:v>0.19</c:v>
                </c:pt>
                <c:pt idx="12">
                  <c:v>0.46</c:v>
                </c:pt>
                <c:pt idx="13">
                  <c:v>0.55000000000000004</c:v>
                </c:pt>
                <c:pt idx="14">
                  <c:v>0.62</c:v>
                </c:pt>
                <c:pt idx="15">
                  <c:v>0.6</c:v>
                </c:pt>
                <c:pt idx="16">
                  <c:v>0.7</c:v>
                </c:pt>
                <c:pt idx="17">
                  <c:v>0.89</c:v>
                </c:pt>
                <c:pt idx="18">
                  <c:v>1.0900000000000001</c:v>
                </c:pt>
                <c:pt idx="19">
                  <c:v>1.26</c:v>
                </c:pt>
                <c:pt idx="20">
                  <c:v>1.34</c:v>
                </c:pt>
                <c:pt idx="21">
                  <c:v>1.44</c:v>
                </c:pt>
                <c:pt idx="22">
                  <c:v>1.49</c:v>
                </c:pt>
                <c:pt idx="23">
                  <c:v>1.52</c:v>
                </c:pt>
                <c:pt idx="24">
                  <c:v>1.66</c:v>
                </c:pt>
                <c:pt idx="25">
                  <c:v>1.74</c:v>
                </c:pt>
                <c:pt idx="26">
                  <c:v>1.71</c:v>
                </c:pt>
                <c:pt idx="27">
                  <c:v>1.63</c:v>
                </c:pt>
                <c:pt idx="28">
                  <c:v>1.62</c:v>
                </c:pt>
                <c:pt idx="29">
                  <c:v>1.52</c:v>
                </c:pt>
                <c:pt idx="30">
                  <c:v>1.35</c:v>
                </c:pt>
                <c:pt idx="31">
                  <c:v>0.85</c:v>
                </c:pt>
                <c:pt idx="32">
                  <c:v>1.07</c:v>
                </c:pt>
                <c:pt idx="33">
                  <c:v>1.17</c:v>
                </c:pt>
                <c:pt idx="34">
                  <c:v>1.33</c:v>
                </c:pt>
                <c:pt idx="35">
                  <c:v>1.36</c:v>
                </c:pt>
                <c:pt idx="36">
                  <c:v>1.55</c:v>
                </c:pt>
                <c:pt idx="37">
                  <c:v>1.57</c:v>
                </c:pt>
                <c:pt idx="38">
                  <c:v>1.27</c:v>
                </c:pt>
                <c:pt idx="39">
                  <c:v>0.71</c:v>
                </c:pt>
                <c:pt idx="40">
                  <c:v>0.13</c:v>
                </c:pt>
                <c:pt idx="41">
                  <c:v>0.08</c:v>
                </c:pt>
                <c:pt idx="42">
                  <c:v>0.02</c:v>
                </c:pt>
                <c:pt idx="43">
                  <c:v>0.04</c:v>
                </c:pt>
                <c:pt idx="44">
                  <c:v>0.05</c:v>
                </c:pt>
                <c:pt idx="45">
                  <c:v>0</c:v>
                </c:pt>
                <c:pt idx="46">
                  <c:v>0.06</c:v>
                </c:pt>
                <c:pt idx="47">
                  <c:v>0.16</c:v>
                </c:pt>
                <c:pt idx="48">
                  <c:v>0.26</c:v>
                </c:pt>
                <c:pt idx="49">
                  <c:v>0.45</c:v>
                </c:pt>
                <c:pt idx="50">
                  <c:v>0.75</c:v>
                </c:pt>
                <c:pt idx="51">
                  <c:v>0.76</c:v>
                </c:pt>
                <c:pt idx="52">
                  <c:v>0.76</c:v>
                </c:pt>
                <c:pt idx="53">
                  <c:v>0.69</c:v>
                </c:pt>
                <c:pt idx="54">
                  <c:v>0.84</c:v>
                </c:pt>
                <c:pt idx="55">
                  <c:v>1.24</c:v>
                </c:pt>
                <c:pt idx="56">
                  <c:v>1.6</c:v>
                </c:pt>
                <c:pt idx="57">
                  <c:v>2.29</c:v>
                </c:pt>
                <c:pt idx="58">
                  <c:v>3</c:v>
                </c:pt>
                <c:pt idx="59">
                  <c:v>3.07</c:v>
                </c:pt>
                <c:pt idx="60">
                  <c:v>3.81</c:v>
                </c:pt>
                <c:pt idx="61">
                  <c:v>3.77</c:v>
                </c:pt>
                <c:pt idx="62">
                  <c:v>4.54</c:v>
                </c:pt>
                <c:pt idx="63">
                  <c:v>5.13</c:v>
                </c:pt>
                <c:pt idx="64">
                  <c:v>5.65</c:v>
                </c:pt>
                <c:pt idx="65">
                  <c:v>6.26</c:v>
                </c:pt>
              </c:numCache>
            </c:numRef>
          </c:val>
          <c:smooth val="0"/>
          <c:extLst>
            <c:ext xmlns:c16="http://schemas.microsoft.com/office/drawing/2014/chart" uri="{C3380CC4-5D6E-409C-BE32-E72D297353CC}">
              <c16:uniqueId val="{00000001-B66A-4895-8515-673EB758BE76}"/>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1'!$A$66:$B$131</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'Měnové podmínky 1'!$D$66:$D$131</c:f>
              <c:numCache>
                <c:formatCode>General</c:formatCode>
                <c:ptCount val="66"/>
                <c:pt idx="0">
                  <c:v>0.28000000000000003</c:v>
                </c:pt>
                <c:pt idx="1">
                  <c:v>0.28000000000000003</c:v>
                </c:pt>
                <c:pt idx="2">
                  <c:v>0.28000000000000003</c:v>
                </c:pt>
                <c:pt idx="3">
                  <c:v>0.28999999999999998</c:v>
                </c:pt>
                <c:pt idx="4">
                  <c:v>0.3</c:v>
                </c:pt>
                <c:pt idx="5">
                  <c:v>0.3</c:v>
                </c:pt>
                <c:pt idx="6">
                  <c:v>0.3</c:v>
                </c:pt>
                <c:pt idx="7">
                  <c:v>0.43</c:v>
                </c:pt>
                <c:pt idx="8">
                  <c:v>0.46</c:v>
                </c:pt>
                <c:pt idx="9">
                  <c:v>0.51</c:v>
                </c:pt>
                <c:pt idx="10">
                  <c:v>0.71</c:v>
                </c:pt>
                <c:pt idx="11">
                  <c:v>0.75</c:v>
                </c:pt>
                <c:pt idx="12">
                  <c:v>0.77</c:v>
                </c:pt>
                <c:pt idx="13">
                  <c:v>0.9</c:v>
                </c:pt>
                <c:pt idx="14">
                  <c:v>0.9</c:v>
                </c:pt>
                <c:pt idx="15">
                  <c:v>0.9</c:v>
                </c:pt>
                <c:pt idx="16">
                  <c:v>0.9</c:v>
                </c:pt>
                <c:pt idx="17">
                  <c:v>0.93</c:v>
                </c:pt>
                <c:pt idx="18">
                  <c:v>1.18</c:v>
                </c:pt>
                <c:pt idx="19">
                  <c:v>1.45</c:v>
                </c:pt>
                <c:pt idx="20">
                  <c:v>1.54</c:v>
                </c:pt>
                <c:pt idx="21">
                  <c:v>1.76</c:v>
                </c:pt>
                <c:pt idx="22">
                  <c:v>1.99</c:v>
                </c:pt>
                <c:pt idx="23">
                  <c:v>2.0099999999999998</c:v>
                </c:pt>
                <c:pt idx="24">
                  <c:v>2.0099999999999998</c:v>
                </c:pt>
                <c:pt idx="25">
                  <c:v>2.0099999999999998</c:v>
                </c:pt>
                <c:pt idx="26">
                  <c:v>2.0299999999999998</c:v>
                </c:pt>
                <c:pt idx="27">
                  <c:v>2.02</c:v>
                </c:pt>
                <c:pt idx="28">
                  <c:v>2.19</c:v>
                </c:pt>
                <c:pt idx="29">
                  <c:v>2.17</c:v>
                </c:pt>
                <c:pt idx="30">
                  <c:v>2.16</c:v>
                </c:pt>
                <c:pt idx="31">
                  <c:v>2.14</c:v>
                </c:pt>
                <c:pt idx="32">
                  <c:v>2.14</c:v>
                </c:pt>
                <c:pt idx="33">
                  <c:v>2.17</c:v>
                </c:pt>
                <c:pt idx="34">
                  <c:v>2.1800000000000002</c:v>
                </c:pt>
                <c:pt idx="35">
                  <c:v>2.1800000000000002</c:v>
                </c:pt>
                <c:pt idx="36">
                  <c:v>2.17</c:v>
                </c:pt>
                <c:pt idx="37">
                  <c:v>2.34</c:v>
                </c:pt>
                <c:pt idx="38">
                  <c:v>2</c:v>
                </c:pt>
                <c:pt idx="39">
                  <c:v>0.97</c:v>
                </c:pt>
                <c:pt idx="40">
                  <c:v>0.46</c:v>
                </c:pt>
                <c:pt idx="41">
                  <c:v>0.34</c:v>
                </c:pt>
                <c:pt idx="42">
                  <c:v>0.34</c:v>
                </c:pt>
                <c:pt idx="43">
                  <c:v>0.34</c:v>
                </c:pt>
                <c:pt idx="44">
                  <c:v>0.34</c:v>
                </c:pt>
                <c:pt idx="45">
                  <c:v>0.35</c:v>
                </c:pt>
                <c:pt idx="46">
                  <c:v>0.35</c:v>
                </c:pt>
                <c:pt idx="47">
                  <c:v>0.35</c:v>
                </c:pt>
                <c:pt idx="48">
                  <c:v>0.36</c:v>
                </c:pt>
                <c:pt idx="49">
                  <c:v>0.36</c:v>
                </c:pt>
                <c:pt idx="50">
                  <c:v>0.36</c:v>
                </c:pt>
                <c:pt idx="51">
                  <c:v>0.36</c:v>
                </c:pt>
                <c:pt idx="52">
                  <c:v>0.37</c:v>
                </c:pt>
                <c:pt idx="53">
                  <c:v>0.48</c:v>
                </c:pt>
                <c:pt idx="54">
                  <c:v>0.69</c:v>
                </c:pt>
                <c:pt idx="55">
                  <c:v>0.94</c:v>
                </c:pt>
                <c:pt idx="56">
                  <c:v>1.1100000000000001</c:v>
                </c:pt>
                <c:pt idx="57">
                  <c:v>2.02</c:v>
                </c:pt>
                <c:pt idx="58">
                  <c:v>2.97</c:v>
                </c:pt>
                <c:pt idx="59">
                  <c:v>3.5</c:v>
                </c:pt>
                <c:pt idx="60">
                  <c:v>4.21</c:v>
                </c:pt>
                <c:pt idx="61">
                  <c:v>4.6900000000000004</c:v>
                </c:pt>
                <c:pt idx="62">
                  <c:v>4.8600000000000003</c:v>
                </c:pt>
                <c:pt idx="63">
                  <c:v>5.36</c:v>
                </c:pt>
                <c:pt idx="64">
                  <c:v>5.97</c:v>
                </c:pt>
                <c:pt idx="65">
                  <c:v>6.64</c:v>
                </c:pt>
              </c:numCache>
            </c:numRef>
          </c:val>
          <c:smooth val="0"/>
          <c:extLst>
            <c:ext xmlns:c16="http://schemas.microsoft.com/office/drawing/2014/chart" uri="{C3380CC4-5D6E-409C-BE32-E72D297353CC}">
              <c16:uniqueId val="{00000002-B66A-4895-8515-673EB758BE76}"/>
            </c:ext>
          </c:extLst>
        </c:ser>
        <c:ser>
          <c:idx val="4"/>
          <c:order val="3"/>
          <c:tx>
            <c:strRef>
              <c:f>'Měnové podmínky 1'!$G$5</c:f>
              <c:strCache>
                <c:ptCount val="1"/>
                <c:pt idx="0">
                  <c:v>Average yield of government bonds (5Y)</c:v>
                </c:pt>
              </c:strCache>
            </c:strRef>
          </c:tx>
          <c:spPr>
            <a:ln w="19050">
              <a:solidFill>
                <a:srgbClr val="F8A124"/>
              </a:solidFill>
            </a:ln>
          </c:spPr>
          <c:marker>
            <c:symbol val="none"/>
          </c:marker>
          <c:cat>
            <c:multiLvlStrRef>
              <c:f>'Měnové podmínky 1'!$A$66:$B$131</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'Měnové podmínky 1'!$G$66:$G$131</c:f>
              <c:numCache>
                <c:formatCode>General</c:formatCode>
                <c:ptCount val="66"/>
                <c:pt idx="0">
                  <c:v>-0.22</c:v>
                </c:pt>
                <c:pt idx="1">
                  <c:v>0.09</c:v>
                </c:pt>
                <c:pt idx="2">
                  <c:v>0.1</c:v>
                </c:pt>
                <c:pt idx="3">
                  <c:v>0.16</c:v>
                </c:pt>
                <c:pt idx="4">
                  <c:v>0.04</c:v>
                </c:pt>
                <c:pt idx="5">
                  <c:v>-0.03</c:v>
                </c:pt>
                <c:pt idx="6">
                  <c:v>0.14000000000000001</c:v>
                </c:pt>
                <c:pt idx="7">
                  <c:v>0.09</c:v>
                </c:pt>
                <c:pt idx="8">
                  <c:v>0.1</c:v>
                </c:pt>
                <c:pt idx="9">
                  <c:v>0.63</c:v>
                </c:pt>
                <c:pt idx="10">
                  <c:v>0.87</c:v>
                </c:pt>
                <c:pt idx="11">
                  <c:v>0.68</c:v>
                </c:pt>
                <c:pt idx="12">
                  <c:v>0.99</c:v>
                </c:pt>
                <c:pt idx="13">
                  <c:v>1.07</c:v>
                </c:pt>
                <c:pt idx="14">
                  <c:v>1.0900000000000001</c:v>
                </c:pt>
                <c:pt idx="15">
                  <c:v>1.05</c:v>
                </c:pt>
                <c:pt idx="16">
                  <c:v>1.21</c:v>
                </c:pt>
                <c:pt idx="17">
                  <c:v>1.41</c:v>
                </c:pt>
                <c:pt idx="18">
                  <c:v>1.44</c:v>
                </c:pt>
                <c:pt idx="19">
                  <c:v>1.55</c:v>
                </c:pt>
                <c:pt idx="20">
                  <c:v>1.7</c:v>
                </c:pt>
                <c:pt idx="21">
                  <c:v>1.81</c:v>
                </c:pt>
                <c:pt idx="22">
                  <c:v>1.79</c:v>
                </c:pt>
                <c:pt idx="23">
                  <c:v>1.71</c:v>
                </c:pt>
                <c:pt idx="24">
                  <c:v>1.6</c:v>
                </c:pt>
                <c:pt idx="25">
                  <c:v>1.61</c:v>
                </c:pt>
                <c:pt idx="26">
                  <c:v>1.7</c:v>
                </c:pt>
                <c:pt idx="27">
                  <c:v>1.63</c:v>
                </c:pt>
                <c:pt idx="28">
                  <c:v>1.57</c:v>
                </c:pt>
                <c:pt idx="29">
                  <c:v>1.43</c:v>
                </c:pt>
                <c:pt idx="30">
                  <c:v>1.31</c:v>
                </c:pt>
                <c:pt idx="31">
                  <c:v>0.89</c:v>
                </c:pt>
                <c:pt idx="32">
                  <c:v>1.1299999999999999</c:v>
                </c:pt>
                <c:pt idx="33">
                  <c:v>1.23</c:v>
                </c:pt>
                <c:pt idx="34">
                  <c:v>1.32</c:v>
                </c:pt>
                <c:pt idx="35">
                  <c:v>1.31</c:v>
                </c:pt>
                <c:pt idx="36">
                  <c:v>1.51</c:v>
                </c:pt>
                <c:pt idx="37">
                  <c:v>1.52</c:v>
                </c:pt>
                <c:pt idx="38">
                  <c:v>1.23</c:v>
                </c:pt>
                <c:pt idx="39">
                  <c:v>1.06</c:v>
                </c:pt>
                <c:pt idx="40">
                  <c:v>0.56999999999999995</c:v>
                </c:pt>
                <c:pt idx="41">
                  <c:v>0.52</c:v>
                </c:pt>
                <c:pt idx="42">
                  <c:v>0.52</c:v>
                </c:pt>
                <c:pt idx="43">
                  <c:v>0.57999999999999996</c:v>
                </c:pt>
                <c:pt idx="44">
                  <c:v>0.57999999999999996</c:v>
                </c:pt>
                <c:pt idx="45">
                  <c:v>0.54</c:v>
                </c:pt>
                <c:pt idx="46">
                  <c:v>0.66</c:v>
                </c:pt>
                <c:pt idx="47">
                  <c:v>0.8</c:v>
                </c:pt>
                <c:pt idx="48">
                  <c:v>0.82</c:v>
                </c:pt>
                <c:pt idx="49">
                  <c:v>1.06</c:v>
                </c:pt>
                <c:pt idx="50">
                  <c:v>1.4</c:v>
                </c:pt>
                <c:pt idx="51">
                  <c:v>1.43</c:v>
                </c:pt>
                <c:pt idx="52">
                  <c:v>1.47</c:v>
                </c:pt>
                <c:pt idx="53">
                  <c:v>1.55</c:v>
                </c:pt>
                <c:pt idx="54">
                  <c:v>1.63</c:v>
                </c:pt>
                <c:pt idx="55">
                  <c:v>1.68</c:v>
                </c:pt>
                <c:pt idx="56">
                  <c:v>1.87</c:v>
                </c:pt>
                <c:pt idx="57">
                  <c:v>2.37</c:v>
                </c:pt>
                <c:pt idx="58">
                  <c:v>2.84</c:v>
                </c:pt>
                <c:pt idx="59">
                  <c:v>2.84</c:v>
                </c:pt>
                <c:pt idx="60">
                  <c:v>3.36</c:v>
                </c:pt>
                <c:pt idx="61">
                  <c:v>3.2</c:v>
                </c:pt>
                <c:pt idx="62">
                  <c:v>3.85</c:v>
                </c:pt>
                <c:pt idx="63">
                  <c:v>4.54</c:v>
                </c:pt>
                <c:pt idx="64">
                  <c:v>4.99</c:v>
                </c:pt>
                <c:pt idx="65">
                  <c:v>5.49</c:v>
                </c:pt>
              </c:numCache>
            </c:numRef>
          </c:val>
          <c:smooth val="0"/>
          <c:extLst>
            <c:ext xmlns:c16="http://schemas.microsoft.com/office/drawing/2014/chart" uri="{C3380CC4-5D6E-409C-BE32-E72D297353CC}">
              <c16:uniqueId val="{00000003-B66A-4895-8515-673EB758BE76}"/>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1'!$A$66:$B$131</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'Měnové podmínky 1'!$E$66:$E$131</c:f>
              <c:numCache>
                <c:formatCode>General</c:formatCode>
                <c:ptCount val="66"/>
                <c:pt idx="0">
                  <c:v>0.44</c:v>
                </c:pt>
                <c:pt idx="1">
                  <c:v>0.44</c:v>
                </c:pt>
                <c:pt idx="2">
                  <c:v>0.44</c:v>
                </c:pt>
                <c:pt idx="3">
                  <c:v>0.45</c:v>
                </c:pt>
                <c:pt idx="4">
                  <c:v>0.46</c:v>
                </c:pt>
                <c:pt idx="5">
                  <c:v>0.46</c:v>
                </c:pt>
                <c:pt idx="6">
                  <c:v>0.47</c:v>
                </c:pt>
                <c:pt idx="7">
                  <c:v>0.6</c:v>
                </c:pt>
                <c:pt idx="8">
                  <c:v>0.64</c:v>
                </c:pt>
                <c:pt idx="9">
                  <c:v>0.69</c:v>
                </c:pt>
                <c:pt idx="10">
                  <c:v>0.91</c:v>
                </c:pt>
                <c:pt idx="11">
                  <c:v>0.96</c:v>
                </c:pt>
                <c:pt idx="12">
                  <c:v>0.98</c:v>
                </c:pt>
                <c:pt idx="13">
                  <c:v>1.1100000000000001</c:v>
                </c:pt>
                <c:pt idx="14">
                  <c:v>1.1200000000000001</c:v>
                </c:pt>
                <c:pt idx="15">
                  <c:v>1.1200000000000001</c:v>
                </c:pt>
                <c:pt idx="16">
                  <c:v>1.1200000000000001</c:v>
                </c:pt>
                <c:pt idx="17">
                  <c:v>1.1499999999999999</c:v>
                </c:pt>
                <c:pt idx="18">
                  <c:v>1.39</c:v>
                </c:pt>
                <c:pt idx="19">
                  <c:v>1.67</c:v>
                </c:pt>
                <c:pt idx="20">
                  <c:v>1.79</c:v>
                </c:pt>
                <c:pt idx="21">
                  <c:v>1.95</c:v>
                </c:pt>
                <c:pt idx="22">
                  <c:v>2.1800000000000002</c:v>
                </c:pt>
                <c:pt idx="23">
                  <c:v>2.21</c:v>
                </c:pt>
                <c:pt idx="24">
                  <c:v>2.21</c:v>
                </c:pt>
                <c:pt idx="25">
                  <c:v>2.2000000000000002</c:v>
                </c:pt>
                <c:pt idx="26">
                  <c:v>2.2000000000000002</c:v>
                </c:pt>
                <c:pt idx="27">
                  <c:v>2.21</c:v>
                </c:pt>
                <c:pt idx="28">
                  <c:v>2.3199999999999998</c:v>
                </c:pt>
                <c:pt idx="29">
                  <c:v>2.29</c:v>
                </c:pt>
                <c:pt idx="30">
                  <c:v>2.2799999999999998</c:v>
                </c:pt>
                <c:pt idx="31">
                  <c:v>2.2200000000000002</c:v>
                </c:pt>
                <c:pt idx="32">
                  <c:v>2.2000000000000002</c:v>
                </c:pt>
                <c:pt idx="33">
                  <c:v>2.2799999999999998</c:v>
                </c:pt>
                <c:pt idx="34">
                  <c:v>2.2799999999999998</c:v>
                </c:pt>
                <c:pt idx="35">
                  <c:v>2.27</c:v>
                </c:pt>
                <c:pt idx="36">
                  <c:v>2.27</c:v>
                </c:pt>
                <c:pt idx="37">
                  <c:v>2.42</c:v>
                </c:pt>
                <c:pt idx="38">
                  <c:v>2.0099999999999998</c:v>
                </c:pt>
                <c:pt idx="39">
                  <c:v>0.92</c:v>
                </c:pt>
                <c:pt idx="40">
                  <c:v>0.51</c:v>
                </c:pt>
                <c:pt idx="41">
                  <c:v>0.43</c:v>
                </c:pt>
                <c:pt idx="42">
                  <c:v>0.43</c:v>
                </c:pt>
                <c:pt idx="43">
                  <c:v>0.43</c:v>
                </c:pt>
                <c:pt idx="44">
                  <c:v>0.44</c:v>
                </c:pt>
                <c:pt idx="45">
                  <c:v>0.43</c:v>
                </c:pt>
                <c:pt idx="46">
                  <c:v>0.44</c:v>
                </c:pt>
                <c:pt idx="47">
                  <c:v>0.49</c:v>
                </c:pt>
                <c:pt idx="48">
                  <c:v>0.49</c:v>
                </c:pt>
                <c:pt idx="49">
                  <c:v>0.54</c:v>
                </c:pt>
                <c:pt idx="50">
                  <c:v>0.56000000000000005</c:v>
                </c:pt>
                <c:pt idx="51">
                  <c:v>0.56000000000000005</c:v>
                </c:pt>
                <c:pt idx="52">
                  <c:v>0.67</c:v>
                </c:pt>
                <c:pt idx="53">
                  <c:v>0.78</c:v>
                </c:pt>
                <c:pt idx="54">
                  <c:v>1</c:v>
                </c:pt>
                <c:pt idx="55">
                  <c:v>1.3</c:v>
                </c:pt>
                <c:pt idx="56">
                  <c:v>1.52</c:v>
                </c:pt>
                <c:pt idx="57">
                  <c:v>2.44</c:v>
                </c:pt>
                <c:pt idx="58">
                  <c:v>3.5</c:v>
                </c:pt>
                <c:pt idx="59">
                  <c:v>3.96</c:v>
                </c:pt>
                <c:pt idx="60">
                  <c:v>4.55</c:v>
                </c:pt>
                <c:pt idx="61">
                  <c:v>4.87</c:v>
                </c:pt>
                <c:pt idx="62">
                  <c:v>5.12</c:v>
                </c:pt>
                <c:pt idx="63">
                  <c:v>5.74</c:v>
                </c:pt>
                <c:pt idx="64">
                  <c:v>6.33</c:v>
                </c:pt>
                <c:pt idx="65">
                  <c:v>7.02</c:v>
                </c:pt>
              </c:numCache>
            </c:numRef>
          </c:val>
          <c:smooth val="0"/>
          <c:extLst>
            <c:ext xmlns:c16="http://schemas.microsoft.com/office/drawing/2014/chart" uri="{C3380CC4-5D6E-409C-BE32-E72D297353CC}">
              <c16:uniqueId val="{00000004-B66A-4895-8515-673EB758BE76}"/>
            </c:ext>
          </c:extLst>
        </c:ser>
        <c:ser>
          <c:idx val="5"/>
          <c:order val="5"/>
          <c:tx>
            <c:strRef>
              <c:f>'Měnové podmínky 1'!$H$5</c:f>
              <c:strCache>
                <c:ptCount val="1"/>
                <c:pt idx="0">
                  <c:v>Average yield of government bonds (10Y)</c:v>
                </c:pt>
              </c:strCache>
            </c:strRef>
          </c:tx>
          <c:spPr>
            <a:ln w="19050">
              <a:solidFill>
                <a:srgbClr val="48AEE7"/>
              </a:solidFill>
            </a:ln>
          </c:spPr>
          <c:marker>
            <c:symbol val="none"/>
          </c:marker>
          <c:cat>
            <c:multiLvlStrRef>
              <c:f>'Měnové podmínky 1'!$A$66:$B$131</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'Měnové podmínky 1'!$H$66:$H$131</c:f>
              <c:numCache>
                <c:formatCode>General</c:formatCode>
                <c:ptCount val="66"/>
                <c:pt idx="0">
                  <c:v>0.47</c:v>
                </c:pt>
                <c:pt idx="1">
                  <c:v>0.63</c:v>
                </c:pt>
                <c:pt idx="2">
                  <c:v>0.87</c:v>
                </c:pt>
                <c:pt idx="3">
                  <c:v>0.96</c:v>
                </c:pt>
                <c:pt idx="4">
                  <c:v>0.74</c:v>
                </c:pt>
                <c:pt idx="5">
                  <c:v>0.77</c:v>
                </c:pt>
                <c:pt idx="6">
                  <c:v>0.9</c:v>
                </c:pt>
                <c:pt idx="7">
                  <c:v>0.83</c:v>
                </c:pt>
                <c:pt idx="8">
                  <c:v>0.97</c:v>
                </c:pt>
                <c:pt idx="9">
                  <c:v>1.45</c:v>
                </c:pt>
                <c:pt idx="10">
                  <c:v>1.68</c:v>
                </c:pt>
                <c:pt idx="11">
                  <c:v>1.5</c:v>
                </c:pt>
                <c:pt idx="12">
                  <c:v>1.77</c:v>
                </c:pt>
                <c:pt idx="13">
                  <c:v>1.82</c:v>
                </c:pt>
                <c:pt idx="14">
                  <c:v>1.81</c:v>
                </c:pt>
                <c:pt idx="15">
                  <c:v>1.74</c:v>
                </c:pt>
                <c:pt idx="16">
                  <c:v>1.89</c:v>
                </c:pt>
                <c:pt idx="17">
                  <c:v>2.14</c:v>
                </c:pt>
                <c:pt idx="18">
                  <c:v>2.11</c:v>
                </c:pt>
                <c:pt idx="19">
                  <c:v>2.14</c:v>
                </c:pt>
                <c:pt idx="20">
                  <c:v>2.14</c:v>
                </c:pt>
                <c:pt idx="21">
                  <c:v>2.14</c:v>
                </c:pt>
                <c:pt idx="22">
                  <c:v>2.0699999999999998</c:v>
                </c:pt>
                <c:pt idx="23">
                  <c:v>2.0099999999999998</c:v>
                </c:pt>
                <c:pt idx="24">
                  <c:v>1.85</c:v>
                </c:pt>
                <c:pt idx="25">
                  <c:v>1.76</c:v>
                </c:pt>
                <c:pt idx="26">
                  <c:v>1.82</c:v>
                </c:pt>
                <c:pt idx="27">
                  <c:v>1.82</c:v>
                </c:pt>
                <c:pt idx="28">
                  <c:v>1.86</c:v>
                </c:pt>
                <c:pt idx="29">
                  <c:v>1.58</c:v>
                </c:pt>
                <c:pt idx="30">
                  <c:v>1.36</c:v>
                </c:pt>
                <c:pt idx="31">
                  <c:v>0.99</c:v>
                </c:pt>
                <c:pt idx="32">
                  <c:v>1.24</c:v>
                </c:pt>
                <c:pt idx="33">
                  <c:v>1.32</c:v>
                </c:pt>
                <c:pt idx="34">
                  <c:v>1.47</c:v>
                </c:pt>
                <c:pt idx="35">
                  <c:v>1.51</c:v>
                </c:pt>
                <c:pt idx="36">
                  <c:v>1.62</c:v>
                </c:pt>
                <c:pt idx="37">
                  <c:v>1.47</c:v>
                </c:pt>
                <c:pt idx="38">
                  <c:v>1.28</c:v>
                </c:pt>
                <c:pt idx="39">
                  <c:v>1.28</c:v>
                </c:pt>
                <c:pt idx="40">
                  <c:v>0.92</c:v>
                </c:pt>
                <c:pt idx="41">
                  <c:v>0.86</c:v>
                </c:pt>
                <c:pt idx="42">
                  <c:v>0.86</c:v>
                </c:pt>
                <c:pt idx="43">
                  <c:v>0.95</c:v>
                </c:pt>
                <c:pt idx="44">
                  <c:v>0.98</c:v>
                </c:pt>
                <c:pt idx="45">
                  <c:v>0.94</c:v>
                </c:pt>
                <c:pt idx="46">
                  <c:v>1.1200000000000001</c:v>
                </c:pt>
                <c:pt idx="47">
                  <c:v>1.26</c:v>
                </c:pt>
                <c:pt idx="48">
                  <c:v>1.28</c:v>
                </c:pt>
                <c:pt idx="49">
                  <c:v>1.49</c:v>
                </c:pt>
                <c:pt idx="50">
                  <c:v>1.87</c:v>
                </c:pt>
                <c:pt idx="51">
                  <c:v>1.86</c:v>
                </c:pt>
                <c:pt idx="52">
                  <c:v>1.74</c:v>
                </c:pt>
                <c:pt idx="53">
                  <c:v>1.67</c:v>
                </c:pt>
                <c:pt idx="54">
                  <c:v>1.72</c:v>
                </c:pt>
                <c:pt idx="55">
                  <c:v>1.74</c:v>
                </c:pt>
                <c:pt idx="56">
                  <c:v>1.9</c:v>
                </c:pt>
                <c:pt idx="57">
                  <c:v>2.34</c:v>
                </c:pt>
                <c:pt idx="58">
                  <c:v>2.62</c:v>
                </c:pt>
                <c:pt idx="59">
                  <c:v>2.62</c:v>
                </c:pt>
                <c:pt idx="60">
                  <c:v>3.12</c:v>
                </c:pt>
                <c:pt idx="61">
                  <c:v>3.03</c:v>
                </c:pt>
                <c:pt idx="62">
                  <c:v>3.53</c:v>
                </c:pt>
                <c:pt idx="63">
                  <c:v>4.01</c:v>
                </c:pt>
                <c:pt idx="64">
                  <c:v>4.6100000000000003</c:v>
                </c:pt>
                <c:pt idx="65">
                  <c:v>5.12</c:v>
                </c:pt>
              </c:numCache>
            </c:numRef>
          </c:val>
          <c:smooth val="0"/>
          <c:extLst>
            <c:ext xmlns:c16="http://schemas.microsoft.com/office/drawing/2014/chart" uri="{C3380CC4-5D6E-409C-BE32-E72D297353CC}">
              <c16:uniqueId val="{00000005-B66A-4895-8515-673EB758BE76}"/>
            </c:ext>
          </c:extLst>
        </c:ser>
        <c:dLbls>
          <c:showLegendKey val="0"/>
          <c:showVal val="0"/>
          <c:showCatName val="0"/>
          <c:showSerName val="0"/>
          <c:showPercent val="0"/>
          <c:showBubbleSize val="0"/>
        </c:dLbls>
        <c:marker val="1"/>
        <c:smooth val="0"/>
        <c:axId val="131001344"/>
        <c:axId val="131027712"/>
      </c:lineChart>
      <c:catAx>
        <c:axId val="131001344"/>
        <c:scaling>
          <c:orientation val="minMax"/>
        </c:scaling>
        <c:delete val="0"/>
        <c:axPos val="b"/>
        <c:numFmt formatCode="General" sourceLinked="0"/>
        <c:majorTickMark val="out"/>
        <c:minorTickMark val="none"/>
        <c:tickLblPos val="low"/>
        <c:spPr>
          <a:ln>
            <a:solidFill>
              <a:schemeClr val="tx1"/>
            </a:solidFill>
          </a:ln>
        </c:spPr>
        <c:crossAx val="131027712"/>
        <c:crosses val="autoZero"/>
        <c:auto val="1"/>
        <c:lblAlgn val="ctr"/>
        <c:lblOffset val="100"/>
        <c:noMultiLvlLbl val="0"/>
      </c:catAx>
      <c:valAx>
        <c:axId val="131027712"/>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1001344"/>
        <c:crosses val="autoZero"/>
        <c:crossBetween val="between"/>
        <c:majorUnit val="1"/>
      </c:valAx>
      <c:spPr>
        <a:ln>
          <a:solidFill>
            <a:schemeClr val="tx1"/>
          </a:solidFill>
        </a:ln>
      </c:spPr>
    </c:plotArea>
    <c:legend>
      <c:legendPos val="b"/>
      <c:layout>
        <c:manualLayout>
          <c:xMode val="edge"/>
          <c:yMode val="edge"/>
          <c:x val="4.2139690982776527E-2"/>
          <c:y val="0.87558269120103249"/>
          <c:w val="0.93886651469098281"/>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2FA4A-4AC8-450A-97D2-971081183704}">
  <ds:schemaRefs>
    <ds:schemaRef ds:uri="http://schemas.openxmlformats.org/officeDocument/2006/bibliography"/>
  </ds:schemaRefs>
</ds:datastoreItem>
</file>

<file path=customXml/itemProps2.xml><?xml version="1.0" encoding="utf-8"?>
<ds:datastoreItem xmlns:ds="http://schemas.openxmlformats.org/officeDocument/2006/customXml" ds:itemID="{884A880C-4050-46BE-AF8A-C8E4572F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2</Pages>
  <Words>926</Words>
  <Characters>5466</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6380</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Zábojníková Karolína</cp:lastModifiedBy>
  <cp:revision>3</cp:revision>
  <cp:lastPrinted>2019-04-08T10:52:00Z</cp:lastPrinted>
  <dcterms:created xsi:type="dcterms:W3CDTF">2022-10-14T10:28:00Z</dcterms:created>
  <dcterms:modified xsi:type="dcterms:W3CDTF">2022-10-14T10:42:00Z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2022-09-16T14:37:11Z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c768a867-054a-4443-ae84-aa18391251d8</vt:lpwstr>
  </property>
  <property fmtid="{D5CDD505-2E9C-101B-9397-08002B2CF9AE}" pid="8" name="MSIP_Label_29db9e61-aac5-4f6e-805d-ceb8cb9983a1_ContentBits">
    <vt:lpwstr>0</vt:lpwstr>
  </property>
</Properties>
</file>