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drawings/drawing1.xml" ContentType="application/vnd.openxmlformats-officedocument.drawingml.chartshapes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theme/themeOverride2.xml" ContentType="application/vnd.openxmlformats-officedocument.themeOverride+xml"/>
  <Override PartName="/word/drawings/drawing2.xml" ContentType="application/vnd.openxmlformats-officedocument.drawingml.chartshapes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theme/themeOverride3.xml" ContentType="application/vnd.openxmlformats-officedocument.themeOverride+xml"/>
  <Override PartName="/word/drawings/drawing3.xml" ContentType="application/vnd.openxmlformats-officedocument.drawingml.chartshapes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theme/themeOverride4.xml" ContentType="application/vnd.openxmlformats-officedocument.themeOverride+xml"/>
  <Override PartName="/word/drawings/drawing4.xml" ContentType="application/vnd.openxmlformats-officedocument.drawingml.chartshapes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theme/themeOverride5.xml" ContentType="application/vnd.openxmlformats-officedocument.themeOverride+xml"/>
  <Override PartName="/word/drawings/drawing5.xml" ContentType="application/vnd.openxmlformats-officedocument.drawingml.chartshapes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theme/themeOverride6.xml" ContentType="application/vnd.openxmlformats-officedocument.themeOverride+xml"/>
  <Override PartName="/word/drawings/drawing6.xml" ContentType="application/vnd.openxmlformats-officedocument.drawingml.chartshapes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theme/themeOverride7.xml" ContentType="application/vnd.openxmlformats-officedocument.themeOverride+xml"/>
  <Override PartName="/word/drawings/drawing7.xml" ContentType="application/vnd.openxmlformats-officedocument.drawingml.chartshapes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drawings/drawing8.xml" ContentType="application/vnd.openxmlformats-officedocument.drawingml.chartshapes+xml"/>
  <Override PartName="/word/charts/chart11.xml" ContentType="application/vnd.openxmlformats-officedocument.drawingml.chart+xml"/>
  <Override PartName="/word/charts/style11.xml" ContentType="application/vnd.ms-office.chartstyle+xml"/>
  <Override PartName="/word/charts/colors11.xml" ContentType="application/vnd.ms-office.chartcolorstyle+xml"/>
  <Override PartName="/word/charts/chart12.xml" ContentType="application/vnd.openxmlformats-officedocument.drawingml.chart+xml"/>
  <Override PartName="/word/charts/style12.xml" ContentType="application/vnd.ms-office.chartstyle+xml"/>
  <Override PartName="/word/charts/colors12.xml" ContentType="application/vnd.ms-office.chartcolorstyle+xml"/>
  <Override PartName="/word/drawings/drawing9.xml" ContentType="application/vnd.openxmlformats-officedocument.drawingml.chartshapes+xml"/>
  <Override PartName="/word/charts/chart13.xml" ContentType="application/vnd.openxmlformats-officedocument.drawingml.chart+xml"/>
  <Override PartName="/word/charts/style13.xml" ContentType="application/vnd.ms-office.chartstyle+xml"/>
  <Override PartName="/word/charts/colors13.xml" ContentType="application/vnd.ms-office.chartcolorstyle+xml"/>
  <Override PartName="/word/drawings/drawing10.xml" ContentType="application/vnd.openxmlformats-officedocument.drawingml.chartshapes+xml"/>
  <Override PartName="/word/charts/chart14.xml" ContentType="application/vnd.openxmlformats-officedocument.drawingml.chart+xml"/>
  <Override PartName="/word/charts/style14.xml" ContentType="application/vnd.ms-office.chartstyle+xml"/>
  <Override PartName="/word/charts/colors14.xml" ContentType="application/vnd.ms-office.chartcolorstyle+xml"/>
  <Override PartName="/word/drawings/drawing11.xml" ContentType="application/vnd.openxmlformats-officedocument.drawingml.chartshapes+xml"/>
  <Override PartName="/word/charts/chart15.xml" ContentType="application/vnd.openxmlformats-officedocument.drawingml.chart+xml"/>
  <Override PartName="/word/charts/style15.xml" ContentType="application/vnd.ms-office.chartstyle+xml"/>
  <Override PartName="/word/charts/colors15.xml" ContentType="application/vnd.ms-office.chartcolorstyle+xml"/>
  <Override PartName="/word/drawings/drawing12.xml" ContentType="application/vnd.openxmlformats-officedocument.drawingml.chartshapes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1D97E0FB" w14:textId="77777777" w:rsidR="00A75E40" w:rsidRPr="000A3A2C" w:rsidRDefault="00016992" w:rsidP="00E67696">
      <w:pPr>
        <w:rPr>
          <w:lang w:eastAsia="ar-SA"/>
        </w:rPr>
        <w:sectPr w:rsidR="00A75E40" w:rsidRPr="000A3A2C" w:rsidSect="0085114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1134" w:bottom="1418" w:left="1134" w:header="709" w:footer="709" w:gutter="0"/>
          <w:pgNumType w:start="1"/>
          <w:cols w:space="708"/>
          <w:docGrid w:linePitch="36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1" layoutInCell="1" allowOverlap="1" wp14:anchorId="261D4474" wp14:editId="4BD7CF16">
                <wp:simplePos x="0" y="0"/>
                <wp:positionH relativeFrom="page">
                  <wp:posOffset>571500</wp:posOffset>
                </wp:positionH>
                <wp:positionV relativeFrom="page">
                  <wp:posOffset>466725</wp:posOffset>
                </wp:positionV>
                <wp:extent cx="2249805" cy="554355"/>
                <wp:effectExtent l="0" t="0" r="0" b="0"/>
                <wp:wrapSquare wrapText="bothSides"/>
                <wp:docPr id="5" name="Group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 bwMode="auto">
                        <a:xfrm>
                          <a:off x="0" y="0"/>
                          <a:ext cx="2249805" cy="554355"/>
                          <a:chOff x="567" y="851"/>
                          <a:chExt cx="2714" cy="667"/>
                        </a:xfrm>
                      </wpg:grpSpPr>
                      <wps:wsp>
                        <wps:cNvPr id="6" name="Rectangle 9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215" y="901"/>
                            <a:ext cx="676" cy="154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10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567" y="1131"/>
                            <a:ext cx="1324" cy="154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Rectangle 11"/>
                        <wps:cNvSpPr>
                          <a:spLocks noChangeAspect="1" noChangeArrowheads="1"/>
                        </wps:cNvSpPr>
                        <wps:spPr bwMode="auto">
                          <a:xfrm>
                            <a:off x="1288" y="1361"/>
                            <a:ext cx="603" cy="153"/>
                          </a:xfrm>
                          <a:prstGeom prst="rect">
                            <a:avLst/>
                          </a:prstGeom>
                          <a:solidFill>
                            <a:srgbClr val="0071B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" name="Freeform 12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9" y="1311"/>
                            <a:ext cx="600" cy="207"/>
                          </a:xfrm>
                          <a:custGeom>
                            <a:avLst/>
                            <a:gdLst>
                              <a:gd name="T0" fmla="*/ 520 w 1200"/>
                              <a:gd name="T1" fmla="*/ 84 h 415"/>
                              <a:gd name="T2" fmla="*/ 537 w 1200"/>
                              <a:gd name="T3" fmla="*/ 88 h 415"/>
                              <a:gd name="T4" fmla="*/ 550 w 1200"/>
                              <a:gd name="T5" fmla="*/ 100 h 415"/>
                              <a:gd name="T6" fmla="*/ 557 w 1200"/>
                              <a:gd name="T7" fmla="*/ 114 h 415"/>
                              <a:gd name="T8" fmla="*/ 559 w 1200"/>
                              <a:gd name="T9" fmla="*/ 131 h 415"/>
                              <a:gd name="T10" fmla="*/ 554 w 1200"/>
                              <a:gd name="T11" fmla="*/ 147 h 415"/>
                              <a:gd name="T12" fmla="*/ 544 w 1200"/>
                              <a:gd name="T13" fmla="*/ 160 h 415"/>
                              <a:gd name="T14" fmla="*/ 530 w 1200"/>
                              <a:gd name="T15" fmla="*/ 168 h 415"/>
                              <a:gd name="T16" fmla="*/ 506 w 1200"/>
                              <a:gd name="T17" fmla="*/ 170 h 415"/>
                              <a:gd name="T18" fmla="*/ 540 w 1200"/>
                              <a:gd name="T19" fmla="*/ 202 h 415"/>
                              <a:gd name="T20" fmla="*/ 567 w 1200"/>
                              <a:gd name="T21" fmla="*/ 190 h 415"/>
                              <a:gd name="T22" fmla="*/ 587 w 1200"/>
                              <a:gd name="T23" fmla="*/ 169 h 415"/>
                              <a:gd name="T24" fmla="*/ 599 w 1200"/>
                              <a:gd name="T25" fmla="*/ 142 h 415"/>
                              <a:gd name="T26" fmla="*/ 599 w 1200"/>
                              <a:gd name="T27" fmla="*/ 111 h 415"/>
                              <a:gd name="T28" fmla="*/ 587 w 1200"/>
                              <a:gd name="T29" fmla="*/ 84 h 415"/>
                              <a:gd name="T30" fmla="*/ 567 w 1200"/>
                              <a:gd name="T31" fmla="*/ 63 h 415"/>
                              <a:gd name="T32" fmla="*/ 540 w 1200"/>
                              <a:gd name="T33" fmla="*/ 51 h 415"/>
                              <a:gd name="T34" fmla="*/ 466 w 1200"/>
                              <a:gd name="T35" fmla="*/ 204 h 415"/>
                              <a:gd name="T36" fmla="*/ 388 w 1200"/>
                              <a:gd name="T37" fmla="*/ 146 h 415"/>
                              <a:gd name="T38" fmla="*/ 393 w 1200"/>
                              <a:gd name="T39" fmla="*/ 50 h 415"/>
                              <a:gd name="T40" fmla="*/ 343 w 1200"/>
                              <a:gd name="T41" fmla="*/ 177 h 415"/>
                              <a:gd name="T42" fmla="*/ 257 w 1200"/>
                              <a:gd name="T43" fmla="*/ 18 h 415"/>
                              <a:gd name="T44" fmla="*/ 174 w 1200"/>
                              <a:gd name="T45" fmla="*/ 18 h 415"/>
                              <a:gd name="T46" fmla="*/ 216 w 1200"/>
                              <a:gd name="T47" fmla="*/ 81 h 415"/>
                              <a:gd name="T48" fmla="*/ 231 w 1200"/>
                              <a:gd name="T49" fmla="*/ 88 h 415"/>
                              <a:gd name="T50" fmla="*/ 235 w 1200"/>
                              <a:gd name="T51" fmla="*/ 104 h 415"/>
                              <a:gd name="T52" fmla="*/ 225 w 1200"/>
                              <a:gd name="T53" fmla="*/ 116 h 415"/>
                              <a:gd name="T54" fmla="*/ 204 w 1200"/>
                              <a:gd name="T55" fmla="*/ 119 h 415"/>
                              <a:gd name="T56" fmla="*/ 258 w 1200"/>
                              <a:gd name="T57" fmla="*/ 135 h 415"/>
                              <a:gd name="T58" fmla="*/ 271 w 1200"/>
                              <a:gd name="T59" fmla="*/ 121 h 415"/>
                              <a:gd name="T60" fmla="*/ 276 w 1200"/>
                              <a:gd name="T61" fmla="*/ 102 h 415"/>
                              <a:gd name="T62" fmla="*/ 275 w 1200"/>
                              <a:gd name="T63" fmla="*/ 83 h 415"/>
                              <a:gd name="T64" fmla="*/ 266 w 1200"/>
                              <a:gd name="T65" fmla="*/ 67 h 415"/>
                              <a:gd name="T66" fmla="*/ 252 w 1200"/>
                              <a:gd name="T67" fmla="*/ 55 h 415"/>
                              <a:gd name="T68" fmla="*/ 232 w 1200"/>
                              <a:gd name="T69" fmla="*/ 50 h 415"/>
                              <a:gd name="T70" fmla="*/ 204 w 1200"/>
                              <a:gd name="T71" fmla="*/ 204 h 415"/>
                              <a:gd name="T72" fmla="*/ 243 w 1200"/>
                              <a:gd name="T73" fmla="*/ 141 h 415"/>
                              <a:gd name="T74" fmla="*/ 67 w 1200"/>
                              <a:gd name="T75" fmla="*/ 42 h 415"/>
                              <a:gd name="T76" fmla="*/ 0 w 1200"/>
                              <a:gd name="T77" fmla="*/ 139 h 415"/>
                              <a:gd name="T78" fmla="*/ 3 w 1200"/>
                              <a:gd name="T79" fmla="*/ 166 h 415"/>
                              <a:gd name="T80" fmla="*/ 12 w 1200"/>
                              <a:gd name="T81" fmla="*/ 184 h 415"/>
                              <a:gd name="T82" fmla="*/ 34 w 1200"/>
                              <a:gd name="T83" fmla="*/ 201 h 415"/>
                              <a:gd name="T84" fmla="*/ 67 w 1200"/>
                              <a:gd name="T85" fmla="*/ 207 h 415"/>
                              <a:gd name="T86" fmla="*/ 96 w 1200"/>
                              <a:gd name="T87" fmla="*/ 202 h 415"/>
                              <a:gd name="T88" fmla="*/ 119 w 1200"/>
                              <a:gd name="T89" fmla="*/ 186 h 415"/>
                              <a:gd name="T90" fmla="*/ 131 w 1200"/>
                              <a:gd name="T91" fmla="*/ 166 h 415"/>
                              <a:gd name="T92" fmla="*/ 134 w 1200"/>
                              <a:gd name="T93" fmla="*/ 139 h 415"/>
                              <a:gd name="T94" fmla="*/ 95 w 1200"/>
                              <a:gd name="T95" fmla="*/ 143 h 415"/>
                              <a:gd name="T96" fmla="*/ 89 w 1200"/>
                              <a:gd name="T97" fmla="*/ 163 h 415"/>
                              <a:gd name="T98" fmla="*/ 78 w 1200"/>
                              <a:gd name="T99" fmla="*/ 170 h 415"/>
                              <a:gd name="T100" fmla="*/ 63 w 1200"/>
                              <a:gd name="T101" fmla="*/ 172 h 415"/>
                              <a:gd name="T102" fmla="*/ 52 w 1200"/>
                              <a:gd name="T103" fmla="*/ 168 h 415"/>
                              <a:gd name="T104" fmla="*/ 42 w 1200"/>
                              <a:gd name="T105" fmla="*/ 156 h 415"/>
                              <a:gd name="T106" fmla="*/ 40 w 1200"/>
                              <a:gd name="T107" fmla="*/ 50 h 415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</a:gdLst>
                            <a:ahLst/>
                            <a:cxnLst>
                              <a:cxn ang="T108">
                                <a:pos x="T0" y="T1"/>
                              </a:cxn>
                              <a:cxn ang="T109">
                                <a:pos x="T2" y="T3"/>
                              </a:cxn>
                              <a:cxn ang="T110">
                                <a:pos x="T4" y="T5"/>
                              </a:cxn>
                              <a:cxn ang="T111">
                                <a:pos x="T6" y="T7"/>
                              </a:cxn>
                              <a:cxn ang="T112">
                                <a:pos x="T8" y="T9"/>
                              </a:cxn>
                              <a:cxn ang="T113">
                                <a:pos x="T10" y="T11"/>
                              </a:cxn>
                              <a:cxn ang="T114">
                                <a:pos x="T12" y="T13"/>
                              </a:cxn>
                              <a:cxn ang="T115">
                                <a:pos x="T14" y="T15"/>
                              </a:cxn>
                              <a:cxn ang="T116">
                                <a:pos x="T16" y="T17"/>
                              </a:cxn>
                              <a:cxn ang="T117">
                                <a:pos x="T18" y="T19"/>
                              </a:cxn>
                              <a:cxn ang="T118">
                                <a:pos x="T20" y="T21"/>
                              </a:cxn>
                              <a:cxn ang="T119">
                                <a:pos x="T22" y="T23"/>
                              </a:cxn>
                              <a:cxn ang="T120">
                                <a:pos x="T24" y="T25"/>
                              </a:cxn>
                              <a:cxn ang="T121">
                                <a:pos x="T26" y="T27"/>
                              </a:cxn>
                              <a:cxn ang="T122">
                                <a:pos x="T28" y="T29"/>
                              </a:cxn>
                              <a:cxn ang="T123">
                                <a:pos x="T30" y="T31"/>
                              </a:cxn>
                              <a:cxn ang="T124">
                                <a:pos x="T32" y="T33"/>
                              </a:cxn>
                              <a:cxn ang="T125">
                                <a:pos x="T34" y="T35"/>
                              </a:cxn>
                              <a:cxn ang="T126">
                                <a:pos x="T36" y="T37"/>
                              </a:cxn>
                              <a:cxn ang="T127">
                                <a:pos x="T38" y="T39"/>
                              </a:cxn>
                              <a:cxn ang="T128">
                                <a:pos x="T40" y="T41"/>
                              </a:cxn>
                              <a:cxn ang="T129">
                                <a:pos x="T42" y="T43"/>
                              </a:cxn>
                              <a:cxn ang="T130">
                                <a:pos x="T44" y="T45"/>
                              </a:cxn>
                              <a:cxn ang="T131">
                                <a:pos x="T46" y="T47"/>
                              </a:cxn>
                              <a:cxn ang="T132">
                                <a:pos x="T48" y="T49"/>
                              </a:cxn>
                              <a:cxn ang="T133">
                                <a:pos x="T50" y="T51"/>
                              </a:cxn>
                              <a:cxn ang="T134">
                                <a:pos x="T52" y="T53"/>
                              </a:cxn>
                              <a:cxn ang="T135">
                                <a:pos x="T54" y="T55"/>
                              </a:cxn>
                              <a:cxn ang="T136">
                                <a:pos x="T56" y="T57"/>
                              </a:cxn>
                              <a:cxn ang="T137">
                                <a:pos x="T58" y="T59"/>
                              </a:cxn>
                              <a:cxn ang="T138">
                                <a:pos x="T60" y="T61"/>
                              </a:cxn>
                              <a:cxn ang="T139">
                                <a:pos x="T62" y="T63"/>
                              </a:cxn>
                              <a:cxn ang="T140">
                                <a:pos x="T64" y="T65"/>
                              </a:cxn>
                              <a:cxn ang="T141">
                                <a:pos x="T66" y="T67"/>
                              </a:cxn>
                              <a:cxn ang="T142">
                                <a:pos x="T68" y="T69"/>
                              </a:cxn>
                              <a:cxn ang="T143">
                                <a:pos x="T70" y="T71"/>
                              </a:cxn>
                              <a:cxn ang="T144">
                                <a:pos x="T72" y="T73"/>
                              </a:cxn>
                              <a:cxn ang="T145">
                                <a:pos x="T74" y="T75"/>
                              </a:cxn>
                              <a:cxn ang="T146">
                                <a:pos x="T76" y="T77"/>
                              </a:cxn>
                              <a:cxn ang="T147">
                                <a:pos x="T78" y="T79"/>
                              </a:cxn>
                              <a:cxn ang="T148">
                                <a:pos x="T80" y="T81"/>
                              </a:cxn>
                              <a:cxn ang="T149">
                                <a:pos x="T82" y="T83"/>
                              </a:cxn>
                              <a:cxn ang="T150">
                                <a:pos x="T84" y="T85"/>
                              </a:cxn>
                              <a:cxn ang="T151">
                                <a:pos x="T86" y="T87"/>
                              </a:cxn>
                              <a:cxn ang="T152">
                                <a:pos x="T88" y="T89"/>
                              </a:cxn>
                              <a:cxn ang="T153">
                                <a:pos x="T90" y="T91"/>
                              </a:cxn>
                              <a:cxn ang="T154">
                                <a:pos x="T92" y="T93"/>
                              </a:cxn>
                              <a:cxn ang="T155">
                                <a:pos x="T94" y="T95"/>
                              </a:cxn>
                              <a:cxn ang="T156">
                                <a:pos x="T96" y="T97"/>
                              </a:cxn>
                              <a:cxn ang="T157">
                                <a:pos x="T98" y="T99"/>
                              </a:cxn>
                              <a:cxn ang="T158">
                                <a:pos x="T100" y="T101"/>
                              </a:cxn>
                              <a:cxn ang="T159">
                                <a:pos x="T102" y="T103"/>
                              </a:cxn>
                              <a:cxn ang="T160">
                                <a:pos x="T104" y="T105"/>
                              </a:cxn>
                              <a:cxn ang="T161">
                                <a:pos x="T106" y="T107"/>
                              </a:cxn>
                            </a:cxnLst>
                            <a:rect l="0" t="0" r="r" b="b"/>
                            <a:pathLst>
                              <a:path w="1200" h="415">
                                <a:moveTo>
                                  <a:pt x="1011" y="341"/>
                                </a:moveTo>
                                <a:lnTo>
                                  <a:pt x="1011" y="167"/>
                                </a:lnTo>
                                <a:lnTo>
                                  <a:pt x="1030" y="167"/>
                                </a:lnTo>
                                <a:lnTo>
                                  <a:pt x="1040" y="169"/>
                                </a:lnTo>
                                <a:lnTo>
                                  <a:pt x="1049" y="170"/>
                                </a:lnTo>
                                <a:lnTo>
                                  <a:pt x="1059" y="171"/>
                                </a:lnTo>
                                <a:lnTo>
                                  <a:pt x="1067" y="174"/>
                                </a:lnTo>
                                <a:lnTo>
                                  <a:pt x="1074" y="177"/>
                                </a:lnTo>
                                <a:lnTo>
                                  <a:pt x="1082" y="182"/>
                                </a:lnTo>
                                <a:lnTo>
                                  <a:pt x="1088" y="187"/>
                                </a:lnTo>
                                <a:lnTo>
                                  <a:pt x="1094" y="194"/>
                                </a:lnTo>
                                <a:lnTo>
                                  <a:pt x="1099" y="200"/>
                                </a:lnTo>
                                <a:lnTo>
                                  <a:pt x="1104" y="206"/>
                                </a:lnTo>
                                <a:lnTo>
                                  <a:pt x="1108" y="213"/>
                                </a:lnTo>
                                <a:lnTo>
                                  <a:pt x="1112" y="221"/>
                                </a:lnTo>
                                <a:lnTo>
                                  <a:pt x="1114" y="228"/>
                                </a:lnTo>
                                <a:lnTo>
                                  <a:pt x="1116" y="237"/>
                                </a:lnTo>
                                <a:lnTo>
                                  <a:pt x="1117" y="245"/>
                                </a:lnTo>
                                <a:lnTo>
                                  <a:pt x="1117" y="253"/>
                                </a:lnTo>
                                <a:lnTo>
                                  <a:pt x="1117" y="262"/>
                                </a:lnTo>
                                <a:lnTo>
                                  <a:pt x="1116" y="271"/>
                                </a:lnTo>
                                <a:lnTo>
                                  <a:pt x="1114" y="278"/>
                                </a:lnTo>
                                <a:lnTo>
                                  <a:pt x="1112" y="287"/>
                                </a:lnTo>
                                <a:lnTo>
                                  <a:pt x="1108" y="294"/>
                                </a:lnTo>
                                <a:lnTo>
                                  <a:pt x="1104" y="301"/>
                                </a:lnTo>
                                <a:lnTo>
                                  <a:pt x="1099" y="308"/>
                                </a:lnTo>
                                <a:lnTo>
                                  <a:pt x="1094" y="314"/>
                                </a:lnTo>
                                <a:lnTo>
                                  <a:pt x="1088" y="321"/>
                                </a:lnTo>
                                <a:lnTo>
                                  <a:pt x="1082" y="326"/>
                                </a:lnTo>
                                <a:lnTo>
                                  <a:pt x="1074" y="331"/>
                                </a:lnTo>
                                <a:lnTo>
                                  <a:pt x="1067" y="334"/>
                                </a:lnTo>
                                <a:lnTo>
                                  <a:pt x="1059" y="337"/>
                                </a:lnTo>
                                <a:lnTo>
                                  <a:pt x="1049" y="338"/>
                                </a:lnTo>
                                <a:lnTo>
                                  <a:pt x="1040" y="339"/>
                                </a:lnTo>
                                <a:lnTo>
                                  <a:pt x="1030" y="341"/>
                                </a:lnTo>
                                <a:lnTo>
                                  <a:pt x="1011" y="341"/>
                                </a:lnTo>
                                <a:close/>
                                <a:moveTo>
                                  <a:pt x="931" y="408"/>
                                </a:moveTo>
                                <a:lnTo>
                                  <a:pt x="1049" y="408"/>
                                </a:lnTo>
                                <a:lnTo>
                                  <a:pt x="1064" y="407"/>
                                </a:lnTo>
                                <a:lnTo>
                                  <a:pt x="1079" y="404"/>
                                </a:lnTo>
                                <a:lnTo>
                                  <a:pt x="1093" y="400"/>
                                </a:lnTo>
                                <a:lnTo>
                                  <a:pt x="1107" y="395"/>
                                </a:lnTo>
                                <a:lnTo>
                                  <a:pt x="1121" y="389"/>
                                </a:lnTo>
                                <a:lnTo>
                                  <a:pt x="1133" y="380"/>
                                </a:lnTo>
                                <a:lnTo>
                                  <a:pt x="1144" y="372"/>
                                </a:lnTo>
                                <a:lnTo>
                                  <a:pt x="1155" y="362"/>
                                </a:lnTo>
                                <a:lnTo>
                                  <a:pt x="1165" y="351"/>
                                </a:lnTo>
                                <a:lnTo>
                                  <a:pt x="1174" y="339"/>
                                </a:lnTo>
                                <a:lnTo>
                                  <a:pt x="1182" y="326"/>
                                </a:lnTo>
                                <a:lnTo>
                                  <a:pt x="1188" y="313"/>
                                </a:lnTo>
                                <a:lnTo>
                                  <a:pt x="1194" y="298"/>
                                </a:lnTo>
                                <a:lnTo>
                                  <a:pt x="1198" y="284"/>
                                </a:lnTo>
                                <a:lnTo>
                                  <a:pt x="1200" y="270"/>
                                </a:lnTo>
                                <a:lnTo>
                                  <a:pt x="1200" y="253"/>
                                </a:lnTo>
                                <a:lnTo>
                                  <a:pt x="1200" y="238"/>
                                </a:lnTo>
                                <a:lnTo>
                                  <a:pt x="1198" y="223"/>
                                </a:lnTo>
                                <a:lnTo>
                                  <a:pt x="1194" y="208"/>
                                </a:lnTo>
                                <a:lnTo>
                                  <a:pt x="1188" y="195"/>
                                </a:lnTo>
                                <a:lnTo>
                                  <a:pt x="1182" y="181"/>
                                </a:lnTo>
                                <a:lnTo>
                                  <a:pt x="1174" y="169"/>
                                </a:lnTo>
                                <a:lnTo>
                                  <a:pt x="1165" y="157"/>
                                </a:lnTo>
                                <a:lnTo>
                                  <a:pt x="1155" y="146"/>
                                </a:lnTo>
                                <a:lnTo>
                                  <a:pt x="1144" y="136"/>
                                </a:lnTo>
                                <a:lnTo>
                                  <a:pt x="1133" y="126"/>
                                </a:lnTo>
                                <a:lnTo>
                                  <a:pt x="1121" y="119"/>
                                </a:lnTo>
                                <a:lnTo>
                                  <a:pt x="1107" y="113"/>
                                </a:lnTo>
                                <a:lnTo>
                                  <a:pt x="1093" y="108"/>
                                </a:lnTo>
                                <a:lnTo>
                                  <a:pt x="1079" y="103"/>
                                </a:lnTo>
                                <a:lnTo>
                                  <a:pt x="1064" y="101"/>
                                </a:lnTo>
                                <a:lnTo>
                                  <a:pt x="1049" y="100"/>
                                </a:lnTo>
                                <a:lnTo>
                                  <a:pt x="931" y="100"/>
                                </a:lnTo>
                                <a:lnTo>
                                  <a:pt x="931" y="408"/>
                                </a:lnTo>
                                <a:close/>
                                <a:moveTo>
                                  <a:pt x="775" y="293"/>
                                </a:moveTo>
                                <a:lnTo>
                                  <a:pt x="708" y="293"/>
                                </a:lnTo>
                                <a:lnTo>
                                  <a:pt x="742" y="195"/>
                                </a:lnTo>
                                <a:lnTo>
                                  <a:pt x="775" y="293"/>
                                </a:lnTo>
                                <a:close/>
                                <a:moveTo>
                                  <a:pt x="797" y="354"/>
                                </a:moveTo>
                                <a:lnTo>
                                  <a:pt x="817" y="408"/>
                                </a:lnTo>
                                <a:lnTo>
                                  <a:pt x="901" y="408"/>
                                </a:lnTo>
                                <a:lnTo>
                                  <a:pt x="785" y="100"/>
                                </a:lnTo>
                                <a:lnTo>
                                  <a:pt x="698" y="100"/>
                                </a:lnTo>
                                <a:lnTo>
                                  <a:pt x="581" y="408"/>
                                </a:lnTo>
                                <a:lnTo>
                                  <a:pt x="665" y="408"/>
                                </a:lnTo>
                                <a:lnTo>
                                  <a:pt x="686" y="354"/>
                                </a:lnTo>
                                <a:lnTo>
                                  <a:pt x="797" y="354"/>
                                </a:lnTo>
                                <a:close/>
                                <a:moveTo>
                                  <a:pt x="347" y="37"/>
                                </a:moveTo>
                                <a:lnTo>
                                  <a:pt x="430" y="83"/>
                                </a:lnTo>
                                <a:lnTo>
                                  <a:pt x="513" y="37"/>
                                </a:lnTo>
                                <a:lnTo>
                                  <a:pt x="491" y="3"/>
                                </a:lnTo>
                                <a:lnTo>
                                  <a:pt x="430" y="34"/>
                                </a:lnTo>
                                <a:lnTo>
                                  <a:pt x="369" y="3"/>
                                </a:lnTo>
                                <a:lnTo>
                                  <a:pt x="347" y="37"/>
                                </a:lnTo>
                                <a:close/>
                                <a:moveTo>
                                  <a:pt x="407" y="238"/>
                                </a:moveTo>
                                <a:lnTo>
                                  <a:pt x="407" y="161"/>
                                </a:lnTo>
                                <a:lnTo>
                                  <a:pt x="422" y="161"/>
                                </a:lnTo>
                                <a:lnTo>
                                  <a:pt x="432" y="162"/>
                                </a:lnTo>
                                <a:lnTo>
                                  <a:pt x="442" y="164"/>
                                </a:lnTo>
                                <a:lnTo>
                                  <a:pt x="449" y="166"/>
                                </a:lnTo>
                                <a:lnTo>
                                  <a:pt x="455" y="170"/>
                                </a:lnTo>
                                <a:lnTo>
                                  <a:pt x="461" y="176"/>
                                </a:lnTo>
                                <a:lnTo>
                                  <a:pt x="466" y="182"/>
                                </a:lnTo>
                                <a:lnTo>
                                  <a:pt x="469" y="191"/>
                                </a:lnTo>
                                <a:lnTo>
                                  <a:pt x="470" y="200"/>
                                </a:lnTo>
                                <a:lnTo>
                                  <a:pt x="469" y="208"/>
                                </a:lnTo>
                                <a:lnTo>
                                  <a:pt x="466" y="216"/>
                                </a:lnTo>
                                <a:lnTo>
                                  <a:pt x="461" y="223"/>
                                </a:lnTo>
                                <a:lnTo>
                                  <a:pt x="455" y="230"/>
                                </a:lnTo>
                                <a:lnTo>
                                  <a:pt x="449" y="233"/>
                                </a:lnTo>
                                <a:lnTo>
                                  <a:pt x="442" y="236"/>
                                </a:lnTo>
                                <a:lnTo>
                                  <a:pt x="432" y="237"/>
                                </a:lnTo>
                                <a:lnTo>
                                  <a:pt x="422" y="238"/>
                                </a:lnTo>
                                <a:lnTo>
                                  <a:pt x="407" y="238"/>
                                </a:lnTo>
                                <a:close/>
                                <a:moveTo>
                                  <a:pt x="485" y="282"/>
                                </a:moveTo>
                                <a:lnTo>
                                  <a:pt x="498" y="278"/>
                                </a:lnTo>
                                <a:lnTo>
                                  <a:pt x="508" y="275"/>
                                </a:lnTo>
                                <a:lnTo>
                                  <a:pt x="516" y="270"/>
                                </a:lnTo>
                                <a:lnTo>
                                  <a:pt x="525" y="263"/>
                                </a:lnTo>
                                <a:lnTo>
                                  <a:pt x="531" y="257"/>
                                </a:lnTo>
                                <a:lnTo>
                                  <a:pt x="536" y="250"/>
                                </a:lnTo>
                                <a:lnTo>
                                  <a:pt x="541" y="242"/>
                                </a:lnTo>
                                <a:lnTo>
                                  <a:pt x="545" y="233"/>
                                </a:lnTo>
                                <a:lnTo>
                                  <a:pt x="549" y="225"/>
                                </a:lnTo>
                                <a:lnTo>
                                  <a:pt x="551" y="215"/>
                                </a:lnTo>
                                <a:lnTo>
                                  <a:pt x="552" y="205"/>
                                </a:lnTo>
                                <a:lnTo>
                                  <a:pt x="552" y="195"/>
                                </a:lnTo>
                                <a:lnTo>
                                  <a:pt x="552" y="186"/>
                                </a:lnTo>
                                <a:lnTo>
                                  <a:pt x="551" y="176"/>
                                </a:lnTo>
                                <a:lnTo>
                                  <a:pt x="549" y="167"/>
                                </a:lnTo>
                                <a:lnTo>
                                  <a:pt x="546" y="159"/>
                                </a:lnTo>
                                <a:lnTo>
                                  <a:pt x="542" y="150"/>
                                </a:lnTo>
                                <a:lnTo>
                                  <a:pt x="537" y="141"/>
                                </a:lnTo>
                                <a:lnTo>
                                  <a:pt x="532" y="134"/>
                                </a:lnTo>
                                <a:lnTo>
                                  <a:pt x="526" y="128"/>
                                </a:lnTo>
                                <a:lnTo>
                                  <a:pt x="519" y="120"/>
                                </a:lnTo>
                                <a:lnTo>
                                  <a:pt x="511" y="115"/>
                                </a:lnTo>
                                <a:lnTo>
                                  <a:pt x="504" y="110"/>
                                </a:lnTo>
                                <a:lnTo>
                                  <a:pt x="495" y="106"/>
                                </a:lnTo>
                                <a:lnTo>
                                  <a:pt x="485" y="104"/>
                                </a:lnTo>
                                <a:lnTo>
                                  <a:pt x="475" y="101"/>
                                </a:lnTo>
                                <a:lnTo>
                                  <a:pt x="463" y="100"/>
                                </a:lnTo>
                                <a:lnTo>
                                  <a:pt x="450" y="100"/>
                                </a:lnTo>
                                <a:lnTo>
                                  <a:pt x="327" y="100"/>
                                </a:lnTo>
                                <a:lnTo>
                                  <a:pt x="327" y="408"/>
                                </a:lnTo>
                                <a:lnTo>
                                  <a:pt x="407" y="408"/>
                                </a:lnTo>
                                <a:lnTo>
                                  <a:pt x="407" y="289"/>
                                </a:lnTo>
                                <a:lnTo>
                                  <a:pt x="483" y="408"/>
                                </a:lnTo>
                                <a:lnTo>
                                  <a:pt x="582" y="408"/>
                                </a:lnTo>
                                <a:lnTo>
                                  <a:pt x="485" y="282"/>
                                </a:lnTo>
                                <a:close/>
                                <a:moveTo>
                                  <a:pt x="210" y="35"/>
                                </a:moveTo>
                                <a:lnTo>
                                  <a:pt x="171" y="0"/>
                                </a:lnTo>
                                <a:lnTo>
                                  <a:pt x="105" y="56"/>
                                </a:lnTo>
                                <a:lnTo>
                                  <a:pt x="133" y="85"/>
                                </a:lnTo>
                                <a:lnTo>
                                  <a:pt x="210" y="35"/>
                                </a:lnTo>
                                <a:close/>
                                <a:moveTo>
                                  <a:pt x="80" y="100"/>
                                </a:moveTo>
                                <a:lnTo>
                                  <a:pt x="0" y="100"/>
                                </a:lnTo>
                                <a:lnTo>
                                  <a:pt x="0" y="278"/>
                                </a:lnTo>
                                <a:lnTo>
                                  <a:pt x="0" y="293"/>
                                </a:lnTo>
                                <a:lnTo>
                                  <a:pt x="2" y="308"/>
                                </a:lnTo>
                                <a:lnTo>
                                  <a:pt x="3" y="321"/>
                                </a:lnTo>
                                <a:lnTo>
                                  <a:pt x="5" y="333"/>
                                </a:lnTo>
                                <a:lnTo>
                                  <a:pt x="9" y="343"/>
                                </a:lnTo>
                                <a:lnTo>
                                  <a:pt x="13" y="353"/>
                                </a:lnTo>
                                <a:lnTo>
                                  <a:pt x="17" y="362"/>
                                </a:lnTo>
                                <a:lnTo>
                                  <a:pt x="23" y="369"/>
                                </a:lnTo>
                                <a:lnTo>
                                  <a:pt x="32" y="379"/>
                                </a:lnTo>
                                <a:lnTo>
                                  <a:pt x="43" y="389"/>
                                </a:lnTo>
                                <a:lnTo>
                                  <a:pt x="54" y="397"/>
                                </a:lnTo>
                                <a:lnTo>
                                  <a:pt x="68" y="403"/>
                                </a:lnTo>
                                <a:lnTo>
                                  <a:pt x="83" y="409"/>
                                </a:lnTo>
                                <a:lnTo>
                                  <a:pt x="99" y="413"/>
                                </a:lnTo>
                                <a:lnTo>
                                  <a:pt x="115" y="415"/>
                                </a:lnTo>
                                <a:lnTo>
                                  <a:pt x="133" y="415"/>
                                </a:lnTo>
                                <a:lnTo>
                                  <a:pt x="149" y="415"/>
                                </a:lnTo>
                                <a:lnTo>
                                  <a:pt x="165" y="413"/>
                                </a:lnTo>
                                <a:lnTo>
                                  <a:pt x="179" y="409"/>
                                </a:lnTo>
                                <a:lnTo>
                                  <a:pt x="192" y="404"/>
                                </a:lnTo>
                                <a:lnTo>
                                  <a:pt x="206" y="399"/>
                                </a:lnTo>
                                <a:lnTo>
                                  <a:pt x="217" y="392"/>
                                </a:lnTo>
                                <a:lnTo>
                                  <a:pt x="228" y="383"/>
                                </a:lnTo>
                                <a:lnTo>
                                  <a:pt x="238" y="372"/>
                                </a:lnTo>
                                <a:lnTo>
                                  <a:pt x="246" y="363"/>
                                </a:lnTo>
                                <a:lnTo>
                                  <a:pt x="253" y="353"/>
                                </a:lnTo>
                                <a:lnTo>
                                  <a:pt x="258" y="343"/>
                                </a:lnTo>
                                <a:lnTo>
                                  <a:pt x="262" y="333"/>
                                </a:lnTo>
                                <a:lnTo>
                                  <a:pt x="265" y="321"/>
                                </a:lnTo>
                                <a:lnTo>
                                  <a:pt x="267" y="308"/>
                                </a:lnTo>
                                <a:lnTo>
                                  <a:pt x="268" y="293"/>
                                </a:lnTo>
                                <a:lnTo>
                                  <a:pt x="268" y="278"/>
                                </a:lnTo>
                                <a:lnTo>
                                  <a:pt x="268" y="100"/>
                                </a:lnTo>
                                <a:lnTo>
                                  <a:pt x="189" y="100"/>
                                </a:lnTo>
                                <a:lnTo>
                                  <a:pt x="189" y="267"/>
                                </a:lnTo>
                                <a:lnTo>
                                  <a:pt x="189" y="287"/>
                                </a:lnTo>
                                <a:lnTo>
                                  <a:pt x="187" y="301"/>
                                </a:lnTo>
                                <a:lnTo>
                                  <a:pt x="185" y="311"/>
                                </a:lnTo>
                                <a:lnTo>
                                  <a:pt x="181" y="321"/>
                                </a:lnTo>
                                <a:lnTo>
                                  <a:pt x="177" y="326"/>
                                </a:lnTo>
                                <a:lnTo>
                                  <a:pt x="172" y="331"/>
                                </a:lnTo>
                                <a:lnTo>
                                  <a:pt x="167" y="334"/>
                                </a:lnTo>
                                <a:lnTo>
                                  <a:pt x="161" y="338"/>
                                </a:lnTo>
                                <a:lnTo>
                                  <a:pt x="155" y="341"/>
                                </a:lnTo>
                                <a:lnTo>
                                  <a:pt x="149" y="343"/>
                                </a:lnTo>
                                <a:lnTo>
                                  <a:pt x="141" y="344"/>
                                </a:lnTo>
                                <a:lnTo>
                                  <a:pt x="134" y="346"/>
                                </a:lnTo>
                                <a:lnTo>
                                  <a:pt x="126" y="344"/>
                                </a:lnTo>
                                <a:lnTo>
                                  <a:pt x="120" y="343"/>
                                </a:lnTo>
                                <a:lnTo>
                                  <a:pt x="114" y="342"/>
                                </a:lnTo>
                                <a:lnTo>
                                  <a:pt x="108" y="339"/>
                                </a:lnTo>
                                <a:lnTo>
                                  <a:pt x="103" y="336"/>
                                </a:lnTo>
                                <a:lnTo>
                                  <a:pt x="98" y="332"/>
                                </a:lnTo>
                                <a:lnTo>
                                  <a:pt x="93" y="327"/>
                                </a:lnTo>
                                <a:lnTo>
                                  <a:pt x="89" y="322"/>
                                </a:lnTo>
                                <a:lnTo>
                                  <a:pt x="84" y="312"/>
                                </a:lnTo>
                                <a:lnTo>
                                  <a:pt x="81" y="302"/>
                                </a:lnTo>
                                <a:lnTo>
                                  <a:pt x="80" y="288"/>
                                </a:lnTo>
                                <a:lnTo>
                                  <a:pt x="80" y="267"/>
                                </a:lnTo>
                                <a:lnTo>
                                  <a:pt x="80" y="10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Freeform 13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2" y="1081"/>
                            <a:ext cx="1319" cy="208"/>
                          </a:xfrm>
                          <a:custGeom>
                            <a:avLst/>
                            <a:gdLst>
                              <a:gd name="T0" fmla="*/ 1221 w 2637"/>
                              <a:gd name="T1" fmla="*/ 204 h 416"/>
                              <a:gd name="T2" fmla="*/ 1166 w 2637"/>
                              <a:gd name="T3" fmla="*/ 50 h 416"/>
                              <a:gd name="T4" fmla="*/ 1072 w 2637"/>
                              <a:gd name="T5" fmla="*/ 137 h 416"/>
                              <a:gd name="T6" fmla="*/ 1004 w 2637"/>
                              <a:gd name="T7" fmla="*/ 54 h 416"/>
                              <a:gd name="T8" fmla="*/ 943 w 2637"/>
                              <a:gd name="T9" fmla="*/ 51 h 416"/>
                              <a:gd name="T10" fmla="*/ 900 w 2637"/>
                              <a:gd name="T11" fmla="*/ 82 h 416"/>
                              <a:gd name="T12" fmla="*/ 887 w 2637"/>
                              <a:gd name="T13" fmla="*/ 136 h 416"/>
                              <a:gd name="T14" fmla="*/ 907 w 2637"/>
                              <a:gd name="T15" fmla="*/ 181 h 416"/>
                              <a:gd name="T16" fmla="*/ 959 w 2637"/>
                              <a:gd name="T17" fmla="*/ 208 h 416"/>
                              <a:gd name="T18" fmla="*/ 1000 w 2637"/>
                              <a:gd name="T19" fmla="*/ 157 h 416"/>
                              <a:gd name="T20" fmla="*/ 969 w 2637"/>
                              <a:gd name="T21" fmla="*/ 169 h 416"/>
                              <a:gd name="T22" fmla="*/ 945 w 2637"/>
                              <a:gd name="T23" fmla="*/ 161 h 416"/>
                              <a:gd name="T24" fmla="*/ 929 w 2637"/>
                              <a:gd name="T25" fmla="*/ 137 h 416"/>
                              <a:gd name="T26" fmla="*/ 933 w 2637"/>
                              <a:gd name="T27" fmla="*/ 107 h 416"/>
                              <a:gd name="T28" fmla="*/ 953 w 2637"/>
                              <a:gd name="T29" fmla="*/ 89 h 416"/>
                              <a:gd name="T30" fmla="*/ 984 w 2637"/>
                              <a:gd name="T31" fmla="*/ 88 h 416"/>
                              <a:gd name="T32" fmla="*/ 864 w 2637"/>
                              <a:gd name="T33" fmla="*/ 50 h 416"/>
                              <a:gd name="T34" fmla="*/ 802 w 2637"/>
                              <a:gd name="T35" fmla="*/ 50 h 416"/>
                              <a:gd name="T36" fmla="*/ 680 w 2637"/>
                              <a:gd name="T37" fmla="*/ 59 h 416"/>
                              <a:gd name="T38" fmla="*/ 638 w 2637"/>
                              <a:gd name="T39" fmla="*/ 46 h 416"/>
                              <a:gd name="T40" fmla="*/ 602 w 2637"/>
                              <a:gd name="T41" fmla="*/ 54 h 416"/>
                              <a:gd name="T42" fmla="*/ 581 w 2637"/>
                              <a:gd name="T43" fmla="*/ 82 h 416"/>
                              <a:gd name="T44" fmla="*/ 583 w 2637"/>
                              <a:gd name="T45" fmla="*/ 116 h 416"/>
                              <a:gd name="T46" fmla="*/ 610 w 2637"/>
                              <a:gd name="T47" fmla="*/ 138 h 416"/>
                              <a:gd name="T48" fmla="*/ 644 w 2637"/>
                              <a:gd name="T49" fmla="*/ 153 h 416"/>
                              <a:gd name="T50" fmla="*/ 637 w 2637"/>
                              <a:gd name="T51" fmla="*/ 171 h 416"/>
                              <a:gd name="T52" fmla="*/ 608 w 2637"/>
                              <a:gd name="T53" fmla="*/ 170 h 416"/>
                              <a:gd name="T54" fmla="*/ 586 w 2637"/>
                              <a:gd name="T55" fmla="*/ 198 h 416"/>
                              <a:gd name="T56" fmla="*/ 633 w 2637"/>
                              <a:gd name="T57" fmla="*/ 208 h 416"/>
                              <a:gd name="T58" fmla="*/ 671 w 2637"/>
                              <a:gd name="T59" fmla="*/ 193 h 416"/>
                              <a:gd name="T60" fmla="*/ 687 w 2637"/>
                              <a:gd name="T61" fmla="*/ 160 h 416"/>
                              <a:gd name="T62" fmla="*/ 678 w 2637"/>
                              <a:gd name="T63" fmla="*/ 126 h 416"/>
                              <a:gd name="T64" fmla="*/ 638 w 2637"/>
                              <a:gd name="T65" fmla="*/ 107 h 416"/>
                              <a:gd name="T66" fmla="*/ 621 w 2637"/>
                              <a:gd name="T67" fmla="*/ 93 h 416"/>
                              <a:gd name="T68" fmla="*/ 635 w 2637"/>
                              <a:gd name="T69" fmla="*/ 80 h 416"/>
                              <a:gd name="T70" fmla="*/ 665 w 2637"/>
                              <a:gd name="T71" fmla="*/ 90 h 416"/>
                              <a:gd name="T72" fmla="*/ 452 w 2637"/>
                              <a:gd name="T73" fmla="*/ 84 h 416"/>
                              <a:gd name="T74" fmla="*/ 452 w 2637"/>
                              <a:gd name="T75" fmla="*/ 204 h 416"/>
                              <a:gd name="T76" fmla="*/ 343 w 2637"/>
                              <a:gd name="T77" fmla="*/ 204 h 416"/>
                              <a:gd name="T78" fmla="*/ 333 w 2637"/>
                              <a:gd name="T79" fmla="*/ 177 h 416"/>
                              <a:gd name="T80" fmla="*/ 158 w 2637"/>
                              <a:gd name="T81" fmla="*/ 204 h 416"/>
                              <a:gd name="T82" fmla="*/ 84 w 2637"/>
                              <a:gd name="T83" fmla="*/ 49 h 416"/>
                              <a:gd name="T84" fmla="*/ 42 w 2637"/>
                              <a:gd name="T85" fmla="*/ 48 h 416"/>
                              <a:gd name="T86" fmla="*/ 14 w 2637"/>
                              <a:gd name="T87" fmla="*/ 68 h 416"/>
                              <a:gd name="T88" fmla="*/ 6 w 2637"/>
                              <a:gd name="T89" fmla="*/ 103 h 416"/>
                              <a:gd name="T90" fmla="*/ 19 w 2637"/>
                              <a:gd name="T91" fmla="*/ 128 h 416"/>
                              <a:gd name="T92" fmla="*/ 64 w 2637"/>
                              <a:gd name="T93" fmla="*/ 147 h 416"/>
                              <a:gd name="T94" fmla="*/ 71 w 2637"/>
                              <a:gd name="T95" fmla="*/ 165 h 416"/>
                              <a:gd name="T96" fmla="*/ 48 w 2637"/>
                              <a:gd name="T97" fmla="*/ 174 h 416"/>
                              <a:gd name="T98" fmla="*/ 17 w 2637"/>
                              <a:gd name="T99" fmla="*/ 158 h 416"/>
                              <a:gd name="T100" fmla="*/ 40 w 2637"/>
                              <a:gd name="T101" fmla="*/ 207 h 416"/>
                              <a:gd name="T102" fmla="*/ 84 w 2637"/>
                              <a:gd name="T103" fmla="*/ 202 h 416"/>
                              <a:gd name="T104" fmla="*/ 110 w 2637"/>
                              <a:gd name="T105" fmla="*/ 176 h 416"/>
                              <a:gd name="T106" fmla="*/ 110 w 2637"/>
                              <a:gd name="T107" fmla="*/ 135 h 416"/>
                              <a:gd name="T108" fmla="*/ 93 w 2637"/>
                              <a:gd name="T109" fmla="*/ 117 h 416"/>
                              <a:gd name="T110" fmla="*/ 50 w 2637"/>
                              <a:gd name="T111" fmla="*/ 99 h 416"/>
                              <a:gd name="T112" fmla="*/ 53 w 2637"/>
                              <a:gd name="T113" fmla="*/ 84 h 416"/>
                              <a:gd name="T114" fmla="*/ 76 w 2637"/>
                              <a:gd name="T115" fmla="*/ 81 h 41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  <a:gd name="T153" fmla="*/ 0 60000 65536"/>
                              <a:gd name="T154" fmla="*/ 0 60000 65536"/>
                              <a:gd name="T155" fmla="*/ 0 60000 65536"/>
                              <a:gd name="T156" fmla="*/ 0 60000 65536"/>
                              <a:gd name="T157" fmla="*/ 0 60000 65536"/>
                              <a:gd name="T158" fmla="*/ 0 60000 65536"/>
                              <a:gd name="T159" fmla="*/ 0 60000 65536"/>
                              <a:gd name="T160" fmla="*/ 0 60000 65536"/>
                              <a:gd name="T161" fmla="*/ 0 60000 65536"/>
                              <a:gd name="T162" fmla="*/ 0 60000 65536"/>
                              <a:gd name="T163" fmla="*/ 0 60000 65536"/>
                              <a:gd name="T164" fmla="*/ 0 60000 65536"/>
                              <a:gd name="T165" fmla="*/ 0 60000 65536"/>
                              <a:gd name="T166" fmla="*/ 0 60000 65536"/>
                              <a:gd name="T167" fmla="*/ 0 60000 65536"/>
                              <a:gd name="T168" fmla="*/ 0 60000 65536"/>
                              <a:gd name="T169" fmla="*/ 0 60000 65536"/>
                              <a:gd name="T170" fmla="*/ 0 60000 65536"/>
                              <a:gd name="T171" fmla="*/ 0 60000 65536"/>
                              <a:gd name="T172" fmla="*/ 0 60000 65536"/>
                              <a:gd name="T173" fmla="*/ 0 60000 65536"/>
                            </a:gdLst>
                            <a:ahLst/>
                            <a:cxnLst>
                              <a:cxn ang="T116">
                                <a:pos x="T0" y="T1"/>
                              </a:cxn>
                              <a:cxn ang="T117">
                                <a:pos x="T2" y="T3"/>
                              </a:cxn>
                              <a:cxn ang="T118">
                                <a:pos x="T4" y="T5"/>
                              </a:cxn>
                              <a:cxn ang="T119">
                                <a:pos x="T6" y="T7"/>
                              </a:cxn>
                              <a:cxn ang="T120">
                                <a:pos x="T8" y="T9"/>
                              </a:cxn>
                              <a:cxn ang="T121">
                                <a:pos x="T10" y="T11"/>
                              </a:cxn>
                              <a:cxn ang="T122">
                                <a:pos x="T12" y="T13"/>
                              </a:cxn>
                              <a:cxn ang="T123">
                                <a:pos x="T14" y="T15"/>
                              </a:cxn>
                              <a:cxn ang="T124">
                                <a:pos x="T16" y="T17"/>
                              </a:cxn>
                              <a:cxn ang="T125">
                                <a:pos x="T18" y="T19"/>
                              </a:cxn>
                              <a:cxn ang="T126">
                                <a:pos x="T20" y="T21"/>
                              </a:cxn>
                              <a:cxn ang="T127">
                                <a:pos x="T22" y="T23"/>
                              </a:cxn>
                              <a:cxn ang="T128">
                                <a:pos x="T24" y="T25"/>
                              </a:cxn>
                              <a:cxn ang="T129">
                                <a:pos x="T26" y="T27"/>
                              </a:cxn>
                              <a:cxn ang="T130">
                                <a:pos x="T28" y="T29"/>
                              </a:cxn>
                              <a:cxn ang="T131">
                                <a:pos x="T30" y="T31"/>
                              </a:cxn>
                              <a:cxn ang="T132">
                                <a:pos x="T32" y="T33"/>
                              </a:cxn>
                              <a:cxn ang="T133">
                                <a:pos x="T34" y="T35"/>
                              </a:cxn>
                              <a:cxn ang="T134">
                                <a:pos x="T36" y="T37"/>
                              </a:cxn>
                              <a:cxn ang="T135">
                                <a:pos x="T38" y="T39"/>
                              </a:cxn>
                              <a:cxn ang="T136">
                                <a:pos x="T40" y="T41"/>
                              </a:cxn>
                              <a:cxn ang="T137">
                                <a:pos x="T42" y="T43"/>
                              </a:cxn>
                              <a:cxn ang="T138">
                                <a:pos x="T44" y="T45"/>
                              </a:cxn>
                              <a:cxn ang="T139">
                                <a:pos x="T46" y="T47"/>
                              </a:cxn>
                              <a:cxn ang="T140">
                                <a:pos x="T48" y="T49"/>
                              </a:cxn>
                              <a:cxn ang="T141">
                                <a:pos x="T50" y="T51"/>
                              </a:cxn>
                              <a:cxn ang="T142">
                                <a:pos x="T52" y="T53"/>
                              </a:cxn>
                              <a:cxn ang="T143">
                                <a:pos x="T54" y="T55"/>
                              </a:cxn>
                              <a:cxn ang="T144">
                                <a:pos x="T56" y="T57"/>
                              </a:cxn>
                              <a:cxn ang="T145">
                                <a:pos x="T58" y="T59"/>
                              </a:cxn>
                              <a:cxn ang="T146">
                                <a:pos x="T60" y="T61"/>
                              </a:cxn>
                              <a:cxn ang="T147">
                                <a:pos x="T62" y="T63"/>
                              </a:cxn>
                              <a:cxn ang="T148">
                                <a:pos x="T64" y="T65"/>
                              </a:cxn>
                              <a:cxn ang="T149">
                                <a:pos x="T66" y="T67"/>
                              </a:cxn>
                              <a:cxn ang="T150">
                                <a:pos x="T68" y="T69"/>
                              </a:cxn>
                              <a:cxn ang="T151">
                                <a:pos x="T70" y="T71"/>
                              </a:cxn>
                              <a:cxn ang="T152">
                                <a:pos x="T72" y="T73"/>
                              </a:cxn>
                              <a:cxn ang="T153">
                                <a:pos x="T74" y="T75"/>
                              </a:cxn>
                              <a:cxn ang="T154">
                                <a:pos x="T76" y="T77"/>
                              </a:cxn>
                              <a:cxn ang="T155">
                                <a:pos x="T78" y="T79"/>
                              </a:cxn>
                              <a:cxn ang="T156">
                                <a:pos x="T80" y="T81"/>
                              </a:cxn>
                              <a:cxn ang="T157">
                                <a:pos x="T82" y="T83"/>
                              </a:cxn>
                              <a:cxn ang="T158">
                                <a:pos x="T84" y="T85"/>
                              </a:cxn>
                              <a:cxn ang="T159">
                                <a:pos x="T86" y="T87"/>
                              </a:cxn>
                              <a:cxn ang="T160">
                                <a:pos x="T88" y="T89"/>
                              </a:cxn>
                              <a:cxn ang="T161">
                                <a:pos x="T90" y="T91"/>
                              </a:cxn>
                              <a:cxn ang="T162">
                                <a:pos x="T92" y="T93"/>
                              </a:cxn>
                              <a:cxn ang="T163">
                                <a:pos x="T94" y="T95"/>
                              </a:cxn>
                              <a:cxn ang="T164">
                                <a:pos x="T96" y="T97"/>
                              </a:cxn>
                              <a:cxn ang="T165">
                                <a:pos x="T98" y="T99"/>
                              </a:cxn>
                              <a:cxn ang="T166">
                                <a:pos x="T100" y="T101"/>
                              </a:cxn>
                              <a:cxn ang="T167">
                                <a:pos x="T102" y="T103"/>
                              </a:cxn>
                              <a:cxn ang="T168">
                                <a:pos x="T104" y="T105"/>
                              </a:cxn>
                              <a:cxn ang="T169">
                                <a:pos x="T106" y="T107"/>
                              </a:cxn>
                              <a:cxn ang="T170">
                                <a:pos x="T108" y="T109"/>
                              </a:cxn>
                              <a:cxn ang="T171">
                                <a:pos x="T110" y="T111"/>
                              </a:cxn>
                              <a:cxn ang="T172">
                                <a:pos x="T112" y="T113"/>
                              </a:cxn>
                              <a:cxn ang="T173">
                                <a:pos x="T114" y="T115"/>
                              </a:cxn>
                            </a:cxnLst>
                            <a:rect l="0" t="0" r="r" b="b"/>
                            <a:pathLst>
                              <a:path w="2637" h="416">
                                <a:moveTo>
                                  <a:pt x="2561" y="35"/>
                                </a:moveTo>
                                <a:lnTo>
                                  <a:pt x="2524" y="0"/>
                                </a:lnTo>
                                <a:lnTo>
                                  <a:pt x="2458" y="56"/>
                                </a:lnTo>
                                <a:lnTo>
                                  <a:pt x="2485" y="84"/>
                                </a:lnTo>
                                <a:lnTo>
                                  <a:pt x="2561" y="35"/>
                                </a:lnTo>
                                <a:close/>
                                <a:moveTo>
                                  <a:pt x="2442" y="260"/>
                                </a:moveTo>
                                <a:lnTo>
                                  <a:pt x="2442" y="407"/>
                                </a:lnTo>
                                <a:lnTo>
                                  <a:pt x="2521" y="407"/>
                                </a:lnTo>
                                <a:lnTo>
                                  <a:pt x="2521" y="260"/>
                                </a:lnTo>
                                <a:lnTo>
                                  <a:pt x="2637" y="99"/>
                                </a:lnTo>
                                <a:lnTo>
                                  <a:pt x="2540" y="99"/>
                                </a:lnTo>
                                <a:lnTo>
                                  <a:pt x="2484" y="183"/>
                                </a:lnTo>
                                <a:lnTo>
                                  <a:pt x="2427" y="99"/>
                                </a:lnTo>
                                <a:lnTo>
                                  <a:pt x="2331" y="99"/>
                                </a:lnTo>
                                <a:lnTo>
                                  <a:pt x="2442" y="260"/>
                                </a:lnTo>
                                <a:close/>
                                <a:moveTo>
                                  <a:pt x="2143" y="226"/>
                                </a:moveTo>
                                <a:lnTo>
                                  <a:pt x="2143" y="99"/>
                                </a:lnTo>
                                <a:lnTo>
                                  <a:pt x="2063" y="99"/>
                                </a:lnTo>
                                <a:lnTo>
                                  <a:pt x="2063" y="407"/>
                                </a:lnTo>
                                <a:lnTo>
                                  <a:pt x="2143" y="407"/>
                                </a:lnTo>
                                <a:lnTo>
                                  <a:pt x="2143" y="274"/>
                                </a:lnTo>
                                <a:lnTo>
                                  <a:pt x="2247" y="407"/>
                                </a:lnTo>
                                <a:lnTo>
                                  <a:pt x="2351" y="407"/>
                                </a:lnTo>
                                <a:lnTo>
                                  <a:pt x="2217" y="245"/>
                                </a:lnTo>
                                <a:lnTo>
                                  <a:pt x="2340" y="99"/>
                                </a:lnTo>
                                <a:lnTo>
                                  <a:pt x="2240" y="99"/>
                                </a:lnTo>
                                <a:lnTo>
                                  <a:pt x="2143" y="226"/>
                                </a:lnTo>
                                <a:close/>
                                <a:moveTo>
                                  <a:pt x="2008" y="108"/>
                                </a:moveTo>
                                <a:lnTo>
                                  <a:pt x="1987" y="102"/>
                                </a:lnTo>
                                <a:lnTo>
                                  <a:pt x="1969" y="97"/>
                                </a:lnTo>
                                <a:lnTo>
                                  <a:pt x="1952" y="93"/>
                                </a:lnTo>
                                <a:lnTo>
                                  <a:pt x="1936" y="93"/>
                                </a:lnTo>
                                <a:lnTo>
                                  <a:pt x="1918" y="93"/>
                                </a:lnTo>
                                <a:lnTo>
                                  <a:pt x="1902" y="96"/>
                                </a:lnTo>
                                <a:lnTo>
                                  <a:pt x="1886" y="101"/>
                                </a:lnTo>
                                <a:lnTo>
                                  <a:pt x="1871" y="106"/>
                                </a:lnTo>
                                <a:lnTo>
                                  <a:pt x="1857" y="112"/>
                                </a:lnTo>
                                <a:lnTo>
                                  <a:pt x="1844" y="121"/>
                                </a:lnTo>
                                <a:lnTo>
                                  <a:pt x="1831" y="129"/>
                                </a:lnTo>
                                <a:lnTo>
                                  <a:pt x="1820" y="140"/>
                                </a:lnTo>
                                <a:lnTo>
                                  <a:pt x="1809" y="152"/>
                                </a:lnTo>
                                <a:lnTo>
                                  <a:pt x="1800" y="164"/>
                                </a:lnTo>
                                <a:lnTo>
                                  <a:pt x="1791" y="178"/>
                                </a:lnTo>
                                <a:lnTo>
                                  <a:pt x="1785" y="192"/>
                                </a:lnTo>
                                <a:lnTo>
                                  <a:pt x="1780" y="207"/>
                                </a:lnTo>
                                <a:lnTo>
                                  <a:pt x="1775" y="223"/>
                                </a:lnTo>
                                <a:lnTo>
                                  <a:pt x="1773" y="239"/>
                                </a:lnTo>
                                <a:lnTo>
                                  <a:pt x="1773" y="256"/>
                                </a:lnTo>
                                <a:lnTo>
                                  <a:pt x="1773" y="271"/>
                                </a:lnTo>
                                <a:lnTo>
                                  <a:pt x="1775" y="286"/>
                                </a:lnTo>
                                <a:lnTo>
                                  <a:pt x="1778" y="300"/>
                                </a:lnTo>
                                <a:lnTo>
                                  <a:pt x="1783" y="314"/>
                                </a:lnTo>
                                <a:lnTo>
                                  <a:pt x="1789" y="327"/>
                                </a:lnTo>
                                <a:lnTo>
                                  <a:pt x="1795" y="340"/>
                                </a:lnTo>
                                <a:lnTo>
                                  <a:pt x="1804" y="351"/>
                                </a:lnTo>
                                <a:lnTo>
                                  <a:pt x="1813" y="362"/>
                                </a:lnTo>
                                <a:lnTo>
                                  <a:pt x="1825" y="373"/>
                                </a:lnTo>
                                <a:lnTo>
                                  <a:pt x="1839" y="385"/>
                                </a:lnTo>
                                <a:lnTo>
                                  <a:pt x="1854" y="393"/>
                                </a:lnTo>
                                <a:lnTo>
                                  <a:pt x="1869" y="401"/>
                                </a:lnTo>
                                <a:lnTo>
                                  <a:pt x="1885" y="407"/>
                                </a:lnTo>
                                <a:lnTo>
                                  <a:pt x="1902" y="412"/>
                                </a:lnTo>
                                <a:lnTo>
                                  <a:pt x="1918" y="415"/>
                                </a:lnTo>
                                <a:lnTo>
                                  <a:pt x="1936" y="416"/>
                                </a:lnTo>
                                <a:lnTo>
                                  <a:pt x="1951" y="415"/>
                                </a:lnTo>
                                <a:lnTo>
                                  <a:pt x="1966" y="413"/>
                                </a:lnTo>
                                <a:lnTo>
                                  <a:pt x="1983" y="408"/>
                                </a:lnTo>
                                <a:lnTo>
                                  <a:pt x="2008" y="401"/>
                                </a:lnTo>
                                <a:lnTo>
                                  <a:pt x="2008" y="306"/>
                                </a:lnTo>
                                <a:lnTo>
                                  <a:pt x="1999" y="314"/>
                                </a:lnTo>
                                <a:lnTo>
                                  <a:pt x="1992" y="320"/>
                                </a:lnTo>
                                <a:lnTo>
                                  <a:pt x="1983" y="326"/>
                                </a:lnTo>
                                <a:lnTo>
                                  <a:pt x="1976" y="330"/>
                                </a:lnTo>
                                <a:lnTo>
                                  <a:pt x="1967" y="334"/>
                                </a:lnTo>
                                <a:lnTo>
                                  <a:pt x="1957" y="336"/>
                                </a:lnTo>
                                <a:lnTo>
                                  <a:pt x="1948" y="337"/>
                                </a:lnTo>
                                <a:lnTo>
                                  <a:pt x="1938" y="337"/>
                                </a:lnTo>
                                <a:lnTo>
                                  <a:pt x="1931" y="337"/>
                                </a:lnTo>
                                <a:lnTo>
                                  <a:pt x="1923" y="336"/>
                                </a:lnTo>
                                <a:lnTo>
                                  <a:pt x="1916" y="335"/>
                                </a:lnTo>
                                <a:lnTo>
                                  <a:pt x="1908" y="332"/>
                                </a:lnTo>
                                <a:lnTo>
                                  <a:pt x="1902" y="330"/>
                                </a:lnTo>
                                <a:lnTo>
                                  <a:pt x="1896" y="326"/>
                                </a:lnTo>
                                <a:lnTo>
                                  <a:pt x="1889" y="322"/>
                                </a:lnTo>
                                <a:lnTo>
                                  <a:pt x="1884" y="317"/>
                                </a:lnTo>
                                <a:lnTo>
                                  <a:pt x="1876" y="311"/>
                                </a:lnTo>
                                <a:lnTo>
                                  <a:pt x="1871" y="305"/>
                                </a:lnTo>
                                <a:lnTo>
                                  <a:pt x="1866" y="299"/>
                                </a:lnTo>
                                <a:lnTo>
                                  <a:pt x="1862" y="291"/>
                                </a:lnTo>
                                <a:lnTo>
                                  <a:pt x="1860" y="283"/>
                                </a:lnTo>
                                <a:lnTo>
                                  <a:pt x="1857" y="274"/>
                                </a:lnTo>
                                <a:lnTo>
                                  <a:pt x="1856" y="265"/>
                                </a:lnTo>
                                <a:lnTo>
                                  <a:pt x="1856" y="255"/>
                                </a:lnTo>
                                <a:lnTo>
                                  <a:pt x="1856" y="246"/>
                                </a:lnTo>
                                <a:lnTo>
                                  <a:pt x="1857" y="238"/>
                                </a:lnTo>
                                <a:lnTo>
                                  <a:pt x="1860" y="229"/>
                                </a:lnTo>
                                <a:lnTo>
                                  <a:pt x="1862" y="221"/>
                                </a:lnTo>
                                <a:lnTo>
                                  <a:pt x="1865" y="214"/>
                                </a:lnTo>
                                <a:lnTo>
                                  <a:pt x="1870" y="207"/>
                                </a:lnTo>
                                <a:lnTo>
                                  <a:pt x="1874" y="200"/>
                                </a:lnTo>
                                <a:lnTo>
                                  <a:pt x="1879" y="194"/>
                                </a:lnTo>
                                <a:lnTo>
                                  <a:pt x="1885" y="189"/>
                                </a:lnTo>
                                <a:lnTo>
                                  <a:pt x="1891" y="184"/>
                                </a:lnTo>
                                <a:lnTo>
                                  <a:pt x="1898" y="180"/>
                                </a:lnTo>
                                <a:lnTo>
                                  <a:pt x="1905" y="177"/>
                                </a:lnTo>
                                <a:lnTo>
                                  <a:pt x="1913" y="174"/>
                                </a:lnTo>
                                <a:lnTo>
                                  <a:pt x="1921" y="172"/>
                                </a:lnTo>
                                <a:lnTo>
                                  <a:pt x="1930" y="170"/>
                                </a:lnTo>
                                <a:lnTo>
                                  <a:pt x="1938" y="170"/>
                                </a:lnTo>
                                <a:lnTo>
                                  <a:pt x="1948" y="170"/>
                                </a:lnTo>
                                <a:lnTo>
                                  <a:pt x="1958" y="173"/>
                                </a:lnTo>
                                <a:lnTo>
                                  <a:pt x="1967" y="175"/>
                                </a:lnTo>
                                <a:lnTo>
                                  <a:pt x="1977" y="179"/>
                                </a:lnTo>
                                <a:lnTo>
                                  <a:pt x="1984" y="184"/>
                                </a:lnTo>
                                <a:lnTo>
                                  <a:pt x="1993" y="189"/>
                                </a:lnTo>
                                <a:lnTo>
                                  <a:pt x="2001" y="197"/>
                                </a:lnTo>
                                <a:lnTo>
                                  <a:pt x="2008" y="204"/>
                                </a:lnTo>
                                <a:lnTo>
                                  <a:pt x="2008" y="108"/>
                                </a:lnTo>
                                <a:close/>
                                <a:moveTo>
                                  <a:pt x="1727" y="99"/>
                                </a:moveTo>
                                <a:lnTo>
                                  <a:pt x="1647" y="99"/>
                                </a:lnTo>
                                <a:lnTo>
                                  <a:pt x="1647" y="407"/>
                                </a:lnTo>
                                <a:lnTo>
                                  <a:pt x="1727" y="407"/>
                                </a:lnTo>
                                <a:lnTo>
                                  <a:pt x="1727" y="99"/>
                                </a:lnTo>
                                <a:close/>
                                <a:moveTo>
                                  <a:pt x="1538" y="167"/>
                                </a:moveTo>
                                <a:lnTo>
                                  <a:pt x="1604" y="167"/>
                                </a:lnTo>
                                <a:lnTo>
                                  <a:pt x="1604" y="99"/>
                                </a:lnTo>
                                <a:lnTo>
                                  <a:pt x="1394" y="99"/>
                                </a:lnTo>
                                <a:lnTo>
                                  <a:pt x="1394" y="167"/>
                                </a:lnTo>
                                <a:lnTo>
                                  <a:pt x="1459" y="167"/>
                                </a:lnTo>
                                <a:lnTo>
                                  <a:pt x="1459" y="407"/>
                                </a:lnTo>
                                <a:lnTo>
                                  <a:pt x="1538" y="407"/>
                                </a:lnTo>
                                <a:lnTo>
                                  <a:pt x="1538" y="167"/>
                                </a:lnTo>
                                <a:close/>
                                <a:moveTo>
                                  <a:pt x="1360" y="117"/>
                                </a:moveTo>
                                <a:lnTo>
                                  <a:pt x="1349" y="111"/>
                                </a:lnTo>
                                <a:lnTo>
                                  <a:pt x="1337" y="106"/>
                                </a:lnTo>
                                <a:lnTo>
                                  <a:pt x="1324" y="102"/>
                                </a:lnTo>
                                <a:lnTo>
                                  <a:pt x="1313" y="98"/>
                                </a:lnTo>
                                <a:lnTo>
                                  <a:pt x="1300" y="96"/>
                                </a:lnTo>
                                <a:lnTo>
                                  <a:pt x="1288" y="93"/>
                                </a:lnTo>
                                <a:lnTo>
                                  <a:pt x="1276" y="92"/>
                                </a:lnTo>
                                <a:lnTo>
                                  <a:pt x="1263" y="92"/>
                                </a:lnTo>
                                <a:lnTo>
                                  <a:pt x="1252" y="92"/>
                                </a:lnTo>
                                <a:lnTo>
                                  <a:pt x="1241" y="94"/>
                                </a:lnTo>
                                <a:lnTo>
                                  <a:pt x="1231" y="96"/>
                                </a:lnTo>
                                <a:lnTo>
                                  <a:pt x="1221" y="99"/>
                                </a:lnTo>
                                <a:lnTo>
                                  <a:pt x="1211" y="103"/>
                                </a:lnTo>
                                <a:lnTo>
                                  <a:pt x="1203" y="108"/>
                                </a:lnTo>
                                <a:lnTo>
                                  <a:pt x="1195" y="114"/>
                                </a:lnTo>
                                <a:lnTo>
                                  <a:pt x="1187" y="121"/>
                                </a:lnTo>
                                <a:lnTo>
                                  <a:pt x="1181" y="128"/>
                                </a:lnTo>
                                <a:lnTo>
                                  <a:pt x="1175" y="136"/>
                                </a:lnTo>
                                <a:lnTo>
                                  <a:pt x="1170" y="144"/>
                                </a:lnTo>
                                <a:lnTo>
                                  <a:pt x="1166" y="153"/>
                                </a:lnTo>
                                <a:lnTo>
                                  <a:pt x="1162" y="163"/>
                                </a:lnTo>
                                <a:lnTo>
                                  <a:pt x="1161" y="174"/>
                                </a:lnTo>
                                <a:lnTo>
                                  <a:pt x="1158" y="184"/>
                                </a:lnTo>
                                <a:lnTo>
                                  <a:pt x="1158" y="195"/>
                                </a:lnTo>
                                <a:lnTo>
                                  <a:pt x="1158" y="205"/>
                                </a:lnTo>
                                <a:lnTo>
                                  <a:pt x="1160" y="215"/>
                                </a:lnTo>
                                <a:lnTo>
                                  <a:pt x="1162" y="224"/>
                                </a:lnTo>
                                <a:lnTo>
                                  <a:pt x="1165" y="231"/>
                                </a:lnTo>
                                <a:lnTo>
                                  <a:pt x="1168" y="239"/>
                                </a:lnTo>
                                <a:lnTo>
                                  <a:pt x="1172" y="245"/>
                                </a:lnTo>
                                <a:lnTo>
                                  <a:pt x="1177" y="251"/>
                                </a:lnTo>
                                <a:lnTo>
                                  <a:pt x="1183" y="256"/>
                                </a:lnTo>
                                <a:lnTo>
                                  <a:pt x="1192" y="263"/>
                                </a:lnTo>
                                <a:lnTo>
                                  <a:pt x="1203" y="269"/>
                                </a:lnTo>
                                <a:lnTo>
                                  <a:pt x="1219" y="275"/>
                                </a:lnTo>
                                <a:lnTo>
                                  <a:pt x="1242" y="281"/>
                                </a:lnTo>
                                <a:lnTo>
                                  <a:pt x="1254" y="286"/>
                                </a:lnTo>
                                <a:lnTo>
                                  <a:pt x="1264" y="290"/>
                                </a:lnTo>
                                <a:lnTo>
                                  <a:pt x="1273" y="294"/>
                                </a:lnTo>
                                <a:lnTo>
                                  <a:pt x="1279" y="297"/>
                                </a:lnTo>
                                <a:lnTo>
                                  <a:pt x="1284" y="301"/>
                                </a:lnTo>
                                <a:lnTo>
                                  <a:pt x="1287" y="306"/>
                                </a:lnTo>
                                <a:lnTo>
                                  <a:pt x="1289" y="311"/>
                                </a:lnTo>
                                <a:lnTo>
                                  <a:pt x="1289" y="317"/>
                                </a:lnTo>
                                <a:lnTo>
                                  <a:pt x="1289" y="324"/>
                                </a:lnTo>
                                <a:lnTo>
                                  <a:pt x="1287" y="330"/>
                                </a:lnTo>
                                <a:lnTo>
                                  <a:pt x="1283" y="335"/>
                                </a:lnTo>
                                <a:lnTo>
                                  <a:pt x="1279" y="339"/>
                                </a:lnTo>
                                <a:lnTo>
                                  <a:pt x="1273" y="342"/>
                                </a:lnTo>
                                <a:lnTo>
                                  <a:pt x="1267" y="345"/>
                                </a:lnTo>
                                <a:lnTo>
                                  <a:pt x="1259" y="346"/>
                                </a:lnTo>
                                <a:lnTo>
                                  <a:pt x="1251" y="347"/>
                                </a:lnTo>
                                <a:lnTo>
                                  <a:pt x="1242" y="347"/>
                                </a:lnTo>
                                <a:lnTo>
                                  <a:pt x="1233" y="345"/>
                                </a:lnTo>
                                <a:lnTo>
                                  <a:pt x="1224" y="344"/>
                                </a:lnTo>
                                <a:lnTo>
                                  <a:pt x="1216" y="340"/>
                                </a:lnTo>
                                <a:lnTo>
                                  <a:pt x="1207" y="335"/>
                                </a:lnTo>
                                <a:lnTo>
                                  <a:pt x="1198" y="330"/>
                                </a:lnTo>
                                <a:lnTo>
                                  <a:pt x="1190" y="324"/>
                                </a:lnTo>
                                <a:lnTo>
                                  <a:pt x="1180" y="316"/>
                                </a:lnTo>
                                <a:lnTo>
                                  <a:pt x="1146" y="381"/>
                                </a:lnTo>
                                <a:lnTo>
                                  <a:pt x="1158" y="388"/>
                                </a:lnTo>
                                <a:lnTo>
                                  <a:pt x="1171" y="396"/>
                                </a:lnTo>
                                <a:lnTo>
                                  <a:pt x="1185" y="401"/>
                                </a:lnTo>
                                <a:lnTo>
                                  <a:pt x="1198" y="406"/>
                                </a:lnTo>
                                <a:lnTo>
                                  <a:pt x="1212" y="410"/>
                                </a:lnTo>
                                <a:lnTo>
                                  <a:pt x="1226" y="413"/>
                                </a:lnTo>
                                <a:lnTo>
                                  <a:pt x="1239" y="415"/>
                                </a:lnTo>
                                <a:lnTo>
                                  <a:pt x="1253" y="415"/>
                                </a:lnTo>
                                <a:lnTo>
                                  <a:pt x="1266" y="415"/>
                                </a:lnTo>
                                <a:lnTo>
                                  <a:pt x="1278" y="413"/>
                                </a:lnTo>
                                <a:lnTo>
                                  <a:pt x="1290" y="411"/>
                                </a:lnTo>
                                <a:lnTo>
                                  <a:pt x="1302" y="407"/>
                                </a:lnTo>
                                <a:lnTo>
                                  <a:pt x="1313" y="403"/>
                                </a:lnTo>
                                <a:lnTo>
                                  <a:pt x="1323" y="398"/>
                                </a:lnTo>
                                <a:lnTo>
                                  <a:pt x="1333" y="392"/>
                                </a:lnTo>
                                <a:lnTo>
                                  <a:pt x="1342" y="386"/>
                                </a:lnTo>
                                <a:lnTo>
                                  <a:pt x="1349" y="378"/>
                                </a:lnTo>
                                <a:lnTo>
                                  <a:pt x="1355" y="371"/>
                                </a:lnTo>
                                <a:lnTo>
                                  <a:pt x="1360" y="362"/>
                                </a:lnTo>
                                <a:lnTo>
                                  <a:pt x="1365" y="352"/>
                                </a:lnTo>
                                <a:lnTo>
                                  <a:pt x="1369" y="342"/>
                                </a:lnTo>
                                <a:lnTo>
                                  <a:pt x="1371" y="331"/>
                                </a:lnTo>
                                <a:lnTo>
                                  <a:pt x="1373" y="319"/>
                                </a:lnTo>
                                <a:lnTo>
                                  <a:pt x="1373" y="306"/>
                                </a:lnTo>
                                <a:lnTo>
                                  <a:pt x="1371" y="290"/>
                                </a:lnTo>
                                <a:lnTo>
                                  <a:pt x="1369" y="275"/>
                                </a:lnTo>
                                <a:lnTo>
                                  <a:pt x="1366" y="269"/>
                                </a:lnTo>
                                <a:lnTo>
                                  <a:pt x="1363" y="263"/>
                                </a:lnTo>
                                <a:lnTo>
                                  <a:pt x="1359" y="258"/>
                                </a:lnTo>
                                <a:lnTo>
                                  <a:pt x="1355" y="251"/>
                                </a:lnTo>
                                <a:lnTo>
                                  <a:pt x="1350" y="246"/>
                                </a:lnTo>
                                <a:lnTo>
                                  <a:pt x="1345" y="241"/>
                                </a:lnTo>
                                <a:lnTo>
                                  <a:pt x="1339" y="238"/>
                                </a:lnTo>
                                <a:lnTo>
                                  <a:pt x="1332" y="234"/>
                                </a:lnTo>
                                <a:lnTo>
                                  <a:pt x="1315" y="226"/>
                                </a:lnTo>
                                <a:lnTo>
                                  <a:pt x="1298" y="220"/>
                                </a:lnTo>
                                <a:lnTo>
                                  <a:pt x="1276" y="213"/>
                                </a:lnTo>
                                <a:lnTo>
                                  <a:pt x="1263" y="209"/>
                                </a:lnTo>
                                <a:lnTo>
                                  <a:pt x="1256" y="205"/>
                                </a:lnTo>
                                <a:lnTo>
                                  <a:pt x="1249" y="200"/>
                                </a:lnTo>
                                <a:lnTo>
                                  <a:pt x="1247" y="198"/>
                                </a:lnTo>
                                <a:lnTo>
                                  <a:pt x="1244" y="194"/>
                                </a:lnTo>
                                <a:lnTo>
                                  <a:pt x="1242" y="189"/>
                                </a:lnTo>
                                <a:lnTo>
                                  <a:pt x="1242" y="185"/>
                                </a:lnTo>
                                <a:lnTo>
                                  <a:pt x="1243" y="179"/>
                                </a:lnTo>
                                <a:lnTo>
                                  <a:pt x="1244" y="174"/>
                                </a:lnTo>
                                <a:lnTo>
                                  <a:pt x="1248" y="170"/>
                                </a:lnTo>
                                <a:lnTo>
                                  <a:pt x="1252" y="167"/>
                                </a:lnTo>
                                <a:lnTo>
                                  <a:pt x="1257" y="163"/>
                                </a:lnTo>
                                <a:lnTo>
                                  <a:pt x="1263" y="160"/>
                                </a:lnTo>
                                <a:lnTo>
                                  <a:pt x="1269" y="159"/>
                                </a:lnTo>
                                <a:lnTo>
                                  <a:pt x="1277" y="158"/>
                                </a:lnTo>
                                <a:lnTo>
                                  <a:pt x="1283" y="159"/>
                                </a:lnTo>
                                <a:lnTo>
                                  <a:pt x="1289" y="159"/>
                                </a:lnTo>
                                <a:lnTo>
                                  <a:pt x="1297" y="162"/>
                                </a:lnTo>
                                <a:lnTo>
                                  <a:pt x="1303" y="163"/>
                                </a:lnTo>
                                <a:lnTo>
                                  <a:pt x="1315" y="170"/>
                                </a:lnTo>
                                <a:lnTo>
                                  <a:pt x="1329" y="179"/>
                                </a:lnTo>
                                <a:lnTo>
                                  <a:pt x="1360" y="117"/>
                                </a:lnTo>
                                <a:close/>
                                <a:moveTo>
                                  <a:pt x="1091" y="99"/>
                                </a:moveTo>
                                <a:lnTo>
                                  <a:pt x="1011" y="99"/>
                                </a:lnTo>
                                <a:lnTo>
                                  <a:pt x="1011" y="407"/>
                                </a:lnTo>
                                <a:lnTo>
                                  <a:pt x="1091" y="407"/>
                                </a:lnTo>
                                <a:lnTo>
                                  <a:pt x="1091" y="99"/>
                                </a:lnTo>
                                <a:close/>
                                <a:moveTo>
                                  <a:pt x="904" y="167"/>
                                </a:moveTo>
                                <a:lnTo>
                                  <a:pt x="970" y="167"/>
                                </a:lnTo>
                                <a:lnTo>
                                  <a:pt x="970" y="99"/>
                                </a:lnTo>
                                <a:lnTo>
                                  <a:pt x="758" y="99"/>
                                </a:lnTo>
                                <a:lnTo>
                                  <a:pt x="758" y="167"/>
                                </a:lnTo>
                                <a:lnTo>
                                  <a:pt x="825" y="167"/>
                                </a:lnTo>
                                <a:lnTo>
                                  <a:pt x="825" y="407"/>
                                </a:lnTo>
                                <a:lnTo>
                                  <a:pt x="904" y="407"/>
                                </a:lnTo>
                                <a:lnTo>
                                  <a:pt x="904" y="167"/>
                                </a:lnTo>
                                <a:close/>
                                <a:moveTo>
                                  <a:pt x="644" y="292"/>
                                </a:moveTo>
                                <a:lnTo>
                                  <a:pt x="578" y="292"/>
                                </a:lnTo>
                                <a:lnTo>
                                  <a:pt x="611" y="194"/>
                                </a:lnTo>
                                <a:lnTo>
                                  <a:pt x="644" y="292"/>
                                </a:lnTo>
                                <a:close/>
                                <a:moveTo>
                                  <a:pt x="666" y="354"/>
                                </a:moveTo>
                                <a:lnTo>
                                  <a:pt x="686" y="407"/>
                                </a:lnTo>
                                <a:lnTo>
                                  <a:pt x="771" y="407"/>
                                </a:lnTo>
                                <a:lnTo>
                                  <a:pt x="655" y="99"/>
                                </a:lnTo>
                                <a:lnTo>
                                  <a:pt x="568" y="99"/>
                                </a:lnTo>
                                <a:lnTo>
                                  <a:pt x="450" y="407"/>
                                </a:lnTo>
                                <a:lnTo>
                                  <a:pt x="534" y="407"/>
                                </a:lnTo>
                                <a:lnTo>
                                  <a:pt x="555" y="354"/>
                                </a:lnTo>
                                <a:lnTo>
                                  <a:pt x="666" y="354"/>
                                </a:lnTo>
                                <a:close/>
                                <a:moveTo>
                                  <a:pt x="395" y="167"/>
                                </a:moveTo>
                                <a:lnTo>
                                  <a:pt x="461" y="167"/>
                                </a:lnTo>
                                <a:lnTo>
                                  <a:pt x="461" y="99"/>
                                </a:lnTo>
                                <a:lnTo>
                                  <a:pt x="249" y="99"/>
                                </a:lnTo>
                                <a:lnTo>
                                  <a:pt x="249" y="167"/>
                                </a:lnTo>
                                <a:lnTo>
                                  <a:pt x="315" y="167"/>
                                </a:lnTo>
                                <a:lnTo>
                                  <a:pt x="315" y="407"/>
                                </a:lnTo>
                                <a:lnTo>
                                  <a:pt x="395" y="407"/>
                                </a:lnTo>
                                <a:lnTo>
                                  <a:pt x="395" y="167"/>
                                </a:lnTo>
                                <a:close/>
                                <a:moveTo>
                                  <a:pt x="214" y="117"/>
                                </a:moveTo>
                                <a:lnTo>
                                  <a:pt x="203" y="111"/>
                                </a:lnTo>
                                <a:lnTo>
                                  <a:pt x="190" y="106"/>
                                </a:lnTo>
                                <a:lnTo>
                                  <a:pt x="178" y="102"/>
                                </a:lnTo>
                                <a:lnTo>
                                  <a:pt x="167" y="98"/>
                                </a:lnTo>
                                <a:lnTo>
                                  <a:pt x="154" y="96"/>
                                </a:lnTo>
                                <a:lnTo>
                                  <a:pt x="142" y="93"/>
                                </a:lnTo>
                                <a:lnTo>
                                  <a:pt x="129" y="92"/>
                                </a:lnTo>
                                <a:lnTo>
                                  <a:pt x="117" y="92"/>
                                </a:lnTo>
                                <a:lnTo>
                                  <a:pt x="106" y="92"/>
                                </a:lnTo>
                                <a:lnTo>
                                  <a:pt x="94" y="94"/>
                                </a:lnTo>
                                <a:lnTo>
                                  <a:pt x="84" y="96"/>
                                </a:lnTo>
                                <a:lnTo>
                                  <a:pt x="75" y="99"/>
                                </a:lnTo>
                                <a:lnTo>
                                  <a:pt x="65" y="103"/>
                                </a:lnTo>
                                <a:lnTo>
                                  <a:pt x="56" y="108"/>
                                </a:lnTo>
                                <a:lnTo>
                                  <a:pt x="48" y="114"/>
                                </a:lnTo>
                                <a:lnTo>
                                  <a:pt x="41" y="121"/>
                                </a:lnTo>
                                <a:lnTo>
                                  <a:pt x="35" y="128"/>
                                </a:lnTo>
                                <a:lnTo>
                                  <a:pt x="28" y="136"/>
                                </a:lnTo>
                                <a:lnTo>
                                  <a:pt x="23" y="144"/>
                                </a:lnTo>
                                <a:lnTo>
                                  <a:pt x="20" y="153"/>
                                </a:lnTo>
                                <a:lnTo>
                                  <a:pt x="16" y="163"/>
                                </a:lnTo>
                                <a:lnTo>
                                  <a:pt x="15" y="174"/>
                                </a:lnTo>
                                <a:lnTo>
                                  <a:pt x="12" y="184"/>
                                </a:lnTo>
                                <a:lnTo>
                                  <a:pt x="12" y="195"/>
                                </a:lnTo>
                                <a:lnTo>
                                  <a:pt x="12" y="205"/>
                                </a:lnTo>
                                <a:lnTo>
                                  <a:pt x="13" y="215"/>
                                </a:lnTo>
                                <a:lnTo>
                                  <a:pt x="16" y="224"/>
                                </a:lnTo>
                                <a:lnTo>
                                  <a:pt x="18" y="231"/>
                                </a:lnTo>
                                <a:lnTo>
                                  <a:pt x="22" y="239"/>
                                </a:lnTo>
                                <a:lnTo>
                                  <a:pt x="26" y="245"/>
                                </a:lnTo>
                                <a:lnTo>
                                  <a:pt x="31" y="251"/>
                                </a:lnTo>
                                <a:lnTo>
                                  <a:pt x="37" y="256"/>
                                </a:lnTo>
                                <a:lnTo>
                                  <a:pt x="46" y="263"/>
                                </a:lnTo>
                                <a:lnTo>
                                  <a:pt x="57" y="269"/>
                                </a:lnTo>
                                <a:lnTo>
                                  <a:pt x="73" y="275"/>
                                </a:lnTo>
                                <a:lnTo>
                                  <a:pt x="96" y="281"/>
                                </a:lnTo>
                                <a:lnTo>
                                  <a:pt x="108" y="286"/>
                                </a:lnTo>
                                <a:lnTo>
                                  <a:pt x="118" y="290"/>
                                </a:lnTo>
                                <a:lnTo>
                                  <a:pt x="127" y="294"/>
                                </a:lnTo>
                                <a:lnTo>
                                  <a:pt x="133" y="297"/>
                                </a:lnTo>
                                <a:lnTo>
                                  <a:pt x="138" y="301"/>
                                </a:lnTo>
                                <a:lnTo>
                                  <a:pt x="141" y="306"/>
                                </a:lnTo>
                                <a:lnTo>
                                  <a:pt x="143" y="311"/>
                                </a:lnTo>
                                <a:lnTo>
                                  <a:pt x="143" y="317"/>
                                </a:lnTo>
                                <a:lnTo>
                                  <a:pt x="143" y="324"/>
                                </a:lnTo>
                                <a:lnTo>
                                  <a:pt x="141" y="330"/>
                                </a:lnTo>
                                <a:lnTo>
                                  <a:pt x="137" y="335"/>
                                </a:lnTo>
                                <a:lnTo>
                                  <a:pt x="133" y="339"/>
                                </a:lnTo>
                                <a:lnTo>
                                  <a:pt x="127" y="342"/>
                                </a:lnTo>
                                <a:lnTo>
                                  <a:pt x="121" y="345"/>
                                </a:lnTo>
                                <a:lnTo>
                                  <a:pt x="113" y="346"/>
                                </a:lnTo>
                                <a:lnTo>
                                  <a:pt x="104" y="347"/>
                                </a:lnTo>
                                <a:lnTo>
                                  <a:pt x="96" y="347"/>
                                </a:lnTo>
                                <a:lnTo>
                                  <a:pt x="87" y="345"/>
                                </a:lnTo>
                                <a:lnTo>
                                  <a:pt x="78" y="344"/>
                                </a:lnTo>
                                <a:lnTo>
                                  <a:pt x="70" y="340"/>
                                </a:lnTo>
                                <a:lnTo>
                                  <a:pt x="61" y="335"/>
                                </a:lnTo>
                                <a:lnTo>
                                  <a:pt x="52" y="330"/>
                                </a:lnTo>
                                <a:lnTo>
                                  <a:pt x="43" y="324"/>
                                </a:lnTo>
                                <a:lnTo>
                                  <a:pt x="33" y="316"/>
                                </a:lnTo>
                                <a:lnTo>
                                  <a:pt x="0" y="381"/>
                                </a:lnTo>
                                <a:lnTo>
                                  <a:pt x="12" y="388"/>
                                </a:lnTo>
                                <a:lnTo>
                                  <a:pt x="25" y="396"/>
                                </a:lnTo>
                                <a:lnTo>
                                  <a:pt x="38" y="401"/>
                                </a:lnTo>
                                <a:lnTo>
                                  <a:pt x="52" y="406"/>
                                </a:lnTo>
                                <a:lnTo>
                                  <a:pt x="66" y="410"/>
                                </a:lnTo>
                                <a:lnTo>
                                  <a:pt x="79" y="413"/>
                                </a:lnTo>
                                <a:lnTo>
                                  <a:pt x="93" y="415"/>
                                </a:lnTo>
                                <a:lnTo>
                                  <a:pt x="107" y="415"/>
                                </a:lnTo>
                                <a:lnTo>
                                  <a:pt x="119" y="415"/>
                                </a:lnTo>
                                <a:lnTo>
                                  <a:pt x="132" y="413"/>
                                </a:lnTo>
                                <a:lnTo>
                                  <a:pt x="144" y="411"/>
                                </a:lnTo>
                                <a:lnTo>
                                  <a:pt x="155" y="407"/>
                                </a:lnTo>
                                <a:lnTo>
                                  <a:pt x="167" y="403"/>
                                </a:lnTo>
                                <a:lnTo>
                                  <a:pt x="177" y="398"/>
                                </a:lnTo>
                                <a:lnTo>
                                  <a:pt x="187" y="392"/>
                                </a:lnTo>
                                <a:lnTo>
                                  <a:pt x="195" y="386"/>
                                </a:lnTo>
                                <a:lnTo>
                                  <a:pt x="203" y="378"/>
                                </a:lnTo>
                                <a:lnTo>
                                  <a:pt x="209" y="371"/>
                                </a:lnTo>
                                <a:lnTo>
                                  <a:pt x="214" y="362"/>
                                </a:lnTo>
                                <a:lnTo>
                                  <a:pt x="219" y="352"/>
                                </a:lnTo>
                                <a:lnTo>
                                  <a:pt x="223" y="342"/>
                                </a:lnTo>
                                <a:lnTo>
                                  <a:pt x="225" y="331"/>
                                </a:lnTo>
                                <a:lnTo>
                                  <a:pt x="227" y="319"/>
                                </a:lnTo>
                                <a:lnTo>
                                  <a:pt x="227" y="306"/>
                                </a:lnTo>
                                <a:lnTo>
                                  <a:pt x="225" y="290"/>
                                </a:lnTo>
                                <a:lnTo>
                                  <a:pt x="223" y="275"/>
                                </a:lnTo>
                                <a:lnTo>
                                  <a:pt x="220" y="269"/>
                                </a:lnTo>
                                <a:lnTo>
                                  <a:pt x="217" y="263"/>
                                </a:lnTo>
                                <a:lnTo>
                                  <a:pt x="213" y="258"/>
                                </a:lnTo>
                                <a:lnTo>
                                  <a:pt x="209" y="251"/>
                                </a:lnTo>
                                <a:lnTo>
                                  <a:pt x="204" y="246"/>
                                </a:lnTo>
                                <a:lnTo>
                                  <a:pt x="199" y="241"/>
                                </a:lnTo>
                                <a:lnTo>
                                  <a:pt x="193" y="238"/>
                                </a:lnTo>
                                <a:lnTo>
                                  <a:pt x="185" y="234"/>
                                </a:lnTo>
                                <a:lnTo>
                                  <a:pt x="169" y="226"/>
                                </a:lnTo>
                                <a:lnTo>
                                  <a:pt x="151" y="220"/>
                                </a:lnTo>
                                <a:lnTo>
                                  <a:pt x="129" y="213"/>
                                </a:lnTo>
                                <a:lnTo>
                                  <a:pt x="117" y="209"/>
                                </a:lnTo>
                                <a:lnTo>
                                  <a:pt x="109" y="205"/>
                                </a:lnTo>
                                <a:lnTo>
                                  <a:pt x="103" y="200"/>
                                </a:lnTo>
                                <a:lnTo>
                                  <a:pt x="99" y="198"/>
                                </a:lnTo>
                                <a:lnTo>
                                  <a:pt x="98" y="194"/>
                                </a:lnTo>
                                <a:lnTo>
                                  <a:pt x="96" y="189"/>
                                </a:lnTo>
                                <a:lnTo>
                                  <a:pt x="96" y="185"/>
                                </a:lnTo>
                                <a:lnTo>
                                  <a:pt x="97" y="179"/>
                                </a:lnTo>
                                <a:lnTo>
                                  <a:pt x="98" y="174"/>
                                </a:lnTo>
                                <a:lnTo>
                                  <a:pt x="102" y="170"/>
                                </a:lnTo>
                                <a:lnTo>
                                  <a:pt x="106" y="167"/>
                                </a:lnTo>
                                <a:lnTo>
                                  <a:pt x="111" y="163"/>
                                </a:lnTo>
                                <a:lnTo>
                                  <a:pt x="117" y="160"/>
                                </a:lnTo>
                                <a:lnTo>
                                  <a:pt x="123" y="159"/>
                                </a:lnTo>
                                <a:lnTo>
                                  <a:pt x="129" y="158"/>
                                </a:lnTo>
                                <a:lnTo>
                                  <a:pt x="137" y="159"/>
                                </a:lnTo>
                                <a:lnTo>
                                  <a:pt x="143" y="159"/>
                                </a:lnTo>
                                <a:lnTo>
                                  <a:pt x="151" y="162"/>
                                </a:lnTo>
                                <a:lnTo>
                                  <a:pt x="157" y="163"/>
                                </a:lnTo>
                                <a:lnTo>
                                  <a:pt x="169" y="170"/>
                                </a:lnTo>
                                <a:lnTo>
                                  <a:pt x="183" y="179"/>
                                </a:lnTo>
                                <a:lnTo>
                                  <a:pt x="214" y="1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Freeform 14"/>
                        <wps:cNvSpPr>
                          <a:spLocks noChangeAspect="1" noEditPoints="1"/>
                        </wps:cNvSpPr>
                        <wps:spPr bwMode="auto">
                          <a:xfrm>
                            <a:off x="1962" y="851"/>
                            <a:ext cx="679" cy="208"/>
                          </a:xfrm>
                          <a:custGeom>
                            <a:avLst/>
                            <a:gdLst>
                              <a:gd name="T0" fmla="*/ 641 w 1358"/>
                              <a:gd name="T1" fmla="*/ 18 h 416"/>
                              <a:gd name="T2" fmla="*/ 679 w 1358"/>
                              <a:gd name="T3" fmla="*/ 50 h 416"/>
                              <a:gd name="T4" fmla="*/ 581 w 1358"/>
                              <a:gd name="T5" fmla="*/ 130 h 416"/>
                              <a:gd name="T6" fmla="*/ 432 w 1358"/>
                              <a:gd name="T7" fmla="*/ 204 h 416"/>
                              <a:gd name="T8" fmla="*/ 530 w 1358"/>
                              <a:gd name="T9" fmla="*/ 50 h 416"/>
                              <a:gd name="T10" fmla="*/ 349 w 1358"/>
                              <a:gd name="T11" fmla="*/ 54 h 416"/>
                              <a:gd name="T12" fmla="*/ 318 w 1358"/>
                              <a:gd name="T13" fmla="*/ 46 h 416"/>
                              <a:gd name="T14" fmla="*/ 290 w 1358"/>
                              <a:gd name="T15" fmla="*/ 50 h 416"/>
                              <a:gd name="T16" fmla="*/ 271 w 1358"/>
                              <a:gd name="T17" fmla="*/ 64 h 416"/>
                              <a:gd name="T18" fmla="*/ 261 w 1358"/>
                              <a:gd name="T19" fmla="*/ 87 h 416"/>
                              <a:gd name="T20" fmla="*/ 261 w 1358"/>
                              <a:gd name="T21" fmla="*/ 112 h 416"/>
                              <a:gd name="T22" fmla="*/ 272 w 1358"/>
                              <a:gd name="T23" fmla="*/ 129 h 416"/>
                              <a:gd name="T24" fmla="*/ 307 w 1358"/>
                              <a:gd name="T25" fmla="*/ 144 h 416"/>
                              <a:gd name="T26" fmla="*/ 324 w 1358"/>
                              <a:gd name="T27" fmla="*/ 153 h 416"/>
                              <a:gd name="T28" fmla="*/ 322 w 1358"/>
                              <a:gd name="T29" fmla="*/ 168 h 416"/>
                              <a:gd name="T30" fmla="*/ 306 w 1358"/>
                              <a:gd name="T31" fmla="*/ 174 h 416"/>
                              <a:gd name="T32" fmla="*/ 284 w 1358"/>
                              <a:gd name="T33" fmla="*/ 168 h 416"/>
                              <a:gd name="T34" fmla="*/ 260 w 1358"/>
                              <a:gd name="T35" fmla="*/ 195 h 416"/>
                              <a:gd name="T36" fmla="*/ 293 w 1358"/>
                              <a:gd name="T37" fmla="*/ 207 h 416"/>
                              <a:gd name="T38" fmla="*/ 326 w 1358"/>
                              <a:gd name="T39" fmla="*/ 206 h 416"/>
                              <a:gd name="T40" fmla="*/ 351 w 1358"/>
                              <a:gd name="T41" fmla="*/ 193 h 416"/>
                              <a:gd name="T42" fmla="*/ 365 w 1358"/>
                              <a:gd name="T43" fmla="*/ 172 h 416"/>
                              <a:gd name="T44" fmla="*/ 365 w 1358"/>
                              <a:gd name="T45" fmla="*/ 138 h 416"/>
                              <a:gd name="T46" fmla="*/ 356 w 1358"/>
                              <a:gd name="T47" fmla="*/ 124 h 416"/>
                              <a:gd name="T48" fmla="*/ 329 w 1358"/>
                              <a:gd name="T49" fmla="*/ 111 h 416"/>
                              <a:gd name="T50" fmla="*/ 304 w 1358"/>
                              <a:gd name="T51" fmla="*/ 99 h 416"/>
                              <a:gd name="T52" fmla="*/ 303 w 1358"/>
                              <a:gd name="T53" fmla="*/ 87 h 416"/>
                              <a:gd name="T54" fmla="*/ 315 w 1358"/>
                              <a:gd name="T55" fmla="*/ 80 h 416"/>
                              <a:gd name="T56" fmla="*/ 332 w 1358"/>
                              <a:gd name="T57" fmla="*/ 82 h 416"/>
                              <a:gd name="T58" fmla="*/ 232 w 1358"/>
                              <a:gd name="T59" fmla="*/ 50 h 416"/>
                              <a:gd name="T60" fmla="*/ 185 w 1358"/>
                              <a:gd name="T61" fmla="*/ 170 h 416"/>
                              <a:gd name="T62" fmla="*/ 185 w 1358"/>
                              <a:gd name="T63" fmla="*/ 84 h 416"/>
                              <a:gd name="T64" fmla="*/ 105 w 1358"/>
                              <a:gd name="T65" fmla="*/ 1 h 416"/>
                              <a:gd name="T66" fmla="*/ 108 w 1358"/>
                              <a:gd name="T67" fmla="*/ 51 h 416"/>
                              <a:gd name="T68" fmla="*/ 65 w 1358"/>
                              <a:gd name="T69" fmla="*/ 48 h 416"/>
                              <a:gd name="T70" fmla="*/ 29 w 1358"/>
                              <a:gd name="T71" fmla="*/ 65 h 416"/>
                              <a:gd name="T72" fmla="*/ 6 w 1358"/>
                              <a:gd name="T73" fmla="*/ 96 h 416"/>
                              <a:gd name="T74" fmla="*/ 0 w 1358"/>
                              <a:gd name="T75" fmla="*/ 136 h 416"/>
                              <a:gd name="T76" fmla="*/ 11 w 1358"/>
                              <a:gd name="T77" fmla="*/ 170 h 416"/>
                              <a:gd name="T78" fmla="*/ 41 w 1358"/>
                              <a:gd name="T79" fmla="*/ 197 h 416"/>
                              <a:gd name="T80" fmla="*/ 82 w 1358"/>
                              <a:gd name="T81" fmla="*/ 208 h 416"/>
                              <a:gd name="T82" fmla="*/ 118 w 1358"/>
                              <a:gd name="T83" fmla="*/ 153 h 416"/>
                              <a:gd name="T84" fmla="*/ 97 w 1358"/>
                              <a:gd name="T85" fmla="*/ 167 h 416"/>
                              <a:gd name="T86" fmla="*/ 76 w 1358"/>
                              <a:gd name="T87" fmla="*/ 168 h 416"/>
                              <a:gd name="T88" fmla="*/ 59 w 1358"/>
                              <a:gd name="T89" fmla="*/ 162 h 416"/>
                              <a:gd name="T90" fmla="*/ 45 w 1358"/>
                              <a:gd name="T91" fmla="*/ 146 h 416"/>
                              <a:gd name="T92" fmla="*/ 42 w 1358"/>
                              <a:gd name="T93" fmla="*/ 124 h 416"/>
                              <a:gd name="T94" fmla="*/ 49 w 1358"/>
                              <a:gd name="T95" fmla="*/ 104 h 416"/>
                              <a:gd name="T96" fmla="*/ 63 w 1358"/>
                              <a:gd name="T97" fmla="*/ 91 h 416"/>
                              <a:gd name="T98" fmla="*/ 83 w 1358"/>
                              <a:gd name="T99" fmla="*/ 86 h 416"/>
                              <a:gd name="T100" fmla="*/ 107 w 1358"/>
                              <a:gd name="T101" fmla="*/ 92 h 416"/>
                              <a:gd name="T102" fmla="*/ 0 60000 65536"/>
                              <a:gd name="T103" fmla="*/ 0 60000 65536"/>
                              <a:gd name="T104" fmla="*/ 0 60000 65536"/>
                              <a:gd name="T105" fmla="*/ 0 60000 65536"/>
                              <a:gd name="T106" fmla="*/ 0 60000 65536"/>
                              <a:gd name="T107" fmla="*/ 0 60000 65536"/>
                              <a:gd name="T108" fmla="*/ 0 60000 65536"/>
                              <a:gd name="T109" fmla="*/ 0 60000 65536"/>
                              <a:gd name="T110" fmla="*/ 0 60000 65536"/>
                              <a:gd name="T111" fmla="*/ 0 60000 65536"/>
                              <a:gd name="T112" fmla="*/ 0 60000 65536"/>
                              <a:gd name="T113" fmla="*/ 0 60000 65536"/>
                              <a:gd name="T114" fmla="*/ 0 60000 65536"/>
                              <a:gd name="T115" fmla="*/ 0 60000 65536"/>
                              <a:gd name="T116" fmla="*/ 0 60000 65536"/>
                              <a:gd name="T117" fmla="*/ 0 60000 65536"/>
                              <a:gd name="T118" fmla="*/ 0 60000 65536"/>
                              <a:gd name="T119" fmla="*/ 0 60000 65536"/>
                              <a:gd name="T120" fmla="*/ 0 60000 65536"/>
                              <a:gd name="T121" fmla="*/ 0 60000 65536"/>
                              <a:gd name="T122" fmla="*/ 0 60000 65536"/>
                              <a:gd name="T123" fmla="*/ 0 60000 65536"/>
                              <a:gd name="T124" fmla="*/ 0 60000 65536"/>
                              <a:gd name="T125" fmla="*/ 0 60000 65536"/>
                              <a:gd name="T126" fmla="*/ 0 60000 65536"/>
                              <a:gd name="T127" fmla="*/ 0 60000 65536"/>
                              <a:gd name="T128" fmla="*/ 0 60000 65536"/>
                              <a:gd name="T129" fmla="*/ 0 60000 65536"/>
                              <a:gd name="T130" fmla="*/ 0 60000 65536"/>
                              <a:gd name="T131" fmla="*/ 0 60000 65536"/>
                              <a:gd name="T132" fmla="*/ 0 60000 65536"/>
                              <a:gd name="T133" fmla="*/ 0 60000 65536"/>
                              <a:gd name="T134" fmla="*/ 0 60000 65536"/>
                              <a:gd name="T135" fmla="*/ 0 60000 65536"/>
                              <a:gd name="T136" fmla="*/ 0 60000 65536"/>
                              <a:gd name="T137" fmla="*/ 0 60000 65536"/>
                              <a:gd name="T138" fmla="*/ 0 60000 65536"/>
                              <a:gd name="T139" fmla="*/ 0 60000 65536"/>
                              <a:gd name="T140" fmla="*/ 0 60000 65536"/>
                              <a:gd name="T141" fmla="*/ 0 60000 65536"/>
                              <a:gd name="T142" fmla="*/ 0 60000 65536"/>
                              <a:gd name="T143" fmla="*/ 0 60000 65536"/>
                              <a:gd name="T144" fmla="*/ 0 60000 65536"/>
                              <a:gd name="T145" fmla="*/ 0 60000 65536"/>
                              <a:gd name="T146" fmla="*/ 0 60000 65536"/>
                              <a:gd name="T147" fmla="*/ 0 60000 65536"/>
                              <a:gd name="T148" fmla="*/ 0 60000 65536"/>
                              <a:gd name="T149" fmla="*/ 0 60000 65536"/>
                              <a:gd name="T150" fmla="*/ 0 60000 65536"/>
                              <a:gd name="T151" fmla="*/ 0 60000 65536"/>
                              <a:gd name="T152" fmla="*/ 0 60000 65536"/>
                            </a:gdLst>
                            <a:ahLst/>
                            <a:cxnLst>
                              <a:cxn ang="T102">
                                <a:pos x="T0" y="T1"/>
                              </a:cxn>
                              <a:cxn ang="T103">
                                <a:pos x="T2" y="T3"/>
                              </a:cxn>
                              <a:cxn ang="T104">
                                <a:pos x="T4" y="T5"/>
                              </a:cxn>
                              <a:cxn ang="T105">
                                <a:pos x="T6" y="T7"/>
                              </a:cxn>
                              <a:cxn ang="T106">
                                <a:pos x="T8" y="T9"/>
                              </a:cxn>
                              <a:cxn ang="T107">
                                <a:pos x="T10" y="T11"/>
                              </a:cxn>
                              <a:cxn ang="T108">
                                <a:pos x="T12" y="T13"/>
                              </a:cxn>
                              <a:cxn ang="T109">
                                <a:pos x="T14" y="T15"/>
                              </a:cxn>
                              <a:cxn ang="T110">
                                <a:pos x="T16" y="T17"/>
                              </a:cxn>
                              <a:cxn ang="T111">
                                <a:pos x="T18" y="T19"/>
                              </a:cxn>
                              <a:cxn ang="T112">
                                <a:pos x="T20" y="T21"/>
                              </a:cxn>
                              <a:cxn ang="T113">
                                <a:pos x="T22" y="T23"/>
                              </a:cxn>
                              <a:cxn ang="T114">
                                <a:pos x="T24" y="T25"/>
                              </a:cxn>
                              <a:cxn ang="T115">
                                <a:pos x="T26" y="T27"/>
                              </a:cxn>
                              <a:cxn ang="T116">
                                <a:pos x="T28" y="T29"/>
                              </a:cxn>
                              <a:cxn ang="T117">
                                <a:pos x="T30" y="T31"/>
                              </a:cxn>
                              <a:cxn ang="T118">
                                <a:pos x="T32" y="T33"/>
                              </a:cxn>
                              <a:cxn ang="T119">
                                <a:pos x="T34" y="T35"/>
                              </a:cxn>
                              <a:cxn ang="T120">
                                <a:pos x="T36" y="T37"/>
                              </a:cxn>
                              <a:cxn ang="T121">
                                <a:pos x="T38" y="T39"/>
                              </a:cxn>
                              <a:cxn ang="T122">
                                <a:pos x="T40" y="T41"/>
                              </a:cxn>
                              <a:cxn ang="T123">
                                <a:pos x="T42" y="T43"/>
                              </a:cxn>
                              <a:cxn ang="T124">
                                <a:pos x="T44" y="T45"/>
                              </a:cxn>
                              <a:cxn ang="T125">
                                <a:pos x="T46" y="T47"/>
                              </a:cxn>
                              <a:cxn ang="T126">
                                <a:pos x="T48" y="T49"/>
                              </a:cxn>
                              <a:cxn ang="T127">
                                <a:pos x="T50" y="T51"/>
                              </a:cxn>
                              <a:cxn ang="T128">
                                <a:pos x="T52" y="T53"/>
                              </a:cxn>
                              <a:cxn ang="T129">
                                <a:pos x="T54" y="T55"/>
                              </a:cxn>
                              <a:cxn ang="T130">
                                <a:pos x="T56" y="T57"/>
                              </a:cxn>
                              <a:cxn ang="T131">
                                <a:pos x="T58" y="T59"/>
                              </a:cxn>
                              <a:cxn ang="T132">
                                <a:pos x="T60" y="T61"/>
                              </a:cxn>
                              <a:cxn ang="T133">
                                <a:pos x="T62" y="T63"/>
                              </a:cxn>
                              <a:cxn ang="T134">
                                <a:pos x="T64" y="T65"/>
                              </a:cxn>
                              <a:cxn ang="T135">
                                <a:pos x="T66" y="T67"/>
                              </a:cxn>
                              <a:cxn ang="T136">
                                <a:pos x="T68" y="T69"/>
                              </a:cxn>
                              <a:cxn ang="T137">
                                <a:pos x="T70" y="T71"/>
                              </a:cxn>
                              <a:cxn ang="T138">
                                <a:pos x="T72" y="T73"/>
                              </a:cxn>
                              <a:cxn ang="T139">
                                <a:pos x="T74" y="T75"/>
                              </a:cxn>
                              <a:cxn ang="T140">
                                <a:pos x="T76" y="T77"/>
                              </a:cxn>
                              <a:cxn ang="T141">
                                <a:pos x="T78" y="T79"/>
                              </a:cxn>
                              <a:cxn ang="T142">
                                <a:pos x="T80" y="T81"/>
                              </a:cxn>
                              <a:cxn ang="T143">
                                <a:pos x="T82" y="T83"/>
                              </a:cxn>
                              <a:cxn ang="T144">
                                <a:pos x="T84" y="T85"/>
                              </a:cxn>
                              <a:cxn ang="T145">
                                <a:pos x="T86" y="T87"/>
                              </a:cxn>
                              <a:cxn ang="T146">
                                <a:pos x="T88" y="T89"/>
                              </a:cxn>
                              <a:cxn ang="T147">
                                <a:pos x="T90" y="T91"/>
                              </a:cxn>
                              <a:cxn ang="T148">
                                <a:pos x="T92" y="T93"/>
                              </a:cxn>
                              <a:cxn ang="T149">
                                <a:pos x="T94" y="T95"/>
                              </a:cxn>
                              <a:cxn ang="T150">
                                <a:pos x="T96" y="T97"/>
                              </a:cxn>
                              <a:cxn ang="T151">
                                <a:pos x="T98" y="T99"/>
                              </a:cxn>
                              <a:cxn ang="T152">
                                <a:pos x="T100" y="T101"/>
                              </a:cxn>
                            </a:cxnLst>
                            <a:rect l="0" t="0" r="r" b="b"/>
                            <a:pathLst>
                              <a:path w="1358" h="416">
                                <a:moveTo>
                                  <a:pt x="1282" y="36"/>
                                </a:moveTo>
                                <a:lnTo>
                                  <a:pt x="1243" y="0"/>
                                </a:lnTo>
                                <a:lnTo>
                                  <a:pt x="1178" y="56"/>
                                </a:lnTo>
                                <a:lnTo>
                                  <a:pt x="1205" y="85"/>
                                </a:lnTo>
                                <a:lnTo>
                                  <a:pt x="1282" y="36"/>
                                </a:lnTo>
                                <a:close/>
                                <a:moveTo>
                                  <a:pt x="1162" y="260"/>
                                </a:moveTo>
                                <a:lnTo>
                                  <a:pt x="1162" y="407"/>
                                </a:lnTo>
                                <a:lnTo>
                                  <a:pt x="1242" y="407"/>
                                </a:lnTo>
                                <a:lnTo>
                                  <a:pt x="1242" y="260"/>
                                </a:lnTo>
                                <a:lnTo>
                                  <a:pt x="1358" y="100"/>
                                </a:lnTo>
                                <a:lnTo>
                                  <a:pt x="1261" y="100"/>
                                </a:lnTo>
                                <a:lnTo>
                                  <a:pt x="1205" y="183"/>
                                </a:lnTo>
                                <a:lnTo>
                                  <a:pt x="1146" y="100"/>
                                </a:lnTo>
                                <a:lnTo>
                                  <a:pt x="1051" y="100"/>
                                </a:lnTo>
                                <a:lnTo>
                                  <a:pt x="1162" y="260"/>
                                </a:lnTo>
                                <a:close/>
                                <a:moveTo>
                                  <a:pt x="863" y="227"/>
                                </a:moveTo>
                                <a:lnTo>
                                  <a:pt x="863" y="100"/>
                                </a:lnTo>
                                <a:lnTo>
                                  <a:pt x="783" y="100"/>
                                </a:lnTo>
                                <a:lnTo>
                                  <a:pt x="783" y="407"/>
                                </a:lnTo>
                                <a:lnTo>
                                  <a:pt x="863" y="407"/>
                                </a:lnTo>
                                <a:lnTo>
                                  <a:pt x="863" y="274"/>
                                </a:lnTo>
                                <a:lnTo>
                                  <a:pt x="967" y="407"/>
                                </a:lnTo>
                                <a:lnTo>
                                  <a:pt x="1071" y="407"/>
                                </a:lnTo>
                                <a:lnTo>
                                  <a:pt x="938" y="245"/>
                                </a:lnTo>
                                <a:lnTo>
                                  <a:pt x="1059" y="100"/>
                                </a:lnTo>
                                <a:lnTo>
                                  <a:pt x="960" y="100"/>
                                </a:lnTo>
                                <a:lnTo>
                                  <a:pt x="863" y="227"/>
                                </a:lnTo>
                                <a:close/>
                                <a:moveTo>
                                  <a:pt x="721" y="117"/>
                                </a:moveTo>
                                <a:lnTo>
                                  <a:pt x="709" y="112"/>
                                </a:lnTo>
                                <a:lnTo>
                                  <a:pt x="697" y="107"/>
                                </a:lnTo>
                                <a:lnTo>
                                  <a:pt x="685" y="102"/>
                                </a:lnTo>
                                <a:lnTo>
                                  <a:pt x="673" y="98"/>
                                </a:lnTo>
                                <a:lnTo>
                                  <a:pt x="660" y="96"/>
                                </a:lnTo>
                                <a:lnTo>
                                  <a:pt x="648" y="93"/>
                                </a:lnTo>
                                <a:lnTo>
                                  <a:pt x="635" y="92"/>
                                </a:lnTo>
                                <a:lnTo>
                                  <a:pt x="624" y="92"/>
                                </a:lnTo>
                                <a:lnTo>
                                  <a:pt x="611" y="92"/>
                                </a:lnTo>
                                <a:lnTo>
                                  <a:pt x="602" y="95"/>
                                </a:lnTo>
                                <a:lnTo>
                                  <a:pt x="590" y="97"/>
                                </a:lnTo>
                                <a:lnTo>
                                  <a:pt x="580" y="100"/>
                                </a:lnTo>
                                <a:lnTo>
                                  <a:pt x="572" y="103"/>
                                </a:lnTo>
                                <a:lnTo>
                                  <a:pt x="563" y="108"/>
                                </a:lnTo>
                                <a:lnTo>
                                  <a:pt x="555" y="115"/>
                                </a:lnTo>
                                <a:lnTo>
                                  <a:pt x="548" y="121"/>
                                </a:lnTo>
                                <a:lnTo>
                                  <a:pt x="542" y="128"/>
                                </a:lnTo>
                                <a:lnTo>
                                  <a:pt x="535" y="136"/>
                                </a:lnTo>
                                <a:lnTo>
                                  <a:pt x="531" y="145"/>
                                </a:lnTo>
                                <a:lnTo>
                                  <a:pt x="527" y="153"/>
                                </a:lnTo>
                                <a:lnTo>
                                  <a:pt x="523" y="163"/>
                                </a:lnTo>
                                <a:lnTo>
                                  <a:pt x="521" y="174"/>
                                </a:lnTo>
                                <a:lnTo>
                                  <a:pt x="519" y="184"/>
                                </a:lnTo>
                                <a:lnTo>
                                  <a:pt x="519" y="196"/>
                                </a:lnTo>
                                <a:lnTo>
                                  <a:pt x="519" y="206"/>
                                </a:lnTo>
                                <a:lnTo>
                                  <a:pt x="521" y="216"/>
                                </a:lnTo>
                                <a:lnTo>
                                  <a:pt x="522" y="224"/>
                                </a:lnTo>
                                <a:lnTo>
                                  <a:pt x="524" y="232"/>
                                </a:lnTo>
                                <a:lnTo>
                                  <a:pt x="528" y="239"/>
                                </a:lnTo>
                                <a:lnTo>
                                  <a:pt x="533" y="245"/>
                                </a:lnTo>
                                <a:lnTo>
                                  <a:pt x="538" y="252"/>
                                </a:lnTo>
                                <a:lnTo>
                                  <a:pt x="543" y="257"/>
                                </a:lnTo>
                                <a:lnTo>
                                  <a:pt x="552" y="263"/>
                                </a:lnTo>
                                <a:lnTo>
                                  <a:pt x="564" y="269"/>
                                </a:lnTo>
                                <a:lnTo>
                                  <a:pt x="580" y="275"/>
                                </a:lnTo>
                                <a:lnTo>
                                  <a:pt x="602" y="282"/>
                                </a:lnTo>
                                <a:lnTo>
                                  <a:pt x="614" y="287"/>
                                </a:lnTo>
                                <a:lnTo>
                                  <a:pt x="625" y="290"/>
                                </a:lnTo>
                                <a:lnTo>
                                  <a:pt x="634" y="294"/>
                                </a:lnTo>
                                <a:lnTo>
                                  <a:pt x="640" y="298"/>
                                </a:lnTo>
                                <a:lnTo>
                                  <a:pt x="644" y="301"/>
                                </a:lnTo>
                                <a:lnTo>
                                  <a:pt x="648" y="306"/>
                                </a:lnTo>
                                <a:lnTo>
                                  <a:pt x="649" y="311"/>
                                </a:lnTo>
                                <a:lnTo>
                                  <a:pt x="650" y="318"/>
                                </a:lnTo>
                                <a:lnTo>
                                  <a:pt x="649" y="324"/>
                                </a:lnTo>
                                <a:lnTo>
                                  <a:pt x="648" y="330"/>
                                </a:lnTo>
                                <a:lnTo>
                                  <a:pt x="644" y="335"/>
                                </a:lnTo>
                                <a:lnTo>
                                  <a:pt x="639" y="339"/>
                                </a:lnTo>
                                <a:lnTo>
                                  <a:pt x="634" y="343"/>
                                </a:lnTo>
                                <a:lnTo>
                                  <a:pt x="626" y="345"/>
                                </a:lnTo>
                                <a:lnTo>
                                  <a:pt x="619" y="348"/>
                                </a:lnTo>
                                <a:lnTo>
                                  <a:pt x="611" y="348"/>
                                </a:lnTo>
                                <a:lnTo>
                                  <a:pt x="603" y="348"/>
                                </a:lnTo>
                                <a:lnTo>
                                  <a:pt x="594" y="345"/>
                                </a:lnTo>
                                <a:lnTo>
                                  <a:pt x="585" y="344"/>
                                </a:lnTo>
                                <a:lnTo>
                                  <a:pt x="577" y="340"/>
                                </a:lnTo>
                                <a:lnTo>
                                  <a:pt x="568" y="335"/>
                                </a:lnTo>
                                <a:lnTo>
                                  <a:pt x="559" y="330"/>
                                </a:lnTo>
                                <a:lnTo>
                                  <a:pt x="549" y="324"/>
                                </a:lnTo>
                                <a:lnTo>
                                  <a:pt x="540" y="316"/>
                                </a:lnTo>
                                <a:lnTo>
                                  <a:pt x="507" y="381"/>
                                </a:lnTo>
                                <a:lnTo>
                                  <a:pt x="519" y="389"/>
                                </a:lnTo>
                                <a:lnTo>
                                  <a:pt x="532" y="396"/>
                                </a:lnTo>
                                <a:lnTo>
                                  <a:pt x="544" y="401"/>
                                </a:lnTo>
                                <a:lnTo>
                                  <a:pt x="558" y="406"/>
                                </a:lnTo>
                                <a:lnTo>
                                  <a:pt x="572" y="410"/>
                                </a:lnTo>
                                <a:lnTo>
                                  <a:pt x="585" y="414"/>
                                </a:lnTo>
                                <a:lnTo>
                                  <a:pt x="599" y="415"/>
                                </a:lnTo>
                                <a:lnTo>
                                  <a:pt x="613" y="415"/>
                                </a:lnTo>
                                <a:lnTo>
                                  <a:pt x="626" y="415"/>
                                </a:lnTo>
                                <a:lnTo>
                                  <a:pt x="639" y="414"/>
                                </a:lnTo>
                                <a:lnTo>
                                  <a:pt x="651" y="411"/>
                                </a:lnTo>
                                <a:lnTo>
                                  <a:pt x="663" y="407"/>
                                </a:lnTo>
                                <a:lnTo>
                                  <a:pt x="674" y="404"/>
                                </a:lnTo>
                                <a:lnTo>
                                  <a:pt x="684" y="399"/>
                                </a:lnTo>
                                <a:lnTo>
                                  <a:pt x="694" y="392"/>
                                </a:lnTo>
                                <a:lnTo>
                                  <a:pt x="702" y="386"/>
                                </a:lnTo>
                                <a:lnTo>
                                  <a:pt x="709" y="379"/>
                                </a:lnTo>
                                <a:lnTo>
                                  <a:pt x="716" y="371"/>
                                </a:lnTo>
                                <a:lnTo>
                                  <a:pt x="721" y="363"/>
                                </a:lnTo>
                                <a:lnTo>
                                  <a:pt x="725" y="353"/>
                                </a:lnTo>
                                <a:lnTo>
                                  <a:pt x="729" y="343"/>
                                </a:lnTo>
                                <a:lnTo>
                                  <a:pt x="731" y="331"/>
                                </a:lnTo>
                                <a:lnTo>
                                  <a:pt x="732" y="319"/>
                                </a:lnTo>
                                <a:lnTo>
                                  <a:pt x="734" y="306"/>
                                </a:lnTo>
                                <a:lnTo>
                                  <a:pt x="732" y="290"/>
                                </a:lnTo>
                                <a:lnTo>
                                  <a:pt x="729" y="275"/>
                                </a:lnTo>
                                <a:lnTo>
                                  <a:pt x="726" y="269"/>
                                </a:lnTo>
                                <a:lnTo>
                                  <a:pt x="724" y="263"/>
                                </a:lnTo>
                                <a:lnTo>
                                  <a:pt x="720" y="258"/>
                                </a:lnTo>
                                <a:lnTo>
                                  <a:pt x="716" y="252"/>
                                </a:lnTo>
                                <a:lnTo>
                                  <a:pt x="711" y="247"/>
                                </a:lnTo>
                                <a:lnTo>
                                  <a:pt x="705" y="243"/>
                                </a:lnTo>
                                <a:lnTo>
                                  <a:pt x="699" y="238"/>
                                </a:lnTo>
                                <a:lnTo>
                                  <a:pt x="692" y="234"/>
                                </a:lnTo>
                                <a:lnTo>
                                  <a:pt x="676" y="227"/>
                                </a:lnTo>
                                <a:lnTo>
                                  <a:pt x="658" y="221"/>
                                </a:lnTo>
                                <a:lnTo>
                                  <a:pt x="636" y="214"/>
                                </a:lnTo>
                                <a:lnTo>
                                  <a:pt x="624" y="209"/>
                                </a:lnTo>
                                <a:lnTo>
                                  <a:pt x="615" y="206"/>
                                </a:lnTo>
                                <a:lnTo>
                                  <a:pt x="610" y="201"/>
                                </a:lnTo>
                                <a:lnTo>
                                  <a:pt x="607" y="198"/>
                                </a:lnTo>
                                <a:lnTo>
                                  <a:pt x="604" y="194"/>
                                </a:lnTo>
                                <a:lnTo>
                                  <a:pt x="603" y="189"/>
                                </a:lnTo>
                                <a:lnTo>
                                  <a:pt x="603" y="186"/>
                                </a:lnTo>
                                <a:lnTo>
                                  <a:pt x="603" y="181"/>
                                </a:lnTo>
                                <a:lnTo>
                                  <a:pt x="605" y="174"/>
                                </a:lnTo>
                                <a:lnTo>
                                  <a:pt x="608" y="171"/>
                                </a:lnTo>
                                <a:lnTo>
                                  <a:pt x="611" y="167"/>
                                </a:lnTo>
                                <a:lnTo>
                                  <a:pt x="618" y="163"/>
                                </a:lnTo>
                                <a:lnTo>
                                  <a:pt x="623" y="161"/>
                                </a:lnTo>
                                <a:lnTo>
                                  <a:pt x="629" y="159"/>
                                </a:lnTo>
                                <a:lnTo>
                                  <a:pt x="636" y="158"/>
                                </a:lnTo>
                                <a:lnTo>
                                  <a:pt x="643" y="159"/>
                                </a:lnTo>
                                <a:lnTo>
                                  <a:pt x="650" y="159"/>
                                </a:lnTo>
                                <a:lnTo>
                                  <a:pt x="656" y="162"/>
                                </a:lnTo>
                                <a:lnTo>
                                  <a:pt x="663" y="163"/>
                                </a:lnTo>
                                <a:lnTo>
                                  <a:pt x="676" y="171"/>
                                </a:lnTo>
                                <a:lnTo>
                                  <a:pt x="689" y="179"/>
                                </a:lnTo>
                                <a:lnTo>
                                  <a:pt x="721" y="117"/>
                                </a:lnTo>
                                <a:close/>
                                <a:moveTo>
                                  <a:pt x="463" y="167"/>
                                </a:moveTo>
                                <a:lnTo>
                                  <a:pt x="463" y="100"/>
                                </a:lnTo>
                                <a:lnTo>
                                  <a:pt x="289" y="100"/>
                                </a:lnTo>
                                <a:lnTo>
                                  <a:pt x="289" y="407"/>
                                </a:lnTo>
                                <a:lnTo>
                                  <a:pt x="463" y="407"/>
                                </a:lnTo>
                                <a:lnTo>
                                  <a:pt x="463" y="340"/>
                                </a:lnTo>
                                <a:lnTo>
                                  <a:pt x="369" y="340"/>
                                </a:lnTo>
                                <a:lnTo>
                                  <a:pt x="369" y="287"/>
                                </a:lnTo>
                                <a:lnTo>
                                  <a:pt x="458" y="287"/>
                                </a:lnTo>
                                <a:lnTo>
                                  <a:pt x="458" y="219"/>
                                </a:lnTo>
                                <a:lnTo>
                                  <a:pt x="369" y="219"/>
                                </a:lnTo>
                                <a:lnTo>
                                  <a:pt x="369" y="167"/>
                                </a:lnTo>
                                <a:lnTo>
                                  <a:pt x="463" y="167"/>
                                </a:lnTo>
                                <a:close/>
                                <a:moveTo>
                                  <a:pt x="66" y="36"/>
                                </a:moveTo>
                                <a:lnTo>
                                  <a:pt x="148" y="82"/>
                                </a:lnTo>
                                <a:lnTo>
                                  <a:pt x="231" y="36"/>
                                </a:lnTo>
                                <a:lnTo>
                                  <a:pt x="210" y="2"/>
                                </a:lnTo>
                                <a:lnTo>
                                  <a:pt x="148" y="34"/>
                                </a:lnTo>
                                <a:lnTo>
                                  <a:pt x="87" y="2"/>
                                </a:lnTo>
                                <a:lnTo>
                                  <a:pt x="66" y="36"/>
                                </a:lnTo>
                                <a:close/>
                                <a:moveTo>
                                  <a:pt x="235" y="108"/>
                                </a:moveTo>
                                <a:lnTo>
                                  <a:pt x="215" y="102"/>
                                </a:lnTo>
                                <a:lnTo>
                                  <a:pt x="197" y="97"/>
                                </a:lnTo>
                                <a:lnTo>
                                  <a:pt x="180" y="95"/>
                                </a:lnTo>
                                <a:lnTo>
                                  <a:pt x="163" y="93"/>
                                </a:lnTo>
                                <a:lnTo>
                                  <a:pt x="146" y="95"/>
                                </a:lnTo>
                                <a:lnTo>
                                  <a:pt x="129" y="96"/>
                                </a:lnTo>
                                <a:lnTo>
                                  <a:pt x="114" y="101"/>
                                </a:lnTo>
                                <a:lnTo>
                                  <a:pt x="99" y="106"/>
                                </a:lnTo>
                                <a:lnTo>
                                  <a:pt x="84" y="112"/>
                                </a:lnTo>
                                <a:lnTo>
                                  <a:pt x="71" y="121"/>
                                </a:lnTo>
                                <a:lnTo>
                                  <a:pt x="58" y="130"/>
                                </a:lnTo>
                                <a:lnTo>
                                  <a:pt x="47" y="141"/>
                                </a:lnTo>
                                <a:lnTo>
                                  <a:pt x="37" y="152"/>
                                </a:lnTo>
                                <a:lnTo>
                                  <a:pt x="27" y="164"/>
                                </a:lnTo>
                                <a:lnTo>
                                  <a:pt x="20" y="178"/>
                                </a:lnTo>
                                <a:lnTo>
                                  <a:pt x="12" y="192"/>
                                </a:lnTo>
                                <a:lnTo>
                                  <a:pt x="7" y="207"/>
                                </a:lnTo>
                                <a:lnTo>
                                  <a:pt x="3" y="223"/>
                                </a:lnTo>
                                <a:lnTo>
                                  <a:pt x="1" y="239"/>
                                </a:lnTo>
                                <a:lnTo>
                                  <a:pt x="0" y="257"/>
                                </a:lnTo>
                                <a:lnTo>
                                  <a:pt x="0" y="272"/>
                                </a:lnTo>
                                <a:lnTo>
                                  <a:pt x="2" y="287"/>
                                </a:lnTo>
                                <a:lnTo>
                                  <a:pt x="6" y="300"/>
                                </a:lnTo>
                                <a:lnTo>
                                  <a:pt x="10" y="314"/>
                                </a:lnTo>
                                <a:lnTo>
                                  <a:pt x="16" y="328"/>
                                </a:lnTo>
                                <a:lnTo>
                                  <a:pt x="22" y="340"/>
                                </a:lnTo>
                                <a:lnTo>
                                  <a:pt x="31" y="351"/>
                                </a:lnTo>
                                <a:lnTo>
                                  <a:pt x="41" y="363"/>
                                </a:lnTo>
                                <a:lnTo>
                                  <a:pt x="53" y="374"/>
                                </a:lnTo>
                                <a:lnTo>
                                  <a:pt x="66" y="385"/>
                                </a:lnTo>
                                <a:lnTo>
                                  <a:pt x="81" y="394"/>
                                </a:lnTo>
                                <a:lnTo>
                                  <a:pt x="97" y="401"/>
                                </a:lnTo>
                                <a:lnTo>
                                  <a:pt x="113" y="407"/>
                                </a:lnTo>
                                <a:lnTo>
                                  <a:pt x="129" y="412"/>
                                </a:lnTo>
                                <a:lnTo>
                                  <a:pt x="147" y="415"/>
                                </a:lnTo>
                                <a:lnTo>
                                  <a:pt x="163" y="416"/>
                                </a:lnTo>
                                <a:lnTo>
                                  <a:pt x="179" y="415"/>
                                </a:lnTo>
                                <a:lnTo>
                                  <a:pt x="193" y="414"/>
                                </a:lnTo>
                                <a:lnTo>
                                  <a:pt x="212" y="409"/>
                                </a:lnTo>
                                <a:lnTo>
                                  <a:pt x="235" y="401"/>
                                </a:lnTo>
                                <a:lnTo>
                                  <a:pt x="235" y="306"/>
                                </a:lnTo>
                                <a:lnTo>
                                  <a:pt x="228" y="314"/>
                                </a:lnTo>
                                <a:lnTo>
                                  <a:pt x="219" y="320"/>
                                </a:lnTo>
                                <a:lnTo>
                                  <a:pt x="212" y="326"/>
                                </a:lnTo>
                                <a:lnTo>
                                  <a:pt x="203" y="330"/>
                                </a:lnTo>
                                <a:lnTo>
                                  <a:pt x="194" y="334"/>
                                </a:lnTo>
                                <a:lnTo>
                                  <a:pt x="185" y="336"/>
                                </a:lnTo>
                                <a:lnTo>
                                  <a:pt x="175" y="338"/>
                                </a:lnTo>
                                <a:lnTo>
                                  <a:pt x="165" y="339"/>
                                </a:lnTo>
                                <a:lnTo>
                                  <a:pt x="158" y="338"/>
                                </a:lnTo>
                                <a:lnTo>
                                  <a:pt x="151" y="336"/>
                                </a:lnTo>
                                <a:lnTo>
                                  <a:pt x="143" y="335"/>
                                </a:lnTo>
                                <a:lnTo>
                                  <a:pt x="137" y="333"/>
                                </a:lnTo>
                                <a:lnTo>
                                  <a:pt x="129" y="330"/>
                                </a:lnTo>
                                <a:lnTo>
                                  <a:pt x="123" y="326"/>
                                </a:lnTo>
                                <a:lnTo>
                                  <a:pt x="117" y="323"/>
                                </a:lnTo>
                                <a:lnTo>
                                  <a:pt x="111" y="318"/>
                                </a:lnTo>
                                <a:lnTo>
                                  <a:pt x="104" y="311"/>
                                </a:lnTo>
                                <a:lnTo>
                                  <a:pt x="98" y="305"/>
                                </a:lnTo>
                                <a:lnTo>
                                  <a:pt x="93" y="299"/>
                                </a:lnTo>
                                <a:lnTo>
                                  <a:pt x="89" y="292"/>
                                </a:lnTo>
                                <a:lnTo>
                                  <a:pt x="87" y="283"/>
                                </a:lnTo>
                                <a:lnTo>
                                  <a:pt x="84" y="274"/>
                                </a:lnTo>
                                <a:lnTo>
                                  <a:pt x="83" y="265"/>
                                </a:lnTo>
                                <a:lnTo>
                                  <a:pt x="83" y="255"/>
                                </a:lnTo>
                                <a:lnTo>
                                  <a:pt x="83" y="247"/>
                                </a:lnTo>
                                <a:lnTo>
                                  <a:pt x="84" y="238"/>
                                </a:lnTo>
                                <a:lnTo>
                                  <a:pt x="87" y="229"/>
                                </a:lnTo>
                                <a:lnTo>
                                  <a:pt x="89" y="222"/>
                                </a:lnTo>
                                <a:lnTo>
                                  <a:pt x="93" y="214"/>
                                </a:lnTo>
                                <a:lnTo>
                                  <a:pt x="97" y="207"/>
                                </a:lnTo>
                                <a:lnTo>
                                  <a:pt x="102" y="201"/>
                                </a:lnTo>
                                <a:lnTo>
                                  <a:pt x="107" y="194"/>
                                </a:lnTo>
                                <a:lnTo>
                                  <a:pt x="112" y="189"/>
                                </a:lnTo>
                                <a:lnTo>
                                  <a:pt x="118" y="184"/>
                                </a:lnTo>
                                <a:lnTo>
                                  <a:pt x="126" y="181"/>
                                </a:lnTo>
                                <a:lnTo>
                                  <a:pt x="133" y="177"/>
                                </a:lnTo>
                                <a:lnTo>
                                  <a:pt x="141" y="174"/>
                                </a:lnTo>
                                <a:lnTo>
                                  <a:pt x="148" y="172"/>
                                </a:lnTo>
                                <a:lnTo>
                                  <a:pt x="157" y="171"/>
                                </a:lnTo>
                                <a:lnTo>
                                  <a:pt x="165" y="171"/>
                                </a:lnTo>
                                <a:lnTo>
                                  <a:pt x="175" y="171"/>
                                </a:lnTo>
                                <a:lnTo>
                                  <a:pt x="185" y="173"/>
                                </a:lnTo>
                                <a:lnTo>
                                  <a:pt x="195" y="176"/>
                                </a:lnTo>
                                <a:lnTo>
                                  <a:pt x="204" y="179"/>
                                </a:lnTo>
                                <a:lnTo>
                                  <a:pt x="213" y="184"/>
                                </a:lnTo>
                                <a:lnTo>
                                  <a:pt x="220" y="189"/>
                                </a:lnTo>
                                <a:lnTo>
                                  <a:pt x="228" y="197"/>
                                </a:lnTo>
                                <a:lnTo>
                                  <a:pt x="235" y="204"/>
                                </a:lnTo>
                                <a:lnTo>
                                  <a:pt x="235" y="1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D1B2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615B53" id="Group 24" o:spid="_x0000_s1026" style="position:absolute;margin-left:45pt;margin-top:36.75pt;width:177.15pt;height:43.65pt;z-index:251657728;mso-position-horizontal-relative:page;mso-position-vertical-relative:page" coordorigin="567,851" coordsize="2714,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">
                <o:lock v:ext="edit" aspectratio="t"/>
                <v:rect id="Rectangle 9" o:spid="_x0000_s1027" style="position:absolute;left:1215;top:901;width:676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" fillcolor="#0071bc" stroked="f">
                  <o:lock v:ext="edit" aspectratio="t"/>
                </v:rect>
                <v:rect id="Rectangle 10" o:spid="_x0000_s1028" style="position:absolute;left:567;top:1131;width:1324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" fillcolor="#0071bc" stroked="f">
                  <o:lock v:ext="edit" aspectratio="t"/>
                </v:rect>
                <v:rect id="Rectangle 11" o:spid="_x0000_s1029" style="position:absolute;left:1288;top:1361;width:603;height:1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" fillcolor="#0071bc" stroked="f">
                  <o:lock v:ext="edit" aspectratio="t"/>
                </v:rect>
                <v:shape id="Freeform 12" o:spid="_x0000_s1030" style="position:absolute;left:1969;top:1311;width:600;height:207;visibility:visible;mso-wrap-style:square;v-text-anchor:top" coordsize="1200,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" path="m1011,341r,-174l1030,167r10,2l1049,170r10,1l1067,174r7,3l1082,182r6,5l1094,194r5,6l1104,206r4,7l1112,221r2,7l1116,237r1,8l1117,253r,9l1116,271r-2,7l1112,287r-4,7l1104,301r-5,7l1094,314r-6,7l1082,326r-8,5l1067,334r-8,3l1049,338r-9,1l1030,341r-19,xm931,408r118,l1064,407r15,-3l1093,400r14,-5l1121,389r12,-9l1144,372r11,-10l1165,351r9,-12l1182,326r6,-13l1194,298r4,-14l1200,270r,-17l1200,238r-2,-15l1194,208r-6,-13l1182,181r-8,-12l1165,157r-10,-11l1144,136r-11,-10l1121,119r-14,-6l1093,108r-14,-5l1064,101r-15,-1l931,100r,308xm775,293r-67,l742,195r33,98xm797,354r20,54l901,408,785,100r-87,l581,408r84,l686,354r111,xm347,37r83,46l513,37,491,3,430,34,369,3,347,37xm407,238r,-77l422,161r10,1l442,164r7,2l455,170r6,6l466,182r3,9l470,200r-1,8l466,216r-5,7l455,230r-6,3l442,236r-10,1l422,238r-15,xm485,282r13,-4l508,275r8,-5l525,263r6,-6l536,250r5,-8l545,233r4,-8l551,215r1,-10l552,195r,-9l551,176r-2,-9l546,159r-4,-9l537,141r-5,-7l526,128r-7,-8l511,115r-7,-5l495,106r-10,-2l475,101r-12,-1l450,100r-123,l327,408r80,l407,289r76,119l582,408,485,282xm210,35l171,,105,56r28,29l210,35xm80,100l,100,,278r,15l2,308r1,13l5,333r4,10l13,353r4,9l23,369r9,10l43,389r11,8l68,403r15,6l99,413r16,2l133,415r16,l165,413r14,-4l192,404r14,-5l217,392r11,-9l238,372r8,-9l253,353r5,-10l262,333r3,-12l267,308r1,-15l268,278r,-178l189,100r,167l189,287r-2,14l185,311r-4,10l177,326r-5,5l167,334r-6,4l155,341r-6,2l141,344r-7,2l126,344r-6,-1l114,342r-6,-3l103,336r-5,-4l93,327r-4,-5l84,312,81,302,80,288r,-21l80,100xe" fillcolor="#bd1b21" stroked="f">
                  <v:path arrowok="t" o:connecttype="custom" o:connectlocs="260,42;269,44;275,50;279,57;280,65;277,73;272,80;265,84;253,85;270,101;284,95;294,84;300,71;300,55;294,42;284,31;270,25;233,102;194,73;197,25;172,88;129,9;87,9;108,40;116,44;118,52;113,58;102,59;129,67;136,60;138,51;138,41;133,33;126,27;116,25;102,102;122,70;34,21;0,69;2,83;6,92;17,100;34,103;48,101;60,93;66,83;67,69;48,71;45,81;39,85;32,86;26,84;21,78;20,25" o:connectangles="0,0,0,0,0,0,0,0,0,0,0,0,0,0,0,0,0,0,0,0,0,0,0,0,0,0,0,0,0,0,0,0,0,0,0,0,0,0,0,0,0,0,0,0,0,0,0,0,0,0,0,0,0,0"/>
                  <o:lock v:ext="edit" aspectratio="t" verticies="t"/>
                </v:shape>
                <v:shape id="Freeform 13" o:spid="_x0000_s1031" style="position:absolute;left:1962;top:1081;width:1319;height:208;visibility:visible;mso-wrap-style:square;v-text-anchor:top" coordsize="2637,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" path="m2561,35l2524,r-66,56l2485,84r76,-49xm2442,260r,147l2521,407r,-147l2637,99r-97,l2484,183,2427,99r-96,l2442,260xm2143,226r,-127l2063,99r,308l2143,407r,-133l2247,407r104,l2217,245,2340,99r-100,l2143,226xm2008,108r-21,-6l1969,97r-17,-4l1936,93r-18,l1902,96r-16,5l1871,106r-14,6l1844,121r-13,8l1820,140r-11,12l1800,164r-9,14l1785,192r-5,15l1775,223r-2,16l1773,256r,15l1775,286r3,14l1783,314r6,13l1795,340r9,11l1813,362r12,11l1839,385r15,8l1869,401r16,6l1902,412r16,3l1936,416r15,-1l1966,413r17,-5l2008,401r,-95l1999,314r-7,6l1983,326r-7,4l1967,334r-10,2l1948,337r-10,l1931,337r-8,-1l1916,335r-8,-3l1902,330r-6,-4l1889,322r-5,-5l1876,311r-5,-6l1866,299r-4,-8l1860,283r-3,-9l1856,265r,-10l1856,246r1,-8l1860,229r2,-8l1865,214r5,-7l1874,200r5,-6l1885,189r6,-5l1898,180r7,-3l1913,174r8,-2l1930,170r8,l1948,170r10,3l1967,175r10,4l1984,184r9,5l2001,197r7,7l2008,108xm1727,99r-80,l1647,407r80,l1727,99xm1538,167r66,l1604,99r-210,l1394,167r65,l1459,407r79,l1538,167xm1360,117r-11,-6l1337,106r-13,-4l1313,98r-13,-2l1288,93r-12,-1l1263,92r-11,l1241,94r-10,2l1221,99r-10,4l1203,108r-8,6l1187,121r-6,7l1175,136r-5,8l1166,153r-4,10l1161,174r-3,10l1158,195r,10l1160,215r2,9l1165,231r3,8l1172,245r5,6l1183,256r9,7l1203,269r16,6l1242,281r12,5l1264,290r9,4l1279,297r5,4l1287,306r2,5l1289,317r,7l1287,330r-4,5l1279,339r-6,3l1267,345r-8,1l1251,347r-9,l1233,345r-9,-1l1216,340r-9,-5l1198,330r-8,-6l1180,316r-34,65l1158,388r13,8l1185,401r13,5l1212,410r14,3l1239,415r14,l1266,415r12,-2l1290,411r12,-4l1313,403r10,-5l1333,392r9,-6l1349,378r6,-7l1360,362r5,-10l1369,342r2,-11l1373,319r,-13l1371,290r-2,-15l1366,269r-3,-6l1359,258r-4,-7l1350,246r-5,-5l1339,238r-7,-4l1315,226r-17,-6l1276,213r-13,-4l1256,205r-7,-5l1247,198r-3,-4l1242,189r,-4l1243,179r1,-5l1248,170r4,-3l1257,163r6,-3l1269,159r8,-1l1283,159r6,l1297,162r6,1l1315,170r14,9l1360,117xm1091,99r-80,l1011,407r80,l1091,99xm904,167r66,l970,99r-212,l758,167r67,l825,407r79,l904,167xm644,292r-66,l611,194r33,98xm666,354r20,53l771,407,655,99r-87,l450,407r84,l555,354r111,xm395,167r66,l461,99r-212,l249,167r66,l315,407r80,l395,167xm214,117r-11,-6l190,106r-12,-4l167,98,154,96,142,93,129,92r-12,l106,92,94,94,84,96r-9,3l65,103r-9,5l48,114r-7,7l35,128r-7,8l23,144r-3,9l16,163r-1,11l12,184r,11l12,205r1,10l16,224r2,7l22,239r4,6l31,251r6,5l46,263r11,6l73,275r23,6l108,286r10,4l127,294r6,3l138,301r3,5l143,311r,6l143,324r-2,6l137,335r-4,4l127,342r-6,3l113,346r-9,1l96,347r-9,-2l78,344r-8,-4l61,335r-9,-5l43,324,33,316,,381r12,7l25,396r13,5l52,406r14,4l79,413r14,2l107,415r12,l132,413r12,-2l155,407r12,-4l177,398r10,-6l195,386r8,-8l209,371r5,-9l219,352r4,-10l225,331r2,-12l227,306r-2,-16l223,275r-3,-6l217,263r-4,-5l209,251r-5,-5l199,241r-6,-3l185,234r-16,-8l151,220r-22,-7l117,209r-8,-4l103,200r-4,-2l98,194r-2,-5l96,185r1,-6l98,174r4,-4l106,167r5,-4l117,160r6,-1l129,158r8,1l143,159r8,3l157,163r12,7l183,179r31,-62xe" fillcolor="#bd1b21" stroked="f">
                  <v:path arrowok="t" o:connecttype="custom" o:connectlocs="611,102;583,25;536,69;502,27;472,26;450,41;444,68;454,91;480,104;500,79;485,85;473,81;465,69;467,54;477,45;492,44;432,25;401,25;340,30;319,23;301,27;291,41;292,58;305,69;322,77;319,86;304,85;293,99;317,104;336,97;344,80;339,63;319,54;311,47;318,40;333,45;226,42;226,102;172,102;167,89;79,102;42,25;21,24;7,34;3,52;10,64;32,74;36,83;24,87;9,79;20,104;42,101;55,88;55,68;47,59;25,50;27,42;38,41" o:connectangles="0,0,0,0,0,0,0,0,0,0,0,0,0,0,0,0,0,0,0,0,0,0,0,0,0,0,0,0,0,0,0,0,0,0,0,0,0,0,0,0,0,0,0,0,0,0,0,0,0,0,0,0,0,0,0,0,0,0"/>
                  <o:lock v:ext="edit" aspectratio="t" verticies="t"/>
                </v:shape>
                <v:shape id="Freeform 14" o:spid="_x0000_s1032" style="position:absolute;left:1962;top:851;width:679;height:208;visibility:visible;mso-wrap-style:square;v-text-anchor:top" coordsize="1358,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" path="m1282,36l1243,r-65,56l1205,85r77,-49xm1162,260r,147l1242,407r,-147l1358,100r-97,l1205,183r-59,-83l1051,100r111,160xm863,227r,-127l783,100r,307l863,407r,-133l967,407r104,l938,245,1059,100r-99,l863,227xm721,117r-12,-5l697,107r-12,-5l673,98,660,96,648,93,635,92r-11,l611,92r-9,3l590,97r-10,3l572,103r-9,5l555,115r-7,6l542,128r-7,8l531,145r-4,8l523,163r-2,11l519,184r,12l519,206r2,10l522,224r2,8l528,239r5,6l538,252r5,5l552,263r12,6l580,275r22,7l614,287r11,3l634,294r6,4l644,301r4,5l649,311r1,7l649,324r-1,6l644,335r-5,4l634,343r-8,2l619,348r-8,l603,348r-9,-3l585,344r-8,-4l568,335r-9,-5l549,324r-9,-8l507,381r12,8l532,396r12,5l558,406r14,4l585,414r14,1l613,415r13,l639,414r12,-3l663,407r11,-3l684,399r10,-7l702,386r7,-7l716,371r5,-8l725,353r4,-10l731,331r1,-12l734,306r-2,-16l729,275r-3,-6l724,263r-4,-5l716,252r-5,-5l705,243r-6,-5l692,234r-16,-7l658,221r-22,-7l624,209r-9,-3l610,201r-3,-3l604,194r-1,-5l603,186r,-5l605,174r3,-3l611,167r7,-4l623,161r6,-2l636,158r7,1l650,159r6,3l663,163r13,8l689,179r32,-62xm463,167r,-67l289,100r,307l463,407r,-67l369,340r,-53l458,287r,-68l369,219r,-52l463,167xm66,36r82,46l231,36,210,2,148,34,87,2,66,36xm235,108r-20,-6l197,97,180,95,163,93r-17,2l129,96r-15,5l99,106r-15,6l71,121r-13,9l47,141,37,152,27,164r-7,14l12,192,7,207,3,223,1,239,,257r,15l2,287r4,13l10,314r6,14l22,340r9,11l41,363r12,11l66,385r15,9l97,401r16,6l129,412r18,3l163,416r16,-1l193,414r19,-5l235,401r,-95l228,314r-9,6l212,326r-9,4l194,334r-9,2l175,338r-10,1l158,338r-7,-2l143,335r-6,-2l129,330r-6,-4l117,323r-6,-5l104,311r-6,-6l93,299r-4,-7l87,283r-3,-9l83,265r,-10l83,247r1,-9l87,229r2,-7l93,214r4,-7l102,201r5,-7l112,189r6,-5l126,181r7,-4l141,174r7,-2l157,171r8,l175,171r10,2l195,176r9,3l213,184r7,5l228,197r7,7l235,108xe" fillcolor="#bd1b21" stroked="f">
                  <v:path arrowok="t" o:connecttype="custom" o:connectlocs="321,9;340,25;291,65;216,102;265,25;175,27;159,23;145,25;136,32;131,44;131,56;136,65;154,72;162,77;161,84;153,87;142,84;130,98;147,104;163,103;176,97;183,86;183,69;178,62;165,56;152,50;152,44;158,40;166,41;116,25;93,85;93,42;53,1;54,26;33,24;15,33;3,48;0,68;6,85;21,99;41,104;59,77;49,84;38,84;30,81;23,73;21,62;25,52;32,46;42,43;54,46" o:connectangles="0,0,0,0,0,0,0,0,0,0,0,0,0,0,0,0,0,0,0,0,0,0,0,0,0,0,0,0,0,0,0,0,0,0,0,0,0,0,0,0,0,0,0,0,0,0,0,0,0,0,0"/>
                  <o:lock v:ext="edit" aspectratio="t" verticies="t"/>
                </v:shape>
                <w10:wrap type="square" anchorx="page" anchory="page"/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1" layoutInCell="1" allowOverlap="1" wp14:anchorId="31305AA1" wp14:editId="2711B1F3">
                <wp:simplePos x="0" y="0"/>
                <wp:positionH relativeFrom="page">
                  <wp:posOffset>1705610</wp:posOffset>
                </wp:positionH>
                <wp:positionV relativeFrom="page">
                  <wp:posOffset>8173085</wp:posOffset>
                </wp:positionV>
                <wp:extent cx="5130165" cy="925195"/>
                <wp:effectExtent l="3810" t="0" r="0" b="0"/>
                <wp:wrapNone/>
                <wp:docPr id="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0165" cy="925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BBFCEE" w14:textId="77777777" w:rsidR="00447920" w:rsidRPr="006C5577" w:rsidRDefault="00447920" w:rsidP="004924DC">
                            <w:r>
                              <w:t>Z</w:t>
                            </w:r>
                            <w:r w:rsidRPr="006C5577">
                              <w:t xml:space="preserve">pracoval: Odbor </w:t>
                            </w:r>
                            <w:r>
                              <w:t>statistiky rozvoje společnosti</w:t>
                            </w:r>
                          </w:p>
                          <w:p w14:paraId="39E2F4BA" w14:textId="77777777" w:rsidR="00447920" w:rsidRPr="006C5577" w:rsidRDefault="00447920" w:rsidP="004924DC">
                            <w:r>
                              <w:t>Ředitel odboru: Martin Mana</w:t>
                            </w:r>
                          </w:p>
                          <w:p w14:paraId="52D35B3C" w14:textId="77777777" w:rsidR="00447920" w:rsidRPr="006C5577" w:rsidRDefault="00447920" w:rsidP="004924DC">
                            <w:r>
                              <w:t>Kontaktní osoba: Vendula Kašparová</w:t>
                            </w:r>
                            <w:r w:rsidRPr="006C5577">
                              <w:t>,</w:t>
                            </w:r>
                            <w:r>
                              <w:t xml:space="preserve"> e-mail: vendula.kasparova@czso.cz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305AA1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134.3pt;margin-top:643.55pt;width:403.95pt;height:72.85pt;z-index: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" filled="f" stroked="f">
                <v:textbox inset="0,0,0,0">
                  <w:txbxContent>
                    <w:p w14:paraId="0FBBFCEE" w14:textId="77777777" w:rsidR="00447920" w:rsidRPr="006C5577" w:rsidRDefault="00447920" w:rsidP="004924DC">
                      <w:r>
                        <w:t>Z</w:t>
                      </w:r>
                      <w:r w:rsidRPr="006C5577">
                        <w:t xml:space="preserve">pracoval: Odbor </w:t>
                      </w:r>
                      <w:r>
                        <w:t>statistiky rozvoje společnosti</w:t>
                      </w:r>
                    </w:p>
                    <w:p w14:paraId="39E2F4BA" w14:textId="77777777" w:rsidR="00447920" w:rsidRPr="006C5577" w:rsidRDefault="00447920" w:rsidP="004924DC">
                      <w:r>
                        <w:t>Ředitel odboru: Martin Mana</w:t>
                      </w:r>
                    </w:p>
                    <w:p w14:paraId="52D35B3C" w14:textId="77777777" w:rsidR="00447920" w:rsidRPr="006C5577" w:rsidRDefault="00447920" w:rsidP="004924DC">
                      <w:r>
                        <w:t>Kontaktní osoba: Vendula Kašparová</w:t>
                      </w:r>
                      <w:r w:rsidRPr="006C5577">
                        <w:t>,</w:t>
                      </w:r>
                      <w:r>
                        <w:t xml:space="preserve"> e-mail: vendula.kasparova@czso.cz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1" layoutInCell="1" allowOverlap="1" wp14:anchorId="6CE47A7C" wp14:editId="143BE4A1">
                <wp:simplePos x="0" y="0"/>
                <wp:positionH relativeFrom="page">
                  <wp:posOffset>1710055</wp:posOffset>
                </wp:positionH>
                <wp:positionV relativeFrom="page">
                  <wp:posOffset>4680585</wp:posOffset>
                </wp:positionV>
                <wp:extent cx="5129530" cy="1686560"/>
                <wp:effectExtent l="0" t="0" r="1270" b="15240"/>
                <wp:wrapNone/>
                <wp:docPr id="3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9530" cy="1686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1C6A7D" w14:textId="77777777" w:rsidR="00447920" w:rsidRPr="004924DC" w:rsidRDefault="00447920" w:rsidP="004924DC">
                            <w:pPr>
                              <w:pStyle w:val="TLIdentifikace-sted"/>
                            </w:pPr>
                            <w:r>
                              <w:t>Lidé a společnost</w:t>
                            </w:r>
                          </w:p>
                          <w:p w14:paraId="509D9720" w14:textId="37E6E317" w:rsidR="00447920" w:rsidRPr="004924DC" w:rsidRDefault="00447920" w:rsidP="004924DC">
                            <w:pPr>
                              <w:pStyle w:val="TLIdentifikace-sted"/>
                            </w:pPr>
                            <w:r w:rsidRPr="005E50D4">
                              <w:t xml:space="preserve">Praha, </w:t>
                            </w:r>
                            <w:r w:rsidRPr="00681431">
                              <w:t>květen 2022</w:t>
                            </w:r>
                          </w:p>
                          <w:p w14:paraId="42E06AB8" w14:textId="7FB1E113" w:rsidR="00447920" w:rsidRPr="004924DC" w:rsidRDefault="00447920" w:rsidP="004924DC">
                            <w:pPr>
                              <w:pStyle w:val="TLIdentifikace-sted"/>
                            </w:pPr>
                            <w:r>
                              <w:t>Kód publikace: 230061-22</w:t>
                            </w:r>
                          </w:p>
                          <w:p w14:paraId="366AF6ED" w14:textId="1054DC85" w:rsidR="00447920" w:rsidRPr="004924DC" w:rsidRDefault="00447920" w:rsidP="004924DC">
                            <w:pPr>
                              <w:pStyle w:val="TLIdentifikace-sted"/>
                            </w:pPr>
                            <w:r w:rsidRPr="00F52F49">
                              <w:t xml:space="preserve">Č. j.: </w:t>
                            </w:r>
                            <w:r w:rsidRPr="00D33816">
                              <w:t>CSU-007377/2022-63</w:t>
                            </w:r>
                          </w:p>
                          <w:p w14:paraId="408FB305" w14:textId="77777777" w:rsidR="00447920" w:rsidRPr="004924DC" w:rsidRDefault="00447920" w:rsidP="004924DC">
                            <w:pPr>
                              <w:pStyle w:val="TLIdentifikace-sted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47A7C" id="_x0000_s1027" type="#_x0000_t202" style="position:absolute;margin-left:134.65pt;margin-top:368.55pt;width:403.9pt;height:132.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" filled="f" stroked="f">
                <v:textbox style="mso-fit-shape-to-text:t" inset="0,0,0,0">
                  <w:txbxContent>
                    <w:p w14:paraId="2A1C6A7D" w14:textId="77777777" w:rsidR="00447920" w:rsidRPr="004924DC" w:rsidRDefault="00447920" w:rsidP="004924DC">
                      <w:pPr>
                        <w:pStyle w:val="TLIdentifikace-sted"/>
                      </w:pPr>
                      <w:r>
                        <w:t>Lidé a společnost</w:t>
                      </w:r>
                    </w:p>
                    <w:p w14:paraId="509D9720" w14:textId="37E6E317" w:rsidR="00447920" w:rsidRPr="004924DC" w:rsidRDefault="00447920" w:rsidP="004924DC">
                      <w:pPr>
                        <w:pStyle w:val="TLIdentifikace-sted"/>
                      </w:pPr>
                      <w:r w:rsidRPr="005E50D4">
                        <w:t xml:space="preserve">Praha, </w:t>
                      </w:r>
                      <w:r w:rsidRPr="00681431">
                        <w:t>květen 2022</w:t>
                      </w:r>
                    </w:p>
                    <w:p w14:paraId="42E06AB8" w14:textId="7FB1E113" w:rsidR="00447920" w:rsidRPr="004924DC" w:rsidRDefault="00447920" w:rsidP="004924DC">
                      <w:pPr>
                        <w:pStyle w:val="TLIdentifikace-sted"/>
                      </w:pPr>
                      <w:r>
                        <w:t>Kód publikace: 230061-22</w:t>
                      </w:r>
                    </w:p>
                    <w:p w14:paraId="366AF6ED" w14:textId="1054DC85" w:rsidR="00447920" w:rsidRPr="004924DC" w:rsidRDefault="00447920" w:rsidP="004924DC">
                      <w:pPr>
                        <w:pStyle w:val="TLIdentifikace-sted"/>
                      </w:pPr>
                      <w:r w:rsidRPr="00F52F49">
                        <w:t xml:space="preserve">Č. j.: </w:t>
                      </w:r>
                      <w:r w:rsidRPr="00D33816">
                        <w:t>CSU-007377/2022-63</w:t>
                      </w:r>
                    </w:p>
                    <w:p w14:paraId="408FB305" w14:textId="77777777" w:rsidR="00447920" w:rsidRPr="004924DC" w:rsidRDefault="00447920" w:rsidP="004924DC">
                      <w:pPr>
                        <w:pStyle w:val="TLIdentifikace-sted"/>
                      </w:pP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1" layoutInCell="1" allowOverlap="1" wp14:anchorId="58BEB872" wp14:editId="27B6E3F4">
                <wp:simplePos x="0" y="0"/>
                <wp:positionH relativeFrom="page">
                  <wp:posOffset>1710055</wp:posOffset>
                </wp:positionH>
                <wp:positionV relativeFrom="page">
                  <wp:posOffset>1476375</wp:posOffset>
                </wp:positionV>
                <wp:extent cx="5129530" cy="2207895"/>
                <wp:effectExtent l="0" t="0" r="1270" b="1905"/>
                <wp:wrapNone/>
                <wp:docPr id="2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9530" cy="2207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C41352" w14:textId="20B96206" w:rsidR="00447920" w:rsidRPr="002659EE" w:rsidRDefault="00447920" w:rsidP="00385632">
                            <w:pPr>
                              <w:pStyle w:val="Nzev"/>
                              <w:rPr>
                                <w:sz w:val="52"/>
                                <w:szCs w:val="52"/>
                              </w:rPr>
                            </w:pPr>
                            <w:r w:rsidRPr="002659EE">
                              <w:rPr>
                                <w:sz w:val="52"/>
                                <w:szCs w:val="52"/>
                              </w:rPr>
                              <w:t xml:space="preserve">Studenti a absolventi </w:t>
                            </w:r>
                            <w:r>
                              <w:rPr>
                                <w:sz w:val="52"/>
                                <w:szCs w:val="52"/>
                              </w:rPr>
                              <w:t>vysokých škol v České republice (2001–2021)</w:t>
                            </w:r>
                          </w:p>
                          <w:p w14:paraId="02261F2A" w14:textId="77777777" w:rsidR="00447920" w:rsidRPr="0012192F" w:rsidRDefault="00447920" w:rsidP="0012192F">
                            <w:pPr>
                              <w:pStyle w:val="Podnadpis"/>
                            </w:pPr>
                          </w:p>
                          <w:p w14:paraId="0B8630BA" w14:textId="77777777" w:rsidR="00447920" w:rsidRPr="0012192F" w:rsidRDefault="00447920" w:rsidP="0012192F">
                            <w:pPr>
                              <w:pStyle w:val="Podnadpis"/>
                            </w:pPr>
                          </w:p>
                          <w:p w14:paraId="36081854" w14:textId="77777777" w:rsidR="00447920" w:rsidRPr="0012192F" w:rsidRDefault="00447920" w:rsidP="0012192F">
                            <w:pPr>
                              <w:pStyle w:val="Podnadpis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BEB872" id="_x0000_s1028" type="#_x0000_t202" style="position:absolute;margin-left:134.65pt;margin-top:116.25pt;width:403.9pt;height:173.85pt;z-index:25165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" filled="f" stroked="f">
                <v:textbox style="mso-fit-shape-to-text:t" inset="0,0,0,0">
                  <w:txbxContent>
                    <w:p w14:paraId="49C41352" w14:textId="20B96206" w:rsidR="00447920" w:rsidRPr="002659EE" w:rsidRDefault="00447920" w:rsidP="00385632">
                      <w:pPr>
                        <w:pStyle w:val="Nzev"/>
                        <w:rPr>
                          <w:sz w:val="52"/>
                          <w:szCs w:val="52"/>
                        </w:rPr>
                      </w:pPr>
                      <w:r w:rsidRPr="002659EE">
                        <w:rPr>
                          <w:sz w:val="52"/>
                          <w:szCs w:val="52"/>
                        </w:rPr>
                        <w:t xml:space="preserve">Studenti a absolventi </w:t>
                      </w:r>
                      <w:r>
                        <w:rPr>
                          <w:sz w:val="52"/>
                          <w:szCs w:val="52"/>
                        </w:rPr>
                        <w:t>vysokých škol v České republice (2001–2021)</w:t>
                      </w:r>
                    </w:p>
                    <w:p w14:paraId="02261F2A" w14:textId="77777777" w:rsidR="00447920" w:rsidRPr="0012192F" w:rsidRDefault="00447920" w:rsidP="0012192F">
                      <w:pPr>
                        <w:pStyle w:val="Podnadpis"/>
                      </w:pPr>
                    </w:p>
                    <w:p w14:paraId="0B8630BA" w14:textId="77777777" w:rsidR="00447920" w:rsidRPr="0012192F" w:rsidRDefault="00447920" w:rsidP="0012192F">
                      <w:pPr>
                        <w:pStyle w:val="Podnadpis"/>
                      </w:pPr>
                    </w:p>
                    <w:p w14:paraId="36081854" w14:textId="77777777" w:rsidR="00447920" w:rsidRPr="0012192F" w:rsidRDefault="00447920" w:rsidP="0012192F">
                      <w:pPr>
                        <w:pStyle w:val="Podnadpis"/>
                      </w:pP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1" layoutInCell="1" allowOverlap="1" wp14:anchorId="2E53C8C1" wp14:editId="5F496808">
                <wp:simplePos x="0" y="0"/>
                <wp:positionH relativeFrom="page">
                  <wp:posOffset>1710055</wp:posOffset>
                </wp:positionH>
                <wp:positionV relativeFrom="page">
                  <wp:posOffset>9649460</wp:posOffset>
                </wp:positionV>
                <wp:extent cx="5130165" cy="179705"/>
                <wp:effectExtent l="0" t="0" r="5080" b="635"/>
                <wp:wrapNone/>
                <wp:docPr id="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0165" cy="179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E26288" w14:textId="51FF7CCF" w:rsidR="00447920" w:rsidRPr="004924DC" w:rsidRDefault="00447920" w:rsidP="004924DC">
                            <w:r w:rsidRPr="004924DC">
                              <w:t xml:space="preserve">© Český </w:t>
                            </w:r>
                            <w:r>
                              <w:t>statistický úřad, Praha, 2022</w:t>
                            </w:r>
                          </w:p>
                          <w:p w14:paraId="12EABFAB" w14:textId="77777777" w:rsidR="00447920" w:rsidRPr="005251DD" w:rsidRDefault="00447920" w:rsidP="00665BA4"/>
                          <w:p w14:paraId="52C7C8CE" w14:textId="77777777" w:rsidR="00447920" w:rsidRPr="005251DD" w:rsidRDefault="00447920" w:rsidP="00FC684B"/>
                          <w:p w14:paraId="556F5DD4" w14:textId="77777777" w:rsidR="00447920" w:rsidRDefault="00447920"/>
                          <w:p w14:paraId="2C6F636F" w14:textId="77777777" w:rsidR="00447920" w:rsidRPr="00097407" w:rsidRDefault="00447920" w:rsidP="00665BA4">
                            <w:r w:rsidRPr="00097407">
                              <w:t xml:space="preserve">© </w:t>
                            </w:r>
                            <w:r w:rsidRPr="005251DD">
                              <w:t>Český statistický úřad</w:t>
                            </w:r>
                            <w:r>
                              <w:t xml:space="preserve"> / </w:t>
                            </w:r>
                            <w:r w:rsidRPr="009A1902">
                              <w:rPr>
                                <w:i/>
                              </w:rPr>
                              <w:t xml:space="preserve">Czech </w:t>
                            </w:r>
                            <w:proofErr w:type="spellStart"/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>Statistical</w:t>
                            </w:r>
                            <w:proofErr w:type="spellEnd"/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 xml:space="preserve"> Office</w:t>
                            </w:r>
                            <w:r w:rsidRPr="00097407">
                              <w:t>, místo, rok vydání</w:t>
                            </w:r>
                          </w:p>
                          <w:p w14:paraId="484675DC" w14:textId="77777777" w:rsidR="00447920" w:rsidRPr="005251DD" w:rsidRDefault="00447920" w:rsidP="00665BA4"/>
                          <w:p w14:paraId="52245F46" w14:textId="77777777" w:rsidR="00447920" w:rsidRPr="005251DD" w:rsidRDefault="00447920" w:rsidP="00FC684B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3C8C1" id="_x0000_s1029" type="#_x0000_t202" style="position:absolute;margin-left:134.65pt;margin-top:759.8pt;width:403.95pt;height:14.15pt;z-index: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" filled="f" stroked="f">
                <v:textbox inset="0,0,0,0">
                  <w:txbxContent>
                    <w:p w14:paraId="07E26288" w14:textId="51FF7CCF" w:rsidR="00447920" w:rsidRPr="004924DC" w:rsidRDefault="00447920" w:rsidP="004924DC">
                      <w:r w:rsidRPr="004924DC">
                        <w:t xml:space="preserve">© Český </w:t>
                      </w:r>
                      <w:r>
                        <w:t>statistický úřad, Praha, 2022</w:t>
                      </w:r>
                    </w:p>
                    <w:p w14:paraId="12EABFAB" w14:textId="77777777" w:rsidR="00447920" w:rsidRPr="005251DD" w:rsidRDefault="00447920" w:rsidP="00665BA4"/>
                    <w:p w14:paraId="52C7C8CE" w14:textId="77777777" w:rsidR="00447920" w:rsidRPr="005251DD" w:rsidRDefault="00447920" w:rsidP="00FC684B"/>
                    <w:p w14:paraId="556F5DD4" w14:textId="77777777" w:rsidR="00447920" w:rsidRDefault="00447920"/>
                    <w:p w14:paraId="2C6F636F" w14:textId="77777777" w:rsidR="00447920" w:rsidRPr="00097407" w:rsidRDefault="00447920" w:rsidP="00665BA4">
                      <w:r w:rsidRPr="00097407">
                        <w:t xml:space="preserve">© </w:t>
                      </w:r>
                      <w:r w:rsidRPr="005251DD">
                        <w:t>Český statistický úřad</w:t>
                      </w:r>
                      <w:r>
                        <w:t xml:space="preserve"> / </w:t>
                      </w:r>
                      <w:r w:rsidRPr="009A1902">
                        <w:rPr>
                          <w:i/>
                        </w:rPr>
                        <w:t xml:space="preserve">Czech </w:t>
                      </w:r>
                      <w:proofErr w:type="spellStart"/>
                      <w:r w:rsidRPr="009A1902">
                        <w:rPr>
                          <w:rFonts w:cs="Arial"/>
                          <w:i/>
                          <w:szCs w:val="20"/>
                        </w:rPr>
                        <w:t>Statistical</w:t>
                      </w:r>
                      <w:proofErr w:type="spellEnd"/>
                      <w:r w:rsidRPr="009A1902">
                        <w:rPr>
                          <w:rFonts w:cs="Arial"/>
                          <w:i/>
                          <w:szCs w:val="20"/>
                        </w:rPr>
                        <w:t xml:space="preserve"> Office</w:t>
                      </w:r>
                      <w:r w:rsidRPr="00097407">
                        <w:t>, místo, rok vydání</w:t>
                      </w:r>
                    </w:p>
                    <w:p w14:paraId="484675DC" w14:textId="77777777" w:rsidR="00447920" w:rsidRPr="005251DD" w:rsidRDefault="00447920" w:rsidP="00665BA4"/>
                    <w:p w14:paraId="52245F46" w14:textId="77777777" w:rsidR="00447920" w:rsidRPr="005251DD" w:rsidRDefault="00447920" w:rsidP="00FC684B"/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294967294" distB="4294967294" distL="114300" distR="114300" simplePos="0" relativeHeight="251653632" behindDoc="0" locked="1" layoutInCell="0" allowOverlap="1" wp14:anchorId="1E28E588" wp14:editId="21FA5817">
                <wp:simplePos x="0" y="0"/>
                <wp:positionH relativeFrom="page">
                  <wp:posOffset>1710055</wp:posOffset>
                </wp:positionH>
                <wp:positionV relativeFrom="page">
                  <wp:posOffset>9361169</wp:posOffset>
                </wp:positionV>
                <wp:extent cx="5130165" cy="0"/>
                <wp:effectExtent l="0" t="0" r="26035" b="25400"/>
                <wp:wrapNone/>
                <wp:docPr id="33" name="Přímá spojnic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130165" cy="0"/>
                        </a:xfrm>
                        <a:prstGeom prst="line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ADBC41" id="Přímá spojnice 33" o:spid="_x0000_s1026" style="position:absolute;z-index:251653632;visibility:visible;mso-wrap-style:square;mso-width-percent:0;mso-height-percent:0;mso-wrap-distance-left:9pt;mso-wrap-distance-top:-6e-5mm;mso-wrap-distance-right:9pt;mso-wrap-distance-bottom:-6e-5mm;mso-position-horizontal:absolute;mso-position-horizontal-relative:page;mso-position-vertical:absolute;mso-position-vertical-relative:page;mso-width-percent:0;mso-height-percent:0;mso-width-relative:margin;mso-height-relative:margin" from="134.65pt,737.1pt" to="538.6pt,7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" o:allowincell="f" strokecolor="windowText" strokeweight="1pt">
                <o:lock v:ext="edit" shapetype="f"/>
                <w10:wrap anchorx="page" anchory="page"/>
                <w10:anchorlock/>
              </v:line>
            </w:pict>
          </mc:Fallback>
        </mc:AlternateContent>
      </w:r>
      <w:r w:rsidR="00F63FB7">
        <w:br w:type="page"/>
      </w:r>
      <w:r>
        <w:lastRenderedPageBreak/>
        <w:br w:type="page"/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1" layoutInCell="1" allowOverlap="1" wp14:anchorId="1C12415A" wp14:editId="0361C8C1">
                <wp:simplePos x="0" y="0"/>
                <wp:positionH relativeFrom="page">
                  <wp:posOffset>723900</wp:posOffset>
                </wp:positionH>
                <wp:positionV relativeFrom="page">
                  <wp:posOffset>1440180</wp:posOffset>
                </wp:positionV>
                <wp:extent cx="6119495" cy="7690485"/>
                <wp:effectExtent l="0" t="5080" r="1905" b="635"/>
                <wp:wrapNone/>
                <wp:docPr id="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7690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99C442" w14:textId="77777777" w:rsidR="00447920" w:rsidRPr="006F5416" w:rsidRDefault="00447920" w:rsidP="00C94A83">
                            <w:pPr>
                              <w:pStyle w:val="TLKontaktyerven"/>
                            </w:pPr>
                            <w:r w:rsidRPr="006F5416">
                              <w:t>KONTAKTY V ÚSTŘEDÍ</w:t>
                            </w:r>
                          </w:p>
                          <w:p w14:paraId="0A0AE9BA" w14:textId="77777777" w:rsidR="00447920" w:rsidRPr="007D40DF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Český statistický úřad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 xml:space="preserve"> | Na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padesátém 81, 100 82 Praha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 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10, 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 xml:space="preserve">tel.: 274 051 111 | </w:t>
                            </w:r>
                            <w:r w:rsidRPr="007D40DF">
                              <w:rPr>
                                <w:color w:val="auto"/>
                              </w:rPr>
                              <w:t>www.czso.cz</w:t>
                            </w:r>
                          </w:p>
                          <w:p w14:paraId="5FB53E90" w14:textId="77777777" w:rsidR="00447920" w:rsidRPr="00D235B7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Oddělení informačních služeb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274 052 304, 274 052 451 | e-mail: infoservis@czso.cz</w:t>
                            </w:r>
                          </w:p>
                          <w:p w14:paraId="472E0AC8" w14:textId="77777777" w:rsidR="00447920" w:rsidRPr="00D235B7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Prodejna publikací ČSÚ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274 052 361 | e-mail: prodejna@czso.cz</w:t>
                            </w:r>
                          </w:p>
                          <w:p w14:paraId="4C6066C8" w14:textId="77777777" w:rsidR="00447920" w:rsidRPr="00D235B7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Evropská data (ESDS), mezinárodní srovnání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274 052 347, 274 052 757 | e-mail: esds@czso.cz</w:t>
                            </w:r>
                          </w:p>
                          <w:p w14:paraId="2953F57A" w14:textId="77777777" w:rsidR="00447920" w:rsidRPr="00D235B7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b w:val="0"/>
                                <w:color w:val="auto"/>
                              </w:rPr>
                            </w:pPr>
                            <w:r w:rsidRPr="00D235B7">
                              <w:rPr>
                                <w:color w:val="auto"/>
                              </w:rPr>
                              <w:t>Ústřední statistická knihovna</w:t>
                            </w:r>
                            <w:r w:rsidRPr="00D235B7">
                              <w:rPr>
                                <w:b w:val="0"/>
                                <w:color w:val="auto"/>
                              </w:rPr>
                              <w:t xml:space="preserve"> | tel.: 274 052 361 | e-mail: knihovna@czso.cz</w:t>
                            </w:r>
                          </w:p>
                          <w:p w14:paraId="14FD159A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contextualSpacing w:val="0"/>
                              <w:rPr>
                                <w:color w:val="auto"/>
                              </w:rPr>
                            </w:pPr>
                          </w:p>
                          <w:p w14:paraId="4C3264F9" w14:textId="77777777" w:rsidR="00447920" w:rsidRPr="00D66223" w:rsidRDefault="00447920" w:rsidP="00C94A83">
                            <w:pPr>
                              <w:pStyle w:val="TLKontaktyerven"/>
                            </w:pPr>
                            <w:r w:rsidRPr="00D66223">
                              <w:t>INFORMAČNÍ SLUŽBY V REGIONECH</w:t>
                            </w:r>
                          </w:p>
                          <w:p w14:paraId="44588EDB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Hl. m. Praha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Na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padesátém 81, 100 82 Praha 10,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274 052 673,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274 054 223</w:t>
                            </w:r>
                          </w:p>
                          <w:p w14:paraId="146D3EB4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infoservispraha@czso.cz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www.praha.czso.cz</w:t>
                            </w:r>
                          </w:p>
                          <w:p w14:paraId="3E0B3C62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50184FE5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Středočeský kraj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Na padesátém 81, 100 82 Praha 10,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274 054 175</w:t>
                            </w:r>
                          </w:p>
                          <w:p w14:paraId="4FBDEB4B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infoservisstc@czso.cz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www.stredocesky.czso.cz</w:t>
                            </w:r>
                          </w:p>
                          <w:p w14:paraId="43F873B0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2D7AFFCE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České Budějovice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 | Žižkova 1, 370 77 České Budějovice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992CF3">
                              <w:rPr>
                                <w:b w:val="0"/>
                                <w:color w:val="auto"/>
                              </w:rPr>
                              <w:t>386 718 440</w:t>
                            </w:r>
                          </w:p>
                          <w:p w14:paraId="62B445A5" w14:textId="77777777" w:rsidR="00447920" w:rsidRPr="00992CF3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992CF3">
                              <w:rPr>
                                <w:b w:val="0"/>
                                <w:color w:val="auto"/>
                              </w:rPr>
                              <w:t xml:space="preserve">e-mail: infoserviscb@czso.cz | </w:t>
                            </w:r>
                            <w:r w:rsidRPr="00992CF3">
                              <w:rPr>
                                <w:color w:val="auto"/>
                              </w:rPr>
                              <w:t>www.cbudejovice.czso.cz</w:t>
                            </w:r>
                          </w:p>
                          <w:p w14:paraId="38E0B38B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1F54A4DA" w14:textId="77777777" w:rsidR="00447920" w:rsidRPr="00BC731E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Plzeň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Slovanská alej 36, 326 64 Plzeň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377 612 108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, 377 612 145</w:t>
                            </w:r>
                          </w:p>
                          <w:p w14:paraId="0D45125E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infoservisplzen@czso.cz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www.plzen.czso.cz</w:t>
                            </w:r>
                          </w:p>
                          <w:p w14:paraId="2DDE6B74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48CD09AC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Karlovy Vary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</w:t>
                            </w:r>
                            <w:r w:rsidRPr="00095135">
                              <w:rPr>
                                <w:b w:val="0"/>
                                <w:color w:val="auto"/>
                              </w:rPr>
                              <w:t>Závodní 360/94, 360 06 Karlovy Vary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353 114 529, 353 114 525</w:t>
                            </w:r>
                          </w:p>
                          <w:p w14:paraId="7CF8DEBA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infoserviskv@czso.cz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www.kvary.czso.cz</w:t>
                            </w:r>
                          </w:p>
                          <w:p w14:paraId="72857E34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06477BD1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Ústí nad Labem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Špálova 2684, 400 11 Ústí nad Labem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472 706 176,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472 706 121</w:t>
                            </w:r>
                          </w:p>
                          <w:p w14:paraId="7F65BC31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infoservisul@czso.cz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www.ustinadlabem.czso.cz</w:t>
                            </w:r>
                          </w:p>
                          <w:p w14:paraId="7CF197A3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5B534186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Liberec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Nám. Dr. Edvarda Beneše 585/26, 460 01 Liberec 1, 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485 238 811</w:t>
                            </w:r>
                          </w:p>
                          <w:p w14:paraId="24058E85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infoservislbc@czso.cz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www.liberec.czso.cz</w:t>
                            </w:r>
                          </w:p>
                          <w:p w14:paraId="043939D2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14:paraId="226BD4EE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Hradec Králové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Myslivečkova 914, 500 03 Hradec Králové 3,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 w:rsidRPr="007D40DF"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495 762 322,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495 762 317</w:t>
                            </w:r>
                          </w:p>
                          <w:p w14:paraId="1DD46550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infoservishk@czso.cz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www.hradeckralove.czso.cz</w:t>
                            </w:r>
                          </w:p>
                          <w:p w14:paraId="783F6009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</w:p>
                          <w:p w14:paraId="32543F64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Pardubice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V Ráji 872, 531 53 Pardubice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,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>tel.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>: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466 743 480, 466 743 418</w:t>
                            </w:r>
                          </w:p>
                          <w:p w14:paraId="6510BE8F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infoservispa@czso.cz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www.pardubice.czso.cz</w:t>
                            </w:r>
                          </w:p>
                          <w:p w14:paraId="4E6B6EFB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14:paraId="0A8D76C4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Jihlava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Ke Skalce 30,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586 01 Jihlava, tel.: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567 109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062, 567 109 073</w:t>
                            </w:r>
                          </w:p>
                          <w:p w14:paraId="70120009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infoservisvys@czso.cz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www.jihlava.czso.cz</w:t>
                            </w:r>
                          </w:p>
                          <w:p w14:paraId="7D985A5E" w14:textId="77777777" w:rsidR="00447920" w:rsidRDefault="00447920" w:rsidP="00C94A83">
                            <w:pPr>
                              <w:pStyle w:val="TLKontakty"/>
                              <w:spacing w:after="80" w:line="240" w:lineRule="auto"/>
                            </w:pPr>
                          </w:p>
                          <w:p w14:paraId="58CFC727" w14:textId="77777777" w:rsidR="00447920" w:rsidRPr="00BC731E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Brno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 | Jezuitská 2, 601 59 Brno,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tel: </w:t>
                            </w: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542 528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115, 542 528 200</w:t>
                            </w:r>
                          </w:p>
                          <w:p w14:paraId="3617F883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4A61C5">
                              <w:rPr>
                                <w:b w:val="0"/>
                                <w:color w:val="auto"/>
                              </w:rPr>
                              <w:t xml:space="preserve">e-mail: infoservisbrno@czso.cz | </w:t>
                            </w:r>
                            <w:r w:rsidRPr="004A61C5">
                              <w:rPr>
                                <w:color w:val="auto"/>
                              </w:rPr>
                              <w:t>www.brno.czso.cz</w:t>
                            </w:r>
                          </w:p>
                          <w:p w14:paraId="50A58F28" w14:textId="77777777" w:rsidR="00447920" w:rsidRPr="004A61C5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14:paraId="7A71DC00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Olomouc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Jeremenkova 1142/42, 772 11 Olomouc, 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tel.: 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585 731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516, 585 731 511</w:t>
                            </w:r>
                          </w:p>
                          <w:p w14:paraId="7D11F078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infoservisolom@czso.cz | </w:t>
                            </w:r>
                            <w:r w:rsidRPr="005E7C78">
                              <w:rPr>
                                <w:color w:val="auto"/>
                              </w:rPr>
                              <w:t>www.olomouc.czso.cz</w:t>
                            </w:r>
                          </w:p>
                          <w:p w14:paraId="34433131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14:paraId="10C2F98C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Zlín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tř. Tomáše Bati 1565, 761 76 Zlín, </w:t>
                            </w:r>
                            <w:r w:rsidRPr="00BC731E">
                              <w:rPr>
                                <w:b w:val="0"/>
                                <w:color w:val="auto"/>
                              </w:rPr>
                              <w:t>tel.: 577 004 932, 5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>77 004 935</w:t>
                            </w:r>
                          </w:p>
                          <w:p w14:paraId="22EC340C" w14:textId="77777777" w:rsidR="00447920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infoservis-zl@czso.cz | </w:t>
                            </w:r>
                            <w:r w:rsidRPr="00227A53">
                              <w:rPr>
                                <w:color w:val="auto"/>
                              </w:rPr>
                              <w:t>www.zlin.czso.cz</w:t>
                            </w:r>
                          </w:p>
                          <w:p w14:paraId="5A956F13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</w:p>
                          <w:p w14:paraId="31D30704" w14:textId="77777777" w:rsidR="00447920" w:rsidRPr="005E7C78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D66223">
                              <w:t>Ostrava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 | Repinova 17, 702 03 Ostrava,</w:t>
                            </w:r>
                            <w:r>
                              <w:rPr>
                                <w:b w:val="0"/>
                                <w:color w:val="auto"/>
                              </w:rPr>
                              <w:t xml:space="preserve"> tel: </w:t>
                            </w:r>
                            <w:r w:rsidRPr="005E7C78">
                              <w:rPr>
                                <w:b w:val="0"/>
                                <w:color w:val="auto"/>
                              </w:rPr>
                              <w:t>595 131 230, 595 131 232</w:t>
                            </w:r>
                          </w:p>
                          <w:p w14:paraId="47AC7497" w14:textId="07C0F980" w:rsidR="00447920" w:rsidRPr="0010437D" w:rsidRDefault="00447920" w:rsidP="00C94A83">
                            <w:pPr>
                              <w:pStyle w:val="TLKontakty"/>
                              <w:spacing w:after="80" w:line="240" w:lineRule="auto"/>
                              <w:rPr>
                                <w:b w:val="0"/>
                                <w:color w:val="auto"/>
                              </w:rPr>
                            </w:pPr>
                            <w:r w:rsidRPr="005E7C78">
                              <w:rPr>
                                <w:b w:val="0"/>
                                <w:color w:val="auto"/>
                              </w:rPr>
                              <w:t xml:space="preserve">e-mail: infoservis_ov@czso.cz | </w:t>
                            </w:r>
                            <w:r w:rsidRPr="005E7C78">
                              <w:rPr>
                                <w:color w:val="auto"/>
                              </w:rPr>
                              <w:t>www.ostrava.czso.cz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2415A" id="_x0000_s1030" type="#_x0000_t202" style="position:absolute;margin-left:57pt;margin-top:113.4pt;width:481.85pt;height:605.5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" filled="f" stroked="f">
                <v:textbox style="mso-fit-shape-to-text:t" inset="0,0,0,0">
                  <w:txbxContent>
                    <w:p w14:paraId="3499C442" w14:textId="77777777" w:rsidR="00447920" w:rsidRPr="006F5416" w:rsidRDefault="00447920" w:rsidP="00C94A83">
                      <w:pPr>
                        <w:pStyle w:val="TLKontaktyerven"/>
                      </w:pPr>
                      <w:r w:rsidRPr="006F5416">
                        <w:t>KONTAKTY V ÚSTŘEDÍ</w:t>
                      </w:r>
                    </w:p>
                    <w:p w14:paraId="0A0AE9BA" w14:textId="77777777" w:rsidR="00447920" w:rsidRPr="007D40DF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66223">
                        <w:t>Český statistický úřad</w:t>
                      </w:r>
                      <w:r w:rsidRPr="007D40DF">
                        <w:rPr>
                          <w:b w:val="0"/>
                          <w:color w:val="auto"/>
                        </w:rPr>
                        <w:t xml:space="preserve"> | Na</w:t>
                      </w:r>
                      <w:r>
                        <w:rPr>
                          <w:b w:val="0"/>
                          <w:color w:val="auto"/>
                        </w:rPr>
                        <w:t xml:space="preserve"> padesátém 81, 100 82 Praha</w:t>
                      </w:r>
                      <w:r w:rsidRPr="007D40DF">
                        <w:rPr>
                          <w:b w:val="0"/>
                          <w:color w:val="auto"/>
                        </w:rPr>
                        <w:t> </w:t>
                      </w:r>
                      <w:r>
                        <w:rPr>
                          <w:b w:val="0"/>
                          <w:color w:val="auto"/>
                        </w:rPr>
                        <w:t xml:space="preserve">10, </w:t>
                      </w:r>
                      <w:r w:rsidRPr="007D40DF">
                        <w:rPr>
                          <w:b w:val="0"/>
                          <w:color w:val="auto"/>
                        </w:rPr>
                        <w:t xml:space="preserve">tel.: 274 051 111 | </w:t>
                      </w:r>
                      <w:r w:rsidRPr="007D40DF">
                        <w:rPr>
                          <w:color w:val="auto"/>
                        </w:rPr>
                        <w:t>www.czso.cz</w:t>
                      </w:r>
                    </w:p>
                    <w:p w14:paraId="5FB53E90" w14:textId="77777777" w:rsidR="00447920" w:rsidRPr="00D235B7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Oddělení informačních služeb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274 052 304, 274 052 451 | e-mail: infoservis@czso.cz</w:t>
                      </w:r>
                    </w:p>
                    <w:p w14:paraId="472E0AC8" w14:textId="77777777" w:rsidR="00447920" w:rsidRPr="00D235B7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Prodejna publikací ČSÚ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274 052 361 | e-mail: prodejna@czso.cz</w:t>
                      </w:r>
                    </w:p>
                    <w:p w14:paraId="4C6066C8" w14:textId="77777777" w:rsidR="00447920" w:rsidRPr="00D235B7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Evropská data (ESDS), mezinárodní srovnání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274 052 347, 274 052 757 | e-mail: esds@czso.cz</w:t>
                      </w:r>
                    </w:p>
                    <w:p w14:paraId="2953F57A" w14:textId="77777777" w:rsidR="00447920" w:rsidRPr="00D235B7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b w:val="0"/>
                          <w:color w:val="auto"/>
                        </w:rPr>
                      </w:pPr>
                      <w:r w:rsidRPr="00D235B7">
                        <w:rPr>
                          <w:color w:val="auto"/>
                        </w:rPr>
                        <w:t>Ústřední statistická knihovna</w:t>
                      </w:r>
                      <w:r w:rsidRPr="00D235B7">
                        <w:rPr>
                          <w:b w:val="0"/>
                          <w:color w:val="auto"/>
                        </w:rPr>
                        <w:t xml:space="preserve"> | tel.: 274 052 361 | e-mail: knihovna@czso.cz</w:t>
                      </w:r>
                    </w:p>
                    <w:p w14:paraId="14FD159A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contextualSpacing w:val="0"/>
                        <w:rPr>
                          <w:color w:val="auto"/>
                        </w:rPr>
                      </w:pPr>
                    </w:p>
                    <w:p w14:paraId="4C3264F9" w14:textId="77777777" w:rsidR="00447920" w:rsidRPr="00D66223" w:rsidRDefault="00447920" w:rsidP="00C94A83">
                      <w:pPr>
                        <w:pStyle w:val="TLKontaktyerven"/>
                      </w:pPr>
                      <w:r w:rsidRPr="00D66223">
                        <w:t>INFORMAČNÍ SLUŽBY V REGIONECH</w:t>
                      </w:r>
                    </w:p>
                    <w:p w14:paraId="44588EDB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Hl. m. Praha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Na</w:t>
                      </w:r>
                      <w:r>
                        <w:rPr>
                          <w:b w:val="0"/>
                          <w:color w:val="auto"/>
                        </w:rPr>
                        <w:t xml:space="preserve"> padesátém 81, 100 82 Praha 10, </w:t>
                      </w:r>
                      <w:r w:rsidRPr="00992CF3">
                        <w:rPr>
                          <w:b w:val="0"/>
                          <w:color w:val="auto"/>
                        </w:rPr>
                        <w:t>tel.</w:t>
                      </w:r>
                      <w:r w:rsidRPr="007D40DF">
                        <w:rPr>
                          <w:b w:val="0"/>
                          <w:color w:val="auto"/>
                        </w:rPr>
                        <w:t>:</w:t>
                      </w:r>
                      <w:r>
                        <w:rPr>
                          <w:b w:val="0"/>
                          <w:color w:val="auto"/>
                        </w:rPr>
                        <w:t xml:space="preserve"> 274 052 673, </w:t>
                      </w:r>
                      <w:r w:rsidRPr="00992CF3">
                        <w:rPr>
                          <w:b w:val="0"/>
                          <w:color w:val="auto"/>
                        </w:rPr>
                        <w:t>274 054 223</w:t>
                      </w:r>
                    </w:p>
                    <w:p w14:paraId="146D3EB4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infoservispraha@czso.cz | </w:t>
                      </w:r>
                      <w:r w:rsidRPr="00992CF3">
                        <w:rPr>
                          <w:color w:val="auto"/>
                        </w:rPr>
                        <w:t>www.praha.czso.cz</w:t>
                      </w:r>
                    </w:p>
                    <w:p w14:paraId="3E0B3C62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50184FE5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Středočeský kraj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Na padesátém 81, 100 82 Praha 10,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992CF3">
                        <w:rPr>
                          <w:b w:val="0"/>
                          <w:color w:val="auto"/>
                        </w:rPr>
                        <w:t>274 054 175</w:t>
                      </w:r>
                    </w:p>
                    <w:p w14:paraId="4FBDEB4B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infoservisstc@czso.cz | </w:t>
                      </w:r>
                      <w:r w:rsidRPr="00992CF3">
                        <w:rPr>
                          <w:color w:val="auto"/>
                        </w:rPr>
                        <w:t>www.stredocesky.czso.cz</w:t>
                      </w:r>
                    </w:p>
                    <w:p w14:paraId="43F873B0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2D7AFFCE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České Budějovice</w:t>
                      </w:r>
                      <w:r w:rsidRPr="00992CF3">
                        <w:rPr>
                          <w:b w:val="0"/>
                          <w:color w:val="auto"/>
                        </w:rPr>
                        <w:t xml:space="preserve"> | Žižkova 1, 370 77 České Budějovice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992CF3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992CF3">
                        <w:rPr>
                          <w:b w:val="0"/>
                          <w:color w:val="auto"/>
                        </w:rPr>
                        <w:t>386 718 440</w:t>
                      </w:r>
                    </w:p>
                    <w:p w14:paraId="62B445A5" w14:textId="77777777" w:rsidR="00447920" w:rsidRPr="00992CF3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992CF3">
                        <w:rPr>
                          <w:b w:val="0"/>
                          <w:color w:val="auto"/>
                        </w:rPr>
                        <w:t xml:space="preserve">e-mail: infoserviscb@czso.cz | </w:t>
                      </w:r>
                      <w:r w:rsidRPr="00992CF3">
                        <w:rPr>
                          <w:color w:val="auto"/>
                        </w:rPr>
                        <w:t>www.cbudejovice.czso.cz</w:t>
                      </w:r>
                    </w:p>
                    <w:p w14:paraId="38E0B38B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1F54A4DA" w14:textId="77777777" w:rsidR="00447920" w:rsidRPr="00BC731E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Plzeň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Slovanská alej 36, 326 64 Plzeň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377 612 108</w:t>
                      </w:r>
                      <w:r w:rsidRPr="00BC731E">
                        <w:rPr>
                          <w:b w:val="0"/>
                          <w:color w:val="auto"/>
                        </w:rPr>
                        <w:t>, 377 612 145</w:t>
                      </w:r>
                    </w:p>
                    <w:p w14:paraId="0D45125E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infoservisplzen@czso.cz | </w:t>
                      </w:r>
                      <w:r w:rsidRPr="004A61C5">
                        <w:rPr>
                          <w:color w:val="auto"/>
                        </w:rPr>
                        <w:t>www.plzen.czso.cz</w:t>
                      </w:r>
                    </w:p>
                    <w:p w14:paraId="2DDE6B74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48CD09AC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Karlovy Vary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</w:t>
                      </w:r>
                      <w:r w:rsidRPr="00095135">
                        <w:rPr>
                          <w:b w:val="0"/>
                          <w:color w:val="auto"/>
                        </w:rPr>
                        <w:t>Závodní 360/94, 360 06 Karlovy Vary</w:t>
                      </w:r>
                      <w:r w:rsidRPr="004A61C5">
                        <w:rPr>
                          <w:b w:val="0"/>
                          <w:color w:val="auto"/>
                        </w:rPr>
                        <w:t>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353 114 529, 353 114 525</w:t>
                      </w:r>
                    </w:p>
                    <w:p w14:paraId="7CF8DEBA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infoserviskv@czso.cz | </w:t>
                      </w:r>
                      <w:r w:rsidRPr="004A61C5">
                        <w:rPr>
                          <w:color w:val="auto"/>
                        </w:rPr>
                        <w:t>www.kvary.czso.cz</w:t>
                      </w:r>
                    </w:p>
                    <w:p w14:paraId="72857E34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06477BD1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Ústí nad Labem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Špálova 2684, 400 11 Ústí nad Labem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472 706 176,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472 706 121</w:t>
                      </w:r>
                    </w:p>
                    <w:p w14:paraId="7F65BC31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infoservisul@czso.cz | </w:t>
                      </w:r>
                      <w:r w:rsidRPr="004A61C5">
                        <w:rPr>
                          <w:color w:val="auto"/>
                        </w:rPr>
                        <w:t>www.ustinadlabem.czso.cz</w:t>
                      </w:r>
                    </w:p>
                    <w:p w14:paraId="7CF197A3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5B534186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Liberec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Nám. Dr. Edvarda Beneše 585/26, 460 01 Liberec 1, tel.</w:t>
                      </w:r>
                      <w:r>
                        <w:rPr>
                          <w:b w:val="0"/>
                          <w:color w:val="auto"/>
                        </w:rPr>
                        <w:t xml:space="preserve">: </w:t>
                      </w:r>
                      <w:r w:rsidRPr="004A61C5">
                        <w:rPr>
                          <w:b w:val="0"/>
                          <w:color w:val="auto"/>
                        </w:rPr>
                        <w:t>485 238 811</w:t>
                      </w:r>
                    </w:p>
                    <w:p w14:paraId="24058E85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infoservislbc@czso.cz | </w:t>
                      </w:r>
                      <w:r w:rsidRPr="004A61C5">
                        <w:rPr>
                          <w:color w:val="auto"/>
                        </w:rPr>
                        <w:t>www.liberec.czso.cz</w:t>
                      </w:r>
                    </w:p>
                    <w:p w14:paraId="043939D2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14:paraId="226BD4EE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Hradec Králové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Myslivečkova 914, 500 03 Hradec Králové 3, </w:t>
                      </w:r>
                      <w:r>
                        <w:rPr>
                          <w:b w:val="0"/>
                          <w:color w:val="auto"/>
                        </w:rPr>
                        <w:t>tel.</w:t>
                      </w:r>
                      <w:r w:rsidRPr="007D40DF">
                        <w:rPr>
                          <w:b w:val="0"/>
                          <w:color w:val="auto"/>
                        </w:rPr>
                        <w:t>: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495 762 322,</w:t>
                      </w:r>
                      <w:r>
                        <w:rPr>
                          <w:b w:val="0"/>
                          <w:color w:val="auto"/>
                        </w:rPr>
                        <w:t xml:space="preserve"> </w:t>
                      </w:r>
                      <w:r w:rsidRPr="004A61C5">
                        <w:rPr>
                          <w:b w:val="0"/>
                          <w:color w:val="auto"/>
                        </w:rPr>
                        <w:t>495 762 317</w:t>
                      </w:r>
                    </w:p>
                    <w:p w14:paraId="1DD46550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infoservishk@czso.cz | </w:t>
                      </w:r>
                      <w:r w:rsidRPr="004A61C5">
                        <w:rPr>
                          <w:color w:val="auto"/>
                        </w:rPr>
                        <w:t>www.hradeckralove.czso.cz</w:t>
                      </w:r>
                    </w:p>
                    <w:p w14:paraId="783F6009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</w:p>
                    <w:p w14:paraId="32543F64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Pardubice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V Ráji 872, 531 53 Pardubice</w:t>
                      </w:r>
                      <w:r>
                        <w:rPr>
                          <w:b w:val="0"/>
                          <w:color w:val="auto"/>
                        </w:rPr>
                        <w:t xml:space="preserve">, </w:t>
                      </w:r>
                      <w:r w:rsidRPr="004A61C5">
                        <w:rPr>
                          <w:b w:val="0"/>
                          <w:color w:val="auto"/>
                        </w:rPr>
                        <w:t>tel.</w:t>
                      </w:r>
                      <w:r>
                        <w:rPr>
                          <w:b w:val="0"/>
                          <w:color w:val="auto"/>
                        </w:rPr>
                        <w:t>: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466 743 480, 466 743 418</w:t>
                      </w:r>
                    </w:p>
                    <w:p w14:paraId="6510BE8F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infoservispa@czso.cz | </w:t>
                      </w:r>
                      <w:r w:rsidRPr="004A61C5">
                        <w:rPr>
                          <w:color w:val="auto"/>
                        </w:rPr>
                        <w:t>www.pardubice.czso.cz</w:t>
                      </w:r>
                    </w:p>
                    <w:p w14:paraId="4E6B6EFB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14:paraId="0A8D76C4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Jihlava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Ke Skalce 30,</w:t>
                      </w:r>
                      <w:r>
                        <w:rPr>
                          <w:b w:val="0"/>
                          <w:color w:val="auto"/>
                        </w:rPr>
                        <w:t xml:space="preserve"> 586 01 Jihlava, tel.: 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567 109 </w:t>
                      </w:r>
                      <w:r w:rsidRPr="00BC731E">
                        <w:rPr>
                          <w:b w:val="0"/>
                          <w:color w:val="auto"/>
                        </w:rPr>
                        <w:t>062, 567 109 073</w:t>
                      </w:r>
                    </w:p>
                    <w:p w14:paraId="70120009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infoservisvys@czso.cz | </w:t>
                      </w:r>
                      <w:r w:rsidRPr="004A61C5">
                        <w:rPr>
                          <w:color w:val="auto"/>
                        </w:rPr>
                        <w:t>www.jihlava.czso.cz</w:t>
                      </w:r>
                    </w:p>
                    <w:p w14:paraId="7D985A5E" w14:textId="77777777" w:rsidR="00447920" w:rsidRDefault="00447920" w:rsidP="00C94A83">
                      <w:pPr>
                        <w:pStyle w:val="TLKontakty"/>
                        <w:spacing w:after="80" w:line="240" w:lineRule="auto"/>
                      </w:pPr>
                    </w:p>
                    <w:p w14:paraId="58CFC727" w14:textId="77777777" w:rsidR="00447920" w:rsidRPr="00BC731E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Brno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 | Jezuitská 2, 601 59 Brno, </w:t>
                      </w:r>
                      <w:r>
                        <w:rPr>
                          <w:b w:val="0"/>
                          <w:color w:val="auto"/>
                        </w:rPr>
                        <w:t xml:space="preserve">tel: </w:t>
                      </w:r>
                      <w:r w:rsidRPr="004A61C5">
                        <w:rPr>
                          <w:b w:val="0"/>
                          <w:color w:val="auto"/>
                        </w:rPr>
                        <w:t xml:space="preserve">542 528 </w:t>
                      </w:r>
                      <w:r w:rsidRPr="00BC731E">
                        <w:rPr>
                          <w:b w:val="0"/>
                          <w:color w:val="auto"/>
                        </w:rPr>
                        <w:t>115, 542 528 200</w:t>
                      </w:r>
                    </w:p>
                    <w:p w14:paraId="3617F883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4A61C5">
                        <w:rPr>
                          <w:b w:val="0"/>
                          <w:color w:val="auto"/>
                        </w:rPr>
                        <w:t xml:space="preserve">e-mail: infoservisbrno@czso.cz | </w:t>
                      </w:r>
                      <w:r w:rsidRPr="004A61C5">
                        <w:rPr>
                          <w:color w:val="auto"/>
                        </w:rPr>
                        <w:t>www.brno.czso.cz</w:t>
                      </w:r>
                    </w:p>
                    <w:p w14:paraId="50A58F28" w14:textId="77777777" w:rsidR="00447920" w:rsidRPr="004A61C5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14:paraId="7A71DC00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Olomouc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Jeremenkova 1142/42, 772 11 Olomouc, </w:t>
                      </w:r>
                      <w:r>
                        <w:rPr>
                          <w:b w:val="0"/>
                          <w:color w:val="auto"/>
                        </w:rPr>
                        <w:t xml:space="preserve">tel.: 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585 731 </w:t>
                      </w:r>
                      <w:r w:rsidRPr="00BC731E">
                        <w:rPr>
                          <w:b w:val="0"/>
                          <w:color w:val="auto"/>
                        </w:rPr>
                        <w:t>516, 585 731 511</w:t>
                      </w:r>
                    </w:p>
                    <w:p w14:paraId="7D11F078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infoservisolom@czso.cz | </w:t>
                      </w:r>
                      <w:r w:rsidRPr="005E7C78">
                        <w:rPr>
                          <w:color w:val="auto"/>
                        </w:rPr>
                        <w:t>www.olomouc.czso.cz</w:t>
                      </w:r>
                    </w:p>
                    <w:p w14:paraId="34433131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14:paraId="10C2F98C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Zlín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tř. Tomáše Bati 1565, 761 76 Zlín, </w:t>
                      </w:r>
                      <w:r w:rsidRPr="00BC731E">
                        <w:rPr>
                          <w:b w:val="0"/>
                          <w:color w:val="auto"/>
                        </w:rPr>
                        <w:t>tel.: 577 004 932, 5</w:t>
                      </w:r>
                      <w:r w:rsidRPr="005E7C78">
                        <w:rPr>
                          <w:b w:val="0"/>
                          <w:color w:val="auto"/>
                        </w:rPr>
                        <w:t>77 004 935</w:t>
                      </w:r>
                    </w:p>
                    <w:p w14:paraId="22EC340C" w14:textId="77777777" w:rsidR="00447920" w:rsidRDefault="00447920" w:rsidP="00C94A83">
                      <w:pPr>
                        <w:pStyle w:val="TLKontakty"/>
                        <w:spacing w:after="80" w:line="240" w:lineRule="auto"/>
                        <w:rPr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infoservis-zl@czso.cz | </w:t>
                      </w:r>
                      <w:r w:rsidRPr="00227A53">
                        <w:rPr>
                          <w:color w:val="auto"/>
                        </w:rPr>
                        <w:t>www.zlin.czso.cz</w:t>
                      </w:r>
                    </w:p>
                    <w:p w14:paraId="5A956F13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</w:p>
                    <w:p w14:paraId="31D30704" w14:textId="77777777" w:rsidR="00447920" w:rsidRPr="005E7C78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D66223">
                        <w:t>Ostrava</w:t>
                      </w:r>
                      <w:r w:rsidRPr="005E7C78">
                        <w:rPr>
                          <w:b w:val="0"/>
                          <w:color w:val="auto"/>
                        </w:rPr>
                        <w:t xml:space="preserve"> | Repinova 17, 702 03 Ostrava,</w:t>
                      </w:r>
                      <w:r>
                        <w:rPr>
                          <w:b w:val="0"/>
                          <w:color w:val="auto"/>
                        </w:rPr>
                        <w:t xml:space="preserve"> tel: </w:t>
                      </w:r>
                      <w:r w:rsidRPr="005E7C78">
                        <w:rPr>
                          <w:b w:val="0"/>
                          <w:color w:val="auto"/>
                        </w:rPr>
                        <w:t>595 131 230, 595 131 232</w:t>
                      </w:r>
                    </w:p>
                    <w:p w14:paraId="47AC7497" w14:textId="07C0F980" w:rsidR="00447920" w:rsidRPr="0010437D" w:rsidRDefault="00447920" w:rsidP="00C94A83">
                      <w:pPr>
                        <w:pStyle w:val="TLKontakty"/>
                        <w:spacing w:after="80" w:line="240" w:lineRule="auto"/>
                        <w:rPr>
                          <w:b w:val="0"/>
                          <w:color w:val="auto"/>
                        </w:rPr>
                      </w:pPr>
                      <w:r w:rsidRPr="005E7C78">
                        <w:rPr>
                          <w:b w:val="0"/>
                          <w:color w:val="auto"/>
                        </w:rPr>
                        <w:t xml:space="preserve">e-mail: infoservis_ov@czso.cz | </w:t>
                      </w:r>
                      <w:r w:rsidRPr="005E7C78">
                        <w:rPr>
                          <w:color w:val="auto"/>
                        </w:rPr>
                        <w:t>www.ostrava.czso.cz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1" layoutInCell="1" allowOverlap="1" wp14:anchorId="595F4A49" wp14:editId="37B1B8DF">
                <wp:simplePos x="0" y="0"/>
                <wp:positionH relativeFrom="page">
                  <wp:posOffset>720090</wp:posOffset>
                </wp:positionH>
                <wp:positionV relativeFrom="page">
                  <wp:posOffset>9486900</wp:posOffset>
                </wp:positionV>
                <wp:extent cx="6120130" cy="360045"/>
                <wp:effectExtent l="0" t="0" r="1270" b="20955"/>
                <wp:wrapNone/>
                <wp:docPr id="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130" cy="3600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5D2DE8" w14:textId="294BB0CC" w:rsidR="00447920" w:rsidRPr="00321924" w:rsidRDefault="00447920" w:rsidP="008F029B">
                            <w:r w:rsidRPr="00321924">
                              <w:br/>
                              <w:t xml:space="preserve">© Český statistický úřad, </w:t>
                            </w:r>
                            <w:r>
                              <w:t>Praha, 2022</w:t>
                            </w:r>
                          </w:p>
                          <w:p w14:paraId="37B6F4B9" w14:textId="77777777" w:rsidR="00447920" w:rsidRDefault="00447920"/>
                          <w:p w14:paraId="00D73613" w14:textId="77777777" w:rsidR="00447920" w:rsidRPr="00841D9F" w:rsidRDefault="00447920" w:rsidP="000A3A2C">
                            <w:r w:rsidRPr="00841D9F">
                              <w:rPr>
                                <w:szCs w:val="26"/>
                              </w:rPr>
                              <w:t xml:space="preserve">ISBN XX-XXXX-XXX-X  </w:t>
                            </w:r>
                            <w:r w:rsidRPr="00841D9F">
                              <w:t>(pouze u nepravidelných a ročních publikací)</w:t>
                            </w:r>
                          </w:p>
                          <w:p w14:paraId="5B423AB6" w14:textId="77777777" w:rsidR="00447920" w:rsidRPr="00AF2852" w:rsidRDefault="00447920" w:rsidP="000A3A2C">
                            <w:r w:rsidRPr="00841D9F">
                              <w:t>© Český sta</w:t>
                            </w:r>
                            <w:r>
                              <w:t xml:space="preserve">tistický úřad / </w:t>
                            </w:r>
                            <w:r w:rsidRPr="009A1902">
                              <w:rPr>
                                <w:i/>
                              </w:rPr>
                              <w:t xml:space="preserve">Czech </w:t>
                            </w:r>
                            <w:proofErr w:type="spellStart"/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>Statistical</w:t>
                            </w:r>
                            <w:proofErr w:type="spellEnd"/>
                            <w:r w:rsidRPr="009A1902">
                              <w:rPr>
                                <w:rFonts w:cs="Arial"/>
                                <w:i/>
                                <w:szCs w:val="20"/>
                              </w:rPr>
                              <w:t xml:space="preserve"> Office</w:t>
                            </w:r>
                            <w:r>
                              <w:t>, místo, rok vydání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5F4A49" id="_x0000_s1031" type="#_x0000_t202" style="position:absolute;margin-left:56.7pt;margin-top:747pt;width:481.9pt;height:28.35pt;z-index:25166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" filled="f" stroked="f">
                <v:textbox inset="0,0,0,0">
                  <w:txbxContent>
                    <w:p w14:paraId="5E5D2DE8" w14:textId="294BB0CC" w:rsidR="00447920" w:rsidRPr="00321924" w:rsidRDefault="00447920" w:rsidP="008F029B">
                      <w:r w:rsidRPr="00321924">
                        <w:br/>
                        <w:t xml:space="preserve">© Český statistický úřad, </w:t>
                      </w:r>
                      <w:r>
                        <w:t>Praha, 2022</w:t>
                      </w:r>
                    </w:p>
                    <w:p w14:paraId="37B6F4B9" w14:textId="77777777" w:rsidR="00447920" w:rsidRDefault="00447920"/>
                    <w:p w14:paraId="00D73613" w14:textId="77777777" w:rsidR="00447920" w:rsidRPr="00841D9F" w:rsidRDefault="00447920" w:rsidP="000A3A2C">
                      <w:r w:rsidRPr="00841D9F">
                        <w:rPr>
                          <w:szCs w:val="26"/>
                        </w:rPr>
                        <w:t xml:space="preserve">ISBN XX-XXXX-XXX-X  </w:t>
                      </w:r>
                      <w:r w:rsidRPr="00841D9F">
                        <w:t>(pouze u nepravidelných a ročních publikací)</w:t>
                      </w:r>
                    </w:p>
                    <w:p w14:paraId="5B423AB6" w14:textId="77777777" w:rsidR="00447920" w:rsidRPr="00AF2852" w:rsidRDefault="00447920" w:rsidP="000A3A2C">
                      <w:r w:rsidRPr="00841D9F">
                        <w:t>© Český sta</w:t>
                      </w:r>
                      <w:r>
                        <w:t xml:space="preserve">tistický úřad / </w:t>
                      </w:r>
                      <w:r w:rsidRPr="009A1902">
                        <w:rPr>
                          <w:i/>
                        </w:rPr>
                        <w:t xml:space="preserve">Czech </w:t>
                      </w:r>
                      <w:proofErr w:type="spellStart"/>
                      <w:r w:rsidRPr="009A1902">
                        <w:rPr>
                          <w:rFonts w:cs="Arial"/>
                          <w:i/>
                          <w:szCs w:val="20"/>
                        </w:rPr>
                        <w:t>Statistical</w:t>
                      </w:r>
                      <w:proofErr w:type="spellEnd"/>
                      <w:r w:rsidRPr="009A1902">
                        <w:rPr>
                          <w:rFonts w:cs="Arial"/>
                          <w:i/>
                          <w:szCs w:val="20"/>
                        </w:rPr>
                        <w:t xml:space="preserve"> Office</w:t>
                      </w:r>
                      <w:r>
                        <w:t>, místo, rok vydání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1" layoutInCell="1" allowOverlap="1" wp14:anchorId="380E217F" wp14:editId="1127E0DA">
                <wp:simplePos x="0" y="0"/>
                <wp:positionH relativeFrom="page">
                  <wp:posOffset>723265</wp:posOffset>
                </wp:positionH>
                <wp:positionV relativeFrom="page">
                  <wp:posOffset>723265</wp:posOffset>
                </wp:positionV>
                <wp:extent cx="6119495" cy="572770"/>
                <wp:effectExtent l="0" t="0" r="2540" b="0"/>
                <wp:wrapNone/>
                <wp:docPr id="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19495" cy="572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66A7AA" w14:textId="77777777" w:rsidR="00447920" w:rsidRPr="009A1902" w:rsidRDefault="00447920" w:rsidP="000A3A2C">
                            <w:pPr>
                              <w:rPr>
                                <w:b/>
                                <w:bCs/>
                                <w:i/>
                                <w:sz w:val="24"/>
                              </w:rPr>
                            </w:pPr>
                            <w:r w:rsidRPr="00B95F50">
                              <w:rPr>
                                <w:b/>
                                <w:color w:val="0071BC"/>
                                <w:sz w:val="24"/>
                              </w:rPr>
                              <w:t xml:space="preserve">Zajímají Vás nejnovější údaje o inflaci, HDP, obyvatelstvu, průměrných mzdách </w:t>
                            </w:r>
                            <w:r>
                              <w:rPr>
                                <w:b/>
                                <w:color w:val="0071BC"/>
                                <w:sz w:val="24"/>
                              </w:rPr>
                              <w:br/>
                            </w:r>
                            <w:r w:rsidRPr="00B95F50">
                              <w:rPr>
                                <w:b/>
                                <w:color w:val="0071BC"/>
                                <w:sz w:val="24"/>
                              </w:rPr>
                              <w:t xml:space="preserve">a mnohé další? Najdete je na stránkách ČSÚ na internetu: </w:t>
                            </w:r>
                            <w:r>
                              <w:rPr>
                                <w:b/>
                                <w:bCs/>
                                <w:sz w:val="24"/>
                              </w:rPr>
                              <w:t>www.czso.cz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0E217F" id="_x0000_s1032" type="#_x0000_t202" style="position:absolute;margin-left:56.95pt;margin-top:56.95pt;width:481.85pt;height:45.1pt;z-index:25166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" filled="f" stroked="f">
                <v:textbox style="mso-fit-shape-to-text:t" inset="0,0,0,0">
                  <w:txbxContent>
                    <w:p w14:paraId="4166A7AA" w14:textId="77777777" w:rsidR="00447920" w:rsidRPr="009A1902" w:rsidRDefault="00447920" w:rsidP="000A3A2C">
                      <w:pPr>
                        <w:rPr>
                          <w:b/>
                          <w:bCs/>
                          <w:i/>
                          <w:sz w:val="24"/>
                        </w:rPr>
                      </w:pPr>
                      <w:r w:rsidRPr="00B95F50">
                        <w:rPr>
                          <w:b/>
                          <w:color w:val="0071BC"/>
                          <w:sz w:val="24"/>
                        </w:rPr>
                        <w:t xml:space="preserve">Zajímají Vás nejnovější údaje o inflaci, HDP, obyvatelstvu, průměrných mzdách </w:t>
                      </w:r>
                      <w:r>
                        <w:rPr>
                          <w:b/>
                          <w:color w:val="0071BC"/>
                          <w:sz w:val="24"/>
                        </w:rPr>
                        <w:br/>
                      </w:r>
                      <w:r w:rsidRPr="00B95F50">
                        <w:rPr>
                          <w:b/>
                          <w:color w:val="0071BC"/>
                          <w:sz w:val="24"/>
                        </w:rPr>
                        <w:t xml:space="preserve">a mnohé další? Najdete je na stránkách ČSÚ na internetu: </w:t>
                      </w:r>
                      <w:r>
                        <w:rPr>
                          <w:b/>
                          <w:bCs/>
                          <w:sz w:val="24"/>
                        </w:rPr>
                        <w:t>www.czso.cz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sdt>
      <w:sdtPr>
        <w:rPr>
          <w:rFonts w:ascii="Arial" w:eastAsia="Times New Roman" w:hAnsi="Arial" w:cs="Times New Roman"/>
          <w:color w:val="auto"/>
          <w:sz w:val="20"/>
          <w:szCs w:val="24"/>
        </w:rPr>
        <w:id w:val="109613358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69EBE38" w14:textId="77777777" w:rsidR="00C25E3F" w:rsidRPr="00C25E3F" w:rsidRDefault="00C25E3F">
          <w:pPr>
            <w:pStyle w:val="Nadpisobsahu"/>
            <w:rPr>
              <w:rFonts w:ascii="Arial" w:hAnsi="Arial" w:cs="Arial"/>
              <w:b/>
              <w:color w:val="C00000"/>
            </w:rPr>
          </w:pPr>
          <w:r w:rsidRPr="00C25E3F">
            <w:rPr>
              <w:rFonts w:ascii="Arial" w:hAnsi="Arial" w:cs="Arial"/>
              <w:b/>
              <w:color w:val="C00000"/>
            </w:rPr>
            <w:t>Obsah</w:t>
          </w:r>
        </w:p>
        <w:p w14:paraId="72F45DA8" w14:textId="77777777" w:rsidR="00C25E3F" w:rsidRPr="00C25E3F" w:rsidRDefault="00C25E3F" w:rsidP="00C25E3F"/>
        <w:p w14:paraId="3C287346" w14:textId="6A8A19E9" w:rsidR="007A0E34" w:rsidRDefault="00C25E3F">
          <w:pPr>
            <w:pStyle w:val="Obsah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03080335" w:history="1">
            <w:r w:rsidR="007A0E34" w:rsidRPr="00D6443D">
              <w:rPr>
                <w:rStyle w:val="Hypertextovodkaz"/>
                <w:noProof/>
              </w:rPr>
              <w:t>Úvod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_Toc103080335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4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76DB0637" w14:textId="6034EA4D" w:rsidR="007A0E34" w:rsidRDefault="00447920">
          <w:pPr>
            <w:pStyle w:val="Obsah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36" w:history="1">
            <w:r w:rsidR="007A0E34" w:rsidRPr="00D6443D">
              <w:rPr>
                <w:rStyle w:val="Hypertextovodkaz"/>
                <w:noProof/>
              </w:rPr>
              <w:t>Metodika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_Toc103080336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4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4B8A5840" w14:textId="31384F9A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37" w:history="1">
            <w:r w:rsidR="007A0E34" w:rsidRPr="00D6443D">
              <w:rPr>
                <w:rStyle w:val="Hypertextovodkaz"/>
                <w:noProof/>
              </w:rPr>
              <w:t>Vysoké školy v České republice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_Toc103080337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4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15687B39" w14:textId="761F3045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38" w:history="1">
            <w:r w:rsidR="007A0E34" w:rsidRPr="00D6443D">
              <w:rPr>
                <w:rStyle w:val="Hypertextovodkaz"/>
                <w:noProof/>
              </w:rPr>
              <w:t>Použité klasifikace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_Toc103080338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5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644C09BB" w14:textId="74A7BBCF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39" w:history="1">
            <w:r w:rsidR="007A0E34" w:rsidRPr="00D6443D">
              <w:rPr>
                <w:rStyle w:val="Hypertextovodkaz"/>
                <w:noProof/>
              </w:rPr>
              <w:t>Zdroje dat a šetřené jednotky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_Toc103080339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5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541E2479" w14:textId="67B89653" w:rsidR="007A0E34" w:rsidRDefault="00447920">
          <w:pPr>
            <w:pStyle w:val="Obsah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40" w:history="1">
            <w:r w:rsidR="007A0E34" w:rsidRPr="00D6443D">
              <w:rPr>
                <w:rStyle w:val="Hypertextovodkaz"/>
                <w:noProof/>
              </w:rPr>
              <w:t>Analýza, část A: studenti vysokých škol v ČR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_Toc103080340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6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236A121F" w14:textId="33B2D842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41" w:history="1">
            <w:r w:rsidR="007A0E34" w:rsidRPr="00D6443D">
              <w:rPr>
                <w:rStyle w:val="Hypertextovodkaz"/>
                <w:noProof/>
              </w:rPr>
              <w:t>Studenti celkem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_Toc103080341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6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3745F2C6" w14:textId="731BB152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42" w:history="1">
            <w:r w:rsidR="007A0E34" w:rsidRPr="00D6443D">
              <w:rPr>
                <w:rStyle w:val="Hypertextovodkaz"/>
                <w:noProof/>
              </w:rPr>
              <w:t>Studenti dle skupin oborů vzdělávání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_Toc103080342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11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117F62A9" w14:textId="4AEDF9EC" w:rsidR="007A0E34" w:rsidRDefault="00447920">
          <w:pPr>
            <w:pStyle w:val="Obsah2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43" w:history="1">
            <w:r w:rsidR="007A0E34" w:rsidRPr="00D6443D">
              <w:rPr>
                <w:rStyle w:val="Hypertextovodkaz"/>
                <w:noProof/>
              </w:rPr>
              <w:t>Studenti dle kraje trvalého bydliště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_Toc103080343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16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5EF8A0DE" w14:textId="261F7538" w:rsidR="007A0E34" w:rsidRDefault="00447920">
          <w:pPr>
            <w:pStyle w:val="Obsah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03080344" w:history="1">
            <w:r w:rsidR="007A0E34" w:rsidRPr="00D6443D">
              <w:rPr>
                <w:rStyle w:val="Hypertextovodkaz"/>
                <w:noProof/>
              </w:rPr>
              <w:t>Analýza, část B: absolventi vysokých škol v ČR</w:t>
            </w:r>
            <w:r w:rsidR="007A0E34">
              <w:rPr>
                <w:noProof/>
                <w:webHidden/>
              </w:rPr>
              <w:tab/>
            </w:r>
            <w:r w:rsidR="007A0E34">
              <w:rPr>
                <w:noProof/>
                <w:webHidden/>
              </w:rPr>
              <w:fldChar w:fldCharType="begin"/>
            </w:r>
            <w:r w:rsidR="007A0E34">
              <w:rPr>
                <w:noProof/>
                <w:webHidden/>
              </w:rPr>
              <w:instrText xml:space="preserve"> PAGEREF _Toc103080344 \h </w:instrText>
            </w:r>
            <w:r w:rsidR="007A0E34">
              <w:rPr>
                <w:noProof/>
                <w:webHidden/>
              </w:rPr>
            </w:r>
            <w:r w:rsidR="007A0E34">
              <w:rPr>
                <w:noProof/>
                <w:webHidden/>
              </w:rPr>
              <w:fldChar w:fldCharType="separate"/>
            </w:r>
            <w:r w:rsidR="007A0E34">
              <w:rPr>
                <w:noProof/>
                <w:webHidden/>
              </w:rPr>
              <w:t>19</w:t>
            </w:r>
            <w:r w:rsidR="007A0E34">
              <w:rPr>
                <w:noProof/>
                <w:webHidden/>
              </w:rPr>
              <w:fldChar w:fldCharType="end"/>
            </w:r>
          </w:hyperlink>
        </w:p>
        <w:p w14:paraId="3A3FD3F7" w14:textId="3BB22454" w:rsidR="00C25E3F" w:rsidRDefault="00C25E3F">
          <w:r>
            <w:rPr>
              <w:b/>
              <w:bCs/>
            </w:rPr>
            <w:fldChar w:fldCharType="end"/>
          </w:r>
        </w:p>
      </w:sdtContent>
    </w:sdt>
    <w:p w14:paraId="3DB38D1D" w14:textId="77777777" w:rsidR="00646FC4" w:rsidRPr="004C3442" w:rsidRDefault="00646FC4" w:rsidP="004C3442">
      <w:pPr>
        <w:pStyle w:val="Obsahpoloky"/>
      </w:pPr>
    </w:p>
    <w:p w14:paraId="2C3957F8" w14:textId="77777777" w:rsidR="004C3442" w:rsidRPr="004C3442" w:rsidRDefault="004C3442" w:rsidP="004C3442">
      <w:pPr>
        <w:pStyle w:val="Obsahpoloky"/>
      </w:pPr>
    </w:p>
    <w:p w14:paraId="2EF0950B" w14:textId="77777777" w:rsidR="002659EE" w:rsidRDefault="00087F2B" w:rsidP="006F5416">
      <w:pPr>
        <w:pStyle w:val="Obsahpoloky"/>
      </w:pPr>
      <w:r w:rsidRPr="006F5416">
        <w:br w:type="page"/>
      </w:r>
    </w:p>
    <w:p w14:paraId="5E929991" w14:textId="77777777" w:rsidR="000D7FAA" w:rsidRPr="003C5708" w:rsidRDefault="000D7FAA" w:rsidP="003C5708">
      <w:pPr>
        <w:pStyle w:val="Nadpis1"/>
      </w:pPr>
      <w:bookmarkStart w:id="1" w:name="_Toc103080335"/>
      <w:r>
        <w:lastRenderedPageBreak/>
        <w:t>Úvod</w:t>
      </w:r>
      <w:bookmarkEnd w:id="1"/>
    </w:p>
    <w:p w14:paraId="391A2FF6" w14:textId="5994F9E7" w:rsidR="000D7FAA" w:rsidRDefault="007A5788" w:rsidP="00A0629C">
      <w:pPr>
        <w:spacing w:after="120"/>
        <w:ind w:firstLine="284"/>
        <w:jc w:val="both"/>
        <w:rPr>
          <w:rFonts w:eastAsia="Calibri" w:cs="Arial"/>
          <w:color w:val="000000"/>
          <w:szCs w:val="20"/>
          <w:lang w:eastAsia="en-US"/>
        </w:rPr>
      </w:pPr>
      <w:r>
        <w:rPr>
          <w:rFonts w:eastAsia="Calibri" w:cs="Arial"/>
          <w:color w:val="000000"/>
          <w:szCs w:val="20"/>
          <w:lang w:eastAsia="en-US"/>
        </w:rPr>
        <w:t xml:space="preserve">Tato publikace </w:t>
      </w:r>
      <w:r w:rsidR="00A0629C">
        <w:rPr>
          <w:rFonts w:eastAsia="Calibri" w:cs="Arial"/>
          <w:color w:val="000000"/>
          <w:szCs w:val="20"/>
          <w:lang w:eastAsia="en-US"/>
        </w:rPr>
        <w:t>je věnována studentům a absolventům vysokých škol. S</w:t>
      </w:r>
      <w:r>
        <w:rPr>
          <w:rFonts w:eastAsia="Calibri" w:cs="Arial"/>
          <w:color w:val="000000"/>
          <w:szCs w:val="20"/>
          <w:lang w:eastAsia="en-US"/>
        </w:rPr>
        <w:t>polu s publikací Školy a školská zařízení, která vychází každoročně v</w:t>
      </w:r>
      <w:r w:rsidR="00A0629C">
        <w:rPr>
          <w:rFonts w:eastAsia="Calibri" w:cs="Arial"/>
          <w:color w:val="000000"/>
          <w:szCs w:val="20"/>
          <w:lang w:eastAsia="en-US"/>
        </w:rPr>
        <w:t> </w:t>
      </w:r>
      <w:r>
        <w:rPr>
          <w:rFonts w:eastAsia="Calibri" w:cs="Arial"/>
          <w:color w:val="000000"/>
          <w:szCs w:val="20"/>
          <w:lang w:eastAsia="en-US"/>
        </w:rPr>
        <w:t>létě</w:t>
      </w:r>
      <w:r w:rsidR="00A0629C">
        <w:rPr>
          <w:rFonts w:eastAsia="Calibri" w:cs="Arial"/>
          <w:color w:val="000000"/>
          <w:szCs w:val="20"/>
          <w:lang w:eastAsia="en-US"/>
        </w:rPr>
        <w:t xml:space="preserve"> a zaměřuje se především na vzdělávání předškolní až vyšší odborné</w:t>
      </w:r>
      <w:r>
        <w:rPr>
          <w:rFonts w:eastAsia="Calibri" w:cs="Arial"/>
          <w:color w:val="000000"/>
          <w:szCs w:val="20"/>
          <w:lang w:eastAsia="en-US"/>
        </w:rPr>
        <w:t>, podávají ucelený přehled statistik formálního vzdělávání v České republice.</w:t>
      </w:r>
      <w:r w:rsidR="00A0629C">
        <w:rPr>
          <w:rFonts w:eastAsia="Calibri" w:cs="Arial"/>
          <w:color w:val="000000"/>
          <w:szCs w:val="20"/>
          <w:lang w:eastAsia="en-US"/>
        </w:rPr>
        <w:t xml:space="preserve"> Mezi</w:t>
      </w:r>
      <w:r w:rsidR="00A3466F">
        <w:rPr>
          <w:rFonts w:eastAsia="Calibri" w:cs="Arial"/>
          <w:color w:val="000000"/>
          <w:szCs w:val="20"/>
          <w:lang w:eastAsia="en-US"/>
        </w:rPr>
        <w:t xml:space="preserve"> studenty </w:t>
      </w:r>
      <w:r w:rsidR="007904AD">
        <w:rPr>
          <w:rFonts w:eastAsia="Calibri" w:cs="Arial"/>
          <w:color w:val="000000"/>
          <w:szCs w:val="20"/>
          <w:lang w:eastAsia="en-US"/>
        </w:rPr>
        <w:t xml:space="preserve">a absolventy </w:t>
      </w:r>
      <w:r w:rsidR="00A3466F">
        <w:rPr>
          <w:rFonts w:eastAsia="Calibri" w:cs="Arial"/>
          <w:color w:val="000000"/>
          <w:szCs w:val="20"/>
          <w:lang w:eastAsia="en-US"/>
        </w:rPr>
        <w:t xml:space="preserve">vysokých škol </w:t>
      </w:r>
      <w:r w:rsidR="00A0629C">
        <w:rPr>
          <w:rFonts w:eastAsia="Calibri" w:cs="Arial"/>
          <w:color w:val="000000"/>
          <w:szCs w:val="20"/>
          <w:lang w:eastAsia="en-US"/>
        </w:rPr>
        <w:t xml:space="preserve">jsou započteni studenti a absolventi vysokých škol </w:t>
      </w:r>
      <w:r w:rsidR="00A3466F">
        <w:rPr>
          <w:rFonts w:eastAsia="Calibri" w:cs="Arial"/>
          <w:color w:val="000000"/>
          <w:szCs w:val="20"/>
          <w:lang w:eastAsia="en-US"/>
        </w:rPr>
        <w:t>veřejných a soukromých</w:t>
      </w:r>
      <w:r w:rsidR="00A0629C">
        <w:rPr>
          <w:rFonts w:eastAsia="Calibri" w:cs="Arial"/>
          <w:color w:val="000000"/>
          <w:szCs w:val="20"/>
          <w:lang w:eastAsia="en-US"/>
        </w:rPr>
        <w:t>, nikoliv</w:t>
      </w:r>
      <w:r w:rsidR="00A3466F">
        <w:rPr>
          <w:rFonts w:eastAsia="Calibri" w:cs="Arial"/>
          <w:color w:val="000000"/>
          <w:szCs w:val="20"/>
          <w:lang w:eastAsia="en-US"/>
        </w:rPr>
        <w:t xml:space="preserve"> studenti</w:t>
      </w:r>
      <w:r w:rsidR="004B7408">
        <w:rPr>
          <w:rFonts w:eastAsia="Calibri" w:cs="Arial"/>
          <w:color w:val="000000"/>
          <w:szCs w:val="20"/>
          <w:lang w:eastAsia="en-US"/>
        </w:rPr>
        <w:t xml:space="preserve"> a absolventi</w:t>
      </w:r>
      <w:r w:rsidR="00A3466F">
        <w:rPr>
          <w:rFonts w:eastAsia="Calibri" w:cs="Arial"/>
          <w:color w:val="000000"/>
          <w:szCs w:val="20"/>
          <w:lang w:eastAsia="en-US"/>
        </w:rPr>
        <w:t xml:space="preserve"> dvou </w:t>
      </w:r>
      <w:r w:rsidR="007171DF">
        <w:rPr>
          <w:rFonts w:eastAsia="Calibri" w:cs="Arial"/>
          <w:color w:val="000000"/>
          <w:szCs w:val="20"/>
          <w:lang w:eastAsia="en-US"/>
        </w:rPr>
        <w:t xml:space="preserve">vysokých škol státních, které spadají pod </w:t>
      </w:r>
      <w:r w:rsidR="007171DF" w:rsidRPr="007171DF">
        <w:rPr>
          <w:rFonts w:eastAsia="Calibri" w:cs="Arial"/>
          <w:color w:val="000000"/>
          <w:szCs w:val="20"/>
          <w:lang w:eastAsia="en-US"/>
        </w:rPr>
        <w:t>Ministerstvo obrany a Ministerstvo vnitra</w:t>
      </w:r>
      <w:r w:rsidR="004B7408">
        <w:rPr>
          <w:rFonts w:eastAsia="Calibri" w:cs="Arial"/>
          <w:color w:val="000000"/>
          <w:szCs w:val="20"/>
          <w:lang w:eastAsia="en-US"/>
        </w:rPr>
        <w:t>. To proto, že s</w:t>
      </w:r>
      <w:r w:rsidR="007171DF">
        <w:rPr>
          <w:rFonts w:eastAsia="Calibri" w:cs="Arial"/>
          <w:color w:val="000000"/>
          <w:szCs w:val="20"/>
          <w:lang w:eastAsia="en-US"/>
        </w:rPr>
        <w:t xml:space="preserve">běr dat vypovídajících o těchto školách probíhá odlišně a odděleně od ostatních vysokých škol </w:t>
      </w:r>
      <w:r w:rsidR="004B7408">
        <w:rPr>
          <w:rFonts w:eastAsia="Calibri" w:cs="Arial"/>
          <w:color w:val="000000"/>
          <w:szCs w:val="20"/>
          <w:lang w:eastAsia="en-US"/>
        </w:rPr>
        <w:t>a tyto dva zdroje nelze jednoduše propojit</w:t>
      </w:r>
      <w:r w:rsidR="004B7408">
        <w:rPr>
          <w:rStyle w:val="Znakapoznpodarou"/>
          <w:rFonts w:eastAsia="Calibri" w:cs="Arial"/>
          <w:color w:val="000000"/>
          <w:szCs w:val="20"/>
          <w:lang w:eastAsia="en-US"/>
        </w:rPr>
        <w:footnoteReference w:id="1"/>
      </w:r>
      <w:r w:rsidR="007171DF">
        <w:rPr>
          <w:rFonts w:eastAsia="Calibri" w:cs="Arial"/>
          <w:color w:val="000000"/>
          <w:szCs w:val="20"/>
          <w:lang w:eastAsia="en-US"/>
        </w:rPr>
        <w:t>.</w:t>
      </w:r>
      <w:r w:rsidR="00225215">
        <w:rPr>
          <w:rFonts w:eastAsia="Calibri" w:cs="Arial"/>
          <w:color w:val="000000"/>
          <w:szCs w:val="20"/>
          <w:lang w:eastAsia="en-US"/>
        </w:rPr>
        <w:t xml:space="preserve"> Studenti státních vysoký</w:t>
      </w:r>
      <w:r w:rsidR="00D5554D">
        <w:rPr>
          <w:rFonts w:eastAsia="Calibri" w:cs="Arial"/>
          <w:color w:val="000000"/>
          <w:szCs w:val="20"/>
          <w:lang w:eastAsia="en-US"/>
        </w:rPr>
        <w:t>ch škol však tvořili v roce 2021</w:t>
      </w:r>
      <w:r w:rsidR="00225215">
        <w:rPr>
          <w:rFonts w:eastAsia="Calibri" w:cs="Arial"/>
          <w:color w:val="000000"/>
          <w:szCs w:val="20"/>
          <w:lang w:eastAsia="en-US"/>
        </w:rPr>
        <w:t xml:space="preserve"> pouze </w:t>
      </w:r>
      <w:r w:rsidR="00225215" w:rsidRPr="007E0FF5">
        <w:rPr>
          <w:rFonts w:eastAsia="Calibri" w:cs="Arial"/>
          <w:color w:val="000000"/>
          <w:szCs w:val="20"/>
          <w:lang w:eastAsia="en-US"/>
        </w:rPr>
        <w:t xml:space="preserve">cca </w:t>
      </w:r>
      <w:r w:rsidR="007E0FF5" w:rsidRPr="007E0FF5">
        <w:rPr>
          <w:rFonts w:eastAsia="Calibri" w:cs="Arial"/>
          <w:color w:val="000000"/>
          <w:szCs w:val="20"/>
          <w:lang w:eastAsia="en-US"/>
        </w:rPr>
        <w:t>1,4</w:t>
      </w:r>
      <w:r w:rsidR="00225215" w:rsidRPr="007E0FF5">
        <w:rPr>
          <w:rFonts w:eastAsia="Calibri" w:cs="Arial"/>
          <w:color w:val="000000"/>
          <w:szCs w:val="20"/>
          <w:lang w:eastAsia="en-US"/>
        </w:rPr>
        <w:t> %</w:t>
      </w:r>
      <w:r w:rsidR="00225215">
        <w:rPr>
          <w:rFonts w:eastAsia="Calibri" w:cs="Arial"/>
          <w:color w:val="000000"/>
          <w:szCs w:val="20"/>
          <w:lang w:eastAsia="en-US"/>
        </w:rPr>
        <w:t xml:space="preserve"> všech studentů v</w:t>
      </w:r>
      <w:r w:rsidR="00586DF8">
        <w:rPr>
          <w:rFonts w:eastAsia="Calibri" w:cs="Arial"/>
          <w:color w:val="000000"/>
          <w:szCs w:val="20"/>
          <w:lang w:eastAsia="en-US"/>
        </w:rPr>
        <w:t xml:space="preserve"> ČR, u absolventů činil tento podíl </w:t>
      </w:r>
      <w:r w:rsidR="007E0FF5" w:rsidRPr="007E0FF5">
        <w:rPr>
          <w:rFonts w:eastAsia="Calibri" w:cs="Arial"/>
          <w:color w:val="000000"/>
          <w:szCs w:val="20"/>
          <w:lang w:eastAsia="en-US"/>
        </w:rPr>
        <w:t>1,5</w:t>
      </w:r>
      <w:r w:rsidR="00804A97" w:rsidRPr="007E0FF5">
        <w:rPr>
          <w:rFonts w:eastAsia="Calibri" w:cs="Arial"/>
          <w:color w:val="000000"/>
          <w:szCs w:val="20"/>
          <w:lang w:eastAsia="en-US"/>
        </w:rPr>
        <w:t> </w:t>
      </w:r>
      <w:r w:rsidR="00586DF8" w:rsidRPr="007E0FF5">
        <w:rPr>
          <w:rFonts w:eastAsia="Calibri" w:cs="Arial"/>
          <w:color w:val="000000"/>
          <w:szCs w:val="20"/>
          <w:lang w:eastAsia="en-US"/>
        </w:rPr>
        <w:t>%</w:t>
      </w:r>
      <w:r w:rsidRPr="007E0FF5">
        <w:rPr>
          <w:rFonts w:eastAsia="Calibri" w:cs="Arial"/>
          <w:color w:val="000000"/>
          <w:szCs w:val="20"/>
          <w:lang w:eastAsia="en-US"/>
        </w:rPr>
        <w:t>.</w:t>
      </w:r>
      <w:r>
        <w:rPr>
          <w:rFonts w:eastAsia="Calibri" w:cs="Arial"/>
          <w:color w:val="000000"/>
          <w:szCs w:val="20"/>
          <w:lang w:eastAsia="en-US"/>
        </w:rPr>
        <w:t xml:space="preserve"> </w:t>
      </w:r>
      <w:r w:rsidR="00804A97">
        <w:rPr>
          <w:rFonts w:eastAsia="Calibri" w:cs="Arial"/>
          <w:color w:val="000000"/>
          <w:szCs w:val="20"/>
          <w:lang w:eastAsia="en-US"/>
        </w:rPr>
        <w:t>Z tohoto důvodu budeme</w:t>
      </w:r>
      <w:r w:rsidR="00A0629C">
        <w:rPr>
          <w:rFonts w:eastAsia="Calibri" w:cs="Arial"/>
          <w:color w:val="000000"/>
          <w:szCs w:val="20"/>
          <w:lang w:eastAsia="en-US"/>
        </w:rPr>
        <w:t xml:space="preserve"> pro</w:t>
      </w:r>
      <w:r>
        <w:rPr>
          <w:rFonts w:eastAsia="Calibri" w:cs="Arial"/>
          <w:color w:val="000000"/>
          <w:szCs w:val="20"/>
          <w:lang w:eastAsia="en-US"/>
        </w:rPr>
        <w:t xml:space="preserve"> zjednodušení v publikaci studenty/absolventy vysokých škol veřejných a soukromých nazývat </w:t>
      </w:r>
      <w:r w:rsidR="00A0629C">
        <w:rPr>
          <w:rFonts w:eastAsia="Calibri" w:cs="Arial"/>
          <w:color w:val="000000"/>
          <w:szCs w:val="20"/>
          <w:lang w:eastAsia="en-US"/>
        </w:rPr>
        <w:t xml:space="preserve">obecně </w:t>
      </w:r>
      <w:r>
        <w:rPr>
          <w:rFonts w:eastAsia="Calibri" w:cs="Arial"/>
          <w:color w:val="000000"/>
          <w:szCs w:val="20"/>
          <w:lang w:eastAsia="en-US"/>
        </w:rPr>
        <w:t>studenty</w:t>
      </w:r>
      <w:r w:rsidR="00804A97">
        <w:rPr>
          <w:rFonts w:eastAsia="Calibri" w:cs="Arial"/>
          <w:color w:val="000000"/>
          <w:szCs w:val="20"/>
          <w:lang w:eastAsia="en-US"/>
        </w:rPr>
        <w:t>/absolventy</w:t>
      </w:r>
      <w:r>
        <w:rPr>
          <w:rFonts w:eastAsia="Calibri" w:cs="Arial"/>
          <w:color w:val="000000"/>
          <w:szCs w:val="20"/>
          <w:lang w:eastAsia="en-US"/>
        </w:rPr>
        <w:t xml:space="preserve"> vysokých škol.</w:t>
      </w:r>
      <w:r w:rsidR="00225215">
        <w:rPr>
          <w:rFonts w:eastAsia="Calibri" w:cs="Arial"/>
          <w:color w:val="000000"/>
          <w:szCs w:val="20"/>
          <w:lang w:eastAsia="en-US"/>
        </w:rPr>
        <w:t xml:space="preserve"> </w:t>
      </w:r>
    </w:p>
    <w:p w14:paraId="15292C1D" w14:textId="62F55DCE" w:rsidR="0027212B" w:rsidRDefault="007171DF" w:rsidP="00A0629C">
      <w:pPr>
        <w:spacing w:after="120"/>
        <w:ind w:firstLine="284"/>
        <w:jc w:val="both"/>
        <w:rPr>
          <w:rFonts w:eastAsia="Calibri" w:cs="Arial"/>
          <w:color w:val="000000"/>
          <w:szCs w:val="20"/>
          <w:lang w:eastAsia="en-US"/>
        </w:rPr>
      </w:pPr>
      <w:r>
        <w:rPr>
          <w:rFonts w:eastAsia="Calibri" w:cs="Arial"/>
          <w:color w:val="000000"/>
          <w:szCs w:val="20"/>
          <w:lang w:eastAsia="en-US"/>
        </w:rPr>
        <w:t>Publikace se dělí do několika částí. V</w:t>
      </w:r>
      <w:r w:rsidR="00730CF1">
        <w:rPr>
          <w:rFonts w:eastAsia="Calibri" w:cs="Arial"/>
          <w:color w:val="000000"/>
          <w:szCs w:val="20"/>
          <w:lang w:eastAsia="en-US"/>
        </w:rPr>
        <w:t> </w:t>
      </w:r>
      <w:r w:rsidRPr="00D83E10">
        <w:rPr>
          <w:rFonts w:eastAsia="Calibri" w:cs="Arial"/>
          <w:b/>
          <w:i/>
          <w:color w:val="000000"/>
          <w:szCs w:val="20"/>
          <w:lang w:eastAsia="en-US"/>
        </w:rPr>
        <w:t>metodic</w:t>
      </w:r>
      <w:r w:rsidR="00730CF1">
        <w:rPr>
          <w:rFonts w:eastAsia="Calibri" w:cs="Arial"/>
          <w:b/>
          <w:i/>
          <w:color w:val="000000"/>
          <w:szCs w:val="20"/>
          <w:lang w:eastAsia="en-US"/>
        </w:rPr>
        <w:t>ké části</w:t>
      </w:r>
      <w:r>
        <w:rPr>
          <w:rFonts w:eastAsia="Calibri" w:cs="Arial"/>
          <w:color w:val="000000"/>
          <w:szCs w:val="20"/>
          <w:lang w:eastAsia="en-US"/>
        </w:rPr>
        <w:t xml:space="preserve"> čtenář najde základní informace o vysokých školách v České republice, o použitých klasifikacích a o zdrojích dat a šetřených jednotkách. </w:t>
      </w:r>
      <w:r w:rsidRPr="00D83E10">
        <w:rPr>
          <w:rFonts w:eastAsia="Calibri" w:cs="Arial"/>
          <w:b/>
          <w:i/>
          <w:color w:val="000000"/>
          <w:szCs w:val="20"/>
          <w:lang w:eastAsia="en-US"/>
        </w:rPr>
        <w:t>Analytická část</w:t>
      </w:r>
      <w:r>
        <w:rPr>
          <w:rFonts w:eastAsia="Calibri" w:cs="Arial"/>
          <w:color w:val="000000"/>
          <w:szCs w:val="20"/>
          <w:lang w:eastAsia="en-US"/>
        </w:rPr>
        <w:t xml:space="preserve"> se pak zaměřuje především na studenty vysokých škol, podává však základní přehled i o absolvent</w:t>
      </w:r>
      <w:r w:rsidR="00DF0898">
        <w:rPr>
          <w:rFonts w:eastAsia="Calibri" w:cs="Arial"/>
          <w:color w:val="000000"/>
          <w:szCs w:val="20"/>
          <w:lang w:eastAsia="en-US"/>
        </w:rPr>
        <w:t>ech vysokých škol. Poskytuje především</w:t>
      </w:r>
      <w:r>
        <w:rPr>
          <w:rFonts w:eastAsia="Calibri" w:cs="Arial"/>
          <w:color w:val="000000"/>
          <w:szCs w:val="20"/>
          <w:lang w:eastAsia="en-US"/>
        </w:rPr>
        <w:t xml:space="preserve"> </w:t>
      </w:r>
      <w:r w:rsidR="003B0149">
        <w:rPr>
          <w:rFonts w:eastAsia="Calibri" w:cs="Arial"/>
          <w:color w:val="000000"/>
          <w:szCs w:val="20"/>
          <w:lang w:eastAsia="en-US"/>
        </w:rPr>
        <w:t>informace o vývoji</w:t>
      </w:r>
      <w:r>
        <w:rPr>
          <w:rFonts w:eastAsia="Calibri" w:cs="Arial"/>
          <w:color w:val="000000"/>
          <w:szCs w:val="20"/>
          <w:lang w:eastAsia="en-US"/>
        </w:rPr>
        <w:t xml:space="preserve"> počtu studentů</w:t>
      </w:r>
      <w:r w:rsidR="00873E37">
        <w:rPr>
          <w:rFonts w:eastAsia="Calibri" w:cs="Arial"/>
          <w:color w:val="000000"/>
          <w:szCs w:val="20"/>
          <w:lang w:eastAsia="en-US"/>
        </w:rPr>
        <w:t xml:space="preserve"> a absolventů</w:t>
      </w:r>
      <w:r>
        <w:rPr>
          <w:rFonts w:eastAsia="Calibri" w:cs="Arial"/>
          <w:color w:val="000000"/>
          <w:szCs w:val="20"/>
          <w:lang w:eastAsia="en-US"/>
        </w:rPr>
        <w:t xml:space="preserve"> </w:t>
      </w:r>
      <w:r w:rsidR="00873E37">
        <w:rPr>
          <w:rFonts w:eastAsia="Calibri" w:cs="Arial"/>
          <w:color w:val="000000"/>
          <w:szCs w:val="20"/>
          <w:lang w:eastAsia="en-US"/>
        </w:rPr>
        <w:t>za pos</w:t>
      </w:r>
      <w:r w:rsidR="00870415">
        <w:rPr>
          <w:rFonts w:eastAsia="Calibri" w:cs="Arial"/>
          <w:color w:val="000000"/>
          <w:szCs w:val="20"/>
          <w:lang w:eastAsia="en-US"/>
        </w:rPr>
        <w:t>ledních dvacet let (2001 až 2021</w:t>
      </w:r>
      <w:r w:rsidR="00873E37">
        <w:rPr>
          <w:rFonts w:eastAsia="Calibri" w:cs="Arial"/>
          <w:color w:val="000000"/>
          <w:szCs w:val="20"/>
          <w:lang w:eastAsia="en-US"/>
        </w:rPr>
        <w:t>)</w:t>
      </w:r>
      <w:r>
        <w:rPr>
          <w:rFonts w:eastAsia="Calibri" w:cs="Arial"/>
          <w:color w:val="000000"/>
          <w:szCs w:val="20"/>
          <w:lang w:eastAsia="en-US"/>
        </w:rPr>
        <w:t xml:space="preserve"> </w:t>
      </w:r>
      <w:r w:rsidR="00873E37">
        <w:rPr>
          <w:rFonts w:eastAsia="Calibri" w:cs="Arial"/>
          <w:color w:val="000000"/>
          <w:szCs w:val="20"/>
          <w:lang w:eastAsia="en-US"/>
        </w:rPr>
        <w:t>a jejich členění po</w:t>
      </w:r>
      <w:r>
        <w:rPr>
          <w:rFonts w:eastAsia="Calibri" w:cs="Arial"/>
          <w:color w:val="000000"/>
          <w:szCs w:val="20"/>
          <w:lang w:eastAsia="en-US"/>
        </w:rPr>
        <w:t>dle</w:t>
      </w:r>
      <w:r w:rsidR="00873E37">
        <w:rPr>
          <w:rFonts w:eastAsia="Calibri" w:cs="Arial"/>
          <w:color w:val="000000"/>
          <w:szCs w:val="20"/>
          <w:lang w:eastAsia="en-US"/>
        </w:rPr>
        <w:t xml:space="preserve"> </w:t>
      </w:r>
      <w:r w:rsidR="00484AE5">
        <w:rPr>
          <w:rFonts w:eastAsia="Calibri" w:cs="Arial"/>
          <w:color w:val="000000"/>
          <w:szCs w:val="20"/>
          <w:lang w:eastAsia="en-US"/>
        </w:rPr>
        <w:t>pohlaví</w:t>
      </w:r>
      <w:r w:rsidR="00B4533A">
        <w:rPr>
          <w:rFonts w:eastAsia="Calibri" w:cs="Arial"/>
          <w:color w:val="000000"/>
          <w:szCs w:val="20"/>
          <w:lang w:eastAsia="en-US"/>
        </w:rPr>
        <w:t>,</w:t>
      </w:r>
      <w:r>
        <w:rPr>
          <w:rFonts w:eastAsia="Calibri" w:cs="Arial"/>
          <w:color w:val="000000"/>
          <w:szCs w:val="20"/>
          <w:lang w:eastAsia="en-US"/>
        </w:rPr>
        <w:t xml:space="preserve"> státní příslušnosti</w:t>
      </w:r>
      <w:r w:rsidR="00B4533A">
        <w:rPr>
          <w:rFonts w:eastAsia="Calibri" w:cs="Arial"/>
          <w:color w:val="000000"/>
          <w:szCs w:val="20"/>
          <w:lang w:eastAsia="en-US"/>
        </w:rPr>
        <w:t>, studijního programu a oboru.</w:t>
      </w:r>
      <w:r w:rsidR="00873E37">
        <w:rPr>
          <w:rFonts w:eastAsia="Calibri" w:cs="Arial"/>
          <w:color w:val="000000"/>
          <w:szCs w:val="20"/>
          <w:lang w:eastAsia="en-US"/>
        </w:rPr>
        <w:t xml:space="preserve"> Tyto informace jsou </w:t>
      </w:r>
      <w:r w:rsidR="00B4533A">
        <w:rPr>
          <w:rFonts w:eastAsia="Calibri" w:cs="Arial"/>
          <w:color w:val="000000"/>
          <w:szCs w:val="20"/>
          <w:lang w:eastAsia="en-US"/>
        </w:rPr>
        <w:t xml:space="preserve">v případě počtu studentů </w:t>
      </w:r>
      <w:r w:rsidR="006A2759">
        <w:rPr>
          <w:rFonts w:eastAsia="Calibri" w:cs="Arial"/>
          <w:color w:val="000000"/>
          <w:szCs w:val="20"/>
          <w:lang w:eastAsia="en-US"/>
        </w:rPr>
        <w:t>doplněny o </w:t>
      </w:r>
      <w:r>
        <w:rPr>
          <w:rFonts w:eastAsia="Calibri" w:cs="Arial"/>
          <w:color w:val="000000"/>
          <w:szCs w:val="20"/>
          <w:lang w:eastAsia="en-US"/>
        </w:rPr>
        <w:t>form</w:t>
      </w:r>
      <w:r w:rsidR="00873E37">
        <w:rPr>
          <w:rFonts w:eastAsia="Calibri" w:cs="Arial"/>
          <w:color w:val="000000"/>
          <w:szCs w:val="20"/>
          <w:lang w:eastAsia="en-US"/>
        </w:rPr>
        <w:t>u</w:t>
      </w:r>
      <w:r>
        <w:rPr>
          <w:rFonts w:eastAsia="Calibri" w:cs="Arial"/>
          <w:color w:val="000000"/>
          <w:szCs w:val="20"/>
          <w:lang w:eastAsia="en-US"/>
        </w:rPr>
        <w:t xml:space="preserve"> studia</w:t>
      </w:r>
      <w:r w:rsidR="00B4533A">
        <w:rPr>
          <w:rFonts w:eastAsia="Calibri" w:cs="Arial"/>
          <w:color w:val="000000"/>
          <w:szCs w:val="20"/>
          <w:lang w:eastAsia="en-US"/>
        </w:rPr>
        <w:t>, věkové rozdělení studentů a jejich členění dle místa bydliště</w:t>
      </w:r>
      <w:r w:rsidR="00873E37">
        <w:rPr>
          <w:rFonts w:eastAsia="Calibri" w:cs="Arial"/>
          <w:color w:val="000000"/>
          <w:szCs w:val="20"/>
          <w:lang w:eastAsia="en-US"/>
        </w:rPr>
        <w:t xml:space="preserve">. </w:t>
      </w:r>
      <w:r w:rsidR="0027212B">
        <w:rPr>
          <w:rFonts w:eastAsia="Calibri" w:cs="Arial"/>
          <w:color w:val="000000"/>
          <w:szCs w:val="20"/>
          <w:lang w:eastAsia="en-US"/>
        </w:rPr>
        <w:t xml:space="preserve">Podrobnější data pak </w:t>
      </w:r>
      <w:r w:rsidR="003B0149">
        <w:rPr>
          <w:rFonts w:eastAsia="Calibri" w:cs="Arial"/>
          <w:color w:val="000000"/>
          <w:szCs w:val="20"/>
          <w:lang w:eastAsia="en-US"/>
        </w:rPr>
        <w:t>obsahuje</w:t>
      </w:r>
      <w:r w:rsidR="0027212B">
        <w:rPr>
          <w:rFonts w:eastAsia="Calibri" w:cs="Arial"/>
          <w:color w:val="000000"/>
          <w:szCs w:val="20"/>
          <w:lang w:eastAsia="en-US"/>
        </w:rPr>
        <w:t xml:space="preserve"> </w:t>
      </w:r>
      <w:r w:rsidR="0027212B" w:rsidRPr="00D83E10">
        <w:rPr>
          <w:rFonts w:eastAsia="Calibri" w:cs="Arial"/>
          <w:b/>
          <w:i/>
          <w:color w:val="000000"/>
          <w:szCs w:val="20"/>
          <w:lang w:eastAsia="en-US"/>
        </w:rPr>
        <w:t>tabulková část</w:t>
      </w:r>
      <w:r w:rsidR="0027212B">
        <w:rPr>
          <w:rFonts w:eastAsia="Calibri" w:cs="Arial"/>
          <w:color w:val="000000"/>
          <w:szCs w:val="20"/>
          <w:lang w:eastAsia="en-US"/>
        </w:rPr>
        <w:t>.</w:t>
      </w:r>
      <w:r w:rsidR="00C94104">
        <w:rPr>
          <w:rFonts w:eastAsia="Calibri" w:cs="Arial"/>
          <w:color w:val="000000"/>
          <w:szCs w:val="20"/>
          <w:lang w:eastAsia="en-US"/>
        </w:rPr>
        <w:t xml:space="preserve"> Ta zahrnuje vybrané údaje o studentech a absolventech z databáze MŠMT dostupné na adrese </w:t>
      </w:r>
      <w:hyperlink r:id="rId14" w:history="1">
        <w:r w:rsidR="00C94104" w:rsidRPr="004015DD">
          <w:rPr>
            <w:rStyle w:val="Hypertextovodkaz"/>
            <w:rFonts w:eastAsia="Calibri" w:cs="Arial"/>
            <w:szCs w:val="20"/>
            <w:lang w:eastAsia="en-US"/>
          </w:rPr>
          <w:t>https://statis.msmt.cz/statistikyvs/vykonyVS1.aspx</w:t>
        </w:r>
      </w:hyperlink>
      <w:r w:rsidR="006A2759">
        <w:rPr>
          <w:rFonts w:eastAsia="Calibri" w:cs="Arial"/>
          <w:color w:val="000000"/>
          <w:szCs w:val="20"/>
          <w:lang w:eastAsia="en-US"/>
        </w:rPr>
        <w:t xml:space="preserve"> </w:t>
      </w:r>
    </w:p>
    <w:p w14:paraId="49000F28" w14:textId="77777777" w:rsidR="00A0629C" w:rsidRPr="00A0629C" w:rsidRDefault="00A0629C" w:rsidP="00A0629C">
      <w:pPr>
        <w:spacing w:after="120"/>
        <w:ind w:firstLine="284"/>
        <w:jc w:val="both"/>
        <w:rPr>
          <w:rFonts w:eastAsia="Calibri" w:cs="Arial"/>
          <w:color w:val="000000"/>
          <w:szCs w:val="20"/>
          <w:lang w:eastAsia="en-US"/>
        </w:rPr>
      </w:pPr>
    </w:p>
    <w:p w14:paraId="678E1C9D" w14:textId="77777777" w:rsidR="002659EE" w:rsidRPr="002659EE" w:rsidRDefault="000D7FAA" w:rsidP="000D7FAA">
      <w:pPr>
        <w:pStyle w:val="Nadpis1"/>
      </w:pPr>
      <w:bookmarkStart w:id="2" w:name="_Toc103080336"/>
      <w:r>
        <w:t>Metodika</w:t>
      </w:r>
      <w:bookmarkEnd w:id="2"/>
    </w:p>
    <w:p w14:paraId="51ECA932" w14:textId="77777777" w:rsidR="002659EE" w:rsidRPr="001419F8" w:rsidRDefault="002659EE">
      <w:pPr>
        <w:spacing w:after="0" w:line="240" w:lineRule="auto"/>
        <w:rPr>
          <w:szCs w:val="20"/>
        </w:rPr>
      </w:pPr>
    </w:p>
    <w:p w14:paraId="1BA8E36C" w14:textId="64FC344E" w:rsidR="002659EE" w:rsidRPr="008F76D0" w:rsidRDefault="00D551AB" w:rsidP="001419F8">
      <w:pPr>
        <w:pStyle w:val="Nadpis2"/>
      </w:pPr>
      <w:bookmarkStart w:id="3" w:name="_Toc103080337"/>
      <w:r>
        <w:t>Vysoké</w:t>
      </w:r>
      <w:r w:rsidR="00E40ABE" w:rsidRPr="000D7FAA">
        <w:t xml:space="preserve"> škol</w:t>
      </w:r>
      <w:r>
        <w:t>y</w:t>
      </w:r>
      <w:r w:rsidR="002659EE" w:rsidRPr="000D7FAA">
        <w:t xml:space="preserve"> </w:t>
      </w:r>
      <w:r w:rsidR="00005792">
        <w:t>v České republice</w:t>
      </w:r>
      <w:bookmarkEnd w:id="3"/>
    </w:p>
    <w:p w14:paraId="392968B2" w14:textId="77777777" w:rsidR="002659EE" w:rsidRDefault="002659EE" w:rsidP="002659EE">
      <w:pPr>
        <w:pStyle w:val="Default"/>
        <w:rPr>
          <w:sz w:val="22"/>
          <w:szCs w:val="22"/>
        </w:rPr>
      </w:pPr>
    </w:p>
    <w:p w14:paraId="04A252EE" w14:textId="5C3FD0BF" w:rsidR="002659EE" w:rsidRPr="008F76D0" w:rsidRDefault="00652D78" w:rsidP="002659EE">
      <w:pPr>
        <w:pStyle w:val="Default"/>
        <w:spacing w:after="120" w:line="288" w:lineRule="auto"/>
        <w:ind w:firstLine="284"/>
        <w:jc w:val="both"/>
        <w:rPr>
          <w:rFonts w:ascii="Arial" w:hAnsi="Arial" w:cs="Arial"/>
          <w:sz w:val="20"/>
          <w:szCs w:val="20"/>
        </w:rPr>
      </w:pPr>
      <w:r w:rsidRPr="00652D78">
        <w:rPr>
          <w:rFonts w:ascii="Arial" w:hAnsi="Arial" w:cs="Arial"/>
          <w:sz w:val="20"/>
          <w:szCs w:val="20"/>
        </w:rPr>
        <w:t>Studium na vysoké škole se uskutečňuje v rámci bakalářského, magisterského, navazujícího magisterského a doktorského</w:t>
      </w:r>
      <w:r w:rsidR="00D93BFD">
        <w:rPr>
          <w:rFonts w:ascii="Arial" w:hAnsi="Arial" w:cs="Arial"/>
          <w:sz w:val="20"/>
          <w:szCs w:val="20"/>
        </w:rPr>
        <w:t xml:space="preserve"> studijního programu. Dříve 4–</w:t>
      </w:r>
      <w:r w:rsidRPr="00652D78">
        <w:rPr>
          <w:rFonts w:ascii="Arial" w:hAnsi="Arial" w:cs="Arial"/>
          <w:sz w:val="20"/>
          <w:szCs w:val="20"/>
        </w:rPr>
        <w:t>6leté studium na vysokých školách bylo v roce 2001 rozděleno</w:t>
      </w:r>
      <w:r w:rsidR="0046706B">
        <w:rPr>
          <w:rFonts w:ascii="Arial" w:hAnsi="Arial" w:cs="Arial"/>
          <w:sz w:val="20"/>
          <w:szCs w:val="20"/>
        </w:rPr>
        <w:t xml:space="preserve"> dvou skupin studijních programů.</w:t>
      </w:r>
      <w:r w:rsidRPr="00652D78">
        <w:rPr>
          <w:rFonts w:ascii="Arial" w:hAnsi="Arial" w:cs="Arial"/>
          <w:sz w:val="20"/>
          <w:szCs w:val="20"/>
        </w:rPr>
        <w:t xml:space="preserve"> </w:t>
      </w:r>
      <w:r w:rsidR="0046706B">
        <w:rPr>
          <w:rFonts w:ascii="Arial" w:hAnsi="Arial" w:cs="Arial"/>
          <w:sz w:val="20"/>
          <w:szCs w:val="20"/>
        </w:rPr>
        <w:t>Jednu tvoří obvykle tříleté bakalářské studijní programy</w:t>
      </w:r>
      <w:r w:rsidRPr="00652D78">
        <w:rPr>
          <w:rFonts w:ascii="Arial" w:hAnsi="Arial" w:cs="Arial"/>
          <w:sz w:val="20"/>
          <w:szCs w:val="20"/>
        </w:rPr>
        <w:t xml:space="preserve"> pro uchazeče s dokončeným středoškolským vzděláním (absolventi získávají titul Bc. či </w:t>
      </w:r>
      <w:proofErr w:type="spellStart"/>
      <w:r w:rsidRPr="00652D78">
        <w:rPr>
          <w:rFonts w:ascii="Arial" w:hAnsi="Arial" w:cs="Arial"/>
          <w:sz w:val="20"/>
          <w:szCs w:val="20"/>
        </w:rPr>
        <w:t>BcA</w:t>
      </w:r>
      <w:proofErr w:type="spellEnd"/>
      <w:r w:rsidRPr="00652D78">
        <w:rPr>
          <w:rFonts w:ascii="Arial" w:hAnsi="Arial" w:cs="Arial"/>
          <w:sz w:val="20"/>
          <w:szCs w:val="20"/>
        </w:rPr>
        <w:t xml:space="preserve">.) a </w:t>
      </w:r>
      <w:r w:rsidR="0046706B">
        <w:rPr>
          <w:rFonts w:ascii="Arial" w:hAnsi="Arial" w:cs="Arial"/>
          <w:sz w:val="20"/>
          <w:szCs w:val="20"/>
        </w:rPr>
        <w:t>druhou dvouleté navazující magisterské programy</w:t>
      </w:r>
      <w:r w:rsidRPr="00652D78">
        <w:rPr>
          <w:rFonts w:ascii="Arial" w:hAnsi="Arial" w:cs="Arial"/>
          <w:sz w:val="20"/>
          <w:szCs w:val="20"/>
        </w:rPr>
        <w:t xml:space="preserve"> pro uchazeče s dokončeným bakalářským vzděláním. Pětileté</w:t>
      </w:r>
      <w:r w:rsidR="00706F54">
        <w:rPr>
          <w:rFonts w:ascii="Arial" w:hAnsi="Arial" w:cs="Arial"/>
          <w:sz w:val="20"/>
          <w:szCs w:val="20"/>
        </w:rPr>
        <w:t>, příp. šestileté</w:t>
      </w:r>
      <w:r w:rsidRPr="00652D78">
        <w:rPr>
          <w:rFonts w:ascii="Arial" w:hAnsi="Arial" w:cs="Arial"/>
          <w:sz w:val="20"/>
          <w:szCs w:val="20"/>
        </w:rPr>
        <w:t xml:space="preserve"> magisterské programy pro uchazeče s dokončeným středoškolským vzdělán</w:t>
      </w:r>
      <w:r w:rsidR="0046706B">
        <w:rPr>
          <w:rFonts w:ascii="Arial" w:hAnsi="Arial" w:cs="Arial"/>
          <w:sz w:val="20"/>
          <w:szCs w:val="20"/>
        </w:rPr>
        <w:t>ím se dále vyskytují u oborů, u </w:t>
      </w:r>
      <w:r w:rsidRPr="00652D78">
        <w:rPr>
          <w:rFonts w:ascii="Arial" w:hAnsi="Arial" w:cs="Arial"/>
          <w:sz w:val="20"/>
          <w:szCs w:val="20"/>
        </w:rPr>
        <w:t xml:space="preserve">nichž nebylo rozdělení na dvě úrovně vzdělávání možné. Jedná se například o studium medicíny, veterinárního lékařství nebo práva. Absolventi magisterského i navazujícího magisterského studia získávají titul Mgr., Ing., </w:t>
      </w:r>
      <w:proofErr w:type="spellStart"/>
      <w:r w:rsidRPr="00652D78">
        <w:rPr>
          <w:rFonts w:ascii="Arial" w:hAnsi="Arial" w:cs="Arial"/>
          <w:sz w:val="20"/>
          <w:szCs w:val="20"/>
        </w:rPr>
        <w:t>MgA</w:t>
      </w:r>
      <w:proofErr w:type="spellEnd"/>
      <w:r w:rsidRPr="00652D78">
        <w:rPr>
          <w:rFonts w:ascii="Arial" w:hAnsi="Arial" w:cs="Arial"/>
          <w:sz w:val="20"/>
          <w:szCs w:val="20"/>
        </w:rPr>
        <w:t xml:space="preserve">., Ing. Arch., MUDr., </w:t>
      </w:r>
      <w:proofErr w:type="spellStart"/>
      <w:r w:rsidRPr="00652D78">
        <w:rPr>
          <w:rFonts w:ascii="Arial" w:hAnsi="Arial" w:cs="Arial"/>
          <w:sz w:val="20"/>
          <w:szCs w:val="20"/>
        </w:rPr>
        <w:t>MDDr</w:t>
      </w:r>
      <w:proofErr w:type="spellEnd"/>
      <w:r w:rsidRPr="00652D78">
        <w:rPr>
          <w:rFonts w:ascii="Arial" w:hAnsi="Arial" w:cs="Arial"/>
          <w:sz w:val="20"/>
          <w:szCs w:val="20"/>
        </w:rPr>
        <w:t xml:space="preserve">. nebo MVDr. a mohou vykonat v téže oblasti studia státní rigorózní zkoušku, jejíž součástí je obhajoba rigorózní práce (vede k titulu PhDr., JUDr., RNDr., PharmDr., </w:t>
      </w:r>
      <w:proofErr w:type="spellStart"/>
      <w:r w:rsidRPr="00652D78">
        <w:rPr>
          <w:rFonts w:ascii="Arial" w:hAnsi="Arial" w:cs="Arial"/>
          <w:sz w:val="20"/>
          <w:szCs w:val="20"/>
        </w:rPr>
        <w:t>ThLic</w:t>
      </w:r>
      <w:proofErr w:type="spellEnd"/>
      <w:r w:rsidRPr="00652D78">
        <w:rPr>
          <w:rFonts w:ascii="Arial" w:hAnsi="Arial" w:cs="Arial"/>
          <w:sz w:val="20"/>
          <w:szCs w:val="20"/>
        </w:rPr>
        <w:t xml:space="preserve">. nebo ThDr.). Po úspěšném ukončení magisterského či navazujícího magisterského programu mohou studenti dále pokračovat ve studiu doktorského programu (obvykle tří až čtyřletého), které je již více zaměřené na vědeckou činnost a po jehož dokončení získávají studenti titul Ph.D. či </w:t>
      </w:r>
      <w:proofErr w:type="spellStart"/>
      <w:r w:rsidRPr="00652D78">
        <w:rPr>
          <w:rFonts w:ascii="Arial" w:hAnsi="Arial" w:cs="Arial"/>
          <w:sz w:val="20"/>
          <w:szCs w:val="20"/>
        </w:rPr>
        <w:t>Th.D</w:t>
      </w:r>
      <w:proofErr w:type="spellEnd"/>
      <w:r w:rsidRPr="00652D78">
        <w:rPr>
          <w:rFonts w:ascii="Arial" w:hAnsi="Arial" w:cs="Arial"/>
          <w:sz w:val="20"/>
          <w:szCs w:val="20"/>
        </w:rPr>
        <w:t>.. Tyto tituly byly v České republice zavedeny v roce 1998 zákonem číslo 111/1998 Sb., o vysokých školách. Více viz Zákon o vysokých školách (č. 111/1998 Sb.).</w:t>
      </w:r>
    </w:p>
    <w:p w14:paraId="625414E7" w14:textId="0A2C40C6" w:rsidR="002659EE" w:rsidRPr="005D2B7E" w:rsidRDefault="002659EE" w:rsidP="002659EE">
      <w:pPr>
        <w:pStyle w:val="Default"/>
        <w:spacing w:after="120" w:line="288" w:lineRule="auto"/>
        <w:ind w:firstLine="284"/>
        <w:jc w:val="both"/>
        <w:rPr>
          <w:rFonts w:ascii="Arial" w:hAnsi="Arial" w:cs="Arial"/>
          <w:b/>
          <w:sz w:val="20"/>
          <w:szCs w:val="20"/>
        </w:rPr>
      </w:pPr>
      <w:r w:rsidRPr="008F76D0">
        <w:rPr>
          <w:rFonts w:ascii="Arial" w:hAnsi="Arial" w:cs="Arial"/>
          <w:sz w:val="20"/>
          <w:szCs w:val="20"/>
        </w:rPr>
        <w:t xml:space="preserve">Vysoké školy se podle zřizovatele dělí na veřejné, soukromé a státní. Zákonem z roku 1998 bylo změněno právní postavení dosavadních státních vysokých škol na veřejnoprávní instituce. Výjimku tvoří Policejní akademie České republiky v Praze a Univerzita obrany, které jsou stále vysokými školami státními a spadají pod Ministerstvo </w:t>
      </w:r>
      <w:r w:rsidR="0046706B">
        <w:rPr>
          <w:rFonts w:ascii="Arial" w:hAnsi="Arial" w:cs="Arial"/>
          <w:sz w:val="20"/>
          <w:szCs w:val="20"/>
        </w:rPr>
        <w:t>vnitra a Ministerstvo obrany</w:t>
      </w:r>
      <w:r w:rsidRPr="008F76D0">
        <w:rPr>
          <w:rFonts w:ascii="Arial" w:hAnsi="Arial" w:cs="Arial"/>
          <w:sz w:val="20"/>
          <w:szCs w:val="20"/>
        </w:rPr>
        <w:t xml:space="preserve">. Tímto zákonem byl také umožněn vznik soukromých vysokých </w:t>
      </w:r>
      <w:r w:rsidRPr="008F76D0">
        <w:rPr>
          <w:rFonts w:ascii="Arial" w:hAnsi="Arial" w:cs="Arial"/>
          <w:sz w:val="20"/>
          <w:szCs w:val="20"/>
        </w:rPr>
        <w:lastRenderedPageBreak/>
        <w:t>škol. Vznikla také po</w:t>
      </w:r>
      <w:r w:rsidR="00056E52">
        <w:rPr>
          <w:rFonts w:ascii="Arial" w:hAnsi="Arial" w:cs="Arial"/>
          <w:sz w:val="20"/>
          <w:szCs w:val="20"/>
        </w:rPr>
        <w:t>vinnost vést matriky studentů. Údaje z těchto matrik se pak centrálně shromažďují</w:t>
      </w:r>
      <w:r w:rsidRPr="008F76D0">
        <w:rPr>
          <w:rFonts w:ascii="Arial" w:hAnsi="Arial" w:cs="Arial"/>
          <w:sz w:val="20"/>
          <w:szCs w:val="20"/>
        </w:rPr>
        <w:t xml:space="preserve"> v systému Sdružených informací matrik studentů (SIMS). Pouze dvě výše zmíněné státní vysoké školy fungují v odlišném režimu, než jak je tomu u veřejných a soukromých škol, a nemají povinnost předávat informace do centrální evidence SIMS. </w:t>
      </w:r>
    </w:p>
    <w:p w14:paraId="4EB2D4B5" w14:textId="77777777" w:rsidR="002659EE" w:rsidRDefault="002659EE" w:rsidP="002659EE">
      <w:pPr>
        <w:pStyle w:val="Default"/>
        <w:jc w:val="both"/>
        <w:rPr>
          <w:sz w:val="20"/>
          <w:szCs w:val="20"/>
        </w:rPr>
      </w:pPr>
    </w:p>
    <w:p w14:paraId="3D970815" w14:textId="70B26176" w:rsidR="002659EE" w:rsidRPr="00E751D8" w:rsidRDefault="00D551AB" w:rsidP="0027212B">
      <w:pPr>
        <w:pStyle w:val="Nadpis2"/>
      </w:pPr>
      <w:bookmarkStart w:id="4" w:name="_Toc103080338"/>
      <w:r>
        <w:t>Použité</w:t>
      </w:r>
      <w:r w:rsidR="002659EE" w:rsidRPr="00E751D8">
        <w:t xml:space="preserve"> klasifikac</w:t>
      </w:r>
      <w:r>
        <w:t>e</w:t>
      </w:r>
      <w:bookmarkEnd w:id="4"/>
    </w:p>
    <w:p w14:paraId="661DEFC8" w14:textId="77777777" w:rsidR="002659EE" w:rsidRPr="00845658" w:rsidRDefault="002659EE" w:rsidP="0027212B">
      <w:pPr>
        <w:pStyle w:val="Default"/>
        <w:keepNext/>
        <w:jc w:val="both"/>
        <w:rPr>
          <w:rFonts w:ascii="Arial" w:eastAsia="MS Gothic" w:hAnsi="Arial" w:cs="Times New Roman"/>
          <w:b/>
          <w:bCs/>
          <w:color w:val="009BB4"/>
          <w:lang w:eastAsia="cs-CZ"/>
        </w:rPr>
      </w:pPr>
    </w:p>
    <w:p w14:paraId="2584C9EA" w14:textId="77777777" w:rsidR="002659EE" w:rsidRPr="00356276" w:rsidRDefault="002659EE" w:rsidP="0027212B">
      <w:pPr>
        <w:pStyle w:val="Default"/>
        <w:keepNext/>
        <w:jc w:val="both"/>
        <w:rPr>
          <w:rFonts w:ascii="Arial" w:eastAsia="MS Gothic" w:hAnsi="Arial" w:cs="Times New Roman"/>
          <w:b/>
          <w:bCs/>
          <w:color w:val="C00000"/>
          <w:sz w:val="22"/>
          <w:szCs w:val="22"/>
          <w:lang w:eastAsia="cs-CZ"/>
        </w:rPr>
      </w:pPr>
      <w:r w:rsidRPr="00356276">
        <w:rPr>
          <w:rFonts w:ascii="Arial" w:eastAsia="MS Gothic" w:hAnsi="Arial" w:cs="Times New Roman"/>
          <w:b/>
          <w:bCs/>
          <w:color w:val="C00000"/>
          <w:lang w:eastAsia="cs-CZ"/>
        </w:rPr>
        <w:t>Klasifikace vzdělání</w:t>
      </w:r>
      <w:r w:rsidRPr="00356276">
        <w:rPr>
          <w:rFonts w:ascii="Arial" w:eastAsia="MS Gothic" w:hAnsi="Arial" w:cs="Times New Roman"/>
          <w:b/>
          <w:bCs/>
          <w:color w:val="C00000"/>
          <w:sz w:val="22"/>
          <w:szCs w:val="22"/>
          <w:lang w:eastAsia="cs-CZ"/>
        </w:rPr>
        <w:t xml:space="preserve"> ISCED 2011</w:t>
      </w:r>
    </w:p>
    <w:p w14:paraId="7242CBF4" w14:textId="77777777" w:rsidR="002659EE" w:rsidRPr="003E53DF" w:rsidRDefault="002659EE" w:rsidP="002659EE">
      <w:pPr>
        <w:pStyle w:val="Default"/>
        <w:jc w:val="both"/>
        <w:rPr>
          <w:color w:val="auto"/>
          <w:sz w:val="20"/>
          <w:szCs w:val="20"/>
        </w:rPr>
      </w:pPr>
    </w:p>
    <w:p w14:paraId="07974774" w14:textId="77777777" w:rsidR="002659EE" w:rsidRPr="008F76D0" w:rsidRDefault="002659EE" w:rsidP="002659EE">
      <w:pPr>
        <w:pStyle w:val="Default"/>
        <w:spacing w:line="288" w:lineRule="auto"/>
        <w:ind w:firstLine="284"/>
        <w:jc w:val="both"/>
        <w:rPr>
          <w:rFonts w:ascii="Arial" w:hAnsi="Arial" w:cs="Arial"/>
          <w:sz w:val="20"/>
          <w:szCs w:val="20"/>
        </w:rPr>
      </w:pPr>
      <w:r w:rsidRPr="008F76D0">
        <w:rPr>
          <w:rFonts w:ascii="Arial" w:hAnsi="Arial" w:cs="Arial"/>
          <w:sz w:val="20"/>
          <w:szCs w:val="20"/>
        </w:rPr>
        <w:t xml:space="preserve">Pro sledování úrovně </w:t>
      </w:r>
      <w:proofErr w:type="gramStart"/>
      <w:r w:rsidRPr="008F76D0">
        <w:rPr>
          <w:rFonts w:ascii="Arial" w:hAnsi="Arial" w:cs="Arial"/>
          <w:sz w:val="20"/>
          <w:szCs w:val="20"/>
        </w:rPr>
        <w:t>vzdělá(</w:t>
      </w:r>
      <w:proofErr w:type="spellStart"/>
      <w:r w:rsidRPr="008F76D0">
        <w:rPr>
          <w:rFonts w:ascii="Arial" w:hAnsi="Arial" w:cs="Arial"/>
          <w:sz w:val="20"/>
          <w:szCs w:val="20"/>
        </w:rPr>
        <w:t>vá</w:t>
      </w:r>
      <w:proofErr w:type="spellEnd"/>
      <w:proofErr w:type="gramEnd"/>
      <w:r w:rsidRPr="008F76D0">
        <w:rPr>
          <w:rFonts w:ascii="Arial" w:hAnsi="Arial" w:cs="Arial"/>
          <w:sz w:val="20"/>
          <w:szCs w:val="20"/>
        </w:rPr>
        <w:t xml:space="preserve">)ní </w:t>
      </w:r>
      <w:r>
        <w:rPr>
          <w:rFonts w:ascii="Arial" w:hAnsi="Arial" w:cs="Arial"/>
          <w:sz w:val="20"/>
          <w:szCs w:val="20"/>
        </w:rPr>
        <w:t>je</w:t>
      </w:r>
      <w:r w:rsidRPr="008F76D0">
        <w:rPr>
          <w:rFonts w:ascii="Arial" w:hAnsi="Arial" w:cs="Arial"/>
          <w:sz w:val="20"/>
          <w:szCs w:val="20"/>
        </w:rPr>
        <w:t xml:space="preserve"> v datech použita mezin</w:t>
      </w:r>
      <w:r>
        <w:rPr>
          <w:rFonts w:ascii="Arial" w:hAnsi="Arial" w:cs="Arial"/>
          <w:sz w:val="20"/>
          <w:szCs w:val="20"/>
        </w:rPr>
        <w:t xml:space="preserve">árodní klasifikace </w:t>
      </w:r>
      <w:r w:rsidRPr="00E751D8">
        <w:rPr>
          <w:rFonts w:ascii="Arial" w:hAnsi="Arial" w:cs="Arial"/>
          <w:b/>
          <w:color w:val="943634"/>
          <w:sz w:val="20"/>
          <w:szCs w:val="20"/>
        </w:rPr>
        <w:t>CZ-ISCED 2011</w:t>
      </w:r>
      <w:r w:rsidRPr="008F76D0">
        <w:rPr>
          <w:rFonts w:ascii="Arial" w:hAnsi="Arial" w:cs="Arial"/>
          <w:sz w:val="20"/>
          <w:szCs w:val="20"/>
        </w:rPr>
        <w:t xml:space="preserve"> – více viz </w:t>
      </w:r>
      <w:hyperlink r:id="rId15" w:history="1">
        <w:r w:rsidRPr="0053040F">
          <w:rPr>
            <w:rStyle w:val="Hypertextovodkaz"/>
            <w:rFonts w:ascii="Arial" w:hAnsi="Arial" w:cs="Arial"/>
            <w:color w:val="943634"/>
            <w:sz w:val="20"/>
            <w:szCs w:val="20"/>
          </w:rPr>
          <w:t>zde</w:t>
        </w:r>
      </w:hyperlink>
      <w:r w:rsidRPr="00E751D8">
        <w:rPr>
          <w:rFonts w:ascii="Arial" w:hAnsi="Arial" w:cs="Arial"/>
          <w:color w:val="943634"/>
          <w:sz w:val="20"/>
          <w:szCs w:val="20"/>
        </w:rPr>
        <w:t>.</w:t>
      </w:r>
    </w:p>
    <w:p w14:paraId="519CF1B3" w14:textId="77777777" w:rsidR="002659EE" w:rsidRDefault="002659EE" w:rsidP="002659EE">
      <w:pPr>
        <w:pStyle w:val="Default"/>
        <w:jc w:val="both"/>
        <w:rPr>
          <w:b/>
          <w:sz w:val="20"/>
          <w:szCs w:val="20"/>
        </w:rPr>
      </w:pPr>
    </w:p>
    <w:p w14:paraId="0CF14196" w14:textId="77777777" w:rsidR="002659EE" w:rsidRPr="00356276" w:rsidRDefault="00A81F66" w:rsidP="002659EE">
      <w:pPr>
        <w:pStyle w:val="Default"/>
        <w:jc w:val="both"/>
        <w:rPr>
          <w:rFonts w:ascii="Arial" w:eastAsia="MS Gothic" w:hAnsi="Arial" w:cs="Times New Roman"/>
          <w:b/>
          <w:bCs/>
          <w:color w:val="C00000"/>
          <w:lang w:eastAsia="cs-CZ"/>
        </w:rPr>
      </w:pPr>
      <w:r w:rsidRPr="00356276">
        <w:rPr>
          <w:rFonts w:ascii="Arial" w:eastAsia="MS Gothic" w:hAnsi="Arial" w:cs="Times New Roman"/>
          <w:b/>
          <w:bCs/>
          <w:color w:val="C00000"/>
          <w:lang w:eastAsia="cs-CZ"/>
        </w:rPr>
        <w:t>Klasifikace oborů vzdělá</w:t>
      </w:r>
      <w:r w:rsidR="002659EE" w:rsidRPr="00356276">
        <w:rPr>
          <w:rFonts w:ascii="Arial" w:eastAsia="MS Gothic" w:hAnsi="Arial" w:cs="Times New Roman"/>
          <w:b/>
          <w:bCs/>
          <w:color w:val="C00000"/>
          <w:lang w:eastAsia="cs-CZ"/>
        </w:rPr>
        <w:t>ní ISCED-F 2013</w:t>
      </w:r>
    </w:p>
    <w:p w14:paraId="1E6DDE01" w14:textId="77777777" w:rsidR="002659EE" w:rsidRPr="008F76D0" w:rsidRDefault="002659EE" w:rsidP="002659EE">
      <w:pPr>
        <w:pStyle w:val="Default"/>
        <w:jc w:val="both"/>
        <w:rPr>
          <w:rFonts w:ascii="Arial" w:eastAsia="MS Gothic" w:hAnsi="Arial" w:cs="Times New Roman"/>
          <w:b/>
          <w:bCs/>
          <w:color w:val="009BB4"/>
          <w:sz w:val="22"/>
          <w:szCs w:val="22"/>
          <w:lang w:eastAsia="cs-CZ"/>
        </w:rPr>
      </w:pPr>
    </w:p>
    <w:p w14:paraId="77EA7CEA" w14:textId="77777777" w:rsidR="002659EE" w:rsidRPr="008F76D0" w:rsidRDefault="00A81F66" w:rsidP="00706F54">
      <w:pPr>
        <w:pStyle w:val="Default"/>
        <w:spacing w:line="276" w:lineRule="auto"/>
        <w:ind w:firstLine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Klasifikace oborů vzdělá</w:t>
      </w:r>
      <w:r w:rsidR="002659EE">
        <w:rPr>
          <w:rFonts w:ascii="Arial" w:hAnsi="Arial" w:cs="Arial"/>
          <w:sz w:val="20"/>
          <w:szCs w:val="20"/>
        </w:rPr>
        <w:t xml:space="preserve">ní </w:t>
      </w:r>
      <w:r w:rsidR="002659EE" w:rsidRPr="00E751D8">
        <w:rPr>
          <w:rFonts w:ascii="Arial" w:hAnsi="Arial" w:cs="Arial"/>
          <w:b/>
          <w:color w:val="943634"/>
          <w:sz w:val="20"/>
          <w:szCs w:val="20"/>
        </w:rPr>
        <w:t>CZ-ISCED-F 2013</w:t>
      </w:r>
      <w:r w:rsidR="002659EE">
        <w:rPr>
          <w:rFonts w:ascii="Arial" w:hAnsi="Arial" w:cs="Arial"/>
          <w:sz w:val="20"/>
          <w:szCs w:val="20"/>
        </w:rPr>
        <w:t xml:space="preserve"> (více viz </w:t>
      </w:r>
      <w:hyperlink r:id="rId16" w:history="1">
        <w:r w:rsidR="002659EE" w:rsidRPr="0053040F">
          <w:rPr>
            <w:rStyle w:val="Hypertextovodkaz"/>
            <w:rFonts w:ascii="Arial" w:hAnsi="Arial" w:cs="Arial"/>
            <w:color w:val="943634"/>
            <w:sz w:val="20"/>
            <w:szCs w:val="20"/>
          </w:rPr>
          <w:t>zde</w:t>
        </w:r>
      </w:hyperlink>
      <w:r w:rsidR="002659EE">
        <w:rPr>
          <w:rFonts w:ascii="Arial" w:hAnsi="Arial" w:cs="Arial"/>
          <w:sz w:val="20"/>
          <w:szCs w:val="20"/>
        </w:rPr>
        <w:t>) navazuj</w:t>
      </w:r>
      <w:r>
        <w:rPr>
          <w:rFonts w:ascii="Arial" w:hAnsi="Arial" w:cs="Arial"/>
          <w:sz w:val="20"/>
          <w:szCs w:val="20"/>
        </w:rPr>
        <w:t>e na Klasifikaci úrovně vzdělá</w:t>
      </w:r>
      <w:r w:rsidR="002659EE">
        <w:rPr>
          <w:rFonts w:ascii="Arial" w:hAnsi="Arial" w:cs="Arial"/>
          <w:sz w:val="20"/>
          <w:szCs w:val="20"/>
        </w:rPr>
        <w:t>ní CZ-ISCED 2</w:t>
      </w:r>
      <w:r>
        <w:rPr>
          <w:rFonts w:ascii="Arial" w:hAnsi="Arial" w:cs="Arial"/>
          <w:sz w:val="20"/>
          <w:szCs w:val="20"/>
        </w:rPr>
        <w:t>011 a nahrazuje obory vzdělá</w:t>
      </w:r>
      <w:r w:rsidR="002659EE">
        <w:rPr>
          <w:rFonts w:ascii="Arial" w:hAnsi="Arial" w:cs="Arial"/>
          <w:sz w:val="20"/>
          <w:szCs w:val="20"/>
        </w:rPr>
        <w:t>ní stanovené Mezinárodní klasifikací vzdělání ISCED 97. Cílem je na základě jednotné a mezinárodně srovnatelné metodiky klasifikovat obory vzdělávacích programů a související kvalifikace na základě obsahu programu.</w:t>
      </w:r>
    </w:p>
    <w:p w14:paraId="79C711D1" w14:textId="77777777" w:rsidR="002659EE" w:rsidRPr="00356276" w:rsidRDefault="002659EE" w:rsidP="002659EE">
      <w:pPr>
        <w:pStyle w:val="Default"/>
        <w:jc w:val="both"/>
        <w:rPr>
          <w:b/>
          <w:bCs/>
          <w:color w:val="C00000"/>
          <w:sz w:val="22"/>
          <w:szCs w:val="22"/>
        </w:rPr>
      </w:pPr>
    </w:p>
    <w:p w14:paraId="65038605" w14:textId="77777777" w:rsidR="002659EE" w:rsidRPr="00356276" w:rsidRDefault="002659EE" w:rsidP="002659EE">
      <w:pPr>
        <w:pStyle w:val="Default"/>
        <w:jc w:val="both"/>
        <w:rPr>
          <w:rFonts w:ascii="Arial" w:eastAsia="MS Gothic" w:hAnsi="Arial" w:cs="Times New Roman"/>
          <w:b/>
          <w:bCs/>
          <w:color w:val="C00000"/>
          <w:lang w:eastAsia="cs-CZ"/>
        </w:rPr>
      </w:pPr>
      <w:r w:rsidRPr="00356276">
        <w:rPr>
          <w:rFonts w:ascii="Arial" w:eastAsia="MS Gothic" w:hAnsi="Arial" w:cs="Times New Roman"/>
          <w:b/>
          <w:bCs/>
          <w:color w:val="C00000"/>
          <w:lang w:eastAsia="cs-CZ"/>
        </w:rPr>
        <w:t>Interdisciplinární programy a kvalifikace</w:t>
      </w:r>
    </w:p>
    <w:p w14:paraId="53395AD6" w14:textId="77777777" w:rsidR="002659EE" w:rsidRPr="00356276" w:rsidRDefault="002659EE" w:rsidP="002659EE">
      <w:pPr>
        <w:pStyle w:val="Default"/>
        <w:spacing w:line="276" w:lineRule="auto"/>
        <w:jc w:val="both"/>
        <w:rPr>
          <w:rFonts w:ascii="Arial" w:eastAsia="MS Gothic" w:hAnsi="Arial" w:cs="Times New Roman"/>
          <w:b/>
          <w:bCs/>
          <w:color w:val="C00000"/>
          <w:sz w:val="22"/>
          <w:szCs w:val="22"/>
          <w:lang w:eastAsia="cs-CZ"/>
        </w:rPr>
      </w:pPr>
    </w:p>
    <w:p w14:paraId="5A5EA898" w14:textId="77777777" w:rsidR="002659EE" w:rsidRPr="00E751D8" w:rsidRDefault="002659EE" w:rsidP="00706F54">
      <w:pPr>
        <w:pStyle w:val="Default"/>
        <w:spacing w:line="276" w:lineRule="auto"/>
        <w:ind w:firstLine="284"/>
        <w:jc w:val="both"/>
        <w:rPr>
          <w:rFonts w:ascii="Arial" w:eastAsia="MS Gothic" w:hAnsi="Arial" w:cs="Times New Roman"/>
          <w:bCs/>
          <w:sz w:val="20"/>
          <w:szCs w:val="20"/>
          <w:lang w:eastAsia="cs-CZ"/>
        </w:rPr>
      </w:pPr>
      <w:r w:rsidRPr="00E751D8">
        <w:rPr>
          <w:rFonts w:ascii="Arial" w:eastAsia="MS Gothic" w:hAnsi="Arial" w:cs="Times New Roman"/>
          <w:bCs/>
          <w:sz w:val="20"/>
          <w:szCs w:val="20"/>
          <w:lang w:eastAsia="cs-CZ"/>
        </w:rPr>
        <w:t xml:space="preserve">Některé studijní programy nelze z důvodu jejich interdisciplinarity jednoznačně zařadit do podrobně vymezených kategorií klasifikace ISCED-F 2013. Jedná se zejména o interdisciplinární nebo obsahově široké programy a kvalifikace, které kombinují několik podrobně či úzce vymezených oborů vzdělání, z nichž žádný nepřevládá. Lze je však zařadit do široce vymezeného oboru (nadřazené kategorie) na základě „pravidla hlavního předmětu“, které určí široce vymezený obor.  </w:t>
      </w:r>
    </w:p>
    <w:p w14:paraId="7C76BBC9" w14:textId="77777777" w:rsidR="002659EE" w:rsidRDefault="002659EE" w:rsidP="002659EE">
      <w:pPr>
        <w:pStyle w:val="Default"/>
        <w:jc w:val="both"/>
        <w:rPr>
          <w:b/>
          <w:bCs/>
          <w:sz w:val="22"/>
          <w:szCs w:val="22"/>
        </w:rPr>
      </w:pPr>
    </w:p>
    <w:p w14:paraId="720F15C9" w14:textId="72C97E57" w:rsidR="002659EE" w:rsidRPr="00A32584" w:rsidRDefault="00D551AB" w:rsidP="000D7FAA">
      <w:pPr>
        <w:pStyle w:val="Nadpis2"/>
      </w:pPr>
      <w:bookmarkStart w:id="5" w:name="_Toc103080339"/>
      <w:r>
        <w:t>Zdroje dat a šetřené</w:t>
      </w:r>
      <w:r w:rsidR="002659EE" w:rsidRPr="00E751D8">
        <w:t xml:space="preserve"> jednotk</w:t>
      </w:r>
      <w:r>
        <w:t>y</w:t>
      </w:r>
      <w:bookmarkEnd w:id="5"/>
    </w:p>
    <w:p w14:paraId="47C3C551" w14:textId="77777777" w:rsidR="002659EE" w:rsidRPr="00C4638E" w:rsidRDefault="002659EE" w:rsidP="002659EE">
      <w:pPr>
        <w:pStyle w:val="Default"/>
        <w:jc w:val="both"/>
        <w:rPr>
          <w:color w:val="0070C0"/>
          <w:sz w:val="20"/>
          <w:szCs w:val="20"/>
        </w:rPr>
      </w:pPr>
    </w:p>
    <w:p w14:paraId="3C7593A9" w14:textId="77777777" w:rsidR="002659EE" w:rsidRPr="000455DB" w:rsidRDefault="002659EE" w:rsidP="000455DB">
      <w:pPr>
        <w:keepNext/>
        <w:spacing w:line="240" w:lineRule="auto"/>
        <w:jc w:val="both"/>
        <w:rPr>
          <w:rFonts w:eastAsia="MS Gothic"/>
          <w:b/>
          <w:bCs/>
          <w:color w:val="943634"/>
          <w:sz w:val="24"/>
        </w:rPr>
      </w:pPr>
      <w:r w:rsidRPr="00356276">
        <w:rPr>
          <w:rFonts w:eastAsia="MS Gothic"/>
          <w:b/>
          <w:bCs/>
          <w:color w:val="C00000"/>
          <w:sz w:val="24"/>
        </w:rPr>
        <w:t xml:space="preserve">Studenti a absolventi veřejných a soukromých vysokých škol </w:t>
      </w:r>
    </w:p>
    <w:p w14:paraId="3B20B187" w14:textId="53F80300" w:rsidR="008E2C57" w:rsidRPr="00F048B9" w:rsidRDefault="002659EE" w:rsidP="00F048B9">
      <w:pPr>
        <w:tabs>
          <w:tab w:val="left" w:pos="0"/>
          <w:tab w:val="left" w:pos="601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autoSpaceDE w:val="0"/>
        <w:autoSpaceDN w:val="0"/>
        <w:adjustRightInd w:val="0"/>
        <w:spacing w:after="120"/>
        <w:ind w:firstLine="284"/>
        <w:jc w:val="both"/>
        <w:rPr>
          <w:rFonts w:cs="Arial"/>
          <w:szCs w:val="20"/>
        </w:rPr>
      </w:pPr>
      <w:r w:rsidRPr="00E50495">
        <w:rPr>
          <w:rFonts w:cs="Arial"/>
          <w:szCs w:val="20"/>
        </w:rPr>
        <w:t>Zdrojem dat o studentech a absolventech veřejných a soukromých vysokých škol je systém Sdružených informací matrik studentů (</w:t>
      </w:r>
      <w:hyperlink r:id="rId17" w:history="1">
        <w:r w:rsidRPr="00E751D8">
          <w:rPr>
            <w:rStyle w:val="Hypertextovodkaz"/>
            <w:rFonts w:eastAsia="MS Gothic" w:cs="Arial"/>
            <w:color w:val="943634"/>
            <w:szCs w:val="20"/>
          </w:rPr>
          <w:t>SIMS</w:t>
        </w:r>
      </w:hyperlink>
      <w:r w:rsidRPr="00E50495">
        <w:rPr>
          <w:rFonts w:cs="Arial"/>
          <w:szCs w:val="20"/>
        </w:rPr>
        <w:t>). Publikované údaje jsou v případě počtu studentů podle stavu k 31. prosinci daného roku; údaje o poprvé zapsaných studentech a absolventech za kalendářní rok. Zdrojová databáze SIMS je průběžně doplňována a aktualizována, včetně zpětných oprav; publikované údaje</w:t>
      </w:r>
      <w:r w:rsidR="00E47933">
        <w:rPr>
          <w:rFonts w:cs="Arial"/>
          <w:szCs w:val="20"/>
        </w:rPr>
        <w:t xml:space="preserve"> jsou dle stavu k </w:t>
      </w:r>
      <w:r w:rsidR="002839A9">
        <w:rPr>
          <w:rFonts w:cs="Arial"/>
          <w:szCs w:val="20"/>
        </w:rPr>
        <w:t>20. lednu 2021</w:t>
      </w:r>
      <w:r w:rsidRPr="00E50495">
        <w:rPr>
          <w:rFonts w:cs="Arial"/>
          <w:szCs w:val="20"/>
        </w:rPr>
        <w:t>. Údaje vypovídají o počtech fyzických osob, tj. každý student je v příslušném celku zahrnut jen jednou, včetně studentů, kteří současně studují ve více studijních progr</w:t>
      </w:r>
      <w:r w:rsidR="00E47933">
        <w:rPr>
          <w:rFonts w:cs="Arial"/>
          <w:szCs w:val="20"/>
        </w:rPr>
        <w:t>amech. Celkové počty studentů a </w:t>
      </w:r>
      <w:r w:rsidRPr="00E50495">
        <w:rPr>
          <w:rFonts w:cs="Arial"/>
          <w:szCs w:val="20"/>
        </w:rPr>
        <w:t xml:space="preserve">absolventů tak nemusejí souhlasit se součty za jednotlivé vysoké školy, případně jednotlivé obory studia, formy studia a typy studijních programů. Údaje o studentech jsou dostupné v podrobnějších členěních, např. v krajském členění dle trvalého bydliště studenta či v členění dle státního občanství, které studenti uvedou při zápisu na vysokou školu. Zde je </w:t>
      </w:r>
      <w:r>
        <w:rPr>
          <w:rFonts w:cs="Arial"/>
          <w:szCs w:val="20"/>
        </w:rPr>
        <w:t>třeba</w:t>
      </w:r>
      <w:r w:rsidRPr="00E50495">
        <w:rPr>
          <w:rFonts w:cs="Arial"/>
          <w:szCs w:val="20"/>
        </w:rPr>
        <w:t xml:space="preserve"> upozornit, že jeden student může uvést více státních občanství a tedy být evidován pod více občanstv</w:t>
      </w:r>
      <w:r w:rsidR="00F048B9">
        <w:rPr>
          <w:rFonts w:cs="Arial"/>
          <w:szCs w:val="20"/>
        </w:rPr>
        <w:t xml:space="preserve">ími. </w:t>
      </w:r>
      <w:r w:rsidRPr="002659EE">
        <w:rPr>
          <w:sz w:val="32"/>
          <w:szCs w:val="32"/>
        </w:rPr>
        <w:br w:type="page"/>
      </w:r>
    </w:p>
    <w:p w14:paraId="704762C7" w14:textId="690043ED" w:rsidR="00E40ABE" w:rsidRPr="00E40ABE" w:rsidRDefault="00E40ABE" w:rsidP="000D7FAA">
      <w:pPr>
        <w:pStyle w:val="Nadpis1"/>
      </w:pPr>
      <w:bookmarkStart w:id="6" w:name="_Toc103080340"/>
      <w:bookmarkStart w:id="7" w:name="_Toc471197183"/>
      <w:r w:rsidRPr="00E40ABE">
        <w:lastRenderedPageBreak/>
        <w:t>Analýza</w:t>
      </w:r>
      <w:r w:rsidR="00004CE8">
        <w:t xml:space="preserve">, </w:t>
      </w:r>
      <w:r w:rsidR="00333F7F">
        <w:t>část</w:t>
      </w:r>
      <w:r w:rsidR="00004CE8">
        <w:t xml:space="preserve"> A</w:t>
      </w:r>
      <w:r w:rsidR="00B4533A">
        <w:t xml:space="preserve">: studenti </w:t>
      </w:r>
      <w:r w:rsidR="00005792">
        <w:t>vysokých škol v ČR</w:t>
      </w:r>
      <w:bookmarkEnd w:id="6"/>
    </w:p>
    <w:p w14:paraId="5F3C6763" w14:textId="5EA78D6B" w:rsidR="00151EA2" w:rsidRDefault="00EA78F6" w:rsidP="00954833">
      <w:pPr>
        <w:spacing w:after="120"/>
        <w:ind w:firstLine="284"/>
        <w:jc w:val="both"/>
      </w:pPr>
      <w:r>
        <w:t>V</w:t>
      </w:r>
      <w:r w:rsidR="00B4533A">
        <w:t xml:space="preserve"> první části analýzy</w:t>
      </w:r>
      <w:r>
        <w:t xml:space="preserve"> se budeme věnovat zejména</w:t>
      </w:r>
      <w:r w:rsidR="00A9180F">
        <w:t xml:space="preserve"> </w:t>
      </w:r>
      <w:r>
        <w:t xml:space="preserve">statistikám, které </w:t>
      </w:r>
      <w:r w:rsidR="00A9180F">
        <w:t>se</w:t>
      </w:r>
      <w:r>
        <w:t xml:space="preserve"> týkají</w:t>
      </w:r>
      <w:r w:rsidR="00A9180F">
        <w:t xml:space="preserve"> </w:t>
      </w:r>
      <w:r w:rsidR="00A9180F" w:rsidRPr="00B13471">
        <w:rPr>
          <w:b/>
        </w:rPr>
        <w:t xml:space="preserve">studentů </w:t>
      </w:r>
      <w:r w:rsidR="00A9180F">
        <w:t>veřejných a soukromých vysokých škol</w:t>
      </w:r>
      <w:r w:rsidR="00B13471">
        <w:t xml:space="preserve">. Absolventům </w:t>
      </w:r>
      <w:r w:rsidR="00225215">
        <w:t>je</w:t>
      </w:r>
      <w:r w:rsidR="00B13471">
        <w:t xml:space="preserve"> věnována</w:t>
      </w:r>
      <w:r w:rsidR="0053040F">
        <w:t xml:space="preserve"> již podstatně stručnější</w:t>
      </w:r>
      <w:r w:rsidR="00151EA2">
        <w:t xml:space="preserve"> </w:t>
      </w:r>
      <w:r w:rsidR="001114C0">
        <w:t>druhá</w:t>
      </w:r>
      <w:r w:rsidR="00B4533A">
        <w:t xml:space="preserve"> část</w:t>
      </w:r>
      <w:r w:rsidR="00B13471">
        <w:t xml:space="preserve"> analytické zprávy</w:t>
      </w:r>
      <w:r w:rsidR="00A9180F">
        <w:t xml:space="preserve">. </w:t>
      </w:r>
      <w:r w:rsidR="00B35525">
        <w:t>Jak již bylo řečeno v</w:t>
      </w:r>
      <w:r w:rsidR="007A576A">
        <w:t> </w:t>
      </w:r>
      <w:r w:rsidR="00B35525">
        <w:t>úvodu</w:t>
      </w:r>
      <w:r w:rsidR="007A576A">
        <w:t xml:space="preserve"> této publikace</w:t>
      </w:r>
      <w:r w:rsidR="00B35525">
        <w:t>, v</w:t>
      </w:r>
      <w:r w:rsidR="00225215">
        <w:t xml:space="preserve">edle studentů veřejných a soukromých vysokých škol patří do vysokoškolského vzdělávání v České republice také </w:t>
      </w:r>
      <w:r w:rsidR="008705B8">
        <w:t xml:space="preserve">studenti </w:t>
      </w:r>
      <w:r w:rsidR="007A576A">
        <w:t xml:space="preserve">dvou </w:t>
      </w:r>
      <w:r w:rsidR="008705B8">
        <w:t xml:space="preserve">státních vysokých škol. Tito studenti jsou však vykazováni odděleně od studentů veřejných a soukromých vysokých škol </w:t>
      </w:r>
      <w:r w:rsidR="008705B8" w:rsidRPr="007E0FF5">
        <w:t>a</w:t>
      </w:r>
      <w:r w:rsidR="00870415" w:rsidRPr="007E0FF5">
        <w:t xml:space="preserve"> v roce 2021</w:t>
      </w:r>
      <w:r w:rsidR="00225215" w:rsidRPr="007E0FF5">
        <w:t xml:space="preserve"> tvořili je</w:t>
      </w:r>
      <w:r w:rsidR="007A576A" w:rsidRPr="007E0FF5">
        <w:t>n</w:t>
      </w:r>
      <w:r w:rsidR="00225215" w:rsidRPr="007E0FF5">
        <w:t xml:space="preserve"> </w:t>
      </w:r>
      <w:r w:rsidR="00211C24">
        <w:t>1,4</w:t>
      </w:r>
      <w:r w:rsidR="00225215" w:rsidRPr="007E0FF5">
        <w:t>%</w:t>
      </w:r>
      <w:r w:rsidR="00225215">
        <w:t xml:space="preserve"> podíl všech vysokoškolských studentů. Dále </w:t>
      </w:r>
      <w:r w:rsidR="00B35525">
        <w:t>proto</w:t>
      </w:r>
      <w:r w:rsidR="00225215">
        <w:t xml:space="preserve"> </w:t>
      </w:r>
      <w:r w:rsidR="008705B8">
        <w:t xml:space="preserve">budeme </w:t>
      </w:r>
      <w:r w:rsidR="00225215">
        <w:t xml:space="preserve">studenty </w:t>
      </w:r>
      <w:r w:rsidR="00225215" w:rsidRPr="00225215">
        <w:t>veřejných a soukromých vysokých škol</w:t>
      </w:r>
      <w:r w:rsidR="00225215">
        <w:t xml:space="preserve"> nazývat pro zjednodušení </w:t>
      </w:r>
      <w:r w:rsidR="00B35525">
        <w:t xml:space="preserve">obecně </w:t>
      </w:r>
      <w:r w:rsidR="00225215" w:rsidRPr="00817845">
        <w:rPr>
          <w:i/>
        </w:rPr>
        <w:t>studenty vysokých škol</w:t>
      </w:r>
      <w:r w:rsidR="00225215">
        <w:t>.</w:t>
      </w:r>
    </w:p>
    <w:p w14:paraId="036A5270" w14:textId="4CBC5F2E" w:rsidR="009F04D3" w:rsidRDefault="00EA78F6" w:rsidP="00954833">
      <w:pPr>
        <w:spacing w:after="120"/>
        <w:ind w:firstLine="284"/>
        <w:jc w:val="both"/>
      </w:pPr>
      <w:r>
        <w:t>V této kapitole</w:t>
      </w:r>
      <w:r w:rsidR="00A9180F">
        <w:t xml:space="preserve"> představíme </w:t>
      </w:r>
      <w:r w:rsidR="00A9180F" w:rsidRPr="007C44D1">
        <w:t xml:space="preserve">základní přehled </w:t>
      </w:r>
      <w:r w:rsidR="00B13471">
        <w:rPr>
          <w:b/>
        </w:rPr>
        <w:t xml:space="preserve">o vývoji </w:t>
      </w:r>
      <w:r w:rsidR="00A9180F" w:rsidRPr="005A51CF">
        <w:rPr>
          <w:b/>
        </w:rPr>
        <w:t xml:space="preserve">počtu </w:t>
      </w:r>
      <w:r w:rsidR="00B13471">
        <w:rPr>
          <w:b/>
        </w:rPr>
        <w:t xml:space="preserve">studentů </w:t>
      </w:r>
      <w:r w:rsidR="00A9180F" w:rsidRPr="005A51CF">
        <w:rPr>
          <w:b/>
        </w:rPr>
        <w:t>celkem</w:t>
      </w:r>
      <w:r w:rsidR="003D53AC">
        <w:rPr>
          <w:b/>
        </w:rPr>
        <w:t>,</w:t>
      </w:r>
      <w:r w:rsidR="001C6EC4">
        <w:t xml:space="preserve"> jakož i podílu</w:t>
      </w:r>
      <w:r w:rsidR="004A3C46">
        <w:t xml:space="preserve"> </w:t>
      </w:r>
      <w:r w:rsidR="00B35525">
        <w:t>studentů ve věk</w:t>
      </w:r>
      <w:r w:rsidR="00325F82">
        <w:t>u 20–</w:t>
      </w:r>
      <w:r w:rsidR="00B35525">
        <w:t xml:space="preserve">29 let majících bydliště na území České republiky </w:t>
      </w:r>
      <w:r w:rsidR="004A3C46">
        <w:t>z</w:t>
      </w:r>
      <w:r w:rsidR="00B35525">
        <w:t xml:space="preserve"> celkové </w:t>
      </w:r>
      <w:r w:rsidR="004A3C46">
        <w:t xml:space="preserve">populace </w:t>
      </w:r>
      <w:r w:rsidR="00B35525">
        <w:t xml:space="preserve">ČR </w:t>
      </w:r>
      <w:r w:rsidR="004A3C46">
        <w:t>ve věku 20-29 let v</w:t>
      </w:r>
      <w:r w:rsidR="00B35525">
        <w:t> </w:t>
      </w:r>
      <w:r w:rsidR="004A3C46">
        <w:t>čase</w:t>
      </w:r>
      <w:r w:rsidR="00B35525">
        <w:t>. Dále ukážeme vývoj</w:t>
      </w:r>
      <w:r w:rsidR="00F214D1">
        <w:t xml:space="preserve"> podílu studentů</w:t>
      </w:r>
      <w:r w:rsidR="00A9180F">
        <w:t xml:space="preserve"> v jednotlivých studijních programech</w:t>
      </w:r>
      <w:r w:rsidR="00B35525">
        <w:t>. Představíme rozdíly v závislosti na</w:t>
      </w:r>
      <w:r w:rsidR="00F214D1">
        <w:t xml:space="preserve"> </w:t>
      </w:r>
      <w:r w:rsidR="00484AE5">
        <w:t>pohlaví</w:t>
      </w:r>
      <w:r w:rsidR="00325F82">
        <w:t>, státní příslušnosti, formě</w:t>
      </w:r>
      <w:r w:rsidR="00F214D1">
        <w:t xml:space="preserve"> studia a věku. Poté se zaměříme na vývoj počtu studentů </w:t>
      </w:r>
      <w:r w:rsidR="00F214D1" w:rsidRPr="005A51CF">
        <w:rPr>
          <w:b/>
        </w:rPr>
        <w:t xml:space="preserve">v jednotlivých skupinách oborů </w:t>
      </w:r>
      <w:r w:rsidR="00F214D1">
        <w:t>vzdělávání</w:t>
      </w:r>
      <w:r w:rsidR="00613F21">
        <w:t>. P</w:t>
      </w:r>
      <w:r w:rsidR="00F214D1">
        <w:t>ředstavíme, jaké skupiny oborů preferovali v letech 200</w:t>
      </w:r>
      <w:r w:rsidR="00870415">
        <w:t>1 až 2021</w:t>
      </w:r>
      <w:r w:rsidR="00F214D1">
        <w:t xml:space="preserve"> muži a </w:t>
      </w:r>
      <w:r w:rsidR="00424BB8">
        <w:t xml:space="preserve">jaké </w:t>
      </w:r>
      <w:r w:rsidR="00F214D1">
        <w:t xml:space="preserve">ženy či studenti cizí státní příslušnosti a jaký byl v uvedených letech podíl studentů doktorského studia a studentů </w:t>
      </w:r>
      <w:r w:rsidR="0053465C">
        <w:t xml:space="preserve">s </w:t>
      </w:r>
      <w:r w:rsidR="00F214D1">
        <w:t xml:space="preserve">distanční či kombinovanou formou v jednotlivých skupinách oborů vzdělávání. </w:t>
      </w:r>
    </w:p>
    <w:p w14:paraId="7DA56B38" w14:textId="5090579C" w:rsidR="002007EA" w:rsidRDefault="00F214D1" w:rsidP="00954833">
      <w:pPr>
        <w:spacing w:after="120"/>
        <w:ind w:firstLine="284"/>
        <w:jc w:val="both"/>
      </w:pPr>
      <w:r>
        <w:t xml:space="preserve">Nakonec porovnáme údaje o studentech </w:t>
      </w:r>
      <w:r w:rsidRPr="005A51CF">
        <w:rPr>
          <w:b/>
        </w:rPr>
        <w:t>s trvalým bydlištěm v jednotlivých krajích České republiky</w:t>
      </w:r>
      <w:r w:rsidR="009814C8">
        <w:rPr>
          <w:b/>
        </w:rPr>
        <w:t>, jakož i</w:t>
      </w:r>
      <w:r w:rsidR="005A51CF">
        <w:t xml:space="preserve"> </w:t>
      </w:r>
      <w:r w:rsidR="009814C8">
        <w:rPr>
          <w:b/>
        </w:rPr>
        <w:t>bydlících</w:t>
      </w:r>
      <w:r w:rsidR="005A51CF" w:rsidRPr="005A51CF">
        <w:rPr>
          <w:b/>
        </w:rPr>
        <w:t xml:space="preserve"> v</w:t>
      </w:r>
      <w:r w:rsidR="00473CA9">
        <w:rPr>
          <w:b/>
        </w:rPr>
        <w:t> </w:t>
      </w:r>
      <w:r w:rsidR="005A51CF" w:rsidRPr="005A51CF">
        <w:rPr>
          <w:b/>
        </w:rPr>
        <w:t>zahraničí</w:t>
      </w:r>
      <w:r w:rsidR="00473CA9">
        <w:rPr>
          <w:b/>
        </w:rPr>
        <w:t xml:space="preserve"> </w:t>
      </w:r>
      <w:r w:rsidR="00473CA9" w:rsidRPr="00473CA9">
        <w:t>(tj. bez trvalého pobytu v ČR)</w:t>
      </w:r>
      <w:r>
        <w:t xml:space="preserve">. </w:t>
      </w:r>
      <w:r w:rsidR="00613F21">
        <w:t>Ukážeme</w:t>
      </w:r>
      <w:r w:rsidR="00F748A3">
        <w:t>, jaký podíl</w:t>
      </w:r>
      <w:r w:rsidRPr="00F214D1">
        <w:t xml:space="preserve"> </w:t>
      </w:r>
      <w:r>
        <w:t xml:space="preserve">ze všech obyvatel </w:t>
      </w:r>
      <w:r w:rsidR="00325F82">
        <w:t>jednotlivých krajů ve věku 20–</w:t>
      </w:r>
      <w:r w:rsidR="00A57A09">
        <w:t xml:space="preserve">29 let </w:t>
      </w:r>
      <w:r w:rsidR="00F748A3">
        <w:t xml:space="preserve">tvořili v </w:t>
      </w:r>
      <w:r w:rsidR="00870415">
        <w:t>roce 2021</w:t>
      </w:r>
      <w:r w:rsidR="00F748A3">
        <w:t xml:space="preserve"> studenti</w:t>
      </w:r>
      <w:r>
        <w:t>.</w:t>
      </w:r>
      <w:r w:rsidR="00B043F7" w:rsidRPr="00B043F7">
        <w:t xml:space="preserve"> Po</w:t>
      </w:r>
      <w:r w:rsidR="00B043F7">
        <w:t>té uvedeme po</w:t>
      </w:r>
      <w:r w:rsidR="00325F82">
        <w:t>díl studentů doktorských programů</w:t>
      </w:r>
      <w:r w:rsidR="00B043F7" w:rsidRPr="00B043F7">
        <w:t xml:space="preserve"> ze všech studentů, studentů </w:t>
      </w:r>
      <w:r w:rsidR="00B043F7">
        <w:t>s trvalým bydlištěm v </w:t>
      </w:r>
      <w:r w:rsidR="00B043F7" w:rsidRPr="00B043F7">
        <w:t xml:space="preserve">jednotlivých krajích a </w:t>
      </w:r>
      <w:r w:rsidR="00B043F7">
        <w:t xml:space="preserve">studentů bydlících </w:t>
      </w:r>
      <w:r w:rsidR="00B043F7" w:rsidRPr="00B043F7">
        <w:t>v</w:t>
      </w:r>
      <w:r w:rsidR="00B043F7">
        <w:t> </w:t>
      </w:r>
      <w:r w:rsidR="00B043F7" w:rsidRPr="00B043F7">
        <w:t>zahraničí</w:t>
      </w:r>
      <w:r w:rsidR="00870415">
        <w:t xml:space="preserve"> v roce 2021</w:t>
      </w:r>
      <w:r w:rsidR="00B043F7">
        <w:t>. Nakonec nabídneme pohled na p</w:t>
      </w:r>
      <w:r w:rsidR="00B043F7" w:rsidRPr="00B043F7">
        <w:t>rocentuá</w:t>
      </w:r>
      <w:r w:rsidR="00E73E5E">
        <w:t>lní rozlo</w:t>
      </w:r>
      <w:r w:rsidR="00870415">
        <w:t>žení studentů, kteří v roce 2021</w:t>
      </w:r>
      <w:r w:rsidR="00E73E5E">
        <w:t xml:space="preserve"> bydleli</w:t>
      </w:r>
      <w:r w:rsidR="00B043F7" w:rsidRPr="00B043F7">
        <w:t xml:space="preserve"> v jednotlivých krajích </w:t>
      </w:r>
      <w:r w:rsidR="00B043F7">
        <w:t xml:space="preserve">České republiky </w:t>
      </w:r>
      <w:r w:rsidR="00B65FC7">
        <w:t>a v</w:t>
      </w:r>
      <w:r w:rsidR="00E73E5E">
        <w:t> </w:t>
      </w:r>
      <w:r w:rsidR="00B043F7" w:rsidRPr="00B043F7">
        <w:t>zahraničí</w:t>
      </w:r>
      <w:r w:rsidR="00E73E5E">
        <w:t>,</w:t>
      </w:r>
      <w:r w:rsidR="00B043F7" w:rsidRPr="00B043F7">
        <w:t xml:space="preserve"> do skupin oborů vzdělávání</w:t>
      </w:r>
      <w:r w:rsidR="00B043F7">
        <w:t>.</w:t>
      </w:r>
      <w:r w:rsidR="00954833" w:rsidRPr="00954833">
        <w:t xml:space="preserve"> </w:t>
      </w:r>
    </w:p>
    <w:p w14:paraId="38EA3744" w14:textId="47264082" w:rsidR="00A9180F" w:rsidRPr="00A9180F" w:rsidRDefault="00954833" w:rsidP="006011C1">
      <w:pPr>
        <w:ind w:firstLine="284"/>
        <w:jc w:val="both"/>
      </w:pPr>
      <w:r>
        <w:t xml:space="preserve">Pro podrobnější data odkazujeme na tabulkovou část této publikace, příp. na databázi </w:t>
      </w:r>
      <w:r>
        <w:rPr>
          <w:rFonts w:eastAsia="Calibri" w:cs="Arial"/>
          <w:color w:val="000000"/>
          <w:szCs w:val="20"/>
          <w:lang w:eastAsia="en-US"/>
        </w:rPr>
        <w:t xml:space="preserve">MŠMT </w:t>
      </w:r>
      <w:r w:rsidR="00B45D48">
        <w:rPr>
          <w:rFonts w:eastAsia="Calibri" w:cs="Arial"/>
          <w:color w:val="000000"/>
          <w:szCs w:val="20"/>
          <w:lang w:eastAsia="en-US"/>
        </w:rPr>
        <w:t>(pro odkaz viz úvod této publikace).</w:t>
      </w:r>
    </w:p>
    <w:p w14:paraId="35598E70" w14:textId="56F6CD25" w:rsidR="00E00549" w:rsidRPr="00E00549" w:rsidRDefault="00BA133F" w:rsidP="006011C1">
      <w:pPr>
        <w:pStyle w:val="Nadpis2"/>
        <w:spacing w:after="240"/>
      </w:pPr>
      <w:bookmarkStart w:id="8" w:name="_Toc103080341"/>
      <w:r w:rsidRPr="00E40ABE">
        <w:t xml:space="preserve">Studenti </w:t>
      </w:r>
      <w:bookmarkEnd w:id="7"/>
      <w:r w:rsidRPr="00E40ABE">
        <w:t>celkem</w:t>
      </w:r>
      <w:bookmarkEnd w:id="8"/>
    </w:p>
    <w:p w14:paraId="6A44381C" w14:textId="4806A123" w:rsidR="00BA133F" w:rsidRDefault="00BA133F" w:rsidP="00BA133F">
      <w:pPr>
        <w:spacing w:after="120"/>
        <w:ind w:firstLine="284"/>
        <w:jc w:val="both"/>
      </w:pPr>
      <w:r>
        <w:t xml:space="preserve">V letech 2001 až 2010 postupně a výrazně stoupal </w:t>
      </w:r>
      <w:r w:rsidRPr="00662604">
        <w:t>počet</w:t>
      </w:r>
      <w:r w:rsidRPr="00662604">
        <w:rPr>
          <w:b/>
        </w:rPr>
        <w:t xml:space="preserve"> </w:t>
      </w:r>
      <w:r w:rsidR="005B66A5">
        <w:rPr>
          <w:b/>
        </w:rPr>
        <w:t xml:space="preserve">studentů </w:t>
      </w:r>
      <w:r w:rsidRPr="005A21B5">
        <w:t>vysokých škol</w:t>
      </w:r>
      <w:r w:rsidR="005B66A5">
        <w:t xml:space="preserve"> v České republice</w:t>
      </w:r>
      <w:r>
        <w:t>, a sice z 203,4 tisíce v roce 2001 na 396</w:t>
      </w:r>
      <w:r w:rsidRPr="000C78B0">
        <w:t xml:space="preserve"> </w:t>
      </w:r>
      <w:r>
        <w:t>tisíc v roce 2010.</w:t>
      </w:r>
      <w:r w:rsidR="001114C0">
        <w:t xml:space="preserve"> Celkově se tedy téměř zdvojnásobil.</w:t>
      </w:r>
      <w:r>
        <w:t xml:space="preserve"> Poté začal </w:t>
      </w:r>
      <w:r w:rsidRPr="008172AD">
        <w:t xml:space="preserve">klesat až na </w:t>
      </w:r>
      <w:r w:rsidR="001E2537">
        <w:t>288,6 tisíce v roce 2019; m</w:t>
      </w:r>
      <w:r w:rsidR="00E00549">
        <w:t xml:space="preserve">ezi lety 2010 a 2019 </w:t>
      </w:r>
      <w:r w:rsidR="001E2537">
        <w:t xml:space="preserve">tak </w:t>
      </w:r>
      <w:r w:rsidR="00E00549">
        <w:t>pokles</w:t>
      </w:r>
      <w:r w:rsidR="00FA477E">
        <w:t>l</w:t>
      </w:r>
      <w:r w:rsidR="00E00549">
        <w:t xml:space="preserve"> o 27 %.</w:t>
      </w:r>
      <w:r w:rsidR="008E3757">
        <w:t xml:space="preserve"> V posledních dvou letech</w:t>
      </w:r>
      <w:r>
        <w:t xml:space="preserve"> pak </w:t>
      </w:r>
      <w:r w:rsidR="008E3757">
        <w:t>zaznamenal opět mírný růst a v roce 2021 čítal 304,1 tisíce studentů</w:t>
      </w:r>
      <w:r w:rsidR="00E47A3F">
        <w:t xml:space="preserve"> – viz graf č. 1. </w:t>
      </w:r>
    </w:p>
    <w:p w14:paraId="446C8915" w14:textId="0628D634" w:rsidR="005B66A5" w:rsidRDefault="00BA133F" w:rsidP="00BA133F">
      <w:pPr>
        <w:keepNext/>
        <w:spacing w:after="120"/>
        <w:jc w:val="both"/>
        <w:rPr>
          <w:b/>
        </w:rPr>
      </w:pPr>
      <w:r>
        <w:rPr>
          <w:b/>
        </w:rPr>
        <w:t>G</w:t>
      </w:r>
      <w:r w:rsidR="005B66A5">
        <w:rPr>
          <w:b/>
        </w:rPr>
        <w:t>raf č. </w:t>
      </w:r>
      <w:r>
        <w:rPr>
          <w:b/>
        </w:rPr>
        <w:t>1</w:t>
      </w:r>
      <w:r w:rsidRPr="00455F81">
        <w:rPr>
          <w:b/>
        </w:rPr>
        <w:t xml:space="preserve"> </w:t>
      </w:r>
      <w:r w:rsidR="005B66A5">
        <w:rPr>
          <w:b/>
        </w:rPr>
        <w:t>Studenti</w:t>
      </w:r>
      <w:r w:rsidRPr="00455F81">
        <w:rPr>
          <w:b/>
        </w:rPr>
        <w:t xml:space="preserve"> </w:t>
      </w:r>
      <w:r w:rsidR="00005792">
        <w:rPr>
          <w:b/>
        </w:rPr>
        <w:t>VŠ v ČR</w:t>
      </w:r>
      <w:r w:rsidR="005B66A5">
        <w:rPr>
          <w:b/>
        </w:rPr>
        <w:t xml:space="preserve"> – celkový počet a </w:t>
      </w:r>
      <w:r w:rsidR="005B66A5" w:rsidRPr="005B66A5">
        <w:rPr>
          <w:b/>
        </w:rPr>
        <w:t>podíl studentů m</w:t>
      </w:r>
      <w:r w:rsidR="005B66A5">
        <w:rPr>
          <w:b/>
        </w:rPr>
        <w:t xml:space="preserve">ezi obyvateli ČR </w:t>
      </w:r>
      <w:r w:rsidR="00992FFC">
        <w:rPr>
          <w:b/>
        </w:rPr>
        <w:t xml:space="preserve">ve </w:t>
      </w:r>
      <w:r w:rsidR="00325F82">
        <w:rPr>
          <w:b/>
        </w:rPr>
        <w:t>věku 20–</w:t>
      </w:r>
      <w:r w:rsidR="005B66A5">
        <w:rPr>
          <w:b/>
        </w:rPr>
        <w:t>29 let</w:t>
      </w:r>
    </w:p>
    <w:p w14:paraId="0E028C5A" w14:textId="50339BD8" w:rsidR="00C1774E" w:rsidRPr="008E3757" w:rsidRDefault="0032771E" w:rsidP="000D0724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4E276143" wp14:editId="37A2F42F">
            <wp:extent cx="6162675" cy="2628900"/>
            <wp:effectExtent l="0" t="0" r="9525" b="0"/>
            <wp:docPr id="22" name="Graf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76DBCE52" w14:textId="188EAB61" w:rsidR="009F04D3" w:rsidRPr="008705B8" w:rsidRDefault="00BA133F" w:rsidP="008705B8">
      <w:pPr>
        <w:spacing w:after="120"/>
        <w:jc w:val="right"/>
        <w:rPr>
          <w:b/>
          <w:sz w:val="18"/>
          <w:szCs w:val="18"/>
        </w:rPr>
      </w:pPr>
      <w:r w:rsidRPr="00C709E0">
        <w:rPr>
          <w:sz w:val="18"/>
          <w:szCs w:val="18"/>
        </w:rPr>
        <w:t>Zdroj dat: MŠMT (data o studentech), ČSÚ (data o populaci)</w:t>
      </w:r>
    </w:p>
    <w:p w14:paraId="10A91BD5" w14:textId="53F0731A" w:rsidR="00680B6E" w:rsidRDefault="00E47A3F" w:rsidP="00E47A3F">
      <w:pPr>
        <w:spacing w:after="120"/>
        <w:ind w:firstLine="284"/>
        <w:jc w:val="both"/>
      </w:pPr>
      <w:r>
        <w:lastRenderedPageBreak/>
        <w:t>V uvedených letech se rovněž měnil počet obyvatel České republiky. Graf č. 1 proto také ukazuje, jaký podíl obyvatel ČR ve</w:t>
      </w:r>
      <w:r w:rsidR="0032771E">
        <w:t xml:space="preserve"> věku 20–</w:t>
      </w:r>
      <w:r>
        <w:t xml:space="preserve">29 let, tedy ve věku obvyklém pro studium vysoké školy, v posledních 20 letech studoval </w:t>
      </w:r>
      <w:r w:rsidR="00A7127A">
        <w:t>na některé z vysokých</w:t>
      </w:r>
      <w:r>
        <w:t xml:space="preserve"> škol</w:t>
      </w:r>
      <w:r w:rsidR="00ED74FD">
        <w:t xml:space="preserve"> v České republice</w:t>
      </w:r>
      <w:r>
        <w:t xml:space="preserve">. </w:t>
      </w:r>
    </w:p>
    <w:p w14:paraId="14AD6058" w14:textId="53AE890C" w:rsidR="00D8678C" w:rsidRDefault="00680B6E" w:rsidP="00E47A3F">
      <w:pPr>
        <w:spacing w:after="120"/>
        <w:ind w:firstLine="284"/>
        <w:jc w:val="both"/>
      </w:pPr>
      <w:r>
        <w:t>Aby bylo zřejmé,</w:t>
      </w:r>
      <w:r w:rsidR="00D04E04">
        <w:t xml:space="preserve"> </w:t>
      </w:r>
      <w:r>
        <w:t>jak velkou</w:t>
      </w:r>
      <w:r w:rsidR="009E4026">
        <w:t xml:space="preserve"> skupinu</w:t>
      </w:r>
      <w:r w:rsidR="00D04E04">
        <w:t xml:space="preserve"> studentů vysokých škol v ČR </w:t>
      </w:r>
      <w:r>
        <w:t>zahrnujeme do tohoto ukazatele</w:t>
      </w:r>
      <w:r w:rsidR="00D04E04">
        <w:t>, jsou v tabulce č. 1</w:t>
      </w:r>
      <w:r w:rsidR="00D8678C">
        <w:t xml:space="preserve"> podíly studentů, kteří </w:t>
      </w:r>
      <w:r w:rsidR="00D04E04">
        <w:t xml:space="preserve">v uvedených letech </w:t>
      </w:r>
      <w:r w:rsidR="001E4B7E">
        <w:t>bydleli v ČR a byli ve věku 20–</w:t>
      </w:r>
      <w:r w:rsidR="00D8678C">
        <w:t xml:space="preserve">29 let, ze všech studentů </w:t>
      </w:r>
      <w:r w:rsidR="00F0722D">
        <w:t>(</w:t>
      </w:r>
      <w:r w:rsidR="0032526E">
        <w:t>tj. včetně studentů</w:t>
      </w:r>
      <w:r w:rsidR="00F0722D">
        <w:t xml:space="preserve"> bydlící</w:t>
      </w:r>
      <w:r w:rsidR="0032526E">
        <w:t>ch</w:t>
      </w:r>
      <w:r w:rsidR="00F0722D">
        <w:t xml:space="preserve"> v</w:t>
      </w:r>
      <w:r w:rsidR="00D04E04">
        <w:t> zahraničí,</w:t>
      </w:r>
      <w:r w:rsidR="0032526E">
        <w:t xml:space="preserve"> studentů</w:t>
      </w:r>
      <w:r w:rsidR="00F0722D">
        <w:t xml:space="preserve"> </w:t>
      </w:r>
      <w:r w:rsidR="0032526E">
        <w:t>mladších než 20 let a starších než 29 let</w:t>
      </w:r>
      <w:r w:rsidR="00F0722D">
        <w:t>)</w:t>
      </w:r>
      <w:r w:rsidR="00D8678C">
        <w:t>:</w:t>
      </w:r>
    </w:p>
    <w:p w14:paraId="1CF5790D" w14:textId="4DB764A7" w:rsidR="00D8678C" w:rsidRDefault="00D8678C" w:rsidP="00D8678C">
      <w:pPr>
        <w:spacing w:after="120"/>
        <w:jc w:val="both"/>
        <w:rPr>
          <w:b/>
        </w:rPr>
      </w:pPr>
      <w:r w:rsidRPr="00D8678C">
        <w:rPr>
          <w:b/>
        </w:rPr>
        <w:t>Tabulka č. 1</w:t>
      </w:r>
      <w:r>
        <w:t xml:space="preserve"> </w:t>
      </w:r>
      <w:r w:rsidR="00005792" w:rsidRPr="00005792">
        <w:rPr>
          <w:b/>
        </w:rPr>
        <w:t>Studenti VŠ v ČR</w:t>
      </w:r>
      <w:r w:rsidR="00005792">
        <w:t xml:space="preserve"> - </w:t>
      </w:r>
      <w:r w:rsidR="00005792">
        <w:rPr>
          <w:b/>
        </w:rPr>
        <w:t>p</w:t>
      </w:r>
      <w:r w:rsidRPr="00D8678C">
        <w:rPr>
          <w:b/>
        </w:rPr>
        <w:t xml:space="preserve">odíl </w:t>
      </w:r>
      <w:r w:rsidR="006159C3">
        <w:rPr>
          <w:b/>
        </w:rPr>
        <w:t xml:space="preserve">studentů </w:t>
      </w:r>
      <w:r w:rsidRPr="00D8678C">
        <w:rPr>
          <w:b/>
        </w:rPr>
        <w:t>ve věku 2</w:t>
      </w:r>
      <w:r w:rsidR="001E4B7E">
        <w:rPr>
          <w:b/>
        </w:rPr>
        <w:t>0–</w:t>
      </w:r>
      <w:r w:rsidRPr="00D8678C">
        <w:rPr>
          <w:b/>
        </w:rPr>
        <w:t xml:space="preserve">29 let </w:t>
      </w:r>
      <w:r w:rsidR="0092558E">
        <w:rPr>
          <w:b/>
        </w:rPr>
        <w:t>s trvalým bydlištěm</w:t>
      </w:r>
      <w:r w:rsidRPr="00D8678C">
        <w:rPr>
          <w:b/>
        </w:rPr>
        <w:t xml:space="preserve"> v ČR </w:t>
      </w:r>
      <w:r w:rsidR="001E4B7E">
        <w:rPr>
          <w:b/>
        </w:rPr>
        <w:t>z celku (v </w:t>
      </w:r>
      <w:r w:rsidR="006159C3">
        <w:rPr>
          <w:b/>
        </w:rPr>
        <w:t>%)</w:t>
      </w:r>
      <w:r w:rsidR="00005792">
        <w:rPr>
          <w:b/>
        </w:rPr>
        <w:t xml:space="preserve"> </w:t>
      </w:r>
    </w:p>
    <w:tbl>
      <w:tblPr>
        <w:tblW w:w="908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00"/>
        <w:gridCol w:w="920"/>
        <w:gridCol w:w="920"/>
        <w:gridCol w:w="920"/>
        <w:gridCol w:w="920"/>
        <w:gridCol w:w="920"/>
        <w:gridCol w:w="920"/>
        <w:gridCol w:w="920"/>
        <w:gridCol w:w="920"/>
        <w:gridCol w:w="920"/>
      </w:tblGrid>
      <w:tr w:rsidR="009821FB" w:rsidRPr="009821FB" w14:paraId="41F1505B" w14:textId="77777777" w:rsidTr="00E86917">
        <w:trPr>
          <w:trHeight w:val="300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10CE68BD" w14:textId="77777777" w:rsidR="009821FB" w:rsidRPr="009821FB" w:rsidRDefault="009821FB" w:rsidP="009821FB">
            <w:pPr>
              <w:spacing w:after="0" w:line="240" w:lineRule="auto"/>
              <w:rPr>
                <w:rFonts w:ascii="Calibri" w:hAnsi="Calibri" w:cs="Calibri"/>
                <w:color w:val="000000"/>
                <w:szCs w:val="20"/>
              </w:rPr>
            </w:pPr>
            <w:r w:rsidRPr="009821FB">
              <w:rPr>
                <w:rFonts w:ascii="Calibri" w:hAnsi="Calibri" w:cs="Calibri"/>
                <w:color w:val="000000"/>
                <w:szCs w:val="20"/>
              </w:rPr>
              <w:t> 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5994DA46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E869170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4B863FA4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78445B2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7168F80C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6300D653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22B12A2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39769A9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31849B"/>
            <w:noWrap/>
            <w:vAlign w:val="center"/>
            <w:hideMark/>
          </w:tcPr>
          <w:p w14:paraId="161515C8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821FB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9821FB" w:rsidRPr="009821FB" w14:paraId="6D2D74D4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47D76" w14:textId="77777777" w:rsidR="009821FB" w:rsidRPr="001E2537" w:rsidRDefault="009821FB" w:rsidP="009821FB">
            <w:pPr>
              <w:spacing w:after="0" w:line="240" w:lineRule="auto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DFFDD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74,9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FDC5FB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12267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69,4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17254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68,4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BE118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67,5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5B17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66,6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677C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65,7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04C9A1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65,0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7E734" w14:textId="77777777" w:rsidR="009821FB" w:rsidRPr="001E2537" w:rsidRDefault="009821FB" w:rsidP="009821FB">
            <w:pPr>
              <w:spacing w:after="0" w:line="240" w:lineRule="auto"/>
              <w:jc w:val="center"/>
              <w:rPr>
                <w:rFonts w:cs="Arial"/>
                <w:b/>
                <w:color w:val="000000"/>
                <w:sz w:val="18"/>
                <w:szCs w:val="18"/>
              </w:rPr>
            </w:pPr>
            <w:r w:rsidRPr="001E2537">
              <w:rPr>
                <w:rFonts w:cs="Arial"/>
                <w:b/>
                <w:color w:val="000000"/>
                <w:sz w:val="18"/>
                <w:szCs w:val="18"/>
              </w:rPr>
              <w:t>64,7</w:t>
            </w:r>
          </w:p>
        </w:tc>
      </w:tr>
      <w:tr w:rsidR="009821FB" w:rsidRPr="009821FB" w14:paraId="410A27CD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E7D90A" w14:textId="77777777" w:rsidR="009821FB" w:rsidRPr="009821FB" w:rsidRDefault="009821FB" w:rsidP="009821FB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muži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7DF706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75,7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A895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71,3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347F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69,8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1B95A9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68,2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49353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B10AA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66,1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B1E81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DFF0C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64,5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4E546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64,3</w:t>
            </w:r>
          </w:p>
        </w:tc>
      </w:tr>
      <w:tr w:rsidR="009821FB" w:rsidRPr="009821FB" w14:paraId="0B60E33E" w14:textId="77777777" w:rsidTr="00E86917">
        <w:trPr>
          <w:trHeight w:val="300"/>
        </w:trPr>
        <w:tc>
          <w:tcPr>
            <w:tcW w:w="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A5B884" w14:textId="77777777" w:rsidR="009821FB" w:rsidRPr="009821FB" w:rsidRDefault="009821FB" w:rsidP="009821FB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ženy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48004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74,2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FC7A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2C612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69,1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93565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68,6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23E22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67,7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65B0B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67,1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F93C8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66,0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530E0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90FDAF" w14:textId="77777777" w:rsidR="009821FB" w:rsidRPr="009821FB" w:rsidRDefault="009821FB" w:rsidP="009821FB">
            <w:pPr>
              <w:spacing w:after="0" w:line="240" w:lineRule="auto"/>
              <w:jc w:val="center"/>
              <w:rPr>
                <w:rFonts w:cs="Arial"/>
                <w:color w:val="000000"/>
                <w:sz w:val="18"/>
                <w:szCs w:val="18"/>
              </w:rPr>
            </w:pPr>
            <w:r w:rsidRPr="009821FB">
              <w:rPr>
                <w:rFonts w:cs="Arial"/>
                <w:color w:val="000000"/>
                <w:sz w:val="18"/>
                <w:szCs w:val="18"/>
              </w:rPr>
              <w:t>65,1</w:t>
            </w:r>
          </w:p>
        </w:tc>
      </w:tr>
    </w:tbl>
    <w:p w14:paraId="2A5DB37E" w14:textId="7695ADC3" w:rsidR="00D8678C" w:rsidRDefault="00D8678C" w:rsidP="00B964A8">
      <w:pPr>
        <w:spacing w:after="0" w:line="240" w:lineRule="auto"/>
        <w:jc w:val="both"/>
      </w:pPr>
    </w:p>
    <w:p w14:paraId="2BD417F4" w14:textId="30A69E65" w:rsidR="00FB06AE" w:rsidRDefault="004B643F" w:rsidP="00E47A3F">
      <w:pPr>
        <w:spacing w:after="120"/>
        <w:ind w:firstLine="284"/>
        <w:jc w:val="both"/>
      </w:pPr>
      <w:r>
        <w:t>Tabulka ukazuje</w:t>
      </w:r>
      <w:r w:rsidR="00D8678C">
        <w:t>,</w:t>
      </w:r>
      <w:r>
        <w:t xml:space="preserve"> že</w:t>
      </w:r>
      <w:r w:rsidR="00D8678C">
        <w:t xml:space="preserve"> </w:t>
      </w:r>
      <w:r w:rsidR="00A25063">
        <w:t>v roce 2021 bylo studentů ve věku 20-29 let ze všech studentů 64,7 % a že v čase podíl těchto mladších studentů klesá.</w:t>
      </w:r>
      <w:r w:rsidR="00B5308A">
        <w:rPr>
          <w:rStyle w:val="Znakapoznpodarou"/>
        </w:rPr>
        <w:footnoteReference w:id="2"/>
      </w:r>
      <w:r w:rsidR="001E4B7E">
        <w:t xml:space="preserve"> </w:t>
      </w:r>
    </w:p>
    <w:p w14:paraId="2A359B20" w14:textId="431B8FC6" w:rsidR="00E47A3F" w:rsidRDefault="00D8678C" w:rsidP="00E47A3F">
      <w:pPr>
        <w:spacing w:after="120"/>
        <w:ind w:firstLine="284"/>
        <w:jc w:val="both"/>
      </w:pPr>
      <w:r>
        <w:t>Přitom</w:t>
      </w:r>
      <w:r w:rsidR="00E47A3F" w:rsidRPr="00ED74FD">
        <w:t xml:space="preserve"> je možné poznamenat, že spolu s růstem počtu studentů </w:t>
      </w:r>
      <w:r w:rsidR="00067320" w:rsidRPr="00ED74FD">
        <w:t xml:space="preserve">vysokých škol </w:t>
      </w:r>
      <w:r w:rsidR="00E47A3F" w:rsidRPr="00ED74FD">
        <w:t xml:space="preserve">v první dekádě 21. století rostl též podíl studentů </w:t>
      </w:r>
      <w:r w:rsidR="00067320" w:rsidRPr="00ED74FD">
        <w:t xml:space="preserve">vysokých škol </w:t>
      </w:r>
      <w:r w:rsidR="00E47A3F" w:rsidRPr="00ED74FD">
        <w:t>ve věku 20</w:t>
      </w:r>
      <w:r w:rsidR="00972D73">
        <w:t>–</w:t>
      </w:r>
      <w:r w:rsidR="00E47A3F" w:rsidRPr="00ED74FD">
        <w:t xml:space="preserve">29 let </w:t>
      </w:r>
      <w:r w:rsidR="00ED74FD" w:rsidRPr="00ED74FD">
        <w:t>bydlících</w:t>
      </w:r>
      <w:r w:rsidR="00E47A3F" w:rsidRPr="00ED74FD">
        <w:t xml:space="preserve"> v České republice z celkového počtu obyvatel ČR ve věku 20</w:t>
      </w:r>
      <w:r w:rsidR="00972D73">
        <w:t>–</w:t>
      </w:r>
      <w:r w:rsidR="00E47A3F" w:rsidRPr="00ED74FD">
        <w:t xml:space="preserve">29 let, a sice z 9 % </w:t>
      </w:r>
      <w:r w:rsidR="00373F42" w:rsidRPr="00ED74FD">
        <w:t xml:space="preserve">v roce 2001 </w:t>
      </w:r>
      <w:r w:rsidR="00E47A3F" w:rsidRPr="00ED74FD">
        <w:t>na 19,5 %</w:t>
      </w:r>
      <w:r w:rsidR="00373F42" w:rsidRPr="00ED74FD">
        <w:t xml:space="preserve"> v roce 2011</w:t>
      </w:r>
      <w:r w:rsidR="00E47A3F" w:rsidRPr="00ED74FD">
        <w:t xml:space="preserve">. </w:t>
      </w:r>
      <w:r w:rsidR="00D562E9" w:rsidRPr="00ED74FD">
        <w:t>Poté se do roku 2018 tento podíl</w:t>
      </w:r>
      <w:r w:rsidR="00E47A3F" w:rsidRPr="00ED74FD">
        <w:t xml:space="preserve"> mírně</w:t>
      </w:r>
      <w:r w:rsidR="00236A3D">
        <w:t xml:space="preserve"> snížil na 16,5 % a do roku 2021</w:t>
      </w:r>
      <w:r w:rsidR="00E47A3F" w:rsidRPr="00ED74FD">
        <w:t xml:space="preserve"> naopak zvýšil </w:t>
      </w:r>
      <w:r w:rsidR="00E47A3F" w:rsidRPr="00E966D9">
        <w:t xml:space="preserve">na </w:t>
      </w:r>
      <w:r w:rsidR="00E966D9" w:rsidRPr="00E966D9">
        <w:t>18,7</w:t>
      </w:r>
      <w:r w:rsidR="00E47A3F" w:rsidRPr="00E966D9">
        <w:t> %</w:t>
      </w:r>
      <w:r w:rsidR="009600A4" w:rsidRPr="00E966D9">
        <w:t xml:space="preserve"> - viz graf</w:t>
      </w:r>
      <w:r w:rsidR="009600A4">
        <w:t xml:space="preserve"> č. 1</w:t>
      </w:r>
      <w:r w:rsidR="00E47A3F" w:rsidRPr="00ED74FD">
        <w:t>.</w:t>
      </w:r>
      <w:r w:rsidR="00E47A3F">
        <w:t xml:space="preserve"> </w:t>
      </w:r>
      <w:r w:rsidR="004B643F">
        <w:t>Poznamenejme ještě</w:t>
      </w:r>
      <w:r w:rsidR="00E47A3F">
        <w:t xml:space="preserve">, že úbytek </w:t>
      </w:r>
      <w:r w:rsidR="004B643F">
        <w:t xml:space="preserve">absolutního </w:t>
      </w:r>
      <w:r w:rsidR="00E47A3F">
        <w:t>počtu studentů vysokých škol v druhé dekádě 21. století</w:t>
      </w:r>
      <w:r w:rsidR="007D6615">
        <w:t xml:space="preserve"> měl na svědomí </w:t>
      </w:r>
      <w:r w:rsidR="00C64BB2">
        <w:t xml:space="preserve">zejména </w:t>
      </w:r>
      <w:r w:rsidR="007D6615">
        <w:t xml:space="preserve">celkový úbytek obyvatel </w:t>
      </w:r>
      <w:r w:rsidR="00AF4C2E">
        <w:t xml:space="preserve">ČR </w:t>
      </w:r>
      <w:r w:rsidR="007D6615">
        <w:t>ve věku 20</w:t>
      </w:r>
      <w:r w:rsidR="00972D73">
        <w:t>–</w:t>
      </w:r>
      <w:r w:rsidR="007D6615">
        <w:t>29 let</w:t>
      </w:r>
      <w:r w:rsidR="00004CE8" w:rsidRPr="004B643F">
        <w:t xml:space="preserve">. </w:t>
      </w:r>
      <w:r w:rsidR="004B643F" w:rsidRPr="004B643F">
        <w:t>Mezi lety 2011</w:t>
      </w:r>
      <w:r w:rsidR="000E660A" w:rsidRPr="004B643F">
        <w:t xml:space="preserve"> a 2</w:t>
      </w:r>
      <w:r w:rsidR="004B643F" w:rsidRPr="004B643F">
        <w:t>021</w:t>
      </w:r>
      <w:r w:rsidR="004B643F">
        <w:t xml:space="preserve"> poklesl o </w:t>
      </w:r>
      <w:r w:rsidR="00A25063">
        <w:t xml:space="preserve">čtvrtinu (tj. o </w:t>
      </w:r>
      <w:r w:rsidR="004B643F" w:rsidRPr="004B643F">
        <w:t>24,6 %</w:t>
      </w:r>
      <w:r w:rsidR="00A25063">
        <w:t>)</w:t>
      </w:r>
      <w:r w:rsidR="00F657B3" w:rsidRPr="004B643F">
        <w:t>.</w:t>
      </w:r>
      <w:r w:rsidR="00F657B3">
        <w:t xml:space="preserve">  </w:t>
      </w:r>
    </w:p>
    <w:p w14:paraId="0D5764C4" w14:textId="3BA7B84C" w:rsidR="00700619" w:rsidRDefault="00015DB2" w:rsidP="00AB5663">
      <w:pPr>
        <w:spacing w:after="120"/>
        <w:ind w:firstLine="284"/>
        <w:jc w:val="both"/>
      </w:pPr>
      <w:r w:rsidRPr="00662604">
        <w:t xml:space="preserve">Podíl </w:t>
      </w:r>
      <w:r w:rsidRPr="00662604">
        <w:rPr>
          <w:b/>
        </w:rPr>
        <w:t>žen ze všech studentů</w:t>
      </w:r>
      <w:r>
        <w:t xml:space="preserve"> vysokých škol </w:t>
      </w:r>
      <w:r w:rsidR="00B964A8">
        <w:t xml:space="preserve">v ČR </w:t>
      </w:r>
      <w:r>
        <w:t xml:space="preserve">se mezi lety 2001 a 2012 postupně zvyšoval, konkrétně ze 48,3 % na 56,2 %, poté vykázal víceméně setrvalý stav (v roce </w:t>
      </w:r>
      <w:r w:rsidR="003A73B4">
        <w:t>2021 činil 55,6</w:t>
      </w:r>
      <w:r w:rsidR="0086547C">
        <w:t xml:space="preserve"> %). </w:t>
      </w:r>
      <w:r w:rsidR="00700619" w:rsidRPr="00700619">
        <w:t xml:space="preserve">Z jiného úhlu pohledu lze konstatovat, že od roku 2009 studuje na vysokých školách trvale cca o pětinu </w:t>
      </w:r>
      <w:r w:rsidR="003E3425">
        <w:t>méně mužů než žen</w:t>
      </w:r>
      <w:r w:rsidR="00700619" w:rsidRPr="00700619">
        <w:t xml:space="preserve">. Do roku 2003 přitom </w:t>
      </w:r>
      <w:r w:rsidR="00AD0509">
        <w:t>mírně převažovali muži nad ženami. Mezi lety 2001 a 2011 vzrostl</w:t>
      </w:r>
      <w:r w:rsidR="00700619">
        <w:t xml:space="preserve"> počet mužů </w:t>
      </w:r>
      <w:r w:rsidR="00AD0509">
        <w:t xml:space="preserve">studujících vysokou školu </w:t>
      </w:r>
      <w:r w:rsidR="00700619">
        <w:t>o 64,1 % a</w:t>
      </w:r>
      <w:r w:rsidR="00AD0509">
        <w:t xml:space="preserve"> počet</w:t>
      </w:r>
      <w:r w:rsidR="00700619">
        <w:t xml:space="preserve"> žen o 123,3 %</w:t>
      </w:r>
      <w:r w:rsidR="0023624E">
        <w:t>.</w:t>
      </w:r>
      <w:r w:rsidR="00700619">
        <w:t xml:space="preserve"> </w:t>
      </w:r>
      <w:r w:rsidR="0023624E">
        <w:t>M</w:t>
      </w:r>
      <w:r w:rsidR="00AD0509">
        <w:t xml:space="preserve">ezi lety 2011 a 2021 pak </w:t>
      </w:r>
      <w:r w:rsidR="0023624E">
        <w:t xml:space="preserve">naopak </w:t>
      </w:r>
      <w:r w:rsidR="00AD0509">
        <w:t>poklesl počet mužů studujících vysokou školu o 21,8 % a počet žen o 23 %.</w:t>
      </w:r>
      <w:r w:rsidR="00700619">
        <w:t xml:space="preserve"> </w:t>
      </w:r>
    </w:p>
    <w:p w14:paraId="739DDFE1" w14:textId="3D667596" w:rsidR="00700619" w:rsidRDefault="00700619" w:rsidP="00AB5663">
      <w:pPr>
        <w:spacing w:after="120"/>
        <w:ind w:firstLine="284"/>
        <w:jc w:val="both"/>
      </w:pPr>
      <w:r w:rsidRPr="00700619">
        <w:t>V této souvislosti můžeme poznamenat, že v čase též roste průměrný věk matek při narození prvního dítěte. Mezi r</w:t>
      </w:r>
      <w:r w:rsidR="0023624E">
        <w:t>oky 2000 a 2010 se zvýšil z 24,9</w:t>
      </w:r>
      <w:r w:rsidRPr="00700619">
        <w:t xml:space="preserve"> na 27,6 let věku a do roku 2020 stoupl na 28,5 roku</w:t>
      </w:r>
      <w:r w:rsidR="0023624E">
        <w:t xml:space="preserve"> (zdroj viz </w:t>
      </w:r>
      <w:hyperlink r:id="rId19" w:history="1">
        <w:r w:rsidR="0023624E" w:rsidRPr="0023624E">
          <w:rPr>
            <w:rStyle w:val="Hypertextovodkaz"/>
          </w:rPr>
          <w:t>zde</w:t>
        </w:r>
      </w:hyperlink>
      <w:r w:rsidR="0023624E">
        <w:t>)</w:t>
      </w:r>
      <w:r w:rsidRPr="00700619">
        <w:t>.</w:t>
      </w:r>
      <w:r>
        <w:t xml:space="preserve"> Zdá se, že </w:t>
      </w:r>
      <w:r w:rsidR="0023624E">
        <w:t>zejména v první dekádě tohoto století se zvyšovala ochota žen odkládat</w:t>
      </w:r>
      <w:r>
        <w:t xml:space="preserve"> </w:t>
      </w:r>
      <w:r w:rsidR="005846F4">
        <w:t xml:space="preserve">mateřství </w:t>
      </w:r>
      <w:r>
        <w:t>kvůli vyhlídce zajímavějšího či lép</w:t>
      </w:r>
      <w:r w:rsidR="0023624E">
        <w:t>e placeného zaměstnání</w:t>
      </w:r>
      <w:r w:rsidR="005846F4">
        <w:t>, které často vyžaduje vysokoškolské vzdělání.</w:t>
      </w:r>
    </w:p>
    <w:p w14:paraId="697ED000" w14:textId="1C1359F5" w:rsidR="00EE62DA" w:rsidRDefault="0086547C" w:rsidP="00AB5663">
      <w:pPr>
        <w:spacing w:after="120"/>
        <w:ind w:firstLine="284"/>
        <w:jc w:val="both"/>
      </w:pPr>
      <w:r>
        <w:t xml:space="preserve">Podíl </w:t>
      </w:r>
      <w:r w:rsidR="00015DB2">
        <w:t xml:space="preserve">žen </w:t>
      </w:r>
      <w:r>
        <w:t xml:space="preserve">ve věku 20-29 let </w:t>
      </w:r>
      <w:r w:rsidR="00015DB2">
        <w:t xml:space="preserve">studujících </w:t>
      </w:r>
      <w:r w:rsidR="00B964A8">
        <w:t>vysokou školu v ČR</w:t>
      </w:r>
      <w:r w:rsidR="00A7127A" w:rsidRPr="00A7127A">
        <w:t xml:space="preserve"> </w:t>
      </w:r>
      <w:r w:rsidR="00247454">
        <w:t>ze všech žen</w:t>
      </w:r>
      <w:r w:rsidR="00015DB2">
        <w:t xml:space="preserve"> ve věku 20-29 let </w:t>
      </w:r>
      <w:r w:rsidR="006B625D">
        <w:t>s trvalým pobytem</w:t>
      </w:r>
      <w:r w:rsidR="00502CFD">
        <w:t xml:space="preserve"> </w:t>
      </w:r>
      <w:r w:rsidR="00015DB2">
        <w:t xml:space="preserve">v ČR </w:t>
      </w:r>
      <w:r w:rsidR="00856901">
        <w:t>činil v roce 2021</w:t>
      </w:r>
      <w:r w:rsidR="0032071C">
        <w:t xml:space="preserve"> celkem </w:t>
      </w:r>
      <w:r w:rsidR="006016C8">
        <w:t>21,7</w:t>
      </w:r>
      <w:r w:rsidR="0032071C">
        <w:t> %</w:t>
      </w:r>
      <w:r w:rsidR="00015DB2">
        <w:t>, zatímco u mužů</w:t>
      </w:r>
      <w:r w:rsidR="00B964A8">
        <w:t xml:space="preserve"> byl tento podíl</w:t>
      </w:r>
      <w:r w:rsidR="00502CFD">
        <w:t xml:space="preserve"> jen </w:t>
      </w:r>
      <w:r w:rsidR="006016C8">
        <w:t>16</w:t>
      </w:r>
      <w:r w:rsidR="00502CFD">
        <w:t> %</w:t>
      </w:r>
      <w:r w:rsidR="00015DB2">
        <w:t xml:space="preserve">. </w:t>
      </w:r>
      <w:r w:rsidR="00AB5663">
        <w:t>Přitom v</w:t>
      </w:r>
      <w:r w:rsidR="00700619">
        <w:t> roce 2003</w:t>
      </w:r>
      <w:r w:rsidR="00342D30">
        <w:t xml:space="preserve"> se </w:t>
      </w:r>
      <w:r w:rsidR="006077D3">
        <w:t>muži a ženy v tomto podílu nelišili</w:t>
      </w:r>
      <w:r w:rsidR="006016C8">
        <w:t xml:space="preserve"> (</w:t>
      </w:r>
      <w:r w:rsidR="00700619">
        <w:t xml:space="preserve">11,1 %) a v předchozích letech byl dokonce nepatrně vyšší u mužů (v roce 2001 </w:t>
      </w:r>
      <w:r w:rsidR="0023624E">
        <w:t xml:space="preserve">tvořil </w:t>
      </w:r>
      <w:r w:rsidR="00700619">
        <w:t xml:space="preserve">9,2 % oproti 8,8 %). </w:t>
      </w:r>
    </w:p>
    <w:p w14:paraId="658CED92" w14:textId="685E6865" w:rsidR="00342D30" w:rsidRPr="00015DB2" w:rsidRDefault="00342D30" w:rsidP="00AB5663">
      <w:pPr>
        <w:spacing w:after="120"/>
        <w:ind w:firstLine="284"/>
        <w:jc w:val="both"/>
      </w:pPr>
      <w:r>
        <w:t xml:space="preserve"> </w:t>
      </w:r>
      <w:r w:rsidR="00502CFD">
        <w:t xml:space="preserve">Maximální hodnoty </w:t>
      </w:r>
      <w:r w:rsidR="007E0E6D">
        <w:t xml:space="preserve">pak </w:t>
      </w:r>
      <w:r w:rsidR="001E13FC">
        <w:t>p</w:t>
      </w:r>
      <w:r w:rsidR="001E13FC" w:rsidRPr="001E13FC">
        <w:t>odíl</w:t>
      </w:r>
      <w:r w:rsidR="0023624E">
        <w:t>y</w:t>
      </w:r>
      <w:r w:rsidR="001E13FC">
        <w:t xml:space="preserve"> žen, resp. mužů</w:t>
      </w:r>
      <w:r w:rsidR="001E13FC" w:rsidRPr="001E13FC">
        <w:t xml:space="preserve"> ve věku 20-29 let studujících vysokou školu v ČR ze všech žen</w:t>
      </w:r>
      <w:r w:rsidR="001E13FC">
        <w:t>, resp. mužů</w:t>
      </w:r>
      <w:r w:rsidR="001E13FC" w:rsidRPr="001E13FC">
        <w:t xml:space="preserve"> ve věku 20-29 let </w:t>
      </w:r>
      <w:r w:rsidR="007E0E6D">
        <w:t xml:space="preserve">byly zaznamenány </w:t>
      </w:r>
      <w:r w:rsidR="00502CFD">
        <w:t>v roce 2011 (</w:t>
      </w:r>
      <w:r w:rsidR="00F0650D">
        <w:t>22,4</w:t>
      </w:r>
      <w:r w:rsidR="00502CFD">
        <w:t> %</w:t>
      </w:r>
      <w:r w:rsidR="001E13FC">
        <w:t xml:space="preserve"> u žen</w:t>
      </w:r>
      <w:r w:rsidR="00F0650D">
        <w:t>, resp. 16,8</w:t>
      </w:r>
      <w:r w:rsidR="00502CFD">
        <w:t> %</w:t>
      </w:r>
      <w:r w:rsidR="001E13FC">
        <w:t xml:space="preserve"> u mužů</w:t>
      </w:r>
      <w:r w:rsidR="00502CFD">
        <w:t>)</w:t>
      </w:r>
      <w:r w:rsidR="00444CC0">
        <w:t xml:space="preserve">. </w:t>
      </w:r>
      <w:r w:rsidR="00015DB2">
        <w:t xml:space="preserve">Více o počtu/podílu žen a mužů studujících </w:t>
      </w:r>
      <w:r w:rsidR="00005792">
        <w:t>vysokou</w:t>
      </w:r>
      <w:r w:rsidR="00A7127A" w:rsidRPr="00A7127A">
        <w:t xml:space="preserve"> škol</w:t>
      </w:r>
      <w:r w:rsidR="00005792">
        <w:t>u v ČR</w:t>
      </w:r>
      <w:r w:rsidR="001A39E2">
        <w:t xml:space="preserve"> viz graf č. 2 a tabulku č. 2</w:t>
      </w:r>
      <w:r w:rsidR="00015DB2">
        <w:t>.</w:t>
      </w:r>
    </w:p>
    <w:p w14:paraId="59F5B0A8" w14:textId="03528C70" w:rsidR="00293C04" w:rsidRDefault="00BA133F" w:rsidP="00BA133F">
      <w:pPr>
        <w:keepNext/>
        <w:spacing w:after="120"/>
        <w:jc w:val="both"/>
        <w:rPr>
          <w:b/>
        </w:rPr>
      </w:pPr>
      <w:r>
        <w:rPr>
          <w:b/>
        </w:rPr>
        <w:lastRenderedPageBreak/>
        <w:t xml:space="preserve">Graf č. 2 </w:t>
      </w:r>
      <w:r w:rsidR="00B964A8">
        <w:rPr>
          <w:b/>
        </w:rPr>
        <w:t xml:space="preserve">Studenti VŠ </w:t>
      </w:r>
      <w:r w:rsidR="00005792">
        <w:rPr>
          <w:b/>
        </w:rPr>
        <w:t xml:space="preserve">v ČR </w:t>
      </w:r>
      <w:r w:rsidR="00B964A8">
        <w:rPr>
          <w:b/>
        </w:rPr>
        <w:t xml:space="preserve">dle </w:t>
      </w:r>
      <w:r w:rsidR="00484AE5">
        <w:rPr>
          <w:b/>
        </w:rPr>
        <w:t>pohlaví</w:t>
      </w:r>
      <w:r w:rsidR="00B964A8">
        <w:rPr>
          <w:b/>
        </w:rPr>
        <w:t xml:space="preserve"> –</w:t>
      </w:r>
      <w:r w:rsidR="00CA3A32">
        <w:rPr>
          <w:b/>
        </w:rPr>
        <w:t xml:space="preserve"> </w:t>
      </w:r>
      <w:r w:rsidR="00B964A8">
        <w:rPr>
          <w:b/>
        </w:rPr>
        <w:t xml:space="preserve">počet </w:t>
      </w:r>
      <w:r w:rsidR="00CA3A32">
        <w:rPr>
          <w:b/>
        </w:rPr>
        <w:t xml:space="preserve">studentů </w:t>
      </w:r>
      <w:r w:rsidR="00B964A8">
        <w:rPr>
          <w:b/>
        </w:rPr>
        <w:t xml:space="preserve">a </w:t>
      </w:r>
      <w:r w:rsidR="00CA3A32">
        <w:rPr>
          <w:b/>
        </w:rPr>
        <w:t>jejich podíl</w:t>
      </w:r>
      <w:r w:rsidR="00B964A8" w:rsidRPr="005B66A5">
        <w:rPr>
          <w:b/>
        </w:rPr>
        <w:t xml:space="preserve"> m</w:t>
      </w:r>
      <w:r w:rsidR="00B964A8">
        <w:rPr>
          <w:b/>
        </w:rPr>
        <w:t>ezi obyvateli ČR věku 20</w:t>
      </w:r>
      <w:r w:rsidR="00972D73">
        <w:rPr>
          <w:b/>
        </w:rPr>
        <w:t>–</w:t>
      </w:r>
      <w:r w:rsidR="00B964A8">
        <w:rPr>
          <w:b/>
        </w:rPr>
        <w:t>29 let</w:t>
      </w:r>
    </w:p>
    <w:p w14:paraId="38774B5E" w14:textId="2C25FEA9" w:rsidR="00BA133F" w:rsidRDefault="00972D73" w:rsidP="00BA133F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1435089F" wp14:editId="32E3F676">
            <wp:extent cx="6120130" cy="3638550"/>
            <wp:effectExtent l="0" t="0" r="13970" b="0"/>
            <wp:docPr id="24" name="Graf 2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45683193" w14:textId="0411F901" w:rsidR="00B8222F" w:rsidRPr="00005792" w:rsidRDefault="00BA133F" w:rsidP="00005792">
      <w:pPr>
        <w:keepNext/>
        <w:jc w:val="right"/>
        <w:rPr>
          <w:sz w:val="18"/>
          <w:szCs w:val="18"/>
        </w:rPr>
      </w:pPr>
      <w:r w:rsidRPr="00C709E0">
        <w:rPr>
          <w:sz w:val="18"/>
          <w:szCs w:val="18"/>
        </w:rPr>
        <w:t>Zdroj dat: MŠMT (data o stu</w:t>
      </w:r>
      <w:r w:rsidR="00C709E0" w:rsidRPr="00C709E0">
        <w:rPr>
          <w:sz w:val="18"/>
          <w:szCs w:val="18"/>
        </w:rPr>
        <w:t>dentech), ČSÚ (data o populaci)</w:t>
      </w:r>
    </w:p>
    <w:p w14:paraId="4F565EE7" w14:textId="57C7FC3E" w:rsidR="00BA133F" w:rsidRPr="00A06502" w:rsidRDefault="00BA133F" w:rsidP="00E52C56">
      <w:pPr>
        <w:ind w:firstLine="284"/>
        <w:jc w:val="both"/>
      </w:pPr>
      <w:r>
        <w:t>Na vysokých školách je možné studovat bakalářský, magisterský, navazující magisterský a doktorský studijní program. V tomto ohledu</w:t>
      </w:r>
      <w:r w:rsidR="0055143A">
        <w:t xml:space="preserve"> lze konstatovat, že v roce 2021</w:t>
      </w:r>
      <w:r>
        <w:t xml:space="preserve"> studovaly tři pětiny studentů </w:t>
      </w:r>
      <w:r w:rsidR="00E02345">
        <w:t>vysokých škol v ČR</w:t>
      </w:r>
      <w:r>
        <w:t xml:space="preserve"> bakalářské studijní programy, desetina magisterské navazující programy, necelá čtvrtina magisterské </w:t>
      </w:r>
      <w:r w:rsidR="0017642E">
        <w:t>ne</w:t>
      </w:r>
      <w:r w:rsidR="00EF549D">
        <w:t>navazující programy a 7</w:t>
      </w:r>
      <w:r>
        <w:t> % doktorské programy – viz graf č. 3. Oproti rokům 200</w:t>
      </w:r>
      <w:r w:rsidR="00EF549D">
        <w:t>1 a 2006</w:t>
      </w:r>
      <w:r w:rsidR="00A50394">
        <w:t xml:space="preserve"> se výrazně snížil podíl</w:t>
      </w:r>
      <w:r>
        <w:t xml:space="preserve"> studentů magisterských </w:t>
      </w:r>
      <w:r w:rsidR="0017642E">
        <w:t>ne</w:t>
      </w:r>
      <w:r>
        <w:t>navazujících programů ve prospěch zejména studentů bakalářského a magisterského navazujícího programu. To souvisí s proměno</w:t>
      </w:r>
      <w:r w:rsidR="007D3CE1">
        <w:t>u nabídky studijních programů</w:t>
      </w:r>
      <w:r w:rsidR="0032071C">
        <w:t xml:space="preserve"> (viz metodickou část výše v této zprávě)</w:t>
      </w:r>
      <w:r w:rsidR="007D3CE1">
        <w:t xml:space="preserve">. </w:t>
      </w:r>
    </w:p>
    <w:p w14:paraId="3F839FC8" w14:textId="515AA200" w:rsidR="00BA133F" w:rsidRDefault="00BA133F" w:rsidP="001E13FC">
      <w:pPr>
        <w:keepNext/>
        <w:spacing w:after="120" w:line="240" w:lineRule="auto"/>
        <w:rPr>
          <w:b/>
        </w:rPr>
      </w:pPr>
      <w:r w:rsidRPr="005A3A08">
        <w:rPr>
          <w:b/>
        </w:rPr>
        <w:t xml:space="preserve">Graf č. 3 </w:t>
      </w:r>
      <w:r w:rsidR="00005792">
        <w:rPr>
          <w:b/>
        </w:rPr>
        <w:t xml:space="preserve">Studenti VŠ v ČR – podíly studentů </w:t>
      </w:r>
      <w:r w:rsidRPr="005A3A08">
        <w:rPr>
          <w:b/>
        </w:rPr>
        <w:t xml:space="preserve">v jednotlivých studijních programech </w:t>
      </w:r>
      <w:r w:rsidR="00005792">
        <w:rPr>
          <w:b/>
        </w:rPr>
        <w:t>ze všech studentů</w:t>
      </w:r>
    </w:p>
    <w:p w14:paraId="10CDD393" w14:textId="0501BB79" w:rsidR="005F05E5" w:rsidRPr="005A3A08" w:rsidRDefault="0055143A" w:rsidP="00D36727">
      <w:pPr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1F629AE4" wp14:editId="5609221B">
            <wp:extent cx="6120130" cy="2686050"/>
            <wp:effectExtent l="0" t="0" r="13970" b="0"/>
            <wp:docPr id="19" name="Graf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14:paraId="7ECECF3D" w14:textId="0373868D" w:rsidR="00D36727" w:rsidRPr="00A2545E" w:rsidRDefault="00D36727" w:rsidP="005F1A99">
      <w:pPr>
        <w:spacing w:after="120" w:line="240" w:lineRule="auto"/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5EF155DD" w14:textId="4F32E94B" w:rsidR="00BA133F" w:rsidRDefault="00BA133F" w:rsidP="00D218AE">
      <w:pPr>
        <w:ind w:firstLine="284"/>
        <w:jc w:val="both"/>
      </w:pPr>
      <w:r>
        <w:lastRenderedPageBreak/>
        <w:t xml:space="preserve">Výše bylo uvedeno, že vysoké školy studuje vyšší podíl žen než mužů. Z grafu č. 4 je však zřejmé, že muži častěji než ženy </w:t>
      </w:r>
      <w:r w:rsidR="002C2C5A">
        <w:t>pokračují ve studiu</w:t>
      </w:r>
      <w:r>
        <w:t xml:space="preserve"> </w:t>
      </w:r>
      <w:r w:rsidR="002C2C5A">
        <w:t xml:space="preserve">na </w:t>
      </w:r>
      <w:r>
        <w:t xml:space="preserve">doktorské </w:t>
      </w:r>
      <w:r w:rsidR="002C2C5A">
        <w:t>úrovni</w:t>
      </w:r>
      <w:r w:rsidR="00622A01">
        <w:t xml:space="preserve">. </w:t>
      </w:r>
      <w:r w:rsidR="00815C1F">
        <w:t>Zde je třeba vzít v úvahu,</w:t>
      </w:r>
      <w:r w:rsidR="002147EE">
        <w:t xml:space="preserve"> že obvyklý věk, ve kterém </w:t>
      </w:r>
      <w:r w:rsidR="00815C1F">
        <w:t>se studenti vzdělávají v doktorském</w:t>
      </w:r>
      <w:r w:rsidR="002147EE">
        <w:t xml:space="preserve"> program</w:t>
      </w:r>
      <w:r w:rsidR="00815C1F">
        <w:t>u</w:t>
      </w:r>
      <w:r w:rsidR="002147EE">
        <w:t xml:space="preserve">, spadá </w:t>
      </w:r>
      <w:r w:rsidR="00C8424F">
        <w:t xml:space="preserve">u žen </w:t>
      </w:r>
      <w:r w:rsidR="002147EE">
        <w:t>do obvyklého věkového rozmezí pro zakládání rodiny</w:t>
      </w:r>
      <w:r w:rsidR="00666E59">
        <w:t xml:space="preserve">. To </w:t>
      </w:r>
      <w:r w:rsidR="00471745">
        <w:t xml:space="preserve">navíc </w:t>
      </w:r>
      <w:r w:rsidR="00666E59">
        <w:t xml:space="preserve">pro ženy </w:t>
      </w:r>
      <w:r w:rsidR="00AB11A0">
        <w:t>(až na vzácné výjimky</w:t>
      </w:r>
      <w:r w:rsidR="00972D73">
        <w:t>)</w:t>
      </w:r>
      <w:r w:rsidR="00AB11A0">
        <w:t xml:space="preserve"> </w:t>
      </w:r>
      <w:r w:rsidR="00471745">
        <w:t xml:space="preserve">na rozdíl od mužů </w:t>
      </w:r>
      <w:r w:rsidR="00666E59">
        <w:t>představuje minimálně půl roku</w:t>
      </w:r>
      <w:r w:rsidR="00AB11A0">
        <w:t xml:space="preserve"> soustavné péče o </w:t>
      </w:r>
      <w:r w:rsidR="00666E59">
        <w:t>dítě na mateřské dovolené</w:t>
      </w:r>
      <w:r w:rsidR="00C8424F">
        <w:t>. Ženy tak častěji musí řešit dilema, zda pokračovat ve studiu, nebo založit rodinu, příp. získat před založením rodiny jistotu stálého zaměstnání</w:t>
      </w:r>
      <w:r w:rsidR="0006344C">
        <w:t xml:space="preserve"> a finančního zabezpečení</w:t>
      </w:r>
      <w:r w:rsidR="002147EE">
        <w:t>.</w:t>
      </w:r>
      <w:r w:rsidR="00227637">
        <w:t xml:space="preserve"> </w:t>
      </w:r>
      <w:r w:rsidR="00160BE7">
        <w:t xml:space="preserve">Častější inklinace žen pro studium v magisterském nenavazujícím programu je </w:t>
      </w:r>
      <w:r w:rsidR="00D218AE">
        <w:t xml:space="preserve">dále </w:t>
      </w:r>
      <w:r w:rsidR="00160BE7">
        <w:t xml:space="preserve">dána především tím, že takový program studia je zahrnut v oborech, které jsou atraktivnější pro ženy (především skupiny oborů Vzdělávání a výchova a </w:t>
      </w:r>
      <w:r w:rsidR="00160BE7" w:rsidRPr="00160BE7">
        <w:t>Zdravotní a sociální péče, péče o příznivé životní podmínky</w:t>
      </w:r>
      <w:r w:rsidR="00160BE7">
        <w:t>).</w:t>
      </w:r>
    </w:p>
    <w:p w14:paraId="6B77DF1E" w14:textId="12E27EC8" w:rsidR="00BA133F" w:rsidRDefault="00BA133F" w:rsidP="00EE338E">
      <w:pPr>
        <w:keepNext/>
        <w:spacing w:after="120" w:line="240" w:lineRule="auto"/>
        <w:rPr>
          <w:b/>
        </w:rPr>
      </w:pPr>
      <w:r>
        <w:rPr>
          <w:b/>
        </w:rPr>
        <w:t>Graf č. 4</w:t>
      </w:r>
      <w:r w:rsidRPr="00B81E9A">
        <w:rPr>
          <w:b/>
        </w:rPr>
        <w:t xml:space="preserve"> </w:t>
      </w:r>
      <w:r w:rsidR="00150B41">
        <w:rPr>
          <w:b/>
        </w:rPr>
        <w:t xml:space="preserve">Studenti VŠ v ČR dle </w:t>
      </w:r>
      <w:r w:rsidR="00484AE5">
        <w:rPr>
          <w:b/>
        </w:rPr>
        <w:t>pohlaví</w:t>
      </w:r>
      <w:r w:rsidR="00150B41">
        <w:rPr>
          <w:b/>
        </w:rPr>
        <w:t xml:space="preserve"> -</w:t>
      </w:r>
      <w:r w:rsidRPr="00B81E9A">
        <w:rPr>
          <w:b/>
        </w:rPr>
        <w:t xml:space="preserve"> </w:t>
      </w:r>
      <w:r w:rsidR="00150B41">
        <w:rPr>
          <w:b/>
        </w:rPr>
        <w:t xml:space="preserve">podíly mužů/žen </w:t>
      </w:r>
      <w:r w:rsidR="00150B41" w:rsidRPr="005A3A08">
        <w:rPr>
          <w:b/>
        </w:rPr>
        <w:t xml:space="preserve">v jednotlivých studijních programech </w:t>
      </w:r>
      <w:r w:rsidR="00150B41">
        <w:rPr>
          <w:b/>
        </w:rPr>
        <w:t xml:space="preserve">ze všech </w:t>
      </w:r>
      <w:r w:rsidR="00227637">
        <w:rPr>
          <w:b/>
        </w:rPr>
        <w:t xml:space="preserve">studujících </w:t>
      </w:r>
      <w:r w:rsidR="00150B41">
        <w:rPr>
          <w:b/>
        </w:rPr>
        <w:t>mužů/žen</w:t>
      </w:r>
    </w:p>
    <w:p w14:paraId="51E9E34D" w14:textId="7DDF9F6E" w:rsidR="00644328" w:rsidRPr="007D3CE1" w:rsidRDefault="00F057EA" w:rsidP="00EE338E">
      <w:pPr>
        <w:keepNext/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16D628F4" wp14:editId="435C9ADC">
            <wp:extent cx="6120130" cy="5095875"/>
            <wp:effectExtent l="0" t="0" r="13970" b="9525"/>
            <wp:docPr id="42" name="Graf 4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471BBE67" w14:textId="06D0EC4F" w:rsidR="00D36727" w:rsidRPr="00EE338E" w:rsidRDefault="00D36727" w:rsidP="00150B41">
      <w:pPr>
        <w:spacing w:after="120" w:line="240" w:lineRule="auto"/>
        <w:jc w:val="right"/>
        <w:rPr>
          <w:sz w:val="18"/>
          <w:szCs w:val="18"/>
        </w:rPr>
      </w:pPr>
      <w:r w:rsidRPr="00EE338E">
        <w:rPr>
          <w:sz w:val="18"/>
          <w:szCs w:val="18"/>
        </w:rPr>
        <w:t>Zdroj dat: MŠMT</w:t>
      </w:r>
    </w:p>
    <w:p w14:paraId="0E644944" w14:textId="1E6DF166" w:rsidR="00BA133F" w:rsidRPr="007D7055" w:rsidRDefault="00BA133F" w:rsidP="00E23AC1">
      <w:pPr>
        <w:ind w:firstLine="284"/>
        <w:jc w:val="both"/>
      </w:pPr>
      <w:r w:rsidRPr="00662604">
        <w:t xml:space="preserve">Podíl </w:t>
      </w:r>
      <w:r w:rsidRPr="00662604">
        <w:rPr>
          <w:b/>
        </w:rPr>
        <w:t>studentů cizí státní příslušnosti</w:t>
      </w:r>
      <w:r>
        <w:t xml:space="preserve"> se v celém sledovaném období postupně zvyšoval, tj. ze 4,3 % v</w:t>
      </w:r>
      <w:r w:rsidR="0013091B">
        <w:t> roce 2001 na 17,1 % v roce 2021</w:t>
      </w:r>
      <w:r>
        <w:t xml:space="preserve">. Celkově se tak za posledních 20 let zčtyřnásobil. Podíl </w:t>
      </w:r>
      <w:r w:rsidRPr="00662604">
        <w:rPr>
          <w:b/>
        </w:rPr>
        <w:t xml:space="preserve">studentů </w:t>
      </w:r>
      <w:r w:rsidR="000E1953">
        <w:rPr>
          <w:b/>
        </w:rPr>
        <w:t>ve věku</w:t>
      </w:r>
      <w:r w:rsidRPr="00662604">
        <w:rPr>
          <w:b/>
        </w:rPr>
        <w:t xml:space="preserve"> </w:t>
      </w:r>
      <w:r w:rsidRPr="00B63590">
        <w:rPr>
          <w:b/>
        </w:rPr>
        <w:t>25 let</w:t>
      </w:r>
      <w:r w:rsidR="000E1953" w:rsidRPr="00B63590">
        <w:rPr>
          <w:b/>
        </w:rPr>
        <w:t xml:space="preserve"> a více</w:t>
      </w:r>
      <w:r w:rsidRPr="00B63590">
        <w:t xml:space="preserve"> stoupl mezi lety 20</w:t>
      </w:r>
      <w:r w:rsidR="00B63590" w:rsidRPr="00B63590">
        <w:t>01 a 2009 z 24,6 % na 35,7 % a v</w:t>
      </w:r>
      <w:r w:rsidRPr="00B63590">
        <w:t> dalších le</w:t>
      </w:r>
      <w:r w:rsidR="00597C1B" w:rsidRPr="00B63590">
        <w:t>tech činil cca jednu třetinu</w:t>
      </w:r>
      <w:r w:rsidR="00B63590" w:rsidRPr="00B63590">
        <w:t xml:space="preserve">. Přitom od roku 2017 pomalu klesal </w:t>
      </w:r>
      <w:proofErr w:type="gramStart"/>
      <w:r w:rsidR="00B63590" w:rsidRPr="00B63590">
        <w:t>ze</w:t>
      </w:r>
      <w:proofErr w:type="gramEnd"/>
      <w:r w:rsidR="00B63590" w:rsidRPr="00B63590">
        <w:t xml:space="preserve"> 34,4 % na 31,5 % </w:t>
      </w:r>
      <w:r w:rsidR="00597C1B" w:rsidRPr="00B63590">
        <w:t>v </w:t>
      </w:r>
      <w:r w:rsidR="00B63590" w:rsidRPr="00B63590">
        <w:t>roce 2021</w:t>
      </w:r>
      <w:r w:rsidRPr="00B63590">
        <w:t>. Obdobně</w:t>
      </w:r>
      <w:r>
        <w:t xml:space="preserve"> podíl </w:t>
      </w:r>
      <w:r w:rsidRPr="00662604">
        <w:rPr>
          <w:b/>
        </w:rPr>
        <w:t xml:space="preserve">studentů </w:t>
      </w:r>
      <w:r>
        <w:rPr>
          <w:b/>
        </w:rPr>
        <w:t>v jiném než denním studiu</w:t>
      </w:r>
      <w:r>
        <w:t xml:space="preserve"> stoupal mezi lety 2001 a 2009, konkrétně z 18 % na 29,9</w:t>
      </w:r>
      <w:r w:rsidR="0013091B">
        <w:t> %, a poté do roku 2021</w:t>
      </w:r>
      <w:r>
        <w:t xml:space="preserve"> klesl na 2</w:t>
      </w:r>
      <w:r w:rsidR="0013091B">
        <w:t>1,</w:t>
      </w:r>
      <w:r>
        <w:t xml:space="preserve">2 %. Podíl </w:t>
      </w:r>
      <w:r w:rsidRPr="00662604">
        <w:rPr>
          <w:b/>
        </w:rPr>
        <w:t>studentů</w:t>
      </w:r>
      <w:r>
        <w:t xml:space="preserve"> </w:t>
      </w:r>
      <w:r w:rsidRPr="00662604">
        <w:rPr>
          <w:b/>
        </w:rPr>
        <w:t>doktorského studia</w:t>
      </w:r>
      <w:r>
        <w:t xml:space="preserve"> měl kolísavou tendenci a pohyboval se mezi 6,5 % (v letech 2010 až 2012) a 8,2 % (v letech 200</w:t>
      </w:r>
      <w:r w:rsidR="00F0722D">
        <w:t>2 a 2003). Více viz tabulku č. 2</w:t>
      </w:r>
      <w:r>
        <w:t>.</w:t>
      </w:r>
    </w:p>
    <w:p w14:paraId="385B72FF" w14:textId="13662BD1" w:rsidR="00BA133F" w:rsidRDefault="00211D5A" w:rsidP="00F057EA">
      <w:pPr>
        <w:keepNext/>
        <w:spacing w:after="120"/>
        <w:jc w:val="both"/>
        <w:rPr>
          <w:b/>
        </w:rPr>
      </w:pPr>
      <w:r>
        <w:rPr>
          <w:b/>
        </w:rPr>
        <w:lastRenderedPageBreak/>
        <w:t>Tabulka č. 2</w:t>
      </w:r>
      <w:r w:rsidR="00EF13A1">
        <w:rPr>
          <w:b/>
        </w:rPr>
        <w:t xml:space="preserve"> </w:t>
      </w:r>
      <w:r w:rsidR="00972D73">
        <w:rPr>
          <w:b/>
        </w:rPr>
        <w:t>Studenti VŠ v ČR –</w:t>
      </w:r>
      <w:r w:rsidR="000E1D3C">
        <w:rPr>
          <w:b/>
        </w:rPr>
        <w:t xml:space="preserve"> v</w:t>
      </w:r>
      <w:r w:rsidR="00EF13A1">
        <w:rPr>
          <w:b/>
        </w:rPr>
        <w:t xml:space="preserve">ývoj počtu studentů </w:t>
      </w:r>
      <w:r w:rsidR="000E1D3C">
        <w:rPr>
          <w:b/>
        </w:rPr>
        <w:t xml:space="preserve">v třídění dle </w:t>
      </w:r>
      <w:r w:rsidR="00484AE5">
        <w:rPr>
          <w:b/>
        </w:rPr>
        <w:t>pohlaví</w:t>
      </w:r>
      <w:r w:rsidR="000E1D3C">
        <w:rPr>
          <w:b/>
        </w:rPr>
        <w:t>, státní příslušnosti, studijního programu, formy studia a věku</w:t>
      </w:r>
      <w:r w:rsidR="0013091B">
        <w:rPr>
          <w:b/>
        </w:rPr>
        <w:t xml:space="preserve">                     </w:t>
      </w:r>
    </w:p>
    <w:tbl>
      <w:tblPr>
        <w:tblW w:w="9639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199"/>
        <w:gridCol w:w="1127"/>
        <w:gridCol w:w="1128"/>
        <w:gridCol w:w="1127"/>
        <w:gridCol w:w="1128"/>
        <w:gridCol w:w="1128"/>
        <w:gridCol w:w="1842"/>
      </w:tblGrid>
      <w:tr w:rsidR="005D02BF" w:rsidRPr="005D02BF" w14:paraId="068291A6" w14:textId="77777777" w:rsidTr="00F057EA">
        <w:trPr>
          <w:trHeight w:hRule="exact" w:val="284"/>
        </w:trPr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996A4F0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rok</w:t>
            </w:r>
          </w:p>
        </w:tc>
        <w:tc>
          <w:tcPr>
            <w:tcW w:w="11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34288EB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vysokoškolští studenti celkem </w:t>
            </w: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br/>
              <w:t>(v tis. osob)</w:t>
            </w:r>
          </w:p>
        </w:tc>
        <w:tc>
          <w:tcPr>
            <w:tcW w:w="563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A8B716B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z toho podíl (v %)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28AEBBD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podíl studentů ve věkové kohortě 20-29 let (v %)</w:t>
            </w:r>
          </w:p>
        </w:tc>
      </w:tr>
      <w:tr w:rsidR="0013091B" w:rsidRPr="005D02BF" w14:paraId="0038C888" w14:textId="77777777" w:rsidTr="00E86917">
        <w:trPr>
          <w:trHeight w:hRule="exact" w:val="759"/>
        </w:trPr>
        <w:tc>
          <w:tcPr>
            <w:tcW w:w="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1A3491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11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A5F7F69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CA7A5B9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žen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8DAE75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cizinců 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46A88E8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studentů doktorského studia 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131448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 xml:space="preserve">studentů v jiném než denním studiu 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4FDEC7D" w14:textId="77777777" w:rsidR="005D02BF" w:rsidRPr="005D02BF" w:rsidRDefault="005D02BF" w:rsidP="00F057EA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FFFFFF"/>
                <w:sz w:val="16"/>
                <w:szCs w:val="16"/>
              </w:rPr>
              <w:t>studentů ve věku 25+</w:t>
            </w: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666B8C" w14:textId="77777777" w:rsidR="005D02BF" w:rsidRPr="005D02BF" w:rsidRDefault="005D02BF" w:rsidP="00F057EA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</w:tr>
      <w:tr w:rsidR="00B63590" w:rsidRPr="005D02BF" w14:paraId="2A5ABAE6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1C7D3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BA8E5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203,4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B26B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48,3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EA20C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8B01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88199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A1795" w14:textId="22F4415B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24,6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77A0A6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9,0</w:t>
            </w:r>
          </w:p>
        </w:tc>
      </w:tr>
      <w:tr w:rsidR="00B63590" w:rsidRPr="005D02BF" w14:paraId="1D529E5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0E50A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FA88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220,2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0C1C5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49,1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66790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E194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C657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19,2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ACD082" w14:textId="22F82C6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26,6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C7DC1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</w:tr>
      <w:tr w:rsidR="00B63590" w:rsidRPr="005D02BF" w14:paraId="0915A91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2515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7649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243,7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B344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49,5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224F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1245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2D280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20,5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57461" w14:textId="1EFB94B5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29,1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E6CE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11,1</w:t>
            </w:r>
          </w:p>
        </w:tc>
      </w:tr>
      <w:tr w:rsidR="00B63590" w:rsidRPr="005D02BF" w14:paraId="4E9CDCC9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403B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2004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10283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264,8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4064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50,9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D07C5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3E430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9E83A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2DF0F7" w14:textId="5FFD8955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82164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11,9</w:t>
            </w:r>
          </w:p>
        </w:tc>
      </w:tr>
      <w:tr w:rsidR="00B63590" w:rsidRPr="005D02BF" w14:paraId="34C15310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ED9B1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8250D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289,5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6507F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52,1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EFC58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ABA3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6C3D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23,7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D32216" w14:textId="074021BB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CF74D1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13,6</w:t>
            </w:r>
          </w:p>
        </w:tc>
      </w:tr>
      <w:tr w:rsidR="00B63590" w:rsidRPr="005D02BF" w14:paraId="41268C7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9C5E2E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D614F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316,2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EB36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53,1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662DD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8A73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34696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BBC479" w14:textId="2AF56443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6D10B4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14,8</w:t>
            </w:r>
          </w:p>
        </w:tc>
      </w:tr>
      <w:tr w:rsidR="00B63590" w:rsidRPr="005D02BF" w14:paraId="1E1B1D6C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7076B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2007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14867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343,9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6463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54,0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6F6E9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F16A9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332B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27,7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0D8D17" w14:textId="55A89D54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EA99C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16,2</w:t>
            </w:r>
          </w:p>
        </w:tc>
      </w:tr>
      <w:tr w:rsidR="00B63590" w:rsidRPr="005D02BF" w14:paraId="7FD2980E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48ACF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8DE11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368,1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2256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618A4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8,2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39A6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47CAA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6ED1E" w14:textId="1A2A8AE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35,2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3806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</w:tr>
      <w:tr w:rsidR="00B63590" w:rsidRPr="005D02BF" w14:paraId="310329B2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055B5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2009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84EE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389,0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AE294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71F1F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8,8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B750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A57C8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A687CE" w14:textId="6498E08D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35,7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4B7FC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18,3</w:t>
            </w:r>
          </w:p>
        </w:tc>
      </w:tr>
      <w:tr w:rsidR="00B63590" w:rsidRPr="005D02BF" w14:paraId="60AC526E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361E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0161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396,0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4C402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46032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F44AC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E5C36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864413" w14:textId="7DB7A7F6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35,5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EE57D4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18,9</w:t>
            </w:r>
          </w:p>
        </w:tc>
      </w:tr>
      <w:tr w:rsidR="00B63590" w:rsidRPr="005D02BF" w14:paraId="40786FEA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E32DD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154F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392,0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05376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A988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2A122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6B12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C77A0B" w14:textId="457472D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A1AD0B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19,5</w:t>
            </w:r>
          </w:p>
        </w:tc>
      </w:tr>
      <w:tr w:rsidR="00B63590" w:rsidRPr="005D02BF" w14:paraId="59C4C798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A3394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2012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49B13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380,9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20A63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960D0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7FDA4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E6C4B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58D47" w14:textId="3A8B1AA1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D9ACBE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19,4</w:t>
            </w:r>
          </w:p>
        </w:tc>
      </w:tr>
      <w:tr w:rsidR="00B63590" w:rsidRPr="005D02BF" w14:paraId="55082EB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9F28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2013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4901F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367,8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DE8A3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A8169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3499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6,7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5C469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D8D16" w14:textId="026CD6F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33,0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EA6A98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19,2</w:t>
            </w:r>
          </w:p>
        </w:tc>
      </w:tr>
      <w:tr w:rsidR="00B63590" w:rsidRPr="005D02BF" w14:paraId="1E1ADAF7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63406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2014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368D7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346,8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DDEC6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C384B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70AA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F0FFB7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ECECB" w14:textId="29808BD8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32,9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A02E3D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18,5</w:t>
            </w:r>
          </w:p>
        </w:tc>
      </w:tr>
      <w:tr w:rsidR="00B63590" w:rsidRPr="005D02BF" w14:paraId="4E7F8FE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EF26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B6F80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326,4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55A90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2BA9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12,9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FC805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7,3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D4EC90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84316C" w14:textId="5FC181A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8BF4B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17,8</w:t>
            </w:r>
          </w:p>
        </w:tc>
      </w:tr>
      <w:tr w:rsidR="00B63590" w:rsidRPr="005D02BF" w14:paraId="24457E57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FEA2F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2016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87C4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311,1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79CCD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34584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7EBFC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8F310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595C57" w14:textId="454738B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884A5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</w:tr>
      <w:tr w:rsidR="00B63590" w:rsidRPr="005D02BF" w14:paraId="2860275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CA5A0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2017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3AB2A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298,7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E5A8F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56,1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8FA07D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C9AF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1375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24,6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3EC93" w14:textId="18498509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27AE8C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16,8</w:t>
            </w:r>
          </w:p>
        </w:tc>
      </w:tr>
      <w:tr w:rsidR="00B63590" w:rsidRPr="005D02BF" w14:paraId="5516797F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1554D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2018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C21CA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289,7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D1F68E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EC6EF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15,4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68E6BA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8128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23,9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AF41F" w14:textId="1D5187E2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34,3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41C82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</w:tr>
      <w:tr w:rsidR="00B63590" w:rsidRPr="005D02BF" w14:paraId="1FC274B3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FE7E9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2019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B0A94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288,6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A6473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C8C4F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2F885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8E630C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A9D59" w14:textId="5507D701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33,1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F33EF1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</w:tr>
      <w:tr w:rsidR="00B63590" w:rsidRPr="005D02BF" w14:paraId="59AD064D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3C602" w14:textId="77777777" w:rsidR="00B63590" w:rsidRPr="005D02BF" w:rsidRDefault="00B63590" w:rsidP="00B63590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2020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CFD912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299,0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C77708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55,5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E698B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93A1E1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63146" w14:textId="77777777" w:rsidR="00B63590" w:rsidRPr="005D02BF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CF9B5" w14:textId="52C76A8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32,3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548633" w14:textId="77777777" w:rsidR="00B63590" w:rsidRPr="00B63590" w:rsidRDefault="00B63590" w:rsidP="00B63590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rFonts w:cs="Arial"/>
                <w:color w:val="000000"/>
                <w:sz w:val="16"/>
                <w:szCs w:val="16"/>
              </w:rPr>
              <w:t>17,7</w:t>
            </w:r>
          </w:p>
        </w:tc>
      </w:tr>
      <w:tr w:rsidR="00B63590" w:rsidRPr="00B63590" w14:paraId="3E650D24" w14:textId="77777777" w:rsidTr="00E86917">
        <w:trPr>
          <w:trHeight w:hRule="exact" w:val="284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7A584" w14:textId="77777777" w:rsidR="00B63590" w:rsidRPr="005D02BF" w:rsidRDefault="00B63590" w:rsidP="00B63590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b/>
                <w:bCs/>
                <w:color w:val="000000"/>
                <w:sz w:val="16"/>
                <w:szCs w:val="16"/>
              </w:rPr>
              <w:t>2021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F5A839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304,1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43626E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55,6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23F9FD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1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3A4B8E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7,0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16EF6" w14:textId="77777777" w:rsidR="00B63590" w:rsidRPr="005D02BF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D02BF">
              <w:rPr>
                <w:rFonts w:cs="Arial"/>
                <w:color w:val="000000"/>
                <w:sz w:val="16"/>
                <w:szCs w:val="16"/>
              </w:rPr>
              <w:t>21,2</w:t>
            </w:r>
          </w:p>
        </w:tc>
        <w:tc>
          <w:tcPr>
            <w:tcW w:w="11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BAAE2D" w14:textId="2DBCE53D" w:rsidR="00B63590" w:rsidRPr="00B63590" w:rsidRDefault="00B63590" w:rsidP="00B63590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B63590">
              <w:rPr>
                <w:sz w:val="16"/>
                <w:szCs w:val="16"/>
              </w:rPr>
              <w:t>31,5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8FA3E" w14:textId="48489819" w:rsidR="00B63590" w:rsidRPr="00B63590" w:rsidRDefault="006016C8" w:rsidP="006016C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  <w:highlight w:val="yellow"/>
              </w:rPr>
            </w:pPr>
            <w:r>
              <w:rPr>
                <w:rFonts w:cs="Arial"/>
                <w:color w:val="000000"/>
                <w:sz w:val="16"/>
                <w:szCs w:val="16"/>
              </w:rPr>
              <w:t xml:space="preserve">     </w:t>
            </w:r>
            <w:r w:rsidRPr="006016C8">
              <w:rPr>
                <w:rFonts w:cs="Arial"/>
                <w:color w:val="000000"/>
                <w:sz w:val="16"/>
                <w:szCs w:val="16"/>
              </w:rPr>
              <w:t>18,7</w:t>
            </w:r>
          </w:p>
        </w:tc>
      </w:tr>
    </w:tbl>
    <w:p w14:paraId="63416C53" w14:textId="58AAED68" w:rsidR="002836FC" w:rsidRPr="001E13FC" w:rsidRDefault="00BA133F" w:rsidP="001E13FC">
      <w:pPr>
        <w:spacing w:before="120" w:line="240" w:lineRule="auto"/>
        <w:jc w:val="right"/>
        <w:rPr>
          <w:sz w:val="18"/>
          <w:szCs w:val="18"/>
        </w:rPr>
      </w:pPr>
      <w:r>
        <w:rPr>
          <w:b/>
        </w:rPr>
        <w:t xml:space="preserve">                                                   </w:t>
      </w:r>
      <w:r w:rsidRPr="00EE338E">
        <w:rPr>
          <w:sz w:val="18"/>
          <w:szCs w:val="18"/>
        </w:rPr>
        <w:t>Zdroj dat: MŠMT (data o studentech), ČSÚ (data o popu</w:t>
      </w:r>
      <w:r w:rsidR="001E13FC">
        <w:rPr>
          <w:sz w:val="18"/>
          <w:szCs w:val="18"/>
        </w:rPr>
        <w:t>laci)</w:t>
      </w:r>
    </w:p>
    <w:p w14:paraId="164E61E1" w14:textId="73F76046" w:rsidR="00416788" w:rsidRDefault="00F84233" w:rsidP="000E1D3C">
      <w:pPr>
        <w:ind w:firstLine="284"/>
        <w:jc w:val="both"/>
      </w:pPr>
      <w:r>
        <w:t>Celkem studovalo v roce 2021</w:t>
      </w:r>
      <w:r w:rsidRPr="00E739D8">
        <w:t xml:space="preserve"> </w:t>
      </w:r>
      <w:r>
        <w:t xml:space="preserve">na </w:t>
      </w:r>
      <w:r w:rsidRPr="00E739D8">
        <w:t>někter</w:t>
      </w:r>
      <w:r>
        <w:t>é</w:t>
      </w:r>
      <w:r w:rsidRPr="00E739D8">
        <w:t xml:space="preserve"> z  vy</w:t>
      </w:r>
      <w:r>
        <w:t>sokých škol v České republice 52 109</w:t>
      </w:r>
      <w:r w:rsidRPr="00E739D8">
        <w:t xml:space="preserve"> cizinců majících </w:t>
      </w:r>
      <w:r>
        <w:t xml:space="preserve">164 různých státních občanství </w:t>
      </w:r>
      <w:r w:rsidR="00856905">
        <w:t>nejvyšší</w:t>
      </w:r>
      <w:r>
        <w:t>. Nejvyšší</w:t>
      </w:r>
      <w:r w:rsidR="00856905">
        <w:t xml:space="preserve"> podíl tvoří </w:t>
      </w:r>
      <w:r w:rsidR="00856905" w:rsidRPr="00856905">
        <w:t xml:space="preserve"> dlouhodobě Slováci</w:t>
      </w:r>
      <w:r w:rsidR="00BA133F" w:rsidRPr="00E739D8">
        <w:t>.</w:t>
      </w:r>
      <w:r w:rsidR="00797DFA">
        <w:t xml:space="preserve"> V roce 2021 jich u nás studovalo celkem 20 914</w:t>
      </w:r>
      <w:r w:rsidR="004339DC">
        <w:t>.</w:t>
      </w:r>
      <w:r w:rsidR="00BA133F" w:rsidRPr="00E739D8">
        <w:t xml:space="preserve"> S odstupem pak následovali studenti z Ruské federace, Ukrajiny </w:t>
      </w:r>
      <w:r w:rsidR="000C718E">
        <w:t>a Kazachstánu – viz tabulku č. 3</w:t>
      </w:r>
      <w:r w:rsidR="00797DFA">
        <w:t xml:space="preserve">. </w:t>
      </w:r>
      <w:r w:rsidR="00416788">
        <w:t xml:space="preserve">V dalších letech lze vzhledem k politické situaci očekávat úbytek studentů z Ruské federace a naopak nárůst studentů ukrajinské státní příslušnosti. </w:t>
      </w:r>
    </w:p>
    <w:p w14:paraId="0B43B7DA" w14:textId="1ECBFF10" w:rsidR="0013091B" w:rsidRDefault="00211D5A" w:rsidP="00AC4E8D">
      <w:pPr>
        <w:keepNext/>
        <w:spacing w:after="120"/>
        <w:jc w:val="both"/>
        <w:rPr>
          <w:b/>
        </w:rPr>
      </w:pPr>
      <w:r>
        <w:rPr>
          <w:b/>
        </w:rPr>
        <w:lastRenderedPageBreak/>
        <w:t>Tabulka č. 3</w:t>
      </w:r>
      <w:r w:rsidR="00BA133F" w:rsidRPr="00E01021">
        <w:rPr>
          <w:b/>
        </w:rPr>
        <w:t xml:space="preserve"> </w:t>
      </w:r>
      <w:r w:rsidR="00F84233">
        <w:rPr>
          <w:b/>
        </w:rPr>
        <w:t>Studenti VŠ v ČR  –</w:t>
      </w:r>
      <w:r w:rsidR="000E1D3C">
        <w:rPr>
          <w:b/>
        </w:rPr>
        <w:t xml:space="preserve"> </w:t>
      </w:r>
      <w:r>
        <w:rPr>
          <w:b/>
        </w:rPr>
        <w:t>počet studentů</w:t>
      </w:r>
      <w:r w:rsidR="000E1D3C">
        <w:rPr>
          <w:b/>
        </w:rPr>
        <w:t xml:space="preserve"> </w:t>
      </w:r>
      <w:r>
        <w:rPr>
          <w:b/>
        </w:rPr>
        <w:t>cizí státní přís</w:t>
      </w:r>
      <w:r w:rsidR="000E1D3C">
        <w:rPr>
          <w:b/>
        </w:rPr>
        <w:t>lušnosti</w:t>
      </w:r>
      <w:r w:rsidR="00F357D3">
        <w:rPr>
          <w:b/>
        </w:rPr>
        <w:t xml:space="preserve"> celkem, dle země</w:t>
      </w:r>
      <w:r w:rsidR="00175B77">
        <w:rPr>
          <w:b/>
        </w:rPr>
        <w:t xml:space="preserve"> a dle studijního programu </w:t>
      </w:r>
      <w:r w:rsidR="004A51D1">
        <w:rPr>
          <w:b/>
        </w:rPr>
        <w:t>(2021</w:t>
      </w:r>
      <w:r w:rsidR="00BA133F">
        <w:rPr>
          <w:b/>
        </w:rPr>
        <w:t>)</w:t>
      </w:r>
    </w:p>
    <w:tbl>
      <w:tblPr>
        <w:tblW w:w="949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29"/>
        <w:gridCol w:w="1157"/>
        <w:gridCol w:w="1453"/>
        <w:gridCol w:w="1453"/>
        <w:gridCol w:w="1453"/>
        <w:gridCol w:w="1453"/>
      </w:tblGrid>
      <w:tr w:rsidR="00797DFA" w:rsidRPr="00797DFA" w14:paraId="16D04CCC" w14:textId="77777777" w:rsidTr="00E86917">
        <w:trPr>
          <w:trHeight w:val="300"/>
          <w:jc w:val="center"/>
        </w:trPr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6D404C6" w14:textId="757D3701" w:rsidR="00797DFA" w:rsidRPr="00797DFA" w:rsidRDefault="004A51D1" w:rsidP="004A51D1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státní příslušnost</w:t>
            </w:r>
          </w:p>
        </w:tc>
        <w:tc>
          <w:tcPr>
            <w:tcW w:w="1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EC7EC95" w14:textId="3103B6A6" w:rsidR="00797DFA" w:rsidRPr="00797DFA" w:rsidRDefault="00C810F6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FFFFFF"/>
                <w:sz w:val="18"/>
                <w:szCs w:val="18"/>
              </w:rPr>
              <w:t>počet studentů celkem</w:t>
            </w:r>
          </w:p>
        </w:tc>
        <w:tc>
          <w:tcPr>
            <w:tcW w:w="58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6CBE300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z toho studující program (v %)</w:t>
            </w:r>
          </w:p>
        </w:tc>
      </w:tr>
      <w:tr w:rsidR="00797DFA" w:rsidRPr="00797DFA" w14:paraId="072AAE33" w14:textId="77777777" w:rsidTr="00E86917">
        <w:trPr>
          <w:trHeight w:val="720"/>
          <w:jc w:val="center"/>
        </w:trPr>
        <w:tc>
          <w:tcPr>
            <w:tcW w:w="25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1EE0C3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A16A9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A82DCDB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bakalářský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5F614C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magisterský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B24931A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navazující magisterský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52C14E8" w14:textId="77777777" w:rsidR="00797DFA" w:rsidRPr="00797DFA" w:rsidRDefault="00797DFA" w:rsidP="00AC4E8D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FFFFFF"/>
                <w:sz w:val="18"/>
                <w:szCs w:val="18"/>
              </w:rPr>
              <w:t>doktorský</w:t>
            </w:r>
          </w:p>
        </w:tc>
      </w:tr>
      <w:tr w:rsidR="00797DFA" w:rsidRPr="00797DFA" w14:paraId="04997F72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698A8F" w14:textId="64D3EF15" w:rsidR="00797DFA" w:rsidRPr="00797DFA" w:rsidRDefault="004A51D1" w:rsidP="00AC4E8D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Cizinci </w:t>
            </w:r>
            <w:r w:rsidR="00797DFA" w:rsidRPr="00797DFA">
              <w:rPr>
                <w:rFonts w:cs="Arial"/>
                <w:b/>
                <w:bCs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553F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bCs/>
                <w:color w:val="000000"/>
                <w:sz w:val="18"/>
                <w:szCs w:val="18"/>
              </w:rPr>
              <w:t>52 109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3C1B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51,3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A605F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FD16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23,4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18C2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b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b/>
                <w:color w:val="000000"/>
                <w:sz w:val="18"/>
                <w:szCs w:val="18"/>
              </w:rPr>
              <w:t>10,7</w:t>
            </w:r>
          </w:p>
        </w:tc>
      </w:tr>
      <w:tr w:rsidR="004A51D1" w:rsidRPr="00797DFA" w14:paraId="6CF15C61" w14:textId="77777777" w:rsidTr="00E86917">
        <w:trPr>
          <w:trHeight w:val="300"/>
          <w:jc w:val="center"/>
        </w:trPr>
        <w:tc>
          <w:tcPr>
            <w:tcW w:w="949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9CEDA" w14:textId="48CFD77C" w:rsidR="004A51D1" w:rsidRPr="004A51D1" w:rsidRDefault="004A51D1" w:rsidP="002836FC">
            <w:pPr>
              <w:keepNext/>
              <w:spacing w:after="0" w:line="240" w:lineRule="auto"/>
              <w:rPr>
                <w:rFonts w:cs="Arial"/>
                <w:b/>
                <w:i/>
                <w:color w:val="000000"/>
                <w:sz w:val="18"/>
                <w:szCs w:val="18"/>
              </w:rPr>
            </w:pPr>
            <w:r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 xml:space="preserve">    </w:t>
            </w:r>
            <w:r w:rsidRPr="004A51D1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>z toho země</w:t>
            </w:r>
            <w:r w:rsidR="002836FC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 xml:space="preserve"> s více než 500 studenty v ČR</w:t>
            </w:r>
            <w:r w:rsidRPr="004A51D1">
              <w:rPr>
                <w:rFonts w:cs="Arial"/>
                <w:b/>
                <w:bCs/>
                <w:i/>
                <w:color w:val="000000"/>
                <w:sz w:val="18"/>
                <w:szCs w:val="18"/>
              </w:rPr>
              <w:t>:</w:t>
            </w:r>
          </w:p>
        </w:tc>
      </w:tr>
      <w:tr w:rsidR="00797DFA" w:rsidRPr="00797DFA" w14:paraId="79544864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BAE76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Slovenská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4BE343" w14:textId="5F796F5A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20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914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5A457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50,4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72AE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16,2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525B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24,5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A418B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9,4</w:t>
            </w:r>
          </w:p>
        </w:tc>
      </w:tr>
      <w:tr w:rsidR="00797DFA" w:rsidRPr="00797DFA" w14:paraId="2E3349E6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6A1B8A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Ruská federace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AF56AC" w14:textId="3EA8562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8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CE0A6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72,6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303D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635A7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5218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</w:tr>
      <w:tr w:rsidR="00797DFA" w:rsidRPr="00797DFA" w14:paraId="0A540F88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A6D5F3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Ukrajina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6A8A25" w14:textId="23EB9D10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419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2702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70,2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47A4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4586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F3F8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5,3</w:t>
            </w:r>
          </w:p>
        </w:tc>
      </w:tr>
      <w:tr w:rsidR="00797DFA" w:rsidRPr="00797DFA" w14:paraId="51859667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E49BD0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Republika Kazachstán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A5860" w14:textId="0B4B6E1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578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D1E3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82,5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DC8F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2F45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14,2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53E5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1,9</w:t>
            </w:r>
          </w:p>
        </w:tc>
      </w:tr>
      <w:tr w:rsidR="00797DFA" w:rsidRPr="00797DFA" w14:paraId="1D2F0B5D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E7BE7E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Indická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83AFC8" w14:textId="241D4621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469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B547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15,1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5082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22,5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71B6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37,3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3513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25,1</w:t>
            </w:r>
          </w:p>
        </w:tc>
      </w:tr>
      <w:tr w:rsidR="00797DFA" w:rsidRPr="00797DFA" w14:paraId="061DC038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3AF99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Běloruská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045EFE" w14:textId="57EEEFE3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</w:t>
            </w:r>
            <w:r w:rsidR="004903E6">
              <w:rPr>
                <w:rFonts w:cs="Arial"/>
                <w:color w:val="000000"/>
                <w:sz w:val="18"/>
                <w:szCs w:val="18"/>
              </w:rPr>
              <w:t> </w:t>
            </w:r>
            <w:r w:rsidRPr="00797DFA">
              <w:rPr>
                <w:rFonts w:cs="Arial"/>
                <w:color w:val="000000"/>
                <w:sz w:val="18"/>
                <w:szCs w:val="18"/>
              </w:rPr>
              <w:t>033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D0B04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71,4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C8300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6,7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A7C3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17,4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CA61F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4,6</w:t>
            </w:r>
          </w:p>
        </w:tc>
      </w:tr>
      <w:tr w:rsidR="00797DFA" w:rsidRPr="00797DFA" w14:paraId="5524D7C4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63C65D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Spolková republika Německo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DA31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918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6AA3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13,6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5D8375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45,5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8FA2B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14,6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21539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26,4</w:t>
            </w:r>
          </w:p>
        </w:tc>
      </w:tr>
      <w:tr w:rsidR="00797DFA" w:rsidRPr="00797DFA" w14:paraId="0889A4F0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764C8E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Italská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3889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666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C4B72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35,3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72F0A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23,1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473E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15,6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032C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26,0</w:t>
            </w:r>
          </w:p>
        </w:tc>
      </w:tr>
      <w:tr w:rsidR="00797DFA" w:rsidRPr="00797DFA" w14:paraId="0B3E900A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894316" w14:textId="77777777" w:rsidR="00797DFA" w:rsidRPr="00797DFA" w:rsidRDefault="00797DFA" w:rsidP="00AC4E8D">
            <w:pPr>
              <w:keepNext/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Čínská lidová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DF69CC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648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AA9E7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46,6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4C0E3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88041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32,9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8D3BDD" w14:textId="77777777" w:rsidR="00797DFA" w:rsidRPr="00797DFA" w:rsidRDefault="00797DFA" w:rsidP="00AC4E8D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19,4</w:t>
            </w:r>
          </w:p>
        </w:tc>
      </w:tr>
      <w:tr w:rsidR="00797DFA" w:rsidRPr="00797DFA" w14:paraId="4DB16367" w14:textId="77777777" w:rsidTr="00E86917">
        <w:trPr>
          <w:trHeight w:val="300"/>
          <w:jc w:val="center"/>
        </w:trPr>
        <w:tc>
          <w:tcPr>
            <w:tcW w:w="25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2881C2" w14:textId="77777777" w:rsidR="00797DFA" w:rsidRPr="00797DFA" w:rsidRDefault="00797DFA" w:rsidP="00797DFA">
            <w:pPr>
              <w:spacing w:after="0" w:line="240" w:lineRule="auto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Íránská islámská republika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06DD2B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531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FB7D4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10,7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C0793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49,2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B57C9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10,2</w:t>
            </w:r>
          </w:p>
        </w:tc>
        <w:tc>
          <w:tcPr>
            <w:tcW w:w="14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39B80" w14:textId="77777777" w:rsidR="00797DFA" w:rsidRPr="00797DFA" w:rsidRDefault="00797DFA" w:rsidP="00797DFA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797DFA">
              <w:rPr>
                <w:rFonts w:cs="Arial"/>
                <w:color w:val="000000"/>
                <w:sz w:val="18"/>
                <w:szCs w:val="18"/>
              </w:rPr>
              <w:t>30,1</w:t>
            </w:r>
          </w:p>
        </w:tc>
      </w:tr>
    </w:tbl>
    <w:p w14:paraId="12F1729F" w14:textId="77777777" w:rsidR="00BA133F" w:rsidRPr="00A2545E" w:rsidRDefault="000D7FAA" w:rsidP="00A2545E">
      <w:pPr>
        <w:spacing w:before="120" w:line="276" w:lineRule="auto"/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146628B6" w14:textId="7DB2B24E" w:rsidR="00BA133F" w:rsidRDefault="00BA133F" w:rsidP="006011C1">
      <w:pPr>
        <w:spacing w:line="276" w:lineRule="auto"/>
        <w:ind w:firstLine="284"/>
        <w:jc w:val="both"/>
      </w:pPr>
      <w:r>
        <w:t xml:space="preserve">Z tabulky je také patrné, že jen malé množství studentů z bývalého Sovětského svazu (tj. z Ruské federace, Ukrajiny, </w:t>
      </w:r>
      <w:r w:rsidR="00D267A3">
        <w:t>Kazachstánu a Běloruska) studoval</w:t>
      </w:r>
      <w:r w:rsidR="00FD21CA">
        <w:t>o</w:t>
      </w:r>
      <w:r w:rsidR="0022342F">
        <w:t xml:space="preserve"> v roce 2021</w:t>
      </w:r>
      <w:r>
        <w:t xml:space="preserve"> doktorský studijní program</w:t>
      </w:r>
      <w:r w:rsidR="009F2209">
        <w:t xml:space="preserve"> (1,9 až 5,3</w:t>
      </w:r>
      <w:r w:rsidR="004B5602">
        <w:t> %)</w:t>
      </w:r>
      <w:r>
        <w:t>. Oproti tomu mezi studenty z</w:t>
      </w:r>
      <w:r w:rsidR="00224E36">
        <w:t> Indie, Německa a Itálie studovala</w:t>
      </w:r>
      <w:r>
        <w:t xml:space="preserve"> doktorský program čtvrtina</w:t>
      </w:r>
      <w:r w:rsidR="00797DFA">
        <w:t xml:space="preserve"> a mezi studenty z Íránské islámské republiky dokonce 30,1 %</w:t>
      </w:r>
      <w:r w:rsidR="006011C1">
        <w:t>.</w:t>
      </w:r>
    </w:p>
    <w:p w14:paraId="3105E2C0" w14:textId="5F6D33FB" w:rsidR="00BA133F" w:rsidRDefault="00BA133F" w:rsidP="006011C1">
      <w:pPr>
        <w:pStyle w:val="Nadpis2"/>
        <w:spacing w:before="120" w:after="240"/>
      </w:pPr>
      <w:bookmarkStart w:id="9" w:name="_Toc103080342"/>
      <w:r w:rsidRPr="00E14280">
        <w:t>Studenti dle skupin oborů vzdělávání</w:t>
      </w:r>
      <w:bookmarkEnd w:id="9"/>
      <w:r w:rsidR="00797DFA">
        <w:t xml:space="preserve"> </w:t>
      </w:r>
    </w:p>
    <w:p w14:paraId="49D8BD09" w14:textId="13BC4EE8" w:rsidR="00BA133F" w:rsidRDefault="00BA133F" w:rsidP="0083115C">
      <w:pPr>
        <w:spacing w:after="120"/>
        <w:ind w:firstLine="284"/>
        <w:jc w:val="both"/>
      </w:pPr>
      <w:r w:rsidRPr="00881B80">
        <w:t xml:space="preserve">Co se týče dělení na jednotlivé </w:t>
      </w:r>
      <w:r w:rsidR="007C1321" w:rsidRPr="005A0011">
        <w:rPr>
          <w:b/>
        </w:rPr>
        <w:t>skupiny oborů</w:t>
      </w:r>
      <w:r w:rsidRPr="00881B80">
        <w:t xml:space="preserve"> vzdělávání</w:t>
      </w:r>
      <w:r w:rsidR="007C1321">
        <w:t xml:space="preserve"> dle klasifikace ISCED F-2013</w:t>
      </w:r>
      <w:r w:rsidR="00E14280">
        <w:t>, v roce 2021</w:t>
      </w:r>
      <w:r>
        <w:t xml:space="preserve"> byl nejvyšší počet studentů zapsaný do </w:t>
      </w:r>
      <w:r w:rsidRPr="007C1321">
        <w:t>skupiny oborů</w:t>
      </w:r>
      <w:r w:rsidR="0097122A">
        <w:t xml:space="preserve"> O</w:t>
      </w:r>
      <w:r>
        <w:t>bch</w:t>
      </w:r>
      <w:r w:rsidR="00E14280">
        <w:t>od, administrativa a právo (62 695</w:t>
      </w:r>
      <w:r>
        <w:t>) a ne</w:t>
      </w:r>
      <w:r w:rsidR="0097122A">
        <w:t>jnižší naopak do skupiny oborů Z</w:t>
      </w:r>
      <w:r w:rsidRPr="00881B80">
        <w:t>emědělství, lesnictví, rybářství a veterinářstv</w:t>
      </w:r>
      <w:r w:rsidR="00493B22">
        <w:t>í (11 368). V relativním vyjádření se o</w:t>
      </w:r>
      <w:r w:rsidR="00E14280">
        <w:t>d roku 2001 do roku 2021</w:t>
      </w:r>
      <w:r w:rsidR="00493B22">
        <w:t xml:space="preserve"> zvýšil </w:t>
      </w:r>
      <w:r>
        <w:t>nejvýrazněji p</w:t>
      </w:r>
      <w:r w:rsidR="0097122A">
        <w:t>očet studentů ve skupině oborů I</w:t>
      </w:r>
      <w:r>
        <w:t>nformační a komunikační technologie (</w:t>
      </w:r>
      <w:r w:rsidR="00E14280">
        <w:t>ztrojnásobil se</w:t>
      </w:r>
      <w:r w:rsidR="0097122A">
        <w:t>) a dále ve skupině oborů S</w:t>
      </w:r>
      <w:r>
        <w:t>lužeb (</w:t>
      </w:r>
      <w:r w:rsidR="00493B22">
        <w:t xml:space="preserve">vzrostl </w:t>
      </w:r>
      <w:r>
        <w:t>2,8krát)</w:t>
      </w:r>
      <w:r w:rsidR="00493B22">
        <w:t>; v absolutním vyjádření pak ve skupině oborů Obchod, administrativa a právo (byl zaznamenán nárůst o 23 061 studentů)</w:t>
      </w:r>
      <w:r w:rsidR="00C91C61">
        <w:t xml:space="preserve"> a </w:t>
      </w:r>
      <w:r w:rsidR="00C91C61" w:rsidRPr="00FC6CB5">
        <w:t>Zd</w:t>
      </w:r>
      <w:r w:rsidR="00C91C61">
        <w:t>ravotní a sociální péče, péče o </w:t>
      </w:r>
      <w:r w:rsidR="00C91C61" w:rsidRPr="00FC6CB5">
        <w:t>příznivé životní podmínky</w:t>
      </w:r>
      <w:r w:rsidR="00C91C61">
        <w:t xml:space="preserve"> (nárůst o 21 663 studentů)</w:t>
      </w:r>
      <w:r w:rsidR="00493B22">
        <w:t>. Zvýšení</w:t>
      </w:r>
      <w:r>
        <w:t xml:space="preserve"> po</w:t>
      </w:r>
      <w:r w:rsidR="003C38B9">
        <w:t>čtu studentů zaznamenaly i ostatní</w:t>
      </w:r>
      <w:r>
        <w:t xml:space="preserve"> skupiny oborů</w:t>
      </w:r>
      <w:r w:rsidR="003C38B9">
        <w:t xml:space="preserve"> (o 3,5 až 14,9 tisíce studentů)</w:t>
      </w:r>
      <w:r>
        <w:t>, kromě oborů z</w:t>
      </w:r>
      <w:r w:rsidR="0097122A">
        <w:t> oblasti T</w:t>
      </w:r>
      <w:r>
        <w:t>echnických věd, výroby a</w:t>
      </w:r>
      <w:r w:rsidR="00E14280">
        <w:t xml:space="preserve"> stavebnictví, které v roce 2021</w:t>
      </w:r>
      <w:r>
        <w:t xml:space="preserve"> studovalo </w:t>
      </w:r>
      <w:r w:rsidR="00E14280">
        <w:t>o čtvrtinu</w:t>
      </w:r>
      <w:r>
        <w:t xml:space="preserve"> méně studentů než v roce 2001. </w:t>
      </w:r>
      <w:r w:rsidR="00A6032E">
        <w:t>Z</w:t>
      </w:r>
      <w:r w:rsidR="00FC6CB5">
        <w:t xml:space="preserve">de je dobré poznamenat, že nárůstu </w:t>
      </w:r>
      <w:r w:rsidR="003C38B9">
        <w:t>počtu studentů docházelo</w:t>
      </w:r>
      <w:r w:rsidR="00FC6CB5">
        <w:t xml:space="preserve"> zejména v první sledované dekádě, mezi roky 2011 a 2021 naopak počet studentů téměř ve všech oborech poklesl, s výjimkou skupiny oborů </w:t>
      </w:r>
      <w:r w:rsidR="00FC6CB5" w:rsidRPr="00FC6CB5">
        <w:t>Zd</w:t>
      </w:r>
      <w:r w:rsidR="00005668">
        <w:t>ravotní a sociální péče, péče o </w:t>
      </w:r>
      <w:r w:rsidR="00FC6CB5" w:rsidRPr="00FC6CB5">
        <w:t>příznivé životní podmínky</w:t>
      </w:r>
      <w:r w:rsidR="00FC6CB5">
        <w:t xml:space="preserve">, kde došlo k nárůstu o 8,7 %, a skupiny oborů </w:t>
      </w:r>
      <w:r w:rsidR="00FC6CB5" w:rsidRPr="00FC6CB5">
        <w:t>Přírodní vědy, matematika a statistika</w:t>
      </w:r>
      <w:r w:rsidR="00FC6CB5">
        <w:t xml:space="preserve">, ve které se počet studentů zvýšilo o 5,2 %. Největší pokles studentů i za toto sledované období zaznamenala skupina oborů </w:t>
      </w:r>
      <w:r w:rsidR="00FC6CB5" w:rsidRPr="00FC6CB5">
        <w:t>z oblasti Technických věd, výroby a stavebnictví</w:t>
      </w:r>
      <w:r w:rsidR="00FC6CB5">
        <w:t>, a sice o dvě pětiny.</w:t>
      </w:r>
    </w:p>
    <w:p w14:paraId="1AD8E195" w14:textId="53704BEE" w:rsidR="00BA133F" w:rsidRDefault="00872BA9" w:rsidP="00B52882">
      <w:pPr>
        <w:spacing w:after="120"/>
        <w:ind w:firstLine="284"/>
        <w:jc w:val="both"/>
      </w:pPr>
      <w:r>
        <w:t>Ja</w:t>
      </w:r>
      <w:r w:rsidR="00DB61CA">
        <w:t>k uvádí graf č. 5 a tabulka č. 4</w:t>
      </w:r>
      <w:r>
        <w:t>, v</w:t>
      </w:r>
      <w:r w:rsidR="00BA133F">
        <w:t xml:space="preserve"> le</w:t>
      </w:r>
      <w:r w:rsidR="0097122A">
        <w:t xml:space="preserve">tech </w:t>
      </w:r>
      <w:r w:rsidR="004D1687">
        <w:t>2001</w:t>
      </w:r>
      <w:r w:rsidR="00AC4E8D">
        <w:t>, 2011 i 2021</w:t>
      </w:r>
      <w:r w:rsidR="004D1687">
        <w:t xml:space="preserve"> </w:t>
      </w:r>
      <w:r w:rsidR="0097122A">
        <w:t>přitom ve skupinách oborů T</w:t>
      </w:r>
      <w:r w:rsidR="00BA133F">
        <w:t>echniky</w:t>
      </w:r>
      <w:r w:rsidR="0097122A">
        <w:t>, výroby a stavebnictví, oborů I</w:t>
      </w:r>
      <w:r w:rsidR="00BA133F" w:rsidRPr="00A25E07">
        <w:t>nformační a komunikační technologie</w:t>
      </w:r>
      <w:r w:rsidR="0097122A">
        <w:t xml:space="preserve"> a oborů S</w:t>
      </w:r>
      <w:r w:rsidR="00BA133F">
        <w:t>lužeb převažovali</w:t>
      </w:r>
      <w:r w:rsidR="00065E3F">
        <w:t xml:space="preserve"> mezi studenty</w:t>
      </w:r>
      <w:r w:rsidR="00BA133F">
        <w:t xml:space="preserve"> </w:t>
      </w:r>
      <w:r w:rsidR="00BA133F" w:rsidRPr="0005743C">
        <w:rPr>
          <w:b/>
        </w:rPr>
        <w:t>muži nad ženami</w:t>
      </w:r>
      <w:r w:rsidR="00BA133F">
        <w:t xml:space="preserve">. </w:t>
      </w:r>
      <w:r>
        <w:t>V roce 2001 převažovali muži i ve skupině oborů Přírodních věd, mate</w:t>
      </w:r>
      <w:r w:rsidR="00AC4E8D">
        <w:t>matiky a statistiky, v letech</w:t>
      </w:r>
      <w:r w:rsidR="00E14280">
        <w:t xml:space="preserve"> 2011 a 2021</w:t>
      </w:r>
      <w:r>
        <w:t xml:space="preserve"> již bylo v této skupině více studentek. Pokud se jedná o obory ze skupiny Zemědělství, </w:t>
      </w:r>
      <w:r w:rsidRPr="00A71CDD">
        <w:t>lesnictví, rybářství a veterinářství</w:t>
      </w:r>
      <w:r>
        <w:t xml:space="preserve">, v roce 2001 byl poměr mužů a žen, které je studovaly, poměrně </w:t>
      </w:r>
      <w:r w:rsidRPr="00B52882">
        <w:rPr>
          <w:b/>
        </w:rPr>
        <w:t>vyrovnaný</w:t>
      </w:r>
      <w:r w:rsidR="00E14280">
        <w:t>. V roce 2011 a 2021</w:t>
      </w:r>
      <w:r>
        <w:t xml:space="preserve"> však již v těchto oborech převažovaly studentky nad studenty.  V ostatních oborech byl již </w:t>
      </w:r>
      <w:r w:rsidRPr="00B52882">
        <w:rPr>
          <w:b/>
        </w:rPr>
        <w:t>počet studentek</w:t>
      </w:r>
      <w:r>
        <w:t xml:space="preserve"> ve všech třech sledovaných letech </w:t>
      </w:r>
      <w:r w:rsidRPr="00B52882">
        <w:rPr>
          <w:b/>
        </w:rPr>
        <w:t>vyšší než počet studentů</w:t>
      </w:r>
      <w:r>
        <w:t>. Nejvýrazněji ve skupinách oborů Vzdělávání a výchova a Zdravotní a sociální péče, p</w:t>
      </w:r>
      <w:r w:rsidR="00586002">
        <w:t>éče o příznivé životní podmínky;</w:t>
      </w:r>
      <w:r>
        <w:t xml:space="preserve"> převažovaly však </w:t>
      </w:r>
      <w:r w:rsidR="00B52882">
        <w:t xml:space="preserve">též </w:t>
      </w:r>
      <w:r>
        <w:t xml:space="preserve">ve </w:t>
      </w:r>
      <w:r>
        <w:lastRenderedPageBreak/>
        <w:t>skupinách oborů Společenských věd, žurnalistiky</w:t>
      </w:r>
      <w:r w:rsidRPr="00A71CDD">
        <w:t xml:space="preserve"> a informační</w:t>
      </w:r>
      <w:r>
        <w:t>ch věd, Umění a humanitních věd a O</w:t>
      </w:r>
      <w:r w:rsidRPr="00A71CDD">
        <w:t>bchod, administrativa a právo</w:t>
      </w:r>
      <w:r>
        <w:t xml:space="preserve">. </w:t>
      </w:r>
    </w:p>
    <w:p w14:paraId="614CAF7E" w14:textId="70F97C53" w:rsidR="00BA133F" w:rsidRDefault="00BA133F" w:rsidP="00AC4E8D">
      <w:pPr>
        <w:keepNext/>
        <w:spacing w:after="120"/>
        <w:jc w:val="both"/>
        <w:rPr>
          <w:b/>
        </w:rPr>
      </w:pPr>
      <w:r>
        <w:rPr>
          <w:b/>
        </w:rPr>
        <w:t xml:space="preserve">Graf č. 5 </w:t>
      </w:r>
      <w:r w:rsidR="000C3179">
        <w:rPr>
          <w:b/>
        </w:rPr>
        <w:t xml:space="preserve">Studenti VŠ v ČR – dělení </w:t>
      </w:r>
      <w:r w:rsidR="00F26D27" w:rsidRPr="00F26D27">
        <w:rPr>
          <w:b/>
        </w:rPr>
        <w:t>dle</w:t>
      </w:r>
      <w:r w:rsidR="00F26D27">
        <w:rPr>
          <w:b/>
        </w:rPr>
        <w:t xml:space="preserve"> skupin oborů vzdělání a dle </w:t>
      </w:r>
      <w:r w:rsidR="00484AE5">
        <w:rPr>
          <w:b/>
        </w:rPr>
        <w:t>pohlaví</w:t>
      </w:r>
    </w:p>
    <w:p w14:paraId="2E236521" w14:textId="67F2FB76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6FA5D18E" wp14:editId="42D73DAB">
            <wp:extent cx="6067425" cy="2590800"/>
            <wp:effectExtent l="0" t="0" r="9525" b="0"/>
            <wp:docPr id="14" name="Graf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14:paraId="06F7718D" w14:textId="5EE6BE72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7CAFA1A8" wp14:editId="1724FFA7">
            <wp:extent cx="6067425" cy="2543175"/>
            <wp:effectExtent l="0" t="0" r="9525" b="9525"/>
            <wp:docPr id="20" name="Graf 2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14:paraId="5524F254" w14:textId="026C05C2" w:rsidR="00E14280" w:rsidRDefault="00E14280" w:rsidP="00E14280">
      <w:pPr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052586FF" wp14:editId="39211DE3">
            <wp:extent cx="6067425" cy="2686050"/>
            <wp:effectExtent l="0" t="0" r="9525" b="0"/>
            <wp:docPr id="21" name="Graf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14:paraId="55F55F18" w14:textId="77777777" w:rsidR="00BA133F" w:rsidRPr="00A2545E" w:rsidRDefault="00BA133F" w:rsidP="00BA133F">
      <w:pPr>
        <w:spacing w:after="120"/>
        <w:jc w:val="right"/>
        <w:rPr>
          <w:sz w:val="18"/>
          <w:szCs w:val="18"/>
        </w:rPr>
      </w:pPr>
      <w:r w:rsidRPr="00C71FC2">
        <w:rPr>
          <w:szCs w:val="20"/>
        </w:rPr>
        <w:t xml:space="preserve"> </w:t>
      </w:r>
      <w:r w:rsidRPr="00A2545E">
        <w:rPr>
          <w:sz w:val="18"/>
          <w:szCs w:val="18"/>
        </w:rPr>
        <w:t xml:space="preserve">Zdroj dat: MŠMT </w:t>
      </w:r>
    </w:p>
    <w:p w14:paraId="4FA79833" w14:textId="3485F01B" w:rsidR="00D0304B" w:rsidRDefault="00BA133F" w:rsidP="00E52C56">
      <w:pPr>
        <w:ind w:firstLine="284"/>
        <w:jc w:val="both"/>
      </w:pPr>
      <w:r w:rsidRPr="00D32346">
        <w:rPr>
          <w:b/>
        </w:rPr>
        <w:lastRenderedPageBreak/>
        <w:t>Vývoj počtu studentů jednotlivých skupin oborů</w:t>
      </w:r>
      <w:r w:rsidRPr="00D32346">
        <w:t xml:space="preserve"> dále znázorňuje graf č. 6. Jak je patrné, nejvýraznější </w:t>
      </w:r>
      <w:r w:rsidR="00D328E7">
        <w:t>změny v průběhu let</w:t>
      </w:r>
      <w:r w:rsidR="0097122A" w:rsidRPr="00D32346">
        <w:t xml:space="preserve"> zaznamenala skupina oborů O</w:t>
      </w:r>
      <w:r w:rsidRPr="00D32346">
        <w:t>bchod, administrativa</w:t>
      </w:r>
      <w:r w:rsidR="0097122A" w:rsidRPr="00D32346">
        <w:t xml:space="preserve"> a právo</w:t>
      </w:r>
      <w:r w:rsidR="00D328E7">
        <w:t>, poměrně výrazné</w:t>
      </w:r>
      <w:r w:rsidR="00D32346">
        <w:t xml:space="preserve"> byl</w:t>
      </w:r>
      <w:r w:rsidR="00D328E7">
        <w:t>y</w:t>
      </w:r>
      <w:r w:rsidR="00D32346">
        <w:t xml:space="preserve"> též </w:t>
      </w:r>
      <w:r w:rsidR="00D328E7">
        <w:t>u </w:t>
      </w:r>
      <w:r w:rsidR="00D32346">
        <w:t>skupiny oborů Společenské vědy, žurnalistika a informační vědy</w:t>
      </w:r>
      <w:r w:rsidR="0097122A" w:rsidRPr="00D32346">
        <w:t>.</w:t>
      </w:r>
      <w:r w:rsidR="00D32346">
        <w:t xml:space="preserve"> U těchto dvou skupin oborů byl v první dekádě 21. století zaznamenán výrazný růst počtu studentů následovaný poměrně výrazným propadem. V posledních dvou letech se pak počet studentů skupiny oborů </w:t>
      </w:r>
      <w:r w:rsidR="00D32346" w:rsidRPr="00D32346">
        <w:t xml:space="preserve">Společenské vědy, žurnalistika a informační vědy </w:t>
      </w:r>
      <w:r w:rsidR="00D32346">
        <w:t>ustálil a počet studentů</w:t>
      </w:r>
      <w:r w:rsidR="00D32346" w:rsidRPr="00D32346">
        <w:t xml:space="preserve"> oborů</w:t>
      </w:r>
      <w:r w:rsidR="00D32346">
        <w:t xml:space="preserve"> ze skupiny</w:t>
      </w:r>
      <w:r w:rsidR="00D32346" w:rsidRPr="00D32346">
        <w:t xml:space="preserve"> Obchod, administrativa a právo</w:t>
      </w:r>
      <w:r w:rsidR="00D32346">
        <w:t xml:space="preserve"> dokonce začal růst. </w:t>
      </w:r>
    </w:p>
    <w:p w14:paraId="414E1241" w14:textId="2AFF0C12" w:rsidR="00BA133F" w:rsidRDefault="00D32346" w:rsidP="00005668">
      <w:pPr>
        <w:ind w:firstLine="284"/>
        <w:jc w:val="both"/>
      </w:pPr>
      <w:r>
        <w:t>Celkově</w:t>
      </w:r>
      <w:r w:rsidR="00BA133F" w:rsidRPr="00D32346">
        <w:t xml:space="preserve"> si lze všimnout, že téměř ve všech skupinách oborů se počet studentů za poslední </w:t>
      </w:r>
      <w:r>
        <w:t xml:space="preserve">dva </w:t>
      </w:r>
      <w:r w:rsidR="00BA133F" w:rsidRPr="00D32346">
        <w:t>rok</w:t>
      </w:r>
      <w:r>
        <w:t>y</w:t>
      </w:r>
      <w:r w:rsidR="00BA133F" w:rsidRPr="00D32346">
        <w:t xml:space="preserve"> zvýšil, </w:t>
      </w:r>
      <w:r w:rsidR="0097122A" w:rsidRPr="00D32346">
        <w:t xml:space="preserve">ovšem s výjimkou skupiny oborů </w:t>
      </w:r>
      <w:r w:rsidR="0097122A" w:rsidRPr="00D0304B">
        <w:rPr>
          <w:b/>
        </w:rPr>
        <w:t>T</w:t>
      </w:r>
      <w:r w:rsidR="00BA133F" w:rsidRPr="00D0304B">
        <w:rPr>
          <w:b/>
        </w:rPr>
        <w:t>echnika, výroba a stavebnictví</w:t>
      </w:r>
      <w:r w:rsidR="00BA133F" w:rsidRPr="00D32346">
        <w:t xml:space="preserve">, kde setrval pokles počtu studentů patrný již v předchozích letech. </w:t>
      </w:r>
      <w:r w:rsidR="00416788">
        <w:t>Od roku 2009 ubylo studentů této skupiny oborů o 40,6 %, přičemž v posledních osmi letech se každoročně p</w:t>
      </w:r>
      <w:r w:rsidR="00D328E7">
        <w:t>očet těchto studentů snížil o 5–</w:t>
      </w:r>
      <w:r w:rsidR="00416788">
        <w:t xml:space="preserve">6 %. </w:t>
      </w:r>
      <w:r w:rsidR="00005668">
        <w:t xml:space="preserve">V roce 2021 tak poprvé za 20 let zaznamenaly technické obory o něco nižší počet studentů (38 543) než obory </w:t>
      </w:r>
      <w:r w:rsidR="00495C30">
        <w:t>ze skupiny Zdravotní a sociální péče, péče o příznivé životní podmínky</w:t>
      </w:r>
      <w:r w:rsidR="00005668">
        <w:t xml:space="preserve"> (39 393)</w:t>
      </w:r>
      <w:r w:rsidR="00005668" w:rsidRPr="000F05A1">
        <w:t>.</w:t>
      </w:r>
      <w:r w:rsidR="00005668">
        <w:t xml:space="preserve"> </w:t>
      </w:r>
      <w:r w:rsidR="00005668" w:rsidRPr="00D32346">
        <w:t>V roce 2001 byl přito</w:t>
      </w:r>
      <w:r w:rsidR="00005668">
        <w:t>m počet studentů</w:t>
      </w:r>
      <w:r w:rsidR="00005668" w:rsidRPr="00D32346">
        <w:t xml:space="preserve"> </w:t>
      </w:r>
      <w:r w:rsidR="00005668">
        <w:t>technických oborů</w:t>
      </w:r>
      <w:r w:rsidR="00005668" w:rsidRPr="00D32346">
        <w:t xml:space="preserve"> oproti skupině oborů </w:t>
      </w:r>
      <w:r w:rsidR="00005668">
        <w:t>zdravotnických téměř</w:t>
      </w:r>
      <w:r w:rsidR="00005668" w:rsidRPr="00D32346">
        <w:t xml:space="preserve"> trojnásobný</w:t>
      </w:r>
      <w:r w:rsidR="00005668">
        <w:t xml:space="preserve">. </w:t>
      </w:r>
      <w:r w:rsidR="00511F86">
        <w:t>Lz</w:t>
      </w:r>
      <w:r w:rsidR="00005668">
        <w:t xml:space="preserve">e doplnit, že </w:t>
      </w:r>
      <w:r w:rsidR="00B23B8F">
        <w:t xml:space="preserve">počet studentů </w:t>
      </w:r>
      <w:r w:rsidR="00005668">
        <w:t xml:space="preserve">zdravotnických oborů se </w:t>
      </w:r>
      <w:r w:rsidR="00B23B8F">
        <w:t>v posledních 20 letech</w:t>
      </w:r>
      <w:r w:rsidR="00493B22">
        <w:t xml:space="preserve"> více než zdvojnásobil</w:t>
      </w:r>
      <w:r w:rsidR="00005668">
        <w:t xml:space="preserve"> (zvýšil se o 122 %), zatímco počet studentů technických oborů</w:t>
      </w:r>
      <w:r w:rsidR="00493B22">
        <w:t xml:space="preserve"> </w:t>
      </w:r>
      <w:r w:rsidR="00005668">
        <w:t>byl v roce 2021 oproti roku 2001 o 25 % nižší.</w:t>
      </w:r>
    </w:p>
    <w:p w14:paraId="140BD1C1" w14:textId="4DEE964C" w:rsidR="006E17CA" w:rsidRDefault="00BA133F" w:rsidP="006E17CA">
      <w:pPr>
        <w:keepNext/>
        <w:spacing w:after="120" w:line="240" w:lineRule="auto"/>
        <w:jc w:val="both"/>
        <w:rPr>
          <w:b/>
        </w:rPr>
      </w:pPr>
      <w:r>
        <w:rPr>
          <w:b/>
        </w:rPr>
        <w:t>Graf</w:t>
      </w:r>
      <w:r w:rsidR="006E17CA" w:rsidRPr="006E17CA">
        <w:rPr>
          <w:b/>
        </w:rPr>
        <w:t xml:space="preserve"> </w:t>
      </w:r>
      <w:r w:rsidR="00D328E7">
        <w:rPr>
          <w:b/>
        </w:rPr>
        <w:t>č. 6 Studenti VŠ v ČR –</w:t>
      </w:r>
      <w:r w:rsidR="006E17CA">
        <w:rPr>
          <w:b/>
        </w:rPr>
        <w:t xml:space="preserve"> vývoj počtu studentů dle skupin oborů vzdělání</w:t>
      </w:r>
    </w:p>
    <w:p w14:paraId="5508B108" w14:textId="394A83BE" w:rsidR="00004701" w:rsidRDefault="00004701" w:rsidP="006E17CA">
      <w:pPr>
        <w:keepNext/>
        <w:spacing w:after="120" w:line="240" w:lineRule="auto"/>
        <w:jc w:val="both"/>
        <w:rPr>
          <w:b/>
        </w:rPr>
      </w:pPr>
      <w:r>
        <w:rPr>
          <w:noProof/>
        </w:rPr>
        <w:drawing>
          <wp:inline distT="0" distB="0" distL="0" distR="0" wp14:anchorId="7AACD1E2" wp14:editId="5AB8972A">
            <wp:extent cx="6120130" cy="4392930"/>
            <wp:effectExtent l="0" t="0" r="13970" b="7620"/>
            <wp:docPr id="16" name="Graf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</w:p>
    <w:p w14:paraId="0C93BD0E" w14:textId="77777777" w:rsidR="00BA133F" w:rsidRPr="00A2545E" w:rsidRDefault="007D3CE1" w:rsidP="007D3CE1">
      <w:pPr>
        <w:jc w:val="right"/>
        <w:rPr>
          <w:sz w:val="18"/>
          <w:szCs w:val="18"/>
        </w:rPr>
      </w:pPr>
      <w:r w:rsidRPr="00A2545E">
        <w:rPr>
          <w:sz w:val="18"/>
          <w:szCs w:val="18"/>
        </w:rPr>
        <w:t>Zdroj dat: MŠMT</w:t>
      </w:r>
    </w:p>
    <w:p w14:paraId="1AC887C6" w14:textId="39573F24" w:rsidR="00BA133F" w:rsidRDefault="0073155B" w:rsidP="00BA133F">
      <w:pPr>
        <w:ind w:firstLine="284"/>
        <w:jc w:val="both"/>
      </w:pPr>
      <w:r>
        <w:t>Pro úplnost ukazuje tabulka č. 4</w:t>
      </w:r>
      <w:r w:rsidR="00BA133F" w:rsidRPr="00CB3DB0">
        <w:t>, ja</w:t>
      </w:r>
      <w:r w:rsidR="00BA133F">
        <w:t>ký počet studentů c</w:t>
      </w:r>
      <w:r w:rsidR="00C61FC2">
        <w:t>elkem, jakož i</w:t>
      </w:r>
      <w:r w:rsidR="00A323D9">
        <w:t xml:space="preserve"> v dělení dle </w:t>
      </w:r>
      <w:r w:rsidR="00484AE5">
        <w:t>pohlaví</w:t>
      </w:r>
      <w:r w:rsidR="00A323D9">
        <w:t xml:space="preserve"> </w:t>
      </w:r>
      <w:r w:rsidR="00C61FC2">
        <w:t xml:space="preserve">a skupin oborů vzdělání </w:t>
      </w:r>
      <w:r w:rsidR="00A323D9">
        <w:t>studoval</w:t>
      </w:r>
      <w:r w:rsidR="007126F2">
        <w:t xml:space="preserve"> v roce 2001, 2011 a 2021</w:t>
      </w:r>
      <w:r w:rsidR="00BA133F">
        <w:t xml:space="preserve"> na veřejných a soukromých vysokých školách</w:t>
      </w:r>
      <w:r w:rsidR="00523966">
        <w:t>.</w:t>
      </w:r>
      <w:r w:rsidR="00BA133F">
        <w:t xml:space="preserve"> Údaje jsou v absolutních počtech fyzických osob</w:t>
      </w:r>
      <w:r w:rsidR="00B40D6F">
        <w:t xml:space="preserve"> (v tisících)</w:t>
      </w:r>
      <w:r w:rsidR="00BA133F">
        <w:t xml:space="preserve"> i v podílech ze všech </w:t>
      </w:r>
      <w:r>
        <w:t>studujících mužů, studujících žen, jakož i studujících vysoké školy celkem</w:t>
      </w:r>
      <w:r w:rsidR="00BA133F" w:rsidRPr="005D247C">
        <w:t xml:space="preserve">. Jak je patrné, </w:t>
      </w:r>
      <w:r w:rsidR="00BA133F" w:rsidRPr="005D247C">
        <w:rPr>
          <w:b/>
        </w:rPr>
        <w:t>nejvyšší podíl studentů vysokých škol</w:t>
      </w:r>
      <w:r w:rsidR="00340326" w:rsidRPr="005D247C">
        <w:t xml:space="preserve"> byl v roce 2021</w:t>
      </w:r>
      <w:r w:rsidR="00BA133F" w:rsidRPr="005D247C">
        <w:t xml:space="preserve"> </w:t>
      </w:r>
      <w:r w:rsidRPr="005D247C">
        <w:t>i </w:t>
      </w:r>
      <w:r w:rsidR="00340326" w:rsidRPr="005D247C">
        <w:t>2011</w:t>
      </w:r>
      <w:r w:rsidR="0097122A" w:rsidRPr="005D247C">
        <w:t xml:space="preserve"> zapsán do skupiny oborů O</w:t>
      </w:r>
      <w:r w:rsidR="00BA133F" w:rsidRPr="005D247C">
        <w:t>bchod, administrativa</w:t>
      </w:r>
      <w:r w:rsidR="00BA133F" w:rsidRPr="009A57F5">
        <w:t xml:space="preserve"> a právo</w:t>
      </w:r>
      <w:r w:rsidR="00BA133F">
        <w:t xml:space="preserve"> </w:t>
      </w:r>
      <w:r w:rsidR="00A323D9">
        <w:t>(</w:t>
      </w:r>
      <w:r w:rsidR="00340326">
        <w:t>20,6</w:t>
      </w:r>
      <w:r w:rsidR="00BA133F">
        <w:t> </w:t>
      </w:r>
      <w:r w:rsidR="00340326">
        <w:t>%, resp. 23</w:t>
      </w:r>
      <w:r w:rsidR="00BA133F">
        <w:t> %</w:t>
      </w:r>
      <w:r w:rsidR="00A323D9">
        <w:t>)</w:t>
      </w:r>
      <w:r w:rsidR="00BA133F">
        <w:t xml:space="preserve">. Též v roce 2001 byl podíl studentů zapsaný v této skupině oborů cca pětinový (19,5 %), ještě vyšší byl však podíl studentů ve </w:t>
      </w:r>
      <w:r w:rsidR="00BA133F">
        <w:lastRenderedPageBreak/>
        <w:t>sku</w:t>
      </w:r>
      <w:r w:rsidR="0097122A">
        <w:t>pině oborů T</w:t>
      </w:r>
      <w:r w:rsidR="00BA133F">
        <w:t>echnika, výroba a stav</w:t>
      </w:r>
      <w:r w:rsidR="00340326">
        <w:t>ebnictví (25,3 %). V letech 2021 i 2011</w:t>
      </w:r>
      <w:r w:rsidR="00BA133F">
        <w:t xml:space="preserve"> byla naopak nejmenším podílem stu</w:t>
      </w:r>
      <w:r w:rsidR="0097122A">
        <w:t>dentů zastoupena skupina oborů Z</w:t>
      </w:r>
      <w:r w:rsidR="00BA133F" w:rsidRPr="009A57F5">
        <w:t>emědělství, lesnictví, rybářství a veterinářství</w:t>
      </w:r>
      <w:r w:rsidR="00340326">
        <w:t xml:space="preserve"> (3,7</w:t>
      </w:r>
      <w:r w:rsidR="00BA133F">
        <w:t xml:space="preserve"> %, resp. 3,5 %). V roce 2001 však bylo nejméně studentů </w:t>
      </w:r>
      <w:r w:rsidR="00B40D6F">
        <w:t xml:space="preserve">zapsaných </w:t>
      </w:r>
      <w:r w:rsidR="00BA133F">
        <w:t>ve skup</w:t>
      </w:r>
      <w:r w:rsidR="0097122A">
        <w:t>ině oborů S</w:t>
      </w:r>
      <w:r w:rsidR="00BA133F">
        <w:t xml:space="preserve">lužeb (2,9 %). </w:t>
      </w:r>
    </w:p>
    <w:p w14:paraId="1A0D6790" w14:textId="6068F9FC" w:rsidR="00BA133F" w:rsidRDefault="0073155B" w:rsidP="005D247C">
      <w:pPr>
        <w:keepNext/>
        <w:spacing w:after="120" w:line="240" w:lineRule="auto"/>
        <w:jc w:val="both"/>
        <w:rPr>
          <w:b/>
        </w:rPr>
      </w:pPr>
      <w:r>
        <w:rPr>
          <w:b/>
        </w:rPr>
        <w:t>Tabulka č. 4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 w:rsidR="00A25DB6">
        <w:rPr>
          <w:b/>
        </w:rPr>
        <w:t xml:space="preserve"> p</w:t>
      </w:r>
      <w:r w:rsidR="00BA133F">
        <w:rPr>
          <w:b/>
        </w:rPr>
        <w:t xml:space="preserve">očet </w:t>
      </w:r>
      <w:r w:rsidR="00BF2945">
        <w:rPr>
          <w:b/>
        </w:rPr>
        <w:t xml:space="preserve">a podíl v jednotlivých oborech vzdělání dle </w:t>
      </w:r>
      <w:r w:rsidR="00484AE5">
        <w:rPr>
          <w:b/>
        </w:rPr>
        <w:t>pohlaví</w:t>
      </w:r>
    </w:p>
    <w:tbl>
      <w:tblPr>
        <w:tblW w:w="9633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567"/>
        <w:gridCol w:w="692"/>
        <w:gridCol w:w="692"/>
        <w:gridCol w:w="693"/>
        <w:gridCol w:w="692"/>
        <w:gridCol w:w="692"/>
        <w:gridCol w:w="693"/>
        <w:gridCol w:w="692"/>
        <w:gridCol w:w="692"/>
        <w:gridCol w:w="693"/>
      </w:tblGrid>
      <w:tr w:rsidR="00340326" w:rsidRPr="00340326" w14:paraId="75918BE5" w14:textId="77777777" w:rsidTr="00E86917">
        <w:trPr>
          <w:trHeight w:val="300"/>
        </w:trPr>
        <w:tc>
          <w:tcPr>
            <w:tcW w:w="340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61E58CE3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Obor vzdělávání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3E5ABF06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2001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3A5F2BDC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2011</w:t>
            </w:r>
          </w:p>
        </w:tc>
        <w:tc>
          <w:tcPr>
            <w:tcW w:w="207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noWrap/>
            <w:vAlign w:val="center"/>
            <w:hideMark/>
          </w:tcPr>
          <w:p w14:paraId="7022793A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2021</w:t>
            </w:r>
          </w:p>
        </w:tc>
      </w:tr>
      <w:tr w:rsidR="00340326" w:rsidRPr="00340326" w14:paraId="30FA95FE" w14:textId="77777777" w:rsidTr="00E86917">
        <w:trPr>
          <w:trHeight w:val="300"/>
        </w:trPr>
        <w:tc>
          <w:tcPr>
            <w:tcW w:w="340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0CAB2" w14:textId="77777777" w:rsidR="00340326" w:rsidRPr="00340326" w:rsidRDefault="00340326" w:rsidP="005D247C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85D0E44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4F92D6F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650B001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07CBE13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C94C315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20CD0D9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0B4F4F8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celkem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26834B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ženy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587ACBD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FFFFFF"/>
                <w:sz w:val="16"/>
                <w:szCs w:val="16"/>
              </w:rPr>
              <w:t>muži</w:t>
            </w:r>
          </w:p>
        </w:tc>
      </w:tr>
      <w:tr w:rsidR="00340326" w:rsidRPr="00340326" w14:paraId="65D296A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9081E" w14:textId="77777777" w:rsidR="00340326" w:rsidRPr="00340326" w:rsidRDefault="00340326" w:rsidP="005D247C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všechny obory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A992E62" w14:textId="77777777" w:rsidR="00340326" w:rsidRPr="00340326" w:rsidRDefault="00340326" w:rsidP="005D247C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1952404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203,4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193930E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98,4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57D659C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105,1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6B01698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392,0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C5FA80D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219,6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CBEC49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172,4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D892588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304,1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171A73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169,2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29273A" w14:textId="77777777" w:rsidR="00340326" w:rsidRPr="00340326" w:rsidRDefault="00340326" w:rsidP="005D247C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134,9</w:t>
            </w:r>
          </w:p>
        </w:tc>
      </w:tr>
      <w:tr w:rsidR="00340326" w:rsidRPr="00340326" w14:paraId="7B59D088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EAD33E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B6E96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52C9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CC02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35DA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D65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60DA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799E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867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3183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9E10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100,0</w:t>
            </w:r>
          </w:p>
        </w:tc>
      </w:tr>
      <w:tr w:rsidR="00340326" w:rsidRPr="00340326" w14:paraId="4F45D6F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1E432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BC367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F8361E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31,7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E50BF5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AC9BC0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83E6A2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44,6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D7C04D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9D239F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106A9B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36,4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7A9F4C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E1F3B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8,1</w:t>
            </w:r>
          </w:p>
        </w:tc>
      </w:tr>
      <w:tr w:rsidR="00340326" w:rsidRPr="00340326" w14:paraId="574D8CD7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5514CE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BF076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4BF9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073D9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D321C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47BA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C9A39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6C3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D08A0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4C8CA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BE50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6,0</w:t>
            </w:r>
          </w:p>
        </w:tc>
      </w:tr>
      <w:tr w:rsidR="00340326" w:rsidRPr="00340326" w14:paraId="513AA656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0EB65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AF372F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88EF99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0A4A8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5D9349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8C37D1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37,3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EA3AFD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25,2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89D403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3B6576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29,4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543CBD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19,4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4EF73C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10,0</w:t>
            </w:r>
          </w:p>
        </w:tc>
      </w:tr>
      <w:tr w:rsidR="00340326" w:rsidRPr="00340326" w14:paraId="7993F6D3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0C1EC9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5F44A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798A9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740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C0FE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FA5FD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B95E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F337E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4897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0A46F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51361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7,4</w:t>
            </w:r>
          </w:p>
        </w:tc>
      </w:tr>
      <w:tr w:rsidR="00340326" w:rsidRPr="00340326" w14:paraId="32F7B762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70F5E3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495DB6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40F0BB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41F4C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D593D9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39C403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C57611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342ED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FF570C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5F556F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017251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</w:tr>
      <w:tr w:rsidR="00340326" w:rsidRPr="00340326" w14:paraId="3660EE5C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42E904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F2240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5E129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CEFA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35CC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8ACFC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0DEF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6073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EA06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C020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10,4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15CCD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8,0</w:t>
            </w:r>
          </w:p>
        </w:tc>
      </w:tr>
      <w:tr w:rsidR="00340326" w:rsidRPr="00340326" w14:paraId="5F3AE8FD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5227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D28811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5EDBA0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C069AD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46F5DC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F6DB18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90,2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E4042C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54,6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24F027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C1D98B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62,7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677B10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35,2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8CEC3D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27,5</w:t>
            </w:r>
          </w:p>
        </w:tc>
      </w:tr>
      <w:tr w:rsidR="00340326" w:rsidRPr="00340326" w14:paraId="1F6F8EC1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09175C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2226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DA3C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19,5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FFE5A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22,4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19F68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13A87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325D4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24,8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25A2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90AF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78C0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426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20,4</w:t>
            </w:r>
          </w:p>
        </w:tc>
      </w:tr>
      <w:tr w:rsidR="00340326" w:rsidRPr="00340326" w14:paraId="15BDFE3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C44FF7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73C8602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7EDB4F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54386E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A9BF1D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B9A74D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21,9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F822A5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9FF0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5E5B91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8FAB8A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58A4D2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</w:tr>
      <w:tr w:rsidR="00340326" w:rsidRPr="00340326" w14:paraId="6BD3461D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CEA7A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017392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BAF1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7B89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0CF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0F4B3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C48A0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F0896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44A9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DC38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372A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7,3</w:t>
            </w:r>
          </w:p>
        </w:tc>
      </w:tr>
      <w:tr w:rsidR="00340326" w:rsidRPr="00340326" w14:paraId="4AB1D1D2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35BCA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F9203CA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FA8490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60679E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180074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7A3558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25,8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015F5B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57F374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C779C0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3AA2D4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2971FF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18,6</w:t>
            </w:r>
          </w:p>
        </w:tc>
      </w:tr>
      <w:tr w:rsidR="00340326" w:rsidRPr="00340326" w14:paraId="2F9C4716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B3AA2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52E6B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22A95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C7731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96A58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7F42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3EF93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B02B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D4745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ED34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BA60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13,8</w:t>
            </w:r>
          </w:p>
        </w:tc>
      </w:tr>
      <w:tr w:rsidR="00340326" w:rsidRPr="00340326" w14:paraId="0C8CE4FF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FDED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DF50C18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CDD9F5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51,5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2D37271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7E3B70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40,2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35F19CA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63,8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11377F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19,3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2EE8C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44,5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048A82E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38,5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0CCB29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7EBCFB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27,5</w:t>
            </w:r>
          </w:p>
        </w:tc>
      </w:tr>
      <w:tr w:rsidR="00340326" w:rsidRPr="00340326" w14:paraId="10B0A08F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9B69F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FBD25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A7DD9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25,3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EC45E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420E7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38,3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21F3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16,3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E419A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82C7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25,8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8F08E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54814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1074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20,4</w:t>
            </w:r>
          </w:p>
        </w:tc>
      </w:tr>
      <w:tr w:rsidR="00340326" w:rsidRPr="00340326" w14:paraId="1FAC15AE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C5428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B0563F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8D7CD1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9E4FD8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0DDC5C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56FA536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13,8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C5EF2B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8,3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191EFF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16AF5A8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031B72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E4D1F0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</w:tr>
      <w:tr w:rsidR="00340326" w:rsidRPr="00340326" w14:paraId="330A2A7B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C8684A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59B93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E353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8B43A8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AF805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DB4A4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D098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23D01E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3F8B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8B0C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2ECF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3,2</w:t>
            </w:r>
          </w:p>
        </w:tc>
      </w:tr>
      <w:tr w:rsidR="00340326" w:rsidRPr="00340326" w14:paraId="10D73F6A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0C8D99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4A0E30E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2B33339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17,7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664F788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12,0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1CFCE3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6C27523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36,2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3B8A35A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27,0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399665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C4B802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39,4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77801B6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08A72F8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</w:tr>
      <w:tr w:rsidR="00340326" w:rsidRPr="00340326" w14:paraId="71B49BE6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A8722B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098FD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9F2A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8,7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8FF612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FE9DB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1B3DD0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9,2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1F4AC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12,3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85661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A9CB4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9587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F37AA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7,8</w:t>
            </w:r>
          </w:p>
        </w:tc>
      </w:tr>
      <w:tr w:rsidR="00340326" w:rsidRPr="00340326" w14:paraId="4184163D" w14:textId="77777777" w:rsidTr="00E86917">
        <w:trPr>
          <w:trHeight w:val="300"/>
        </w:trPr>
        <w:tc>
          <w:tcPr>
            <w:tcW w:w="28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CDBAD8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785C6B6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b/>
                <w:bCs/>
                <w:color w:val="000000"/>
                <w:sz w:val="16"/>
                <w:szCs w:val="16"/>
              </w:rPr>
              <w:t>tis.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225109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2F9DD2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16A5DD7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742EC05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22,2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40962286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AB742D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vAlign w:val="center"/>
            <w:hideMark/>
          </w:tcPr>
          <w:p w14:paraId="438B71D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79A3E9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8EBF0"/>
            <w:noWrap/>
            <w:vAlign w:val="center"/>
            <w:hideMark/>
          </w:tcPr>
          <w:p w14:paraId="5360BEC9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color w:val="000000"/>
                <w:sz w:val="16"/>
                <w:szCs w:val="16"/>
              </w:rPr>
              <w:t>9,4</w:t>
            </w:r>
          </w:p>
        </w:tc>
      </w:tr>
      <w:tr w:rsidR="00340326" w:rsidRPr="00340326" w14:paraId="15AAD640" w14:textId="77777777" w:rsidTr="00E86917">
        <w:trPr>
          <w:trHeight w:val="300"/>
        </w:trPr>
        <w:tc>
          <w:tcPr>
            <w:tcW w:w="28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5E740" w14:textId="77777777" w:rsidR="00340326" w:rsidRPr="00340326" w:rsidRDefault="00340326" w:rsidP="00340326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52180" w14:textId="77777777" w:rsidR="00340326" w:rsidRPr="00340326" w:rsidRDefault="00340326" w:rsidP="00340326">
            <w:pPr>
              <w:spacing w:after="0" w:line="240" w:lineRule="auto"/>
              <w:jc w:val="center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%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2D52A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2,9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285F6F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E2017C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4,1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5FDBE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84B977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4,7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CBBDB4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399A6D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5,5</w:t>
            </w:r>
          </w:p>
        </w:tc>
        <w:tc>
          <w:tcPr>
            <w:tcW w:w="6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E62123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217E1" w14:textId="77777777" w:rsidR="00340326" w:rsidRPr="00340326" w:rsidRDefault="00340326" w:rsidP="00340326">
            <w:pPr>
              <w:spacing w:after="0" w:line="240" w:lineRule="auto"/>
              <w:jc w:val="right"/>
              <w:rPr>
                <w:rFonts w:cs="Arial"/>
                <w:i/>
                <w:iCs/>
                <w:color w:val="000000"/>
                <w:sz w:val="16"/>
                <w:szCs w:val="16"/>
              </w:rPr>
            </w:pPr>
            <w:r w:rsidRPr="00340326">
              <w:rPr>
                <w:rFonts w:cs="Arial"/>
                <w:i/>
                <w:iCs/>
                <w:color w:val="000000"/>
                <w:sz w:val="16"/>
                <w:szCs w:val="16"/>
              </w:rPr>
              <w:t>7,0</w:t>
            </w:r>
          </w:p>
        </w:tc>
      </w:tr>
    </w:tbl>
    <w:p w14:paraId="7DC5EF86" w14:textId="4F86030C" w:rsidR="007D3CE1" w:rsidRPr="004F315B" w:rsidRDefault="00BA133F" w:rsidP="004F315B">
      <w:pPr>
        <w:keepNext/>
        <w:spacing w:before="120" w:after="0" w:line="240" w:lineRule="auto"/>
        <w:jc w:val="both"/>
        <w:rPr>
          <w:b/>
          <w:i/>
          <w:sz w:val="18"/>
          <w:szCs w:val="18"/>
        </w:rPr>
      </w:pPr>
      <w:r w:rsidRPr="004F315B">
        <w:rPr>
          <w:i/>
          <w:sz w:val="18"/>
          <w:szCs w:val="18"/>
        </w:rPr>
        <w:t xml:space="preserve">Pozn.: Součet procent za jednotlivé kategorie se nemusí rovnat 100 %, protože jeden student může studovat více oborů na jedné či více vysokých školách. </w:t>
      </w:r>
    </w:p>
    <w:p w14:paraId="2D82E0FD" w14:textId="77777777" w:rsidR="00BA133F" w:rsidRPr="004F315B" w:rsidRDefault="00BA133F" w:rsidP="007D3CE1">
      <w:pPr>
        <w:jc w:val="right"/>
        <w:rPr>
          <w:b/>
          <w:sz w:val="18"/>
          <w:szCs w:val="18"/>
        </w:rPr>
      </w:pPr>
      <w:r w:rsidRPr="004F315B">
        <w:rPr>
          <w:sz w:val="18"/>
          <w:szCs w:val="18"/>
        </w:rPr>
        <w:t>Zdroj dat: MŠMT</w:t>
      </w:r>
    </w:p>
    <w:p w14:paraId="10FE26C0" w14:textId="176B5597" w:rsidR="00BA133F" w:rsidRDefault="006D4689" w:rsidP="003953E3">
      <w:pPr>
        <w:spacing w:after="120"/>
        <w:ind w:firstLine="284"/>
        <w:jc w:val="both"/>
        <w:rPr>
          <w:szCs w:val="20"/>
        </w:rPr>
      </w:pPr>
      <w:r>
        <w:rPr>
          <w:szCs w:val="20"/>
        </w:rPr>
        <w:t>Tabulka č. 5</w:t>
      </w:r>
      <w:r w:rsidR="00BA133F">
        <w:rPr>
          <w:szCs w:val="20"/>
        </w:rPr>
        <w:t xml:space="preserve"> dále ukazuje, jaký podíl studen</w:t>
      </w:r>
      <w:r w:rsidR="00414A29">
        <w:rPr>
          <w:szCs w:val="20"/>
        </w:rPr>
        <w:t>tů tvořili v letech 2001 až 2021</w:t>
      </w:r>
      <w:r w:rsidR="00BA133F">
        <w:rPr>
          <w:szCs w:val="20"/>
        </w:rPr>
        <w:t xml:space="preserve"> v jednotlivých skupinách oborů </w:t>
      </w:r>
      <w:r w:rsidR="00BA133F" w:rsidRPr="0005743C">
        <w:rPr>
          <w:b/>
          <w:szCs w:val="20"/>
        </w:rPr>
        <w:t>cizinci</w:t>
      </w:r>
      <w:r w:rsidR="00414A29">
        <w:rPr>
          <w:szCs w:val="20"/>
        </w:rPr>
        <w:t>. V roce 2021</w:t>
      </w:r>
      <w:r w:rsidR="00BA133F">
        <w:rPr>
          <w:szCs w:val="20"/>
        </w:rPr>
        <w:t xml:space="preserve"> zaznamenala nejvyšší podíl studentů cizí stá</w:t>
      </w:r>
      <w:r w:rsidR="0097122A">
        <w:rPr>
          <w:szCs w:val="20"/>
        </w:rPr>
        <w:t>tní příslušnosti skupina oborů I</w:t>
      </w:r>
      <w:r w:rsidR="00BA133F">
        <w:rPr>
          <w:szCs w:val="20"/>
        </w:rPr>
        <w:t>nformační a komunikační technologie. Od roku 2001 navíc tent</w:t>
      </w:r>
      <w:r w:rsidR="00414A29">
        <w:rPr>
          <w:szCs w:val="20"/>
        </w:rPr>
        <w:t>o podíl vzrostl ze 4,9 % na 30,8</w:t>
      </w:r>
      <w:r w:rsidR="00BA133F">
        <w:rPr>
          <w:szCs w:val="20"/>
        </w:rPr>
        <w:t xml:space="preserve"> %. Druhou skupinou oborů s nejčastějším </w:t>
      </w:r>
      <w:r w:rsidR="007F60D0">
        <w:rPr>
          <w:szCs w:val="20"/>
        </w:rPr>
        <w:t>zastoupením</w:t>
      </w:r>
      <w:r w:rsidR="00BA133F">
        <w:rPr>
          <w:szCs w:val="20"/>
        </w:rPr>
        <w:t xml:space="preserve"> cizinců mezi studenty </w:t>
      </w:r>
      <w:r w:rsidR="0097122A">
        <w:rPr>
          <w:szCs w:val="20"/>
        </w:rPr>
        <w:t>byla v roce 202</w:t>
      </w:r>
      <w:r w:rsidR="00414A29">
        <w:rPr>
          <w:szCs w:val="20"/>
        </w:rPr>
        <w:t>1</w:t>
      </w:r>
      <w:r w:rsidR="0097122A">
        <w:rPr>
          <w:szCs w:val="20"/>
        </w:rPr>
        <w:t xml:space="preserve"> skupina oborů Z</w:t>
      </w:r>
      <w:r w:rsidR="00BA133F">
        <w:rPr>
          <w:szCs w:val="20"/>
        </w:rPr>
        <w:t>dravotní a sociální péče, péče o</w:t>
      </w:r>
      <w:r w:rsidR="00414A29">
        <w:rPr>
          <w:szCs w:val="20"/>
        </w:rPr>
        <w:t xml:space="preserve"> příznivé životní podmínky (22,8</w:t>
      </w:r>
      <w:r w:rsidR="00824910">
        <w:rPr>
          <w:szCs w:val="20"/>
        </w:rPr>
        <w:t> </w:t>
      </w:r>
      <w:r w:rsidR="00BA133F">
        <w:rPr>
          <w:szCs w:val="20"/>
        </w:rPr>
        <w:t xml:space="preserve">%). V této skupině oborů byl přitom v roce 2001 shledán ze všech skupin oborů zdaleka nejvyšší podíl cizinců (13,2 %) a prvenství si udržela až do roku 2015 (21 %). </w:t>
      </w:r>
      <w:r w:rsidR="007D722E">
        <w:rPr>
          <w:szCs w:val="20"/>
        </w:rPr>
        <w:t xml:space="preserve">V roce 2016 již byl v této skupině oborů srovnatelný podíl cizinců jako ve skupině oborů Informační a komunikační technologie (22,7 %, resp. 22,8 %). </w:t>
      </w:r>
      <w:r w:rsidR="00BA133F">
        <w:rPr>
          <w:szCs w:val="20"/>
        </w:rPr>
        <w:t>Nejmenší podíl cizinců naopak v čase s</w:t>
      </w:r>
      <w:r w:rsidR="0097122A">
        <w:rPr>
          <w:szCs w:val="20"/>
        </w:rPr>
        <w:t>tabilně vykazuje skupina oborů V</w:t>
      </w:r>
      <w:r w:rsidR="00414A29">
        <w:rPr>
          <w:szCs w:val="20"/>
        </w:rPr>
        <w:t>zdělávání a výchova (v roce 2021</w:t>
      </w:r>
      <w:r w:rsidR="00BA133F">
        <w:rPr>
          <w:szCs w:val="20"/>
        </w:rPr>
        <w:t xml:space="preserve"> zaznamenala </w:t>
      </w:r>
      <w:r w:rsidR="00414A29">
        <w:rPr>
          <w:szCs w:val="20"/>
        </w:rPr>
        <w:t>2,4</w:t>
      </w:r>
      <w:r w:rsidR="00BA133F">
        <w:rPr>
          <w:szCs w:val="20"/>
        </w:rPr>
        <w:t> % cizinců).</w:t>
      </w:r>
    </w:p>
    <w:p w14:paraId="01214941" w14:textId="5393285B" w:rsidR="00BA133F" w:rsidRDefault="006D4689" w:rsidP="00C40888">
      <w:pPr>
        <w:keepNext/>
        <w:spacing w:after="120" w:line="240" w:lineRule="auto"/>
        <w:jc w:val="both"/>
        <w:rPr>
          <w:b/>
        </w:rPr>
      </w:pPr>
      <w:r>
        <w:rPr>
          <w:b/>
        </w:rPr>
        <w:lastRenderedPageBreak/>
        <w:t>Tabulka č. 5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>
        <w:rPr>
          <w:b/>
        </w:rPr>
        <w:t xml:space="preserve"> p</w:t>
      </w:r>
      <w:r w:rsidR="00BA133F">
        <w:rPr>
          <w:b/>
        </w:rPr>
        <w:t xml:space="preserve">odíl cizinců celkem a v jednotlivých skupinách oborů </w:t>
      </w:r>
      <w:r>
        <w:rPr>
          <w:b/>
        </w:rPr>
        <w:t xml:space="preserve">vzdělání </w:t>
      </w:r>
      <w:r w:rsidR="002B2518">
        <w:rPr>
          <w:b/>
        </w:rPr>
        <w:t>(</w:t>
      </w:r>
      <w:r w:rsidR="00BA133F">
        <w:rPr>
          <w:b/>
        </w:rPr>
        <w:t>v %)</w:t>
      </w:r>
    </w:p>
    <w:tbl>
      <w:tblPr>
        <w:tblW w:w="9639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9"/>
        <w:gridCol w:w="700"/>
        <w:gridCol w:w="700"/>
        <w:gridCol w:w="700"/>
        <w:gridCol w:w="700"/>
        <w:gridCol w:w="700"/>
        <w:gridCol w:w="700"/>
        <w:gridCol w:w="700"/>
        <w:gridCol w:w="700"/>
        <w:gridCol w:w="700"/>
      </w:tblGrid>
      <w:tr w:rsidR="00414A29" w:rsidRPr="00414A29" w14:paraId="04D47807" w14:textId="77777777" w:rsidTr="00E86917">
        <w:trPr>
          <w:trHeight w:hRule="exact" w:val="300"/>
        </w:trPr>
        <w:tc>
          <w:tcPr>
            <w:tcW w:w="33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DCA983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03E2710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B6D4351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9BC3E3C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5AC6C6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2C74E6A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317E551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6C51FBB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35F2878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4A04DC6" w14:textId="77777777" w:rsidR="00414A29" w:rsidRPr="00414A29" w:rsidRDefault="00414A29" w:rsidP="00414A29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414A29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414A29" w:rsidRPr="00414A29" w14:paraId="3A4C5DAE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60D68E0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Studenti cizinci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7D4C6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86B3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7,5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5595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9,9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077C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0F71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53F9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15,4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D49FA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E8F4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CC8D0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b/>
                <w:bCs/>
                <w:color w:val="000000"/>
                <w:sz w:val="16"/>
                <w:szCs w:val="16"/>
              </w:rPr>
              <w:t>17,1</w:t>
            </w:r>
          </w:p>
        </w:tc>
      </w:tr>
      <w:tr w:rsidR="00414A29" w:rsidRPr="00414A29" w14:paraId="287BDE59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EB29EE6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6AA5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245D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7F233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76354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748F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66FC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25,9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5B663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26,8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DDB1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7A221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30,8</w:t>
            </w:r>
          </w:p>
        </w:tc>
      </w:tr>
      <w:tr w:rsidR="00414A29" w:rsidRPr="00414A29" w14:paraId="45114161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30DC311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0128A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0B74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04E6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15559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C68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A94E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FCDB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3D73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4753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</w:tr>
      <w:tr w:rsidR="00414A29" w:rsidRPr="00414A29" w14:paraId="12DA9B60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05F8E2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9DD5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5,1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DAB1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C89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4877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7E0A6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18B9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18,5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459C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65C75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C50F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22,0</w:t>
            </w:r>
          </w:p>
        </w:tc>
      </w:tr>
      <w:tr w:rsidR="00414A29" w:rsidRPr="00414A29" w14:paraId="1084FE32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877994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01C7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60410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B1D1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868C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29721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9B7B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AA50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9CF9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18,9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DA9B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19,7</w:t>
            </w:r>
          </w:p>
        </w:tc>
      </w:tr>
      <w:tr w:rsidR="00414A29" w:rsidRPr="00414A29" w14:paraId="70EB689A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186B6D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E155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52477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4A0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12,4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7D67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A8E1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99E1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27F6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E118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32EE4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17,6</w:t>
            </w:r>
          </w:p>
        </w:tc>
      </w:tr>
      <w:tr w:rsidR="00414A29" w:rsidRPr="00414A29" w14:paraId="1C8B7F26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18BF74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58102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3089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D3AA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511D6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1930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1ECC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7640F9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77BC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3792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16,9</w:t>
            </w:r>
          </w:p>
        </w:tc>
      </w:tr>
      <w:tr w:rsidR="00414A29" w:rsidRPr="00414A29" w14:paraId="7001FC49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E998E33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1199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062C4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9E50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3FFA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2A546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B237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CF03D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93AB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5F31B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14,9</w:t>
            </w:r>
          </w:p>
        </w:tc>
      </w:tr>
      <w:tr w:rsidR="00414A29" w:rsidRPr="00414A29" w14:paraId="230AAD8A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86413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3E19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D1B8D7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CF44A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468B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11,8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D2FAC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C194E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13,6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3C43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DA5335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15,0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B6F61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14,2</w:t>
            </w:r>
          </w:p>
        </w:tc>
      </w:tr>
      <w:tr w:rsidR="00414A29" w:rsidRPr="00414A29" w14:paraId="57D3CEB2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BB045EC" w14:textId="77777777" w:rsidR="00414A29" w:rsidRPr="00414A29" w:rsidRDefault="00414A29" w:rsidP="00414A29">
            <w:pPr>
              <w:keepNext/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750D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432E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26F23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6,5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E5EAB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28E81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1B02C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0627F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11,3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F8C28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0DB90" w14:textId="77777777" w:rsidR="00414A29" w:rsidRPr="00414A29" w:rsidRDefault="00414A29" w:rsidP="00414A29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10,4</w:t>
            </w:r>
          </w:p>
        </w:tc>
      </w:tr>
      <w:tr w:rsidR="00414A29" w:rsidRPr="00414A29" w14:paraId="345B16FD" w14:textId="77777777" w:rsidTr="00E86917">
        <w:trPr>
          <w:trHeight w:val="300"/>
        </w:trPr>
        <w:tc>
          <w:tcPr>
            <w:tcW w:w="33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3AD6305" w14:textId="77777777" w:rsidR="00414A29" w:rsidRPr="00414A29" w:rsidRDefault="00414A29" w:rsidP="00414A29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CA748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1,0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A67B9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9F3A1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45601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46193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9FE586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350417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AF253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F1952" w14:textId="77777777" w:rsidR="00414A29" w:rsidRPr="00414A29" w:rsidRDefault="00414A29" w:rsidP="00414A29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414A29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</w:tr>
    </w:tbl>
    <w:p w14:paraId="538B82A7" w14:textId="22891065" w:rsidR="00414A29" w:rsidRPr="00563154" w:rsidRDefault="00414A29" w:rsidP="00C40888">
      <w:pPr>
        <w:keepNext/>
        <w:spacing w:after="120" w:line="240" w:lineRule="auto"/>
        <w:jc w:val="both"/>
        <w:rPr>
          <w:szCs w:val="20"/>
        </w:rPr>
      </w:pPr>
    </w:p>
    <w:p w14:paraId="670BB820" w14:textId="77777777" w:rsidR="00BA133F" w:rsidRPr="00603134" w:rsidRDefault="00BA133F" w:rsidP="00C40888">
      <w:pPr>
        <w:keepNext/>
        <w:spacing w:before="120"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7A380C3" w14:textId="4ADC1F7E" w:rsidR="00BA133F" w:rsidRDefault="00BA133F" w:rsidP="003953E3">
      <w:pPr>
        <w:ind w:firstLine="284"/>
        <w:jc w:val="both"/>
      </w:pPr>
      <w:r w:rsidRPr="00564B68">
        <w:t xml:space="preserve">Pokud se jedná o podíl studentů </w:t>
      </w:r>
      <w:r w:rsidRPr="00564B68">
        <w:rPr>
          <w:b/>
        </w:rPr>
        <w:t>doktorského</w:t>
      </w:r>
      <w:r w:rsidRPr="0005743C">
        <w:rPr>
          <w:b/>
        </w:rPr>
        <w:t xml:space="preserve"> studia</w:t>
      </w:r>
      <w:r>
        <w:t>, ve všech sledovaných letech zaznamenala nejvyšší podíl stud</w:t>
      </w:r>
      <w:r w:rsidR="00965B11">
        <w:t xml:space="preserve">entů této úrovně </w:t>
      </w:r>
      <w:r w:rsidR="00D55123">
        <w:t xml:space="preserve">vzdělávání </w:t>
      </w:r>
      <w:r w:rsidR="00965B11">
        <w:t>skupina oborů P</w:t>
      </w:r>
      <w:r w:rsidRPr="00253FD7">
        <w:t>řírod</w:t>
      </w:r>
      <w:r>
        <w:t xml:space="preserve">ní vědy, matematika a statistika (v roce </w:t>
      </w:r>
      <w:r w:rsidR="00564B68">
        <w:t xml:space="preserve">2001 tvořil 28,8 % a v roce 2021 pětinu, tj. 20,3 %). Cca desetinový </w:t>
      </w:r>
      <w:r w:rsidR="00D328E7">
        <w:t>až osminový</w:t>
      </w:r>
      <w:r>
        <w:t xml:space="preserve"> </w:t>
      </w:r>
      <w:r w:rsidR="00D55123">
        <w:t xml:space="preserve">podíl </w:t>
      </w:r>
      <w:r w:rsidR="00965B11">
        <w:t>studentů doktorského studia</w:t>
      </w:r>
      <w:r>
        <w:t xml:space="preserve"> </w:t>
      </w:r>
      <w:r w:rsidR="00D55123">
        <w:t xml:space="preserve">(tj.  v rozsahu od 9,5 % do 12,1 %) </w:t>
      </w:r>
      <w:r>
        <w:t>dále ve všech sledovaných le</w:t>
      </w:r>
      <w:r w:rsidR="00965B11">
        <w:t>tech zaznamenaly skupiny oborů T</w:t>
      </w:r>
      <w:r>
        <w:t>ec</w:t>
      </w:r>
      <w:r w:rsidR="00965B11">
        <w:t>hnika, výroba a stavebnictví a U</w:t>
      </w:r>
      <w:r>
        <w:t xml:space="preserve">mění a humanitní vědy. Naopak nejmenší podíl studentů doktorského studia byl ve všech sledovaných </w:t>
      </w:r>
      <w:r w:rsidR="00965B11">
        <w:t>letech zjištěn u skupiny oborů V</w:t>
      </w:r>
      <w:r>
        <w:t>zděláv</w:t>
      </w:r>
      <w:r w:rsidR="007D3CE1">
        <w:t>ání a výchova</w:t>
      </w:r>
      <w:r w:rsidR="00D55123">
        <w:t xml:space="preserve"> (v rozmezí od 1,6 % do 2,7 %)</w:t>
      </w:r>
      <w:r w:rsidR="007D3CE1">
        <w:t xml:space="preserve"> –</w:t>
      </w:r>
      <w:r w:rsidR="00AB3951">
        <w:t xml:space="preserve"> </w:t>
      </w:r>
      <w:r w:rsidR="006D4689">
        <w:t>viz tabulku č. 6</w:t>
      </w:r>
      <w:r w:rsidR="00965B11">
        <w:t>.</w:t>
      </w:r>
    </w:p>
    <w:p w14:paraId="668F8A36" w14:textId="57485B7C" w:rsidR="00BA133F" w:rsidRDefault="006D4689" w:rsidP="00C40888">
      <w:pPr>
        <w:keepNext/>
        <w:spacing w:after="120" w:line="240" w:lineRule="auto"/>
        <w:jc w:val="both"/>
        <w:rPr>
          <w:b/>
        </w:rPr>
      </w:pPr>
      <w:r>
        <w:rPr>
          <w:b/>
        </w:rPr>
        <w:t>Tabulka č. 6</w:t>
      </w:r>
      <w:r w:rsidR="00BA133F">
        <w:rPr>
          <w:b/>
        </w:rPr>
        <w:t xml:space="preserve"> </w:t>
      </w:r>
      <w:r w:rsidR="00D328E7">
        <w:rPr>
          <w:b/>
        </w:rPr>
        <w:t>Studenti VŠ v ČR –</w:t>
      </w:r>
      <w:r>
        <w:rPr>
          <w:b/>
        </w:rPr>
        <w:t xml:space="preserve"> p</w:t>
      </w:r>
      <w:r w:rsidR="00BA133F">
        <w:rPr>
          <w:b/>
        </w:rPr>
        <w:t xml:space="preserve">odíl studentů doktorského studia </w:t>
      </w:r>
      <w:r>
        <w:rPr>
          <w:b/>
        </w:rPr>
        <w:t>dle skupin oborů vzdělání (</w:t>
      </w:r>
      <w:r w:rsidR="00BA133F">
        <w:rPr>
          <w:b/>
        </w:rPr>
        <w:t>v %)</w:t>
      </w:r>
    </w:p>
    <w:tbl>
      <w:tblPr>
        <w:tblW w:w="9800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60"/>
        <w:gridCol w:w="660"/>
        <w:gridCol w:w="660"/>
        <w:gridCol w:w="660"/>
        <w:gridCol w:w="660"/>
        <w:gridCol w:w="660"/>
        <w:gridCol w:w="660"/>
        <w:gridCol w:w="660"/>
        <w:gridCol w:w="660"/>
        <w:gridCol w:w="660"/>
      </w:tblGrid>
      <w:tr w:rsidR="00564B68" w:rsidRPr="00564B68" w14:paraId="35262D7F" w14:textId="77777777" w:rsidTr="00E86917">
        <w:trPr>
          <w:trHeight w:val="300"/>
        </w:trPr>
        <w:tc>
          <w:tcPr>
            <w:tcW w:w="3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97A196F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1C2E77D7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2001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DB835A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2006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EEEB9CE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2011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75AFCE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2016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8A45D44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2017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649ADA82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2018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3BDA125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2019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CDBBBD8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2020</w:t>
            </w:r>
          </w:p>
        </w:tc>
        <w:tc>
          <w:tcPr>
            <w:tcW w:w="6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4C2182C" w14:textId="77777777" w:rsidR="00564B68" w:rsidRPr="00564B68" w:rsidRDefault="00564B68" w:rsidP="00564B68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564B68">
              <w:rPr>
                <w:rFonts w:cs="Arial"/>
                <w:b/>
                <w:bCs/>
                <w:color w:val="FFFFFF"/>
                <w:sz w:val="18"/>
                <w:szCs w:val="18"/>
              </w:rPr>
              <w:t>2021</w:t>
            </w:r>
          </w:p>
        </w:tc>
      </w:tr>
      <w:tr w:rsidR="00564B68" w:rsidRPr="00564B68" w14:paraId="1ADCD722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C2EFD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Studenti doktorského studia celkem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36F3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8,1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1D3EA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9920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6,5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46FC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20556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9D21A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DD5F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5FFC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2651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b/>
                <w:bCs/>
                <w:color w:val="000000"/>
                <w:sz w:val="16"/>
                <w:szCs w:val="16"/>
              </w:rPr>
              <w:t>7,0</w:t>
            </w:r>
          </w:p>
        </w:tc>
      </w:tr>
      <w:tr w:rsidR="00564B68" w:rsidRPr="00564B68" w14:paraId="27DBB4C4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5FA8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D922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28,8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4169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2C31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19,9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24FE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FF38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EA57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22,9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FE7FD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B9BD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15A80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20,3</w:t>
            </w:r>
          </w:p>
        </w:tc>
      </w:tr>
      <w:tr w:rsidR="00564B68" w:rsidRPr="00564B68" w14:paraId="75082B70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27ABA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AFBE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E879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467F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4A2A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1B91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7677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C87F6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D012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12,1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B190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12,0</w:t>
            </w:r>
          </w:p>
        </w:tc>
      </w:tr>
      <w:tr w:rsidR="00564B68" w:rsidRPr="00564B68" w14:paraId="02F8F44E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76B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EE0D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11,7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4D512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F177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14EB4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3E17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D225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B3F7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9EAC9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10,0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0206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9,9</w:t>
            </w:r>
          </w:p>
        </w:tc>
      </w:tr>
      <w:tr w:rsidR="00564B68" w:rsidRPr="00564B68" w14:paraId="64F9FA91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10DBC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89E0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3038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C1AF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3D21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FC46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F5E0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79AA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587A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931E3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</w:tr>
      <w:tr w:rsidR="00564B68" w:rsidRPr="00564B68" w14:paraId="14BFC253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0E726D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48B3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9,8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A432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8,0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E2C6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AE02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355B5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DA3C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8098E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75C12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112E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7,5</w:t>
            </w:r>
          </w:p>
        </w:tc>
      </w:tr>
      <w:tr w:rsidR="00564B68" w:rsidRPr="00564B68" w14:paraId="779A9DA8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8EB4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A333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7,6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4AFD8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BE66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F2BB2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2E12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842CB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383DA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61E4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493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5,5</w:t>
            </w:r>
          </w:p>
        </w:tc>
      </w:tr>
      <w:tr w:rsidR="00564B68" w:rsidRPr="00564B68" w14:paraId="25EAB76E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F35F0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4EE0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DA64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315F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2789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A4F9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B456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2E84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4929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81280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4,1</w:t>
            </w:r>
          </w:p>
        </w:tc>
      </w:tr>
      <w:tr w:rsidR="00564B68" w:rsidRPr="00564B68" w14:paraId="4BCFEFF7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BC56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12DC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6,9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6F77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4,3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FD8C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3,2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C60F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1516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2C4A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F4EC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EEC48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0B6FE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3,6</w:t>
            </w:r>
          </w:p>
        </w:tc>
      </w:tr>
      <w:tr w:rsidR="00564B68" w:rsidRPr="00564B68" w14:paraId="5A8C89B4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5BFC9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B287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BF1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056E9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2,8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71741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FAE9D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A741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3,0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51D0E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880F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79C1B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</w:tr>
      <w:tr w:rsidR="00564B68" w:rsidRPr="00564B68" w14:paraId="581A865F" w14:textId="77777777" w:rsidTr="00E86917">
        <w:trPr>
          <w:trHeight w:val="300"/>
        </w:trPr>
        <w:tc>
          <w:tcPr>
            <w:tcW w:w="38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BACAF" w14:textId="77777777" w:rsidR="00564B68" w:rsidRPr="00564B68" w:rsidRDefault="00564B68" w:rsidP="00564B68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C9DCC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1,6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E8E5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1,9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7D44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2,4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6BF59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76505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8B2053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2,7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63C9C7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2,5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07E8F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2,3</w:t>
            </w:r>
          </w:p>
        </w:tc>
        <w:tc>
          <w:tcPr>
            <w:tcW w:w="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3EE51" w14:textId="77777777" w:rsidR="00564B68" w:rsidRPr="00564B68" w:rsidRDefault="00564B68" w:rsidP="00564B68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564B68">
              <w:rPr>
                <w:rFonts w:cs="Arial"/>
                <w:color w:val="000000"/>
                <w:sz w:val="16"/>
                <w:szCs w:val="16"/>
              </w:rPr>
              <w:t>2,1</w:t>
            </w:r>
          </w:p>
        </w:tc>
      </w:tr>
    </w:tbl>
    <w:p w14:paraId="2C7985A5" w14:textId="5FE2C363" w:rsidR="00564B68" w:rsidRPr="00F34F68" w:rsidRDefault="00564B68" w:rsidP="00C40888">
      <w:pPr>
        <w:keepNext/>
        <w:spacing w:after="120" w:line="240" w:lineRule="auto"/>
        <w:jc w:val="both"/>
        <w:rPr>
          <w:szCs w:val="20"/>
        </w:rPr>
      </w:pPr>
    </w:p>
    <w:p w14:paraId="6999EA72" w14:textId="77777777" w:rsidR="00BA133F" w:rsidRPr="00603134" w:rsidRDefault="00BA133F" w:rsidP="00C40888">
      <w:pPr>
        <w:keepNext/>
        <w:spacing w:before="120"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5D6D5BB" w14:textId="0F564B5C" w:rsidR="0052370F" w:rsidRDefault="00BA133F" w:rsidP="003953E3">
      <w:pPr>
        <w:keepNext/>
        <w:ind w:firstLine="284"/>
        <w:jc w:val="both"/>
      </w:pPr>
      <w:r>
        <w:t xml:space="preserve">Nakonec můžeme též porovnat </w:t>
      </w:r>
      <w:r w:rsidRPr="00BF1949">
        <w:rPr>
          <w:b/>
        </w:rPr>
        <w:t>podíl studentů distančního a kombinovaného studia</w:t>
      </w:r>
      <w:r w:rsidRPr="00BF1949">
        <w:t xml:space="preserve"> v jednotlivých skupinách oborů </w:t>
      </w:r>
      <w:r w:rsidR="008F6A50" w:rsidRPr="00BF1949">
        <w:t>vzdělání</w:t>
      </w:r>
      <w:r w:rsidRPr="00BF1949">
        <w:t>. Jak je patrné</w:t>
      </w:r>
      <w:r w:rsidR="004273EA">
        <w:t xml:space="preserve"> z </w:t>
      </w:r>
      <w:r w:rsidR="00292939">
        <w:t>ta</w:t>
      </w:r>
      <w:r w:rsidR="007871A3">
        <w:t>bulky</w:t>
      </w:r>
      <w:r w:rsidR="004273EA">
        <w:t xml:space="preserve"> č. 7</w:t>
      </w:r>
      <w:r w:rsidRPr="00BF1949">
        <w:t>, více než</w:t>
      </w:r>
      <w:r w:rsidR="00CB24DC" w:rsidRPr="00BF1949">
        <w:t xml:space="preserve"> třetina studentů skupin oborů Služeb</w:t>
      </w:r>
      <w:r w:rsidR="00853A82">
        <w:t xml:space="preserve"> </w:t>
      </w:r>
      <w:r w:rsidR="00CB24DC" w:rsidRPr="00BF1949">
        <w:t>a V</w:t>
      </w:r>
      <w:r w:rsidRPr="00BF1949">
        <w:t>zd</w:t>
      </w:r>
      <w:r w:rsidR="00E27CE5" w:rsidRPr="00BF1949">
        <w:t>ělávání a výchova se v roce 2021</w:t>
      </w:r>
      <w:r w:rsidRPr="00BF1949">
        <w:t xml:space="preserve"> účastnila vzdělávání </w:t>
      </w:r>
      <w:r w:rsidR="007808A4" w:rsidRPr="00BF1949">
        <w:t>(zcela či mimo jiné) distanční či</w:t>
      </w:r>
      <w:r w:rsidRPr="00BF1949">
        <w:t xml:space="preserve"> kombinovanou formou (</w:t>
      </w:r>
      <w:r>
        <w:t xml:space="preserve">studenti mohou být zapsaní ve více oborech vzdělávání). </w:t>
      </w:r>
      <w:r w:rsidR="007F60D0">
        <w:t>Č</w:t>
      </w:r>
      <w:r>
        <w:t xml:space="preserve">tvrtinový </w:t>
      </w:r>
      <w:r w:rsidR="007F60D0">
        <w:t xml:space="preserve">až pětinový </w:t>
      </w:r>
      <w:r>
        <w:t>podíl takových studentů</w:t>
      </w:r>
      <w:r w:rsidR="00CB24DC">
        <w:t xml:space="preserve"> zaznamenaly též skupiny oborů Obchod, </w:t>
      </w:r>
      <w:r w:rsidR="00990D82">
        <w:t>a</w:t>
      </w:r>
      <w:r w:rsidR="00CB24DC">
        <w:t xml:space="preserve">dministrativa a právo, </w:t>
      </w:r>
      <w:r w:rsidR="00E27CE5">
        <w:t>Z</w:t>
      </w:r>
      <w:r w:rsidR="00E27CE5" w:rsidRPr="00F62793">
        <w:t>emědělství, lesnictví, rybářství a veterinářství</w:t>
      </w:r>
      <w:r w:rsidR="00E27CE5">
        <w:t xml:space="preserve">, </w:t>
      </w:r>
      <w:r w:rsidR="00CB24DC">
        <w:t>S</w:t>
      </w:r>
      <w:r w:rsidRPr="00F62793">
        <w:t>polečenské vědy, žurnalistika a informační vědy</w:t>
      </w:r>
      <w:r w:rsidR="00E27CE5">
        <w:t xml:space="preserve"> </w:t>
      </w:r>
      <w:r>
        <w:t xml:space="preserve">a </w:t>
      </w:r>
      <w:r w:rsidR="00CB24DC">
        <w:t>Z</w:t>
      </w:r>
      <w:r>
        <w:t>dravotní a sociální</w:t>
      </w:r>
      <w:r w:rsidRPr="00F34F68">
        <w:t xml:space="preserve"> </w:t>
      </w:r>
      <w:r>
        <w:t xml:space="preserve">péče, péče o příznivé </w:t>
      </w:r>
      <w:r>
        <w:lastRenderedPageBreak/>
        <w:t>životní</w:t>
      </w:r>
      <w:r w:rsidRPr="00F34F68">
        <w:t xml:space="preserve"> podmínky</w:t>
      </w:r>
      <w:r w:rsidR="00E27CE5">
        <w:t xml:space="preserve"> (23,6 % až 19,8</w:t>
      </w:r>
      <w:r w:rsidRPr="00F62793">
        <w:t> %).</w:t>
      </w:r>
      <w:r>
        <w:t xml:space="preserve"> </w:t>
      </w:r>
      <w:r w:rsidR="00292939">
        <w:t>Naopak ze studentů oborů z oblasti Přírodních věd, matematiky a statistiky se distanční či kombinovanou formou vzdělávala jen necelá desetina (9,1 %).</w:t>
      </w:r>
    </w:p>
    <w:p w14:paraId="50C3F736" w14:textId="2C77C49E" w:rsidR="00BA133F" w:rsidRDefault="0052370F" w:rsidP="00874B90">
      <w:pPr>
        <w:keepNext/>
        <w:ind w:firstLine="284"/>
        <w:jc w:val="both"/>
      </w:pPr>
      <w:r w:rsidRPr="006F308B">
        <w:t>Mezi lety</w:t>
      </w:r>
      <w:r w:rsidR="00B82B41" w:rsidRPr="006F308B">
        <w:rPr>
          <w:b/>
        </w:rPr>
        <w:t xml:space="preserve"> 2001 </w:t>
      </w:r>
      <w:r w:rsidRPr="006F308B">
        <w:rPr>
          <w:b/>
        </w:rPr>
        <w:t xml:space="preserve">a </w:t>
      </w:r>
      <w:r w:rsidR="00E27CE5" w:rsidRPr="006F308B">
        <w:rPr>
          <w:b/>
        </w:rPr>
        <w:t>2021</w:t>
      </w:r>
      <w:r w:rsidR="00BA133F">
        <w:t xml:space="preserve"> zaznamenaly skupiny oborů zpravidla nárůst podílu </w:t>
      </w:r>
      <w:r w:rsidR="00D55123">
        <w:t>studentů jinou než denní formou, ovšem s výjimkou tří skupin oborů.</w:t>
      </w:r>
      <w:r w:rsidR="00BA133F">
        <w:t xml:space="preserve"> </w:t>
      </w:r>
      <w:r w:rsidR="00D55123">
        <w:t>Jednou je skupina</w:t>
      </w:r>
      <w:r w:rsidR="00CB24DC">
        <w:t xml:space="preserve"> oborů </w:t>
      </w:r>
      <w:r w:rsidR="00CB24DC" w:rsidRPr="006F308B">
        <w:rPr>
          <w:b/>
          <w:i/>
        </w:rPr>
        <w:t>P</w:t>
      </w:r>
      <w:r w:rsidR="00BA133F" w:rsidRPr="006F308B">
        <w:rPr>
          <w:b/>
          <w:i/>
        </w:rPr>
        <w:t>řírodní</w:t>
      </w:r>
      <w:r w:rsidR="00D55123" w:rsidRPr="006F308B">
        <w:rPr>
          <w:b/>
          <w:i/>
        </w:rPr>
        <w:t xml:space="preserve"> vědy, matematika a statistika</w:t>
      </w:r>
      <w:r w:rsidR="00D55123">
        <w:t xml:space="preserve">, ve které podíl studentů jinou než denní formou vzdělávání </w:t>
      </w:r>
      <w:r w:rsidR="00E27CE5">
        <w:t>mezi lety 2001 a 2021</w:t>
      </w:r>
      <w:r w:rsidR="00350163">
        <w:t xml:space="preserve"> </w:t>
      </w:r>
      <w:r w:rsidR="00853A82">
        <w:t>soustavně klesal a</w:t>
      </w:r>
      <w:r w:rsidR="00B82B41">
        <w:t xml:space="preserve"> celkem </w:t>
      </w:r>
      <w:r w:rsidR="00853A82">
        <w:t xml:space="preserve">se </w:t>
      </w:r>
      <w:r w:rsidR="00B82B41">
        <w:t xml:space="preserve">snížil </w:t>
      </w:r>
      <w:r w:rsidR="00BA133F">
        <w:t xml:space="preserve">o </w:t>
      </w:r>
      <w:r w:rsidR="00E27CE5">
        <w:t>6,4</w:t>
      </w:r>
      <w:r w:rsidR="00BA133F">
        <w:t xml:space="preserve"> pr</w:t>
      </w:r>
      <w:r w:rsidR="00D55123">
        <w:t xml:space="preserve">ocentního bodu. Další </w:t>
      </w:r>
      <w:r w:rsidR="0040170A">
        <w:t>výjimku tvoří skupina oborů</w:t>
      </w:r>
      <w:r w:rsidR="00D55123">
        <w:t xml:space="preserve"> </w:t>
      </w:r>
      <w:r w:rsidR="00CB24DC" w:rsidRPr="006F308B">
        <w:rPr>
          <w:b/>
          <w:i/>
        </w:rPr>
        <w:t>S</w:t>
      </w:r>
      <w:r w:rsidR="00BA133F" w:rsidRPr="006F308B">
        <w:rPr>
          <w:b/>
          <w:i/>
        </w:rPr>
        <w:t xml:space="preserve">polečenské vědy, </w:t>
      </w:r>
      <w:r w:rsidR="00D55123" w:rsidRPr="006F308B">
        <w:rPr>
          <w:b/>
          <w:i/>
        </w:rPr>
        <w:t>žurnalistika a informační vědy</w:t>
      </w:r>
      <w:r w:rsidR="00D55123">
        <w:t>. Ta zaznamenala po</w:t>
      </w:r>
      <w:r w:rsidR="00350163">
        <w:t xml:space="preserve"> roce 2001 sice r</w:t>
      </w:r>
      <w:r w:rsidR="00E27CE5">
        <w:t>ůst</w:t>
      </w:r>
      <w:r w:rsidR="00D55123">
        <w:t xml:space="preserve"> podílu studentů jinou než denní formou vzdělávání</w:t>
      </w:r>
      <w:r w:rsidR="00E27CE5">
        <w:t xml:space="preserve">, avšak mezi lety 2011 a 2021 se </w:t>
      </w:r>
      <w:r w:rsidR="00D55123">
        <w:t>podíl</w:t>
      </w:r>
      <w:r w:rsidR="0040170A">
        <w:t xml:space="preserve"> takových studentů</w:t>
      </w:r>
      <w:r w:rsidR="00D55123">
        <w:t xml:space="preserve"> naopak </w:t>
      </w:r>
      <w:r w:rsidR="00E27CE5">
        <w:t>snížil z cca třetiny na pětinu</w:t>
      </w:r>
      <w:r w:rsidR="00D55123">
        <w:t>. Třetí výjimku tvoří skupina</w:t>
      </w:r>
      <w:r w:rsidR="00CB24DC">
        <w:t xml:space="preserve"> oborů </w:t>
      </w:r>
      <w:r w:rsidR="00CB24DC" w:rsidRPr="006F308B">
        <w:rPr>
          <w:b/>
          <w:i/>
        </w:rPr>
        <w:t>U</w:t>
      </w:r>
      <w:r w:rsidR="0040170A" w:rsidRPr="006F308B">
        <w:rPr>
          <w:b/>
          <w:i/>
        </w:rPr>
        <w:t>mění a humanitní vědy</w:t>
      </w:r>
      <w:r w:rsidR="0040170A">
        <w:t xml:space="preserve">, ve které podíl studentů jinou než denní formou vzdělávání také </w:t>
      </w:r>
      <w:r w:rsidR="00350163">
        <w:t xml:space="preserve">po roce 2001 </w:t>
      </w:r>
      <w:r w:rsidR="0040170A">
        <w:t>nejprve rostl</w:t>
      </w:r>
      <w:r w:rsidR="00350163">
        <w:t xml:space="preserve">, </w:t>
      </w:r>
      <w:r w:rsidR="0040170A">
        <w:t>ale už méně výrazně a</w:t>
      </w:r>
      <w:r w:rsidR="00E27CE5">
        <w:t xml:space="preserve"> mezi </w:t>
      </w:r>
      <w:r w:rsidR="00853A82">
        <w:t xml:space="preserve">lety 2011 a 2021 se </w:t>
      </w:r>
      <w:r w:rsidR="0040170A">
        <w:t xml:space="preserve">pak </w:t>
      </w:r>
      <w:r w:rsidR="00853A82">
        <w:t>snížil o 4,4</w:t>
      </w:r>
      <w:r w:rsidR="00BA133F" w:rsidRPr="00E018BA">
        <w:t xml:space="preserve"> procentního bodu</w:t>
      </w:r>
      <w:r w:rsidR="00B82B41">
        <w:t xml:space="preserve">. </w:t>
      </w:r>
      <w:r w:rsidR="00874B90">
        <w:t xml:space="preserve">Zaměříme-li se však na </w:t>
      </w:r>
      <w:r w:rsidR="00874B90" w:rsidRPr="006F308B">
        <w:rPr>
          <w:b/>
        </w:rPr>
        <w:t>období</w:t>
      </w:r>
      <w:r w:rsidR="00874B90">
        <w:t xml:space="preserve"> </w:t>
      </w:r>
      <w:r w:rsidR="00874B90" w:rsidRPr="00874B90">
        <w:rPr>
          <w:b/>
        </w:rPr>
        <w:t>posledních deseti let</w:t>
      </w:r>
      <w:r w:rsidR="00874B90">
        <w:t xml:space="preserve">, </w:t>
      </w:r>
      <w:r w:rsidR="00B82B41">
        <w:t xml:space="preserve">je možné konstatovat, že s výjimkou </w:t>
      </w:r>
      <w:r>
        <w:t>skupiny oborů S</w:t>
      </w:r>
      <w:r w:rsidR="00B82B41">
        <w:t>lužeb došlo ve všec</w:t>
      </w:r>
      <w:r w:rsidR="00E27CE5">
        <w:t xml:space="preserve">h skupinách oborů </w:t>
      </w:r>
      <w:r w:rsidR="00E27CE5" w:rsidRPr="006F308B">
        <w:t>mezi lety 2011 a 2021</w:t>
      </w:r>
      <w:r w:rsidR="00B82B41">
        <w:t xml:space="preserve"> ke </w:t>
      </w:r>
      <w:r w:rsidR="00B82B41" w:rsidRPr="006F308B">
        <w:rPr>
          <w:b/>
        </w:rPr>
        <w:t xml:space="preserve">snížení </w:t>
      </w:r>
      <w:r w:rsidR="00B82B41">
        <w:t xml:space="preserve">podílu </w:t>
      </w:r>
      <w:r w:rsidR="00BA133F">
        <w:t xml:space="preserve"> </w:t>
      </w:r>
      <w:r w:rsidR="00B82B41" w:rsidRPr="00B82B41">
        <w:t>studentů v distančním a kombinovaném studiu</w:t>
      </w:r>
      <w:r>
        <w:t xml:space="preserve">. K růstu podílu těchto studentů docházelo tedy zejména v první dekádě 21. století </w:t>
      </w:r>
      <w:r w:rsidR="00B82B41" w:rsidRPr="00B82B41">
        <w:t xml:space="preserve"> </w:t>
      </w:r>
      <w:r w:rsidR="00BA133F">
        <w:t xml:space="preserve">– </w:t>
      </w:r>
      <w:r w:rsidR="008F6A50">
        <w:t>viz tabulku č. 7</w:t>
      </w:r>
      <w:r w:rsidR="007D3CE1">
        <w:t>.</w:t>
      </w:r>
    </w:p>
    <w:p w14:paraId="08EFA20B" w14:textId="0C684EC1" w:rsidR="00BA133F" w:rsidRDefault="008F6A50" w:rsidP="00BA133F">
      <w:pPr>
        <w:keepNext/>
        <w:spacing w:after="120"/>
        <w:jc w:val="both"/>
        <w:rPr>
          <w:b/>
        </w:rPr>
      </w:pPr>
      <w:r>
        <w:rPr>
          <w:b/>
        </w:rPr>
        <w:t>Tabulka č. 7</w:t>
      </w:r>
      <w:r w:rsidR="00BA133F">
        <w:rPr>
          <w:b/>
        </w:rPr>
        <w:t xml:space="preserve"> </w:t>
      </w:r>
      <w:r>
        <w:rPr>
          <w:b/>
        </w:rPr>
        <w:t>Studenti VŠ v ČR - p</w:t>
      </w:r>
      <w:r w:rsidR="00BA133F">
        <w:rPr>
          <w:b/>
        </w:rPr>
        <w:t xml:space="preserve">odíl </w:t>
      </w:r>
      <w:r w:rsidR="00AF0F32">
        <w:rPr>
          <w:b/>
        </w:rPr>
        <w:t xml:space="preserve">studentů </w:t>
      </w:r>
      <w:r w:rsidR="00BD5355">
        <w:rPr>
          <w:b/>
        </w:rPr>
        <w:t>v </w:t>
      </w:r>
      <w:r w:rsidR="00BA133F">
        <w:rPr>
          <w:b/>
        </w:rPr>
        <w:t>di</w:t>
      </w:r>
      <w:r w:rsidR="00BD5355">
        <w:rPr>
          <w:b/>
        </w:rPr>
        <w:t>stančním a kombinovaném studiu</w:t>
      </w:r>
      <w:r w:rsidR="00BA133F">
        <w:rPr>
          <w:b/>
        </w:rPr>
        <w:t xml:space="preserve"> </w:t>
      </w:r>
      <w:r>
        <w:rPr>
          <w:b/>
        </w:rPr>
        <w:t>dle skupin</w:t>
      </w:r>
      <w:r w:rsidR="00BA133F">
        <w:rPr>
          <w:b/>
        </w:rPr>
        <w:t xml:space="preserve"> oborů</w:t>
      </w:r>
      <w:r>
        <w:rPr>
          <w:b/>
        </w:rPr>
        <w:t xml:space="preserve"> vzdělání</w:t>
      </w:r>
      <w:r w:rsidR="00BA133F">
        <w:rPr>
          <w:b/>
        </w:rPr>
        <w:t xml:space="preserve"> (v %)</w:t>
      </w: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8"/>
        <w:gridCol w:w="645"/>
        <w:gridCol w:w="646"/>
        <w:gridCol w:w="646"/>
        <w:gridCol w:w="645"/>
        <w:gridCol w:w="646"/>
        <w:gridCol w:w="646"/>
        <w:gridCol w:w="645"/>
        <w:gridCol w:w="646"/>
        <w:gridCol w:w="646"/>
      </w:tblGrid>
      <w:tr w:rsidR="008C74AD" w:rsidRPr="008C74AD" w14:paraId="1BB3429F" w14:textId="77777777" w:rsidTr="00E86917">
        <w:trPr>
          <w:trHeight w:hRule="exact" w:val="300"/>
        </w:trPr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081867ED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 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2B5792D7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2001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9A90E3B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2006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593DC41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2011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547575E4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2016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9388239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2017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47E888BE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2018</w:t>
            </w:r>
          </w:p>
        </w:tc>
        <w:tc>
          <w:tcPr>
            <w:tcW w:w="6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ED2B82A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2019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34F0069D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2020</w:t>
            </w:r>
          </w:p>
        </w:tc>
        <w:tc>
          <w:tcPr>
            <w:tcW w:w="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73A8954" w14:textId="77777777" w:rsidR="008C74AD" w:rsidRPr="008C74AD" w:rsidRDefault="008C74AD" w:rsidP="008C74AD">
            <w:pPr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FFFFFF"/>
                <w:sz w:val="16"/>
                <w:szCs w:val="16"/>
              </w:rPr>
              <w:t>2021</w:t>
            </w:r>
          </w:p>
        </w:tc>
      </w:tr>
      <w:tr w:rsidR="008C74AD" w:rsidRPr="008C74AD" w14:paraId="2A7BF39B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0F7ED7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Studenti s </w:t>
            </w:r>
            <w:proofErr w:type="spellStart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dist</w:t>
            </w:r>
            <w:proofErr w:type="spellEnd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. a komb. </w:t>
            </w:r>
            <w:proofErr w:type="gramStart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formou</w:t>
            </w:r>
            <w:proofErr w:type="gramEnd"/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 xml:space="preserve"> studia celkem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81D6F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18,0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0D24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2F634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28,6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170B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D09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24,6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1324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23,9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1FCDE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22,8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6ECA4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22,0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2185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b/>
                <w:bCs/>
                <w:color w:val="000000"/>
                <w:sz w:val="16"/>
                <w:szCs w:val="16"/>
              </w:rPr>
              <w:t>21,2</w:t>
            </w:r>
          </w:p>
        </w:tc>
      </w:tr>
      <w:tr w:rsidR="008C74AD" w:rsidRPr="008C74AD" w14:paraId="6B48ACDD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D57C6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Služby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D384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30,4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58EB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35,1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807A2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B70E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86367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E52F9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33,5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F164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5C57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36,1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5E1E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39,0</w:t>
            </w:r>
          </w:p>
        </w:tc>
      </w:tr>
      <w:tr w:rsidR="008C74AD" w:rsidRPr="008C74AD" w14:paraId="77AD7571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C98D6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Vzdělávání a výchova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0420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0E84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37,3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2C6D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45,3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7087D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7DE2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6DF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1508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38,1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EA526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35,6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4F0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34,1</w:t>
            </w:r>
          </w:p>
        </w:tc>
      </w:tr>
      <w:tr w:rsidR="008C74AD" w:rsidRPr="008C74AD" w14:paraId="17C9C9AE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7F7A71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Obchod, administrativa a právo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92DC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DCDE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31,1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13A5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33,9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7D52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8FFD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AB268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27,4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F10F9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26,4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FB67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3816A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23,6</w:t>
            </w:r>
          </w:p>
        </w:tc>
      </w:tr>
      <w:tr w:rsidR="008C74AD" w:rsidRPr="008C74AD" w14:paraId="72207417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AD6DA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Zemědělství, lesnictví, rybářství a veterinářství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13D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3B0BC5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F644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24,7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F5C37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797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A2D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A289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3F55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788F5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22,1</w:t>
            </w:r>
          </w:p>
        </w:tc>
      </w:tr>
      <w:tr w:rsidR="008C74AD" w:rsidRPr="008C74AD" w14:paraId="0312BA6F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2950F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Společenské vědy, žurnalistika a informační vědy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ED404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7F03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32,3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70A6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34,3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5FF0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84CC6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28,9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2CC6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27,4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89949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25,7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55B2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23,3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62D4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20,6</w:t>
            </w:r>
          </w:p>
        </w:tc>
      </w:tr>
      <w:tr w:rsidR="008C74AD" w:rsidRPr="008C74AD" w14:paraId="36A7FA10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86E110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Zdravotní a sociální péče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74C0C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4C2A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19,7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CF72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24,3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3907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A805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A81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20,3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3A16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3B4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8EC1A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19,8</w:t>
            </w:r>
          </w:p>
        </w:tc>
      </w:tr>
      <w:tr w:rsidR="008C74AD" w:rsidRPr="008C74AD" w14:paraId="3E4EE08C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0FBD8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Technika, výroba a stavebnictví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3A8AF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255D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D2E0D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0918A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3E2D6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21,6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22049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20,9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7987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18F4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2AC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15,4</w:t>
            </w:r>
          </w:p>
        </w:tc>
      </w:tr>
      <w:tr w:rsidR="008C74AD" w:rsidRPr="008C74AD" w14:paraId="52CE5E10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92629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Umění a humanitní vědy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09E1CA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7D5A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3B53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18,2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9243F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16,8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07EE0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FFF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16,0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93B20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15,0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0CC3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15,2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4763D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13,8</w:t>
            </w:r>
          </w:p>
        </w:tc>
      </w:tr>
      <w:tr w:rsidR="008C74AD" w:rsidRPr="008C74AD" w14:paraId="1CD5CCBF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B6AAC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Informační a komunikační technologie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3820AD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8,4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4A5EAB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EAD72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16,6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0DAC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5375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13,9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8EFE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13,2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884EF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49BEE9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DA313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12,5</w:t>
            </w:r>
          </w:p>
        </w:tc>
      </w:tr>
      <w:tr w:rsidR="008C74AD" w:rsidRPr="008C74AD" w14:paraId="034F07E7" w14:textId="77777777" w:rsidTr="00E86917">
        <w:trPr>
          <w:trHeight w:val="300"/>
        </w:trPr>
        <w:tc>
          <w:tcPr>
            <w:tcW w:w="38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C81BE" w14:textId="77777777" w:rsidR="008C74AD" w:rsidRPr="008C74AD" w:rsidRDefault="008C74AD" w:rsidP="008C74AD">
            <w:pPr>
              <w:spacing w:after="0" w:line="240" w:lineRule="auto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Přírodní vědy, matematika a statistika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A455E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15,5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3FDD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14,6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9E0104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11,6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99BD1C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10,5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8C00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10,3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B92C1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9B12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E2A77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9,3</w:t>
            </w:r>
          </w:p>
        </w:tc>
        <w:tc>
          <w:tcPr>
            <w:tcW w:w="6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FF678" w14:textId="77777777" w:rsidR="008C74AD" w:rsidRPr="008C74AD" w:rsidRDefault="008C74AD" w:rsidP="008C74AD">
            <w:pPr>
              <w:spacing w:after="0" w:line="240" w:lineRule="auto"/>
              <w:jc w:val="right"/>
              <w:rPr>
                <w:rFonts w:cs="Arial"/>
                <w:color w:val="000000"/>
                <w:sz w:val="16"/>
                <w:szCs w:val="16"/>
              </w:rPr>
            </w:pPr>
            <w:r w:rsidRPr="008C74AD">
              <w:rPr>
                <w:rFonts w:cs="Arial"/>
                <w:color w:val="000000"/>
                <w:sz w:val="16"/>
                <w:szCs w:val="16"/>
              </w:rPr>
              <w:t>9,1</w:t>
            </w:r>
          </w:p>
        </w:tc>
      </w:tr>
    </w:tbl>
    <w:p w14:paraId="1B5AC24F" w14:textId="77777777" w:rsidR="00BA133F" w:rsidRPr="00603134" w:rsidRDefault="00BA133F" w:rsidP="00603134">
      <w:pPr>
        <w:keepNext/>
        <w:spacing w:before="120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03DD206D" w14:textId="77777777" w:rsidR="00BA133F" w:rsidRPr="00695CB6" w:rsidRDefault="00BA133F" w:rsidP="00BA133F">
      <w:pPr>
        <w:pStyle w:val="Nadpis3"/>
        <w:rPr>
          <w:sz w:val="22"/>
          <w:szCs w:val="22"/>
        </w:rPr>
      </w:pPr>
    </w:p>
    <w:p w14:paraId="5531B343" w14:textId="77777777" w:rsidR="00BA133F" w:rsidRPr="00160265" w:rsidRDefault="00BA133F" w:rsidP="000D7FAA">
      <w:pPr>
        <w:pStyle w:val="Nadpis2"/>
      </w:pPr>
      <w:bookmarkStart w:id="10" w:name="_Toc103080343"/>
      <w:r w:rsidRPr="00BF1949">
        <w:t>Studenti dle kraje trvalého bydliště</w:t>
      </w:r>
      <w:bookmarkEnd w:id="10"/>
    </w:p>
    <w:p w14:paraId="6EB6FDFC" w14:textId="77777777" w:rsidR="00BA133F" w:rsidRDefault="00BA133F" w:rsidP="00BD5355">
      <w:pPr>
        <w:spacing w:after="0"/>
      </w:pPr>
    </w:p>
    <w:p w14:paraId="7D3A94EB" w14:textId="26E18E82" w:rsidR="00BA133F" w:rsidRDefault="00BA133F" w:rsidP="00C5622D">
      <w:pPr>
        <w:spacing w:after="120"/>
        <w:ind w:firstLine="284"/>
        <w:jc w:val="both"/>
      </w:pPr>
      <w:r w:rsidRPr="00C17D0E">
        <w:t xml:space="preserve">Podíváme-li se na členění studentů </w:t>
      </w:r>
      <w:r w:rsidRPr="00C17D0E">
        <w:rPr>
          <w:b/>
        </w:rPr>
        <w:t>dle kraje trvalého bydliště</w:t>
      </w:r>
      <w:r w:rsidRPr="00C17D0E">
        <w:t>, nejvyšší počet studentů veřejných a soukromých vysokých šk</w:t>
      </w:r>
      <w:r w:rsidR="0097122A">
        <w:t xml:space="preserve">ol v ČR pocházel </w:t>
      </w:r>
      <w:r w:rsidR="000F5D4A">
        <w:t>v roce 2021</w:t>
      </w:r>
      <w:r w:rsidR="0097122A">
        <w:t xml:space="preserve"> z h</w:t>
      </w:r>
      <w:r w:rsidRPr="00C17D0E">
        <w:t>lavního města Prahy (</w:t>
      </w:r>
      <w:r w:rsidR="00BF1949">
        <w:t>36 458</w:t>
      </w:r>
      <w:r w:rsidRPr="00C17D0E">
        <w:t>), z kraje Středočeského (</w:t>
      </w:r>
      <w:r w:rsidR="00E71A4D">
        <w:t>32 463), Moravskoslezského (30 977) a Jihomoravského (28 </w:t>
      </w:r>
      <w:r w:rsidRPr="00C17D0E">
        <w:t>2</w:t>
      </w:r>
      <w:r w:rsidR="00E71A4D">
        <w:t>59</w:t>
      </w:r>
      <w:r w:rsidRPr="00C17D0E">
        <w:t>). V ostatních krajích již činil méně než 20 tisíc osob, nejméně v kraji K</w:t>
      </w:r>
      <w:r w:rsidR="00E71A4D">
        <w:t>arlovarském (5 096)</w:t>
      </w:r>
      <w:r w:rsidRPr="00C17D0E">
        <w:t>. Je nutné si uvědomit, že jednotlivé kraje se liší svou lidnatostí</w:t>
      </w:r>
      <w:r w:rsidR="00D63E37">
        <w:t xml:space="preserve">, </w:t>
      </w:r>
      <w:r w:rsidR="007F60D0">
        <w:t>jakož</w:t>
      </w:r>
      <w:r w:rsidR="00D63E37">
        <w:t xml:space="preserve"> i věkovou strukturou</w:t>
      </w:r>
      <w:r w:rsidRPr="00C17D0E">
        <w:t>.</w:t>
      </w:r>
      <w:r>
        <w:t xml:space="preserve"> </w:t>
      </w:r>
      <w:r w:rsidR="00FD600D" w:rsidRPr="0028695C">
        <w:t>Podíváme-li se tedy na podíl studentů</w:t>
      </w:r>
      <w:r w:rsidR="002F683A" w:rsidRPr="0028695C">
        <w:t xml:space="preserve"> ve věku 20</w:t>
      </w:r>
      <w:r w:rsidR="0040170A">
        <w:t>–</w:t>
      </w:r>
      <w:r w:rsidR="002F683A" w:rsidRPr="0028695C">
        <w:t>29 let</w:t>
      </w:r>
      <w:r w:rsidRPr="0028695C">
        <w:t>,</w:t>
      </w:r>
      <w:r w:rsidR="00DC54BB" w:rsidRPr="0028695C">
        <w:t xml:space="preserve"> tj. ve věku obvyklém pro studium VŠ,</w:t>
      </w:r>
      <w:r w:rsidR="00FD600D" w:rsidRPr="0028695C">
        <w:t xml:space="preserve"> ze všech obyvatel </w:t>
      </w:r>
      <w:r w:rsidR="00874B90">
        <w:t>s trvalým bydlištěm v daném kraji</w:t>
      </w:r>
      <w:r w:rsidR="00FD600D" w:rsidRPr="0028695C">
        <w:t xml:space="preserve"> ve věku 20</w:t>
      </w:r>
      <w:r w:rsidR="0040170A">
        <w:t>–</w:t>
      </w:r>
      <w:r w:rsidR="00FD600D" w:rsidRPr="0028695C">
        <w:t>29 let,</w:t>
      </w:r>
      <w:r w:rsidR="00DC54BB" w:rsidRPr="0028695C">
        <w:t xml:space="preserve"> </w:t>
      </w:r>
      <w:r w:rsidR="009364DE" w:rsidRPr="0028695C">
        <w:t>pak</w:t>
      </w:r>
      <w:r w:rsidR="000013C4" w:rsidRPr="0028695C">
        <w:t xml:space="preserve"> nejvyšší hodnoty</w:t>
      </w:r>
      <w:r w:rsidR="00FD600D" w:rsidRPr="0028695C">
        <w:t xml:space="preserve"> dosáhl kraj </w:t>
      </w:r>
      <w:r w:rsidR="000C4930" w:rsidRPr="0028695C">
        <w:t>Zlínský</w:t>
      </w:r>
      <w:r w:rsidR="0028695C" w:rsidRPr="0028695C">
        <w:t xml:space="preserve"> (22,1 %) a </w:t>
      </w:r>
      <w:r w:rsidR="001C2FAF">
        <w:t>nejmenší</w:t>
      </w:r>
      <w:r w:rsidR="00FD600D" w:rsidRPr="0028695C">
        <w:t xml:space="preserve"> naopak kraj </w:t>
      </w:r>
      <w:r w:rsidR="000C4930" w:rsidRPr="0028695C">
        <w:t>Karlovarský</w:t>
      </w:r>
      <w:r w:rsidR="0028695C" w:rsidRPr="0028695C">
        <w:t xml:space="preserve"> (13,5</w:t>
      </w:r>
      <w:r w:rsidR="00FD600D" w:rsidRPr="0028695C">
        <w:t xml:space="preserve"> %) a </w:t>
      </w:r>
      <w:r w:rsidR="000C4930" w:rsidRPr="0028695C">
        <w:t>Ústecký</w:t>
      </w:r>
      <w:r w:rsidR="0028695C" w:rsidRPr="0028695C">
        <w:t xml:space="preserve"> (13,9</w:t>
      </w:r>
      <w:r w:rsidR="00FD600D" w:rsidRPr="0028695C">
        <w:t> %)</w:t>
      </w:r>
      <w:r w:rsidRPr="0028695C">
        <w:t xml:space="preserve">. </w:t>
      </w:r>
      <w:r w:rsidR="0028695C" w:rsidRPr="0028695C">
        <w:t xml:space="preserve">Praha se umístila spolu s krajem Jihočeským na druhé příčce hned za krajem Zlínským. </w:t>
      </w:r>
      <w:r w:rsidR="00A05377">
        <w:t>Lze si však všimnout</w:t>
      </w:r>
      <w:r w:rsidR="000C0664">
        <w:t>, že mezi stu</w:t>
      </w:r>
      <w:r w:rsidR="00B6429C">
        <w:t>denty</w:t>
      </w:r>
      <w:r w:rsidR="007F60D0">
        <w:t xml:space="preserve"> s trvalým bydlištěm</w:t>
      </w:r>
      <w:r w:rsidR="00E71A4D">
        <w:t xml:space="preserve"> v </w:t>
      </w:r>
      <w:r w:rsidR="00A05377">
        <w:t>Praze</w:t>
      </w:r>
      <w:r w:rsidR="00E71A4D">
        <w:t xml:space="preserve"> byl v roce 2021</w:t>
      </w:r>
      <w:r w:rsidR="000C0664">
        <w:t xml:space="preserve"> ze všech krajů nejvyšší podíl </w:t>
      </w:r>
      <w:r w:rsidR="00B6429C">
        <w:t>studujících</w:t>
      </w:r>
      <w:r w:rsidR="000C0664">
        <w:t xml:space="preserve"> </w:t>
      </w:r>
      <w:r w:rsidR="00C65C14">
        <w:t xml:space="preserve">nespadajících do věkového rozmezí 20–29 let </w:t>
      </w:r>
      <w:r w:rsidR="00E71A4D">
        <w:t>(27,9</w:t>
      </w:r>
      <w:r w:rsidR="00DA3E31">
        <w:t> %)</w:t>
      </w:r>
      <w:r w:rsidR="00673327">
        <w:rPr>
          <w:rStyle w:val="Znakapoznpodarou"/>
        </w:rPr>
        <w:footnoteReference w:id="3"/>
      </w:r>
      <w:r w:rsidR="00B6429C">
        <w:t xml:space="preserve">. </w:t>
      </w:r>
      <w:r w:rsidR="00E71A4D">
        <w:t xml:space="preserve">Relativně vysoký byl tento podíl též v kraji Ústeckém (25,4 %), Středočeském (24,9 %) a Karlovarském (24,1 %). </w:t>
      </w:r>
      <w:r w:rsidR="000532A5">
        <w:t>V</w:t>
      </w:r>
      <w:r w:rsidR="00673327">
        <w:t xml:space="preserve"> Praze, v kraji Ústeckém, Středočeském a </w:t>
      </w:r>
      <w:r w:rsidR="00673327">
        <w:lastRenderedPageBreak/>
        <w:t>Karlovarském</w:t>
      </w:r>
      <w:r w:rsidR="000532A5">
        <w:t xml:space="preserve"> byl zárove</w:t>
      </w:r>
      <w:r w:rsidR="00090EB4">
        <w:t>ň nejvyšší průměrný věk studentů</w:t>
      </w:r>
      <w:r w:rsidR="000532A5">
        <w:rPr>
          <w:rStyle w:val="Znakapoznpodarou"/>
        </w:rPr>
        <w:footnoteReference w:id="4"/>
      </w:r>
      <w:r w:rsidR="000532A5">
        <w:t xml:space="preserve">. </w:t>
      </w:r>
      <w:r w:rsidR="000C0664">
        <w:t xml:space="preserve">Naopak mezi studenty bydlícími na Vysočině </w:t>
      </w:r>
      <w:r w:rsidR="00E71A4D">
        <w:t>a ve Zlínském kraji bylo</w:t>
      </w:r>
      <w:r w:rsidR="000C0664">
        <w:t xml:space="preserve"> studium </w:t>
      </w:r>
      <w:r w:rsidR="0040170A">
        <w:t>vysoké školy</w:t>
      </w:r>
      <w:r w:rsidR="00E71A4D">
        <w:t xml:space="preserve"> </w:t>
      </w:r>
      <w:r w:rsidR="00C65C14">
        <w:t>v jiném věku než ve 20-29 letech</w:t>
      </w:r>
      <w:r w:rsidR="000C0664">
        <w:t xml:space="preserve"> nejméně obvyklé</w:t>
      </w:r>
      <w:r w:rsidR="00E71A4D">
        <w:t xml:space="preserve"> (19,5</w:t>
      </w:r>
      <w:r w:rsidR="00DA3E31">
        <w:t> %</w:t>
      </w:r>
      <w:r w:rsidR="00E71A4D">
        <w:t>, resp. 19,2 %</w:t>
      </w:r>
      <w:r w:rsidR="00DA3E31">
        <w:t>)</w:t>
      </w:r>
      <w:r w:rsidR="00090EB4">
        <w:t>. Z</w:t>
      </w:r>
      <w:r w:rsidR="000532A5">
        <w:t xml:space="preserve"> krajů ČR </w:t>
      </w:r>
      <w:r w:rsidR="00090EB4">
        <w:t xml:space="preserve">zároveň </w:t>
      </w:r>
      <w:r w:rsidR="000532A5">
        <w:t xml:space="preserve">tyto kraje </w:t>
      </w:r>
      <w:r w:rsidR="007A1450">
        <w:t xml:space="preserve">spolu s krajem Pardubickým </w:t>
      </w:r>
      <w:r w:rsidR="000532A5">
        <w:t xml:space="preserve">zaznamenaly </w:t>
      </w:r>
      <w:r w:rsidR="00135B21">
        <w:t xml:space="preserve">nejnižší </w:t>
      </w:r>
      <w:r w:rsidR="000532A5">
        <w:t>průměrný věk studentů</w:t>
      </w:r>
      <w:r w:rsidR="007A1450">
        <w:t xml:space="preserve"> (24, resp.</w:t>
      </w:r>
      <w:r w:rsidR="00135B21">
        <w:t xml:space="preserve"> 24,2 roku)</w:t>
      </w:r>
      <w:r w:rsidR="00135B21">
        <w:rPr>
          <w:rStyle w:val="Znakapoznpodarou"/>
        </w:rPr>
        <w:footnoteReference w:id="5"/>
      </w:r>
      <w:r w:rsidR="000C0664">
        <w:t xml:space="preserve">. </w:t>
      </w:r>
      <w:r w:rsidRPr="006A3E2C">
        <w:t>Více viz graf č. 7.</w:t>
      </w:r>
    </w:p>
    <w:p w14:paraId="0CCC5A37" w14:textId="25E7F604" w:rsidR="00BF1949" w:rsidRDefault="00616301" w:rsidP="00616301">
      <w:pPr>
        <w:keepNext/>
        <w:spacing w:after="120"/>
        <w:jc w:val="both"/>
        <w:rPr>
          <w:b/>
        </w:rPr>
      </w:pPr>
      <w:r>
        <w:rPr>
          <w:b/>
        </w:rPr>
        <w:t xml:space="preserve">Graf č. 7 Studenti VŠ v ČR </w:t>
      </w:r>
      <w:r w:rsidR="00F817B4">
        <w:rPr>
          <w:b/>
        </w:rPr>
        <w:t xml:space="preserve">dle kraje </w:t>
      </w:r>
      <w:r w:rsidR="0040170A">
        <w:rPr>
          <w:b/>
        </w:rPr>
        <w:t>–</w:t>
      </w:r>
      <w:r>
        <w:rPr>
          <w:b/>
        </w:rPr>
        <w:t xml:space="preserve"> počet studentů dle trvalého bydliště a věku; podíl studentů ve věku 20-29 let ze všech ob</w:t>
      </w:r>
      <w:r w:rsidR="00BF1949">
        <w:rPr>
          <w:b/>
        </w:rPr>
        <w:t>yvatel této věkové skupiny</w:t>
      </w:r>
      <w:r w:rsidR="0040170A">
        <w:rPr>
          <w:b/>
        </w:rPr>
        <w:t xml:space="preserve"> v daném kraji</w:t>
      </w:r>
      <w:r w:rsidR="00BF1949">
        <w:rPr>
          <w:b/>
        </w:rPr>
        <w:t xml:space="preserve"> (2021</w:t>
      </w:r>
      <w:r>
        <w:rPr>
          <w:b/>
        </w:rPr>
        <w:t xml:space="preserve">) </w:t>
      </w:r>
    </w:p>
    <w:p w14:paraId="7150EC1C" w14:textId="38914F07" w:rsidR="00135B21" w:rsidRPr="00135B21" w:rsidRDefault="00A67E73" w:rsidP="00135B21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29A10211" wp14:editId="33A3E6B1">
            <wp:extent cx="6076950" cy="3429000"/>
            <wp:effectExtent l="0" t="0" r="0" b="0"/>
            <wp:docPr id="15" name="Graf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2AE509E7" w14:textId="7CC37448" w:rsidR="000532A5" w:rsidRPr="00135B21" w:rsidRDefault="00BA133F" w:rsidP="00135B21">
      <w:pPr>
        <w:spacing w:after="120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 (data o studentech), ČSÚ (data o populaci)</w:t>
      </w:r>
    </w:p>
    <w:p w14:paraId="2683CA34" w14:textId="482BFD49" w:rsidR="00BA133F" w:rsidRDefault="00BA133F" w:rsidP="00FC79BD">
      <w:pPr>
        <w:spacing w:after="120" w:line="276" w:lineRule="auto"/>
        <w:ind w:firstLine="284"/>
        <w:jc w:val="both"/>
      </w:pPr>
      <w:r>
        <w:t xml:space="preserve">Studenti se mohou vzdělávat v rámci </w:t>
      </w:r>
      <w:r w:rsidRPr="005A1DA6">
        <w:t>více studijních programů</w:t>
      </w:r>
      <w:r>
        <w:t xml:space="preserve">, z nichž nejvýše stojí </w:t>
      </w:r>
      <w:r w:rsidRPr="005A1DA6">
        <w:rPr>
          <w:b/>
        </w:rPr>
        <w:t>doktorský studijní program</w:t>
      </w:r>
      <w:r>
        <w:t>. Graf č. 8 ukazuje vývoj podílu studentů doktorského studijního programu mezi roky 2001,</w:t>
      </w:r>
      <w:r w:rsidR="003C7835">
        <w:t xml:space="preserve"> </w:t>
      </w:r>
      <w:r w:rsidR="0067624D">
        <w:t>2011 a 2021</w:t>
      </w:r>
      <w:r>
        <w:t xml:space="preserve"> dle bydliště studentů.  Jak je patrné, nejvýraznější vývoj v čase zaznamenal podíl doktorských studentů ze všech studentů </w:t>
      </w:r>
      <w:r w:rsidR="0067624D">
        <w:t>u skupiny bydlící</w:t>
      </w:r>
      <w:r>
        <w:t xml:space="preserve"> v zahraničí. Zatímco v roce 200</w:t>
      </w:r>
      <w:r w:rsidR="0067624D">
        <w:t>1 činil pouze 3,7 %, v roce 2011 to již bylo 8,1 % a v roce 2021</w:t>
      </w:r>
      <w:r>
        <w:t xml:space="preserve"> </w:t>
      </w:r>
      <w:r w:rsidR="00D53564">
        <w:t xml:space="preserve">více než </w:t>
      </w:r>
      <w:r w:rsidR="00BF76B8">
        <w:t>desetina (</w:t>
      </w:r>
      <w:r>
        <w:t>1</w:t>
      </w:r>
      <w:r w:rsidR="0067624D">
        <w:t>0,8</w:t>
      </w:r>
      <w:r w:rsidR="00BF76B8">
        <w:t> %</w:t>
      </w:r>
      <w:r w:rsidR="00010C86">
        <w:t>)</w:t>
      </w:r>
      <w:r w:rsidR="00BF76B8">
        <w:t xml:space="preserve">, což </w:t>
      </w:r>
      <w:r w:rsidR="0067624D">
        <w:t>je téměř o jeden procentní bod více</w:t>
      </w:r>
      <w:r w:rsidR="00BF76B8">
        <w:t xml:space="preserve"> než</w:t>
      </w:r>
      <w:r w:rsidR="0067624D">
        <w:t xml:space="preserve"> u </w:t>
      </w:r>
      <w:r w:rsidR="00F42C30">
        <w:t xml:space="preserve">studentů s trvalým </w:t>
      </w:r>
      <w:r w:rsidR="00B769EA">
        <w:t xml:space="preserve">bydlištěm </w:t>
      </w:r>
      <w:r w:rsidR="00BF76B8">
        <w:t>v Praze</w:t>
      </w:r>
      <w:r w:rsidR="00BC62C3">
        <w:t xml:space="preserve">. </w:t>
      </w:r>
      <w:r w:rsidR="00FC79BD">
        <w:t>Vezmeme-li v potaz, že m</w:t>
      </w:r>
      <w:r w:rsidR="0067624D">
        <w:t>ezi všemi studenty s trvalým bydlištěm v ČR byl podíl studentů doktorského st</w:t>
      </w:r>
      <w:r w:rsidR="00FC79BD">
        <w:t>udia v roce 2021 celkem 6,3 %, pak v krajském srovnání</w:t>
      </w:r>
      <w:r w:rsidR="00BC62C3">
        <w:t xml:space="preserve"> zaznamenal n</w:t>
      </w:r>
      <w:r>
        <w:t>adprůměrný podíl doktorských studentů ze vš</w:t>
      </w:r>
      <w:r w:rsidR="00F42C30">
        <w:t>ech vyso</w:t>
      </w:r>
      <w:r w:rsidR="0067624D">
        <w:t>koškolských studentů v roce 2021 kromě Prahy</w:t>
      </w:r>
      <w:r w:rsidR="00F42C30">
        <w:t xml:space="preserve"> </w:t>
      </w:r>
      <w:r w:rsidR="0067624D">
        <w:t xml:space="preserve">také </w:t>
      </w:r>
      <w:r w:rsidR="00BC62C3">
        <w:t>kraj Jihomoravský</w:t>
      </w:r>
      <w:r w:rsidR="0067624D">
        <w:t xml:space="preserve"> (7,7</w:t>
      </w:r>
      <w:r>
        <w:t> %)</w:t>
      </w:r>
      <w:r w:rsidR="00FC79BD">
        <w:t xml:space="preserve"> a Plzeňský (6,6 %). P</w:t>
      </w:r>
      <w:r w:rsidR="0067624D">
        <w:t>růměrného výsledku dosáhl kraj Olomoucký (6,4</w:t>
      </w:r>
      <w:r w:rsidR="00BC62C3">
        <w:t> %)</w:t>
      </w:r>
      <w:r>
        <w:t xml:space="preserve">. Naopak méně než 5% byl tento podíl v kraji Karlovarském </w:t>
      </w:r>
      <w:r w:rsidR="0067624D">
        <w:t>a Ústeckém (obojí 4,6</w:t>
      </w:r>
      <w:r w:rsidR="002E659F">
        <w:t> %) a na Vysočině (4,8</w:t>
      </w:r>
      <w:r>
        <w:t> %). Vzestup podílu doktorských studentů mezi studenty bydlící</w:t>
      </w:r>
      <w:r w:rsidR="0097122A">
        <w:t>mi</w:t>
      </w:r>
      <w:r>
        <w:t xml:space="preserve"> v zahraničí </w:t>
      </w:r>
      <w:r w:rsidR="00EB4697">
        <w:t xml:space="preserve"> v čase </w:t>
      </w:r>
      <w:r>
        <w:t xml:space="preserve">zároveň kontrastuje se situací v jednotlivých krajích v ČR. Ve všech </w:t>
      </w:r>
      <w:r w:rsidR="003D57CA">
        <w:t xml:space="preserve">krajích ČR </w:t>
      </w:r>
      <w:r>
        <w:t xml:space="preserve">došlo </w:t>
      </w:r>
      <w:r w:rsidR="002E659F">
        <w:t>mezi lety 2001 a 2021</w:t>
      </w:r>
      <w:r w:rsidR="003D57CA">
        <w:t xml:space="preserve"> </w:t>
      </w:r>
      <w:r>
        <w:t xml:space="preserve">do jisté míry naopak ke snížení tohoto podílu, </w:t>
      </w:r>
      <w:r w:rsidR="003D57CA">
        <w:t>zejména</w:t>
      </w:r>
      <w:r>
        <w:t xml:space="preserve"> v kraji </w:t>
      </w:r>
      <w:r w:rsidR="002E659F">
        <w:t>Pardubi</w:t>
      </w:r>
      <w:r>
        <w:t>ckém,</w:t>
      </w:r>
      <w:r w:rsidR="002E659F">
        <w:t xml:space="preserve"> Královéhradeckém a Středočeském,</w:t>
      </w:r>
      <w:r>
        <w:t xml:space="preserve"> a </w:t>
      </w:r>
      <w:r w:rsidR="00DE410C">
        <w:t>to bezmála o třetinu</w:t>
      </w:r>
      <w:r>
        <w:t>.</w:t>
      </w:r>
    </w:p>
    <w:p w14:paraId="453CCBA8" w14:textId="1C7FC1C8" w:rsidR="00C60C1E" w:rsidRDefault="00BA133F" w:rsidP="00C0570F">
      <w:pPr>
        <w:keepNext/>
        <w:spacing w:after="120"/>
        <w:jc w:val="both"/>
        <w:rPr>
          <w:b/>
        </w:rPr>
      </w:pPr>
      <w:r w:rsidRPr="0064659B">
        <w:rPr>
          <w:b/>
        </w:rPr>
        <w:lastRenderedPageBreak/>
        <w:t xml:space="preserve">Graf č. 8 </w:t>
      </w:r>
      <w:r w:rsidR="00FC79BD">
        <w:rPr>
          <w:b/>
        </w:rPr>
        <w:t>Studenti VŠ v ČR –</w:t>
      </w:r>
      <w:r w:rsidR="00EB4697">
        <w:rPr>
          <w:b/>
        </w:rPr>
        <w:t xml:space="preserve"> p</w:t>
      </w:r>
      <w:r w:rsidRPr="0064659B">
        <w:rPr>
          <w:b/>
        </w:rPr>
        <w:t xml:space="preserve">odíl studentů doktorského studia </w:t>
      </w:r>
      <w:r w:rsidR="00B769EA">
        <w:rPr>
          <w:b/>
        </w:rPr>
        <w:t xml:space="preserve">dle </w:t>
      </w:r>
      <w:r w:rsidR="00EB4697">
        <w:rPr>
          <w:b/>
        </w:rPr>
        <w:t>bydliště studenta</w:t>
      </w:r>
      <w:r w:rsidR="002E659F">
        <w:rPr>
          <w:b/>
        </w:rPr>
        <w:t xml:space="preserve"> (2001, 2011, 2021</w:t>
      </w:r>
      <w:r w:rsidRPr="0064659B">
        <w:rPr>
          <w:b/>
        </w:rPr>
        <w:t>)</w:t>
      </w:r>
    </w:p>
    <w:p w14:paraId="28F0EE14" w14:textId="11E8BDE9" w:rsidR="00BA133F" w:rsidRPr="0067624D" w:rsidRDefault="0067624D" w:rsidP="00C0570F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45E0A634" wp14:editId="5A19F4D7">
            <wp:extent cx="6120130" cy="3714750"/>
            <wp:effectExtent l="0" t="0" r="13970" b="0"/>
            <wp:docPr id="25" name="Graf 2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 w:rsidR="00C0570F">
        <w:rPr>
          <w:b/>
        </w:rPr>
        <w:t xml:space="preserve"> </w:t>
      </w:r>
    </w:p>
    <w:p w14:paraId="6111CEAB" w14:textId="77777777" w:rsidR="00BA133F" w:rsidRPr="00603134" w:rsidRDefault="00356276" w:rsidP="00603134">
      <w:pPr>
        <w:spacing w:line="276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373E0ED1" w14:textId="38B22AEF" w:rsidR="005D2DE7" w:rsidRDefault="00E14F97" w:rsidP="00FC79BD">
      <w:pPr>
        <w:spacing w:after="120" w:line="276" w:lineRule="auto"/>
        <w:ind w:firstLine="284"/>
        <w:jc w:val="both"/>
      </w:pPr>
      <w:r>
        <w:t xml:space="preserve">Studenti s trvalým bydlištěm v různých krajích či bydlící v zahraničí se mezi sebou </w:t>
      </w:r>
      <w:r w:rsidR="000576CC">
        <w:t>liší</w:t>
      </w:r>
      <w:r>
        <w:t xml:space="preserve"> ve </w:t>
      </w:r>
      <w:r w:rsidRPr="008379B8">
        <w:rPr>
          <w:b/>
        </w:rPr>
        <w:t>výběru oborů studia</w:t>
      </w:r>
      <w:r w:rsidR="00CF2AE3">
        <w:rPr>
          <w:b/>
        </w:rPr>
        <w:t xml:space="preserve"> </w:t>
      </w:r>
      <w:r w:rsidR="00CF2AE3" w:rsidRPr="00CF2AE3">
        <w:t>(viz tabulku č. 8</w:t>
      </w:r>
      <w:r w:rsidR="00CF2AE3">
        <w:t xml:space="preserve"> níže</w:t>
      </w:r>
      <w:r w:rsidR="00CF2AE3" w:rsidRPr="00CF2AE3">
        <w:t>)</w:t>
      </w:r>
      <w:r>
        <w:t xml:space="preserve">. Zde lze poznamenat, že studenti </w:t>
      </w:r>
      <w:r w:rsidRPr="000B460D">
        <w:rPr>
          <w:b/>
          <w:i/>
        </w:rPr>
        <w:t>z Prahy</w:t>
      </w:r>
      <w:r>
        <w:t xml:space="preserve"> zaznamenali ze všech krajů největší zájem o obory ze skupiny oborů </w:t>
      </w:r>
      <w:r w:rsidRPr="000B460D">
        <w:t>Umě</w:t>
      </w:r>
      <w:r w:rsidR="003C0245">
        <w:t>ní a humanitní vědy (v roce 2021 je studovalo 13,1</w:t>
      </w:r>
      <w:r w:rsidRPr="000B460D">
        <w:t xml:space="preserve"> % studentů </w:t>
      </w:r>
      <w:r>
        <w:t>vysokých škol s trvalým bydlištěm</w:t>
      </w:r>
      <w:r w:rsidRPr="000B460D">
        <w:t xml:space="preserve"> v Praze), dále ze skupiny oborů Společenské vědy, žurnalistika a informační vědy (13,4 %) a ze skupiny oborů Obch</w:t>
      </w:r>
      <w:r w:rsidR="00924873">
        <w:t>od, administrativa a právo (24,1</w:t>
      </w:r>
      <w:r w:rsidRPr="000B460D">
        <w:t> %). Studenti s</w:t>
      </w:r>
      <w:r>
        <w:t> trvalým bydlištěm</w:t>
      </w:r>
      <w:r w:rsidRPr="000B460D">
        <w:t xml:space="preserve"> </w:t>
      </w:r>
      <w:r w:rsidRPr="000B460D">
        <w:rPr>
          <w:b/>
          <w:i/>
        </w:rPr>
        <w:t>v Olomouckém a Zlínském kraji</w:t>
      </w:r>
      <w:r w:rsidRPr="000B460D">
        <w:t xml:space="preserve"> si zase ze všech krajů nejčastěji vyb</w:t>
      </w:r>
      <w:r>
        <w:t>í</w:t>
      </w:r>
      <w:r w:rsidRPr="000B460D">
        <w:t xml:space="preserve">rali obor ze </w:t>
      </w:r>
      <w:r w:rsidR="00924873">
        <w:t xml:space="preserve">skupiny </w:t>
      </w:r>
      <w:r w:rsidR="005D2DE7">
        <w:t xml:space="preserve">oborů </w:t>
      </w:r>
      <w:r w:rsidR="00924873">
        <w:t>Vzdělávání a výchova (18,2 %, resp. 17,5</w:t>
      </w:r>
      <w:r w:rsidRPr="000B460D">
        <w:t> %). Student</w:t>
      </w:r>
      <w:r>
        <w:t>i bydlící ve Zlínském kraji zároveň</w:t>
      </w:r>
      <w:r w:rsidRPr="000B460D">
        <w:t xml:space="preserve"> ze všech</w:t>
      </w:r>
      <w:r>
        <w:t xml:space="preserve"> krajů v největší míře inklinovali</w:t>
      </w:r>
      <w:r w:rsidRPr="000B460D">
        <w:t xml:space="preserve"> k oborům ze skupiny Technika, </w:t>
      </w:r>
      <w:r w:rsidR="00924873">
        <w:t>výroba a stavebnictví (1</w:t>
      </w:r>
      <w:r>
        <w:t xml:space="preserve">6 %). </w:t>
      </w:r>
    </w:p>
    <w:p w14:paraId="6FD0C530" w14:textId="6FBCF214" w:rsidR="005D2DE7" w:rsidRDefault="00096CBF" w:rsidP="00FC79BD">
      <w:pPr>
        <w:spacing w:after="120" w:line="276" w:lineRule="auto"/>
        <w:ind w:firstLine="284"/>
        <w:jc w:val="both"/>
      </w:pPr>
      <w:r w:rsidRPr="000B460D">
        <w:t xml:space="preserve">Mezi studenty bydlícími </w:t>
      </w:r>
      <w:r w:rsidRPr="000B460D">
        <w:rPr>
          <w:b/>
          <w:i/>
        </w:rPr>
        <w:t>v zahraničí</w:t>
      </w:r>
      <w:r w:rsidRPr="000B460D">
        <w:t xml:space="preserve"> pak byl ze všech krajů nejvyšší podíl studujících </w:t>
      </w:r>
      <w:r>
        <w:t xml:space="preserve">některý z oborů náležejících do skupin </w:t>
      </w:r>
      <w:r w:rsidRPr="000B460D">
        <w:t>P</w:t>
      </w:r>
      <w:r>
        <w:t>řírodní vědy, matematika a statistika (10,1</w:t>
      </w:r>
      <w:r w:rsidRPr="000B460D">
        <w:t> %), Informační</w:t>
      </w:r>
      <w:r>
        <w:t xml:space="preserve"> a komunikační technologie (13,5</w:t>
      </w:r>
      <w:r w:rsidRPr="000B460D">
        <w:t> %</w:t>
      </w:r>
      <w:r>
        <w:t>)</w:t>
      </w:r>
      <w:r w:rsidRPr="00096CBF">
        <w:t xml:space="preserve"> </w:t>
      </w:r>
      <w:r w:rsidRPr="000B460D">
        <w:t>a Zd</w:t>
      </w:r>
      <w:r>
        <w:t>ravotní a sociální péče, péče</w:t>
      </w:r>
      <w:r w:rsidRPr="000B460D">
        <w:t xml:space="preserve"> o</w:t>
      </w:r>
      <w:r>
        <w:t> příznivé životní podmínky (17,9</w:t>
      </w:r>
      <w:r w:rsidRPr="000B460D">
        <w:t> %</w:t>
      </w:r>
      <w:r>
        <w:t xml:space="preserve">). </w:t>
      </w:r>
      <w:r w:rsidR="005D2DE7" w:rsidRPr="005D2DE7">
        <w:rPr>
          <w:b/>
          <w:i/>
        </w:rPr>
        <w:t>Z krajů v ČR</w:t>
      </w:r>
      <w:r w:rsidR="005D2DE7">
        <w:t xml:space="preserve"> zaznamenal nejvyšší podíl studentů oborů ze skupiny </w:t>
      </w:r>
      <w:r w:rsidR="005D2DE7" w:rsidRPr="005D2DE7">
        <w:t>Přírodní vědy, matematika a statistika</w:t>
      </w:r>
      <w:r w:rsidR="005D2DE7">
        <w:t xml:space="preserve"> kraj Karlovarský (9 %) a Ústecký (8,7 %), ze skupiny oborů Informační a komunikační technologie kraj Královéhradecký (7,9 %) a Pardubický (7,5 %) a ze skupiny Zdravotní a sociální péče kraj Jihočeský (15,3 %). </w:t>
      </w:r>
    </w:p>
    <w:p w14:paraId="20ED879B" w14:textId="774B9AFA" w:rsidR="00E14F97" w:rsidRDefault="00096CBF" w:rsidP="00FC79BD">
      <w:pPr>
        <w:spacing w:after="120" w:line="276" w:lineRule="auto"/>
        <w:ind w:firstLine="284"/>
        <w:jc w:val="both"/>
      </w:pPr>
      <w:r w:rsidRPr="000B460D">
        <w:t>Obory ze skupiny oborů Zemědělství, lesnictví, rybářství a veterinářství si ze všech krajů nejčastěji vybírali studenti bydlící v </w:t>
      </w:r>
      <w:r w:rsidRPr="000B460D">
        <w:rPr>
          <w:b/>
          <w:i/>
        </w:rPr>
        <w:t>Jihočeském kraji</w:t>
      </w:r>
      <w:r>
        <w:t xml:space="preserve"> (5,8 %). Nakonec obory ze skupiny Služeb si ze všech skupin nejčastěji volili studenti z </w:t>
      </w:r>
      <w:r w:rsidRPr="00096CBF">
        <w:rPr>
          <w:b/>
          <w:i/>
        </w:rPr>
        <w:t>Karlovarského kraje</w:t>
      </w:r>
      <w:r>
        <w:t xml:space="preserve"> (7,8 %).</w:t>
      </w:r>
    </w:p>
    <w:p w14:paraId="4CFA6D2E" w14:textId="4A1D8216" w:rsidR="00924873" w:rsidRDefault="001A3D80" w:rsidP="00134B0D">
      <w:pPr>
        <w:keepNext/>
        <w:spacing w:after="120" w:line="276" w:lineRule="auto"/>
        <w:jc w:val="both"/>
        <w:rPr>
          <w:b/>
        </w:rPr>
      </w:pPr>
      <w:r>
        <w:rPr>
          <w:b/>
        </w:rPr>
        <w:lastRenderedPageBreak/>
        <w:t>Tabulka č. 8</w:t>
      </w:r>
      <w:r w:rsidR="004509BE" w:rsidRPr="004509BE">
        <w:rPr>
          <w:b/>
        </w:rPr>
        <w:t xml:space="preserve"> </w:t>
      </w:r>
      <w:r w:rsidR="000576CC">
        <w:rPr>
          <w:b/>
        </w:rPr>
        <w:t>Studenti VŠ v ČR –</w:t>
      </w:r>
      <w:r>
        <w:rPr>
          <w:b/>
        </w:rPr>
        <w:t xml:space="preserve"> </w:t>
      </w:r>
      <w:r w:rsidR="000576CC">
        <w:rPr>
          <w:b/>
        </w:rPr>
        <w:t>r</w:t>
      </w:r>
      <w:r w:rsidR="004509BE" w:rsidRPr="004509BE">
        <w:rPr>
          <w:b/>
        </w:rPr>
        <w:t xml:space="preserve">ozložení studentů </w:t>
      </w:r>
      <w:r w:rsidR="00D21DBA">
        <w:rPr>
          <w:b/>
        </w:rPr>
        <w:t xml:space="preserve">s trvalým </w:t>
      </w:r>
      <w:r w:rsidR="00B769EA">
        <w:rPr>
          <w:b/>
        </w:rPr>
        <w:t>bydlištěm</w:t>
      </w:r>
      <w:r w:rsidR="00B769EA" w:rsidRPr="004509BE">
        <w:rPr>
          <w:b/>
        </w:rPr>
        <w:t xml:space="preserve"> </w:t>
      </w:r>
      <w:r w:rsidR="004509BE" w:rsidRPr="004509BE">
        <w:rPr>
          <w:b/>
        </w:rPr>
        <w:t xml:space="preserve">v jednotlivých krajích a </w:t>
      </w:r>
      <w:r w:rsidR="00D21DBA">
        <w:rPr>
          <w:b/>
        </w:rPr>
        <w:t xml:space="preserve">bydlících </w:t>
      </w:r>
      <w:r w:rsidR="004509BE" w:rsidRPr="004509BE">
        <w:rPr>
          <w:b/>
        </w:rPr>
        <w:t>v zahraničí do sk</w:t>
      </w:r>
      <w:r w:rsidR="003C0245">
        <w:rPr>
          <w:b/>
        </w:rPr>
        <w:t>upin oborů vzdělávání (v %; 2021</w:t>
      </w:r>
      <w:r w:rsidR="004509BE" w:rsidRPr="004509BE">
        <w:rPr>
          <w:b/>
        </w:rPr>
        <w:t>)</w:t>
      </w:r>
    </w:p>
    <w:tbl>
      <w:tblPr>
        <w:tblW w:w="9639" w:type="dxa"/>
        <w:tblInd w:w="-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00"/>
        <w:gridCol w:w="743"/>
        <w:gridCol w:w="744"/>
        <w:gridCol w:w="744"/>
        <w:gridCol w:w="744"/>
        <w:gridCol w:w="744"/>
        <w:gridCol w:w="744"/>
        <w:gridCol w:w="744"/>
        <w:gridCol w:w="744"/>
        <w:gridCol w:w="744"/>
        <w:gridCol w:w="744"/>
      </w:tblGrid>
      <w:tr w:rsidR="00924873" w:rsidRPr="00924873" w14:paraId="52CC302F" w14:textId="77777777" w:rsidTr="00E86917">
        <w:trPr>
          <w:trHeight w:val="1665"/>
        </w:trPr>
        <w:tc>
          <w:tcPr>
            <w:tcW w:w="22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vAlign w:val="center"/>
            <w:hideMark/>
          </w:tcPr>
          <w:p w14:paraId="7F46266B" w14:textId="77777777" w:rsidR="00924873" w:rsidRPr="00924873" w:rsidRDefault="00924873" w:rsidP="00924873">
            <w:pPr>
              <w:keepNext/>
              <w:spacing w:after="0" w:line="240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 xml:space="preserve">Skupina oborů </w:t>
            </w: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br/>
              <w:t>dle ISCED F-2013</w:t>
            </w:r>
          </w:p>
        </w:tc>
        <w:tc>
          <w:tcPr>
            <w:tcW w:w="7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413CCBD6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Vzdělávání a výchova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5464990C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Umění a humanitní vědy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3250461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Společenské vědy, žurnalistika a informační vědy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4C9CB272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Obchod, administrativa a právo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3276A91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Přírodní vědy, matematika a statistika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D40A900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Informační a komunikační technologie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4A024D8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Technika, výroba a stavebnictví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EB21CA8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Zemědělství, lesnictví, rybářství a veterinářství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6202169F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Zdravotní a sociální péče, péče o příznivé životní podmínky</w:t>
            </w:r>
          </w:p>
        </w:tc>
        <w:tc>
          <w:tcPr>
            <w:tcW w:w="7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2A8D9A"/>
            <w:textDirection w:val="btLr"/>
            <w:vAlign w:val="center"/>
            <w:hideMark/>
          </w:tcPr>
          <w:p w14:paraId="052AB771" w14:textId="77777777" w:rsidR="00924873" w:rsidRPr="00924873" w:rsidRDefault="00924873" w:rsidP="00924873">
            <w:pPr>
              <w:keepNext/>
              <w:spacing w:after="0" w:line="240" w:lineRule="auto"/>
              <w:ind w:left="57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FFFFFF"/>
                <w:sz w:val="18"/>
                <w:szCs w:val="18"/>
              </w:rPr>
              <w:t>Služby</w:t>
            </w:r>
          </w:p>
        </w:tc>
      </w:tr>
      <w:tr w:rsidR="00924873" w:rsidRPr="00924873" w14:paraId="753FE074" w14:textId="77777777" w:rsidTr="00E86917">
        <w:trPr>
          <w:trHeight w:val="600"/>
        </w:trPr>
        <w:tc>
          <w:tcPr>
            <w:tcW w:w="22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615582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1A65A4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A49E0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0F59B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CB3658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F08B30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187347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0B1F2C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78D2F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B038BD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7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7D7D61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</w:p>
        </w:tc>
      </w:tr>
      <w:tr w:rsidR="00924873" w:rsidRPr="00924873" w14:paraId="0B2435BD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2C9D6" w14:textId="77777777" w:rsidR="00924873" w:rsidRPr="00924873" w:rsidRDefault="00924873" w:rsidP="00924873">
            <w:pPr>
              <w:keepNext/>
              <w:spacing w:after="0" w:line="240" w:lineRule="auto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Celkem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55EEC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658E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7D857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6D1A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57A7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8D53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7931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42BCD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4262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48850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5,3</w:t>
            </w:r>
          </w:p>
        </w:tc>
      </w:tr>
      <w:tr w:rsidR="00924873" w:rsidRPr="00924873" w14:paraId="38FC7633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E3F1F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Hl. m. Praha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849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E5DFC0E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069B7197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46172CB" w14:textId="77777777" w:rsidR="00924873" w:rsidRPr="001D5777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24,1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D8D6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A71A2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05A289A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9,4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87BC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 w:themeFill="background1" w:themeFillShade="80"/>
            <w:noWrap/>
            <w:vAlign w:val="center"/>
            <w:hideMark/>
          </w:tcPr>
          <w:p w14:paraId="3D6335A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06371D">
              <w:rPr>
                <w:rFonts w:cs="Arial"/>
                <w:color w:val="FFFFFF" w:themeColor="background1"/>
                <w:sz w:val="18"/>
                <w:szCs w:val="18"/>
              </w:rPr>
              <w:t>9,8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F1D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5,6</w:t>
            </w:r>
          </w:p>
        </w:tc>
      </w:tr>
      <w:tr w:rsidR="00924873" w:rsidRPr="00924873" w14:paraId="72B11C3E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F5F97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Středočeský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12EE4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B41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2EF22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0CB66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D9CE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81D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E21F0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9C3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691D9E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9,8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21A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7,4</w:t>
            </w:r>
          </w:p>
        </w:tc>
      </w:tr>
      <w:tr w:rsidR="00924873" w:rsidRPr="00924873" w14:paraId="55DB37D2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955E74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Jihočeský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393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80F23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3DD8C59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08EF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23,0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874A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071A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5E47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2A2ABBA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5,8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D59B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17CB3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5,7</w:t>
            </w:r>
          </w:p>
        </w:tc>
      </w:tr>
      <w:tr w:rsidR="00924873" w:rsidRPr="00924873" w14:paraId="4AAEA3BC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F95A64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Plzeňský kraj 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D85C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AF6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43F92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75F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22,5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EDAF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7543BD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4,3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74AF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3CC9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D3F3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EB97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4,1</w:t>
            </w:r>
          </w:p>
        </w:tc>
      </w:tr>
      <w:tr w:rsidR="00924873" w:rsidRPr="00924873" w14:paraId="478DC48C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CC4D6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Karlovarský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C1FD5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2026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76C14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1DC6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21,4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1D8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DBC1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A4E2D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040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2F6B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012019E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7,8</w:t>
            </w:r>
          </w:p>
        </w:tc>
      </w:tr>
      <w:tr w:rsidR="00924873" w:rsidRPr="00924873" w14:paraId="1CFE7A69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A19B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 xml:space="preserve">Ústecký kraj 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91A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639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4A66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055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18,1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7181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2B17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F4E4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5A6DE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62F2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B998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</w:tr>
      <w:tr w:rsidR="00924873" w:rsidRPr="00924873" w14:paraId="0CFC7D13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AACCDB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Liberecký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1EF0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C015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8B3A1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18BD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21,1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F2D2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4B7F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172F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536F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A80A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6D8E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4,7</w:t>
            </w:r>
          </w:p>
        </w:tc>
      </w:tr>
      <w:tr w:rsidR="00924873" w:rsidRPr="00924873" w14:paraId="0E4D8B18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57033D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Královéhradecký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423F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558C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ACC40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84D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E7957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5CF5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4CE1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3907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AEB8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B0F0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4,9</w:t>
            </w:r>
          </w:p>
        </w:tc>
      </w:tr>
      <w:tr w:rsidR="00924873" w:rsidRPr="00924873" w14:paraId="37E3273A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DDC6A0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Pardubický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9B6B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3C5C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48273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4FF0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7D90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CB6B5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1A123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8FD3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6831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12,3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EFE2F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6,5</w:t>
            </w:r>
          </w:p>
        </w:tc>
      </w:tr>
      <w:tr w:rsidR="00924873" w:rsidRPr="00924873" w14:paraId="5F373B3F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49B76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Vysočina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CCAF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55F3626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13399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497A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19,1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88B37E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5,2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EBE54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8425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4EF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98A9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5B46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6,3</w:t>
            </w:r>
          </w:p>
        </w:tc>
      </w:tr>
      <w:tr w:rsidR="00924873" w:rsidRPr="00924873" w14:paraId="58562EE5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E8B993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Jihomoravský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24268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5DE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78BD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C16D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D3F86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ECCB1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3875D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14,7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CB6C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CDDB8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C6B1F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5,2</w:t>
            </w:r>
          </w:p>
        </w:tc>
      </w:tr>
      <w:tr w:rsidR="00924873" w:rsidRPr="00924873" w14:paraId="5DA89058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51EE97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Olomoucký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B3B0A2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18,2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2027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47553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64B5EDE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16,7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74C7C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201539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DB0AF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F9438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60C1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A05A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6,9</w:t>
            </w:r>
          </w:p>
        </w:tc>
      </w:tr>
      <w:tr w:rsidR="00924873" w:rsidRPr="00924873" w14:paraId="652884F4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B65949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Zlínský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C0CC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17,5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2FE2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6D833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0061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18,9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7494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3BC7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4DB191CB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16,0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308EA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9CFA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F061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6,3</w:t>
            </w:r>
          </w:p>
        </w:tc>
      </w:tr>
      <w:tr w:rsidR="00924873" w:rsidRPr="00924873" w14:paraId="69565E8C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81691E" w14:textId="77777777" w:rsidR="00924873" w:rsidRPr="00924873" w:rsidRDefault="00924873" w:rsidP="00924873">
            <w:pPr>
              <w:keepNext/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Moravskoslezský kraj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A93FE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C46E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9A8CC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8,4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D6484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19,2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D5DD96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7,1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2C830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6,6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E6CDA7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15,1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466C4EF1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1D5422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13,8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17B5D" w14:textId="77777777" w:rsidR="00924873" w:rsidRPr="00924873" w:rsidRDefault="00924873" w:rsidP="00924873">
            <w:pPr>
              <w:keepNext/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5,5</w:t>
            </w:r>
          </w:p>
        </w:tc>
      </w:tr>
      <w:tr w:rsidR="00924873" w:rsidRPr="00924873" w14:paraId="2D437CB0" w14:textId="77777777" w:rsidTr="00796BEA">
        <w:trPr>
          <w:trHeight w:val="307"/>
        </w:trPr>
        <w:tc>
          <w:tcPr>
            <w:tcW w:w="22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610CE" w14:textId="77777777" w:rsidR="00924873" w:rsidRPr="00924873" w:rsidRDefault="00924873" w:rsidP="00924873">
            <w:pPr>
              <w:spacing w:after="0" w:line="240" w:lineRule="auto"/>
              <w:ind w:firstLineChars="100" w:firstLine="181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b/>
                <w:bCs/>
                <w:color w:val="000000"/>
                <w:sz w:val="18"/>
                <w:szCs w:val="18"/>
              </w:rPr>
              <w:t>bydlí v zahraničí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96F708D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1,5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3D9029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9,3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064E9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10,7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C2DB1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20,2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2319A1F" w14:textId="77777777" w:rsidR="00924873" w:rsidRPr="001D5777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10,1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13F2614B" w14:textId="77777777" w:rsidR="00924873" w:rsidRPr="001D5777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13,5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8B3F67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11,3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0C455B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000000"/>
                <w:sz w:val="18"/>
                <w:szCs w:val="18"/>
              </w:rPr>
            </w:pPr>
            <w:r w:rsidRPr="00924873">
              <w:rPr>
                <w:rFonts w:cs="Arial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76923C" w:themeFill="accent3" w:themeFillShade="BF"/>
            <w:noWrap/>
            <w:vAlign w:val="center"/>
            <w:hideMark/>
          </w:tcPr>
          <w:p w14:paraId="5ACDA653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 w:val="18"/>
                <w:szCs w:val="18"/>
              </w:rPr>
            </w:pPr>
            <w:r w:rsidRPr="001D5777">
              <w:rPr>
                <w:rFonts w:cs="Arial"/>
                <w:b/>
                <w:bCs/>
                <w:color w:val="FFFFFF" w:themeColor="background1"/>
                <w:sz w:val="18"/>
                <w:szCs w:val="18"/>
              </w:rPr>
              <w:t>17,9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808080"/>
            <w:noWrap/>
            <w:vAlign w:val="center"/>
            <w:hideMark/>
          </w:tcPr>
          <w:p w14:paraId="1E729825" w14:textId="77777777" w:rsidR="00924873" w:rsidRPr="00924873" w:rsidRDefault="00924873" w:rsidP="00924873">
            <w:pPr>
              <w:spacing w:after="0" w:line="240" w:lineRule="auto"/>
              <w:jc w:val="right"/>
              <w:rPr>
                <w:rFonts w:cs="Arial"/>
                <w:color w:val="FFFFFF"/>
                <w:sz w:val="18"/>
                <w:szCs w:val="18"/>
              </w:rPr>
            </w:pPr>
            <w:r w:rsidRPr="00924873">
              <w:rPr>
                <w:rFonts w:cs="Arial"/>
                <w:color w:val="FFFFFF"/>
                <w:sz w:val="18"/>
                <w:szCs w:val="18"/>
              </w:rPr>
              <w:t>3,0</w:t>
            </w:r>
          </w:p>
        </w:tc>
      </w:tr>
    </w:tbl>
    <w:p w14:paraId="06738E4F" w14:textId="0C109B77" w:rsidR="004509BE" w:rsidRDefault="004509BE" w:rsidP="00AC5B96">
      <w:pPr>
        <w:spacing w:after="0" w:line="240" w:lineRule="auto"/>
        <w:jc w:val="both"/>
        <w:rPr>
          <w:b/>
        </w:rPr>
      </w:pPr>
    </w:p>
    <w:p w14:paraId="1A272127" w14:textId="77777777" w:rsidR="00BA133F" w:rsidRPr="00603134" w:rsidRDefault="00BA133F" w:rsidP="00AC5B96">
      <w:pPr>
        <w:spacing w:after="120" w:line="240" w:lineRule="auto"/>
        <w:jc w:val="both"/>
        <w:rPr>
          <w:i/>
          <w:sz w:val="18"/>
          <w:szCs w:val="18"/>
        </w:rPr>
      </w:pPr>
      <w:r w:rsidRPr="00603134">
        <w:rPr>
          <w:i/>
          <w:sz w:val="18"/>
          <w:szCs w:val="18"/>
        </w:rPr>
        <w:t>Pozn. Součty procent za jednotlivé řádky nemusejí být rovny 100, neboť jeden student může studovat více oborů, resp. z více skupin oborů. V každém sloupci (tj. za každou skupinu oborů) je vyznačena maximální a minimální hodnota.</w:t>
      </w:r>
    </w:p>
    <w:p w14:paraId="6A2F8E56" w14:textId="77777777" w:rsidR="00BA133F" w:rsidRPr="00603134" w:rsidRDefault="00BA133F" w:rsidP="00AC5B96">
      <w:pPr>
        <w:spacing w:after="120" w:line="240" w:lineRule="auto"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3D7469C9" w14:textId="77777777" w:rsidR="00BA133F" w:rsidRPr="007231CC" w:rsidRDefault="00BA133F" w:rsidP="004509BE">
      <w:pPr>
        <w:spacing w:after="120"/>
        <w:jc w:val="right"/>
        <w:rPr>
          <w:szCs w:val="20"/>
        </w:rPr>
      </w:pPr>
    </w:p>
    <w:p w14:paraId="360B171E" w14:textId="0D8A8560" w:rsidR="00BA133F" w:rsidRPr="00BC0E20" w:rsidRDefault="00BA133F" w:rsidP="00B043F7">
      <w:pPr>
        <w:pStyle w:val="Nadpis1"/>
      </w:pPr>
      <w:bookmarkStart w:id="11" w:name="_Toc103080344"/>
      <w:r w:rsidRPr="00BC0E20">
        <w:t>A</w:t>
      </w:r>
      <w:r w:rsidR="00B043F7">
        <w:t>nalýza</w:t>
      </w:r>
      <w:r w:rsidR="009076C1">
        <w:t xml:space="preserve">, </w:t>
      </w:r>
      <w:r w:rsidR="00333F7F">
        <w:t>část</w:t>
      </w:r>
      <w:r w:rsidR="009076C1">
        <w:t xml:space="preserve"> B</w:t>
      </w:r>
      <w:r w:rsidR="00B043F7">
        <w:t>: a</w:t>
      </w:r>
      <w:r w:rsidRPr="00BC0E20">
        <w:t xml:space="preserve">bsolventi </w:t>
      </w:r>
      <w:r w:rsidR="00333F7F">
        <w:t>vysokých škol v ČR</w:t>
      </w:r>
      <w:bookmarkEnd w:id="11"/>
    </w:p>
    <w:p w14:paraId="62829E3B" w14:textId="77777777" w:rsidR="00BA133F" w:rsidRDefault="00BA133F" w:rsidP="00BA133F">
      <w:pPr>
        <w:keepNext/>
        <w:spacing w:after="120" w:line="276" w:lineRule="auto"/>
        <w:jc w:val="both"/>
      </w:pPr>
    </w:p>
    <w:p w14:paraId="3D70CD8A" w14:textId="58063814" w:rsidR="00776344" w:rsidRDefault="0058401F" w:rsidP="002D0547">
      <w:pPr>
        <w:spacing w:after="120"/>
        <w:ind w:firstLine="284"/>
        <w:jc w:val="both"/>
      </w:pPr>
      <w:r>
        <w:t>Výše se analýza podrobněji věnovala studentům veřejných a soukromých vysokých škol. V poslední části proto již jen ve stručnosti představíme základní údaje o absolventech</w:t>
      </w:r>
      <w:r w:rsidR="00CD2044">
        <w:t xml:space="preserve"> těchto škol</w:t>
      </w:r>
      <w:r>
        <w:t xml:space="preserve">. </w:t>
      </w:r>
      <w:r w:rsidR="00B853FE">
        <w:t>Jak již bylo řečeno v úvodu této publikace, v</w:t>
      </w:r>
      <w:r w:rsidR="00776344">
        <w:t xml:space="preserve">edle veřejných a soukromých vysokých škol patří do </w:t>
      </w:r>
      <w:r w:rsidR="002D0547">
        <w:t xml:space="preserve">systému </w:t>
      </w:r>
      <w:r w:rsidR="00776344">
        <w:t xml:space="preserve">vysokoškolského vzdělávání v České republice také </w:t>
      </w:r>
      <w:r w:rsidR="00B853FE">
        <w:t xml:space="preserve">dvě </w:t>
      </w:r>
      <w:r w:rsidR="002D0547">
        <w:t>státní vysoké</w:t>
      </w:r>
      <w:r w:rsidR="00776344">
        <w:t xml:space="preserve"> škol</w:t>
      </w:r>
      <w:r w:rsidR="002D0547">
        <w:t xml:space="preserve">y. Absolventi státních </w:t>
      </w:r>
      <w:r w:rsidR="008705B8">
        <w:t xml:space="preserve">vysokých </w:t>
      </w:r>
      <w:r w:rsidR="002D0547">
        <w:t xml:space="preserve">škol </w:t>
      </w:r>
      <w:r w:rsidR="008705B8">
        <w:t>jsou však vykazováni odděleně od studentů veřejných a soukromých vysokých škol a</w:t>
      </w:r>
      <w:r w:rsidR="002D0547">
        <w:t xml:space="preserve"> v roce </w:t>
      </w:r>
      <w:r w:rsidR="004F6E6F">
        <w:t>2021</w:t>
      </w:r>
      <w:r w:rsidR="00776344">
        <w:t xml:space="preserve"> </w:t>
      </w:r>
      <w:r w:rsidR="008705B8">
        <w:t xml:space="preserve">tvořili </w:t>
      </w:r>
      <w:r w:rsidR="00776344" w:rsidRPr="007E0FF5">
        <w:t xml:space="preserve">jen </w:t>
      </w:r>
      <w:r w:rsidR="007E0FF5" w:rsidRPr="007E0FF5">
        <w:t>1,5</w:t>
      </w:r>
      <w:r w:rsidR="00776344" w:rsidRPr="007E0FF5">
        <w:t>% podíl</w:t>
      </w:r>
      <w:r w:rsidR="00776344">
        <w:t xml:space="preserve"> všech </w:t>
      </w:r>
      <w:r w:rsidR="002D0547">
        <w:t>absolventů vysokých škol</w:t>
      </w:r>
      <w:r w:rsidR="008705B8">
        <w:t xml:space="preserve"> v České republice. </w:t>
      </w:r>
      <w:r w:rsidR="00776344">
        <w:t xml:space="preserve">Dále v této kapitole budeme proto </w:t>
      </w:r>
      <w:r w:rsidR="002D0547">
        <w:t>absolv</w:t>
      </w:r>
      <w:r w:rsidR="00776344">
        <w:t xml:space="preserve">enty </w:t>
      </w:r>
      <w:r w:rsidR="00776344" w:rsidRPr="00225215">
        <w:t>veřejných a soukromých vysokých škol</w:t>
      </w:r>
      <w:r w:rsidR="00776344">
        <w:t xml:space="preserve"> nazývat pro zjednodušení </w:t>
      </w:r>
      <w:r w:rsidR="008705B8">
        <w:t xml:space="preserve">obecně </w:t>
      </w:r>
      <w:r w:rsidR="002D0547" w:rsidRPr="008705B8">
        <w:rPr>
          <w:i/>
        </w:rPr>
        <w:t>absolventy</w:t>
      </w:r>
      <w:r w:rsidR="00776344" w:rsidRPr="008705B8">
        <w:rPr>
          <w:i/>
        </w:rPr>
        <w:t xml:space="preserve"> vysokých škol</w:t>
      </w:r>
      <w:r w:rsidR="00776344">
        <w:t>.</w:t>
      </w:r>
    </w:p>
    <w:p w14:paraId="57387EA6" w14:textId="6DC56519" w:rsidR="0058401F" w:rsidRPr="0058401F" w:rsidRDefault="0058401F" w:rsidP="001C1F9D">
      <w:pPr>
        <w:spacing w:after="120"/>
        <w:ind w:firstLine="284"/>
        <w:jc w:val="both"/>
      </w:pPr>
      <w:r>
        <w:t xml:space="preserve">Nejprve nastíníme </w:t>
      </w:r>
      <w:r w:rsidRPr="00E664E5">
        <w:rPr>
          <w:b/>
        </w:rPr>
        <w:t>vývoj počtu absolventů v čase</w:t>
      </w:r>
      <w:r>
        <w:t xml:space="preserve"> s uvedením podílu žen a cizinců, poté uvedeme podíly absolventů </w:t>
      </w:r>
      <w:r w:rsidRPr="00E664E5">
        <w:rPr>
          <w:b/>
        </w:rPr>
        <w:t>s různou úrovní dosaženého vzdělání</w:t>
      </w:r>
      <w:r>
        <w:t xml:space="preserve"> ze všec</w:t>
      </w:r>
      <w:r w:rsidR="004F6E6F">
        <w:t>h absolventů v letech 2001, 2006, 2011, 2016 a 2021</w:t>
      </w:r>
      <w:r>
        <w:t xml:space="preserve"> a nakonec </w:t>
      </w:r>
      <w:r w:rsidRPr="0058401F">
        <w:t xml:space="preserve">se budeme věnovat počtům absolventů </w:t>
      </w:r>
      <w:r w:rsidRPr="00E664E5">
        <w:rPr>
          <w:b/>
        </w:rPr>
        <w:t>různých skupin oborů</w:t>
      </w:r>
      <w:r w:rsidR="004F6E6F">
        <w:t xml:space="preserve"> vzdělání v letech 2001, 2011 a 2021</w:t>
      </w:r>
      <w:r w:rsidRPr="0058401F">
        <w:t>.</w:t>
      </w:r>
      <w:r w:rsidR="00486AC5">
        <w:t xml:space="preserve"> Pro podrobnější data odkazujeme na tabulkovou část této publikace, příp. na databázi </w:t>
      </w:r>
      <w:r w:rsidR="00486AC5">
        <w:rPr>
          <w:rFonts w:eastAsia="Calibri" w:cs="Arial"/>
          <w:color w:val="000000"/>
          <w:szCs w:val="20"/>
          <w:lang w:eastAsia="en-US"/>
        </w:rPr>
        <w:t xml:space="preserve">MŠMT </w:t>
      </w:r>
      <w:r w:rsidR="00B45D48">
        <w:rPr>
          <w:rFonts w:eastAsia="Calibri" w:cs="Arial"/>
          <w:color w:val="000000"/>
          <w:szCs w:val="20"/>
          <w:lang w:eastAsia="en-US"/>
        </w:rPr>
        <w:t>(pro odkaz viz úvod této publikace).</w:t>
      </w:r>
    </w:p>
    <w:p w14:paraId="467DDC68" w14:textId="2C18BFCC" w:rsidR="00A67415" w:rsidRDefault="0043575A" w:rsidP="0043575A">
      <w:pPr>
        <w:spacing w:after="120"/>
        <w:ind w:firstLine="284"/>
        <w:jc w:val="both"/>
      </w:pPr>
      <w:r w:rsidRPr="0043575A">
        <w:lastRenderedPageBreak/>
        <w:t xml:space="preserve">Počet </w:t>
      </w:r>
      <w:r w:rsidRPr="0043575A">
        <w:rPr>
          <w:b/>
        </w:rPr>
        <w:t>absolventů</w:t>
      </w:r>
      <w:r w:rsidRPr="0043575A">
        <w:t xml:space="preserve"> vysokých</w:t>
      </w:r>
      <w:r>
        <w:t xml:space="preserve"> škol </w:t>
      </w:r>
      <w:r w:rsidR="007A3C70">
        <w:t xml:space="preserve">v České republice </w:t>
      </w:r>
      <w:r w:rsidR="009A6739">
        <w:t xml:space="preserve">od roku 2001 do roku 2012 </w:t>
      </w:r>
      <w:r>
        <w:t>postupně a výrazně stoupal</w:t>
      </w:r>
      <w:r w:rsidR="009A6739">
        <w:t xml:space="preserve">, tj. z 30,1 tisíce </w:t>
      </w:r>
      <w:r>
        <w:t>na 94,1 tisíce. Poté</w:t>
      </w:r>
      <w:r w:rsidR="00C67420">
        <w:t xml:space="preserve"> se začal snižovat a v roce 2021 již činil jen 60,5</w:t>
      </w:r>
      <w:r>
        <w:t xml:space="preserve"> tisíc</w:t>
      </w:r>
      <w:r w:rsidR="00C67420">
        <w:t>e</w:t>
      </w:r>
      <w:r>
        <w:t xml:space="preserve">. </w:t>
      </w:r>
      <w:r w:rsidR="00A67415">
        <w:t xml:space="preserve">To může souviset s úbytkem počtu studentů v čase daným zejména demografickým </w:t>
      </w:r>
      <w:r w:rsidR="00A67415" w:rsidRPr="009821FB">
        <w:t>vývojem (mezi lety 2011 a 2021 pokle</w:t>
      </w:r>
      <w:r w:rsidR="000576CC">
        <w:t>sl počet obyvatel ČR ve věku 20–</w:t>
      </w:r>
      <w:r w:rsidR="00A67415" w:rsidRPr="009821FB">
        <w:t xml:space="preserve">29 let </w:t>
      </w:r>
      <w:r w:rsidR="00A67415" w:rsidRPr="0028695C">
        <w:t>o 24,6 %).</w:t>
      </w:r>
    </w:p>
    <w:p w14:paraId="2D5F7C19" w14:textId="3858ECB6" w:rsidR="00636335" w:rsidRDefault="0043575A" w:rsidP="0043575A">
      <w:pPr>
        <w:spacing w:after="120"/>
        <w:ind w:firstLine="284"/>
        <w:jc w:val="both"/>
      </w:pPr>
      <w:r>
        <w:t xml:space="preserve">Podíl žen ze všech absolventů vysokých škol </w:t>
      </w:r>
      <w:r w:rsidR="007A3C70">
        <w:t xml:space="preserve">v ČR </w:t>
      </w:r>
      <w:r>
        <w:t xml:space="preserve">se mezi lety 2001 a 2013 postupně zvyšoval, tj. z 51,4 % na 61,1 %, a v dalších letech se držel na třech pětinách. Podíl absolventů cizí státní příslušnosti se v celém sledovaném období postupně zvyšoval, </w:t>
      </w:r>
      <w:proofErr w:type="gramStart"/>
      <w:r>
        <w:t>konkr</w:t>
      </w:r>
      <w:r w:rsidR="00C67420">
        <w:t>étně z 1,9</w:t>
      </w:r>
      <w:proofErr w:type="gramEnd"/>
      <w:r w:rsidR="00C67420">
        <w:t> % v roce 2001 na 14,7 % v roce 2021</w:t>
      </w:r>
      <w:r>
        <w:t>. Více viz graf č. 9.</w:t>
      </w:r>
    </w:p>
    <w:p w14:paraId="4328A419" w14:textId="1C149F25" w:rsidR="0043575A" w:rsidRDefault="007D344C" w:rsidP="0043575A">
      <w:pPr>
        <w:keepNext/>
        <w:spacing w:after="120"/>
        <w:jc w:val="both"/>
        <w:rPr>
          <w:b/>
        </w:rPr>
      </w:pPr>
      <w:r>
        <w:rPr>
          <w:b/>
        </w:rPr>
        <w:t>Graf č. 9</w:t>
      </w:r>
      <w:r w:rsidR="0043575A" w:rsidRPr="0035599F">
        <w:rPr>
          <w:b/>
        </w:rPr>
        <w:t xml:space="preserve"> </w:t>
      </w:r>
      <w:r w:rsidR="00B4447D">
        <w:rPr>
          <w:b/>
        </w:rPr>
        <w:t xml:space="preserve">Absolventi VŠ v ČR – celkem a dle </w:t>
      </w:r>
      <w:r w:rsidR="00484AE5">
        <w:rPr>
          <w:b/>
        </w:rPr>
        <w:t>pohlaví</w:t>
      </w:r>
      <w:r w:rsidR="00B4447D">
        <w:rPr>
          <w:b/>
        </w:rPr>
        <w:t xml:space="preserve"> a státní příslušnosti</w:t>
      </w:r>
      <w:r w:rsidR="0043575A" w:rsidRPr="0035599F">
        <w:rPr>
          <w:b/>
        </w:rPr>
        <w:t xml:space="preserve"> </w:t>
      </w:r>
    </w:p>
    <w:p w14:paraId="092C24D5" w14:textId="4A70AA37" w:rsidR="00636335" w:rsidRPr="00104C27" w:rsidRDefault="00C67420" w:rsidP="00104C27">
      <w:pPr>
        <w:keepNext/>
        <w:spacing w:after="120"/>
        <w:jc w:val="both"/>
        <w:rPr>
          <w:b/>
        </w:rPr>
      </w:pPr>
      <w:r>
        <w:rPr>
          <w:noProof/>
        </w:rPr>
        <w:drawing>
          <wp:inline distT="0" distB="0" distL="0" distR="0" wp14:anchorId="350CDC66" wp14:editId="571E8A0B">
            <wp:extent cx="6120130" cy="2619375"/>
            <wp:effectExtent l="0" t="0" r="13970" b="9525"/>
            <wp:docPr id="26" name="Graf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7D8DB95F" w14:textId="77777777" w:rsidR="00BA133F" w:rsidRPr="00603134" w:rsidRDefault="00BA133F" w:rsidP="00603134">
      <w:pPr>
        <w:keepNext/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410D61FB" w14:textId="21FABE27" w:rsidR="007D344C" w:rsidRDefault="00EA5D17" w:rsidP="00FF25D7">
      <w:pPr>
        <w:spacing w:after="120" w:line="276" w:lineRule="auto"/>
        <w:ind w:firstLine="284"/>
        <w:jc w:val="both"/>
      </w:pPr>
      <w:r>
        <w:t xml:space="preserve">Pokud jde o dosaženou úroveň vzdělání, </w:t>
      </w:r>
      <w:r w:rsidR="007D344C">
        <w:t xml:space="preserve">v posledních 10 letech docházelo k mírnému snižování podílu absolventů </w:t>
      </w:r>
      <w:r w:rsidR="007D344C" w:rsidRPr="00FC322D">
        <w:rPr>
          <w:b/>
        </w:rPr>
        <w:t>bakalářských oborů</w:t>
      </w:r>
      <w:r w:rsidR="007D344C">
        <w:t xml:space="preserve"> a naopak k mírnému </w:t>
      </w:r>
      <w:r w:rsidR="00A20608">
        <w:t>zvýšení</w:t>
      </w:r>
      <w:r w:rsidR="007D344C">
        <w:t xml:space="preserve"> podílu absolventů </w:t>
      </w:r>
      <w:r w:rsidR="007D344C" w:rsidRPr="00FC322D">
        <w:rPr>
          <w:b/>
        </w:rPr>
        <w:t>magisterských oborů</w:t>
      </w:r>
      <w:r>
        <w:rPr>
          <w:b/>
        </w:rPr>
        <w:t xml:space="preserve"> – </w:t>
      </w:r>
      <w:r w:rsidRPr="00EA5D17">
        <w:t>viz graf č. 10</w:t>
      </w:r>
      <w:r w:rsidR="007D344C">
        <w:t>.</w:t>
      </w:r>
    </w:p>
    <w:p w14:paraId="3974A663" w14:textId="2F0544B0" w:rsidR="007D344C" w:rsidRDefault="007D344C" w:rsidP="0028695C">
      <w:pPr>
        <w:keepNext/>
        <w:spacing w:after="120" w:line="240" w:lineRule="auto"/>
        <w:rPr>
          <w:b/>
        </w:rPr>
      </w:pPr>
      <w:r>
        <w:rPr>
          <w:b/>
        </w:rPr>
        <w:t xml:space="preserve">Graf č. 10 </w:t>
      </w:r>
      <w:r w:rsidR="00CE0AE2">
        <w:rPr>
          <w:b/>
        </w:rPr>
        <w:t xml:space="preserve">Absolventi VŠ </w:t>
      </w:r>
      <w:r w:rsidR="000576CC">
        <w:rPr>
          <w:b/>
        </w:rPr>
        <w:t>v ČR –</w:t>
      </w:r>
      <w:r w:rsidR="00CE0AE2">
        <w:rPr>
          <w:b/>
        </w:rPr>
        <w:t xml:space="preserve"> p</w:t>
      </w:r>
      <w:r>
        <w:rPr>
          <w:b/>
        </w:rPr>
        <w:t>odíl</w:t>
      </w:r>
      <w:r w:rsidRPr="007D344C">
        <w:rPr>
          <w:b/>
        </w:rPr>
        <w:t xml:space="preserve"> </w:t>
      </w:r>
      <w:r>
        <w:rPr>
          <w:b/>
        </w:rPr>
        <w:t>absolv</w:t>
      </w:r>
      <w:r w:rsidRPr="007D344C">
        <w:rPr>
          <w:b/>
        </w:rPr>
        <w:t xml:space="preserve">entů </w:t>
      </w:r>
      <w:r w:rsidR="00E369E3">
        <w:rPr>
          <w:b/>
        </w:rPr>
        <w:t xml:space="preserve">dle dosažené úrovně vzdělání </w:t>
      </w:r>
    </w:p>
    <w:p w14:paraId="4B1FF363" w14:textId="680397D1" w:rsidR="007D344C" w:rsidRPr="00C67420" w:rsidRDefault="00C67420" w:rsidP="00FA53C3">
      <w:pPr>
        <w:spacing w:after="120" w:line="240" w:lineRule="auto"/>
        <w:rPr>
          <w:b/>
        </w:rPr>
      </w:pPr>
      <w:r>
        <w:rPr>
          <w:noProof/>
        </w:rPr>
        <w:drawing>
          <wp:inline distT="0" distB="0" distL="0" distR="0" wp14:anchorId="58BD3E3B" wp14:editId="4A4DCCD3">
            <wp:extent cx="6120130" cy="1628140"/>
            <wp:effectExtent l="0" t="0" r="13970" b="10160"/>
            <wp:docPr id="34" name="Graf 3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23C90B7C" w14:textId="77777777" w:rsidR="007D344C" w:rsidRPr="00603134" w:rsidRDefault="007D344C" w:rsidP="00603134">
      <w:pPr>
        <w:jc w:val="right"/>
        <w:rPr>
          <w:sz w:val="18"/>
          <w:szCs w:val="18"/>
        </w:rPr>
      </w:pPr>
      <w:r w:rsidRPr="00603134">
        <w:rPr>
          <w:sz w:val="18"/>
          <w:szCs w:val="18"/>
        </w:rPr>
        <w:t>Zdroj dat: MŠMT</w:t>
      </w:r>
    </w:p>
    <w:p w14:paraId="72CA6AD0" w14:textId="391C14BB" w:rsidR="00BA133F" w:rsidRDefault="00DF0A3C" w:rsidP="0088118E">
      <w:pPr>
        <w:spacing w:after="120" w:line="276" w:lineRule="auto"/>
        <w:ind w:firstLine="284"/>
        <w:jc w:val="both"/>
      </w:pPr>
      <w:r>
        <w:t xml:space="preserve">Podíváme-li se na počty absolventů dle jednotlivých </w:t>
      </w:r>
      <w:r w:rsidRPr="00FC322D">
        <w:rPr>
          <w:b/>
        </w:rPr>
        <w:t>skupin oborů</w:t>
      </w:r>
      <w:r>
        <w:t xml:space="preserve">, pak </w:t>
      </w:r>
      <w:r w:rsidR="00FB7483">
        <w:t>v roce 2001, 2011 i 2021</w:t>
      </w:r>
      <w:r>
        <w:t xml:space="preserve"> absolvoval nejvyšší p</w:t>
      </w:r>
      <w:r w:rsidR="00FC322D">
        <w:t xml:space="preserve">očet studentů obory ze skupiny </w:t>
      </w:r>
      <w:r w:rsidR="00FC322D" w:rsidRPr="00FC322D">
        <w:rPr>
          <w:b/>
          <w:i/>
        </w:rPr>
        <w:t>O</w:t>
      </w:r>
      <w:r w:rsidRPr="00FC322D">
        <w:rPr>
          <w:b/>
          <w:i/>
        </w:rPr>
        <w:t>bchod, administrativa a právo</w:t>
      </w:r>
      <w:r>
        <w:t xml:space="preserve">. Tato skupina oborů zároveň vykázala v průběhu času poměrně dynamický průběh, kdy se mezi roky 2002 a 2012 počet absolventů více než ztrojnásobil (vzrostl </w:t>
      </w:r>
      <w:r w:rsidRPr="00B63590">
        <w:t>ze 7 053 na 23 627</w:t>
      </w:r>
      <w:r w:rsidR="00B05585" w:rsidRPr="00B63590">
        <w:t>)</w:t>
      </w:r>
      <w:r w:rsidR="00B05585">
        <w:t xml:space="preserve"> a poté do roku 2021</w:t>
      </w:r>
      <w:r>
        <w:t xml:space="preserve"> postupně klesal až na 12 </w:t>
      </w:r>
      <w:r w:rsidR="00B05585">
        <w:t>066</w:t>
      </w:r>
      <w:r>
        <w:t xml:space="preserve"> absolventů.</w:t>
      </w:r>
      <w:r w:rsidR="00BA17EF">
        <w:t xml:space="preserve"> Podobnou, přestože méně výraznou, tendenci zaznamenala i skupina oborů </w:t>
      </w:r>
      <w:r w:rsidR="00BA17EF" w:rsidRPr="00FC322D">
        <w:rPr>
          <w:b/>
          <w:i/>
        </w:rPr>
        <w:t>Technika, výroba a stavebnictví</w:t>
      </w:r>
      <w:r w:rsidR="00BA17EF">
        <w:t>. Počet absolven</w:t>
      </w:r>
      <w:r w:rsidR="005F6BE4">
        <w:t>tů této skupiny oborů vzrostl z</w:t>
      </w:r>
      <w:r w:rsidR="00B05585">
        <w:t xml:space="preserve"> 6 229</w:t>
      </w:r>
      <w:r w:rsidR="00BA17EF">
        <w:t xml:space="preserve"> absolventů v roce 2001 až na 14 666 absolventů v roce 2011. Poté jejich počet klesal až na </w:t>
      </w:r>
      <w:r w:rsidR="00B05585">
        <w:t>9 351 v roce 2021</w:t>
      </w:r>
      <w:r w:rsidR="00BA17EF">
        <w:t xml:space="preserve">. Na třetí příčce v počtu absolventů se v čase </w:t>
      </w:r>
      <w:r w:rsidR="005E2A64">
        <w:t xml:space="preserve">většinou </w:t>
      </w:r>
      <w:r w:rsidR="00BA17EF">
        <w:t xml:space="preserve">udržuje skupina oborů </w:t>
      </w:r>
      <w:r w:rsidR="00BA17EF" w:rsidRPr="00FC322D">
        <w:rPr>
          <w:b/>
          <w:i/>
        </w:rPr>
        <w:t>Vzdělávání a výchova</w:t>
      </w:r>
      <w:r w:rsidR="005F6BE4">
        <w:t xml:space="preserve"> </w:t>
      </w:r>
      <w:r w:rsidR="005F6BE4" w:rsidRPr="00B63590">
        <w:t>s 5 222 absolventy</w:t>
      </w:r>
      <w:r w:rsidR="005F6BE4">
        <w:t xml:space="preserve"> v roce 2002, 12 902 </w:t>
      </w:r>
      <w:r w:rsidR="005F6BE4">
        <w:lastRenderedPageBreak/>
        <w:t>absolventy</w:t>
      </w:r>
      <w:r w:rsidR="00B05585">
        <w:t xml:space="preserve"> v roce 2011 a 7 054</w:t>
      </w:r>
      <w:r w:rsidR="00BA17EF">
        <w:t xml:space="preserve"> absolventů v roce </w:t>
      </w:r>
      <w:r w:rsidR="00B05585">
        <w:t>2021</w:t>
      </w:r>
      <w:r w:rsidR="005E2A64">
        <w:t xml:space="preserve">. </w:t>
      </w:r>
      <w:r w:rsidR="005E2A64" w:rsidRPr="00FB7483">
        <w:t xml:space="preserve">V letech 2015 až 2019 však zaznamenala vyšší počet absolventů již skupina oborů </w:t>
      </w:r>
      <w:r w:rsidR="005E2A64" w:rsidRPr="00FB7483">
        <w:rPr>
          <w:b/>
          <w:i/>
        </w:rPr>
        <w:t>Společenské vědy, žurnalistika a informační vědy</w:t>
      </w:r>
      <w:r w:rsidR="00FB7483" w:rsidRPr="00FB7483">
        <w:t xml:space="preserve"> a v roce 2021</w:t>
      </w:r>
      <w:r w:rsidR="005E2A64" w:rsidRPr="00FB7483">
        <w:t xml:space="preserve"> absolvovalo obory ze skupiny </w:t>
      </w:r>
      <w:r w:rsidR="005E2A64" w:rsidRPr="00FB7483">
        <w:rPr>
          <w:b/>
          <w:i/>
        </w:rPr>
        <w:t>Vzdělávání a výchova</w:t>
      </w:r>
      <w:r w:rsidR="00FB7483" w:rsidRPr="00FB7483">
        <w:t xml:space="preserve"> jen o 148</w:t>
      </w:r>
      <w:r w:rsidR="005E2A64" w:rsidRPr="00FB7483">
        <w:t xml:space="preserve"> studentů více než obory ze skupiny Společenské vědy, žurnalistika a informační vědy.</w:t>
      </w:r>
      <w:r w:rsidR="005E2A64">
        <w:t xml:space="preserve"> Naopak, jak je patrné z grafu č. 11, o poznání méně absolventů než ostatní obory zaznamenaly skupiny oborů </w:t>
      </w:r>
      <w:r w:rsidR="005E2A64" w:rsidRPr="00FC322D">
        <w:rPr>
          <w:b/>
          <w:i/>
        </w:rPr>
        <w:t>Přírodní vědy, matematika a statistika</w:t>
      </w:r>
      <w:r w:rsidR="005E2A64">
        <w:t xml:space="preserve">, </w:t>
      </w:r>
      <w:r w:rsidR="005E2A64" w:rsidRPr="00FC322D">
        <w:rPr>
          <w:b/>
          <w:i/>
        </w:rPr>
        <w:t>Informační a komunikační technologie</w:t>
      </w:r>
      <w:r w:rsidR="005E2A64" w:rsidRPr="00FC322D">
        <w:rPr>
          <w:i/>
        </w:rPr>
        <w:t xml:space="preserve">, </w:t>
      </w:r>
      <w:r w:rsidR="005E2A64" w:rsidRPr="00FC322D">
        <w:rPr>
          <w:b/>
          <w:i/>
        </w:rPr>
        <w:t>Služby</w:t>
      </w:r>
      <w:r w:rsidR="005E2A64">
        <w:t xml:space="preserve"> a </w:t>
      </w:r>
      <w:r w:rsidR="005E2A64" w:rsidRPr="00FC322D">
        <w:rPr>
          <w:b/>
          <w:i/>
        </w:rPr>
        <w:t>Zemědělství, lesnictví, rybářství a veterinářství</w:t>
      </w:r>
      <w:r w:rsidR="005E2A64">
        <w:t>. Pořadí těchto skupin oborů v příčce dle četnosti absolventů se však v čase proměňovalo.</w:t>
      </w:r>
    </w:p>
    <w:p w14:paraId="5A709470" w14:textId="2047BA04" w:rsidR="00A73BCB" w:rsidRPr="009A765F" w:rsidRDefault="009A765F" w:rsidP="009A765F">
      <w:pPr>
        <w:keepNext/>
        <w:spacing w:after="120"/>
        <w:jc w:val="both"/>
        <w:rPr>
          <w:b/>
        </w:rPr>
      </w:pPr>
      <w:r>
        <w:rPr>
          <w:b/>
        </w:rPr>
        <w:t xml:space="preserve">Graf č. 11 </w:t>
      </w:r>
      <w:r w:rsidR="000576CC">
        <w:rPr>
          <w:b/>
        </w:rPr>
        <w:t>Absolventi VŠ v ČR –</w:t>
      </w:r>
      <w:r w:rsidR="00CE0AE2">
        <w:rPr>
          <w:b/>
        </w:rPr>
        <w:t xml:space="preserve"> p</w:t>
      </w:r>
      <w:r>
        <w:rPr>
          <w:b/>
        </w:rPr>
        <w:t xml:space="preserve">očet </w:t>
      </w:r>
      <w:r w:rsidR="0049038F">
        <w:rPr>
          <w:b/>
        </w:rPr>
        <w:t xml:space="preserve">absolventů </w:t>
      </w:r>
      <w:r w:rsidR="00CE0AE2">
        <w:rPr>
          <w:b/>
        </w:rPr>
        <w:t>dle skupin oborů vzdělání</w:t>
      </w:r>
    </w:p>
    <w:p w14:paraId="2BFB75AA" w14:textId="57BF15BE" w:rsidR="0049659B" w:rsidRDefault="00B05585" w:rsidP="00BA133F">
      <w:r>
        <w:rPr>
          <w:noProof/>
        </w:rPr>
        <w:drawing>
          <wp:inline distT="0" distB="0" distL="0" distR="0" wp14:anchorId="58B1F296" wp14:editId="7F5FB7D7">
            <wp:extent cx="6086475" cy="2219325"/>
            <wp:effectExtent l="0" t="0" r="9525" b="9525"/>
            <wp:docPr id="36" name="Graf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68DDC097" w14:textId="1D5170D8" w:rsidR="009D1C60" w:rsidRDefault="00B05585" w:rsidP="00BA133F">
      <w:pPr>
        <w:spacing w:line="276" w:lineRule="auto"/>
        <w:jc w:val="both"/>
        <w:rPr>
          <w:rFonts w:cs="Arial"/>
          <w:bCs/>
          <w:szCs w:val="20"/>
        </w:rPr>
      </w:pPr>
      <w:r>
        <w:rPr>
          <w:noProof/>
        </w:rPr>
        <w:drawing>
          <wp:inline distT="0" distB="0" distL="0" distR="0" wp14:anchorId="5862DE91" wp14:editId="24B2A43B">
            <wp:extent cx="6086475" cy="2286000"/>
            <wp:effectExtent l="0" t="0" r="9525" b="0"/>
            <wp:docPr id="38" name="Graf 3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1E3245C9" w14:textId="25B30BF3" w:rsidR="0049659B" w:rsidRDefault="00B05585" w:rsidP="00BA133F">
      <w:pPr>
        <w:spacing w:line="276" w:lineRule="auto"/>
        <w:jc w:val="both"/>
        <w:rPr>
          <w:rFonts w:cs="Arial"/>
          <w:bCs/>
          <w:szCs w:val="20"/>
        </w:rPr>
      </w:pPr>
      <w:r>
        <w:rPr>
          <w:noProof/>
        </w:rPr>
        <w:drawing>
          <wp:inline distT="0" distB="0" distL="0" distR="0" wp14:anchorId="60DE2033" wp14:editId="372532DF">
            <wp:extent cx="6086475" cy="2343150"/>
            <wp:effectExtent l="0" t="0" r="9525" b="0"/>
            <wp:docPr id="40" name="Graf 4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09ABFD33" w14:textId="714C2AA3" w:rsidR="0049659B" w:rsidRPr="00603134" w:rsidRDefault="005E2A64" w:rsidP="005E2A64">
      <w:pPr>
        <w:spacing w:line="276" w:lineRule="auto"/>
        <w:jc w:val="right"/>
        <w:rPr>
          <w:rFonts w:cs="Arial"/>
          <w:bCs/>
          <w:sz w:val="18"/>
          <w:szCs w:val="18"/>
        </w:rPr>
      </w:pPr>
      <w:r w:rsidRPr="00603134">
        <w:rPr>
          <w:rFonts w:cs="Arial"/>
          <w:bCs/>
          <w:sz w:val="18"/>
          <w:szCs w:val="18"/>
        </w:rPr>
        <w:t>Zdroj</w:t>
      </w:r>
      <w:r w:rsidR="003E4C26" w:rsidRPr="00603134">
        <w:rPr>
          <w:rFonts w:cs="Arial"/>
          <w:bCs/>
          <w:sz w:val="18"/>
          <w:szCs w:val="18"/>
        </w:rPr>
        <w:t xml:space="preserve"> dat</w:t>
      </w:r>
      <w:r w:rsidRPr="00603134">
        <w:rPr>
          <w:rFonts w:cs="Arial"/>
          <w:bCs/>
          <w:sz w:val="18"/>
          <w:szCs w:val="18"/>
        </w:rPr>
        <w:t>: MŠMT</w:t>
      </w:r>
    </w:p>
    <w:sectPr w:rsidR="0049659B" w:rsidRPr="00603134" w:rsidSect="006F5416">
      <w:headerReference w:type="even" r:id="rId34"/>
      <w:headerReference w:type="default" r:id="rId35"/>
      <w:footerReference w:type="even" r:id="rId36"/>
      <w:footerReference w:type="default" r:id="rId37"/>
      <w:pgSz w:w="11906" w:h="16838" w:code="9"/>
      <w:pgMar w:top="1134" w:right="1134" w:bottom="1418" w:left="1134" w:header="680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F3CF69" w14:textId="77777777" w:rsidR="00447920" w:rsidRDefault="00447920" w:rsidP="00E71A58">
      <w:r>
        <w:separator/>
      </w:r>
    </w:p>
  </w:endnote>
  <w:endnote w:type="continuationSeparator" w:id="0">
    <w:p w14:paraId="6B5FCA43" w14:textId="77777777" w:rsidR="00447920" w:rsidRDefault="00447920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0DB87D" w14:textId="77777777" w:rsidR="00447920" w:rsidRDefault="0044792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0B9941" w14:textId="77777777" w:rsidR="00447920" w:rsidRDefault="00447920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4E9BFC" w14:textId="77777777" w:rsidR="00447920" w:rsidRDefault="00447920">
    <w:pPr>
      <w:pStyle w:val="Zpa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BA43AA" w14:textId="6714C89B" w:rsidR="00447920" w:rsidRPr="00932443" w:rsidRDefault="00447920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8240" behindDoc="0" locked="0" layoutInCell="1" allowOverlap="1" wp14:anchorId="1C6510BA" wp14:editId="6C3F6332">
          <wp:simplePos x="0" y="0"/>
          <wp:positionH relativeFrom="column">
            <wp:align>right</wp:align>
          </wp:positionH>
          <wp:positionV relativeFrom="paragraph">
            <wp:posOffset>-64770</wp:posOffset>
          </wp:positionV>
          <wp:extent cx="428625" cy="201295"/>
          <wp:effectExtent l="0" t="0" r="3175" b="1905"/>
          <wp:wrapNone/>
          <wp:docPr id="11" name="Picture 11" descr="CSU RGB CZ logo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SU RGB CZ logo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8625" cy="2012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fldChar w:fldCharType="begin"/>
    </w:r>
    <w:r w:rsidRPr="00932443">
      <w:rPr>
        <w:szCs w:val="16"/>
      </w:rPr>
      <w:instrText>PAGE   \* MERGEFORMAT</w:instrText>
    </w:r>
    <w:r w:rsidRPr="00932443">
      <w:rPr>
        <w:szCs w:val="16"/>
      </w:rPr>
      <w:fldChar w:fldCharType="separate"/>
    </w:r>
    <w:r w:rsidR="0047153B">
      <w:rPr>
        <w:szCs w:val="16"/>
      </w:rPr>
      <w:t>20</w:t>
    </w:r>
    <w:r w:rsidRPr="00932443">
      <w:rPr>
        <w:szCs w:val="16"/>
      </w:rPr>
      <w:fldChar w:fldCharType="end"/>
    </w:r>
    <w:r w:rsidRPr="00932443">
      <w:rPr>
        <w:szCs w:val="16"/>
      </w:rPr>
      <w:tab/>
    </w:r>
    <w:r>
      <w:rPr>
        <w:szCs w:val="16"/>
      </w:rPr>
      <w:t>2001–2021</w: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28EBFC" w14:textId="566B926F" w:rsidR="00447920" w:rsidRPr="00932443" w:rsidRDefault="00447920" w:rsidP="00A418BC">
    <w:pPr>
      <w:pStyle w:val="Zpat"/>
      <w:rPr>
        <w:szCs w:val="16"/>
      </w:rPr>
    </w:pPr>
    <w:r>
      <w:rPr>
        <w:szCs w:val="16"/>
        <w:lang w:eastAsia="cs-CZ"/>
      </w:rPr>
      <w:drawing>
        <wp:anchor distT="0" distB="0" distL="114300" distR="114300" simplePos="0" relativeHeight="251657216" behindDoc="0" locked="0" layoutInCell="1" allowOverlap="1" wp14:anchorId="56CD54C6" wp14:editId="1E3A0114">
          <wp:simplePos x="0" y="0"/>
          <wp:positionH relativeFrom="column">
            <wp:align>left</wp:align>
          </wp:positionH>
          <wp:positionV relativeFrom="paragraph">
            <wp:posOffset>-122555</wp:posOffset>
          </wp:positionV>
          <wp:extent cx="510540" cy="272415"/>
          <wp:effectExtent l="0" t="0" r="0" b="6985"/>
          <wp:wrapNone/>
          <wp:docPr id="10" name="Picture 10" descr="CSU RGB CZ logo-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CSU RGB CZ logo-0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10540" cy="2724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32443">
      <w:rPr>
        <w:szCs w:val="16"/>
      </w:rPr>
      <w:tab/>
    </w:r>
    <w:r>
      <w:rPr>
        <w:szCs w:val="16"/>
      </w:rPr>
      <w:t>2001–</w:t>
    </w:r>
    <w:r>
      <w:rPr>
        <w:rStyle w:val="ZpatChar"/>
        <w:szCs w:val="16"/>
      </w:rPr>
      <w:t>2021</w:t>
    </w:r>
    <w:r w:rsidRPr="00932443">
      <w:rPr>
        <w:szCs w:val="16"/>
      </w:rPr>
      <w:tab/>
    </w:r>
    <w:r w:rsidRPr="00932443">
      <w:rPr>
        <w:rStyle w:val="ZpatChar"/>
        <w:szCs w:val="16"/>
      </w:rPr>
      <w:fldChar w:fldCharType="begin"/>
    </w:r>
    <w:r w:rsidRPr="00932443">
      <w:rPr>
        <w:rStyle w:val="ZpatChar"/>
        <w:szCs w:val="16"/>
      </w:rPr>
      <w:instrText>PAGE   \* MERGEFORMAT</w:instrText>
    </w:r>
    <w:r w:rsidRPr="00932443">
      <w:rPr>
        <w:rStyle w:val="ZpatChar"/>
        <w:szCs w:val="16"/>
      </w:rPr>
      <w:fldChar w:fldCharType="separate"/>
    </w:r>
    <w:r w:rsidR="0047153B">
      <w:rPr>
        <w:rStyle w:val="ZpatChar"/>
        <w:szCs w:val="16"/>
      </w:rPr>
      <w:t>21</w:t>
    </w:r>
    <w:r w:rsidRPr="00932443">
      <w:rPr>
        <w:rStyle w:val="ZpatChar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087927" w14:textId="77777777" w:rsidR="00447920" w:rsidRDefault="00447920" w:rsidP="00E71A58">
      <w:r>
        <w:separator/>
      </w:r>
    </w:p>
  </w:footnote>
  <w:footnote w:type="continuationSeparator" w:id="0">
    <w:p w14:paraId="05851D52" w14:textId="77777777" w:rsidR="00447920" w:rsidRDefault="00447920" w:rsidP="00E71A58">
      <w:r>
        <w:continuationSeparator/>
      </w:r>
    </w:p>
  </w:footnote>
  <w:footnote w:id="1">
    <w:p w14:paraId="32482B3E" w14:textId="77777777" w:rsidR="00447920" w:rsidRPr="00135B21" w:rsidRDefault="00447920" w:rsidP="006A2759">
      <w:pPr>
        <w:pStyle w:val="Textpoznpodarou"/>
        <w:jc w:val="both"/>
        <w:rPr>
          <w:rFonts w:asciiTheme="majorHAnsi" w:hAnsiTheme="majorHAnsi" w:cstheme="majorHAnsi"/>
        </w:rPr>
      </w:pPr>
      <w:r w:rsidRPr="00135B21">
        <w:rPr>
          <w:rStyle w:val="Znakapoznpodarou"/>
          <w:rFonts w:asciiTheme="majorHAnsi" w:hAnsiTheme="majorHAnsi" w:cstheme="majorHAnsi"/>
        </w:rPr>
        <w:footnoteRef/>
      </w:r>
      <w:r w:rsidRPr="00135B21">
        <w:rPr>
          <w:rFonts w:asciiTheme="majorHAnsi" w:hAnsiTheme="majorHAnsi" w:cstheme="majorHAnsi"/>
        </w:rPr>
        <w:t xml:space="preserve"> Např. není zřejmé, kolik a kteří studenti studují zároveň vysokou školu státní a vysokou školu soukromou či veřejnou, některá data chybí, pro některá data se využívá jiná metodika (např. data vypovídají o počtu studií, nikoliv o počtu studentů, odlišně jsou formulovány i obory vzdělávání).</w:t>
      </w:r>
    </w:p>
  </w:footnote>
  <w:footnote w:id="2">
    <w:p w14:paraId="58D9168B" w14:textId="20D149A2" w:rsidR="00447920" w:rsidRDefault="00447920" w:rsidP="00BF36FE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Zde lze poznamenat, že do věkového složení studentů se promítá více faktorů. </w:t>
      </w:r>
      <w:r w:rsidRPr="00343003">
        <w:t xml:space="preserve">Základní škola byla v letech 1979 až 1989 zkrácena na osm let, pak byla opět </w:t>
      </w:r>
      <w:r>
        <w:t>devítiletá, čímž se posunul možný nástup na vysokou školu o rok. O rok až dva roky se také může prodlužit věk při ukončení základní školy žákům s odkladem. Po roce 2001 byly dále zavedeny bakalářské studijní programy, což až do roku 2010 mělo za následek postupné zvyšování podílu studentů bakalářských oborů z 21,1 % až na 62,6 %. Z těchto programů lze přitom přejít přímo na trh práce, což některé studenty může motivovat k přerušení studia a doplnění magisterského vzdělání později, příp. k pomalejšímu tempu studia vedle zaměstnání. Svou roli mohla sehrát i větší flexibilita zaměstnavatelů, příp. jejich větší podpora vzdělávání zaměstnanců, jakož i nové požadavky na kvalifikaci, např. pro učitele, které motivují k doplnění vzdělání potřebného/užitečného pro vykonávání své profese.</w:t>
      </w:r>
    </w:p>
  </w:footnote>
  <w:footnote w:id="3">
    <w:p w14:paraId="1675CE1A" w14:textId="2E962C6A" w:rsidR="00447920" w:rsidRDefault="00447920" w:rsidP="00673327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Studentů starších než 29 let bylo v Praze 21,3 % oproti 17 % a méně v ostatních krajích, nejméně na Vysočině (10,8 %).</w:t>
      </w:r>
    </w:p>
  </w:footnote>
  <w:footnote w:id="4">
    <w:p w14:paraId="1394ED40" w14:textId="0C211CAC" w:rsidR="00447920" w:rsidRDefault="00447920" w:rsidP="00135B21">
      <w:pPr>
        <w:pStyle w:val="Textpoznpodarou"/>
        <w:jc w:val="both"/>
      </w:pPr>
      <w:r>
        <w:rPr>
          <w:rStyle w:val="Znakapoznpodarou"/>
        </w:rPr>
        <w:footnoteRef/>
      </w:r>
      <w:r>
        <w:t xml:space="preserve"> V Praze je to dovršených 26 let, v kraji Ústeckém, Středočeském a Karlovarském je to dovršených 25 let. </w:t>
      </w:r>
    </w:p>
  </w:footnote>
  <w:footnote w:id="5">
    <w:p w14:paraId="3C0F4E1C" w14:textId="49C8EBA0" w:rsidR="00447920" w:rsidRDefault="00447920">
      <w:pPr>
        <w:pStyle w:val="Textpoznpodarou"/>
      </w:pPr>
      <w:r>
        <w:rPr>
          <w:rStyle w:val="Znakapoznpodarou"/>
        </w:rPr>
        <w:footnoteRef/>
      </w:r>
      <w:r>
        <w:t xml:space="preserve"> Doplňme, že medián věku byl ve všech krajích České republiky buď 23, nebo 22 let.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D3CBA1" w14:textId="77777777" w:rsidR="00447920" w:rsidRDefault="00447920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8105BE" w14:textId="77777777" w:rsidR="00447920" w:rsidRDefault="00447920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B595B70" w14:textId="77777777" w:rsidR="00447920" w:rsidRDefault="00447920">
    <w:pPr>
      <w:pStyle w:val="Zhlav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288BF8" w14:textId="77777777" w:rsidR="00447920" w:rsidRDefault="00447920" w:rsidP="002659EE">
    <w:pPr>
      <w:pStyle w:val="Zhlav"/>
    </w:pPr>
    <w:r>
      <w:t>Studenti a absolventi vysokoškolského vzdělávání</w:t>
    </w:r>
  </w:p>
  <w:p w14:paraId="128E6CE8" w14:textId="77777777" w:rsidR="00447920" w:rsidRPr="006F5416" w:rsidRDefault="00447920" w:rsidP="00937AE2">
    <w:pPr>
      <w:pStyle w:val="Zhlav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D731AC" w14:textId="77777777" w:rsidR="00447920" w:rsidRDefault="00447920" w:rsidP="00937AE2">
    <w:pPr>
      <w:pStyle w:val="Zhlav"/>
    </w:pPr>
    <w:r>
      <w:t>Studenti a absolventi vysokoškolského vzdělávání</w:t>
    </w:r>
  </w:p>
  <w:p w14:paraId="5E9966BA" w14:textId="77777777" w:rsidR="00447920" w:rsidRPr="006F5416" w:rsidRDefault="00447920" w:rsidP="00937AE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w14:anchorId="31305AA1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25pt;height:11.25pt" o:bullet="t">
        <v:imagedata r:id="rId1" o:title="msoFAAF"/>
      </v:shape>
    </w:pict>
  </w:numPicBullet>
  <w:abstractNum w:abstractNumId="0" w15:restartNumberingAfterBreak="0">
    <w:nsid w:val="FFFFFF7C"/>
    <w:multiLevelType w:val="singleLevel"/>
    <w:tmpl w:val="49CEEC4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EC69A9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437A1C9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5B76230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F6965B5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30DE276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C7AED3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68C5B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7C8EEA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918AD8C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9975B3"/>
    <w:multiLevelType w:val="hybridMultilevel"/>
    <w:tmpl w:val="B77CB7E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24C3A79"/>
    <w:multiLevelType w:val="hybridMultilevel"/>
    <w:tmpl w:val="B5BC64B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08217B8D"/>
    <w:multiLevelType w:val="hybridMultilevel"/>
    <w:tmpl w:val="F23C6E2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0F6CF2"/>
    <w:multiLevelType w:val="multilevel"/>
    <w:tmpl w:val="277C24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4" w15:restartNumberingAfterBreak="0">
    <w:nsid w:val="258473A1"/>
    <w:multiLevelType w:val="hybridMultilevel"/>
    <w:tmpl w:val="7984410C"/>
    <w:lvl w:ilvl="0" w:tplc="371200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581760"/>
    <w:multiLevelType w:val="hybridMultilevel"/>
    <w:tmpl w:val="CFEE972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4"/>
  </w:num>
  <w:num w:numId="13">
    <w:abstractNumId w:val="16"/>
  </w:num>
  <w:num w:numId="14">
    <w:abstractNumId w:val="11"/>
  </w:num>
  <w:num w:numId="15">
    <w:abstractNumId w:val="10"/>
  </w:num>
  <w:num w:numId="16">
    <w:abstractNumId w:val="12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stylePaneFormatFilter w:val="1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59A2"/>
    <w:rsid w:val="000013C4"/>
    <w:rsid w:val="0000209D"/>
    <w:rsid w:val="00004701"/>
    <w:rsid w:val="00004CE8"/>
    <w:rsid w:val="00004D5A"/>
    <w:rsid w:val="00005668"/>
    <w:rsid w:val="000056D5"/>
    <w:rsid w:val="00005792"/>
    <w:rsid w:val="000075EB"/>
    <w:rsid w:val="0000767A"/>
    <w:rsid w:val="00010702"/>
    <w:rsid w:val="000107AD"/>
    <w:rsid w:val="00010C86"/>
    <w:rsid w:val="00015DB2"/>
    <w:rsid w:val="00016992"/>
    <w:rsid w:val="00017D39"/>
    <w:rsid w:val="000234D6"/>
    <w:rsid w:val="00023D29"/>
    <w:rsid w:val="00026389"/>
    <w:rsid w:val="000312E3"/>
    <w:rsid w:val="00031AE0"/>
    <w:rsid w:val="000322EF"/>
    <w:rsid w:val="00032BDD"/>
    <w:rsid w:val="000338DA"/>
    <w:rsid w:val="00033FCD"/>
    <w:rsid w:val="000340CE"/>
    <w:rsid w:val="00034119"/>
    <w:rsid w:val="00041CEC"/>
    <w:rsid w:val="0004340C"/>
    <w:rsid w:val="000455DB"/>
    <w:rsid w:val="0004694F"/>
    <w:rsid w:val="000522E4"/>
    <w:rsid w:val="000532A5"/>
    <w:rsid w:val="00053810"/>
    <w:rsid w:val="00053EAB"/>
    <w:rsid w:val="00056E52"/>
    <w:rsid w:val="0005740E"/>
    <w:rsid w:val="000576CC"/>
    <w:rsid w:val="000610E1"/>
    <w:rsid w:val="00062EC5"/>
    <w:rsid w:val="00062F22"/>
    <w:rsid w:val="0006344C"/>
    <w:rsid w:val="0006371D"/>
    <w:rsid w:val="000650AA"/>
    <w:rsid w:val="00065E3F"/>
    <w:rsid w:val="00067320"/>
    <w:rsid w:val="000712B3"/>
    <w:rsid w:val="000735E9"/>
    <w:rsid w:val="00077139"/>
    <w:rsid w:val="0007757D"/>
    <w:rsid w:val="00077973"/>
    <w:rsid w:val="00080AAC"/>
    <w:rsid w:val="0008263E"/>
    <w:rsid w:val="00082C19"/>
    <w:rsid w:val="00085395"/>
    <w:rsid w:val="00087634"/>
    <w:rsid w:val="00087F2B"/>
    <w:rsid w:val="000905DC"/>
    <w:rsid w:val="00090EB4"/>
    <w:rsid w:val="000942E7"/>
    <w:rsid w:val="00096C04"/>
    <w:rsid w:val="00096CBF"/>
    <w:rsid w:val="000973D8"/>
    <w:rsid w:val="000974D1"/>
    <w:rsid w:val="0009799E"/>
    <w:rsid w:val="000A1183"/>
    <w:rsid w:val="000A256D"/>
    <w:rsid w:val="000A3A2C"/>
    <w:rsid w:val="000B0F1B"/>
    <w:rsid w:val="000B134D"/>
    <w:rsid w:val="000B30FA"/>
    <w:rsid w:val="000B460D"/>
    <w:rsid w:val="000C0664"/>
    <w:rsid w:val="000C3179"/>
    <w:rsid w:val="000C3408"/>
    <w:rsid w:val="000C4930"/>
    <w:rsid w:val="000C6AFD"/>
    <w:rsid w:val="000C718E"/>
    <w:rsid w:val="000C7A2A"/>
    <w:rsid w:val="000D0724"/>
    <w:rsid w:val="000D0D03"/>
    <w:rsid w:val="000D115B"/>
    <w:rsid w:val="000D5637"/>
    <w:rsid w:val="000D7FAA"/>
    <w:rsid w:val="000E1953"/>
    <w:rsid w:val="000E1D3C"/>
    <w:rsid w:val="000E6561"/>
    <w:rsid w:val="000E660A"/>
    <w:rsid w:val="000E6FBD"/>
    <w:rsid w:val="000E750E"/>
    <w:rsid w:val="000F4F99"/>
    <w:rsid w:val="000F5D4A"/>
    <w:rsid w:val="00100F5C"/>
    <w:rsid w:val="00101182"/>
    <w:rsid w:val="0010437D"/>
    <w:rsid w:val="00104C27"/>
    <w:rsid w:val="00104C4C"/>
    <w:rsid w:val="001114C0"/>
    <w:rsid w:val="0011343D"/>
    <w:rsid w:val="00120560"/>
    <w:rsid w:val="0012192F"/>
    <w:rsid w:val="001246AC"/>
    <w:rsid w:val="00125D69"/>
    <w:rsid w:val="0013091B"/>
    <w:rsid w:val="00130E35"/>
    <w:rsid w:val="00132CBA"/>
    <w:rsid w:val="001332DC"/>
    <w:rsid w:val="00134B0D"/>
    <w:rsid w:val="00135B21"/>
    <w:rsid w:val="001405FA"/>
    <w:rsid w:val="00141052"/>
    <w:rsid w:val="001419F8"/>
    <w:rsid w:val="001425C3"/>
    <w:rsid w:val="00145803"/>
    <w:rsid w:val="001507BF"/>
    <w:rsid w:val="00150B41"/>
    <w:rsid w:val="00151EA2"/>
    <w:rsid w:val="00154F9B"/>
    <w:rsid w:val="00160265"/>
    <w:rsid w:val="00160BE7"/>
    <w:rsid w:val="0016256B"/>
    <w:rsid w:val="00163793"/>
    <w:rsid w:val="001706D6"/>
    <w:rsid w:val="001714F2"/>
    <w:rsid w:val="00175B77"/>
    <w:rsid w:val="0017642E"/>
    <w:rsid w:val="001816A7"/>
    <w:rsid w:val="001837AB"/>
    <w:rsid w:val="001841C7"/>
    <w:rsid w:val="00184B08"/>
    <w:rsid w:val="00185010"/>
    <w:rsid w:val="00187450"/>
    <w:rsid w:val="00187560"/>
    <w:rsid w:val="001950E8"/>
    <w:rsid w:val="001A1B4B"/>
    <w:rsid w:val="001A287E"/>
    <w:rsid w:val="001A39E2"/>
    <w:rsid w:val="001A3D80"/>
    <w:rsid w:val="001A552F"/>
    <w:rsid w:val="001B2CA9"/>
    <w:rsid w:val="001B3110"/>
    <w:rsid w:val="001B38E0"/>
    <w:rsid w:val="001B4729"/>
    <w:rsid w:val="001B6C09"/>
    <w:rsid w:val="001B71DC"/>
    <w:rsid w:val="001C03B7"/>
    <w:rsid w:val="001C05CD"/>
    <w:rsid w:val="001C0A60"/>
    <w:rsid w:val="001C1F9D"/>
    <w:rsid w:val="001C2FAF"/>
    <w:rsid w:val="001C3F9F"/>
    <w:rsid w:val="001C6EC4"/>
    <w:rsid w:val="001D5777"/>
    <w:rsid w:val="001D59A2"/>
    <w:rsid w:val="001D68B2"/>
    <w:rsid w:val="001E13FC"/>
    <w:rsid w:val="001E2537"/>
    <w:rsid w:val="001E4236"/>
    <w:rsid w:val="001E4B7E"/>
    <w:rsid w:val="001F4597"/>
    <w:rsid w:val="001F489E"/>
    <w:rsid w:val="001F54F2"/>
    <w:rsid w:val="001F6264"/>
    <w:rsid w:val="001F6CA3"/>
    <w:rsid w:val="0020029A"/>
    <w:rsid w:val="002007EA"/>
    <w:rsid w:val="00201322"/>
    <w:rsid w:val="002118B9"/>
    <w:rsid w:val="00211974"/>
    <w:rsid w:val="00211C24"/>
    <w:rsid w:val="00211D5A"/>
    <w:rsid w:val="00212100"/>
    <w:rsid w:val="002147EE"/>
    <w:rsid w:val="002169FD"/>
    <w:rsid w:val="002176DD"/>
    <w:rsid w:val="00217C5B"/>
    <w:rsid w:val="0022139E"/>
    <w:rsid w:val="00222E40"/>
    <w:rsid w:val="0022342F"/>
    <w:rsid w:val="00224E36"/>
    <w:rsid w:val="00225215"/>
    <w:rsid w:val="002252E0"/>
    <w:rsid w:val="002255F6"/>
    <w:rsid w:val="002260A4"/>
    <w:rsid w:val="00227637"/>
    <w:rsid w:val="00227743"/>
    <w:rsid w:val="00227850"/>
    <w:rsid w:val="00227A53"/>
    <w:rsid w:val="00227F11"/>
    <w:rsid w:val="00230C6E"/>
    <w:rsid w:val="002314D1"/>
    <w:rsid w:val="002324E6"/>
    <w:rsid w:val="0023624E"/>
    <w:rsid w:val="00236443"/>
    <w:rsid w:val="00236A3D"/>
    <w:rsid w:val="00241114"/>
    <w:rsid w:val="002436BA"/>
    <w:rsid w:val="00244A15"/>
    <w:rsid w:val="00247319"/>
    <w:rsid w:val="00247454"/>
    <w:rsid w:val="0024799E"/>
    <w:rsid w:val="00247F22"/>
    <w:rsid w:val="00252670"/>
    <w:rsid w:val="00253C0F"/>
    <w:rsid w:val="002659EE"/>
    <w:rsid w:val="00270A68"/>
    <w:rsid w:val="00271465"/>
    <w:rsid w:val="00271E98"/>
    <w:rsid w:val="0027212B"/>
    <w:rsid w:val="002722AE"/>
    <w:rsid w:val="00274284"/>
    <w:rsid w:val="0027687C"/>
    <w:rsid w:val="00280812"/>
    <w:rsid w:val="002810C9"/>
    <w:rsid w:val="002836FC"/>
    <w:rsid w:val="0028393A"/>
    <w:rsid w:val="002839A9"/>
    <w:rsid w:val="00285412"/>
    <w:rsid w:val="0028695C"/>
    <w:rsid w:val="00292939"/>
    <w:rsid w:val="00293C04"/>
    <w:rsid w:val="00297B3D"/>
    <w:rsid w:val="002A00BE"/>
    <w:rsid w:val="002A16D4"/>
    <w:rsid w:val="002A230C"/>
    <w:rsid w:val="002A3BD9"/>
    <w:rsid w:val="002A612C"/>
    <w:rsid w:val="002B0EB6"/>
    <w:rsid w:val="002B2518"/>
    <w:rsid w:val="002C2C5A"/>
    <w:rsid w:val="002C43BD"/>
    <w:rsid w:val="002D050A"/>
    <w:rsid w:val="002D0547"/>
    <w:rsid w:val="002D0E59"/>
    <w:rsid w:val="002D2B28"/>
    <w:rsid w:val="002D4180"/>
    <w:rsid w:val="002D44D1"/>
    <w:rsid w:val="002D5211"/>
    <w:rsid w:val="002D6B67"/>
    <w:rsid w:val="002E02A1"/>
    <w:rsid w:val="002E4E4C"/>
    <w:rsid w:val="002E659F"/>
    <w:rsid w:val="002E72FD"/>
    <w:rsid w:val="002F3180"/>
    <w:rsid w:val="002F683A"/>
    <w:rsid w:val="00304771"/>
    <w:rsid w:val="003052D4"/>
    <w:rsid w:val="00306585"/>
    <w:rsid w:val="00306C5B"/>
    <w:rsid w:val="0032071C"/>
    <w:rsid w:val="003209D6"/>
    <w:rsid w:val="00321924"/>
    <w:rsid w:val="0032526E"/>
    <w:rsid w:val="00325D4D"/>
    <w:rsid w:val="00325F82"/>
    <w:rsid w:val="0032656E"/>
    <w:rsid w:val="0032771E"/>
    <w:rsid w:val="00332190"/>
    <w:rsid w:val="00333F7F"/>
    <w:rsid w:val="00335D1F"/>
    <w:rsid w:val="00340326"/>
    <w:rsid w:val="00342D30"/>
    <w:rsid w:val="00343003"/>
    <w:rsid w:val="00344668"/>
    <w:rsid w:val="0034569C"/>
    <w:rsid w:val="003462D9"/>
    <w:rsid w:val="00350163"/>
    <w:rsid w:val="00356276"/>
    <w:rsid w:val="00356E54"/>
    <w:rsid w:val="00357608"/>
    <w:rsid w:val="00360C86"/>
    <w:rsid w:val="003657F3"/>
    <w:rsid w:val="003659B5"/>
    <w:rsid w:val="00373F42"/>
    <w:rsid w:val="00376BEB"/>
    <w:rsid w:val="0038146E"/>
    <w:rsid w:val="003818DC"/>
    <w:rsid w:val="003836FE"/>
    <w:rsid w:val="00384327"/>
    <w:rsid w:val="003848BA"/>
    <w:rsid w:val="00385632"/>
    <w:rsid w:val="00385D98"/>
    <w:rsid w:val="00392CE3"/>
    <w:rsid w:val="00394058"/>
    <w:rsid w:val="003953E3"/>
    <w:rsid w:val="0039748D"/>
    <w:rsid w:val="00397624"/>
    <w:rsid w:val="00397752"/>
    <w:rsid w:val="003A2B4D"/>
    <w:rsid w:val="003A478C"/>
    <w:rsid w:val="003A5525"/>
    <w:rsid w:val="003A6B38"/>
    <w:rsid w:val="003A73B4"/>
    <w:rsid w:val="003B0149"/>
    <w:rsid w:val="003B5A32"/>
    <w:rsid w:val="003C0245"/>
    <w:rsid w:val="003C3490"/>
    <w:rsid w:val="003C38B9"/>
    <w:rsid w:val="003C4516"/>
    <w:rsid w:val="003C5708"/>
    <w:rsid w:val="003C693F"/>
    <w:rsid w:val="003C7835"/>
    <w:rsid w:val="003D19BB"/>
    <w:rsid w:val="003D4AF9"/>
    <w:rsid w:val="003D53AC"/>
    <w:rsid w:val="003D57CA"/>
    <w:rsid w:val="003D6920"/>
    <w:rsid w:val="003D7DE1"/>
    <w:rsid w:val="003E3425"/>
    <w:rsid w:val="003E4C26"/>
    <w:rsid w:val="003E4C91"/>
    <w:rsid w:val="003F14A1"/>
    <w:rsid w:val="003F313C"/>
    <w:rsid w:val="003F4142"/>
    <w:rsid w:val="003F4B2C"/>
    <w:rsid w:val="003F551C"/>
    <w:rsid w:val="003F736D"/>
    <w:rsid w:val="003F7D23"/>
    <w:rsid w:val="004003A6"/>
    <w:rsid w:val="0040170A"/>
    <w:rsid w:val="00402E1F"/>
    <w:rsid w:val="004064F5"/>
    <w:rsid w:val="00407C13"/>
    <w:rsid w:val="00410638"/>
    <w:rsid w:val="00413FD5"/>
    <w:rsid w:val="00414A29"/>
    <w:rsid w:val="004164CD"/>
    <w:rsid w:val="00416788"/>
    <w:rsid w:val="004176F9"/>
    <w:rsid w:val="00423E4D"/>
    <w:rsid w:val="00424BB8"/>
    <w:rsid w:val="00426532"/>
    <w:rsid w:val="00426913"/>
    <w:rsid w:val="00426CBB"/>
    <w:rsid w:val="004273EA"/>
    <w:rsid w:val="004276F9"/>
    <w:rsid w:val="00427C3C"/>
    <w:rsid w:val="004328CC"/>
    <w:rsid w:val="00432A58"/>
    <w:rsid w:val="004339DC"/>
    <w:rsid w:val="00434617"/>
    <w:rsid w:val="0043575A"/>
    <w:rsid w:val="004404D5"/>
    <w:rsid w:val="00440900"/>
    <w:rsid w:val="004441A0"/>
    <w:rsid w:val="00444CC0"/>
    <w:rsid w:val="00447920"/>
    <w:rsid w:val="004509BE"/>
    <w:rsid w:val="00451C95"/>
    <w:rsid w:val="00452DDB"/>
    <w:rsid w:val="00457857"/>
    <w:rsid w:val="00460FB3"/>
    <w:rsid w:val="00462930"/>
    <w:rsid w:val="004667B7"/>
    <w:rsid w:val="0046706B"/>
    <w:rsid w:val="0047153B"/>
    <w:rsid w:val="00471745"/>
    <w:rsid w:val="00473CA9"/>
    <w:rsid w:val="00476240"/>
    <w:rsid w:val="00476439"/>
    <w:rsid w:val="0047735C"/>
    <w:rsid w:val="004776BC"/>
    <w:rsid w:val="0048139F"/>
    <w:rsid w:val="00481E40"/>
    <w:rsid w:val="00484AE5"/>
    <w:rsid w:val="00484ECE"/>
    <w:rsid w:val="00486AC5"/>
    <w:rsid w:val="004900FF"/>
    <w:rsid w:val="0049038F"/>
    <w:rsid w:val="004903E6"/>
    <w:rsid w:val="004915CB"/>
    <w:rsid w:val="00491E25"/>
    <w:rsid w:val="004924DC"/>
    <w:rsid w:val="00493B22"/>
    <w:rsid w:val="00495C30"/>
    <w:rsid w:val="0049659B"/>
    <w:rsid w:val="004A14E4"/>
    <w:rsid w:val="004A3212"/>
    <w:rsid w:val="004A3C46"/>
    <w:rsid w:val="004A51D1"/>
    <w:rsid w:val="004A61C5"/>
    <w:rsid w:val="004A77DF"/>
    <w:rsid w:val="004B1417"/>
    <w:rsid w:val="004B55B7"/>
    <w:rsid w:val="004B5602"/>
    <w:rsid w:val="004B643F"/>
    <w:rsid w:val="004B6468"/>
    <w:rsid w:val="004B7408"/>
    <w:rsid w:val="004C158B"/>
    <w:rsid w:val="004C3442"/>
    <w:rsid w:val="004C351F"/>
    <w:rsid w:val="004C368D"/>
    <w:rsid w:val="004C384C"/>
    <w:rsid w:val="004C3867"/>
    <w:rsid w:val="004C4CD0"/>
    <w:rsid w:val="004C70DC"/>
    <w:rsid w:val="004D0211"/>
    <w:rsid w:val="004D0794"/>
    <w:rsid w:val="004D1687"/>
    <w:rsid w:val="004D3824"/>
    <w:rsid w:val="004D3E89"/>
    <w:rsid w:val="004D461C"/>
    <w:rsid w:val="004D71C7"/>
    <w:rsid w:val="004E2F0E"/>
    <w:rsid w:val="004E6446"/>
    <w:rsid w:val="004F06F5"/>
    <w:rsid w:val="004F315B"/>
    <w:rsid w:val="004F33A0"/>
    <w:rsid w:val="004F40AD"/>
    <w:rsid w:val="004F6E6F"/>
    <w:rsid w:val="004F7950"/>
    <w:rsid w:val="00500A8A"/>
    <w:rsid w:val="00502CFD"/>
    <w:rsid w:val="005108C0"/>
    <w:rsid w:val="00511873"/>
    <w:rsid w:val="00511F86"/>
    <w:rsid w:val="00512A2F"/>
    <w:rsid w:val="00513B7E"/>
    <w:rsid w:val="00515C74"/>
    <w:rsid w:val="0052007E"/>
    <w:rsid w:val="00523241"/>
    <w:rsid w:val="0052337A"/>
    <w:rsid w:val="0052370F"/>
    <w:rsid w:val="00523966"/>
    <w:rsid w:val="00525137"/>
    <w:rsid w:val="005251DD"/>
    <w:rsid w:val="005253D4"/>
    <w:rsid w:val="0053040F"/>
    <w:rsid w:val="00532CE7"/>
    <w:rsid w:val="0053324C"/>
    <w:rsid w:val="0053465C"/>
    <w:rsid w:val="00534A28"/>
    <w:rsid w:val="0053642C"/>
    <w:rsid w:val="00541508"/>
    <w:rsid w:val="0055143A"/>
    <w:rsid w:val="005514F1"/>
    <w:rsid w:val="0055599F"/>
    <w:rsid w:val="00556D68"/>
    <w:rsid w:val="005647BF"/>
    <w:rsid w:val="00564B68"/>
    <w:rsid w:val="005713CE"/>
    <w:rsid w:val="0057364B"/>
    <w:rsid w:val="005738A2"/>
    <w:rsid w:val="00574773"/>
    <w:rsid w:val="005748D1"/>
    <w:rsid w:val="0057678D"/>
    <w:rsid w:val="005810D7"/>
    <w:rsid w:val="00583FFD"/>
    <w:rsid w:val="0058401F"/>
    <w:rsid w:val="005846F4"/>
    <w:rsid w:val="00586002"/>
    <w:rsid w:val="00586DF8"/>
    <w:rsid w:val="005911BE"/>
    <w:rsid w:val="00591958"/>
    <w:rsid w:val="00593152"/>
    <w:rsid w:val="0059384C"/>
    <w:rsid w:val="00594DEB"/>
    <w:rsid w:val="00597C1B"/>
    <w:rsid w:val="005A0011"/>
    <w:rsid w:val="005A0D51"/>
    <w:rsid w:val="005A10F2"/>
    <w:rsid w:val="005A1179"/>
    <w:rsid w:val="005A21E0"/>
    <w:rsid w:val="005A28FF"/>
    <w:rsid w:val="005A3DF8"/>
    <w:rsid w:val="005A3E60"/>
    <w:rsid w:val="005A51CF"/>
    <w:rsid w:val="005A5549"/>
    <w:rsid w:val="005B121D"/>
    <w:rsid w:val="005B2912"/>
    <w:rsid w:val="005B5A07"/>
    <w:rsid w:val="005B66A5"/>
    <w:rsid w:val="005B73E7"/>
    <w:rsid w:val="005C06ED"/>
    <w:rsid w:val="005C0714"/>
    <w:rsid w:val="005D02BF"/>
    <w:rsid w:val="005D247C"/>
    <w:rsid w:val="005D2DE7"/>
    <w:rsid w:val="005D38EE"/>
    <w:rsid w:val="005D46B3"/>
    <w:rsid w:val="005D5802"/>
    <w:rsid w:val="005D7890"/>
    <w:rsid w:val="005E1408"/>
    <w:rsid w:val="005E2A64"/>
    <w:rsid w:val="005E50D4"/>
    <w:rsid w:val="005E7C78"/>
    <w:rsid w:val="005F05E5"/>
    <w:rsid w:val="005F1A99"/>
    <w:rsid w:val="005F3EB1"/>
    <w:rsid w:val="005F4414"/>
    <w:rsid w:val="005F5469"/>
    <w:rsid w:val="005F6BE4"/>
    <w:rsid w:val="006011C1"/>
    <w:rsid w:val="006016C8"/>
    <w:rsid w:val="006017B8"/>
    <w:rsid w:val="00601A38"/>
    <w:rsid w:val="00603134"/>
    <w:rsid w:val="00604307"/>
    <w:rsid w:val="0060487F"/>
    <w:rsid w:val="00604EAD"/>
    <w:rsid w:val="00606BF5"/>
    <w:rsid w:val="006077D3"/>
    <w:rsid w:val="006104FB"/>
    <w:rsid w:val="00612A2F"/>
    <w:rsid w:val="00613256"/>
    <w:rsid w:val="00613F21"/>
    <w:rsid w:val="00614EC7"/>
    <w:rsid w:val="006159C3"/>
    <w:rsid w:val="00616301"/>
    <w:rsid w:val="00616BC7"/>
    <w:rsid w:val="00616E05"/>
    <w:rsid w:val="00622950"/>
    <w:rsid w:val="00622A01"/>
    <w:rsid w:val="00622A1B"/>
    <w:rsid w:val="006239F8"/>
    <w:rsid w:val="00624093"/>
    <w:rsid w:val="00624BD3"/>
    <w:rsid w:val="00626FCD"/>
    <w:rsid w:val="00630A63"/>
    <w:rsid w:val="006332C5"/>
    <w:rsid w:val="00636335"/>
    <w:rsid w:val="0063722E"/>
    <w:rsid w:val="006404A7"/>
    <w:rsid w:val="006420BD"/>
    <w:rsid w:val="00644328"/>
    <w:rsid w:val="006451E4"/>
    <w:rsid w:val="00645B33"/>
    <w:rsid w:val="00646AB3"/>
    <w:rsid w:val="00646CD9"/>
    <w:rsid w:val="00646FC4"/>
    <w:rsid w:val="006516CB"/>
    <w:rsid w:val="00652D78"/>
    <w:rsid w:val="00652FB3"/>
    <w:rsid w:val="00657E87"/>
    <w:rsid w:val="00662AB8"/>
    <w:rsid w:val="00663707"/>
    <w:rsid w:val="00664803"/>
    <w:rsid w:val="00665BA4"/>
    <w:rsid w:val="00666E59"/>
    <w:rsid w:val="00667AF2"/>
    <w:rsid w:val="006710C9"/>
    <w:rsid w:val="00673327"/>
    <w:rsid w:val="00673A56"/>
    <w:rsid w:val="00674D89"/>
    <w:rsid w:val="00675E37"/>
    <w:rsid w:val="0067624D"/>
    <w:rsid w:val="00680B6E"/>
    <w:rsid w:val="00681431"/>
    <w:rsid w:val="0068174E"/>
    <w:rsid w:val="00681DCE"/>
    <w:rsid w:val="0068260E"/>
    <w:rsid w:val="00683A05"/>
    <w:rsid w:val="006935A9"/>
    <w:rsid w:val="0069580C"/>
    <w:rsid w:val="00695BEF"/>
    <w:rsid w:val="00695CB6"/>
    <w:rsid w:val="006975DC"/>
    <w:rsid w:val="006977F6"/>
    <w:rsid w:val="00697A13"/>
    <w:rsid w:val="00697F63"/>
    <w:rsid w:val="006A109C"/>
    <w:rsid w:val="006A1C32"/>
    <w:rsid w:val="006A2759"/>
    <w:rsid w:val="006B344A"/>
    <w:rsid w:val="006B625D"/>
    <w:rsid w:val="006B78D8"/>
    <w:rsid w:val="006C113F"/>
    <w:rsid w:val="006C123E"/>
    <w:rsid w:val="006C4B64"/>
    <w:rsid w:val="006C56D4"/>
    <w:rsid w:val="006C6924"/>
    <w:rsid w:val="006C7CA6"/>
    <w:rsid w:val="006D3545"/>
    <w:rsid w:val="006D3B0E"/>
    <w:rsid w:val="006D3E8A"/>
    <w:rsid w:val="006D4689"/>
    <w:rsid w:val="006D61F6"/>
    <w:rsid w:val="006E17CA"/>
    <w:rsid w:val="006E279A"/>
    <w:rsid w:val="006E313B"/>
    <w:rsid w:val="006E50DA"/>
    <w:rsid w:val="006F09B1"/>
    <w:rsid w:val="006F308B"/>
    <w:rsid w:val="006F5416"/>
    <w:rsid w:val="006F7137"/>
    <w:rsid w:val="00700619"/>
    <w:rsid w:val="007012BE"/>
    <w:rsid w:val="0070321E"/>
    <w:rsid w:val="00706AD4"/>
    <w:rsid w:val="00706F54"/>
    <w:rsid w:val="007126F2"/>
    <w:rsid w:val="007140BE"/>
    <w:rsid w:val="00716171"/>
    <w:rsid w:val="007171DF"/>
    <w:rsid w:val="00717C41"/>
    <w:rsid w:val="007211F5"/>
    <w:rsid w:val="00725BB5"/>
    <w:rsid w:val="00730AE8"/>
    <w:rsid w:val="00730CF1"/>
    <w:rsid w:val="0073155B"/>
    <w:rsid w:val="00736802"/>
    <w:rsid w:val="00741493"/>
    <w:rsid w:val="00743DF9"/>
    <w:rsid w:val="00744826"/>
    <w:rsid w:val="00746184"/>
    <w:rsid w:val="00747380"/>
    <w:rsid w:val="00747760"/>
    <w:rsid w:val="007516B7"/>
    <w:rsid w:val="00751897"/>
    <w:rsid w:val="00752180"/>
    <w:rsid w:val="00755202"/>
    <w:rsid w:val="00755D3A"/>
    <w:rsid w:val="007578D3"/>
    <w:rsid w:val="007609C6"/>
    <w:rsid w:val="0076175D"/>
    <w:rsid w:val="00764479"/>
    <w:rsid w:val="0076521E"/>
    <w:rsid w:val="007661E9"/>
    <w:rsid w:val="007727CC"/>
    <w:rsid w:val="00776169"/>
    <w:rsid w:val="00776344"/>
    <w:rsid w:val="00776527"/>
    <w:rsid w:val="00776589"/>
    <w:rsid w:val="00777221"/>
    <w:rsid w:val="007808A4"/>
    <w:rsid w:val="00780EF1"/>
    <w:rsid w:val="00786F49"/>
    <w:rsid w:val="007871A3"/>
    <w:rsid w:val="007904AD"/>
    <w:rsid w:val="00790764"/>
    <w:rsid w:val="00793E9A"/>
    <w:rsid w:val="0079453C"/>
    <w:rsid w:val="00794677"/>
    <w:rsid w:val="00796BEA"/>
    <w:rsid w:val="00797DFA"/>
    <w:rsid w:val="007A0E34"/>
    <w:rsid w:val="007A1450"/>
    <w:rsid w:val="007A3C70"/>
    <w:rsid w:val="007A4684"/>
    <w:rsid w:val="007A576A"/>
    <w:rsid w:val="007A5788"/>
    <w:rsid w:val="007B3FD3"/>
    <w:rsid w:val="007B6689"/>
    <w:rsid w:val="007C1321"/>
    <w:rsid w:val="007C44D1"/>
    <w:rsid w:val="007C6462"/>
    <w:rsid w:val="007D344C"/>
    <w:rsid w:val="007D3CE1"/>
    <w:rsid w:val="007D40DF"/>
    <w:rsid w:val="007D4AB4"/>
    <w:rsid w:val="007D4B97"/>
    <w:rsid w:val="007D4D0E"/>
    <w:rsid w:val="007D5BCF"/>
    <w:rsid w:val="007D6615"/>
    <w:rsid w:val="007D722E"/>
    <w:rsid w:val="007D7442"/>
    <w:rsid w:val="007E0E6D"/>
    <w:rsid w:val="007E0FF5"/>
    <w:rsid w:val="007E6387"/>
    <w:rsid w:val="007E7E61"/>
    <w:rsid w:val="007F0845"/>
    <w:rsid w:val="007F43D9"/>
    <w:rsid w:val="007F60D0"/>
    <w:rsid w:val="0080459C"/>
    <w:rsid w:val="00804A97"/>
    <w:rsid w:val="00807C82"/>
    <w:rsid w:val="00815C1F"/>
    <w:rsid w:val="00816905"/>
    <w:rsid w:val="00816B12"/>
    <w:rsid w:val="00817845"/>
    <w:rsid w:val="00821FF6"/>
    <w:rsid w:val="00824910"/>
    <w:rsid w:val="00825C4D"/>
    <w:rsid w:val="00830433"/>
    <w:rsid w:val="0083115C"/>
    <w:rsid w:val="0083143E"/>
    <w:rsid w:val="00831CDE"/>
    <w:rsid w:val="00834304"/>
    <w:rsid w:val="00834FAA"/>
    <w:rsid w:val="00836086"/>
    <w:rsid w:val="008402E2"/>
    <w:rsid w:val="008407D6"/>
    <w:rsid w:val="00843DC1"/>
    <w:rsid w:val="0084708F"/>
    <w:rsid w:val="008477C8"/>
    <w:rsid w:val="0085114D"/>
    <w:rsid w:val="0085208D"/>
    <w:rsid w:val="00852217"/>
    <w:rsid w:val="00853A82"/>
    <w:rsid w:val="00855408"/>
    <w:rsid w:val="00856901"/>
    <w:rsid w:val="00856905"/>
    <w:rsid w:val="00856D65"/>
    <w:rsid w:val="00861B41"/>
    <w:rsid w:val="00863434"/>
    <w:rsid w:val="008644B0"/>
    <w:rsid w:val="0086547C"/>
    <w:rsid w:val="00865E4C"/>
    <w:rsid w:val="008701E4"/>
    <w:rsid w:val="00870415"/>
    <w:rsid w:val="008705B8"/>
    <w:rsid w:val="00872BA9"/>
    <w:rsid w:val="00873E37"/>
    <w:rsid w:val="00874B90"/>
    <w:rsid w:val="00874CCD"/>
    <w:rsid w:val="00875A32"/>
    <w:rsid w:val="00876086"/>
    <w:rsid w:val="0088118E"/>
    <w:rsid w:val="00881BB6"/>
    <w:rsid w:val="0088355E"/>
    <w:rsid w:val="008867CE"/>
    <w:rsid w:val="008873D4"/>
    <w:rsid w:val="00892699"/>
    <w:rsid w:val="00893E85"/>
    <w:rsid w:val="00894031"/>
    <w:rsid w:val="008A1148"/>
    <w:rsid w:val="008A2643"/>
    <w:rsid w:val="008A4672"/>
    <w:rsid w:val="008B2F72"/>
    <w:rsid w:val="008B6DAE"/>
    <w:rsid w:val="008B7C02"/>
    <w:rsid w:val="008B7D2B"/>
    <w:rsid w:val="008C0049"/>
    <w:rsid w:val="008C0E88"/>
    <w:rsid w:val="008C74AD"/>
    <w:rsid w:val="008D034E"/>
    <w:rsid w:val="008D0CBD"/>
    <w:rsid w:val="008D1E6A"/>
    <w:rsid w:val="008D2A16"/>
    <w:rsid w:val="008D46BC"/>
    <w:rsid w:val="008D5947"/>
    <w:rsid w:val="008E2C57"/>
    <w:rsid w:val="008E31FF"/>
    <w:rsid w:val="008E3757"/>
    <w:rsid w:val="008E6F06"/>
    <w:rsid w:val="008F029B"/>
    <w:rsid w:val="008F0ADE"/>
    <w:rsid w:val="008F3FC9"/>
    <w:rsid w:val="008F585B"/>
    <w:rsid w:val="008F6A50"/>
    <w:rsid w:val="008F6FAC"/>
    <w:rsid w:val="009003A8"/>
    <w:rsid w:val="00901727"/>
    <w:rsid w:val="00902500"/>
    <w:rsid w:val="00902EFF"/>
    <w:rsid w:val="009038A8"/>
    <w:rsid w:val="00906401"/>
    <w:rsid w:val="0090703E"/>
    <w:rsid w:val="009076C1"/>
    <w:rsid w:val="0090798B"/>
    <w:rsid w:val="0091155E"/>
    <w:rsid w:val="00912423"/>
    <w:rsid w:val="009126A8"/>
    <w:rsid w:val="00912A92"/>
    <w:rsid w:val="0091728D"/>
    <w:rsid w:val="00921275"/>
    <w:rsid w:val="0092180B"/>
    <w:rsid w:val="00921F14"/>
    <w:rsid w:val="00924873"/>
    <w:rsid w:val="00924AC8"/>
    <w:rsid w:val="0092558E"/>
    <w:rsid w:val="0092597A"/>
    <w:rsid w:val="00932443"/>
    <w:rsid w:val="009364DE"/>
    <w:rsid w:val="00937AE2"/>
    <w:rsid w:val="0094286D"/>
    <w:rsid w:val="0094427A"/>
    <w:rsid w:val="00944345"/>
    <w:rsid w:val="00947E4F"/>
    <w:rsid w:val="00950892"/>
    <w:rsid w:val="00954833"/>
    <w:rsid w:val="009600A4"/>
    <w:rsid w:val="00964646"/>
    <w:rsid w:val="00965B11"/>
    <w:rsid w:val="00967836"/>
    <w:rsid w:val="0097122A"/>
    <w:rsid w:val="009718EA"/>
    <w:rsid w:val="00972D73"/>
    <w:rsid w:val="00974432"/>
    <w:rsid w:val="00974923"/>
    <w:rsid w:val="00976CB5"/>
    <w:rsid w:val="00977938"/>
    <w:rsid w:val="00980D3D"/>
    <w:rsid w:val="009814C8"/>
    <w:rsid w:val="009821FB"/>
    <w:rsid w:val="00983ED1"/>
    <w:rsid w:val="00987A30"/>
    <w:rsid w:val="00990D82"/>
    <w:rsid w:val="00992CF3"/>
    <w:rsid w:val="00992FFC"/>
    <w:rsid w:val="00993BE4"/>
    <w:rsid w:val="00995191"/>
    <w:rsid w:val="00995618"/>
    <w:rsid w:val="00996263"/>
    <w:rsid w:val="009968D6"/>
    <w:rsid w:val="009A1CAB"/>
    <w:rsid w:val="009A2506"/>
    <w:rsid w:val="009A5F22"/>
    <w:rsid w:val="009A60D1"/>
    <w:rsid w:val="009A6739"/>
    <w:rsid w:val="009A765F"/>
    <w:rsid w:val="009A7D47"/>
    <w:rsid w:val="009B1A33"/>
    <w:rsid w:val="009B6FD3"/>
    <w:rsid w:val="009C01B7"/>
    <w:rsid w:val="009C16E3"/>
    <w:rsid w:val="009C1750"/>
    <w:rsid w:val="009C2E29"/>
    <w:rsid w:val="009C554B"/>
    <w:rsid w:val="009C719E"/>
    <w:rsid w:val="009D1C60"/>
    <w:rsid w:val="009D3ACD"/>
    <w:rsid w:val="009D6B76"/>
    <w:rsid w:val="009E0097"/>
    <w:rsid w:val="009E2B02"/>
    <w:rsid w:val="009E4026"/>
    <w:rsid w:val="009E5273"/>
    <w:rsid w:val="009E5DDB"/>
    <w:rsid w:val="009F04D3"/>
    <w:rsid w:val="009F2209"/>
    <w:rsid w:val="009F4CA7"/>
    <w:rsid w:val="009F50B5"/>
    <w:rsid w:val="00A000D7"/>
    <w:rsid w:val="00A0199F"/>
    <w:rsid w:val="00A03844"/>
    <w:rsid w:val="00A05377"/>
    <w:rsid w:val="00A0629C"/>
    <w:rsid w:val="00A107DD"/>
    <w:rsid w:val="00A10D66"/>
    <w:rsid w:val="00A14114"/>
    <w:rsid w:val="00A15072"/>
    <w:rsid w:val="00A16413"/>
    <w:rsid w:val="00A174F2"/>
    <w:rsid w:val="00A20608"/>
    <w:rsid w:val="00A23696"/>
    <w:rsid w:val="00A23E43"/>
    <w:rsid w:val="00A24E70"/>
    <w:rsid w:val="00A25063"/>
    <w:rsid w:val="00A2545E"/>
    <w:rsid w:val="00A25DB6"/>
    <w:rsid w:val="00A30916"/>
    <w:rsid w:val="00A30F65"/>
    <w:rsid w:val="00A323D9"/>
    <w:rsid w:val="00A32584"/>
    <w:rsid w:val="00A3466F"/>
    <w:rsid w:val="00A34C27"/>
    <w:rsid w:val="00A405AE"/>
    <w:rsid w:val="00A418BC"/>
    <w:rsid w:val="00A42994"/>
    <w:rsid w:val="00A4304A"/>
    <w:rsid w:val="00A46DE0"/>
    <w:rsid w:val="00A50329"/>
    <w:rsid w:val="00A50394"/>
    <w:rsid w:val="00A50D73"/>
    <w:rsid w:val="00A5232D"/>
    <w:rsid w:val="00A52CAD"/>
    <w:rsid w:val="00A530DD"/>
    <w:rsid w:val="00A53BEC"/>
    <w:rsid w:val="00A53FC7"/>
    <w:rsid w:val="00A54451"/>
    <w:rsid w:val="00A56D3C"/>
    <w:rsid w:val="00A56DCE"/>
    <w:rsid w:val="00A570BE"/>
    <w:rsid w:val="00A57A09"/>
    <w:rsid w:val="00A6032E"/>
    <w:rsid w:val="00A60986"/>
    <w:rsid w:val="00A62CE1"/>
    <w:rsid w:val="00A633A3"/>
    <w:rsid w:val="00A67415"/>
    <w:rsid w:val="00A6741E"/>
    <w:rsid w:val="00A67E73"/>
    <w:rsid w:val="00A7127A"/>
    <w:rsid w:val="00A73844"/>
    <w:rsid w:val="00A73BCB"/>
    <w:rsid w:val="00A75E40"/>
    <w:rsid w:val="00A77D1D"/>
    <w:rsid w:val="00A81F66"/>
    <w:rsid w:val="00A857C0"/>
    <w:rsid w:val="00A9180F"/>
    <w:rsid w:val="00A95AE7"/>
    <w:rsid w:val="00AA2996"/>
    <w:rsid w:val="00AA52BF"/>
    <w:rsid w:val="00AA559A"/>
    <w:rsid w:val="00AB11A0"/>
    <w:rsid w:val="00AB2AF1"/>
    <w:rsid w:val="00AB3951"/>
    <w:rsid w:val="00AB5663"/>
    <w:rsid w:val="00AC1381"/>
    <w:rsid w:val="00AC4E8D"/>
    <w:rsid w:val="00AC5B96"/>
    <w:rsid w:val="00AD0509"/>
    <w:rsid w:val="00AD0A5E"/>
    <w:rsid w:val="00AD306C"/>
    <w:rsid w:val="00AD6465"/>
    <w:rsid w:val="00AE09B3"/>
    <w:rsid w:val="00AE1A83"/>
    <w:rsid w:val="00AE49F3"/>
    <w:rsid w:val="00AF0C24"/>
    <w:rsid w:val="00AF0F32"/>
    <w:rsid w:val="00AF3C7B"/>
    <w:rsid w:val="00AF4C2E"/>
    <w:rsid w:val="00AF75D5"/>
    <w:rsid w:val="00B00913"/>
    <w:rsid w:val="00B01593"/>
    <w:rsid w:val="00B043F7"/>
    <w:rsid w:val="00B05585"/>
    <w:rsid w:val="00B05EA7"/>
    <w:rsid w:val="00B075B8"/>
    <w:rsid w:val="00B07AA9"/>
    <w:rsid w:val="00B10A4D"/>
    <w:rsid w:val="00B12DAA"/>
    <w:rsid w:val="00B13471"/>
    <w:rsid w:val="00B16121"/>
    <w:rsid w:val="00B163C1"/>
    <w:rsid w:val="00B17E71"/>
    <w:rsid w:val="00B17FDE"/>
    <w:rsid w:val="00B2379C"/>
    <w:rsid w:val="00B23B8F"/>
    <w:rsid w:val="00B2687D"/>
    <w:rsid w:val="00B32DDB"/>
    <w:rsid w:val="00B34528"/>
    <w:rsid w:val="00B35525"/>
    <w:rsid w:val="00B35B7B"/>
    <w:rsid w:val="00B37F26"/>
    <w:rsid w:val="00B402FC"/>
    <w:rsid w:val="00B40D08"/>
    <w:rsid w:val="00B40D6F"/>
    <w:rsid w:val="00B4447D"/>
    <w:rsid w:val="00B4533A"/>
    <w:rsid w:val="00B45D48"/>
    <w:rsid w:val="00B46604"/>
    <w:rsid w:val="00B52882"/>
    <w:rsid w:val="00B5308A"/>
    <w:rsid w:val="00B530CD"/>
    <w:rsid w:val="00B55F5E"/>
    <w:rsid w:val="00B563D9"/>
    <w:rsid w:val="00B5752E"/>
    <w:rsid w:val="00B60414"/>
    <w:rsid w:val="00B617A5"/>
    <w:rsid w:val="00B63590"/>
    <w:rsid w:val="00B63A11"/>
    <w:rsid w:val="00B6429C"/>
    <w:rsid w:val="00B64C24"/>
    <w:rsid w:val="00B65FC7"/>
    <w:rsid w:val="00B6608F"/>
    <w:rsid w:val="00B679FB"/>
    <w:rsid w:val="00B769EA"/>
    <w:rsid w:val="00B76D1E"/>
    <w:rsid w:val="00B80EC6"/>
    <w:rsid w:val="00B8222F"/>
    <w:rsid w:val="00B8227C"/>
    <w:rsid w:val="00B82765"/>
    <w:rsid w:val="00B82B41"/>
    <w:rsid w:val="00B848EA"/>
    <w:rsid w:val="00B853FE"/>
    <w:rsid w:val="00B85B48"/>
    <w:rsid w:val="00B92D1D"/>
    <w:rsid w:val="00B938C5"/>
    <w:rsid w:val="00B95940"/>
    <w:rsid w:val="00B964A8"/>
    <w:rsid w:val="00B9722C"/>
    <w:rsid w:val="00BA133F"/>
    <w:rsid w:val="00BA17EF"/>
    <w:rsid w:val="00BA57ED"/>
    <w:rsid w:val="00BB439E"/>
    <w:rsid w:val="00BB46F3"/>
    <w:rsid w:val="00BB4CB1"/>
    <w:rsid w:val="00BB4F98"/>
    <w:rsid w:val="00BB5F44"/>
    <w:rsid w:val="00BC0E20"/>
    <w:rsid w:val="00BC62C3"/>
    <w:rsid w:val="00BC7154"/>
    <w:rsid w:val="00BD3114"/>
    <w:rsid w:val="00BD366B"/>
    <w:rsid w:val="00BD5355"/>
    <w:rsid w:val="00BD6D50"/>
    <w:rsid w:val="00BE0698"/>
    <w:rsid w:val="00BE18B9"/>
    <w:rsid w:val="00BE2495"/>
    <w:rsid w:val="00BE2FF5"/>
    <w:rsid w:val="00BE3071"/>
    <w:rsid w:val="00BF1578"/>
    <w:rsid w:val="00BF1949"/>
    <w:rsid w:val="00BF2945"/>
    <w:rsid w:val="00BF36FE"/>
    <w:rsid w:val="00BF76B8"/>
    <w:rsid w:val="00C0283D"/>
    <w:rsid w:val="00C0570F"/>
    <w:rsid w:val="00C10142"/>
    <w:rsid w:val="00C11DEA"/>
    <w:rsid w:val="00C160EE"/>
    <w:rsid w:val="00C1774E"/>
    <w:rsid w:val="00C201E8"/>
    <w:rsid w:val="00C21755"/>
    <w:rsid w:val="00C21F94"/>
    <w:rsid w:val="00C25E3F"/>
    <w:rsid w:val="00C266B7"/>
    <w:rsid w:val="00C26D9C"/>
    <w:rsid w:val="00C27913"/>
    <w:rsid w:val="00C27ECC"/>
    <w:rsid w:val="00C30DEF"/>
    <w:rsid w:val="00C33B68"/>
    <w:rsid w:val="00C36A79"/>
    <w:rsid w:val="00C405D4"/>
    <w:rsid w:val="00C40888"/>
    <w:rsid w:val="00C4513B"/>
    <w:rsid w:val="00C470CE"/>
    <w:rsid w:val="00C47D28"/>
    <w:rsid w:val="00C54697"/>
    <w:rsid w:val="00C54F8F"/>
    <w:rsid w:val="00C5622D"/>
    <w:rsid w:val="00C60C1E"/>
    <w:rsid w:val="00C61FC2"/>
    <w:rsid w:val="00C634FA"/>
    <w:rsid w:val="00C64BB2"/>
    <w:rsid w:val="00C65C14"/>
    <w:rsid w:val="00C67420"/>
    <w:rsid w:val="00C709E0"/>
    <w:rsid w:val="00C73885"/>
    <w:rsid w:val="00C747B1"/>
    <w:rsid w:val="00C7692D"/>
    <w:rsid w:val="00C810F6"/>
    <w:rsid w:val="00C82191"/>
    <w:rsid w:val="00C8424F"/>
    <w:rsid w:val="00C90CF4"/>
    <w:rsid w:val="00C91C61"/>
    <w:rsid w:val="00C92EB6"/>
    <w:rsid w:val="00C93389"/>
    <w:rsid w:val="00C94104"/>
    <w:rsid w:val="00C94A83"/>
    <w:rsid w:val="00CA3A32"/>
    <w:rsid w:val="00CA6ACC"/>
    <w:rsid w:val="00CB24DC"/>
    <w:rsid w:val="00CB3B8B"/>
    <w:rsid w:val="00CB4930"/>
    <w:rsid w:val="00CC2E7D"/>
    <w:rsid w:val="00CD0FE2"/>
    <w:rsid w:val="00CD10A5"/>
    <w:rsid w:val="00CD2044"/>
    <w:rsid w:val="00CD2076"/>
    <w:rsid w:val="00CE0AE2"/>
    <w:rsid w:val="00CE2DE6"/>
    <w:rsid w:val="00CE670B"/>
    <w:rsid w:val="00CE716F"/>
    <w:rsid w:val="00CF2AE3"/>
    <w:rsid w:val="00CF324E"/>
    <w:rsid w:val="00CF51EC"/>
    <w:rsid w:val="00CF6045"/>
    <w:rsid w:val="00CF73AE"/>
    <w:rsid w:val="00CF7F7C"/>
    <w:rsid w:val="00D0304B"/>
    <w:rsid w:val="00D040DD"/>
    <w:rsid w:val="00D04E04"/>
    <w:rsid w:val="00D1324F"/>
    <w:rsid w:val="00D13986"/>
    <w:rsid w:val="00D15C07"/>
    <w:rsid w:val="00D218AE"/>
    <w:rsid w:val="00D21DBA"/>
    <w:rsid w:val="00D227E2"/>
    <w:rsid w:val="00D235B7"/>
    <w:rsid w:val="00D25F28"/>
    <w:rsid w:val="00D267A3"/>
    <w:rsid w:val="00D27973"/>
    <w:rsid w:val="00D32346"/>
    <w:rsid w:val="00D328E7"/>
    <w:rsid w:val="00D33816"/>
    <w:rsid w:val="00D36727"/>
    <w:rsid w:val="00D467CF"/>
    <w:rsid w:val="00D50F46"/>
    <w:rsid w:val="00D53564"/>
    <w:rsid w:val="00D55123"/>
    <w:rsid w:val="00D551AB"/>
    <w:rsid w:val="00D5554D"/>
    <w:rsid w:val="00D562E9"/>
    <w:rsid w:val="00D63794"/>
    <w:rsid w:val="00D63E37"/>
    <w:rsid w:val="00D66223"/>
    <w:rsid w:val="00D8084C"/>
    <w:rsid w:val="00D83E10"/>
    <w:rsid w:val="00D84019"/>
    <w:rsid w:val="00D8678C"/>
    <w:rsid w:val="00D93BFD"/>
    <w:rsid w:val="00DA3E31"/>
    <w:rsid w:val="00DA59F4"/>
    <w:rsid w:val="00DA6691"/>
    <w:rsid w:val="00DA7232"/>
    <w:rsid w:val="00DA7C0C"/>
    <w:rsid w:val="00DB0E2D"/>
    <w:rsid w:val="00DB11CC"/>
    <w:rsid w:val="00DB2EC8"/>
    <w:rsid w:val="00DB61CA"/>
    <w:rsid w:val="00DB7B08"/>
    <w:rsid w:val="00DC54BB"/>
    <w:rsid w:val="00DC5B3B"/>
    <w:rsid w:val="00DD129F"/>
    <w:rsid w:val="00DD2C11"/>
    <w:rsid w:val="00DE410C"/>
    <w:rsid w:val="00DE44FC"/>
    <w:rsid w:val="00DE5764"/>
    <w:rsid w:val="00DF0898"/>
    <w:rsid w:val="00DF0A3C"/>
    <w:rsid w:val="00DF36AA"/>
    <w:rsid w:val="00DF42FF"/>
    <w:rsid w:val="00E00549"/>
    <w:rsid w:val="00E01C0E"/>
    <w:rsid w:val="00E02345"/>
    <w:rsid w:val="00E03D9A"/>
    <w:rsid w:val="00E03F9A"/>
    <w:rsid w:val="00E04694"/>
    <w:rsid w:val="00E12B1E"/>
    <w:rsid w:val="00E14280"/>
    <w:rsid w:val="00E14F97"/>
    <w:rsid w:val="00E17262"/>
    <w:rsid w:val="00E219AC"/>
    <w:rsid w:val="00E23AC1"/>
    <w:rsid w:val="00E240E5"/>
    <w:rsid w:val="00E253A2"/>
    <w:rsid w:val="00E2548B"/>
    <w:rsid w:val="00E26DF0"/>
    <w:rsid w:val="00E27CE5"/>
    <w:rsid w:val="00E3309D"/>
    <w:rsid w:val="00E369E3"/>
    <w:rsid w:val="00E40ABE"/>
    <w:rsid w:val="00E444FF"/>
    <w:rsid w:val="00E44B35"/>
    <w:rsid w:val="00E4600D"/>
    <w:rsid w:val="00E47933"/>
    <w:rsid w:val="00E47A3F"/>
    <w:rsid w:val="00E50156"/>
    <w:rsid w:val="00E52C56"/>
    <w:rsid w:val="00E53470"/>
    <w:rsid w:val="00E539F6"/>
    <w:rsid w:val="00E61CC3"/>
    <w:rsid w:val="00E61CDD"/>
    <w:rsid w:val="00E645B4"/>
    <w:rsid w:val="00E64741"/>
    <w:rsid w:val="00E6519D"/>
    <w:rsid w:val="00E664D0"/>
    <w:rsid w:val="00E664E5"/>
    <w:rsid w:val="00E67696"/>
    <w:rsid w:val="00E71676"/>
    <w:rsid w:val="00E71A4D"/>
    <w:rsid w:val="00E71A58"/>
    <w:rsid w:val="00E72A7A"/>
    <w:rsid w:val="00E72EC9"/>
    <w:rsid w:val="00E73E5E"/>
    <w:rsid w:val="00E75C20"/>
    <w:rsid w:val="00E75C94"/>
    <w:rsid w:val="00E86569"/>
    <w:rsid w:val="00E86917"/>
    <w:rsid w:val="00E90693"/>
    <w:rsid w:val="00E93820"/>
    <w:rsid w:val="00E943EF"/>
    <w:rsid w:val="00E944B9"/>
    <w:rsid w:val="00E966D9"/>
    <w:rsid w:val="00EA0C68"/>
    <w:rsid w:val="00EA32BC"/>
    <w:rsid w:val="00EA5D17"/>
    <w:rsid w:val="00EA6564"/>
    <w:rsid w:val="00EA78F6"/>
    <w:rsid w:val="00EB25E6"/>
    <w:rsid w:val="00EB4511"/>
    <w:rsid w:val="00EB4697"/>
    <w:rsid w:val="00EC03D7"/>
    <w:rsid w:val="00EC25E1"/>
    <w:rsid w:val="00EC67E9"/>
    <w:rsid w:val="00ED62C6"/>
    <w:rsid w:val="00ED64C1"/>
    <w:rsid w:val="00ED74FD"/>
    <w:rsid w:val="00ED7915"/>
    <w:rsid w:val="00EE04E0"/>
    <w:rsid w:val="00EE338E"/>
    <w:rsid w:val="00EE3446"/>
    <w:rsid w:val="00EE3E78"/>
    <w:rsid w:val="00EE4B1B"/>
    <w:rsid w:val="00EE62DA"/>
    <w:rsid w:val="00EE69BB"/>
    <w:rsid w:val="00EF13A1"/>
    <w:rsid w:val="00EF150D"/>
    <w:rsid w:val="00EF1F5A"/>
    <w:rsid w:val="00EF46FD"/>
    <w:rsid w:val="00EF47BF"/>
    <w:rsid w:val="00EF549D"/>
    <w:rsid w:val="00F00EE3"/>
    <w:rsid w:val="00F04811"/>
    <w:rsid w:val="00F0488C"/>
    <w:rsid w:val="00F048B9"/>
    <w:rsid w:val="00F057EA"/>
    <w:rsid w:val="00F05F5E"/>
    <w:rsid w:val="00F0650D"/>
    <w:rsid w:val="00F0722D"/>
    <w:rsid w:val="00F07C76"/>
    <w:rsid w:val="00F10F11"/>
    <w:rsid w:val="00F12225"/>
    <w:rsid w:val="00F15AAA"/>
    <w:rsid w:val="00F15BEF"/>
    <w:rsid w:val="00F1607C"/>
    <w:rsid w:val="00F17375"/>
    <w:rsid w:val="00F214D1"/>
    <w:rsid w:val="00F243FC"/>
    <w:rsid w:val="00F24407"/>
    <w:rsid w:val="00F24FAA"/>
    <w:rsid w:val="00F26D27"/>
    <w:rsid w:val="00F3364D"/>
    <w:rsid w:val="00F347EA"/>
    <w:rsid w:val="00F357D3"/>
    <w:rsid w:val="00F42C30"/>
    <w:rsid w:val="00F437CC"/>
    <w:rsid w:val="00F4381F"/>
    <w:rsid w:val="00F46521"/>
    <w:rsid w:val="00F47067"/>
    <w:rsid w:val="00F51A74"/>
    <w:rsid w:val="00F5201B"/>
    <w:rsid w:val="00F525EB"/>
    <w:rsid w:val="00F52F49"/>
    <w:rsid w:val="00F53147"/>
    <w:rsid w:val="00F63DDE"/>
    <w:rsid w:val="00F63FB7"/>
    <w:rsid w:val="00F649D2"/>
    <w:rsid w:val="00F657B3"/>
    <w:rsid w:val="00F6602B"/>
    <w:rsid w:val="00F7260E"/>
    <w:rsid w:val="00F73A0C"/>
    <w:rsid w:val="00F748A3"/>
    <w:rsid w:val="00F756DB"/>
    <w:rsid w:val="00F817B4"/>
    <w:rsid w:val="00F84233"/>
    <w:rsid w:val="00F85066"/>
    <w:rsid w:val="00F9462D"/>
    <w:rsid w:val="00FA477E"/>
    <w:rsid w:val="00FA515C"/>
    <w:rsid w:val="00FA53C3"/>
    <w:rsid w:val="00FA5D10"/>
    <w:rsid w:val="00FA5D4D"/>
    <w:rsid w:val="00FB06AE"/>
    <w:rsid w:val="00FB0EE2"/>
    <w:rsid w:val="00FB4F78"/>
    <w:rsid w:val="00FB542E"/>
    <w:rsid w:val="00FB55B8"/>
    <w:rsid w:val="00FB7483"/>
    <w:rsid w:val="00FC0E5F"/>
    <w:rsid w:val="00FC1A95"/>
    <w:rsid w:val="00FC322D"/>
    <w:rsid w:val="00FC4718"/>
    <w:rsid w:val="00FC56DE"/>
    <w:rsid w:val="00FC5F9E"/>
    <w:rsid w:val="00FC601D"/>
    <w:rsid w:val="00FC684B"/>
    <w:rsid w:val="00FC6CB5"/>
    <w:rsid w:val="00FC79BD"/>
    <w:rsid w:val="00FD0848"/>
    <w:rsid w:val="00FD21CA"/>
    <w:rsid w:val="00FD3265"/>
    <w:rsid w:val="00FD600D"/>
    <w:rsid w:val="00FE2F78"/>
    <w:rsid w:val="00FF1443"/>
    <w:rsid w:val="00FF25D7"/>
    <w:rsid w:val="00FF6FBF"/>
    <w:rsid w:val="00FF7B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5DFA81DF"/>
  <w15:docId w15:val="{C9F38FDE-E07F-41CA-B4A3-64A147E4A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C6462"/>
    <w:pPr>
      <w:spacing w:after="240" w:line="288" w:lineRule="auto"/>
    </w:pPr>
    <w:rPr>
      <w:rFonts w:ascii="Arial" w:eastAsia="Times New Roman" w:hAnsi="Arial"/>
      <w:szCs w:val="24"/>
      <w:lang w:eastAsia="cs-CZ"/>
    </w:rPr>
  </w:style>
  <w:style w:type="paragraph" w:styleId="Nadpis1">
    <w:name w:val="heading 1"/>
    <w:next w:val="Normln"/>
    <w:link w:val="Nadpis1Char"/>
    <w:uiPriority w:val="9"/>
    <w:qFormat/>
    <w:rsid w:val="004900FF"/>
    <w:pPr>
      <w:keepNext/>
      <w:keepLines/>
      <w:spacing w:after="100" w:line="288" w:lineRule="auto"/>
      <w:contextualSpacing/>
      <w:outlineLvl w:val="0"/>
    </w:pPr>
    <w:rPr>
      <w:rFonts w:ascii="Arial" w:eastAsia="MS Gothic" w:hAnsi="Arial"/>
      <w:b/>
      <w:bCs/>
      <w:color w:val="C00000"/>
      <w:sz w:val="32"/>
      <w:szCs w:val="28"/>
      <w:lang w:eastAsia="cs-CZ"/>
    </w:rPr>
  </w:style>
  <w:style w:type="paragraph" w:styleId="Nadpis2">
    <w:name w:val="heading 2"/>
    <w:next w:val="Normln"/>
    <w:link w:val="Nadpis2Char"/>
    <w:uiPriority w:val="9"/>
    <w:qFormat/>
    <w:rsid w:val="004900FF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  <w:lang w:eastAsia="cs-CZ"/>
    </w:rPr>
  </w:style>
  <w:style w:type="paragraph" w:styleId="Nadpis3">
    <w:name w:val="heading 3"/>
    <w:next w:val="Normln"/>
    <w:link w:val="Nadpis3Char"/>
    <w:uiPriority w:val="9"/>
    <w:qFormat/>
    <w:rsid w:val="004900FF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  <w:lang w:eastAsia="cs-CZ"/>
    </w:rPr>
  </w:style>
  <w:style w:type="paragraph" w:styleId="Nadpis4">
    <w:name w:val="heading 4"/>
    <w:next w:val="Normln"/>
    <w:link w:val="Nadpis4Char"/>
    <w:uiPriority w:val="9"/>
    <w:qFormat/>
    <w:rsid w:val="004900FF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color w:val="BC091B"/>
      <w:szCs w:val="24"/>
      <w:lang w:eastAsia="cs-CZ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A30F6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sid w:val="004900FF"/>
    <w:rPr>
      <w:rFonts w:ascii="Arial" w:eastAsia="MS Gothic" w:hAnsi="Arial"/>
      <w:b/>
      <w:bCs/>
      <w:color w:val="C00000"/>
      <w:sz w:val="32"/>
      <w:szCs w:val="28"/>
    </w:rPr>
  </w:style>
  <w:style w:type="character" w:customStyle="1" w:styleId="Nadpis2Char">
    <w:name w:val="Nadpis 2 Char"/>
    <w:link w:val="Nadpis2"/>
    <w:uiPriority w:val="9"/>
    <w:rsid w:val="004900FF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uiPriority w:val="9"/>
    <w:rsid w:val="004900FF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uiPriority w:val="9"/>
    <w:rsid w:val="004900FF"/>
    <w:rPr>
      <w:rFonts w:ascii="Arial" w:eastAsia="MS Gothic" w:hAnsi="Arial"/>
      <w:b/>
      <w:bCs/>
      <w:iCs/>
      <w:color w:val="BC091B"/>
      <w:szCs w:val="24"/>
    </w:rPr>
  </w:style>
  <w:style w:type="character" w:customStyle="1" w:styleId="Nadpis9Char">
    <w:name w:val="Nadpis 9 Char"/>
    <w:link w:val="Nadpis9"/>
    <w:uiPriority w:val="9"/>
    <w:semiHidden/>
    <w:rsid w:val="00A30F65"/>
    <w:rPr>
      <w:rFonts w:ascii="Cambria" w:eastAsia="Times New Roman" w:hAnsi="Cambria" w:cs="Times New Roman"/>
      <w:sz w:val="22"/>
      <w:szCs w:val="22"/>
    </w:rPr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styleId="Zhlav">
    <w:name w:val="header"/>
    <w:link w:val="ZhlavChar"/>
    <w:uiPriority w:val="99"/>
    <w:unhideWhenUsed/>
    <w:qFormat/>
    <w:rsid w:val="00A418BC"/>
    <w:pPr>
      <w:spacing w:line="288" w:lineRule="auto"/>
    </w:pPr>
    <w:rPr>
      <w:rFonts w:ascii="Arial" w:hAnsi="Arial"/>
      <w:sz w:val="16"/>
      <w:szCs w:val="22"/>
    </w:rPr>
  </w:style>
  <w:style w:type="character" w:customStyle="1" w:styleId="ZhlavChar">
    <w:name w:val="Záhlaví Char"/>
    <w:link w:val="Zhlav"/>
    <w:uiPriority w:val="99"/>
    <w:rsid w:val="00A418BC"/>
    <w:rPr>
      <w:rFonts w:ascii="Arial" w:hAnsi="Arial"/>
      <w:sz w:val="16"/>
      <w:szCs w:val="22"/>
      <w:lang w:eastAsia="en-US"/>
    </w:rPr>
  </w:style>
  <w:style w:type="paragraph" w:styleId="Zpat">
    <w:name w:val="footer"/>
    <w:link w:val="ZpatChar"/>
    <w:uiPriority w:val="99"/>
    <w:unhideWhenUsed/>
    <w:qFormat/>
    <w:rsid w:val="00031AE0"/>
    <w:pPr>
      <w:tabs>
        <w:tab w:val="center" w:pos="4820"/>
        <w:tab w:val="right" w:pos="9639"/>
      </w:tabs>
    </w:pPr>
    <w:rPr>
      <w:rFonts w:ascii="Arial" w:hAnsi="Arial" w:cs="Arial"/>
      <w:noProof/>
      <w:sz w:val="16"/>
    </w:rPr>
  </w:style>
  <w:style w:type="character" w:customStyle="1" w:styleId="ZpatChar">
    <w:name w:val="Zápatí Char"/>
    <w:link w:val="Zpat"/>
    <w:uiPriority w:val="99"/>
    <w:rsid w:val="00031AE0"/>
    <w:rPr>
      <w:rFonts w:ascii="Arial" w:hAnsi="Arial" w:cs="Arial"/>
      <w:noProof/>
      <w:sz w:val="16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  <w:lang w:val="x-none" w:eastAsia="x-none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link w:val="ZkladnodstavecChar"/>
    <w:uiPriority w:val="99"/>
    <w:rsid w:val="0008263E"/>
    <w:pPr>
      <w:autoSpaceDE w:val="0"/>
      <w:autoSpaceDN w:val="0"/>
      <w:adjustRightInd w:val="0"/>
      <w:spacing w:line="276" w:lineRule="auto"/>
      <w:textAlignment w:val="center"/>
    </w:pPr>
    <w:rPr>
      <w:rFonts w:ascii="Arial" w:hAnsi="Arial" w:cs="Minion Pro"/>
      <w:color w:val="000000"/>
      <w:szCs w:val="24"/>
      <w:lang w:eastAsia="cs-CZ"/>
    </w:rPr>
  </w:style>
  <w:style w:type="character" w:customStyle="1" w:styleId="ZkladnodstavecChar">
    <w:name w:val="[Základní odstavec] Char"/>
    <w:link w:val="Zkladnodstavec"/>
    <w:uiPriority w:val="99"/>
    <w:rsid w:val="0008263E"/>
    <w:rPr>
      <w:rFonts w:ascii="Arial" w:hAnsi="Arial" w:cs="Minion Pro"/>
      <w:color w:val="000000"/>
      <w:szCs w:val="24"/>
    </w:rPr>
  </w:style>
  <w:style w:type="paragraph" w:styleId="Obsah1">
    <w:name w:val="toc 1"/>
    <w:basedOn w:val="Obsahpoloky"/>
    <w:next w:val="Obsahpoloky"/>
    <w:autoRedefine/>
    <w:uiPriority w:val="39"/>
    <w:unhideWhenUsed/>
    <w:rsid w:val="00FC1A95"/>
  </w:style>
  <w:style w:type="paragraph" w:customStyle="1" w:styleId="TLIdentifikace-sted">
    <w:name w:val="TL Identifikace - střed"/>
    <w:qFormat/>
    <w:rsid w:val="009A60D1"/>
    <w:pPr>
      <w:spacing w:after="200" w:line="288" w:lineRule="auto"/>
    </w:pPr>
    <w:rPr>
      <w:rFonts w:ascii="Arial" w:eastAsia="Times New Roman" w:hAnsi="Arial"/>
      <w:sz w:val="24"/>
      <w:szCs w:val="24"/>
      <w:lang w:eastAsia="cs-CZ"/>
    </w:rPr>
  </w:style>
  <w:style w:type="paragraph" w:customStyle="1" w:styleId="Obsah">
    <w:name w:val="Obsah"/>
    <w:next w:val="Normln"/>
    <w:qFormat/>
    <w:rsid w:val="004900FF"/>
    <w:pPr>
      <w:spacing w:after="80" w:line="288" w:lineRule="auto"/>
    </w:pPr>
    <w:rPr>
      <w:rFonts w:ascii="Arial" w:eastAsia="Times New Roman" w:hAnsi="Arial"/>
      <w:b/>
      <w:color w:val="BC091B"/>
      <w:sz w:val="32"/>
      <w:szCs w:val="24"/>
      <w:lang w:eastAsia="cs-CZ"/>
    </w:rPr>
  </w:style>
  <w:style w:type="paragraph" w:customStyle="1" w:styleId="Obsahpoloky">
    <w:name w:val="Obsah položky"/>
    <w:qFormat/>
    <w:rsid w:val="00616E05"/>
    <w:pPr>
      <w:tabs>
        <w:tab w:val="right" w:leader="dot" w:pos="9639"/>
      </w:tabs>
      <w:spacing w:line="288" w:lineRule="auto"/>
    </w:pPr>
    <w:rPr>
      <w:rFonts w:ascii="Arial" w:eastAsia="Times New Roman" w:hAnsi="Arial"/>
      <w:szCs w:val="24"/>
      <w:lang w:eastAsia="cs-CZ"/>
    </w:rPr>
  </w:style>
  <w:style w:type="paragraph" w:customStyle="1" w:styleId="Box1">
    <w:name w:val="Box 1"/>
    <w:next w:val="Normln"/>
    <w:qFormat/>
    <w:rsid w:val="004900FF"/>
    <w:pPr>
      <w:shd w:val="clear" w:color="auto" w:fill="F5DADD"/>
      <w:spacing w:before="240" w:after="240" w:line="288" w:lineRule="auto"/>
      <w:ind w:left="709"/>
      <w:contextualSpacing/>
    </w:pPr>
    <w:rPr>
      <w:rFonts w:ascii="Arial" w:hAnsi="Arial" w:cs="Arial"/>
      <w:lang w:eastAsia="cs-CZ"/>
    </w:rPr>
  </w:style>
  <w:style w:type="paragraph" w:customStyle="1" w:styleId="Box2">
    <w:name w:val="Box 2"/>
    <w:qFormat/>
    <w:rsid w:val="004900FF"/>
    <w:pPr>
      <w:spacing w:before="240" w:after="240" w:line="288" w:lineRule="auto"/>
      <w:ind w:left="709"/>
      <w:contextualSpacing/>
    </w:pPr>
    <w:rPr>
      <w:rFonts w:ascii="Arial" w:hAnsi="Arial" w:cs="Arial"/>
      <w:color w:val="BC091B"/>
      <w:lang w:eastAsia="cs-CZ"/>
    </w:rPr>
  </w:style>
  <w:style w:type="paragraph" w:styleId="Seznam">
    <w:name w:val="List"/>
    <w:basedOn w:val="Normln"/>
    <w:uiPriority w:val="99"/>
    <w:unhideWhenUsed/>
    <w:qFormat/>
    <w:rsid w:val="00481E40"/>
    <w:pPr>
      <w:contextualSpacing/>
    </w:pPr>
  </w:style>
  <w:style w:type="character" w:styleId="Siln">
    <w:name w:val="Strong"/>
    <w:aliases w:val="Tučné"/>
    <w:uiPriority w:val="22"/>
    <w:qFormat/>
    <w:rsid w:val="00EC03D7"/>
    <w:rPr>
      <w:rFonts w:ascii="Arial" w:hAnsi="Arial"/>
      <w:b/>
      <w:bCs/>
      <w:sz w:val="20"/>
    </w:rPr>
  </w:style>
  <w:style w:type="paragraph" w:customStyle="1" w:styleId="TLKontaktyerven">
    <w:name w:val="TL Kontakty červené"/>
    <w:basedOn w:val="Normln"/>
    <w:qFormat/>
    <w:rsid w:val="00104C4C"/>
    <w:pPr>
      <w:spacing w:after="40"/>
      <w:contextualSpacing/>
    </w:pPr>
    <w:rPr>
      <w:b/>
      <w:caps/>
      <w:color w:val="BD1B21"/>
      <w:sz w:val="24"/>
    </w:rPr>
  </w:style>
  <w:style w:type="paragraph" w:customStyle="1" w:styleId="TLKontakty">
    <w:name w:val="TL Kontakty"/>
    <w:qFormat/>
    <w:rsid w:val="008E6F06"/>
    <w:pPr>
      <w:spacing w:after="160" w:line="259" w:lineRule="auto"/>
      <w:contextualSpacing/>
    </w:pPr>
    <w:rPr>
      <w:rFonts w:ascii="Arial" w:eastAsia="Times New Roman" w:hAnsi="Arial"/>
      <w:b/>
      <w:color w:val="0071BC"/>
      <w:lang w:eastAsia="cs-CZ"/>
    </w:rPr>
  </w:style>
  <w:style w:type="paragraph" w:styleId="Nzev">
    <w:name w:val="Title"/>
    <w:link w:val="NzevChar"/>
    <w:uiPriority w:val="10"/>
    <w:qFormat/>
    <w:rsid w:val="004900FF"/>
    <w:pPr>
      <w:spacing w:line="288" w:lineRule="auto"/>
    </w:pPr>
    <w:rPr>
      <w:rFonts w:ascii="Arial" w:eastAsia="Times New Roman" w:hAnsi="Arial"/>
      <w:b/>
      <w:bCs/>
      <w:caps/>
      <w:color w:val="BC091B"/>
      <w:kern w:val="28"/>
      <w:sz w:val="56"/>
      <w:szCs w:val="32"/>
      <w:lang w:eastAsia="cs-CZ"/>
    </w:rPr>
  </w:style>
  <w:style w:type="character" w:customStyle="1" w:styleId="NzevChar">
    <w:name w:val="Název Char"/>
    <w:link w:val="Nzev"/>
    <w:uiPriority w:val="10"/>
    <w:rsid w:val="004900FF"/>
    <w:rPr>
      <w:rFonts w:ascii="Arial" w:eastAsia="Times New Roman" w:hAnsi="Arial"/>
      <w:b/>
      <w:bCs/>
      <w:caps/>
      <w:color w:val="BC091B"/>
      <w:kern w:val="28"/>
      <w:sz w:val="56"/>
      <w:szCs w:val="32"/>
    </w:rPr>
  </w:style>
  <w:style w:type="paragraph" w:styleId="Podnadpis">
    <w:name w:val="Subtitle"/>
    <w:link w:val="PodnadpisChar"/>
    <w:uiPriority w:val="11"/>
    <w:qFormat/>
    <w:rsid w:val="004900FF"/>
    <w:pPr>
      <w:spacing w:line="288" w:lineRule="auto"/>
    </w:pPr>
    <w:rPr>
      <w:rFonts w:ascii="Arial" w:eastAsia="Times New Roman" w:hAnsi="Arial" w:cs="Arial"/>
      <w:b/>
      <w:color w:val="BC091B"/>
      <w:sz w:val="28"/>
      <w:szCs w:val="24"/>
      <w:lang w:eastAsia="cs-CZ"/>
    </w:rPr>
  </w:style>
  <w:style w:type="character" w:customStyle="1" w:styleId="PodnadpisChar">
    <w:name w:val="Podnadpis Char"/>
    <w:link w:val="Podnadpis"/>
    <w:uiPriority w:val="11"/>
    <w:rsid w:val="004900FF"/>
    <w:rPr>
      <w:rFonts w:ascii="Arial" w:eastAsia="Times New Roman" w:hAnsi="Arial" w:cs="Arial"/>
      <w:b/>
      <w:color w:val="BC091B"/>
      <w:sz w:val="28"/>
      <w:szCs w:val="24"/>
    </w:rPr>
  </w:style>
  <w:style w:type="paragraph" w:styleId="Obsah2">
    <w:name w:val="toc 2"/>
    <w:basedOn w:val="Obsahpoloky"/>
    <w:next w:val="Obsahpoloky"/>
    <w:autoRedefine/>
    <w:uiPriority w:val="39"/>
    <w:unhideWhenUsed/>
    <w:rsid w:val="00FC1A95"/>
    <w:pPr>
      <w:ind w:left="200"/>
    </w:pPr>
  </w:style>
  <w:style w:type="paragraph" w:styleId="Obsah3">
    <w:name w:val="toc 3"/>
    <w:basedOn w:val="Obsahpoloky"/>
    <w:next w:val="Obsahpoloky"/>
    <w:autoRedefine/>
    <w:uiPriority w:val="39"/>
    <w:unhideWhenUsed/>
    <w:rsid w:val="00FC1A95"/>
    <w:pPr>
      <w:ind w:left="400"/>
    </w:pPr>
  </w:style>
  <w:style w:type="paragraph" w:styleId="Obsah4">
    <w:name w:val="toc 4"/>
    <w:basedOn w:val="Obsahpoloky"/>
    <w:next w:val="Obsahpoloky"/>
    <w:autoRedefine/>
    <w:uiPriority w:val="39"/>
    <w:unhideWhenUsed/>
    <w:rsid w:val="00FC1A95"/>
    <w:pPr>
      <w:ind w:left="600"/>
    </w:pPr>
  </w:style>
  <w:style w:type="paragraph" w:styleId="Obsah5">
    <w:name w:val="toc 5"/>
    <w:basedOn w:val="Obsahpoloky"/>
    <w:next w:val="Obsahpoloky"/>
    <w:autoRedefine/>
    <w:uiPriority w:val="39"/>
    <w:semiHidden/>
    <w:unhideWhenUsed/>
    <w:rsid w:val="00FC1A95"/>
    <w:pPr>
      <w:ind w:left="800"/>
    </w:pPr>
  </w:style>
  <w:style w:type="paragraph" w:styleId="Obsah6">
    <w:name w:val="toc 6"/>
    <w:basedOn w:val="Obsahpoloky"/>
    <w:next w:val="Obsahpoloky"/>
    <w:autoRedefine/>
    <w:uiPriority w:val="39"/>
    <w:semiHidden/>
    <w:unhideWhenUsed/>
    <w:rsid w:val="00FC1A95"/>
    <w:pPr>
      <w:ind w:left="1000"/>
    </w:pPr>
  </w:style>
  <w:style w:type="paragraph" w:styleId="Obsah7">
    <w:name w:val="toc 7"/>
    <w:basedOn w:val="Obsahpoloky"/>
    <w:next w:val="Obsahpoloky"/>
    <w:autoRedefine/>
    <w:uiPriority w:val="39"/>
    <w:semiHidden/>
    <w:unhideWhenUsed/>
    <w:rsid w:val="00FC1A95"/>
    <w:pPr>
      <w:ind w:left="1200"/>
    </w:pPr>
  </w:style>
  <w:style w:type="paragraph" w:styleId="Obsah8">
    <w:name w:val="toc 8"/>
    <w:basedOn w:val="Obsahpoloky"/>
    <w:next w:val="Obsahpoloky"/>
    <w:autoRedefine/>
    <w:uiPriority w:val="39"/>
    <w:semiHidden/>
    <w:unhideWhenUsed/>
    <w:rsid w:val="00FC1A95"/>
    <w:pPr>
      <w:ind w:left="1400"/>
    </w:pPr>
  </w:style>
  <w:style w:type="paragraph" w:styleId="Obsah9">
    <w:name w:val="toc 9"/>
    <w:basedOn w:val="Obsahpoloky"/>
    <w:next w:val="Obsahpoloky"/>
    <w:autoRedefine/>
    <w:uiPriority w:val="39"/>
    <w:semiHidden/>
    <w:unhideWhenUsed/>
    <w:rsid w:val="00924AC8"/>
    <w:pPr>
      <w:ind w:left="1600"/>
    </w:pPr>
  </w:style>
  <w:style w:type="paragraph" w:styleId="Odstavecseseznamem">
    <w:name w:val="List Paragraph"/>
    <w:basedOn w:val="Normln"/>
    <w:uiPriority w:val="34"/>
    <w:rsid w:val="001D59A2"/>
    <w:pPr>
      <w:ind w:left="720"/>
      <w:contextualSpacing/>
    </w:pPr>
  </w:style>
  <w:style w:type="paragraph" w:styleId="Nadpisobsahu">
    <w:name w:val="TOC Heading"/>
    <w:basedOn w:val="Nadpis1"/>
    <w:next w:val="Normln"/>
    <w:uiPriority w:val="39"/>
    <w:unhideWhenUsed/>
    <w:qFormat/>
    <w:rsid w:val="004C3442"/>
    <w:pPr>
      <w:spacing w:before="240" w:after="0" w:line="259" w:lineRule="auto"/>
      <w:contextualSpacing w:val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szCs w:val="32"/>
    </w:rPr>
  </w:style>
  <w:style w:type="paragraph" w:customStyle="1" w:styleId="Default">
    <w:name w:val="Default"/>
    <w:rsid w:val="002659EE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2659EE"/>
    <w:pPr>
      <w:spacing w:after="0" w:line="240" w:lineRule="auto"/>
    </w:pPr>
    <w:rPr>
      <w:rFonts w:ascii="Calibri" w:eastAsia="Calibri" w:hAnsi="Calibri"/>
      <w:szCs w:val="20"/>
      <w:lang w:eastAsia="en-US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2659EE"/>
  </w:style>
  <w:style w:type="character" w:styleId="Znakapoznpodarou">
    <w:name w:val="footnote reference"/>
    <w:uiPriority w:val="99"/>
    <w:semiHidden/>
    <w:unhideWhenUsed/>
    <w:rsid w:val="002659EE"/>
    <w:rPr>
      <w:vertAlign w:val="superscript"/>
    </w:rPr>
  </w:style>
  <w:style w:type="character" w:styleId="Sledovanodkaz">
    <w:name w:val="FollowedHyperlink"/>
    <w:basedOn w:val="Standardnpsmoodstavce"/>
    <w:uiPriority w:val="99"/>
    <w:semiHidden/>
    <w:unhideWhenUsed/>
    <w:rsid w:val="007D5BCF"/>
    <w:rPr>
      <w:color w:val="800080" w:themeColor="followed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F07C76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07C76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07C76"/>
    <w:rPr>
      <w:rFonts w:ascii="Arial" w:eastAsia="Times New Roman" w:hAnsi="Arial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07C76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07C76"/>
    <w:rPr>
      <w:rFonts w:ascii="Arial" w:eastAsia="Times New Roman" w:hAnsi="Arial"/>
      <w:b/>
      <w:bCs/>
      <w:lang w:eastAsia="cs-CZ"/>
    </w:rPr>
  </w:style>
  <w:style w:type="paragraph" w:styleId="Revize">
    <w:name w:val="Revision"/>
    <w:hidden/>
    <w:uiPriority w:val="99"/>
    <w:semiHidden/>
    <w:rsid w:val="00FD21CA"/>
    <w:rPr>
      <w:rFonts w:ascii="Arial" w:eastAsia="Times New Roman" w:hAnsi="Arial"/>
      <w:szCs w:val="24"/>
      <w:lang w:eastAsia="cs-CZ"/>
    </w:rPr>
  </w:style>
  <w:style w:type="character" w:customStyle="1" w:styleId="hgkelc">
    <w:name w:val="hgkelc"/>
    <w:basedOn w:val="Standardnpsmoodstavce"/>
    <w:rsid w:val="003976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6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5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4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0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2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41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07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20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14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03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01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4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3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2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6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chart" Target="charts/chart1.xml"/><Relationship Id="rId26" Type="http://schemas.openxmlformats.org/officeDocument/2006/relationships/chart" Target="charts/chart8.xml"/><Relationship Id="rId39" Type="http://schemas.openxmlformats.org/officeDocument/2006/relationships/theme" Target="theme/theme1.xml"/><Relationship Id="rId21" Type="http://schemas.openxmlformats.org/officeDocument/2006/relationships/chart" Target="charts/chart3.xml"/><Relationship Id="rId34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yperlink" Target="http://www.msmt.cz/vzdelavani/vysoke-skolstvi/sims-sdruzene-informace-matrik-studentu-1?highlightWords=Sdru%C5%BEen%C3%A9+informace+matrik+student%C5%AF" TargetMode="External"/><Relationship Id="rId25" Type="http://schemas.openxmlformats.org/officeDocument/2006/relationships/chart" Target="charts/chart7.xml"/><Relationship Id="rId33" Type="http://schemas.openxmlformats.org/officeDocument/2006/relationships/chart" Target="charts/chart15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www.czso.cz/csu/czso/klasifikace-oboru-vzdelani-cz-isced-f-2013" TargetMode="External"/><Relationship Id="rId20" Type="http://schemas.openxmlformats.org/officeDocument/2006/relationships/chart" Target="charts/chart2.xml"/><Relationship Id="rId29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chart" Target="charts/chart6.xml"/><Relationship Id="rId32" Type="http://schemas.openxmlformats.org/officeDocument/2006/relationships/chart" Target="charts/chart14.xml"/><Relationship Id="rId37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hyperlink" Target="https://www.czso.cz/csu/czso/klasifikace_vzdelani_cz_isced_2011" TargetMode="External"/><Relationship Id="rId23" Type="http://schemas.openxmlformats.org/officeDocument/2006/relationships/chart" Target="charts/chart5.xml"/><Relationship Id="rId28" Type="http://schemas.openxmlformats.org/officeDocument/2006/relationships/chart" Target="charts/chart10.xml"/><Relationship Id="rId36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hyperlink" Target="https://www.czso.cz/csu/czso/obyvatelstvo_hu" TargetMode="External"/><Relationship Id="rId31" Type="http://schemas.openxmlformats.org/officeDocument/2006/relationships/chart" Target="charts/chart13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yperlink" Target="https://statis.msmt.cz/statistikyvs/vykonyVS1.aspx" TargetMode="External"/><Relationship Id="rId22" Type="http://schemas.openxmlformats.org/officeDocument/2006/relationships/chart" Target="charts/chart4.xml"/><Relationship Id="rId27" Type="http://schemas.openxmlformats.org/officeDocument/2006/relationships/chart" Target="charts/chart9.xml"/><Relationship Id="rId30" Type="http://schemas.openxmlformats.org/officeDocument/2006/relationships/chart" Target="charts/chart12.xml"/><Relationship Id="rId35" Type="http://schemas.openxmlformats.org/officeDocument/2006/relationships/header" Target="header5.xml"/><Relationship Id="rId8" Type="http://schemas.openxmlformats.org/officeDocument/2006/relationships/header" Target="header1.xml"/><Relationship Id="rId3" Type="http://schemas.openxmlformats.org/officeDocument/2006/relationships/styles" Target="styles.xml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ONDRUS~1\AppData\Local\Temp\Publikace%20bar%20CZ_lide%20a%20spolecnost_2017-08-14.dotx" TargetMode="Externa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1.xml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package" Target="../embeddings/List_aplikace_Microsoft_Excel.xlsx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3.xml"/><Relationship Id="rId1" Type="http://schemas.microsoft.com/office/2011/relationships/chartStyle" Target="style3.xml"/><Relationship Id="rId4" Type="http://schemas.openxmlformats.org/officeDocument/2006/relationships/chartUserShapes" Target="../drawings/drawing1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2.xml"/><Relationship Id="rId2" Type="http://schemas.microsoft.com/office/2011/relationships/chartColorStyle" Target="colors4.xml"/><Relationship Id="rId1" Type="http://schemas.microsoft.com/office/2011/relationships/chartStyle" Target="style4.xml"/><Relationship Id="rId5" Type="http://schemas.openxmlformats.org/officeDocument/2006/relationships/chartUserShapes" Target="../drawings/drawing2.xml"/><Relationship Id="rId4" Type="http://schemas.openxmlformats.org/officeDocument/2006/relationships/oleObject" Target="file:///D:\kasparova3676\Desktop\V&#352;_2022_grafy.xlsx" TargetMode="Externa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3.xml"/><Relationship Id="rId2" Type="http://schemas.microsoft.com/office/2011/relationships/chartColorStyle" Target="colors5.xml"/><Relationship Id="rId1" Type="http://schemas.microsoft.com/office/2011/relationships/chartStyle" Target="style5.xml"/><Relationship Id="rId5" Type="http://schemas.openxmlformats.org/officeDocument/2006/relationships/chartUserShapes" Target="../drawings/drawing3.xml"/><Relationship Id="rId4" Type="http://schemas.openxmlformats.org/officeDocument/2006/relationships/oleObject" Target="file:///D:\kasparova3676\Desktop\V&#352;_2022_grafy.xlsx" TargetMode="Externa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4.xml"/><Relationship Id="rId2" Type="http://schemas.microsoft.com/office/2011/relationships/chartColorStyle" Target="colors6.xml"/><Relationship Id="rId1" Type="http://schemas.microsoft.com/office/2011/relationships/chartStyle" Target="style6.xml"/><Relationship Id="rId5" Type="http://schemas.openxmlformats.org/officeDocument/2006/relationships/chartUserShapes" Target="../drawings/drawing4.xml"/><Relationship Id="rId4" Type="http://schemas.openxmlformats.org/officeDocument/2006/relationships/oleObject" Target="file:///D:\kasparova3676\Desktop\V&#352;_2022_grafy.xlsx" TargetMode="Externa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5.xml"/><Relationship Id="rId2" Type="http://schemas.microsoft.com/office/2011/relationships/chartColorStyle" Target="colors7.xml"/><Relationship Id="rId1" Type="http://schemas.microsoft.com/office/2011/relationships/chartStyle" Target="style7.xml"/><Relationship Id="rId5" Type="http://schemas.openxmlformats.org/officeDocument/2006/relationships/chartUserShapes" Target="../drawings/drawing5.xml"/><Relationship Id="rId4" Type="http://schemas.openxmlformats.org/officeDocument/2006/relationships/oleObject" Target="file:///D:\kasparova3676\Desktop\V&#352;_2022_grafy.xlsx" TargetMode="Externa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6.xml"/><Relationship Id="rId2" Type="http://schemas.microsoft.com/office/2011/relationships/chartColorStyle" Target="colors8.xml"/><Relationship Id="rId1" Type="http://schemas.microsoft.com/office/2011/relationships/chartStyle" Target="style8.xml"/><Relationship Id="rId5" Type="http://schemas.openxmlformats.org/officeDocument/2006/relationships/chartUserShapes" Target="../drawings/drawing6.xml"/><Relationship Id="rId4" Type="http://schemas.openxmlformats.org/officeDocument/2006/relationships/package" Target="../embeddings/List_aplikace_Microsoft_Excel1.xlsx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themeOverride" Target="../theme/themeOverride7.xml"/><Relationship Id="rId2" Type="http://schemas.microsoft.com/office/2011/relationships/chartColorStyle" Target="colors9.xml"/><Relationship Id="rId1" Type="http://schemas.microsoft.com/office/2011/relationships/chartStyle" Target="style9.xml"/><Relationship Id="rId5" Type="http://schemas.openxmlformats.org/officeDocument/2006/relationships/chartUserShapes" Target="../drawings/drawing7.xml"/><Relationship Id="rId4" Type="http://schemas.openxmlformats.org/officeDocument/2006/relationships/oleObject" Target="file:///D:\kasparova3676\Desktop\V&#352;_2022_grafy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10.xml"/><Relationship Id="rId1" Type="http://schemas.microsoft.com/office/2011/relationships/chartStyle" Target="style10.xml"/><Relationship Id="rId4" Type="http://schemas.openxmlformats.org/officeDocument/2006/relationships/chartUserShapes" Target="../drawings/drawing8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11.xml"/><Relationship Id="rId1" Type="http://schemas.microsoft.com/office/2011/relationships/chartStyle" Target="style11.xml"/></Relationships>
</file>

<file path=word/charts/_rels/chart1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kasparova3676\Desktop\V&#352;_2022_grafy.xlsx" TargetMode="External"/><Relationship Id="rId2" Type="http://schemas.microsoft.com/office/2011/relationships/chartColorStyle" Target="colors12.xml"/><Relationship Id="rId1" Type="http://schemas.microsoft.com/office/2011/relationships/chartStyle" Target="style12.xml"/><Relationship Id="rId4" Type="http://schemas.openxmlformats.org/officeDocument/2006/relationships/chartUserShapes" Target="../drawings/drawing9.xml"/></Relationships>
</file>

<file path=word/charts/_rels/chart1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2.xlsx"/><Relationship Id="rId2" Type="http://schemas.microsoft.com/office/2011/relationships/chartColorStyle" Target="colors13.xml"/><Relationship Id="rId1" Type="http://schemas.microsoft.com/office/2011/relationships/chartStyle" Target="style13.xml"/><Relationship Id="rId4" Type="http://schemas.openxmlformats.org/officeDocument/2006/relationships/chartUserShapes" Target="../drawings/drawing10.xml"/></Relationships>
</file>

<file path=word/charts/_rels/chart1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3.xlsx"/><Relationship Id="rId2" Type="http://schemas.microsoft.com/office/2011/relationships/chartColorStyle" Target="colors14.xml"/><Relationship Id="rId1" Type="http://schemas.microsoft.com/office/2011/relationships/chartStyle" Target="style14.xml"/><Relationship Id="rId4" Type="http://schemas.openxmlformats.org/officeDocument/2006/relationships/chartUserShapes" Target="../drawings/drawing11.xml"/></Relationships>
</file>

<file path=word/charts/_rels/chart1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List_aplikace_Microsoft_Excel4.xlsx"/><Relationship Id="rId2" Type="http://schemas.microsoft.com/office/2011/relationships/chartColorStyle" Target="colors15.xml"/><Relationship Id="rId1" Type="http://schemas.microsoft.com/office/2011/relationships/chartStyle" Target="style15.xml"/><Relationship Id="rId4" Type="http://schemas.openxmlformats.org/officeDocument/2006/relationships/chartUserShapes" Target="../drawings/drawing12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/>
      <c:barChart>
        <c:barDir val="col"/>
        <c:grouping val="stacked"/>
        <c:varyColors val="0"/>
        <c:ser>
          <c:idx val="0"/>
          <c:order val="0"/>
          <c:tx>
            <c:strRef>
              <c:f>'Graf 1,2'!$AB$4</c:f>
              <c:strCache>
                <c:ptCount val="1"/>
                <c:pt idx="0">
                  <c:v> studenti - tisíce osob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1,2'!$AA$5:$AA$25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1,2'!$AB$5:$AB$25</c:f>
              <c:numCache>
                <c:formatCode>0.0</c:formatCode>
                <c:ptCount val="21"/>
                <c:pt idx="0">
                  <c:v>203.44900000000001</c:v>
                </c:pt>
                <c:pt idx="1">
                  <c:v>220.178</c:v>
                </c:pt>
                <c:pt idx="2">
                  <c:v>243.71799999999999</c:v>
                </c:pt>
                <c:pt idx="3">
                  <c:v>264.77</c:v>
                </c:pt>
                <c:pt idx="4">
                  <c:v>289.464</c:v>
                </c:pt>
                <c:pt idx="5">
                  <c:v>316.17599999999999</c:v>
                </c:pt>
                <c:pt idx="6">
                  <c:v>343.94299999999998</c:v>
                </c:pt>
                <c:pt idx="7">
                  <c:v>368.05099999999999</c:v>
                </c:pt>
                <c:pt idx="8">
                  <c:v>388.99099999999999</c:v>
                </c:pt>
                <c:pt idx="9">
                  <c:v>395.98200000000003</c:v>
                </c:pt>
                <c:pt idx="10">
                  <c:v>392.03899999999999</c:v>
                </c:pt>
                <c:pt idx="11">
                  <c:v>380.89299999999997</c:v>
                </c:pt>
                <c:pt idx="12">
                  <c:v>367.77199999999999</c:v>
                </c:pt>
                <c:pt idx="13">
                  <c:v>346.81099999999998</c:v>
                </c:pt>
                <c:pt idx="14">
                  <c:v>326.43700000000001</c:v>
                </c:pt>
                <c:pt idx="15">
                  <c:v>311.06</c:v>
                </c:pt>
                <c:pt idx="16">
                  <c:v>298.68200000000002</c:v>
                </c:pt>
                <c:pt idx="17">
                  <c:v>289.68</c:v>
                </c:pt>
                <c:pt idx="18">
                  <c:v>288.64400000000001</c:v>
                </c:pt>
                <c:pt idx="19">
                  <c:v>299.03100000000001</c:v>
                </c:pt>
                <c:pt idx="20">
                  <c:v>304.05399999999997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2C57-4E0D-A346-66880606E9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844054640"/>
        <c:axId val="844047984"/>
      </c:barChart>
      <c:lineChart>
        <c:grouping val="standard"/>
        <c:varyColors val="0"/>
        <c:ser>
          <c:idx val="1"/>
          <c:order val="1"/>
          <c:tx>
            <c:strRef>
              <c:f>'Graf 1,2'!$AC$4</c:f>
              <c:strCache>
                <c:ptCount val="1"/>
                <c:pt idx="0">
                  <c:v> podíl studentů mezi obyvateli ČR ve věku 20–29 let (v %)</c:v>
                </c:pt>
              </c:strCache>
            </c:strRef>
          </c:tx>
          <c:spPr>
            <a:ln w="28575" cap="rnd">
              <a:solidFill>
                <a:schemeClr val="accent6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1" i="0" u="none" strike="noStrike" kern="1200" baseline="0">
                    <a:solidFill>
                      <a:schemeClr val="accent6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1,2'!$AA$5:$AA$25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1,2'!$AC$5:$AC$25</c:f>
              <c:numCache>
                <c:formatCode>0.0</c:formatCode>
                <c:ptCount val="21"/>
                <c:pt idx="0">
                  <c:v>8.9840881849970948</c:v>
                </c:pt>
                <c:pt idx="1">
                  <c:v>9.9354798777087474</c:v>
                </c:pt>
                <c:pt idx="2">
                  <c:v>11.101848902640638</c:v>
                </c:pt>
                <c:pt idx="3">
                  <c:v>11.931093178429625</c:v>
                </c:pt>
                <c:pt idx="4">
                  <c:v>13.60486550270736</c:v>
                </c:pt>
                <c:pt idx="5">
                  <c:v>14.800072158354791</c:v>
                </c:pt>
                <c:pt idx="6">
                  <c:v>16.193200281718909</c:v>
                </c:pt>
                <c:pt idx="7">
                  <c:v>17.238763258035245</c:v>
                </c:pt>
                <c:pt idx="8">
                  <c:v>18.324871322861952</c:v>
                </c:pt>
                <c:pt idx="9">
                  <c:v>18.89107093823101</c:v>
                </c:pt>
                <c:pt idx="10">
                  <c:v>19.527279411659109</c:v>
                </c:pt>
                <c:pt idx="11">
                  <c:v>19.401361496494189</c:v>
                </c:pt>
                <c:pt idx="12">
                  <c:v>19.224788168084558</c:v>
                </c:pt>
                <c:pt idx="13">
                  <c:v>18.523492574917029</c:v>
                </c:pt>
                <c:pt idx="14">
                  <c:v>17.777477577372316</c:v>
                </c:pt>
                <c:pt idx="15">
                  <c:v>17.164369390959692</c:v>
                </c:pt>
                <c:pt idx="16">
                  <c:v>16.753938019325517</c:v>
                </c:pt>
                <c:pt idx="17">
                  <c:v>16.542244433133334</c:v>
                </c:pt>
                <c:pt idx="18">
                  <c:v>16.702351875544089</c:v>
                </c:pt>
                <c:pt idx="19">
                  <c:v>17.676448238361537</c:v>
                </c:pt>
                <c:pt idx="20">
                  <c:v>18.749350942598078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2C57-4E0D-A346-66880606E96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27744544"/>
        <c:axId val="527725408"/>
      </c:lineChart>
      <c:catAx>
        <c:axId val="84405464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44047984"/>
        <c:crosses val="autoZero"/>
        <c:auto val="1"/>
        <c:lblAlgn val="ctr"/>
        <c:lblOffset val="100"/>
        <c:noMultiLvlLbl val="0"/>
      </c:catAx>
      <c:valAx>
        <c:axId val="844047984"/>
        <c:scaling>
          <c:orientation val="minMax"/>
          <c:max val="50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44054640"/>
        <c:crosses val="autoZero"/>
        <c:crossBetween val="between"/>
      </c:valAx>
      <c:valAx>
        <c:axId val="527725408"/>
        <c:scaling>
          <c:orientation val="minMax"/>
          <c:max val="20"/>
          <c:min val="0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527744544"/>
        <c:crosses val="max"/>
        <c:crossBetween val="between"/>
      </c:valAx>
      <c:catAx>
        <c:axId val="52774454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52772540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8316072048631674E-2"/>
          <c:y val="5.5555432331521937E-2"/>
          <c:w val="0.96073199183435409"/>
          <c:h val="0.7079715453395624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 1,2'!$AO$2</c:f>
              <c:strCache>
                <c:ptCount val="1"/>
                <c:pt idx="0">
                  <c:v>ženy - tisíce osob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1,2'!$AO$3:$AO$23</c:f>
              <c:numCache>
                <c:formatCode>0.0</c:formatCode>
                <c:ptCount val="21"/>
                <c:pt idx="0">
                  <c:v>98.352000000000004</c:v>
                </c:pt>
                <c:pt idx="1">
                  <c:v>108.05200000000001</c:v>
                </c:pt>
                <c:pt idx="2">
                  <c:v>120.70399999999999</c:v>
                </c:pt>
                <c:pt idx="3">
                  <c:v>134.714</c:v>
                </c:pt>
                <c:pt idx="4">
                  <c:v>150.67699999999999</c:v>
                </c:pt>
                <c:pt idx="5">
                  <c:v>167.85499999999999</c:v>
                </c:pt>
                <c:pt idx="6">
                  <c:v>185.864</c:v>
                </c:pt>
                <c:pt idx="7">
                  <c:v>202.602</c:v>
                </c:pt>
                <c:pt idx="8">
                  <c:v>216.37899999999999</c:v>
                </c:pt>
                <c:pt idx="9">
                  <c:v>221.52600000000001</c:v>
                </c:pt>
                <c:pt idx="10">
                  <c:v>219.607</c:v>
                </c:pt>
                <c:pt idx="11">
                  <c:v>214.16200000000001</c:v>
                </c:pt>
                <c:pt idx="12">
                  <c:v>206.52</c:v>
                </c:pt>
                <c:pt idx="13">
                  <c:v>194.55500000000001</c:v>
                </c:pt>
                <c:pt idx="14">
                  <c:v>182.23400000000001</c:v>
                </c:pt>
                <c:pt idx="15">
                  <c:v>174.137</c:v>
                </c:pt>
                <c:pt idx="16">
                  <c:v>167.58699999999999</c:v>
                </c:pt>
                <c:pt idx="17">
                  <c:v>161.88499999999999</c:v>
                </c:pt>
                <c:pt idx="18">
                  <c:v>161.02799999999999</c:v>
                </c:pt>
                <c:pt idx="19">
                  <c:v>165.988</c:v>
                </c:pt>
                <c:pt idx="20">
                  <c:v>169.18700000000001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77C-4B0A-AEBD-4F1F11AD9731}"/>
            </c:ext>
          </c:extLst>
        </c:ser>
        <c:ser>
          <c:idx val="1"/>
          <c:order val="1"/>
          <c:tx>
            <c:strRef>
              <c:f>'Graf 1,2'!$AP$2</c:f>
              <c:strCache>
                <c:ptCount val="1"/>
                <c:pt idx="0">
                  <c:v>muži - tisíce osob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1,2'!$AP$3:$AP$23</c:f>
              <c:numCache>
                <c:formatCode>0.0</c:formatCode>
                <c:ptCount val="21"/>
                <c:pt idx="0">
                  <c:v>105.09699999999999</c:v>
                </c:pt>
                <c:pt idx="1">
                  <c:v>112.126</c:v>
                </c:pt>
                <c:pt idx="2">
                  <c:v>123.014</c:v>
                </c:pt>
                <c:pt idx="3">
                  <c:v>130.05600000000001</c:v>
                </c:pt>
                <c:pt idx="4">
                  <c:v>138.78700000000001</c:v>
                </c:pt>
                <c:pt idx="5">
                  <c:v>148.321</c:v>
                </c:pt>
                <c:pt idx="6">
                  <c:v>158.07900000000001</c:v>
                </c:pt>
                <c:pt idx="7">
                  <c:v>165.44900000000001</c:v>
                </c:pt>
                <c:pt idx="8">
                  <c:v>172.61199999999999</c:v>
                </c:pt>
                <c:pt idx="9">
                  <c:v>174.45599999999999</c:v>
                </c:pt>
                <c:pt idx="10">
                  <c:v>172.43199999999999</c:v>
                </c:pt>
                <c:pt idx="11">
                  <c:v>166.73099999999999</c:v>
                </c:pt>
                <c:pt idx="12">
                  <c:v>161.25200000000001</c:v>
                </c:pt>
                <c:pt idx="13">
                  <c:v>152.256</c:v>
                </c:pt>
                <c:pt idx="14">
                  <c:v>144.203</c:v>
                </c:pt>
                <c:pt idx="15">
                  <c:v>136.923</c:v>
                </c:pt>
                <c:pt idx="16">
                  <c:v>131.095</c:v>
                </c:pt>
                <c:pt idx="17">
                  <c:v>127.795</c:v>
                </c:pt>
                <c:pt idx="18">
                  <c:v>127.616</c:v>
                </c:pt>
                <c:pt idx="19">
                  <c:v>133.04300000000001</c:v>
                </c:pt>
                <c:pt idx="20">
                  <c:v>134.86699999999999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77C-4B0A-AEBD-4F1F11AD97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0"/>
        <c:overlap val="-13"/>
        <c:axId val="802242352"/>
        <c:axId val="802242768"/>
      </c:barChart>
      <c:lineChart>
        <c:grouping val="standard"/>
        <c:varyColors val="0"/>
        <c:ser>
          <c:idx val="2"/>
          <c:order val="2"/>
          <c:tx>
            <c:strRef>
              <c:f>'Graf 1,2'!$AQ$2</c:f>
              <c:strCache>
                <c:ptCount val="1"/>
                <c:pt idx="0">
                  <c:v>podíl studentek z žen ve věku 20-29 let (%)</c:v>
                </c:pt>
              </c:strCache>
            </c:strRef>
          </c:tx>
          <c:spPr>
            <a:ln w="22225" cap="rnd">
              <a:solidFill>
                <a:schemeClr val="accent2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1,2'!$AQ$3:$AQ$23</c:f>
              <c:numCache>
                <c:formatCode>0.0</c:formatCode>
                <c:ptCount val="21"/>
                <c:pt idx="0">
                  <c:v>8.7734366917604376</c:v>
                </c:pt>
                <c:pt idx="1">
                  <c:v>9.8301850374918516</c:v>
                </c:pt>
                <c:pt idx="2">
                  <c:v>11.062553481846203</c:v>
                </c:pt>
                <c:pt idx="3">
                  <c:v>12.325307784969068</c:v>
                </c:pt>
                <c:pt idx="4">
                  <c:v>14.488216833843271</c:v>
                </c:pt>
                <c:pt idx="5">
                  <c:v>16.135574243262266</c:v>
                </c:pt>
                <c:pt idx="6">
                  <c:v>18.049470041956436</c:v>
                </c:pt>
                <c:pt idx="7">
                  <c:v>19.662532284679749</c:v>
                </c:pt>
                <c:pt idx="8">
                  <c:v>21.054490020207751</c:v>
                </c:pt>
                <c:pt idx="9">
                  <c:v>21.721797452145179</c:v>
                </c:pt>
                <c:pt idx="10">
                  <c:v>22.369119755497472</c:v>
                </c:pt>
                <c:pt idx="11">
                  <c:v>22.267307067710586</c:v>
                </c:pt>
                <c:pt idx="12">
                  <c:v>22.037257835461013</c:v>
                </c:pt>
                <c:pt idx="13">
                  <c:v>21.250502021265543</c:v>
                </c:pt>
                <c:pt idx="14">
                  <c:v>20.338972214763384</c:v>
                </c:pt>
                <c:pt idx="15">
                  <c:v>19.708834197618305</c:v>
                </c:pt>
                <c:pt idx="16">
                  <c:v>19.321687083353194</c:v>
                </c:pt>
                <c:pt idx="17">
                  <c:v>19.113241883762598</c:v>
                </c:pt>
                <c:pt idx="18">
                  <c:v>19.289430404333412</c:v>
                </c:pt>
                <c:pt idx="19">
                  <c:v>20.33862044633943</c:v>
                </c:pt>
                <c:pt idx="20">
                  <c:v>21.68291290049428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777C-4B0A-AEBD-4F1F11AD9731}"/>
            </c:ext>
          </c:extLst>
        </c:ser>
        <c:ser>
          <c:idx val="3"/>
          <c:order val="3"/>
          <c:tx>
            <c:strRef>
              <c:f>'Graf 1,2'!$AR$2</c:f>
              <c:strCache>
                <c:ptCount val="1"/>
                <c:pt idx="0">
                  <c:v>podíl studentů z mužů ve věku 20-29 let (%)</c:v>
                </c:pt>
              </c:strCache>
            </c:strRef>
          </c:tx>
          <c:spPr>
            <a:ln w="22225" cap="rnd">
              <a:solidFill>
                <a:schemeClr val="accent1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1,2'!$AN$3:$AN$23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'Graf 1,2'!$AR$3:$AR$23</c:f>
              <c:numCache>
                <c:formatCode>0.0</c:formatCode>
                <c:ptCount val="21"/>
                <c:pt idx="0">
                  <c:v>9.1863656526078437</c:v>
                </c:pt>
                <c:pt idx="1">
                  <c:v>10.036755433919614</c:v>
                </c:pt>
                <c:pt idx="2">
                  <c:v>11.139590702675443</c:v>
                </c:pt>
                <c:pt idx="3">
                  <c:v>11.552797921243336</c:v>
                </c:pt>
                <c:pt idx="4">
                  <c:v>12.760802716454986</c:v>
                </c:pt>
                <c:pt idx="5">
                  <c:v>13.52993726114568</c:v>
                </c:pt>
                <c:pt idx="6">
                  <c:v>14.444374321398534</c:v>
                </c:pt>
                <c:pt idx="7">
                  <c:v>14.975290673184968</c:v>
                </c:pt>
                <c:pt idx="8">
                  <c:v>15.773652526355692</c:v>
                </c:pt>
                <c:pt idx="9">
                  <c:v>16.233308487853794</c:v>
                </c:pt>
                <c:pt idx="10">
                  <c:v>16.831627755997506</c:v>
                </c:pt>
                <c:pt idx="11">
                  <c:v>16.679365873629624</c:v>
                </c:pt>
                <c:pt idx="12">
                  <c:v>16.546570087996898</c:v>
                </c:pt>
                <c:pt idx="13">
                  <c:v>15.922104624760552</c:v>
                </c:pt>
                <c:pt idx="14">
                  <c:v>15.330625830190694</c:v>
                </c:pt>
                <c:pt idx="15">
                  <c:v>14.731901179151851</c:v>
                </c:pt>
                <c:pt idx="16">
                  <c:v>14.302638892048872</c:v>
                </c:pt>
                <c:pt idx="17">
                  <c:v>14.10275679178106</c:v>
                </c:pt>
                <c:pt idx="18">
                  <c:v>14.26215922827468</c:v>
                </c:pt>
                <c:pt idx="19">
                  <c:v>15.169965740051982</c:v>
                </c:pt>
                <c:pt idx="20">
                  <c:v>15.999771128612799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777C-4B0A-AEBD-4F1F11AD973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11304224"/>
        <c:axId val="811307968"/>
      </c:lineChart>
      <c:catAx>
        <c:axId val="802242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02242768"/>
        <c:crosses val="autoZero"/>
        <c:auto val="1"/>
        <c:lblAlgn val="ctr"/>
        <c:lblOffset val="100"/>
        <c:noMultiLvlLbl val="0"/>
      </c:catAx>
      <c:valAx>
        <c:axId val="802242768"/>
        <c:scaling>
          <c:orientation val="minMax"/>
          <c:max val="40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02242352"/>
        <c:crosses val="autoZero"/>
        <c:crossBetween val="between"/>
      </c:valAx>
      <c:valAx>
        <c:axId val="811307968"/>
        <c:scaling>
          <c:orientation val="minMax"/>
          <c:max val="23"/>
          <c:min val="0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1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811304224"/>
        <c:crosses val="max"/>
        <c:crossBetween val="between"/>
      </c:valAx>
      <c:catAx>
        <c:axId val="811304224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81130796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7794025746781663E-2"/>
          <c:y val="0.84471205805156713"/>
          <c:w val="0.88088461164576648"/>
          <c:h val="0.1314784181389091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7914310561254808E-2"/>
          <c:y val="7.1361502347417838E-2"/>
          <c:w val="0.93009668394149381"/>
          <c:h val="0.69007770580401584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 3,4'!$J$28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3,4'!$J$29:$J$33</c:f>
              <c:numCache>
                <c:formatCode>0.0</c:formatCode>
                <c:ptCount val="5"/>
                <c:pt idx="0">
                  <c:v>21.125195995065102</c:v>
                </c:pt>
                <c:pt idx="1">
                  <c:v>57.508792571226152</c:v>
                </c:pt>
                <c:pt idx="2">
                  <c:v>62.210392333415811</c:v>
                </c:pt>
                <c:pt idx="3">
                  <c:v>57.788851025525624</c:v>
                </c:pt>
                <c:pt idx="4">
                  <c:v>60.007104001262931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F65-46B8-B137-D9AA8F40F70A}"/>
            </c:ext>
          </c:extLst>
        </c:ser>
        <c:ser>
          <c:idx val="1"/>
          <c:order val="1"/>
          <c:tx>
            <c:strRef>
              <c:f>'Graf 3,4'!$K$28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3,4'!$K$29:$K$33</c:f>
              <c:numCache>
                <c:formatCode>0.0</c:formatCode>
                <c:ptCount val="5"/>
                <c:pt idx="0">
                  <c:v>66.393543345015217</c:v>
                </c:pt>
                <c:pt idx="1">
                  <c:v>25.133153686554323</c:v>
                </c:pt>
                <c:pt idx="2">
                  <c:v>9.5612936468055487</c:v>
                </c:pt>
                <c:pt idx="3">
                  <c:v>10.033434064167684</c:v>
                </c:pt>
                <c:pt idx="4">
                  <c:v>10.69744190176745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4F65-46B8-B137-D9AA8F40F70A}"/>
            </c:ext>
          </c:extLst>
        </c:ser>
        <c:ser>
          <c:idx val="2"/>
          <c:order val="2"/>
          <c:tx>
            <c:strRef>
              <c:f>'Graf 3,4'!$L$28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solidFill>
              <a:schemeClr val="accent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3,4'!$L$29:$L$33</c:f>
              <c:numCache>
                <c:formatCode>0.0</c:formatCode>
                <c:ptCount val="5"/>
                <c:pt idx="0">
                  <c:v>5.9145043721030826</c:v>
                </c:pt>
                <c:pt idx="1">
                  <c:v>11.365821567734427</c:v>
                </c:pt>
                <c:pt idx="2">
                  <c:v>22.864817020755588</c:v>
                </c:pt>
                <c:pt idx="3">
                  <c:v>25.579630939368609</c:v>
                </c:pt>
                <c:pt idx="4">
                  <c:v>23.033079650325273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F65-46B8-B137-D9AA8F40F70A}"/>
            </c:ext>
          </c:extLst>
        </c:ser>
        <c:ser>
          <c:idx val="3"/>
          <c:order val="3"/>
          <c:tx>
            <c:strRef>
              <c:f>'Graf 3,4'!$M$28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rgbClr val="FFCC9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'Graf 3,4'!$I$29:$I$33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'Graf 3,4'!$M$29:$M$33</c:f>
              <c:numCache>
                <c:formatCode>0.0</c:formatCode>
                <c:ptCount val="5"/>
                <c:pt idx="0">
                  <c:v>8.10571691185506</c:v>
                </c:pt>
                <c:pt idx="1">
                  <c:v>7.369313293861647</c:v>
                </c:pt>
                <c:pt idx="2">
                  <c:v>6.5424613367547613</c:v>
                </c:pt>
                <c:pt idx="3">
                  <c:v>7.4529029769176356</c:v>
                </c:pt>
                <c:pt idx="4">
                  <c:v>7.0300012497779996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4F65-46B8-B137-D9AA8F40F70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84896959"/>
        <c:axId val="1084894879"/>
      </c:barChart>
      <c:catAx>
        <c:axId val="1084896959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894879"/>
        <c:crosses val="autoZero"/>
        <c:auto val="1"/>
        <c:lblAlgn val="ctr"/>
        <c:lblOffset val="100"/>
        <c:noMultiLvlLbl val="0"/>
      </c:catAx>
      <c:valAx>
        <c:axId val="1084894879"/>
        <c:scaling>
          <c:orientation val="minMax"/>
        </c:scaling>
        <c:delete val="0"/>
        <c:axPos val="l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896959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7.280596980783087E-2"/>
          <c:y val="0.86342938515664269"/>
          <c:w val="0.87794818083929593"/>
          <c:h val="0.1131172167308873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12016595751618005"/>
          <c:y val="2.1801300924340985E-2"/>
          <c:w val="0.84370567809458596"/>
          <c:h val="0.86342193312792426"/>
        </c:manualLayout>
      </c:layout>
      <c:barChart>
        <c:barDir val="bar"/>
        <c:grouping val="clustered"/>
        <c:varyColors val="0"/>
        <c:ser>
          <c:idx val="0"/>
          <c:order val="0"/>
          <c:tx>
            <c:strRef>
              <c:f>'Graf 3,4'!$J$101</c:f>
              <c:strCache>
                <c:ptCount val="1"/>
                <c:pt idx="0">
                  <c:v>doktorský</c:v>
                </c:pt>
              </c:strCache>
            </c:strRef>
          </c:tx>
          <c:spPr>
            <a:solidFill>
              <a:srgbClr val="324D1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3,4'!$J$102:$J$111</c:f>
              <c:numCache>
                <c:formatCode>0.0</c:formatCode>
                <c:ptCount val="10"/>
                <c:pt idx="0">
                  <c:v>5.5908550893390156</c:v>
                </c:pt>
                <c:pt idx="1">
                  <c:v>8.8353711434227797</c:v>
                </c:pt>
                <c:pt idx="2">
                  <c:v>5.9435961340783408</c:v>
                </c:pt>
                <c:pt idx="3">
                  <c:v>9.3724209957421323</c:v>
                </c:pt>
                <c:pt idx="4">
                  <c:v>5.0312603878747035</c:v>
                </c:pt>
                <c:pt idx="5">
                  <c:v>8.4671058736197455</c:v>
                </c:pt>
                <c:pt idx="6">
                  <c:v>5.4731762533138726</c:v>
                </c:pt>
                <c:pt idx="7">
                  <c:v>9.5151731717019175</c:v>
                </c:pt>
                <c:pt idx="8">
                  <c:v>6.1188384577842845</c:v>
                </c:pt>
                <c:pt idx="9">
                  <c:v>9.9650798785883516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BA2-421E-AD93-D8D010A1AE37}"/>
            </c:ext>
          </c:extLst>
        </c:ser>
        <c:ser>
          <c:idx val="1"/>
          <c:order val="1"/>
          <c:tx>
            <c:strRef>
              <c:f>'Graf 3,4'!$K$101</c:f>
              <c:strCache>
                <c:ptCount val="1"/>
                <c:pt idx="0">
                  <c:v>navazující magisterský</c:v>
                </c:pt>
              </c:strCache>
            </c:strRef>
          </c:tx>
          <c:spPr>
            <a:solidFill>
              <a:srgbClr val="5A8B39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3,4'!$K$102:$K$111</c:f>
              <c:numCache>
                <c:formatCode>0.0</c:formatCode>
                <c:ptCount val="10"/>
                <c:pt idx="0">
                  <c:v>23.738821540662109</c:v>
                </c:pt>
                <c:pt idx="1">
                  <c:v>22.147745556733671</c:v>
                </c:pt>
                <c:pt idx="2">
                  <c:v>26.117941620677971</c:v>
                </c:pt>
                <c:pt idx="3">
                  <c:v>24.895013985962912</c:v>
                </c:pt>
                <c:pt idx="4">
                  <c:v>23.562545820488417</c:v>
                </c:pt>
                <c:pt idx="5">
                  <c:v>21.97619931335251</c:v>
                </c:pt>
                <c:pt idx="6">
                  <c:v>11.618956837746865</c:v>
                </c:pt>
                <c:pt idx="7">
                  <c:v>11.079348170522044</c:v>
                </c:pt>
                <c:pt idx="8">
                  <c:v>6.2998210509191477</c:v>
                </c:pt>
                <c:pt idx="9">
                  <c:v>5.5539168577599742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BA2-421E-AD93-D8D010A1AE37}"/>
            </c:ext>
          </c:extLst>
        </c:ser>
        <c:ser>
          <c:idx val="2"/>
          <c:order val="2"/>
          <c:tx>
            <c:strRef>
              <c:f>'Graf 3,4'!$L$101</c:f>
              <c:strCache>
                <c:ptCount val="1"/>
                <c:pt idx="0">
                  <c:v>magisterský</c:v>
                </c:pt>
              </c:strCache>
            </c:strRef>
          </c:tx>
          <c:spPr>
            <a:solidFill>
              <a:srgbClr val="8FC57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3,4'!$L$102:$L$111</c:f>
              <c:numCache>
                <c:formatCode>0.0</c:formatCode>
                <c:ptCount val="10"/>
                <c:pt idx="0">
                  <c:v>12.773440039719365</c:v>
                </c:pt>
                <c:pt idx="1">
                  <c:v>8.0931584449865426</c:v>
                </c:pt>
                <c:pt idx="2">
                  <c:v>11.778657034403945</c:v>
                </c:pt>
                <c:pt idx="3">
                  <c:v>7.8138807943150539</c:v>
                </c:pt>
                <c:pt idx="4">
                  <c:v>11.286525475053164</c:v>
                </c:pt>
                <c:pt idx="5">
                  <c:v>7.3640623550153101</c:v>
                </c:pt>
                <c:pt idx="6">
                  <c:v>28.932709779273779</c:v>
                </c:pt>
                <c:pt idx="7">
                  <c:v>20.83319287221634</c:v>
                </c:pt>
                <c:pt idx="8">
                  <c:v>65.50756466569058</c:v>
                </c:pt>
                <c:pt idx="9">
                  <c:v>67.222660970341678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BA2-421E-AD93-D8D010A1AE37}"/>
            </c:ext>
          </c:extLst>
        </c:ser>
        <c:ser>
          <c:idx val="3"/>
          <c:order val="3"/>
          <c:tx>
            <c:strRef>
              <c:f>'Graf 3,4'!$M$101</c:f>
              <c:strCache>
                <c:ptCount val="1"/>
                <c:pt idx="0">
                  <c:v>bakalářský</c:v>
                </c:pt>
              </c:strCache>
            </c:strRef>
          </c:tx>
          <c:spPr>
            <a:solidFill>
              <a:srgbClr val="C5E1B5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multiLvlStrRef>
              <c:f>'Graf 3,4'!$H$102:$I$111</c:f>
              <c:multiLvlStrCache>
                <c:ptCount val="10"/>
                <c:lvl>
                  <c:pt idx="0">
                    <c:v>ženy</c:v>
                  </c:pt>
                  <c:pt idx="1">
                    <c:v>muži</c:v>
                  </c:pt>
                  <c:pt idx="2">
                    <c:v>ženy</c:v>
                  </c:pt>
                  <c:pt idx="3">
                    <c:v>muži</c:v>
                  </c:pt>
                  <c:pt idx="4">
                    <c:v>ženy</c:v>
                  </c:pt>
                  <c:pt idx="5">
                    <c:v>muži</c:v>
                  </c:pt>
                  <c:pt idx="6">
                    <c:v>ženy</c:v>
                  </c:pt>
                  <c:pt idx="7">
                    <c:v>muži</c:v>
                  </c:pt>
                  <c:pt idx="8">
                    <c:v>ženy</c:v>
                  </c:pt>
                  <c:pt idx="9">
                    <c:v>muži</c:v>
                  </c:pt>
                </c:lvl>
                <c:lvl>
                  <c:pt idx="0">
                    <c:v>2021</c:v>
                  </c:pt>
                  <c:pt idx="2">
                    <c:v>2016</c:v>
                  </c:pt>
                  <c:pt idx="4">
                    <c:v>2011</c:v>
                  </c:pt>
                  <c:pt idx="6">
                    <c:v>2006</c:v>
                  </c:pt>
                  <c:pt idx="8">
                    <c:v>2001</c:v>
                  </c:pt>
                </c:lvl>
              </c:multiLvlStrCache>
            </c:multiLvlStrRef>
          </c:cat>
          <c:val>
            <c:numRef>
              <c:f>'Graf 3,4'!$M$102:$M$111</c:f>
              <c:numCache>
                <c:formatCode>0.0</c:formatCode>
                <c:ptCount val="10"/>
                <c:pt idx="0">
                  <c:v>58.746830430233999</c:v>
                </c:pt>
                <c:pt idx="1">
                  <c:v>61.588083074436298</c:v>
                </c:pt>
                <c:pt idx="2">
                  <c:v>57.119968760229014</c:v>
                </c:pt>
                <c:pt idx="3">
                  <c:v>58.639527325577149</c:v>
                </c:pt>
                <c:pt idx="4">
                  <c:v>61.391030340562914</c:v>
                </c:pt>
                <c:pt idx="5">
                  <c:v>63.253920386007238</c:v>
                </c:pt>
                <c:pt idx="6">
                  <c:v>55.428792707992017</c:v>
                </c:pt>
                <c:pt idx="7">
                  <c:v>59.862730159586306</c:v>
                </c:pt>
                <c:pt idx="8">
                  <c:v>23.618228404099561</c:v>
                </c:pt>
                <c:pt idx="9">
                  <c:v>18.792163429974217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BA2-421E-AD93-D8D010A1AE3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4"/>
        <c:axId val="1091496799"/>
        <c:axId val="1091517183"/>
      </c:barChart>
      <c:catAx>
        <c:axId val="1091496799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1517183"/>
        <c:crosses val="autoZero"/>
        <c:auto val="1"/>
        <c:lblAlgn val="ctr"/>
        <c:lblOffset val="100"/>
        <c:noMultiLvlLbl val="0"/>
      </c:catAx>
      <c:valAx>
        <c:axId val="1091517183"/>
        <c:scaling>
          <c:orientation val="minMax"/>
        </c:scaling>
        <c:delete val="0"/>
        <c:axPos val="b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91496799"/>
        <c:crosses val="autoZero"/>
        <c:crossBetween val="between"/>
      </c:valAx>
      <c:spPr>
        <a:noFill/>
        <a:ln>
          <a:solidFill>
            <a:schemeClr val="bg1">
              <a:lumMod val="85000"/>
            </a:schemeClr>
          </a:solidFill>
        </a:ln>
        <a:effectLst/>
      </c:spPr>
    </c:plotArea>
    <c:legend>
      <c:legendPos val="b"/>
      <c:layout>
        <c:manualLayout>
          <c:xMode val="edge"/>
          <c:yMode val="edge"/>
          <c:x val="9.0724963727360164E-2"/>
          <c:y val="0.93724286203355001"/>
          <c:w val="0.85110399243572799"/>
          <c:h val="3.698441173114230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obory2001!$C$1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obory2001!$B$2:$B$11</c:f>
              <c:strCache>
                <c:ptCount val="10"/>
                <c:pt idx="0">
                  <c:v>Služby</c:v>
                </c:pt>
                <c:pt idx="1">
                  <c:v>Informační a komunikační technologie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Zdravotní a sociální péče</c:v>
                </c:pt>
                <c:pt idx="6">
                  <c:v>Umění a humanitní vědy</c:v>
                </c:pt>
                <c:pt idx="7">
                  <c:v>Vzdělávání a výchova</c:v>
                </c:pt>
                <c:pt idx="8">
                  <c:v>Obchod, administrativa a právo</c:v>
                </c:pt>
                <c:pt idx="9">
                  <c:v>Technika, výroba a stavebnictví</c:v>
                </c:pt>
              </c:strCache>
            </c:strRef>
          </c:cat>
          <c:val>
            <c:numRef>
              <c:f>obory2001!$C$2:$C$11</c:f>
              <c:numCache>
                <c:formatCode>0.0</c:formatCode>
                <c:ptCount val="10"/>
                <c:pt idx="0">
                  <c:v>4.359</c:v>
                </c:pt>
                <c:pt idx="1">
                  <c:v>6.5209999999999999</c:v>
                </c:pt>
                <c:pt idx="2">
                  <c:v>3.8530000000000002</c:v>
                </c:pt>
                <c:pt idx="3">
                  <c:v>6.202</c:v>
                </c:pt>
                <c:pt idx="4">
                  <c:v>6.5810000000000004</c:v>
                </c:pt>
                <c:pt idx="5">
                  <c:v>5.718</c:v>
                </c:pt>
                <c:pt idx="6">
                  <c:v>7.1150000000000002</c:v>
                </c:pt>
                <c:pt idx="7">
                  <c:v>9.0749999999999993</c:v>
                </c:pt>
                <c:pt idx="8">
                  <c:v>17.646000000000001</c:v>
                </c:pt>
                <c:pt idx="9">
                  <c:v>40.204999999999998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6C-4533-88B8-A7F223117929}"/>
            </c:ext>
          </c:extLst>
        </c:ser>
        <c:ser>
          <c:idx val="1"/>
          <c:order val="1"/>
          <c:tx>
            <c:strRef>
              <c:f>obory2001!$D$1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302459445316580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0D7-4D5B-9F20-8BFBB838BE2D}"/>
                </c:ext>
              </c:extLst>
            </c:dLbl>
            <c:dLbl>
              <c:idx val="1"/>
              <c:layout>
                <c:manualLayout>
                  <c:x val="1.674515960230246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80D7-4D5B-9F20-8BFBB838BE2D}"/>
                </c:ext>
              </c:extLst>
            </c:dLbl>
            <c:dLbl>
              <c:idx val="2"/>
              <c:layout>
                <c:manualLayout>
                  <c:x val="2.5117739403453691E-2"/>
                  <c:y val="-5.1480051480051478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80D7-4D5B-9F20-8BFBB838BE2D}"/>
                </c:ext>
              </c:extLst>
            </c:dLbl>
            <c:dLbl>
              <c:idx val="3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3-80D7-4D5B-9F20-8BFBB838BE2D}"/>
                </c:ext>
              </c:extLst>
            </c:dLbl>
            <c:dLbl>
              <c:idx val="4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4-80D7-4D5B-9F20-8BFBB838BE2D}"/>
                </c:ext>
              </c:extLst>
            </c:dLbl>
            <c:dLbl>
              <c:idx val="5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5-80D7-4D5B-9F20-8BFBB838BE2D}"/>
                </c:ext>
              </c:extLst>
            </c:dLbl>
            <c:dLbl>
              <c:idx val="6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6-80D7-4D5B-9F20-8BFBB838BE2D}"/>
                </c:ext>
              </c:extLst>
            </c:dLbl>
            <c:dLbl>
              <c:idx val="7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7-80D7-4D5B-9F20-8BFBB838BE2D}"/>
                </c:ext>
              </c:extLst>
            </c:dLbl>
            <c:dLbl>
              <c:idx val="8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8-80D7-4D5B-9F20-8BFBB838BE2D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bg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9-80D7-4D5B-9F20-8BFBB838BE2D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obory2001!$B$2:$B$11</c:f>
              <c:strCache>
                <c:ptCount val="10"/>
                <c:pt idx="0">
                  <c:v>Služby</c:v>
                </c:pt>
                <c:pt idx="1">
                  <c:v>Informační a komunikační technologie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Zdravotní a sociální péče</c:v>
                </c:pt>
                <c:pt idx="6">
                  <c:v>Umění a humanitní vědy</c:v>
                </c:pt>
                <c:pt idx="7">
                  <c:v>Vzdělávání a výchova</c:v>
                </c:pt>
                <c:pt idx="8">
                  <c:v>Obchod, administrativa a právo</c:v>
                </c:pt>
                <c:pt idx="9">
                  <c:v>Technika, výroba a stavebnictví</c:v>
                </c:pt>
              </c:strCache>
            </c:strRef>
          </c:cat>
          <c:val>
            <c:numRef>
              <c:f>obory2001!$D$2:$D$11</c:f>
              <c:numCache>
                <c:formatCode>0.0</c:formatCode>
                <c:ptCount val="10"/>
                <c:pt idx="0">
                  <c:v>1.591</c:v>
                </c:pt>
                <c:pt idx="1">
                  <c:v>1.0069999999999999</c:v>
                </c:pt>
                <c:pt idx="2">
                  <c:v>3.996</c:v>
                </c:pt>
                <c:pt idx="3">
                  <c:v>5.3319999999999999</c:v>
                </c:pt>
                <c:pt idx="4">
                  <c:v>9.76</c:v>
                </c:pt>
                <c:pt idx="5">
                  <c:v>12.012</c:v>
                </c:pt>
                <c:pt idx="6">
                  <c:v>10.925000000000001</c:v>
                </c:pt>
                <c:pt idx="7">
                  <c:v>22.59</c:v>
                </c:pt>
                <c:pt idx="8">
                  <c:v>21.988</c:v>
                </c:pt>
                <c:pt idx="9">
                  <c:v>11.286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B96C-4533-88B8-A7F22311792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  <c:max val="100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obory2011!$C$1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obory2011!$B$2:$B$11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Služby</c:v>
                </c:pt>
                <c:pt idx="3">
                  <c:v>Informační a komunikační technologie</c:v>
                </c:pt>
                <c:pt idx="4">
                  <c:v>Zdravotní a sociální péče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obory2011!$C$2:$C$11</c:f>
              <c:numCache>
                <c:formatCode>0.0</c:formatCode>
                <c:ptCount val="10"/>
                <c:pt idx="0">
                  <c:v>5.5780000000000003</c:v>
                </c:pt>
                <c:pt idx="1">
                  <c:v>9.27</c:v>
                </c:pt>
                <c:pt idx="2">
                  <c:v>11.849</c:v>
                </c:pt>
                <c:pt idx="3">
                  <c:v>22.507999999999999</c:v>
                </c:pt>
                <c:pt idx="4">
                  <c:v>9.2560000000000002</c:v>
                </c:pt>
                <c:pt idx="5">
                  <c:v>12.166</c:v>
                </c:pt>
                <c:pt idx="6">
                  <c:v>15.601000000000001</c:v>
                </c:pt>
                <c:pt idx="7">
                  <c:v>8.9809999999999999</c:v>
                </c:pt>
                <c:pt idx="8">
                  <c:v>44.456000000000003</c:v>
                </c:pt>
                <c:pt idx="9">
                  <c:v>35.633000000000003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9AE2-4EEB-8DF4-995B799B008B}"/>
            </c:ext>
          </c:extLst>
        </c:ser>
        <c:ser>
          <c:idx val="1"/>
          <c:order val="1"/>
          <c:tx>
            <c:strRef>
              <c:f>obory2011!$D$1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3"/>
              <c:layout>
                <c:manualLayout>
                  <c:x val="2.9304029304029228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chemeClr val="tx1"/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FA3-4EDC-86F6-92566CA59106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bg1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obory2011!$B$2:$B$11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Služby</c:v>
                </c:pt>
                <c:pt idx="3">
                  <c:v>Informační a komunikační technologie</c:v>
                </c:pt>
                <c:pt idx="4">
                  <c:v>Zdravotní a sociální péče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obory2011!$D$2:$D$11</c:f>
              <c:numCache>
                <c:formatCode>0.0</c:formatCode>
                <c:ptCount val="10"/>
                <c:pt idx="0">
                  <c:v>8.2690000000000001</c:v>
                </c:pt>
                <c:pt idx="1">
                  <c:v>12.590999999999999</c:v>
                </c:pt>
                <c:pt idx="2">
                  <c:v>10.329000000000001</c:v>
                </c:pt>
                <c:pt idx="3">
                  <c:v>3.2890000000000001</c:v>
                </c:pt>
                <c:pt idx="4">
                  <c:v>26.969000000000001</c:v>
                </c:pt>
                <c:pt idx="5">
                  <c:v>25.183</c:v>
                </c:pt>
                <c:pt idx="6">
                  <c:v>28.05</c:v>
                </c:pt>
                <c:pt idx="7">
                  <c:v>35.582999999999998</c:v>
                </c:pt>
                <c:pt idx="8">
                  <c:v>19.312000000000001</c:v>
                </c:pt>
                <c:pt idx="9">
                  <c:v>54.555999999999997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9AE2-4EEB-8DF4-995B799B008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0.48282739382851864"/>
          <c:y val="3.7037037037037035E-2"/>
          <c:w val="0.48900662142506912"/>
          <c:h val="0.84321741032370967"/>
        </c:manualLayout>
      </c:layout>
      <c:barChart>
        <c:barDir val="bar"/>
        <c:grouping val="stacked"/>
        <c:varyColors val="0"/>
        <c:ser>
          <c:idx val="0"/>
          <c:order val="0"/>
          <c:tx>
            <c:strRef>
              <c:f>obory2021!$C$13</c:f>
              <c:strCache>
                <c:ptCount val="1"/>
                <c:pt idx="0">
                  <c:v>muži</c:v>
                </c:pt>
              </c:strCache>
            </c:strRef>
          </c:tx>
          <c:spPr>
            <a:solidFill>
              <a:srgbClr val="4F81BD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obory2021!$B$14:$B$23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Informační a komunikační technologie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Umění a humanitní vědy</c:v>
                </c:pt>
                <c:pt idx="6">
                  <c:v>Vzdělávání a výchova</c:v>
                </c:pt>
                <c:pt idx="7">
                  <c:v>Technika, výroba a stavebnictví</c:v>
                </c:pt>
                <c:pt idx="8">
                  <c:v>Zdravotní a sociální péče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obory2021!$C$14:$C$23</c:f>
              <c:numCache>
                <c:formatCode>0.0</c:formatCode>
                <c:ptCount val="10"/>
                <c:pt idx="0">
                  <c:v>4.3010000000000002</c:v>
                </c:pt>
                <c:pt idx="1">
                  <c:v>9.4390000000000001</c:v>
                </c:pt>
                <c:pt idx="2">
                  <c:v>18.555</c:v>
                </c:pt>
                <c:pt idx="3">
                  <c:v>9.8059999999999992</c:v>
                </c:pt>
                <c:pt idx="4">
                  <c:v>10.792999999999999</c:v>
                </c:pt>
                <c:pt idx="5">
                  <c:v>10.004</c:v>
                </c:pt>
                <c:pt idx="6">
                  <c:v>8.08</c:v>
                </c:pt>
                <c:pt idx="7">
                  <c:v>27.491</c:v>
                </c:pt>
                <c:pt idx="8">
                  <c:v>10.471</c:v>
                </c:pt>
                <c:pt idx="9">
                  <c:v>27.545000000000002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6A7-47A3-8DE4-EC35F597C9DC}"/>
            </c:ext>
          </c:extLst>
        </c:ser>
        <c:ser>
          <c:idx val="1"/>
          <c:order val="1"/>
          <c:tx>
            <c:strRef>
              <c:f>obory2021!$D$13</c:f>
              <c:strCache>
                <c:ptCount val="1"/>
                <c:pt idx="0">
                  <c:v>ženy</c:v>
                </c:pt>
              </c:strCache>
            </c:strRef>
          </c:tx>
          <c:spPr>
            <a:solidFill>
              <a:srgbClr val="FB5E3F"/>
            </a:solidFill>
            <a:ln>
              <a:noFill/>
            </a:ln>
            <a:effectLst/>
          </c:spPr>
          <c:invertIfNegative val="0"/>
          <c:dLbls>
            <c:dLbl>
              <c:idx val="2"/>
              <c:layout>
                <c:manualLayout>
                  <c:x val="2.9304029304029304E-2"/>
                  <c:y val="0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800" b="0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0-4E01-4CE3-BB66-B3ACA4DF00EB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obory2021!$B$14:$B$23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Informační a komunikační technologie</c:v>
                </c:pt>
                <c:pt idx="3">
                  <c:v>Přírodní vědy, matematika a statistika</c:v>
                </c:pt>
                <c:pt idx="4">
                  <c:v>Společenské vědy, žurnalistika a informační vědy</c:v>
                </c:pt>
                <c:pt idx="5">
                  <c:v>Umění a humanitní vědy</c:v>
                </c:pt>
                <c:pt idx="6">
                  <c:v>Vzdělávání a výchova</c:v>
                </c:pt>
                <c:pt idx="7">
                  <c:v>Technika, výroba a stavebnictví</c:v>
                </c:pt>
                <c:pt idx="8">
                  <c:v>Zdravotní a sociální péče</c:v>
                </c:pt>
                <c:pt idx="9">
                  <c:v>Obchod, administrativa a právo</c:v>
                </c:pt>
              </c:strCache>
            </c:strRef>
          </c:cat>
          <c:val>
            <c:numRef>
              <c:f>obory2021!$D$14:$D$23</c:f>
              <c:numCache>
                <c:formatCode>0.0</c:formatCode>
                <c:ptCount val="10"/>
                <c:pt idx="0">
                  <c:v>7.0670000000000002</c:v>
                </c:pt>
                <c:pt idx="1">
                  <c:v>7.1319999999999997</c:v>
                </c:pt>
                <c:pt idx="2">
                  <c:v>3.887</c:v>
                </c:pt>
                <c:pt idx="3">
                  <c:v>13.195</c:v>
                </c:pt>
                <c:pt idx="4">
                  <c:v>17.606000000000002</c:v>
                </c:pt>
                <c:pt idx="5">
                  <c:v>19.439</c:v>
                </c:pt>
                <c:pt idx="6">
                  <c:v>28.324999999999999</c:v>
                </c:pt>
                <c:pt idx="7">
                  <c:v>11.052</c:v>
                </c:pt>
                <c:pt idx="8">
                  <c:v>28.922000000000001</c:v>
                </c:pt>
                <c:pt idx="9">
                  <c:v>35.15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6A7-47A3-8DE4-EC35F597C9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5"/>
        <c:overlap val="100"/>
        <c:axId val="1388666943"/>
        <c:axId val="1388676095"/>
      </c:barChart>
      <c:catAx>
        <c:axId val="1388666943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76095"/>
        <c:crosses val="autoZero"/>
        <c:auto val="1"/>
        <c:lblAlgn val="ctr"/>
        <c:lblOffset val="100"/>
        <c:noMultiLvlLbl val="0"/>
      </c:catAx>
      <c:valAx>
        <c:axId val="1388676095"/>
        <c:scaling>
          <c:orientation val="minMax"/>
          <c:max val="100"/>
        </c:scaling>
        <c:delete val="0"/>
        <c:axPos val="b"/>
        <c:numFmt formatCode="0_ ;\-0\ 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6694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egendEntry>
        <c:idx val="0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0070C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egendEntry>
        <c:idx val="1"/>
        <c:txPr>
          <a:bodyPr rot="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rgbClr val="C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0.87343498049693213"/>
          <c:y val="0.61283547701333707"/>
          <c:w val="0.10409525889198597"/>
          <c:h val="0.2482754361587154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4.4586144411965102E-2"/>
          <c:y val="1.1820640067050442E-2"/>
          <c:w val="0.94676828760173382"/>
          <c:h val="0.74889474668798151"/>
        </c:manualLayout>
      </c:layout>
      <c:lineChart>
        <c:grouping val="standard"/>
        <c:varyColors val="0"/>
        <c:ser>
          <c:idx val="0"/>
          <c:order val="0"/>
          <c:tx>
            <c:strRef>
              <c:f>graf6!$B$14</c:f>
              <c:strCache>
                <c:ptCount val="1"/>
                <c:pt idx="0">
                  <c:v>Obchod, administrativa a právo</c:v>
                </c:pt>
              </c:strCache>
            </c:strRef>
          </c:tx>
          <c:spPr>
            <a:ln w="28575" cap="rnd">
              <a:solidFill>
                <a:srgbClr val="2F34FD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graf6!$C$14:$W$14</c:f>
              <c:numCache>
                <c:formatCode>0.0</c:formatCode>
                <c:ptCount val="21"/>
                <c:pt idx="0">
                  <c:v>39.634</c:v>
                </c:pt>
                <c:pt idx="1">
                  <c:v>43.253999999999998</c:v>
                </c:pt>
                <c:pt idx="2">
                  <c:v>47.911999999999999</c:v>
                </c:pt>
                <c:pt idx="3">
                  <c:v>53.128</c:v>
                </c:pt>
                <c:pt idx="4">
                  <c:v>59.646000000000001</c:v>
                </c:pt>
                <c:pt idx="5">
                  <c:v>67.381</c:v>
                </c:pt>
                <c:pt idx="6">
                  <c:v>78.403999999999996</c:v>
                </c:pt>
                <c:pt idx="7">
                  <c:v>86.548000000000002</c:v>
                </c:pt>
                <c:pt idx="8">
                  <c:v>93.567999999999998</c:v>
                </c:pt>
                <c:pt idx="9">
                  <c:v>93.22</c:v>
                </c:pt>
                <c:pt idx="10">
                  <c:v>90.188999999999993</c:v>
                </c:pt>
                <c:pt idx="11">
                  <c:v>84.525999999999996</c:v>
                </c:pt>
                <c:pt idx="12">
                  <c:v>79.037000000000006</c:v>
                </c:pt>
                <c:pt idx="13">
                  <c:v>71.802000000000007</c:v>
                </c:pt>
                <c:pt idx="14">
                  <c:v>67.356999999999999</c:v>
                </c:pt>
                <c:pt idx="15">
                  <c:v>63.481999999999999</c:v>
                </c:pt>
                <c:pt idx="16">
                  <c:v>60.38</c:v>
                </c:pt>
                <c:pt idx="17">
                  <c:v>58.335000000000001</c:v>
                </c:pt>
                <c:pt idx="18">
                  <c:v>58.89</c:v>
                </c:pt>
                <c:pt idx="19">
                  <c:v>60.680999999999997</c:v>
                </c:pt>
                <c:pt idx="20">
                  <c:v>62.695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8A43-409E-8243-230BD7E906B7}"/>
            </c:ext>
          </c:extLst>
        </c:ser>
        <c:ser>
          <c:idx val="1"/>
          <c:order val="1"/>
          <c:tx>
            <c:strRef>
              <c:f>graf6!$B$15</c:f>
              <c:strCache>
                <c:ptCount val="1"/>
                <c:pt idx="0">
                  <c:v>Zdravotní a sociální péče</c:v>
                </c:pt>
              </c:strCache>
            </c:strRef>
          </c:tx>
          <c:spPr>
            <a:ln w="28575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graf6!$C$15:$W$15</c:f>
              <c:numCache>
                <c:formatCode>0.0</c:formatCode>
                <c:ptCount val="21"/>
                <c:pt idx="0">
                  <c:v>17.73</c:v>
                </c:pt>
                <c:pt idx="1">
                  <c:v>19.510000000000002</c:v>
                </c:pt>
                <c:pt idx="2">
                  <c:v>21.443000000000001</c:v>
                </c:pt>
                <c:pt idx="3">
                  <c:v>23.768999999999998</c:v>
                </c:pt>
                <c:pt idx="4">
                  <c:v>25.928999999999998</c:v>
                </c:pt>
                <c:pt idx="5">
                  <c:v>28.72</c:v>
                </c:pt>
                <c:pt idx="6">
                  <c:v>30.581</c:v>
                </c:pt>
                <c:pt idx="7">
                  <c:v>32.460999999999999</c:v>
                </c:pt>
                <c:pt idx="8">
                  <c:v>33.863999999999997</c:v>
                </c:pt>
                <c:pt idx="9">
                  <c:v>35.218000000000004</c:v>
                </c:pt>
                <c:pt idx="10">
                  <c:v>36.225000000000001</c:v>
                </c:pt>
                <c:pt idx="11">
                  <c:v>36.409999999999997</c:v>
                </c:pt>
                <c:pt idx="12">
                  <c:v>36.613999999999997</c:v>
                </c:pt>
                <c:pt idx="13">
                  <c:v>35.807000000000002</c:v>
                </c:pt>
                <c:pt idx="14">
                  <c:v>35.755000000000003</c:v>
                </c:pt>
                <c:pt idx="15">
                  <c:v>35.695</c:v>
                </c:pt>
                <c:pt idx="16">
                  <c:v>35.488</c:v>
                </c:pt>
                <c:pt idx="17">
                  <c:v>34.805</c:v>
                </c:pt>
                <c:pt idx="18">
                  <c:v>35.823999999999998</c:v>
                </c:pt>
                <c:pt idx="19">
                  <c:v>37.698999999999998</c:v>
                </c:pt>
                <c:pt idx="20">
                  <c:v>39.393000000000001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A43-409E-8243-230BD7E906B7}"/>
            </c:ext>
          </c:extLst>
        </c:ser>
        <c:ser>
          <c:idx val="2"/>
          <c:order val="2"/>
          <c:tx>
            <c:strRef>
              <c:f>graf6!$B$16</c:f>
              <c:strCache>
                <c:ptCount val="1"/>
                <c:pt idx="0">
                  <c:v>Technika, výroba a stavebnictví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graf6!$C$16:$W$16</c:f>
              <c:numCache>
                <c:formatCode>0.0</c:formatCode>
                <c:ptCount val="21"/>
                <c:pt idx="0">
                  <c:v>51.491</c:v>
                </c:pt>
                <c:pt idx="1">
                  <c:v>52.567</c:v>
                </c:pt>
                <c:pt idx="2">
                  <c:v>56.381999999999998</c:v>
                </c:pt>
                <c:pt idx="3">
                  <c:v>57.54</c:v>
                </c:pt>
                <c:pt idx="4">
                  <c:v>60.197000000000003</c:v>
                </c:pt>
                <c:pt idx="5">
                  <c:v>62.656999999999996</c:v>
                </c:pt>
                <c:pt idx="6">
                  <c:v>63.23</c:v>
                </c:pt>
                <c:pt idx="7">
                  <c:v>63.494999999999997</c:v>
                </c:pt>
                <c:pt idx="8">
                  <c:v>64.849999999999994</c:v>
                </c:pt>
                <c:pt idx="9">
                  <c:v>64.756</c:v>
                </c:pt>
                <c:pt idx="10">
                  <c:v>63.768000000000001</c:v>
                </c:pt>
                <c:pt idx="11">
                  <c:v>61.981999999999999</c:v>
                </c:pt>
                <c:pt idx="12">
                  <c:v>60.44</c:v>
                </c:pt>
                <c:pt idx="13">
                  <c:v>57.198</c:v>
                </c:pt>
                <c:pt idx="14">
                  <c:v>54.131</c:v>
                </c:pt>
                <c:pt idx="15">
                  <c:v>51.091000000000001</c:v>
                </c:pt>
                <c:pt idx="16">
                  <c:v>48.070999999999998</c:v>
                </c:pt>
                <c:pt idx="17">
                  <c:v>45.645000000000003</c:v>
                </c:pt>
                <c:pt idx="18">
                  <c:v>42.914000000000001</c:v>
                </c:pt>
                <c:pt idx="19">
                  <c:v>40.707999999999998</c:v>
                </c:pt>
                <c:pt idx="20">
                  <c:v>38.542999999999999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A43-409E-8243-230BD7E906B7}"/>
            </c:ext>
          </c:extLst>
        </c:ser>
        <c:ser>
          <c:idx val="3"/>
          <c:order val="3"/>
          <c:tx>
            <c:strRef>
              <c:f>graf6!$B$17</c:f>
              <c:strCache>
                <c:ptCount val="1"/>
                <c:pt idx="0">
                  <c:v>Vzdělávání a výchova</c:v>
                </c:pt>
              </c:strCache>
            </c:strRef>
          </c:tx>
          <c:spPr>
            <a:ln w="28575" cap="rnd">
              <a:solidFill>
                <a:srgbClr val="FFC0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graf6!$C$17:$W$17</c:f>
              <c:numCache>
                <c:formatCode>0.0</c:formatCode>
                <c:ptCount val="21"/>
                <c:pt idx="0">
                  <c:v>31.664999999999999</c:v>
                </c:pt>
                <c:pt idx="1">
                  <c:v>32.667000000000002</c:v>
                </c:pt>
                <c:pt idx="2">
                  <c:v>34.442999999999998</c:v>
                </c:pt>
                <c:pt idx="3">
                  <c:v>36.534999999999997</c:v>
                </c:pt>
                <c:pt idx="4">
                  <c:v>39.113999999999997</c:v>
                </c:pt>
                <c:pt idx="5">
                  <c:v>41.222000000000001</c:v>
                </c:pt>
                <c:pt idx="6">
                  <c:v>44.198</c:v>
                </c:pt>
                <c:pt idx="7">
                  <c:v>45.780999999999999</c:v>
                </c:pt>
                <c:pt idx="8">
                  <c:v>46.277000000000001</c:v>
                </c:pt>
                <c:pt idx="9">
                  <c:v>46.127000000000002</c:v>
                </c:pt>
                <c:pt idx="10">
                  <c:v>44.564</c:v>
                </c:pt>
                <c:pt idx="11">
                  <c:v>41.728999999999999</c:v>
                </c:pt>
                <c:pt idx="12">
                  <c:v>39.424999999999997</c:v>
                </c:pt>
                <c:pt idx="13">
                  <c:v>37.579000000000001</c:v>
                </c:pt>
                <c:pt idx="14">
                  <c:v>33.764000000000003</c:v>
                </c:pt>
                <c:pt idx="15">
                  <c:v>32.11</c:v>
                </c:pt>
                <c:pt idx="16">
                  <c:v>30.928999999999998</c:v>
                </c:pt>
                <c:pt idx="17">
                  <c:v>30.75</c:v>
                </c:pt>
                <c:pt idx="18">
                  <c:v>32.415999999999997</c:v>
                </c:pt>
                <c:pt idx="19">
                  <c:v>34.713000000000001</c:v>
                </c:pt>
                <c:pt idx="20">
                  <c:v>36.405000000000001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8A43-409E-8243-230BD7E906B7}"/>
            </c:ext>
          </c:extLst>
        </c:ser>
        <c:ser>
          <c:idx val="4"/>
          <c:order val="4"/>
          <c:tx>
            <c:strRef>
              <c:f>graf6!$B$18</c:f>
              <c:strCache>
                <c:ptCount val="1"/>
                <c:pt idx="0">
                  <c:v>Umění a humanitní vědy</c:v>
                </c:pt>
              </c:strCache>
            </c:strRef>
          </c:tx>
          <c:spPr>
            <a:ln w="28575" cap="rnd">
              <a:solidFill>
                <a:srgbClr val="9C57C7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graf6!$C$18:$W$18</c:f>
              <c:numCache>
                <c:formatCode>0.0</c:formatCode>
                <c:ptCount val="21"/>
                <c:pt idx="0">
                  <c:v>18.04</c:v>
                </c:pt>
                <c:pt idx="1">
                  <c:v>19.821999999999999</c:v>
                </c:pt>
                <c:pt idx="2">
                  <c:v>21.914999999999999</c:v>
                </c:pt>
                <c:pt idx="3">
                  <c:v>23.815000000000001</c:v>
                </c:pt>
                <c:pt idx="4">
                  <c:v>25.771000000000001</c:v>
                </c:pt>
                <c:pt idx="5">
                  <c:v>28.286000000000001</c:v>
                </c:pt>
                <c:pt idx="6">
                  <c:v>30.992000000000001</c:v>
                </c:pt>
                <c:pt idx="7">
                  <c:v>33.761000000000003</c:v>
                </c:pt>
                <c:pt idx="8">
                  <c:v>36.204999999999998</c:v>
                </c:pt>
                <c:pt idx="9">
                  <c:v>37.146000000000001</c:v>
                </c:pt>
                <c:pt idx="10">
                  <c:v>37.348999999999997</c:v>
                </c:pt>
                <c:pt idx="11">
                  <c:v>36.76</c:v>
                </c:pt>
                <c:pt idx="12">
                  <c:v>35.683999999999997</c:v>
                </c:pt>
                <c:pt idx="13">
                  <c:v>34.186999999999998</c:v>
                </c:pt>
                <c:pt idx="14">
                  <c:v>32.801000000000002</c:v>
                </c:pt>
                <c:pt idx="15">
                  <c:v>31.074999999999999</c:v>
                </c:pt>
                <c:pt idx="16">
                  <c:v>29.745000000000001</c:v>
                </c:pt>
                <c:pt idx="17">
                  <c:v>28.663</c:v>
                </c:pt>
                <c:pt idx="18">
                  <c:v>28.035</c:v>
                </c:pt>
                <c:pt idx="19">
                  <c:v>29.341000000000001</c:v>
                </c:pt>
                <c:pt idx="20">
                  <c:v>29.443000000000001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4-8A43-409E-8243-230BD7E906B7}"/>
            </c:ext>
          </c:extLst>
        </c:ser>
        <c:ser>
          <c:idx val="5"/>
          <c:order val="5"/>
          <c:tx>
            <c:strRef>
              <c:f>graf6!$B$19</c:f>
              <c:strCache>
                <c:ptCount val="1"/>
                <c:pt idx="0">
                  <c:v>Společenské vědy, žurnalistika a informační vědy</c:v>
                </c:pt>
              </c:strCache>
            </c:strRef>
          </c:tx>
          <c:spPr>
            <a:ln w="28575" cap="rnd">
              <a:solidFill>
                <a:schemeClr val="accent6">
                  <a:lumMod val="75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graf6!$C$19:$W$19</c:f>
              <c:numCache>
                <c:formatCode>0.0</c:formatCode>
                <c:ptCount val="21"/>
                <c:pt idx="0">
                  <c:v>16.341000000000001</c:v>
                </c:pt>
                <c:pt idx="1">
                  <c:v>18.306000000000001</c:v>
                </c:pt>
                <c:pt idx="2">
                  <c:v>21.562999999999999</c:v>
                </c:pt>
                <c:pt idx="3">
                  <c:v>24.170999999999999</c:v>
                </c:pt>
                <c:pt idx="4">
                  <c:v>26.838000000000001</c:v>
                </c:pt>
                <c:pt idx="5">
                  <c:v>30.228999999999999</c:v>
                </c:pt>
                <c:pt idx="6">
                  <c:v>33.332000000000001</c:v>
                </c:pt>
                <c:pt idx="7">
                  <c:v>38.216999999999999</c:v>
                </c:pt>
                <c:pt idx="8">
                  <c:v>42.345999999999997</c:v>
                </c:pt>
                <c:pt idx="9">
                  <c:v>43.953000000000003</c:v>
                </c:pt>
                <c:pt idx="10">
                  <c:v>43.651000000000003</c:v>
                </c:pt>
                <c:pt idx="11">
                  <c:v>42.616999999999997</c:v>
                </c:pt>
                <c:pt idx="12">
                  <c:v>40.331000000000003</c:v>
                </c:pt>
                <c:pt idx="13">
                  <c:v>37.292999999999999</c:v>
                </c:pt>
                <c:pt idx="14">
                  <c:v>34.215000000000003</c:v>
                </c:pt>
                <c:pt idx="15">
                  <c:v>32.113999999999997</c:v>
                </c:pt>
                <c:pt idx="16">
                  <c:v>30.343</c:v>
                </c:pt>
                <c:pt idx="17">
                  <c:v>28.824999999999999</c:v>
                </c:pt>
                <c:pt idx="18">
                  <c:v>28.068000000000001</c:v>
                </c:pt>
                <c:pt idx="19">
                  <c:v>28.565000000000001</c:v>
                </c:pt>
                <c:pt idx="20">
                  <c:v>28.399000000000001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8A43-409E-8243-230BD7E906B7}"/>
            </c:ext>
          </c:extLst>
        </c:ser>
        <c:ser>
          <c:idx val="6"/>
          <c:order val="6"/>
          <c:tx>
            <c:strRef>
              <c:f>graf6!$B$20</c:f>
              <c:strCache>
                <c:ptCount val="1"/>
                <c:pt idx="0">
                  <c:v>Přírodní vědy, matematika a statistika</c:v>
                </c:pt>
              </c:strCache>
            </c:strRef>
          </c:tx>
          <c:spPr>
            <a:ln w="28575" cap="rnd">
              <a:solidFill>
                <a:srgbClr val="503D0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graf6!$C$20:$W$20</c:f>
              <c:numCache>
                <c:formatCode>0.0</c:formatCode>
                <c:ptCount val="21"/>
                <c:pt idx="0">
                  <c:v>11.534000000000001</c:v>
                </c:pt>
                <c:pt idx="1">
                  <c:v>12.794</c:v>
                </c:pt>
                <c:pt idx="2">
                  <c:v>14.077999999999999</c:v>
                </c:pt>
                <c:pt idx="3">
                  <c:v>15.135999999999999</c:v>
                </c:pt>
                <c:pt idx="4">
                  <c:v>16.893000000000001</c:v>
                </c:pt>
                <c:pt idx="5">
                  <c:v>18.352</c:v>
                </c:pt>
                <c:pt idx="6">
                  <c:v>19.437000000000001</c:v>
                </c:pt>
                <c:pt idx="7">
                  <c:v>20.128</c:v>
                </c:pt>
                <c:pt idx="8">
                  <c:v>20.759</c:v>
                </c:pt>
                <c:pt idx="9">
                  <c:v>21.800999999999998</c:v>
                </c:pt>
                <c:pt idx="10">
                  <c:v>21.861000000000001</c:v>
                </c:pt>
                <c:pt idx="11">
                  <c:v>21.952999999999999</c:v>
                </c:pt>
                <c:pt idx="12">
                  <c:v>22.239000000000001</c:v>
                </c:pt>
                <c:pt idx="13">
                  <c:v>21.721</c:v>
                </c:pt>
                <c:pt idx="14">
                  <c:v>20.45</c:v>
                </c:pt>
                <c:pt idx="15">
                  <c:v>19.363</c:v>
                </c:pt>
                <c:pt idx="16">
                  <c:v>18.919</c:v>
                </c:pt>
                <c:pt idx="17">
                  <c:v>18.574000000000002</c:v>
                </c:pt>
                <c:pt idx="18">
                  <c:v>19.638000000000002</c:v>
                </c:pt>
                <c:pt idx="19">
                  <c:v>21.728000000000002</c:v>
                </c:pt>
                <c:pt idx="20">
                  <c:v>23.001000000000001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8A43-409E-8243-230BD7E906B7}"/>
            </c:ext>
          </c:extLst>
        </c:ser>
        <c:ser>
          <c:idx val="7"/>
          <c:order val="7"/>
          <c:tx>
            <c:strRef>
              <c:f>graf6!$B$21</c:f>
              <c:strCache>
                <c:ptCount val="1"/>
                <c:pt idx="0">
                  <c:v>Informační a komunikační technologie</c:v>
                </c:pt>
              </c:strCache>
            </c:strRef>
          </c:tx>
          <c:spPr>
            <a:ln w="28575" cap="rnd">
              <a:solidFill>
                <a:schemeClr val="accent1">
                  <a:lumMod val="60000"/>
                  <a:lumOff val="40000"/>
                </a:schemeClr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graf6!$C$21:$W$21</c:f>
              <c:numCache>
                <c:formatCode>0.0</c:formatCode>
                <c:ptCount val="21"/>
                <c:pt idx="0">
                  <c:v>7.5279999999999996</c:v>
                </c:pt>
                <c:pt idx="1">
                  <c:v>10.082000000000001</c:v>
                </c:pt>
                <c:pt idx="2">
                  <c:v>12.685</c:v>
                </c:pt>
                <c:pt idx="3">
                  <c:v>14.888999999999999</c:v>
                </c:pt>
                <c:pt idx="4">
                  <c:v>16.945</c:v>
                </c:pt>
                <c:pt idx="5">
                  <c:v>19.001000000000001</c:v>
                </c:pt>
                <c:pt idx="6">
                  <c:v>21.161999999999999</c:v>
                </c:pt>
                <c:pt idx="7">
                  <c:v>23.141999999999999</c:v>
                </c:pt>
                <c:pt idx="8">
                  <c:v>24.83</c:v>
                </c:pt>
                <c:pt idx="9">
                  <c:v>25.709</c:v>
                </c:pt>
                <c:pt idx="10">
                  <c:v>25.797000000000001</c:v>
                </c:pt>
                <c:pt idx="11">
                  <c:v>25.198</c:v>
                </c:pt>
                <c:pt idx="12">
                  <c:v>24.731000000000002</c:v>
                </c:pt>
                <c:pt idx="13">
                  <c:v>23.306000000000001</c:v>
                </c:pt>
                <c:pt idx="14">
                  <c:v>21.48</c:v>
                </c:pt>
                <c:pt idx="15">
                  <c:v>20.498999999999999</c:v>
                </c:pt>
                <c:pt idx="16">
                  <c:v>19.981999999999999</c:v>
                </c:pt>
                <c:pt idx="17">
                  <c:v>20.045000000000002</c:v>
                </c:pt>
                <c:pt idx="18">
                  <c:v>20.367999999999999</c:v>
                </c:pt>
                <c:pt idx="19">
                  <c:v>21.646999999999998</c:v>
                </c:pt>
                <c:pt idx="20">
                  <c:v>22.442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8A43-409E-8243-230BD7E906B7}"/>
            </c:ext>
          </c:extLst>
        </c:ser>
        <c:ser>
          <c:idx val="8"/>
          <c:order val="8"/>
          <c:tx>
            <c:strRef>
              <c:f>graf6!$B$22</c:f>
              <c:strCache>
                <c:ptCount val="1"/>
                <c:pt idx="0">
                  <c:v>Služby</c:v>
                </c:pt>
              </c:strCache>
            </c:strRef>
          </c:tx>
          <c:spPr>
            <a:ln w="28575" cap="rnd">
              <a:solidFill>
                <a:srgbClr val="A19795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graf6!$C$22:$W$22</c:f>
              <c:numCache>
                <c:formatCode>0.0</c:formatCode>
                <c:ptCount val="21"/>
                <c:pt idx="0">
                  <c:v>5.95</c:v>
                </c:pt>
                <c:pt idx="1">
                  <c:v>7.6459999999999999</c:v>
                </c:pt>
                <c:pt idx="2">
                  <c:v>9.3889999999999993</c:v>
                </c:pt>
                <c:pt idx="3">
                  <c:v>11.071</c:v>
                </c:pt>
                <c:pt idx="4">
                  <c:v>12.932</c:v>
                </c:pt>
                <c:pt idx="5">
                  <c:v>15.032999999999999</c:v>
                </c:pt>
                <c:pt idx="6">
                  <c:v>17.448</c:v>
                </c:pt>
                <c:pt idx="7">
                  <c:v>19.457000000000001</c:v>
                </c:pt>
                <c:pt idx="8">
                  <c:v>20.867999999999999</c:v>
                </c:pt>
                <c:pt idx="9">
                  <c:v>21.992999999999999</c:v>
                </c:pt>
                <c:pt idx="10">
                  <c:v>22.178000000000001</c:v>
                </c:pt>
                <c:pt idx="11">
                  <c:v>21.878</c:v>
                </c:pt>
                <c:pt idx="12">
                  <c:v>21.753</c:v>
                </c:pt>
                <c:pt idx="13">
                  <c:v>20.393999999999998</c:v>
                </c:pt>
                <c:pt idx="14">
                  <c:v>18.939</c:v>
                </c:pt>
                <c:pt idx="15">
                  <c:v>17.8</c:v>
                </c:pt>
                <c:pt idx="16">
                  <c:v>16.867999999999999</c:v>
                </c:pt>
                <c:pt idx="17">
                  <c:v>16.085999999999999</c:v>
                </c:pt>
                <c:pt idx="18">
                  <c:v>14.792</c:v>
                </c:pt>
                <c:pt idx="19">
                  <c:v>16.405999999999999</c:v>
                </c:pt>
                <c:pt idx="20">
                  <c:v>16.571000000000002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8A43-409E-8243-230BD7E906B7}"/>
            </c:ext>
          </c:extLst>
        </c:ser>
        <c:ser>
          <c:idx val="9"/>
          <c:order val="9"/>
          <c:tx>
            <c:strRef>
              <c:f>graf6!$B$23</c:f>
              <c:strCache>
                <c:ptCount val="1"/>
                <c:pt idx="0">
                  <c:v>Zemědělství, lesnictví, rybářství a veterinářství</c:v>
                </c:pt>
              </c:strCache>
            </c:strRef>
          </c:tx>
          <c:spPr>
            <a:ln w="28575" cap="rnd">
              <a:solidFill>
                <a:srgbClr val="92D050"/>
              </a:solidFill>
              <a:round/>
            </a:ln>
            <a:effectLst/>
          </c:spPr>
          <c:marker>
            <c:symbol val="none"/>
          </c:marker>
          <c:cat>
            <c:numRef>
              <c:f>graf6!$C$13:$W$13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graf6!$C$23:$W$23</c:f>
              <c:numCache>
                <c:formatCode>0.0</c:formatCode>
                <c:ptCount val="21"/>
                <c:pt idx="0">
                  <c:v>7.8490000000000002</c:v>
                </c:pt>
                <c:pt idx="1">
                  <c:v>8.4550000000000001</c:v>
                </c:pt>
                <c:pt idx="2">
                  <c:v>9.3219999999999992</c:v>
                </c:pt>
                <c:pt idx="3">
                  <c:v>10.161</c:v>
                </c:pt>
                <c:pt idx="4">
                  <c:v>10.952999999999999</c:v>
                </c:pt>
                <c:pt idx="5">
                  <c:v>11.678000000000001</c:v>
                </c:pt>
                <c:pt idx="6">
                  <c:v>12.117000000000001</c:v>
                </c:pt>
                <c:pt idx="7">
                  <c:v>12.978999999999999</c:v>
                </c:pt>
                <c:pt idx="8">
                  <c:v>13.519</c:v>
                </c:pt>
                <c:pt idx="9">
                  <c:v>13.853</c:v>
                </c:pt>
                <c:pt idx="10">
                  <c:v>13.847</c:v>
                </c:pt>
                <c:pt idx="11">
                  <c:v>14.189</c:v>
                </c:pt>
                <c:pt idx="12">
                  <c:v>13.263</c:v>
                </c:pt>
                <c:pt idx="13">
                  <c:v>12.778</c:v>
                </c:pt>
                <c:pt idx="14">
                  <c:v>12.295</c:v>
                </c:pt>
                <c:pt idx="15">
                  <c:v>12.275</c:v>
                </c:pt>
                <c:pt idx="16">
                  <c:v>11.916</c:v>
                </c:pt>
                <c:pt idx="17">
                  <c:v>11.444000000000001</c:v>
                </c:pt>
                <c:pt idx="18">
                  <c:v>11.259</c:v>
                </c:pt>
                <c:pt idx="19">
                  <c:v>11.739000000000001</c:v>
                </c:pt>
                <c:pt idx="20">
                  <c:v>11.368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9-8A43-409E-8243-230BD7E906B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1388686911"/>
        <c:axId val="1388680255"/>
      </c:lineChart>
      <c:catAx>
        <c:axId val="1388686911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80255"/>
        <c:crosses val="autoZero"/>
        <c:auto val="1"/>
        <c:lblAlgn val="ctr"/>
        <c:lblOffset val="100"/>
        <c:noMultiLvlLbl val="0"/>
      </c:catAx>
      <c:valAx>
        <c:axId val="1388680255"/>
        <c:scaling>
          <c:orientation val="minMax"/>
          <c:max val="95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388686911"/>
        <c:crosses val="autoZero"/>
        <c:crossBetween val="between"/>
        <c:majorUnit val="10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1.79636920384952E-2"/>
          <c:y val="0.84686173051897928"/>
          <c:w val="0.98203630796150476"/>
          <c:h val="0.13647164692648714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ysClr val="windowText" lastClr="000000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2.9258098223615466E-2"/>
          <c:y val="5.5118770531042111E-2"/>
          <c:w val="0.94822534330544106"/>
          <c:h val="0.6047830271216099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graf_7!$I$2</c:f>
              <c:strCache>
                <c:ptCount val="1"/>
                <c:pt idx="0">
                  <c:v>studenti ve věku 20–29 (tis. osob)</c:v>
                </c:pt>
              </c:strCache>
            </c:strRef>
          </c:tx>
          <c:spPr>
            <a:solidFill>
              <a:srgbClr val="5B9BD5">
                <a:lumMod val="60000"/>
                <a:lumOff val="4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cat>
          <c:val>
            <c:numRef>
              <c:f>graf_7!$I$3:$I$16</c:f>
              <c:numCache>
                <c:formatCode>0.0</c:formatCode>
                <c:ptCount val="14"/>
                <c:pt idx="0">
                  <c:v>12.568</c:v>
                </c:pt>
                <c:pt idx="1">
                  <c:v>26.286999999999999</c:v>
                </c:pt>
                <c:pt idx="2">
                  <c:v>12.89</c:v>
                </c:pt>
                <c:pt idx="3">
                  <c:v>12.417999999999999</c:v>
                </c:pt>
                <c:pt idx="4">
                  <c:v>24.061</c:v>
                </c:pt>
                <c:pt idx="5">
                  <c:v>10.456</c:v>
                </c:pt>
                <c:pt idx="6">
                  <c:v>10.398999999999999</c:v>
                </c:pt>
                <c:pt idx="7">
                  <c:v>21.914999999999999</c:v>
                </c:pt>
                <c:pt idx="8">
                  <c:v>24.378</c:v>
                </c:pt>
                <c:pt idx="9">
                  <c:v>9.7200000000000006</c:v>
                </c:pt>
                <c:pt idx="10">
                  <c:v>9.3059999999999992</c:v>
                </c:pt>
                <c:pt idx="11">
                  <c:v>7.0410000000000004</c:v>
                </c:pt>
                <c:pt idx="12">
                  <c:v>11.486000000000001</c:v>
                </c:pt>
                <c:pt idx="13">
                  <c:v>3.8679999999999999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099-436D-89A1-1F3FFC73B2B8}"/>
            </c:ext>
          </c:extLst>
        </c:ser>
        <c:ser>
          <c:idx val="1"/>
          <c:order val="1"/>
          <c:tx>
            <c:strRef>
              <c:f>graf_7!$J$2</c:f>
              <c:strCache>
                <c:ptCount val="1"/>
                <c:pt idx="0">
                  <c:v>ostatní studenti (tis. osob)</c:v>
                </c:pt>
              </c:strCache>
            </c:strRef>
          </c:tx>
          <c:spPr>
            <a:solidFill>
              <a:srgbClr val="ED7D31">
                <a:lumMod val="40000"/>
                <a:lumOff val="60000"/>
              </a:srgb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+mn-lt"/>
                    <a:ea typeface="+mn-ea"/>
                    <a:cs typeface="+mn-cs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cat>
          <c:val>
            <c:numRef>
              <c:f>graf_7!$J$3:$J$16</c:f>
              <c:numCache>
                <c:formatCode>0.0</c:formatCode>
                <c:ptCount val="14"/>
                <c:pt idx="0">
                  <c:v>2.988</c:v>
                </c:pt>
                <c:pt idx="1">
                  <c:v>10.170999999999999</c:v>
                </c:pt>
                <c:pt idx="2">
                  <c:v>3.4239999999999999</c:v>
                </c:pt>
                <c:pt idx="3">
                  <c:v>3.72</c:v>
                </c:pt>
                <c:pt idx="4">
                  <c:v>6.9160000000000004</c:v>
                </c:pt>
                <c:pt idx="5">
                  <c:v>2.5379999999999998</c:v>
                </c:pt>
                <c:pt idx="6">
                  <c:v>2.6560000000000001</c:v>
                </c:pt>
                <c:pt idx="7">
                  <c:v>6.3440000000000003</c:v>
                </c:pt>
                <c:pt idx="8">
                  <c:v>8.0850000000000009</c:v>
                </c:pt>
                <c:pt idx="9">
                  <c:v>2.516</c:v>
                </c:pt>
                <c:pt idx="10">
                  <c:v>2.65</c:v>
                </c:pt>
                <c:pt idx="11">
                  <c:v>2.08</c:v>
                </c:pt>
                <c:pt idx="12">
                  <c:v>3.9020000000000001</c:v>
                </c:pt>
                <c:pt idx="13">
                  <c:v>1.228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099-436D-89A1-1F3FFC73B2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7"/>
        <c:overlap val="100"/>
        <c:axId val="168496480"/>
        <c:axId val="168484416"/>
      </c:barChart>
      <c:scatterChart>
        <c:scatterStyle val="lineMarker"/>
        <c:varyColors val="0"/>
        <c:ser>
          <c:idx val="2"/>
          <c:order val="2"/>
          <c:tx>
            <c:strRef>
              <c:f>graf_7!$K$2</c:f>
              <c:strCache>
                <c:ptCount val="1"/>
                <c:pt idx="0">
                  <c:v>podíl studentů mezi obyvateli ve věku 20–29 let (v %)</c:v>
                </c:pt>
              </c:strCache>
            </c:strRef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70AD47">
                  <a:lumMod val="75000"/>
                </a:srgbClr>
              </a:solidFill>
              <a:ln w="9525">
                <a:solidFill>
                  <a:srgbClr val="70AD47">
                    <a:lumMod val="75000"/>
                  </a:srgbClr>
                </a:solidFill>
              </a:ln>
              <a:effectLst/>
            </c:spPr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xVal>
            <c:strRef>
              <c:f>graf_7!$H$3:$H$16</c:f>
              <c:strCache>
                <c:ptCount val="14"/>
                <c:pt idx="0">
                  <c:v>Zlínský</c:v>
                </c:pt>
                <c:pt idx="1">
                  <c:v>Praha</c:v>
                </c:pt>
                <c:pt idx="2">
                  <c:v>Jihočeský</c:v>
                </c:pt>
                <c:pt idx="3">
                  <c:v>Olomoucký</c:v>
                </c:pt>
                <c:pt idx="4">
                  <c:v>Moravskoslezský</c:v>
                </c:pt>
                <c:pt idx="5">
                  <c:v>Vysočina</c:v>
                </c:pt>
                <c:pt idx="6">
                  <c:v>Královéhradecký</c:v>
                </c:pt>
                <c:pt idx="7">
                  <c:v>Jihomoravský</c:v>
                </c:pt>
                <c:pt idx="8">
                  <c:v>Středočeský</c:v>
                </c:pt>
                <c:pt idx="9">
                  <c:v>Pardubický</c:v>
                </c:pt>
                <c:pt idx="10">
                  <c:v>Plzeňský</c:v>
                </c:pt>
                <c:pt idx="11">
                  <c:v>Liberecký</c:v>
                </c:pt>
                <c:pt idx="12">
                  <c:v>Ústecký</c:v>
                </c:pt>
                <c:pt idx="13">
                  <c:v>Karlovarský</c:v>
                </c:pt>
              </c:strCache>
            </c:strRef>
          </c:xVal>
          <c:yVal>
            <c:numRef>
              <c:f>graf_7!$K$3:$K$16</c:f>
              <c:numCache>
                <c:formatCode>0.0</c:formatCode>
                <c:ptCount val="14"/>
                <c:pt idx="0">
                  <c:v>22.137283567893189</c:v>
                </c:pt>
                <c:pt idx="1">
                  <c:v>20.342668761269454</c:v>
                </c:pt>
                <c:pt idx="2">
                  <c:v>20.328344556766389</c:v>
                </c:pt>
                <c:pt idx="3">
                  <c:v>20.209614946457052</c:v>
                </c:pt>
                <c:pt idx="4">
                  <c:v>20.15142251739935</c:v>
                </c:pt>
                <c:pt idx="5">
                  <c:v>20.053701572688915</c:v>
                </c:pt>
                <c:pt idx="6">
                  <c:v>19.191304026870409</c:v>
                </c:pt>
                <c:pt idx="7">
                  <c:v>18.799378929940897</c:v>
                </c:pt>
                <c:pt idx="8">
                  <c:v>18.710137919918949</c:v>
                </c:pt>
                <c:pt idx="9">
                  <c:v>18.227848101265824</c:v>
                </c:pt>
                <c:pt idx="10">
                  <c:v>16.213108470678421</c:v>
                </c:pt>
                <c:pt idx="11">
                  <c:v>15.89569928885879</c:v>
                </c:pt>
                <c:pt idx="12">
                  <c:v>13.922593001127288</c:v>
                </c:pt>
                <c:pt idx="13">
                  <c:v>13.505586592178769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099-436D-89A1-1F3FFC73B2B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46883072"/>
        <c:axId val="1388332896"/>
      </c:scatterChart>
      <c:catAx>
        <c:axId val="16849648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68484416"/>
        <c:crosses val="autoZero"/>
        <c:auto val="1"/>
        <c:lblAlgn val="ctr"/>
        <c:lblOffset val="100"/>
        <c:noMultiLvlLbl val="0"/>
      </c:catAx>
      <c:valAx>
        <c:axId val="168484416"/>
        <c:scaling>
          <c:orientation val="minMax"/>
          <c:max val="45"/>
        </c:scaling>
        <c:delete val="0"/>
        <c:axPos val="l"/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ysClr val="windowText" lastClr="000000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68496480"/>
        <c:crosses val="autoZero"/>
        <c:crossBetween val="between"/>
      </c:valAx>
      <c:valAx>
        <c:axId val="1388332896"/>
        <c:scaling>
          <c:orientation val="minMax"/>
          <c:max val="23"/>
          <c:min val="0"/>
        </c:scaling>
        <c:delete val="0"/>
        <c:axPos val="r"/>
        <c:numFmt formatCode="0.0" sourceLinked="1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1146883072"/>
        <c:crosses val="max"/>
        <c:crossBetween val="midCat"/>
      </c:valAx>
      <c:valAx>
        <c:axId val="114688307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1388332896"/>
        <c:crosses val="autoZero"/>
        <c:crossBetween val="midCat"/>
      </c:valAx>
      <c:spPr>
        <a:noFill/>
        <a:ln w="25400">
          <a:noFill/>
        </a:ln>
        <a:effectLst/>
      </c:spPr>
    </c:plotArea>
    <c:legend>
      <c:legendPos val="b"/>
      <c:layout>
        <c:manualLayout>
          <c:xMode val="edge"/>
          <c:yMode val="edge"/>
          <c:x val="9.4892997309505601E-3"/>
          <c:y val="0.90343365412656751"/>
          <c:w val="0.99051070026904942"/>
          <c:h val="7.830737824438613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4">
    <c:autoUpdate val="0"/>
  </c:externalData>
  <c:userShapes r:id="rId5"/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4.2316094592761921E-2"/>
          <c:y val="2.6043475334813913E-2"/>
          <c:w val="0.95280126625393202"/>
          <c:h val="0.7239394306480920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List2!$B$27</c:f>
              <c:strCache>
                <c:ptCount val="1"/>
                <c:pt idx="0">
                  <c:v>2001</c:v>
                </c:pt>
              </c:strCache>
            </c:strRef>
          </c:tx>
          <c:spPr>
            <a:solidFill>
              <a:schemeClr val="accent2">
                <a:lumMod val="40000"/>
                <a:lumOff val="6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List2!$B$28:$B$42</c:f>
              <c:numCache>
                <c:formatCode>0.0</c:formatCode>
                <c:ptCount val="15"/>
                <c:pt idx="0">
                  <c:v>3.6793919502504746</c:v>
                </c:pt>
                <c:pt idx="1">
                  <c:v>12.358248230060772</c:v>
                </c:pt>
                <c:pt idx="2">
                  <c:v>10.445034149736808</c:v>
                </c:pt>
                <c:pt idx="3">
                  <c:v>7.2328709096685371</c:v>
                </c:pt>
                <c:pt idx="4">
                  <c:v>7.5924622722652284</c:v>
                </c:pt>
                <c:pt idx="5">
                  <c:v>7.5859476168595172</c:v>
                </c:pt>
                <c:pt idx="6">
                  <c:v>8.0497313244126012</c:v>
                </c:pt>
                <c:pt idx="7">
                  <c:v>6.054952510176391</c:v>
                </c:pt>
                <c:pt idx="8">
                  <c:v>7.3496027241770721</c:v>
                </c:pt>
                <c:pt idx="9">
                  <c:v>6.6053991958644458</c:v>
                </c:pt>
                <c:pt idx="10">
                  <c:v>7.4606339819844605</c:v>
                </c:pt>
                <c:pt idx="11">
                  <c:v>7.4616995481097765</c:v>
                </c:pt>
                <c:pt idx="12">
                  <c:v>6.3321914023649022</c:v>
                </c:pt>
                <c:pt idx="13">
                  <c:v>6.343091936312276</c:v>
                </c:pt>
                <c:pt idx="14">
                  <c:v>5.855614973262032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5DF-40CF-8B1E-CA8249A414A5}"/>
            </c:ext>
          </c:extLst>
        </c:ser>
        <c:ser>
          <c:idx val="1"/>
          <c:order val="1"/>
          <c:tx>
            <c:strRef>
              <c:f>List2!$C$27</c:f>
              <c:strCache>
                <c:ptCount val="1"/>
                <c:pt idx="0">
                  <c:v>2011</c:v>
                </c:pt>
              </c:strCache>
            </c:strRef>
          </c:tx>
          <c:spPr>
            <a:solidFill>
              <a:srgbClr val="7FA3CF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2">
                        <a:lumMod val="7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List2!$C$28:$C$42</c:f>
              <c:numCache>
                <c:formatCode>0.0</c:formatCode>
                <c:ptCount val="15"/>
                <c:pt idx="0">
                  <c:v>8.0915146249637999</c:v>
                </c:pt>
                <c:pt idx="1">
                  <c:v>9.9124850715586277</c:v>
                </c:pt>
                <c:pt idx="2">
                  <c:v>7.9947575360419396</c:v>
                </c:pt>
                <c:pt idx="3">
                  <c:v>6.2948546405546768</c:v>
                </c:pt>
                <c:pt idx="4">
                  <c:v>6.1124588459539071</c:v>
                </c:pt>
                <c:pt idx="5">
                  <c:v>5.9654802791328514</c:v>
                </c:pt>
                <c:pt idx="6">
                  <c:v>5.6036347901341408</c:v>
                </c:pt>
                <c:pt idx="7">
                  <c:v>5.8688595542090463</c:v>
                </c:pt>
                <c:pt idx="8">
                  <c:v>5.8312753923364937</c:v>
                </c:pt>
                <c:pt idx="9">
                  <c:v>5.0501205430782896</c:v>
                </c:pt>
                <c:pt idx="10">
                  <c:v>5.1809812741918613</c:v>
                </c:pt>
                <c:pt idx="11">
                  <c:v>5.5828469051609551</c:v>
                </c:pt>
                <c:pt idx="12">
                  <c:v>4.7889567294929654</c:v>
                </c:pt>
                <c:pt idx="13">
                  <c:v>4.4272948822095852</c:v>
                </c:pt>
                <c:pt idx="14">
                  <c:v>4.338128186453023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75DF-40CF-8B1E-CA8249A414A5}"/>
            </c:ext>
          </c:extLst>
        </c:ser>
        <c:ser>
          <c:idx val="2"/>
          <c:order val="2"/>
          <c:tx>
            <c:strRef>
              <c:f>List2!$D$27</c:f>
              <c:strCache>
                <c:ptCount val="1"/>
                <c:pt idx="0">
                  <c:v>2021</c:v>
                </c:pt>
              </c:strCache>
            </c:strRef>
          </c:tx>
          <c:spPr>
            <a:solidFill>
              <a:srgbClr val="FFC000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6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List2!$A$28:$A$42</c:f>
              <c:strCache>
                <c:ptCount val="15"/>
                <c:pt idx="0">
                  <c:v>bydlí v zahraničí </c:v>
                </c:pt>
                <c:pt idx="1">
                  <c:v>Praha </c:v>
                </c:pt>
                <c:pt idx="2">
                  <c:v>Jihomoravský </c:v>
                </c:pt>
                <c:pt idx="3">
                  <c:v>Plzeňský </c:v>
                </c:pt>
                <c:pt idx="4">
                  <c:v>Olomoucký </c:v>
                </c:pt>
                <c:pt idx="5">
                  <c:v>Moravskoslezský </c:v>
                </c:pt>
                <c:pt idx="6">
                  <c:v>Královéhradecký </c:v>
                </c:pt>
                <c:pt idx="7">
                  <c:v>Zlínský </c:v>
                </c:pt>
                <c:pt idx="8">
                  <c:v>Liberecký </c:v>
                </c:pt>
                <c:pt idx="9">
                  <c:v>Jihočeský </c:v>
                </c:pt>
                <c:pt idx="10">
                  <c:v>Středočeský </c:v>
                </c:pt>
                <c:pt idx="11">
                  <c:v>Pardubický </c:v>
                </c:pt>
                <c:pt idx="12">
                  <c:v>Vysočina </c:v>
                </c:pt>
                <c:pt idx="13">
                  <c:v>Karlovarský </c:v>
                </c:pt>
                <c:pt idx="14">
                  <c:v>Ústecký </c:v>
                </c:pt>
              </c:strCache>
            </c:strRef>
          </c:cat>
          <c:val>
            <c:numRef>
              <c:f>List2!$D$28:$D$42</c:f>
              <c:numCache>
                <c:formatCode>0.0</c:formatCode>
                <c:ptCount val="15"/>
                <c:pt idx="0">
                  <c:v>10.823637158378952</c:v>
                </c:pt>
                <c:pt idx="1">
                  <c:v>9.860661583191618</c:v>
                </c:pt>
                <c:pt idx="2">
                  <c:v>7.7037404012880852</c:v>
                </c:pt>
                <c:pt idx="3">
                  <c:v>6.565741050518568</c:v>
                </c:pt>
                <c:pt idx="4">
                  <c:v>6.3700582476143266</c:v>
                </c:pt>
                <c:pt idx="5">
                  <c:v>5.8527294444265099</c:v>
                </c:pt>
                <c:pt idx="6">
                  <c:v>5.5534278054385293</c:v>
                </c:pt>
                <c:pt idx="7">
                  <c:v>5.5155566983800464</c:v>
                </c:pt>
                <c:pt idx="8">
                  <c:v>5.3941453787961846</c:v>
                </c:pt>
                <c:pt idx="9">
                  <c:v>5.2163785705528998</c:v>
                </c:pt>
                <c:pt idx="10">
                  <c:v>5.1473985768413266</c:v>
                </c:pt>
                <c:pt idx="11">
                  <c:v>5.0588427590715916</c:v>
                </c:pt>
                <c:pt idx="12">
                  <c:v>4.7791288286901645</c:v>
                </c:pt>
                <c:pt idx="13">
                  <c:v>4.6310832025117739</c:v>
                </c:pt>
                <c:pt idx="14">
                  <c:v>4.5749935014296854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75DF-40CF-8B1E-CA8249A414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69"/>
        <c:axId val="843404352"/>
        <c:axId val="843396448"/>
      </c:barChart>
      <c:catAx>
        <c:axId val="843404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396448"/>
        <c:crosses val="autoZero"/>
        <c:auto val="1"/>
        <c:lblAlgn val="ctr"/>
        <c:lblOffset val="100"/>
        <c:noMultiLvlLbl val="0"/>
      </c:catAx>
      <c:valAx>
        <c:axId val="843396448"/>
        <c:scaling>
          <c:orientation val="minMax"/>
        </c:scaling>
        <c:delete val="0"/>
        <c:axPos val="l"/>
        <c:numFmt formatCode="#\ 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84340435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66328149892240851"/>
          <c:y val="4.45451241671714E-2"/>
          <c:w val="0.31242800398030757"/>
          <c:h val="6.6579177602799647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6593274979453048E-2"/>
          <c:y val="5.0925925925925923E-2"/>
          <c:w val="0.97682712622117507"/>
          <c:h val="0.747464185158673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absolventi!$M$25</c:f>
              <c:strCache>
                <c:ptCount val="1"/>
                <c:pt idx="0">
                  <c:v>celkem (tis.)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accent1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absolventi!$M$26:$M$46</c:f>
              <c:numCache>
                <c:formatCode>0.0</c:formatCode>
                <c:ptCount val="21"/>
                <c:pt idx="0">
                  <c:v>30.105</c:v>
                </c:pt>
                <c:pt idx="1">
                  <c:v>31.234000000000002</c:v>
                </c:pt>
                <c:pt idx="2">
                  <c:v>32.969000000000001</c:v>
                </c:pt>
                <c:pt idx="3">
                  <c:v>38.381999999999998</c:v>
                </c:pt>
                <c:pt idx="4">
                  <c:v>44.34</c:v>
                </c:pt>
                <c:pt idx="5">
                  <c:v>53.497</c:v>
                </c:pt>
                <c:pt idx="6">
                  <c:v>63.792999999999999</c:v>
                </c:pt>
                <c:pt idx="7">
                  <c:v>73.248999999999995</c:v>
                </c:pt>
                <c:pt idx="8">
                  <c:v>81.757000000000005</c:v>
                </c:pt>
                <c:pt idx="9">
                  <c:v>88.075000000000003</c:v>
                </c:pt>
                <c:pt idx="10">
                  <c:v>93.105000000000004</c:v>
                </c:pt>
                <c:pt idx="11">
                  <c:v>94.09</c:v>
                </c:pt>
                <c:pt idx="12">
                  <c:v>91.692999999999998</c:v>
                </c:pt>
                <c:pt idx="13">
                  <c:v>88.257000000000005</c:v>
                </c:pt>
                <c:pt idx="14">
                  <c:v>82.039000000000001</c:v>
                </c:pt>
                <c:pt idx="15">
                  <c:v>77.382000000000005</c:v>
                </c:pt>
                <c:pt idx="16">
                  <c:v>72.084999999999994</c:v>
                </c:pt>
                <c:pt idx="17">
                  <c:v>68.575000000000003</c:v>
                </c:pt>
                <c:pt idx="18">
                  <c:v>64.245000000000005</c:v>
                </c:pt>
                <c:pt idx="19">
                  <c:v>62.963999999999999</c:v>
                </c:pt>
                <c:pt idx="20">
                  <c:v>60.546999999999997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018-41A6-9BAB-014E8783D0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34"/>
        <c:overlap val="-27"/>
        <c:axId val="2077637423"/>
        <c:axId val="2077641999"/>
      </c:barChart>
      <c:lineChart>
        <c:grouping val="standard"/>
        <c:varyColors val="0"/>
        <c:ser>
          <c:idx val="1"/>
          <c:order val="1"/>
          <c:tx>
            <c:strRef>
              <c:f>absolventi!$N$25</c:f>
              <c:strCache>
                <c:ptCount val="1"/>
                <c:pt idx="0">
                  <c:v>ženy (%)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1" u="none" strike="noStrike" kern="1200" baseline="0">
                    <a:solidFill>
                      <a:srgbClr val="C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absolventi!$N$26:$N$46</c:f>
              <c:numCache>
                <c:formatCode>0.0</c:formatCode>
                <c:ptCount val="21"/>
                <c:pt idx="0">
                  <c:v>51.403421358578306</c:v>
                </c:pt>
                <c:pt idx="1">
                  <c:v>52.63815073317538</c:v>
                </c:pt>
                <c:pt idx="2">
                  <c:v>53.789923867875885</c:v>
                </c:pt>
                <c:pt idx="3">
                  <c:v>54.025324370798813</c:v>
                </c:pt>
                <c:pt idx="4">
                  <c:v>55.293188994136223</c:v>
                </c:pt>
                <c:pt idx="5">
                  <c:v>55.676019216030802</c:v>
                </c:pt>
                <c:pt idx="6">
                  <c:v>55.91522580847429</c:v>
                </c:pt>
                <c:pt idx="7">
                  <c:v>56.929104834195684</c:v>
                </c:pt>
                <c:pt idx="8">
                  <c:v>58.721577357290514</c:v>
                </c:pt>
                <c:pt idx="9">
                  <c:v>60.018166335509505</c:v>
                </c:pt>
                <c:pt idx="10">
                  <c:v>61.036464207078033</c:v>
                </c:pt>
                <c:pt idx="11">
                  <c:v>61.010734403230948</c:v>
                </c:pt>
                <c:pt idx="12">
                  <c:v>61.118078806451969</c:v>
                </c:pt>
                <c:pt idx="13">
                  <c:v>60.663743385793765</c:v>
                </c:pt>
                <c:pt idx="14">
                  <c:v>60.404198003388629</c:v>
                </c:pt>
                <c:pt idx="15">
                  <c:v>60.183246749890152</c:v>
                </c:pt>
                <c:pt idx="16">
                  <c:v>59.841853367552197</c:v>
                </c:pt>
                <c:pt idx="17">
                  <c:v>59.810426540284354</c:v>
                </c:pt>
                <c:pt idx="18">
                  <c:v>59.772744960697331</c:v>
                </c:pt>
                <c:pt idx="19">
                  <c:v>59.462550028587771</c:v>
                </c:pt>
                <c:pt idx="20">
                  <c:v>59.357193585148728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8018-41A6-9BAB-014E8783D0A6}"/>
            </c:ext>
          </c:extLst>
        </c:ser>
        <c:ser>
          <c:idx val="2"/>
          <c:order val="2"/>
          <c:tx>
            <c:strRef>
              <c:f>absolventi!$O$25</c:f>
              <c:strCache>
                <c:ptCount val="1"/>
                <c:pt idx="0">
                  <c:v>cizinci (%)</c:v>
                </c:pt>
              </c:strCache>
            </c:strRef>
          </c:tx>
          <c:spPr>
            <a:ln w="28575" cap="rnd">
              <a:solidFill>
                <a:srgbClr val="5E913B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1" u="none" strike="noStrike" kern="1200" baseline="0">
                    <a:solidFill>
                      <a:schemeClr val="accent3">
                        <a:lumMod val="50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absolventi!$L$26:$L$46</c:f>
              <c:numCache>
                <c:formatCode>General</c:formatCode>
                <c:ptCount val="21"/>
                <c:pt idx="0">
                  <c:v>2001</c:v>
                </c:pt>
                <c:pt idx="1">
                  <c:v>2002</c:v>
                </c:pt>
                <c:pt idx="2">
                  <c:v>2003</c:v>
                </c:pt>
                <c:pt idx="3">
                  <c:v>2004</c:v>
                </c:pt>
                <c:pt idx="4">
                  <c:v>2005</c:v>
                </c:pt>
                <c:pt idx="5">
                  <c:v>2006</c:v>
                </c:pt>
                <c:pt idx="6">
                  <c:v>2007</c:v>
                </c:pt>
                <c:pt idx="7">
                  <c:v>2008</c:v>
                </c:pt>
                <c:pt idx="8">
                  <c:v>2009</c:v>
                </c:pt>
                <c:pt idx="9">
                  <c:v>2010</c:v>
                </c:pt>
                <c:pt idx="10">
                  <c:v>2011</c:v>
                </c:pt>
                <c:pt idx="11">
                  <c:v>2012</c:v>
                </c:pt>
                <c:pt idx="12">
                  <c:v>2013</c:v>
                </c:pt>
                <c:pt idx="13">
                  <c:v>2014</c:v>
                </c:pt>
                <c:pt idx="14">
                  <c:v>2015</c:v>
                </c:pt>
                <c:pt idx="15">
                  <c:v>2016</c:v>
                </c:pt>
                <c:pt idx="16">
                  <c:v>2017</c:v>
                </c:pt>
                <c:pt idx="17">
                  <c:v>2018</c:v>
                </c:pt>
                <c:pt idx="18">
                  <c:v>2019</c:v>
                </c:pt>
                <c:pt idx="19">
                  <c:v>2020</c:v>
                </c:pt>
                <c:pt idx="20">
                  <c:v>2021</c:v>
                </c:pt>
              </c:numCache>
            </c:numRef>
          </c:cat>
          <c:val>
            <c:numRef>
              <c:f>absolventi!$O$26:$O$46</c:f>
              <c:numCache>
                <c:formatCode>0.0</c:formatCode>
                <c:ptCount val="21"/>
                <c:pt idx="0">
                  <c:v>1.896694901179206</c:v>
                </c:pt>
                <c:pt idx="1">
                  <c:v>2.2123327143497469</c:v>
                </c:pt>
                <c:pt idx="2">
                  <c:v>2.3142952470502594</c:v>
                </c:pt>
                <c:pt idx="3">
                  <c:v>2.9961961336042937</c:v>
                </c:pt>
                <c:pt idx="4">
                  <c:v>4.354984212900316</c:v>
                </c:pt>
                <c:pt idx="5">
                  <c:v>5.7984559881862534</c:v>
                </c:pt>
                <c:pt idx="6">
                  <c:v>6.5414700672487571</c:v>
                </c:pt>
                <c:pt idx="7">
                  <c:v>6.6553809608322299</c:v>
                </c:pt>
                <c:pt idx="8">
                  <c:v>7.0061279156524829</c:v>
                </c:pt>
                <c:pt idx="9">
                  <c:v>7.6559750212886746</c:v>
                </c:pt>
                <c:pt idx="10">
                  <c:v>8.1316792868267012</c:v>
                </c:pt>
                <c:pt idx="11">
                  <c:v>8.7543841003294727</c:v>
                </c:pt>
                <c:pt idx="12">
                  <c:v>9.0246801827838556</c:v>
                </c:pt>
                <c:pt idx="13">
                  <c:v>9.4088854141881111</c:v>
                </c:pt>
                <c:pt idx="14">
                  <c:v>9.6515072099854944</c:v>
                </c:pt>
                <c:pt idx="15">
                  <c:v>10.454627691194334</c:v>
                </c:pt>
                <c:pt idx="16">
                  <c:v>11.489214122216827</c:v>
                </c:pt>
                <c:pt idx="17">
                  <c:v>12.516223113379512</c:v>
                </c:pt>
                <c:pt idx="18">
                  <c:v>13.75515604327185</c:v>
                </c:pt>
                <c:pt idx="19">
                  <c:v>14.165237278444826</c:v>
                </c:pt>
                <c:pt idx="20">
                  <c:v>14.727401853105851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8018-41A6-9BAB-014E8783D0A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082677071"/>
        <c:axId val="2082700783"/>
      </c:lineChart>
      <c:catAx>
        <c:axId val="207763742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2077641999"/>
        <c:crosses val="autoZero"/>
        <c:auto val="1"/>
        <c:lblAlgn val="ctr"/>
        <c:lblOffset val="100"/>
        <c:noMultiLvlLbl val="0"/>
      </c:catAx>
      <c:valAx>
        <c:axId val="2077641999"/>
        <c:scaling>
          <c:orientation val="minMax"/>
          <c:max val="115"/>
          <c:min val="0"/>
        </c:scaling>
        <c:delete val="0"/>
        <c:axPos val="l"/>
        <c:numFmt formatCode="0" sourceLinked="0"/>
        <c:majorTickMark val="none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2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077637423"/>
        <c:crosses val="autoZero"/>
        <c:crossBetween val="between"/>
      </c:valAx>
      <c:valAx>
        <c:axId val="2082700783"/>
        <c:scaling>
          <c:orientation val="minMax"/>
        </c:scaling>
        <c:delete val="0"/>
        <c:axPos val="r"/>
        <c:numFmt formatCode="0" sourceLinked="0"/>
        <c:majorTickMark val="out"/>
        <c:minorTickMark val="none"/>
        <c:tickLblPos val="none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rgbClr val="C00000"/>
                </a:solidFill>
                <a:latin typeface="+mn-lt"/>
                <a:ea typeface="+mn-ea"/>
                <a:cs typeface="+mn-cs"/>
              </a:defRPr>
            </a:pPr>
            <a:endParaRPr lang="cs-CZ"/>
          </a:p>
        </c:txPr>
        <c:crossAx val="2082677071"/>
        <c:crosses val="max"/>
        <c:crossBetween val="between"/>
      </c:valAx>
      <c:catAx>
        <c:axId val="2082677071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2082700783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2321858857172444"/>
          <c:y val="0.90335593467483233"/>
          <c:w val="0.85221000207511932"/>
          <c:h val="8.1818754473872601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</c:chartSpace>
</file>

<file path=word/charts/chart1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418615104304623E-2"/>
          <c:y val="3.5600205146770446E-2"/>
          <c:w val="0.90321959755030623"/>
          <c:h val="0.70729610853437841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List11!$R$16</c:f>
              <c:strCache>
                <c:ptCount val="1"/>
                <c:pt idx="0">
                  <c:v>bakalářská</c:v>
                </c:pt>
              </c:strCache>
            </c:strRef>
          </c:tx>
          <c:spPr>
            <a:solidFill>
              <a:schemeClr val="accent1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List11!$R$17:$R$21</c:f>
              <c:numCache>
                <c:formatCode>0.0</c:formatCode>
                <c:ptCount val="5"/>
                <c:pt idx="0">
                  <c:v>26.005646902507891</c:v>
                </c:pt>
                <c:pt idx="1">
                  <c:v>46.877394994111818</c:v>
                </c:pt>
                <c:pt idx="2">
                  <c:v>55.890661081574564</c:v>
                </c:pt>
                <c:pt idx="3">
                  <c:v>53.082112119097467</c:v>
                </c:pt>
                <c:pt idx="4">
                  <c:v>52.612020413893333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9E5-44FF-989E-AF965D0F0415}"/>
            </c:ext>
          </c:extLst>
        </c:ser>
        <c:ser>
          <c:idx val="1"/>
          <c:order val="1"/>
          <c:tx>
            <c:strRef>
              <c:f>List11!$S$16</c:f>
              <c:strCache>
                <c:ptCount val="1"/>
                <c:pt idx="0">
                  <c:v>magisterská</c:v>
                </c:pt>
              </c:strCache>
            </c:strRef>
          </c:tx>
          <c:spPr>
            <a:solidFill>
              <a:schemeClr val="accent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List11!$S$17:$S$21</c:f>
              <c:numCache>
                <c:formatCode>0.0</c:formatCode>
                <c:ptCount val="5"/>
                <c:pt idx="0">
                  <c:v>70.483308420528161</c:v>
                </c:pt>
                <c:pt idx="1">
                  <c:v>49.518664598014844</c:v>
                </c:pt>
                <c:pt idx="2">
                  <c:v>41.636861607862095</c:v>
                </c:pt>
                <c:pt idx="3">
                  <c:v>44.007650357964387</c:v>
                </c:pt>
                <c:pt idx="4">
                  <c:v>44.028605876426582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59E5-44FF-989E-AF965D0F0415}"/>
            </c:ext>
          </c:extLst>
        </c:ser>
        <c:ser>
          <c:idx val="2"/>
          <c:order val="2"/>
          <c:tx>
            <c:strRef>
              <c:f>List11!$T$16</c:f>
              <c:strCache>
                <c:ptCount val="1"/>
                <c:pt idx="0">
                  <c:v>doktorská</c:v>
                </c:pt>
              </c:strCache>
            </c:strRef>
          </c:tx>
          <c:spPr>
            <a:solidFill>
              <a:schemeClr val="accent2">
                <a:lumMod val="60000"/>
                <a:lumOff val="40000"/>
              </a:schemeClr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List11!$Q$17:$Q$21</c:f>
              <c:numCache>
                <c:formatCode>General</c:formatCode>
                <c:ptCount val="5"/>
                <c:pt idx="0">
                  <c:v>2001</c:v>
                </c:pt>
                <c:pt idx="1">
                  <c:v>2006</c:v>
                </c:pt>
                <c:pt idx="2">
                  <c:v>2011</c:v>
                </c:pt>
                <c:pt idx="3">
                  <c:v>2016</c:v>
                </c:pt>
                <c:pt idx="4">
                  <c:v>2021</c:v>
                </c:pt>
              </c:numCache>
            </c:numRef>
          </c:cat>
          <c:val>
            <c:numRef>
              <c:f>List11!$T$17:$T$21</c:f>
              <c:numCache>
                <c:formatCode>0.0</c:formatCode>
                <c:ptCount val="5"/>
                <c:pt idx="0">
                  <c:v>3.6439129712672309</c:v>
                </c:pt>
                <c:pt idx="1">
                  <c:v>3.8488139521842344</c:v>
                </c:pt>
                <c:pt idx="2">
                  <c:v>2.6196230062832284</c:v>
                </c:pt>
                <c:pt idx="3">
                  <c:v>3.0278359308366287</c:v>
                </c:pt>
                <c:pt idx="4">
                  <c:v>3.4303929178984922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9E5-44FF-989E-AF965D0F041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94"/>
        <c:axId val="1077450383"/>
        <c:axId val="1084175119"/>
      </c:barChart>
      <c:catAx>
        <c:axId val="1077450383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84175119"/>
        <c:crosses val="autoZero"/>
        <c:auto val="1"/>
        <c:lblAlgn val="ctr"/>
        <c:lblOffset val="100"/>
        <c:noMultiLvlLbl val="0"/>
      </c:catAx>
      <c:valAx>
        <c:axId val="1084175119"/>
        <c:scaling>
          <c:orientation val="minMax"/>
        </c:scaling>
        <c:delete val="0"/>
        <c:axPos val="l"/>
        <c:numFmt formatCode="#\ ##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077450383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10596106736657918"/>
          <c:y val="0.84811958849971336"/>
          <c:w val="0.79590454862866911"/>
          <c:h val="0.15188041150028658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1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 sz="1200" b="1">
                <a:solidFill>
                  <a:schemeClr val="tx1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2001</a:t>
            </a:r>
          </a:p>
        </c:rich>
      </c:tx>
      <c:layout>
        <c:manualLayout>
          <c:xMode val="edge"/>
          <c:yMode val="edge"/>
          <c:x val="1.7188274000961158E-2"/>
          <c:y val="4.5977011494252873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List13!$B$15:$B$24</c:f>
              <c:strCache>
                <c:ptCount val="10"/>
                <c:pt idx="0">
                  <c:v>Služby</c:v>
                </c:pt>
                <c:pt idx="1">
                  <c:v>Informační a komunikační technologie (ICT)</c:v>
                </c:pt>
                <c:pt idx="2">
                  <c:v>Zemědělství, lesnictví, rybářství a veterinářství</c:v>
                </c:pt>
                <c:pt idx="3">
                  <c:v>Přírodní vědy, matematika a statistika</c:v>
                </c:pt>
                <c:pt idx="4">
                  <c:v>Umění a humanitní vědy</c:v>
                </c:pt>
                <c:pt idx="5">
                  <c:v>Společenské vědy, žurnalistika a informační vědy</c:v>
                </c:pt>
                <c:pt idx="6">
                  <c:v>Zdravotní a sociální péče, péče o příznivé životní podmínky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List13!$C$15:$C$24</c:f>
              <c:numCache>
                <c:formatCode>0.0</c:formatCode>
                <c:ptCount val="10"/>
                <c:pt idx="0">
                  <c:v>0.56799999999999995</c:v>
                </c:pt>
                <c:pt idx="1">
                  <c:v>0.85199999999999998</c:v>
                </c:pt>
                <c:pt idx="2">
                  <c:v>1.1870000000000001</c:v>
                </c:pt>
                <c:pt idx="3">
                  <c:v>1.3149999999999999</c:v>
                </c:pt>
                <c:pt idx="4">
                  <c:v>2.3029999999999999</c:v>
                </c:pt>
                <c:pt idx="5">
                  <c:v>2.5379999999999998</c:v>
                </c:pt>
                <c:pt idx="6">
                  <c:v>2.5670000000000002</c:v>
                </c:pt>
                <c:pt idx="7">
                  <c:v>5.2610000000000001</c:v>
                </c:pt>
                <c:pt idx="8">
                  <c:v>6.2290000000000001</c:v>
                </c:pt>
                <c:pt idx="9">
                  <c:v>7.3310000000000004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A3B7-47B4-926F-BAE4C63C2A5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hart1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60" b="0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cs-CZ" sz="1200" b="1"/>
              <a:t>2011</a:t>
            </a:r>
          </a:p>
        </c:rich>
      </c:tx>
      <c:layout>
        <c:manualLayout>
          <c:xMode val="edge"/>
          <c:yMode val="edge"/>
          <c:x val="1.8779342723004695E-2"/>
          <c:y val="3.575989782886334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60" b="0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9"/>
              <c:numFmt formatCode="#,##0.0" sourceLinked="0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anchor="ctr" anchorCtr="1"/>
                <a:lstStyle/>
                <a:p>
                  <a:pPr>
                    <a:defRPr sz="800" b="0" i="0" u="none" strike="noStrike" kern="1200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6="http://schemas.microsoft.com/office/drawing/2014/chart" uri="{C3380CC4-5D6E-409C-BE32-E72D297353CC}">
                  <c16:uniqueId val="{00000000-7508-4941-87D0-C63CC53C051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List13!$B$28:$B$37</c:f>
              <c:strCache>
                <c:ptCount val="10"/>
                <c:pt idx="0">
                  <c:v>Zemědělství, lesnictví, rybářství a veterinářství</c:v>
                </c:pt>
                <c:pt idx="1">
                  <c:v>Přírodní vědy, matematika a statistika</c:v>
                </c:pt>
                <c:pt idx="2">
                  <c:v>Informační a komunikační technologie (ICT)</c:v>
                </c:pt>
                <c:pt idx="3">
                  <c:v>Služby</c:v>
                </c:pt>
                <c:pt idx="4">
                  <c:v>Zdravotní a sociální péče, péče o příznivé životní podmínky</c:v>
                </c:pt>
                <c:pt idx="5">
                  <c:v>Umění a humanitní vědy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List13!$C$28:$C$37</c:f>
              <c:numCache>
                <c:formatCode>0.0</c:formatCode>
                <c:ptCount val="10"/>
                <c:pt idx="0">
                  <c:v>2.9260000000000002</c:v>
                </c:pt>
                <c:pt idx="1">
                  <c:v>4.2869999999999999</c:v>
                </c:pt>
                <c:pt idx="2">
                  <c:v>4.5069999999999997</c:v>
                </c:pt>
                <c:pt idx="3">
                  <c:v>4.8710000000000004</c:v>
                </c:pt>
                <c:pt idx="4">
                  <c:v>7.0090000000000003</c:v>
                </c:pt>
                <c:pt idx="5">
                  <c:v>7.3040000000000003</c:v>
                </c:pt>
                <c:pt idx="6">
                  <c:v>11.007999999999999</c:v>
                </c:pt>
                <c:pt idx="7">
                  <c:v>12.901999999999999</c:v>
                </c:pt>
                <c:pt idx="8">
                  <c:v>14.666</c:v>
                </c:pt>
                <c:pt idx="9">
                  <c:v>23.9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D412-403F-8ACB-2E97F7FF6CB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8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3">
    <c:autoUpdate val="0"/>
  </c:externalData>
  <c:userShapes r:id="rId4"/>
</c:chartSpace>
</file>

<file path=word/charts/chart1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cs-CZ" sz="1200" b="1">
                <a:solidFill>
                  <a:sysClr val="windowText" lastClr="000000"/>
                </a:solidFill>
                <a:latin typeface="Arial" panose="020B0604020202020204" pitchFamily="34" charset="0"/>
                <a:cs typeface="Arial" panose="020B0604020202020204" pitchFamily="34" charset="0"/>
              </a:rPr>
              <a:t>2021</a:t>
            </a:r>
          </a:p>
        </c:rich>
      </c:tx>
      <c:layout>
        <c:manualLayout>
          <c:xMode val="edge"/>
          <c:yMode val="edge"/>
          <c:x val="1.6692749087115284E-2"/>
          <c:y val="2.554278416347382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cs-CZ"/>
        </a:p>
      </c:txPr>
    </c:title>
    <c:autoTitleDeleted val="0"/>
    <c:plotArea>
      <c:layout>
        <c:manualLayout>
          <c:layoutTarget val="inner"/>
          <c:xMode val="edge"/>
          <c:yMode val="edge"/>
          <c:x val="0.47288165534332138"/>
          <c:y val="3.2824146981627306E-2"/>
          <c:w val="0.50416975390037966"/>
          <c:h val="0.86903579760863225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List13!$B$40:$B$49</c:f>
              <c:strCache>
                <c:ptCount val="10"/>
                <c:pt idx="0">
                  <c:v>Zemědělství, lesnictví, rybářství a veterinářství</c:v>
                </c:pt>
                <c:pt idx="1">
                  <c:v>Služby</c:v>
                </c:pt>
                <c:pt idx="2">
                  <c:v>Přírodní vědy, matematika a statistika</c:v>
                </c:pt>
                <c:pt idx="3">
                  <c:v>Informační a komunikační technologie (ICT)</c:v>
                </c:pt>
                <c:pt idx="4">
                  <c:v>Umění a humanitní vědy</c:v>
                </c:pt>
                <c:pt idx="5">
                  <c:v>Zdravotní a sociální péče, péče o příznivé životní podmínky</c:v>
                </c:pt>
                <c:pt idx="6">
                  <c:v>Společenské vědy, žurnalistika a informační vědy</c:v>
                </c:pt>
                <c:pt idx="7">
                  <c:v>Vzdělávání a výchova</c:v>
                </c:pt>
                <c:pt idx="8">
                  <c:v>Technika, výroba a stavebnictví</c:v>
                </c:pt>
                <c:pt idx="9">
                  <c:v>Obchod, administrativa a právo</c:v>
                </c:pt>
              </c:strCache>
            </c:strRef>
          </c:cat>
          <c:val>
            <c:numRef>
              <c:f>List13!$C$40:$C$49</c:f>
              <c:numCache>
                <c:formatCode>0.0</c:formatCode>
                <c:ptCount val="10"/>
                <c:pt idx="0">
                  <c:v>2.2010000000000001</c:v>
                </c:pt>
                <c:pt idx="1">
                  <c:v>3.4430000000000001</c:v>
                </c:pt>
                <c:pt idx="2">
                  <c:v>3.7360000000000002</c:v>
                </c:pt>
                <c:pt idx="3">
                  <c:v>3.8010000000000002</c:v>
                </c:pt>
                <c:pt idx="4">
                  <c:v>5.3559999999999999</c:v>
                </c:pt>
                <c:pt idx="5">
                  <c:v>6.7</c:v>
                </c:pt>
                <c:pt idx="6">
                  <c:v>6.9059999999999997</c:v>
                </c:pt>
                <c:pt idx="7">
                  <c:v>7.0540000000000003</c:v>
                </c:pt>
                <c:pt idx="8">
                  <c:v>9.3510000000000009</c:v>
                </c:pt>
                <c:pt idx="9">
                  <c:v>12.066000000000001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4C97-477A-8FF9-BE35767F8DD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7"/>
        <c:axId val="1130336255"/>
        <c:axId val="1130339999"/>
      </c:barChart>
      <c:catAx>
        <c:axId val="1130336255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9999"/>
        <c:crosses val="autoZero"/>
        <c:auto val="1"/>
        <c:lblAlgn val="ctr"/>
        <c:lblOffset val="100"/>
        <c:noMultiLvlLbl val="0"/>
      </c:catAx>
      <c:valAx>
        <c:axId val="1130339999"/>
        <c:scaling>
          <c:orientation val="minMax"/>
          <c:max val="25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" sourceLinked="0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1130336255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cs-CZ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9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3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4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5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0.79437</cdr:y>
    </cdr:from>
    <cdr:to>
      <cdr:x>0.05847</cdr:x>
      <cdr:y>0.86761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0" y="2686050"/>
          <a:ext cx="371475" cy="24765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ctr" anchorCtr="0" forceAA="0" compatLnSpc="1">
          <a:prstTxWarp prst="textNoShape">
            <a:avLst/>
          </a:prstTxWarp>
          <a:noAutofit/>
        </a:bodyPr>
        <a:lstStyle xmlns:a="http://schemas.openxmlformats.org/drawingml/2006/main"/>
        <a:p xmlns:a="http://schemas.openxmlformats.org/drawingml/2006/main">
          <a:pPr algn="ctr">
            <a:lnSpc>
              <a:spcPct val="120000"/>
            </a:lnSpc>
            <a:spcAft>
              <a:spcPts val="0"/>
            </a:spcAft>
          </a:pPr>
          <a:r>
            <a:rPr lang="cs-CZ" sz="800">
              <a:solidFill>
                <a:srgbClr val="595959"/>
              </a:solidFill>
              <a:effectLst/>
              <a:latin typeface="Arial" panose="020B0604020202020204" pitchFamily="34" charset="0"/>
              <a:ea typeface="Times New Roman" panose="02020603050405020304" pitchFamily="18" charset="0"/>
              <a:cs typeface="Times New Roman" panose="02020603050405020304" pitchFamily="18" charset="0"/>
            </a:rPr>
            <a:t>%</a:t>
          </a:r>
          <a:endParaRPr lang="cs-CZ" sz="1000">
            <a:effectLst/>
            <a:latin typeface="Arial" panose="020B0604020202020204" pitchFamily="34" charset="0"/>
            <a:ea typeface="Times New Roman" panose="02020603050405020304" pitchFamily="18" charset="0"/>
            <a:cs typeface="Times New Roman" panose="02020603050405020304" pitchFamily="18" charset="0"/>
          </a:endParaRP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0.9447</cdr:x>
      <cdr:y>0.91411</cdr:y>
    </cdr:from>
    <cdr:to>
      <cdr:x>0.99224</cdr:x>
      <cdr:y>1</cdr:y>
    </cdr:to>
    <cdr:sp macro="" textlink="">
      <cdr:nvSpPr>
        <cdr:cNvPr id="5" name="Obdélník 4"/>
        <cdr:cNvSpPr/>
      </cdr:nvSpPr>
      <cdr:spPr>
        <a:xfrm xmlns:a="http://schemas.openxmlformats.org/drawingml/2006/main">
          <a:off x="5794860" y="5006466"/>
          <a:ext cx="291615" cy="47040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>
                  <a:lumMod val="65000"/>
                  <a:lumOff val="35000"/>
                </a:schemeClr>
              </a:solidFill>
            </a:rPr>
            <a:t>%</a:t>
          </a:r>
        </a:p>
      </cdr:txBody>
    </cdr:sp>
  </cdr:relSizeAnchor>
</c:userShapes>
</file>

<file path=word/drawings/drawing3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</a:t>
          </a:r>
          <a:r>
            <a:rPr lang="cs-CZ" sz="900">
              <a:solidFill>
                <a:sysClr val="windowText" lastClr="000000"/>
              </a:solidFill>
            </a:rPr>
            <a:t>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2001</a:t>
          </a:r>
        </a:p>
      </cdr:txBody>
    </cdr:sp>
  </cdr:relSizeAnchor>
</c:userShapes>
</file>

<file path=word/drawings/drawing4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2011</a:t>
          </a:r>
        </a:p>
      </cdr:txBody>
    </cdr:sp>
  </cdr:relSizeAnchor>
</c:userShapes>
</file>

<file path=word/drawings/drawing5.xml><?xml version="1.0" encoding="utf-8"?>
<c:userShapes xmlns:c="http://schemas.openxmlformats.org/drawingml/2006/chart">
  <cdr:relSizeAnchor xmlns:cdr="http://schemas.openxmlformats.org/drawingml/2006/chartDrawing">
    <cdr:from>
      <cdr:x>0.42237</cdr:x>
      <cdr:y>0.88204</cdr:y>
    </cdr:from>
    <cdr:to>
      <cdr:x>0.4833</cdr:x>
      <cdr:y>0.95942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562711" y="2175966"/>
          <a:ext cx="369688" cy="1908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  <cdr:relSizeAnchor xmlns:cdr="http://schemas.openxmlformats.org/drawingml/2006/chartDrawing">
    <cdr:from>
      <cdr:x>0.00598</cdr:x>
      <cdr:y>0.02191</cdr:y>
    </cdr:from>
    <cdr:to>
      <cdr:x>0.12453</cdr:x>
      <cdr:y>0.12355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36283" y="54051"/>
          <a:ext cx="719293" cy="250749"/>
        </a:xfrm>
        <a:prstGeom xmlns:a="http://schemas.openxmlformats.org/drawingml/2006/main" prst="rect">
          <a:avLst/>
        </a:prstGeom>
        <a:solidFill xmlns:a="http://schemas.openxmlformats.org/drawingml/2006/main">
          <a:schemeClr val="bg1">
            <a:lumMod val="65000"/>
          </a:schemeClr>
        </a:solidFill>
        <a:ln xmlns:a="http://schemas.openxmlformats.org/drawingml/2006/main">
          <a:solidFill>
            <a:schemeClr val="accent1">
              <a:lumMod val="40000"/>
              <a:lumOff val="60000"/>
            </a:schemeClr>
          </a:solidFill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>
              <a:latin typeface="Arial" panose="020B0604020202020204" pitchFamily="34" charset="0"/>
              <a:cs typeface="Arial" panose="020B0604020202020204" pitchFamily="34" charset="0"/>
            </a:rPr>
            <a:t>2021</a:t>
          </a:r>
        </a:p>
      </cdr:txBody>
    </cdr:sp>
  </cdr:relSizeAnchor>
</c:userShapes>
</file>

<file path=word/drawings/drawing6.xml><?xml version="1.0" encoding="utf-8"?>
<c:userShapes xmlns:c="http://schemas.openxmlformats.org/drawingml/2006/chart">
  <cdr:relSizeAnchor xmlns:cdr="http://schemas.openxmlformats.org/drawingml/2006/chartDrawing">
    <cdr:from>
      <cdr:x>0.00612</cdr:x>
      <cdr:y>0.70833</cdr:y>
    </cdr:from>
    <cdr:to>
      <cdr:x>0.05046</cdr:x>
      <cdr:y>0.75245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38100" y="2752725"/>
          <a:ext cx="276225" cy="17144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endParaRPr lang="cs-CZ"/>
        </a:p>
      </cdr:txBody>
    </cdr:sp>
  </cdr:relSizeAnchor>
  <cdr:relSizeAnchor xmlns:cdr="http://schemas.openxmlformats.org/drawingml/2006/chartDrawing">
    <cdr:from>
      <cdr:x>0</cdr:x>
      <cdr:y>0.77615</cdr:y>
    </cdr:from>
    <cdr:to>
      <cdr:x>0.06854</cdr:x>
      <cdr:y>0.83047</cdr:y>
    </cdr:to>
    <cdr:sp macro="" textlink="">
      <cdr:nvSpPr>
        <cdr:cNvPr id="3" name="Obdélník 2"/>
        <cdr:cNvSpPr/>
      </cdr:nvSpPr>
      <cdr:spPr>
        <a:xfrm xmlns:a="http://schemas.openxmlformats.org/drawingml/2006/main">
          <a:off x="-723900" y="3409562"/>
          <a:ext cx="419474" cy="23862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</c:userShapes>
</file>

<file path=word/drawings/drawing7.xml><?xml version="1.0" encoding="utf-8"?>
<c:userShapes xmlns:c="http://schemas.openxmlformats.org/drawingml/2006/chart">
  <cdr:relSizeAnchor xmlns:cdr="http://schemas.openxmlformats.org/drawingml/2006/chartDrawing">
    <cdr:from>
      <cdr:x>0</cdr:x>
      <cdr:y>0.69831</cdr:y>
    </cdr:from>
    <cdr:to>
      <cdr:x>0.06583</cdr:x>
      <cdr:y>0.77931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-723900" y="2394516"/>
          <a:ext cx="400046" cy="277749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rot="0" spcFirstLastPara="0" vert="horz" wrap="square" lIns="91440" tIns="45720" rIns="91440" bIns="45720" numCol="1" spcCol="0" rtlCol="0" fromWordArt="0" anchor="t" anchorCtr="0" forceAA="0" compatLnSpc="1">
          <a:prstTxWarp prst="textNoShape">
            <a:avLst/>
          </a:prstTxWarp>
          <a:noAutofit/>
        </a:bodyPr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pPr algn="l"/>
          <a:r>
            <a:rPr lang="cs-CZ" sz="8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</a:p>
      </cdr:txBody>
    </cdr:sp>
  </cdr:relSizeAnchor>
</c:userShapes>
</file>

<file path=word/drawings/drawing8.xml><?xml version="1.0" encoding="utf-8"?>
<c:userShapes xmlns:c="http://schemas.openxmlformats.org/drawingml/2006/chart">
  <cdr:relSizeAnchor xmlns:cdr="http://schemas.openxmlformats.org/drawingml/2006/chartDrawing">
    <cdr:from>
      <cdr:x>0</cdr:x>
      <cdr:y>0.79215</cdr:y>
    </cdr:from>
    <cdr:to>
      <cdr:x>0.05119</cdr:x>
      <cdr:y>0.87451</cdr:y>
    </cdr:to>
    <cdr:sp macro="" textlink="">
      <cdr:nvSpPr>
        <cdr:cNvPr id="4" name="Obdélník 3"/>
        <cdr:cNvSpPr/>
      </cdr:nvSpPr>
      <cdr:spPr>
        <a:xfrm xmlns:a="http://schemas.openxmlformats.org/drawingml/2006/main">
          <a:off x="0" y="2565391"/>
          <a:ext cx="319368" cy="266723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/>
        <a:lstStyle xmlns:a="http://schemas.openxmlformats.org/drawingml/2006/main">
          <a:lvl1pPr marL="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1pPr>
          <a:lvl2pPr marL="457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2pPr>
          <a:lvl3pPr marL="914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3pPr>
          <a:lvl4pPr marL="1371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4pPr>
          <a:lvl5pPr marL="18288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5pPr>
          <a:lvl6pPr marL="22860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6pPr>
          <a:lvl7pPr marL="27432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7pPr>
          <a:lvl8pPr marL="32004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8pPr>
          <a:lvl9pPr marL="3657600" indent="0">
            <a:defRPr sz="1100">
              <a:solidFill>
                <a:schemeClr val="lt1"/>
              </a:solidFill>
              <a:latin typeface="+mn-lt"/>
              <a:ea typeface="+mn-ea"/>
              <a:cs typeface="+mn-cs"/>
            </a:defRPr>
          </a:lvl9pPr>
        </a:lstStyle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%</a:t>
          </a:r>
        </a:p>
      </cdr:txBody>
    </cdr:sp>
  </cdr:relSizeAnchor>
</c:userShapes>
</file>

<file path=word/drawings/drawing9.xml><?xml version="1.0" encoding="utf-8"?>
<c:userShapes xmlns:c="http://schemas.openxmlformats.org/drawingml/2006/chart">
  <cdr:relSizeAnchor xmlns:cdr="http://schemas.openxmlformats.org/drawingml/2006/chartDrawing">
    <cdr:from>
      <cdr:x>0.02349</cdr:x>
      <cdr:y>0.78458</cdr:y>
    </cdr:from>
    <cdr:to>
      <cdr:x>0.10058</cdr:x>
      <cdr:y>0.89222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146307" y="1636616"/>
          <a:ext cx="480221" cy="22453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%</a:t>
          </a:r>
        </a:p>
      </cdr:txBody>
    </cdr:sp>
  </cdr:relSizeAnchor>
</c:userShapes>
</file>

<file path=word/drawings/drawing10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drawings/drawing11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drawings/drawing12.xml><?xml version="1.0" encoding="utf-8"?>
<c:userShapes xmlns:c="http://schemas.openxmlformats.org/drawingml/2006/chart">
  <cdr:relSizeAnchor xmlns:cdr="http://schemas.openxmlformats.org/drawingml/2006/chartDrawing">
    <cdr:from>
      <cdr:x>0.40635</cdr:x>
      <cdr:y>0.89544</cdr:y>
    </cdr:from>
    <cdr:to>
      <cdr:x>0.50843</cdr:x>
      <cdr:y>0.98919</cdr:y>
    </cdr:to>
    <cdr:sp macro="" textlink="">
      <cdr:nvSpPr>
        <cdr:cNvPr id="2" name="Obdélník 1"/>
        <cdr:cNvSpPr/>
      </cdr:nvSpPr>
      <cdr:spPr>
        <a:xfrm xmlns:a="http://schemas.openxmlformats.org/drawingml/2006/main">
          <a:off x="2426809" y="1577875"/>
          <a:ext cx="609640" cy="165200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>
          <a:noFill/>
        </a:ln>
      </cdr:spPr>
      <cdr:style>
        <a:lnRef xmlns:a="http://schemas.openxmlformats.org/drawingml/2006/main" idx="2">
          <a:schemeClr val="accent1">
            <a:shade val="50000"/>
          </a:schemeClr>
        </a:lnRef>
        <a:fillRef xmlns:a="http://schemas.openxmlformats.org/drawingml/2006/main" idx="1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lt1"/>
        </a:fontRef>
      </cdr:style>
      <cdr:txBody>
        <a:bodyPr xmlns:a="http://schemas.openxmlformats.org/drawingml/2006/main" vertOverflow="clip"/>
        <a:lstStyle xmlns:a="http://schemas.openxmlformats.org/drawingml/2006/main"/>
        <a:p xmlns:a="http://schemas.openxmlformats.org/drawingml/2006/main">
          <a:r>
            <a:rPr lang="cs-CZ" sz="900">
              <a:solidFill>
                <a:schemeClr val="tx1"/>
              </a:solidFill>
              <a:latin typeface="Arial" panose="020B0604020202020204" pitchFamily="34" charset="0"/>
              <a:cs typeface="Arial" panose="020B0604020202020204" pitchFamily="34" charset="0"/>
            </a:rPr>
            <a:t>tis.</a:t>
          </a:r>
          <a:endParaRPr lang="cs-CZ">
            <a:solidFill>
              <a:schemeClr val="tx1"/>
            </a:solidFill>
            <a:latin typeface="Arial" panose="020B0604020202020204" pitchFamily="34" charset="0"/>
            <a:cs typeface="Arial" panose="020B0604020202020204" pitchFamily="34" charset="0"/>
          </a:endParaRPr>
        </a:p>
      </cdr:txBody>
    </cdr:sp>
  </cdr:relSizeAnchor>
</c:userShape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Kancelář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8EAAE84-8F5C-4913-9F32-79034CAB79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 CZ_lide a spolecnost_2017-08-14.dotx</Template>
  <TotalTime>79</TotalTime>
  <Pages>21</Pages>
  <Words>6287</Words>
  <Characters>37096</Characters>
  <Application>Microsoft Office Word</Application>
  <DocSecurity>0</DocSecurity>
  <Lines>309</Lines>
  <Paragraphs>86</Paragraphs>
  <ScaleCrop>false</ScaleCrop>
  <HeadingPairs>
    <vt:vector size="6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8</vt:i4>
      </vt:variant>
    </vt:vector>
  </HeadingPairs>
  <TitlesOfParts>
    <vt:vector size="10" baseType="lpstr">
      <vt:lpstr/>
      <vt:lpstr/>
      <vt:lpstr>Styl: Nadpis 1</vt:lpstr>
      <vt:lpstr>    Styl: Nadpis 2</vt:lpstr>
      <vt:lpstr>        Styl: Nadpis 3</vt:lpstr>
      <vt:lpstr>        Styl: Nadpis 3</vt:lpstr>
      <vt:lpstr>    Styl: Nadpis 2</vt:lpstr>
      <vt:lpstr>        Styl: Nadpis 3</vt:lpstr>
      <vt:lpstr>    Styl: Nadpis 2</vt:lpstr>
      <vt:lpstr>        Styl: Nadpis 3</vt:lpstr>
    </vt:vector>
  </TitlesOfParts>
  <Manager/>
  <Company>CSU</Company>
  <LinksUpToDate>false</LinksUpToDate>
  <CharactersWithSpaces>43297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Adriana Ondrušová</dc:creator>
  <cp:keywords/>
  <dc:description/>
  <cp:lastModifiedBy>Kašparová Vendula</cp:lastModifiedBy>
  <cp:revision>9</cp:revision>
  <cp:lastPrinted>2014-07-17T14:07:00Z</cp:lastPrinted>
  <dcterms:created xsi:type="dcterms:W3CDTF">2022-05-10T10:51:00Z</dcterms:created>
  <dcterms:modified xsi:type="dcterms:W3CDTF">2022-05-11T09:56:00Z</dcterms:modified>
  <cp:category/>
</cp:coreProperties>
</file>