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drawings/drawing1.xml" ContentType="application/vnd.openxmlformats-officedocument.drawingml.chartshapes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2.xml" ContentType="application/vnd.openxmlformats-officedocument.themeOverride+xml"/>
  <Override PartName="/word/drawings/drawing2.xml" ContentType="application/vnd.openxmlformats-officedocument.drawingml.chartshapes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3.xml" ContentType="application/vnd.openxmlformats-officedocument.themeOverride+xml"/>
  <Override PartName="/word/drawings/drawing3.xml" ContentType="application/vnd.openxmlformats-officedocument.drawingml.chartshapes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4.xml" ContentType="application/vnd.openxmlformats-officedocument.themeOverride+xml"/>
  <Override PartName="/word/drawings/drawing4.xml" ContentType="application/vnd.openxmlformats-officedocument.drawingml.chartshapes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5.xml" ContentType="application/vnd.openxmlformats-officedocument.themeOverride+xml"/>
  <Override PartName="/word/drawings/drawing5.xml" ContentType="application/vnd.openxmlformats-officedocument.drawingml.chartshapes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theme/themeOverride6.xml" ContentType="application/vnd.openxmlformats-officedocument.themeOverride+xml"/>
  <Override PartName="/word/drawings/drawing6.xml" ContentType="application/vnd.openxmlformats-officedocument.drawingml.chartshapes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7.xml" ContentType="application/vnd.openxmlformats-officedocument.themeOverride+xml"/>
  <Override PartName="/word/drawings/drawing7.xml" ContentType="application/vnd.openxmlformats-officedocument.drawingml.chartshapes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drawings/drawing8.xml" ContentType="application/vnd.openxmlformats-officedocument.drawingml.chartshap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4762C7" w14:textId="690043ED" w:rsidR="00E40ABE" w:rsidRPr="00E40ABE" w:rsidRDefault="00E40ABE" w:rsidP="000D7FAA">
      <w:pPr>
        <w:pStyle w:val="Nadpis1"/>
      </w:pPr>
      <w:bookmarkStart w:id="0" w:name="_Toc103080340"/>
      <w:bookmarkStart w:id="1" w:name="_Toc471197183"/>
      <w:r w:rsidRPr="00E40ABE">
        <w:t>Analýza</w:t>
      </w:r>
      <w:r w:rsidR="00004CE8">
        <w:t xml:space="preserve">, </w:t>
      </w:r>
      <w:r w:rsidR="00333F7F">
        <w:t>část</w:t>
      </w:r>
      <w:r w:rsidR="00004CE8">
        <w:t xml:space="preserve"> A</w:t>
      </w:r>
      <w:r w:rsidR="00B4533A">
        <w:t xml:space="preserve">: studenti </w:t>
      </w:r>
      <w:r w:rsidR="00005792">
        <w:t>vysokých škol v ČR</w:t>
      </w:r>
      <w:bookmarkEnd w:id="0"/>
    </w:p>
    <w:p w14:paraId="5F3C6763" w14:textId="5EA78D6B" w:rsidR="00151EA2" w:rsidRDefault="00EA78F6" w:rsidP="00954833">
      <w:pPr>
        <w:spacing w:after="120"/>
        <w:ind w:firstLine="284"/>
        <w:jc w:val="both"/>
      </w:pPr>
      <w:r>
        <w:t>V</w:t>
      </w:r>
      <w:r w:rsidR="00B4533A">
        <w:t xml:space="preserve"> první části analýzy</w:t>
      </w:r>
      <w:r>
        <w:t xml:space="preserve"> se budeme věnovat zejména</w:t>
      </w:r>
      <w:r w:rsidR="00A9180F">
        <w:t xml:space="preserve"> </w:t>
      </w:r>
      <w:r>
        <w:t xml:space="preserve">statistikám, které </w:t>
      </w:r>
      <w:r w:rsidR="00A9180F">
        <w:t>se</w:t>
      </w:r>
      <w:r>
        <w:t xml:space="preserve"> týkají</w:t>
      </w:r>
      <w:r w:rsidR="00A9180F">
        <w:t xml:space="preserve"> </w:t>
      </w:r>
      <w:r w:rsidR="00A9180F" w:rsidRPr="00B13471">
        <w:rPr>
          <w:b/>
        </w:rPr>
        <w:t xml:space="preserve">studentů </w:t>
      </w:r>
      <w:r w:rsidR="00A9180F">
        <w:t>veřejných a soukromých vysokých škol</w:t>
      </w:r>
      <w:r w:rsidR="00B13471">
        <w:t xml:space="preserve">. Absolventům </w:t>
      </w:r>
      <w:r w:rsidR="00225215">
        <w:t>je</w:t>
      </w:r>
      <w:r w:rsidR="00B13471">
        <w:t xml:space="preserve"> věnována</w:t>
      </w:r>
      <w:r w:rsidR="0053040F">
        <w:t xml:space="preserve"> již podstatně stručnější</w:t>
      </w:r>
      <w:r w:rsidR="00151EA2">
        <w:t xml:space="preserve"> </w:t>
      </w:r>
      <w:r w:rsidR="001114C0">
        <w:t>druhá</w:t>
      </w:r>
      <w:r w:rsidR="00B4533A">
        <w:t xml:space="preserve"> část</w:t>
      </w:r>
      <w:r w:rsidR="00B13471">
        <w:t xml:space="preserve"> analytické zprávy</w:t>
      </w:r>
      <w:r w:rsidR="00A9180F">
        <w:t xml:space="preserve">. </w:t>
      </w:r>
      <w:r w:rsidR="00B35525">
        <w:t>Jak již bylo řečeno v</w:t>
      </w:r>
      <w:r w:rsidR="007A576A">
        <w:t> </w:t>
      </w:r>
      <w:r w:rsidR="00B35525">
        <w:t>úvodu</w:t>
      </w:r>
      <w:r w:rsidR="007A576A">
        <w:t xml:space="preserve"> této publikace</w:t>
      </w:r>
      <w:r w:rsidR="00B35525">
        <w:t>, v</w:t>
      </w:r>
      <w:r w:rsidR="00225215">
        <w:t xml:space="preserve">edle studentů veřejných a soukromých vysokých škol patří do vysokoškolského vzdělávání v České republice také </w:t>
      </w:r>
      <w:r w:rsidR="008705B8">
        <w:t xml:space="preserve">studenti </w:t>
      </w:r>
      <w:r w:rsidR="007A576A">
        <w:t xml:space="preserve">dvou </w:t>
      </w:r>
      <w:r w:rsidR="008705B8">
        <w:t xml:space="preserve">státních vysokých škol. Tito studenti jsou však vykazováni odděleně od studentů veřejných a soukromých vysokých škol </w:t>
      </w:r>
      <w:r w:rsidR="008705B8" w:rsidRPr="007E0FF5">
        <w:t>a</w:t>
      </w:r>
      <w:r w:rsidR="00870415" w:rsidRPr="007E0FF5">
        <w:t xml:space="preserve"> v roce 2021</w:t>
      </w:r>
      <w:r w:rsidR="00225215" w:rsidRPr="007E0FF5">
        <w:t xml:space="preserve"> tvořili je</w:t>
      </w:r>
      <w:r w:rsidR="007A576A" w:rsidRPr="007E0FF5">
        <w:t>n</w:t>
      </w:r>
      <w:r w:rsidR="00225215" w:rsidRPr="007E0FF5">
        <w:t xml:space="preserve"> </w:t>
      </w:r>
      <w:r w:rsidR="00211C24">
        <w:t>1,4</w:t>
      </w:r>
      <w:r w:rsidR="00225215" w:rsidRPr="007E0FF5">
        <w:t>%</w:t>
      </w:r>
      <w:r w:rsidR="00225215">
        <w:t xml:space="preserve"> podíl všech vysokoškolských studentů. Dále </w:t>
      </w:r>
      <w:r w:rsidR="00B35525">
        <w:t>proto</w:t>
      </w:r>
      <w:r w:rsidR="00225215">
        <w:t xml:space="preserve"> </w:t>
      </w:r>
      <w:r w:rsidR="008705B8">
        <w:t xml:space="preserve">budeme </w:t>
      </w:r>
      <w:r w:rsidR="00225215">
        <w:t xml:space="preserve">studenty </w:t>
      </w:r>
      <w:r w:rsidR="00225215" w:rsidRPr="00225215">
        <w:t>veřejných a soukromých vysokých škol</w:t>
      </w:r>
      <w:r w:rsidR="00225215">
        <w:t xml:space="preserve"> nazývat pro zjednodušení </w:t>
      </w:r>
      <w:r w:rsidR="00B35525">
        <w:t xml:space="preserve">obecně </w:t>
      </w:r>
      <w:r w:rsidR="00225215" w:rsidRPr="00817845">
        <w:rPr>
          <w:i/>
        </w:rPr>
        <w:t>studenty vysokých škol</w:t>
      </w:r>
      <w:r w:rsidR="00225215">
        <w:t>.</w:t>
      </w:r>
    </w:p>
    <w:p w14:paraId="036A5270" w14:textId="4CBC5F2E" w:rsidR="009F04D3" w:rsidRDefault="00EA78F6" w:rsidP="00954833">
      <w:pPr>
        <w:spacing w:after="120"/>
        <w:ind w:firstLine="284"/>
        <w:jc w:val="both"/>
      </w:pPr>
      <w:r>
        <w:t>V této kapitole</w:t>
      </w:r>
      <w:r w:rsidR="00A9180F">
        <w:t xml:space="preserve"> představíme </w:t>
      </w:r>
      <w:r w:rsidR="00A9180F" w:rsidRPr="007C44D1">
        <w:t xml:space="preserve">základní přehled </w:t>
      </w:r>
      <w:r w:rsidR="00B13471">
        <w:rPr>
          <w:b/>
        </w:rPr>
        <w:t xml:space="preserve">o vývoji </w:t>
      </w:r>
      <w:r w:rsidR="00A9180F" w:rsidRPr="005A51CF">
        <w:rPr>
          <w:b/>
        </w:rPr>
        <w:t xml:space="preserve">počtu </w:t>
      </w:r>
      <w:r w:rsidR="00B13471">
        <w:rPr>
          <w:b/>
        </w:rPr>
        <w:t xml:space="preserve">studentů </w:t>
      </w:r>
      <w:r w:rsidR="00A9180F" w:rsidRPr="005A51CF">
        <w:rPr>
          <w:b/>
        </w:rPr>
        <w:t>celkem</w:t>
      </w:r>
      <w:r w:rsidR="003D53AC">
        <w:rPr>
          <w:b/>
        </w:rPr>
        <w:t>,</w:t>
      </w:r>
      <w:r w:rsidR="001C6EC4">
        <w:t xml:space="preserve"> jakož i podílu</w:t>
      </w:r>
      <w:r w:rsidR="004A3C46">
        <w:t xml:space="preserve"> </w:t>
      </w:r>
      <w:r w:rsidR="00B35525">
        <w:t>studentů ve věk</w:t>
      </w:r>
      <w:r w:rsidR="00325F82">
        <w:t>u 20–</w:t>
      </w:r>
      <w:r w:rsidR="00B35525">
        <w:t xml:space="preserve">29 let majících bydliště na území České republiky </w:t>
      </w:r>
      <w:r w:rsidR="004A3C46">
        <w:t>z</w:t>
      </w:r>
      <w:r w:rsidR="00B35525">
        <w:t xml:space="preserve"> celkové </w:t>
      </w:r>
      <w:r w:rsidR="004A3C46">
        <w:t xml:space="preserve">populace </w:t>
      </w:r>
      <w:r w:rsidR="00B35525">
        <w:t xml:space="preserve">ČR </w:t>
      </w:r>
      <w:r w:rsidR="004A3C46">
        <w:t>ve věku 20-29 let v</w:t>
      </w:r>
      <w:r w:rsidR="00B35525">
        <w:t> </w:t>
      </w:r>
      <w:r w:rsidR="004A3C46">
        <w:t>čase</w:t>
      </w:r>
      <w:r w:rsidR="00B35525">
        <w:t>. Dále ukážeme vývoj</w:t>
      </w:r>
      <w:r w:rsidR="00F214D1">
        <w:t xml:space="preserve"> podílu studentů</w:t>
      </w:r>
      <w:r w:rsidR="00A9180F">
        <w:t xml:space="preserve"> v jednotlivých studijních programech</w:t>
      </w:r>
      <w:r w:rsidR="00B35525">
        <w:t>. Představíme rozdíly v závislosti na</w:t>
      </w:r>
      <w:r w:rsidR="00F214D1">
        <w:t xml:space="preserve"> </w:t>
      </w:r>
      <w:r w:rsidR="00484AE5">
        <w:t>pohlaví</w:t>
      </w:r>
      <w:r w:rsidR="00325F82">
        <w:t>, státní příslušnosti, formě</w:t>
      </w:r>
      <w:r w:rsidR="00F214D1">
        <w:t xml:space="preserve"> studia a věku. Poté se zaměříme na vývoj počtu studentů </w:t>
      </w:r>
      <w:r w:rsidR="00F214D1" w:rsidRPr="005A51CF">
        <w:rPr>
          <w:b/>
        </w:rPr>
        <w:t xml:space="preserve">v jednotlivých skupinách oborů </w:t>
      </w:r>
      <w:r w:rsidR="00F214D1">
        <w:t>vzdělávání</w:t>
      </w:r>
      <w:r w:rsidR="00613F21">
        <w:t>. P</w:t>
      </w:r>
      <w:r w:rsidR="00F214D1">
        <w:t>ředstavíme, jaké skupiny oborů preferovali v letech 200</w:t>
      </w:r>
      <w:r w:rsidR="00870415">
        <w:t>1 až 2021</w:t>
      </w:r>
      <w:r w:rsidR="00F214D1">
        <w:t xml:space="preserve"> muži a </w:t>
      </w:r>
      <w:r w:rsidR="00424BB8">
        <w:t xml:space="preserve">jaké </w:t>
      </w:r>
      <w:r w:rsidR="00F214D1">
        <w:t xml:space="preserve">ženy či studenti cizí státní příslušnosti a jaký byl v uvedených letech podíl studentů doktorského studia a studentů </w:t>
      </w:r>
      <w:r w:rsidR="0053465C">
        <w:t xml:space="preserve">s </w:t>
      </w:r>
      <w:r w:rsidR="00F214D1">
        <w:t xml:space="preserve">distanční či kombinovanou formou v jednotlivých skupinách oborů vzdělávání. </w:t>
      </w:r>
    </w:p>
    <w:p w14:paraId="7DA56B38" w14:textId="5090579C" w:rsidR="002007EA" w:rsidRDefault="00F214D1" w:rsidP="00954833">
      <w:pPr>
        <w:spacing w:after="120"/>
        <w:ind w:firstLine="284"/>
        <w:jc w:val="both"/>
      </w:pPr>
      <w:r>
        <w:t xml:space="preserve">Nakonec porovnáme údaje o studentech </w:t>
      </w:r>
      <w:r w:rsidRPr="005A51CF">
        <w:rPr>
          <w:b/>
        </w:rPr>
        <w:t>s trvalým bydlištěm v jednotlivých krajích České republiky</w:t>
      </w:r>
      <w:r w:rsidR="009814C8">
        <w:rPr>
          <w:b/>
        </w:rPr>
        <w:t>, jakož i</w:t>
      </w:r>
      <w:r w:rsidR="005A51CF">
        <w:t xml:space="preserve"> </w:t>
      </w:r>
      <w:r w:rsidR="009814C8">
        <w:rPr>
          <w:b/>
        </w:rPr>
        <w:t>bydlících</w:t>
      </w:r>
      <w:r w:rsidR="005A51CF" w:rsidRPr="005A51CF">
        <w:rPr>
          <w:b/>
        </w:rPr>
        <w:t xml:space="preserve"> v</w:t>
      </w:r>
      <w:r w:rsidR="00473CA9">
        <w:rPr>
          <w:b/>
        </w:rPr>
        <w:t> </w:t>
      </w:r>
      <w:r w:rsidR="005A51CF" w:rsidRPr="005A51CF">
        <w:rPr>
          <w:b/>
        </w:rPr>
        <w:t>zahraničí</w:t>
      </w:r>
      <w:r w:rsidR="00473CA9">
        <w:rPr>
          <w:b/>
        </w:rPr>
        <w:t xml:space="preserve"> </w:t>
      </w:r>
      <w:r w:rsidR="00473CA9" w:rsidRPr="00473CA9">
        <w:t>(tj. bez trvalého pobytu v ČR)</w:t>
      </w:r>
      <w:r>
        <w:t xml:space="preserve">. </w:t>
      </w:r>
      <w:r w:rsidR="00613F21">
        <w:t>Ukážeme</w:t>
      </w:r>
      <w:r w:rsidR="00F748A3">
        <w:t>, jaký podíl</w:t>
      </w:r>
      <w:r w:rsidRPr="00F214D1">
        <w:t xml:space="preserve"> </w:t>
      </w:r>
      <w:r>
        <w:t xml:space="preserve">ze všech obyvatel </w:t>
      </w:r>
      <w:r w:rsidR="00325F82">
        <w:t>jednotlivých krajů ve věku 20–</w:t>
      </w:r>
      <w:r w:rsidR="00A57A09">
        <w:t xml:space="preserve">29 let </w:t>
      </w:r>
      <w:r w:rsidR="00F748A3">
        <w:t xml:space="preserve">tvořili v </w:t>
      </w:r>
      <w:r w:rsidR="00870415">
        <w:t>roce 2021</w:t>
      </w:r>
      <w:r w:rsidR="00F748A3">
        <w:t xml:space="preserve"> studenti</w:t>
      </w:r>
      <w:r>
        <w:t>.</w:t>
      </w:r>
      <w:r w:rsidR="00B043F7" w:rsidRPr="00B043F7">
        <w:t xml:space="preserve"> Po</w:t>
      </w:r>
      <w:r w:rsidR="00B043F7">
        <w:t>té uvedeme po</w:t>
      </w:r>
      <w:r w:rsidR="00325F82">
        <w:t>díl studentů doktorských programů</w:t>
      </w:r>
      <w:r w:rsidR="00B043F7" w:rsidRPr="00B043F7">
        <w:t xml:space="preserve"> ze všech studentů, studentů </w:t>
      </w:r>
      <w:r w:rsidR="00B043F7">
        <w:t>s trvalým bydlištěm v </w:t>
      </w:r>
      <w:r w:rsidR="00B043F7" w:rsidRPr="00B043F7">
        <w:t xml:space="preserve">jednotlivých krajích a </w:t>
      </w:r>
      <w:r w:rsidR="00B043F7">
        <w:t xml:space="preserve">studentů bydlících </w:t>
      </w:r>
      <w:r w:rsidR="00B043F7" w:rsidRPr="00B043F7">
        <w:t>v</w:t>
      </w:r>
      <w:r w:rsidR="00B043F7">
        <w:t> </w:t>
      </w:r>
      <w:r w:rsidR="00B043F7" w:rsidRPr="00B043F7">
        <w:t>zahraničí</w:t>
      </w:r>
      <w:r w:rsidR="00870415">
        <w:t xml:space="preserve"> v roce 2021</w:t>
      </w:r>
      <w:r w:rsidR="00B043F7">
        <w:t>. Nakonec nabídneme pohled na p</w:t>
      </w:r>
      <w:r w:rsidR="00B043F7" w:rsidRPr="00B043F7">
        <w:t>rocentuá</w:t>
      </w:r>
      <w:r w:rsidR="00E73E5E">
        <w:t>lní rozlo</w:t>
      </w:r>
      <w:r w:rsidR="00870415">
        <w:t>žení studentů, kteří v roce 2021</w:t>
      </w:r>
      <w:r w:rsidR="00E73E5E">
        <w:t xml:space="preserve"> bydleli</w:t>
      </w:r>
      <w:r w:rsidR="00B043F7" w:rsidRPr="00B043F7">
        <w:t xml:space="preserve"> v jednotlivých krajích </w:t>
      </w:r>
      <w:r w:rsidR="00B043F7">
        <w:t xml:space="preserve">České republiky </w:t>
      </w:r>
      <w:r w:rsidR="00B65FC7">
        <w:t>a v</w:t>
      </w:r>
      <w:r w:rsidR="00E73E5E">
        <w:t> </w:t>
      </w:r>
      <w:r w:rsidR="00B043F7" w:rsidRPr="00B043F7">
        <w:t>zahraničí</w:t>
      </w:r>
      <w:r w:rsidR="00E73E5E">
        <w:t>,</w:t>
      </w:r>
      <w:r w:rsidR="00B043F7" w:rsidRPr="00B043F7">
        <w:t xml:space="preserve"> do skupin oborů vzdělávání</w:t>
      </w:r>
      <w:r w:rsidR="00B043F7">
        <w:t>.</w:t>
      </w:r>
      <w:r w:rsidR="00954833" w:rsidRPr="00954833">
        <w:t xml:space="preserve"> </w:t>
      </w:r>
    </w:p>
    <w:p w14:paraId="38EA3744" w14:textId="47264082" w:rsidR="00A9180F" w:rsidRPr="00A9180F" w:rsidRDefault="00954833" w:rsidP="006011C1">
      <w:pPr>
        <w:ind w:firstLine="284"/>
        <w:jc w:val="both"/>
      </w:pPr>
      <w:r>
        <w:t xml:space="preserve">Pro podrobnější data odkazujeme na tabulkovou část této publikace, příp. na databázi </w:t>
      </w:r>
      <w:r>
        <w:rPr>
          <w:rFonts w:eastAsia="Calibri" w:cs="Arial"/>
          <w:color w:val="000000"/>
          <w:szCs w:val="20"/>
          <w:lang w:eastAsia="en-US"/>
        </w:rPr>
        <w:t xml:space="preserve">MŠMT </w:t>
      </w:r>
      <w:r w:rsidR="00B45D48">
        <w:rPr>
          <w:rFonts w:eastAsia="Calibri" w:cs="Arial"/>
          <w:color w:val="000000"/>
          <w:szCs w:val="20"/>
          <w:lang w:eastAsia="en-US"/>
        </w:rPr>
        <w:t>(pro odkaz viz úvod této publikace).</w:t>
      </w:r>
    </w:p>
    <w:p w14:paraId="35598E70" w14:textId="56F6CD25" w:rsidR="00E00549" w:rsidRPr="00E00549" w:rsidRDefault="00BA133F" w:rsidP="006011C1">
      <w:pPr>
        <w:pStyle w:val="Nadpis2"/>
        <w:spacing w:after="240"/>
      </w:pPr>
      <w:bookmarkStart w:id="2" w:name="_Toc103080341"/>
      <w:r w:rsidRPr="00E40ABE">
        <w:t xml:space="preserve">Studenti </w:t>
      </w:r>
      <w:bookmarkEnd w:id="1"/>
      <w:r w:rsidRPr="00E40ABE">
        <w:t>celkem</w:t>
      </w:r>
      <w:bookmarkEnd w:id="2"/>
    </w:p>
    <w:p w14:paraId="6A44381C" w14:textId="4806A123" w:rsidR="00BA133F" w:rsidRDefault="00BA133F" w:rsidP="00BA133F">
      <w:pPr>
        <w:spacing w:after="120"/>
        <w:ind w:firstLine="284"/>
        <w:jc w:val="both"/>
      </w:pPr>
      <w:r>
        <w:t xml:space="preserve">V letech 2001 až 2010 postupně a výrazně stoupal </w:t>
      </w:r>
      <w:r w:rsidRPr="00662604">
        <w:t>počet</w:t>
      </w:r>
      <w:r w:rsidRPr="00662604">
        <w:rPr>
          <w:b/>
        </w:rPr>
        <w:t xml:space="preserve"> </w:t>
      </w:r>
      <w:r w:rsidR="005B66A5">
        <w:rPr>
          <w:b/>
        </w:rPr>
        <w:t xml:space="preserve">studentů </w:t>
      </w:r>
      <w:r w:rsidRPr="005A21B5">
        <w:t>vysokých škol</w:t>
      </w:r>
      <w:r w:rsidR="005B66A5">
        <w:t xml:space="preserve"> v České republice</w:t>
      </w:r>
      <w:r>
        <w:t>, a sice z 203,4 tisíce v roce 2001 na 396</w:t>
      </w:r>
      <w:r w:rsidRPr="000C78B0">
        <w:t xml:space="preserve"> </w:t>
      </w:r>
      <w:r>
        <w:t>tisíc v roce 2010.</w:t>
      </w:r>
      <w:r w:rsidR="001114C0">
        <w:t xml:space="preserve"> Celkově se tedy téměř zdvojnásobil.</w:t>
      </w:r>
      <w:r>
        <w:t xml:space="preserve"> Poté začal </w:t>
      </w:r>
      <w:r w:rsidRPr="008172AD">
        <w:t xml:space="preserve">klesat až na </w:t>
      </w:r>
      <w:r w:rsidR="001E2537">
        <w:t>288,6 tisíce v roce 2019; m</w:t>
      </w:r>
      <w:r w:rsidR="00E00549">
        <w:t xml:space="preserve">ezi lety 2010 a 2019 </w:t>
      </w:r>
      <w:r w:rsidR="001E2537">
        <w:t xml:space="preserve">tak </w:t>
      </w:r>
      <w:r w:rsidR="00E00549">
        <w:t>pokles</w:t>
      </w:r>
      <w:r w:rsidR="00FA477E">
        <w:t>l</w:t>
      </w:r>
      <w:r w:rsidR="00E00549">
        <w:t xml:space="preserve"> o 27 %.</w:t>
      </w:r>
      <w:r w:rsidR="008E3757">
        <w:t xml:space="preserve"> V posledních dvou letech</w:t>
      </w:r>
      <w:r>
        <w:t xml:space="preserve"> pak </w:t>
      </w:r>
      <w:r w:rsidR="008E3757">
        <w:t>zaznamenal opět mírný růst a v roce 2021 čítal 304,1 tisíce studentů</w:t>
      </w:r>
      <w:r w:rsidR="00E47A3F">
        <w:t xml:space="preserve"> – viz graf č. 1. </w:t>
      </w:r>
    </w:p>
    <w:p w14:paraId="446C8915" w14:textId="0628D634" w:rsidR="005B66A5" w:rsidRDefault="00BA133F" w:rsidP="00BA133F">
      <w:pPr>
        <w:keepNext/>
        <w:spacing w:after="120"/>
        <w:jc w:val="both"/>
        <w:rPr>
          <w:b/>
        </w:rPr>
      </w:pPr>
      <w:r>
        <w:rPr>
          <w:b/>
        </w:rPr>
        <w:t>G</w:t>
      </w:r>
      <w:r w:rsidR="005B66A5">
        <w:rPr>
          <w:b/>
        </w:rPr>
        <w:t>raf č. </w:t>
      </w:r>
      <w:r>
        <w:rPr>
          <w:b/>
        </w:rPr>
        <w:t>1</w:t>
      </w:r>
      <w:r w:rsidRPr="00455F81">
        <w:rPr>
          <w:b/>
        </w:rPr>
        <w:t xml:space="preserve"> </w:t>
      </w:r>
      <w:r w:rsidR="005B66A5">
        <w:rPr>
          <w:b/>
        </w:rPr>
        <w:t>Studenti</w:t>
      </w:r>
      <w:r w:rsidRPr="00455F81">
        <w:rPr>
          <w:b/>
        </w:rPr>
        <w:t xml:space="preserve"> </w:t>
      </w:r>
      <w:r w:rsidR="00005792">
        <w:rPr>
          <w:b/>
        </w:rPr>
        <w:t>VŠ v ČR</w:t>
      </w:r>
      <w:r w:rsidR="005B66A5">
        <w:rPr>
          <w:b/>
        </w:rPr>
        <w:t xml:space="preserve"> – celkový počet a </w:t>
      </w:r>
      <w:r w:rsidR="005B66A5" w:rsidRPr="005B66A5">
        <w:rPr>
          <w:b/>
        </w:rPr>
        <w:t>podíl studentů m</w:t>
      </w:r>
      <w:r w:rsidR="005B66A5">
        <w:rPr>
          <w:b/>
        </w:rPr>
        <w:t xml:space="preserve">ezi obyvateli ČR </w:t>
      </w:r>
      <w:r w:rsidR="00992FFC">
        <w:rPr>
          <w:b/>
        </w:rPr>
        <w:t xml:space="preserve">ve </w:t>
      </w:r>
      <w:r w:rsidR="00325F82">
        <w:rPr>
          <w:b/>
        </w:rPr>
        <w:t>věku 20–</w:t>
      </w:r>
      <w:r w:rsidR="005B66A5">
        <w:rPr>
          <w:b/>
        </w:rPr>
        <w:t>29 let</w:t>
      </w:r>
    </w:p>
    <w:p w14:paraId="0E028C5A" w14:textId="50339BD8" w:rsidR="00C1774E" w:rsidRPr="008E3757" w:rsidRDefault="0032771E" w:rsidP="000D0724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4E276143" wp14:editId="37A2F42F">
            <wp:extent cx="6162675" cy="2628900"/>
            <wp:effectExtent l="0" t="0" r="9525" b="0"/>
            <wp:docPr id="22" name="Graf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76DBCE52" w14:textId="188EAB61" w:rsidR="009F04D3" w:rsidRPr="008705B8" w:rsidRDefault="00BA133F" w:rsidP="008705B8">
      <w:pPr>
        <w:spacing w:after="120"/>
        <w:jc w:val="right"/>
        <w:rPr>
          <w:b/>
          <w:sz w:val="18"/>
          <w:szCs w:val="18"/>
        </w:rPr>
      </w:pPr>
      <w:r w:rsidRPr="00C709E0">
        <w:rPr>
          <w:sz w:val="18"/>
          <w:szCs w:val="18"/>
        </w:rPr>
        <w:t>Zdroj dat: MŠMT (data o studentech), ČSÚ (data o populaci)</w:t>
      </w:r>
    </w:p>
    <w:p w14:paraId="10A91BD5" w14:textId="53F0731A" w:rsidR="00680B6E" w:rsidRDefault="00E47A3F" w:rsidP="00E47A3F">
      <w:pPr>
        <w:spacing w:after="120"/>
        <w:ind w:firstLine="284"/>
        <w:jc w:val="both"/>
      </w:pPr>
      <w:r>
        <w:lastRenderedPageBreak/>
        <w:t>V uvedených letech se rovněž měnil počet obyvatel České republiky. Graf č. 1 proto také ukazuje, jaký podíl obyvatel ČR ve</w:t>
      </w:r>
      <w:r w:rsidR="0032771E">
        <w:t xml:space="preserve"> věku 20–</w:t>
      </w:r>
      <w:r>
        <w:t xml:space="preserve">29 let, tedy ve věku obvyklém pro studium vysoké školy, v posledních 20 letech studoval </w:t>
      </w:r>
      <w:r w:rsidR="00A7127A">
        <w:t>na některé z vysokých</w:t>
      </w:r>
      <w:r>
        <w:t xml:space="preserve"> škol</w:t>
      </w:r>
      <w:r w:rsidR="00ED74FD">
        <w:t xml:space="preserve"> v České republice</w:t>
      </w:r>
      <w:r>
        <w:t xml:space="preserve">. </w:t>
      </w:r>
    </w:p>
    <w:p w14:paraId="14AD6058" w14:textId="53AE890C" w:rsidR="00D8678C" w:rsidRDefault="00680B6E" w:rsidP="00E47A3F">
      <w:pPr>
        <w:spacing w:after="120"/>
        <w:ind w:firstLine="284"/>
        <w:jc w:val="both"/>
      </w:pPr>
      <w:r>
        <w:t>Aby bylo zřejmé,</w:t>
      </w:r>
      <w:r w:rsidR="00D04E04">
        <w:t xml:space="preserve"> </w:t>
      </w:r>
      <w:r>
        <w:t>jak velkou</w:t>
      </w:r>
      <w:r w:rsidR="009E4026">
        <w:t xml:space="preserve"> skupinu</w:t>
      </w:r>
      <w:r w:rsidR="00D04E04">
        <w:t xml:space="preserve"> studentů vysokých škol v ČR </w:t>
      </w:r>
      <w:r>
        <w:t>zahrnujeme do tohoto ukazatele</w:t>
      </w:r>
      <w:r w:rsidR="00D04E04">
        <w:t>, jsou v tabulce č. 1</w:t>
      </w:r>
      <w:r w:rsidR="00D8678C">
        <w:t xml:space="preserve"> podíly studentů, kteří </w:t>
      </w:r>
      <w:r w:rsidR="00D04E04">
        <w:t xml:space="preserve">v uvedených letech </w:t>
      </w:r>
      <w:r w:rsidR="001E4B7E">
        <w:t>bydleli v ČR a byli ve věku 20–</w:t>
      </w:r>
      <w:r w:rsidR="00D8678C">
        <w:t xml:space="preserve">29 let, ze všech studentů </w:t>
      </w:r>
      <w:r w:rsidR="00F0722D">
        <w:t>(</w:t>
      </w:r>
      <w:r w:rsidR="0032526E">
        <w:t>tj. včetně studentů</w:t>
      </w:r>
      <w:r w:rsidR="00F0722D">
        <w:t xml:space="preserve"> bydlící</w:t>
      </w:r>
      <w:r w:rsidR="0032526E">
        <w:t>ch</w:t>
      </w:r>
      <w:r w:rsidR="00F0722D">
        <w:t xml:space="preserve"> v</w:t>
      </w:r>
      <w:r w:rsidR="00D04E04">
        <w:t> zahraničí,</w:t>
      </w:r>
      <w:r w:rsidR="0032526E">
        <w:t xml:space="preserve"> studentů</w:t>
      </w:r>
      <w:r w:rsidR="00F0722D">
        <w:t xml:space="preserve"> </w:t>
      </w:r>
      <w:r w:rsidR="0032526E">
        <w:t>mladších než 20 let a starších než 29 let</w:t>
      </w:r>
      <w:r w:rsidR="00F0722D">
        <w:t>)</w:t>
      </w:r>
      <w:r w:rsidR="00D8678C">
        <w:t>:</w:t>
      </w:r>
    </w:p>
    <w:p w14:paraId="1CF5790D" w14:textId="4DB764A7" w:rsidR="00D8678C" w:rsidRDefault="00D8678C" w:rsidP="00D8678C">
      <w:pPr>
        <w:spacing w:after="120"/>
        <w:jc w:val="both"/>
        <w:rPr>
          <w:b/>
        </w:rPr>
      </w:pPr>
      <w:r w:rsidRPr="00D8678C">
        <w:rPr>
          <w:b/>
        </w:rPr>
        <w:t>Tabulka č. 1</w:t>
      </w:r>
      <w:r>
        <w:t xml:space="preserve"> </w:t>
      </w:r>
      <w:r w:rsidR="00005792" w:rsidRPr="00005792">
        <w:rPr>
          <w:b/>
        </w:rPr>
        <w:t>Studenti VŠ v ČR</w:t>
      </w:r>
      <w:r w:rsidR="00005792">
        <w:t xml:space="preserve"> - </w:t>
      </w:r>
      <w:r w:rsidR="00005792">
        <w:rPr>
          <w:b/>
        </w:rPr>
        <w:t>p</w:t>
      </w:r>
      <w:r w:rsidRPr="00D8678C">
        <w:rPr>
          <w:b/>
        </w:rPr>
        <w:t xml:space="preserve">odíl </w:t>
      </w:r>
      <w:r w:rsidR="006159C3">
        <w:rPr>
          <w:b/>
        </w:rPr>
        <w:t xml:space="preserve">studentů </w:t>
      </w:r>
      <w:r w:rsidRPr="00D8678C">
        <w:rPr>
          <w:b/>
        </w:rPr>
        <w:t>ve věku 2</w:t>
      </w:r>
      <w:r w:rsidR="001E4B7E">
        <w:rPr>
          <w:b/>
        </w:rPr>
        <w:t>0–</w:t>
      </w:r>
      <w:r w:rsidRPr="00D8678C">
        <w:rPr>
          <w:b/>
        </w:rPr>
        <w:t xml:space="preserve">29 let </w:t>
      </w:r>
      <w:r w:rsidR="0092558E">
        <w:rPr>
          <w:b/>
        </w:rPr>
        <w:t>s trvalým bydlištěm</w:t>
      </w:r>
      <w:r w:rsidRPr="00D8678C">
        <w:rPr>
          <w:b/>
        </w:rPr>
        <w:t xml:space="preserve"> v ČR </w:t>
      </w:r>
      <w:r w:rsidR="001E4B7E">
        <w:rPr>
          <w:b/>
        </w:rPr>
        <w:t>z celku (v </w:t>
      </w:r>
      <w:r w:rsidR="006159C3">
        <w:rPr>
          <w:b/>
        </w:rPr>
        <w:t>%)</w:t>
      </w:r>
      <w:r w:rsidR="00005792">
        <w:rPr>
          <w:b/>
        </w:rPr>
        <w:t xml:space="preserve"> </w:t>
      </w:r>
    </w:p>
    <w:tbl>
      <w:tblPr>
        <w:tblW w:w="908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0"/>
        <w:gridCol w:w="920"/>
        <w:gridCol w:w="920"/>
        <w:gridCol w:w="920"/>
        <w:gridCol w:w="920"/>
        <w:gridCol w:w="920"/>
        <w:gridCol w:w="920"/>
        <w:gridCol w:w="920"/>
        <w:gridCol w:w="920"/>
        <w:gridCol w:w="920"/>
      </w:tblGrid>
      <w:tr w:rsidR="009821FB" w:rsidRPr="009821FB" w14:paraId="41F1505B" w14:textId="77777777" w:rsidTr="00E86917">
        <w:trPr>
          <w:trHeight w:val="300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10CE68BD" w14:textId="77777777" w:rsidR="009821FB" w:rsidRPr="009821FB" w:rsidRDefault="009821FB" w:rsidP="009821FB">
            <w:pPr>
              <w:spacing w:after="0" w:line="240" w:lineRule="auto"/>
              <w:rPr>
                <w:rFonts w:ascii="Calibri" w:hAnsi="Calibri" w:cs="Calibri"/>
                <w:color w:val="000000"/>
                <w:szCs w:val="20"/>
              </w:rPr>
            </w:pPr>
            <w:r w:rsidRPr="009821FB">
              <w:rPr>
                <w:rFonts w:ascii="Calibri" w:hAnsi="Calibri" w:cs="Calibri"/>
                <w:color w:val="000000"/>
                <w:szCs w:val="20"/>
              </w:rPr>
              <w:t> 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5994DA46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2001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3E869170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2006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4B863FA4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78445B21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2016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7168F80C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2017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6300D653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2018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322B12A2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39769A95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2020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161515C8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2021</w:t>
            </w:r>
          </w:p>
        </w:tc>
      </w:tr>
      <w:tr w:rsidR="009821FB" w:rsidRPr="009821FB" w14:paraId="6D2D74D4" w14:textId="77777777" w:rsidTr="00E86917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47D76" w14:textId="77777777" w:rsidR="009821FB" w:rsidRPr="001E2537" w:rsidRDefault="009821FB" w:rsidP="009821FB">
            <w:pPr>
              <w:spacing w:after="0" w:line="240" w:lineRule="auto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celkem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DFFDD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74,9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DC5FB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71,4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12267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69,4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17254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68,4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BE118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67,5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75B17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66,6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E677C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65,7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4C9A1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65,0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7E734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64,7</w:t>
            </w:r>
          </w:p>
        </w:tc>
      </w:tr>
      <w:tr w:rsidR="009821FB" w:rsidRPr="009821FB" w14:paraId="410A27CD" w14:textId="77777777" w:rsidTr="00E86917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7D90A" w14:textId="77777777" w:rsidR="009821FB" w:rsidRPr="009821FB" w:rsidRDefault="009821FB" w:rsidP="009821FB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muži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DF706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75,7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A8955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71,3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347F1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69,8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B95A9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68,2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93535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67,1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B10AA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66,1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B1E81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65,3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DFF0C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64,5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E546F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64,3</w:t>
            </w:r>
          </w:p>
        </w:tc>
      </w:tr>
      <w:tr w:rsidR="009821FB" w:rsidRPr="009821FB" w14:paraId="0B60E33E" w14:textId="77777777" w:rsidTr="00E86917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5B884" w14:textId="77777777" w:rsidR="009821FB" w:rsidRPr="009821FB" w:rsidRDefault="009821FB" w:rsidP="009821FB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ženy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48004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74,2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FC7AF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71,4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C612F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69,1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93565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68,6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23E22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67,7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65B0B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67,1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F93C8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66,0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530E0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65,3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0FDAF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65,1</w:t>
            </w:r>
          </w:p>
        </w:tc>
      </w:tr>
    </w:tbl>
    <w:p w14:paraId="2A5DB37E" w14:textId="7695ADC3" w:rsidR="00D8678C" w:rsidRDefault="00D8678C" w:rsidP="00B964A8">
      <w:pPr>
        <w:spacing w:after="0" w:line="240" w:lineRule="auto"/>
        <w:jc w:val="both"/>
      </w:pPr>
    </w:p>
    <w:p w14:paraId="2BD417F4" w14:textId="30A69E65" w:rsidR="00FB06AE" w:rsidRDefault="004B643F" w:rsidP="00E47A3F">
      <w:pPr>
        <w:spacing w:after="120"/>
        <w:ind w:firstLine="284"/>
        <w:jc w:val="both"/>
      </w:pPr>
      <w:r>
        <w:t>Tabulka ukazuje</w:t>
      </w:r>
      <w:r w:rsidR="00D8678C">
        <w:t>,</w:t>
      </w:r>
      <w:r>
        <w:t xml:space="preserve"> že</w:t>
      </w:r>
      <w:r w:rsidR="00D8678C">
        <w:t xml:space="preserve"> </w:t>
      </w:r>
      <w:r w:rsidR="00A25063">
        <w:t>v roce 2021 bylo studentů ve věku 20-29 let ze všech studentů 64,7 % a že v čase podíl těchto mladších studentů klesá.</w:t>
      </w:r>
      <w:r w:rsidR="00B5308A">
        <w:rPr>
          <w:rStyle w:val="Znakapoznpodarou"/>
        </w:rPr>
        <w:footnoteReference w:id="1"/>
      </w:r>
      <w:r w:rsidR="001E4B7E">
        <w:t xml:space="preserve"> </w:t>
      </w:r>
    </w:p>
    <w:p w14:paraId="2A359B20" w14:textId="431B8FC6" w:rsidR="00E47A3F" w:rsidRDefault="00D8678C" w:rsidP="00E47A3F">
      <w:pPr>
        <w:spacing w:after="120"/>
        <w:ind w:firstLine="284"/>
        <w:jc w:val="both"/>
      </w:pPr>
      <w:r>
        <w:t>Přitom</w:t>
      </w:r>
      <w:r w:rsidR="00E47A3F" w:rsidRPr="00ED74FD">
        <w:t xml:space="preserve"> je možné poznamenat, že spolu s růstem počtu studentů </w:t>
      </w:r>
      <w:r w:rsidR="00067320" w:rsidRPr="00ED74FD">
        <w:t xml:space="preserve">vysokých škol </w:t>
      </w:r>
      <w:r w:rsidR="00E47A3F" w:rsidRPr="00ED74FD">
        <w:t xml:space="preserve">v první dekádě 21. století rostl též podíl studentů </w:t>
      </w:r>
      <w:r w:rsidR="00067320" w:rsidRPr="00ED74FD">
        <w:t xml:space="preserve">vysokých škol </w:t>
      </w:r>
      <w:r w:rsidR="00E47A3F" w:rsidRPr="00ED74FD">
        <w:t>ve věku 20</w:t>
      </w:r>
      <w:r w:rsidR="00972D73">
        <w:t>–</w:t>
      </w:r>
      <w:r w:rsidR="00E47A3F" w:rsidRPr="00ED74FD">
        <w:t xml:space="preserve">29 let </w:t>
      </w:r>
      <w:r w:rsidR="00ED74FD" w:rsidRPr="00ED74FD">
        <w:t>bydlících</w:t>
      </w:r>
      <w:r w:rsidR="00E47A3F" w:rsidRPr="00ED74FD">
        <w:t xml:space="preserve"> v České republice z celkového počtu obyvatel ČR ve věku 20</w:t>
      </w:r>
      <w:r w:rsidR="00972D73">
        <w:t>–</w:t>
      </w:r>
      <w:r w:rsidR="00E47A3F" w:rsidRPr="00ED74FD">
        <w:t xml:space="preserve">29 let, a sice z 9 % </w:t>
      </w:r>
      <w:r w:rsidR="00373F42" w:rsidRPr="00ED74FD">
        <w:t xml:space="preserve">v roce 2001 </w:t>
      </w:r>
      <w:r w:rsidR="00E47A3F" w:rsidRPr="00ED74FD">
        <w:t>na 19,5 %</w:t>
      </w:r>
      <w:r w:rsidR="00373F42" w:rsidRPr="00ED74FD">
        <w:t xml:space="preserve"> v roce 2011</w:t>
      </w:r>
      <w:r w:rsidR="00E47A3F" w:rsidRPr="00ED74FD">
        <w:t xml:space="preserve">. </w:t>
      </w:r>
      <w:r w:rsidR="00D562E9" w:rsidRPr="00ED74FD">
        <w:t>Poté se do roku 2018 tento podíl</w:t>
      </w:r>
      <w:r w:rsidR="00E47A3F" w:rsidRPr="00ED74FD">
        <w:t xml:space="preserve"> mírně</w:t>
      </w:r>
      <w:r w:rsidR="00236A3D">
        <w:t xml:space="preserve"> snížil na 16,5 % a do roku 2021</w:t>
      </w:r>
      <w:r w:rsidR="00E47A3F" w:rsidRPr="00ED74FD">
        <w:t xml:space="preserve"> naopak zvýšil </w:t>
      </w:r>
      <w:r w:rsidR="00E47A3F" w:rsidRPr="00E966D9">
        <w:t xml:space="preserve">na </w:t>
      </w:r>
      <w:r w:rsidR="00E966D9" w:rsidRPr="00E966D9">
        <w:t>18,7</w:t>
      </w:r>
      <w:r w:rsidR="00E47A3F" w:rsidRPr="00E966D9">
        <w:t> %</w:t>
      </w:r>
      <w:r w:rsidR="009600A4" w:rsidRPr="00E966D9">
        <w:t xml:space="preserve"> - viz graf</w:t>
      </w:r>
      <w:r w:rsidR="009600A4">
        <w:t xml:space="preserve"> č. 1</w:t>
      </w:r>
      <w:r w:rsidR="00E47A3F" w:rsidRPr="00ED74FD">
        <w:t>.</w:t>
      </w:r>
      <w:r w:rsidR="00E47A3F">
        <w:t xml:space="preserve"> </w:t>
      </w:r>
      <w:r w:rsidR="004B643F">
        <w:t>Poznamenejme ještě</w:t>
      </w:r>
      <w:r w:rsidR="00E47A3F">
        <w:t xml:space="preserve">, že úbytek </w:t>
      </w:r>
      <w:r w:rsidR="004B643F">
        <w:t xml:space="preserve">absolutního </w:t>
      </w:r>
      <w:r w:rsidR="00E47A3F">
        <w:t>počtu studentů vysokých škol v druhé dekádě 21. století</w:t>
      </w:r>
      <w:r w:rsidR="007D6615">
        <w:t xml:space="preserve"> měl na svědomí </w:t>
      </w:r>
      <w:r w:rsidR="00C64BB2">
        <w:t xml:space="preserve">zejména </w:t>
      </w:r>
      <w:r w:rsidR="007D6615">
        <w:t xml:space="preserve">celkový úbytek obyvatel </w:t>
      </w:r>
      <w:r w:rsidR="00AF4C2E">
        <w:t xml:space="preserve">ČR </w:t>
      </w:r>
      <w:r w:rsidR="007D6615">
        <w:t>ve věku 20</w:t>
      </w:r>
      <w:r w:rsidR="00972D73">
        <w:t>–</w:t>
      </w:r>
      <w:r w:rsidR="007D6615">
        <w:t>29 let</w:t>
      </w:r>
      <w:r w:rsidR="00004CE8" w:rsidRPr="004B643F">
        <w:t xml:space="preserve">. </w:t>
      </w:r>
      <w:r w:rsidR="004B643F" w:rsidRPr="004B643F">
        <w:t>Mezi lety 2011</w:t>
      </w:r>
      <w:r w:rsidR="000E660A" w:rsidRPr="004B643F">
        <w:t xml:space="preserve"> a 2</w:t>
      </w:r>
      <w:r w:rsidR="004B643F" w:rsidRPr="004B643F">
        <w:t>021</w:t>
      </w:r>
      <w:r w:rsidR="004B643F">
        <w:t xml:space="preserve"> poklesl o </w:t>
      </w:r>
      <w:r w:rsidR="00A25063">
        <w:t xml:space="preserve">čtvrtinu (tj. o </w:t>
      </w:r>
      <w:r w:rsidR="004B643F" w:rsidRPr="004B643F">
        <w:t>24,6 %</w:t>
      </w:r>
      <w:r w:rsidR="00A25063">
        <w:t>)</w:t>
      </w:r>
      <w:r w:rsidR="00F657B3" w:rsidRPr="004B643F">
        <w:t>.</w:t>
      </w:r>
      <w:r w:rsidR="00F657B3">
        <w:t xml:space="preserve">  </w:t>
      </w:r>
    </w:p>
    <w:p w14:paraId="0D5764C4" w14:textId="21E2AFE8" w:rsidR="00700619" w:rsidRDefault="00015DB2" w:rsidP="00AB5663">
      <w:pPr>
        <w:spacing w:after="120"/>
        <w:ind w:firstLine="284"/>
        <w:jc w:val="both"/>
      </w:pPr>
      <w:r w:rsidRPr="00662604">
        <w:t xml:space="preserve">Podíl </w:t>
      </w:r>
      <w:r w:rsidRPr="00662604">
        <w:rPr>
          <w:b/>
        </w:rPr>
        <w:t>žen ze všech studentů</w:t>
      </w:r>
      <w:r>
        <w:t xml:space="preserve"> vysokých škol </w:t>
      </w:r>
      <w:r w:rsidR="00B964A8">
        <w:t xml:space="preserve">v ČR </w:t>
      </w:r>
      <w:r>
        <w:t xml:space="preserve">se mezi lety 2001 a 2012 postupně zvyšoval, konkrétně ze 48,3 % na 56,2 %, poté vykázal víceméně setrvalý stav (v roce </w:t>
      </w:r>
      <w:r w:rsidR="003A73B4">
        <w:t>2021 činil 55,6</w:t>
      </w:r>
      <w:r w:rsidR="0086547C">
        <w:t xml:space="preserve"> %). </w:t>
      </w:r>
      <w:r w:rsidR="00700619" w:rsidRPr="00700619">
        <w:t xml:space="preserve">Z jiného úhlu pohledu lze konstatovat, že od roku 2009 studuje na vysokých školách trvale cca o pětinu </w:t>
      </w:r>
      <w:r w:rsidR="00C82DBE">
        <w:t>méně mužů než žen</w:t>
      </w:r>
      <w:r w:rsidR="00700619" w:rsidRPr="00700619">
        <w:t xml:space="preserve">. Do roku 2003 přitom </w:t>
      </w:r>
      <w:r w:rsidR="00AD0509">
        <w:t>mírně převažovali muži nad ženami. Mezi lety 2001 a 2011 vzrostl</w:t>
      </w:r>
      <w:r w:rsidR="00700619">
        <w:t xml:space="preserve"> počet mužů </w:t>
      </w:r>
      <w:r w:rsidR="00AD0509">
        <w:t xml:space="preserve">studujících vysokou školu </w:t>
      </w:r>
      <w:r w:rsidR="00700619">
        <w:t>o 64,1 % a</w:t>
      </w:r>
      <w:r w:rsidR="00AD0509">
        <w:t xml:space="preserve"> počet</w:t>
      </w:r>
      <w:r w:rsidR="00700619">
        <w:t xml:space="preserve"> žen o 123,3 %</w:t>
      </w:r>
      <w:r w:rsidR="0023624E">
        <w:t>.</w:t>
      </w:r>
      <w:r w:rsidR="00700619">
        <w:t xml:space="preserve"> </w:t>
      </w:r>
      <w:r w:rsidR="0023624E">
        <w:t>M</w:t>
      </w:r>
      <w:r w:rsidR="00AD0509">
        <w:t xml:space="preserve">ezi lety 2011 a 2021 pak </w:t>
      </w:r>
      <w:r w:rsidR="0023624E">
        <w:t xml:space="preserve">naopak </w:t>
      </w:r>
      <w:r w:rsidR="00AD0509">
        <w:t>poklesl počet mužů studujících vysokou školu o 21,8 % a počet žen o 23 %.</w:t>
      </w:r>
      <w:r w:rsidR="00700619">
        <w:t xml:space="preserve"> </w:t>
      </w:r>
    </w:p>
    <w:p w14:paraId="739DDFE1" w14:textId="7466D8AA" w:rsidR="00700619" w:rsidRDefault="00700619" w:rsidP="00AB5663">
      <w:pPr>
        <w:spacing w:after="120"/>
        <w:ind w:firstLine="284"/>
        <w:jc w:val="both"/>
      </w:pPr>
      <w:r w:rsidRPr="00700619">
        <w:t>V této souvislosti můžeme poznamenat, že v čase též roste průměrný věk matek při narození prvního dítěte. Mezi r</w:t>
      </w:r>
      <w:r w:rsidR="0023624E">
        <w:t>oky 2000 a 2010 se zvýšil z 24,9</w:t>
      </w:r>
      <w:r w:rsidRPr="00700619">
        <w:t xml:space="preserve"> na 27,6 let věku a do roku 2020 stoupl na 28,5 roku</w:t>
      </w:r>
      <w:r w:rsidR="0023624E">
        <w:t xml:space="preserve"> (zdroj viz </w:t>
      </w:r>
      <w:hyperlink r:id="rId9" w:history="1">
        <w:r w:rsidR="0023624E" w:rsidRPr="0023624E">
          <w:rPr>
            <w:rStyle w:val="Hypertextovodkaz"/>
          </w:rPr>
          <w:t>zde</w:t>
        </w:r>
      </w:hyperlink>
      <w:r w:rsidR="0023624E">
        <w:t>)</w:t>
      </w:r>
      <w:r w:rsidRPr="00700619">
        <w:t>.</w:t>
      </w:r>
      <w:r>
        <w:t xml:space="preserve"> </w:t>
      </w:r>
      <w:r w:rsidR="00627155">
        <w:t>Zdá se, že zejména v první dekádě tohoto století se zvyšovala ochota žen odkládat mateřství kvůli vyhlídce zajímavějšího či lépe placeného zaměstnání, které často vyžaduje vysokoškolské vzdělání</w:t>
      </w:r>
      <w:r>
        <w:t>.</w:t>
      </w:r>
    </w:p>
    <w:p w14:paraId="697ED000" w14:textId="1C1359F5" w:rsidR="00EE62DA" w:rsidRDefault="0086547C" w:rsidP="00AB5663">
      <w:pPr>
        <w:spacing w:after="120"/>
        <w:ind w:firstLine="284"/>
        <w:jc w:val="both"/>
      </w:pPr>
      <w:r>
        <w:t xml:space="preserve">Podíl </w:t>
      </w:r>
      <w:r w:rsidR="00015DB2">
        <w:t xml:space="preserve">žen </w:t>
      </w:r>
      <w:r>
        <w:t xml:space="preserve">ve věku 20-29 let </w:t>
      </w:r>
      <w:r w:rsidR="00015DB2">
        <w:t xml:space="preserve">studujících </w:t>
      </w:r>
      <w:r w:rsidR="00B964A8">
        <w:t>vysokou školu v ČR</w:t>
      </w:r>
      <w:r w:rsidR="00A7127A" w:rsidRPr="00A7127A">
        <w:t xml:space="preserve"> </w:t>
      </w:r>
      <w:r w:rsidR="00247454">
        <w:t>ze všech žen</w:t>
      </w:r>
      <w:r w:rsidR="00015DB2">
        <w:t xml:space="preserve"> ve věku 20-29 let </w:t>
      </w:r>
      <w:r w:rsidR="006B625D">
        <w:t>s trvalým pobytem</w:t>
      </w:r>
      <w:r w:rsidR="00502CFD">
        <w:t xml:space="preserve"> </w:t>
      </w:r>
      <w:r w:rsidR="00015DB2">
        <w:t xml:space="preserve">v ČR </w:t>
      </w:r>
      <w:r w:rsidR="00856901">
        <w:t>činil v roce 2021</w:t>
      </w:r>
      <w:r w:rsidR="0032071C">
        <w:t xml:space="preserve"> celkem </w:t>
      </w:r>
      <w:r w:rsidR="006016C8">
        <w:t>21,7</w:t>
      </w:r>
      <w:r w:rsidR="0032071C">
        <w:t> %</w:t>
      </w:r>
      <w:r w:rsidR="00015DB2">
        <w:t>, zatímco u mužů</w:t>
      </w:r>
      <w:r w:rsidR="00B964A8">
        <w:t xml:space="preserve"> byl tento podíl</w:t>
      </w:r>
      <w:r w:rsidR="00502CFD">
        <w:t xml:space="preserve"> jen </w:t>
      </w:r>
      <w:r w:rsidR="006016C8">
        <w:t>16</w:t>
      </w:r>
      <w:r w:rsidR="00502CFD">
        <w:t> %</w:t>
      </w:r>
      <w:r w:rsidR="00015DB2">
        <w:t xml:space="preserve">. </w:t>
      </w:r>
      <w:r w:rsidR="00AB5663">
        <w:t>Přitom v</w:t>
      </w:r>
      <w:r w:rsidR="00700619">
        <w:t> roce 2003</w:t>
      </w:r>
      <w:r w:rsidR="00342D30">
        <w:t xml:space="preserve"> se </w:t>
      </w:r>
      <w:r w:rsidR="006077D3">
        <w:t>muži a ženy v tomto podílu nelišili</w:t>
      </w:r>
      <w:r w:rsidR="006016C8">
        <w:t xml:space="preserve"> (</w:t>
      </w:r>
      <w:r w:rsidR="00700619">
        <w:t xml:space="preserve">11,1 %) a v předchozích letech byl dokonce nepatrně vyšší u mužů (v roce 2001 </w:t>
      </w:r>
      <w:r w:rsidR="0023624E">
        <w:t xml:space="preserve">tvořil </w:t>
      </w:r>
      <w:r w:rsidR="00700619">
        <w:t xml:space="preserve">9,2 % oproti 8,8 %). </w:t>
      </w:r>
    </w:p>
    <w:p w14:paraId="658CED92" w14:textId="685E6865" w:rsidR="00342D30" w:rsidRPr="00015DB2" w:rsidRDefault="00342D30" w:rsidP="00AB5663">
      <w:pPr>
        <w:spacing w:after="120"/>
        <w:ind w:firstLine="284"/>
        <w:jc w:val="both"/>
      </w:pPr>
      <w:r>
        <w:t xml:space="preserve"> </w:t>
      </w:r>
      <w:r w:rsidR="00502CFD">
        <w:t xml:space="preserve">Maximální hodnoty </w:t>
      </w:r>
      <w:r w:rsidR="007E0E6D">
        <w:t xml:space="preserve">pak </w:t>
      </w:r>
      <w:r w:rsidR="001E13FC">
        <w:t>p</w:t>
      </w:r>
      <w:r w:rsidR="001E13FC" w:rsidRPr="001E13FC">
        <w:t>odíl</w:t>
      </w:r>
      <w:r w:rsidR="0023624E">
        <w:t>y</w:t>
      </w:r>
      <w:r w:rsidR="001E13FC">
        <w:t xml:space="preserve"> žen, resp. mužů</w:t>
      </w:r>
      <w:r w:rsidR="001E13FC" w:rsidRPr="001E13FC">
        <w:t xml:space="preserve"> ve věku 20-29 let studujících vysokou školu v ČR ze všech žen</w:t>
      </w:r>
      <w:r w:rsidR="001E13FC">
        <w:t>, resp. mužů</w:t>
      </w:r>
      <w:r w:rsidR="001E13FC" w:rsidRPr="001E13FC">
        <w:t xml:space="preserve"> ve věku 20-29 let </w:t>
      </w:r>
      <w:r w:rsidR="007E0E6D">
        <w:t xml:space="preserve">byly zaznamenány </w:t>
      </w:r>
      <w:r w:rsidR="00502CFD">
        <w:t>v roce 2011 (</w:t>
      </w:r>
      <w:r w:rsidR="00F0650D">
        <w:t>22,4</w:t>
      </w:r>
      <w:r w:rsidR="00502CFD">
        <w:t> %</w:t>
      </w:r>
      <w:r w:rsidR="001E13FC">
        <w:t xml:space="preserve"> u žen</w:t>
      </w:r>
      <w:r w:rsidR="00F0650D">
        <w:t>, resp. 16,8</w:t>
      </w:r>
      <w:r w:rsidR="00502CFD">
        <w:t> %</w:t>
      </w:r>
      <w:r w:rsidR="001E13FC">
        <w:t xml:space="preserve"> u mužů</w:t>
      </w:r>
      <w:r w:rsidR="00502CFD">
        <w:t>)</w:t>
      </w:r>
      <w:r w:rsidR="00444CC0">
        <w:t xml:space="preserve">. </w:t>
      </w:r>
      <w:r w:rsidR="00015DB2">
        <w:t xml:space="preserve">Více o počtu/podílu žen a mužů studujících </w:t>
      </w:r>
      <w:r w:rsidR="00005792">
        <w:t>vysokou</w:t>
      </w:r>
      <w:r w:rsidR="00A7127A" w:rsidRPr="00A7127A">
        <w:t xml:space="preserve"> škol</w:t>
      </w:r>
      <w:r w:rsidR="00005792">
        <w:t>u v ČR</w:t>
      </w:r>
      <w:r w:rsidR="001A39E2">
        <w:t xml:space="preserve"> viz graf č. 2 a tabulku č. 2</w:t>
      </w:r>
      <w:r w:rsidR="00015DB2">
        <w:t>.</w:t>
      </w:r>
    </w:p>
    <w:p w14:paraId="59F5B0A8" w14:textId="03528C70" w:rsidR="00293C04" w:rsidRDefault="00BA133F" w:rsidP="00BA133F">
      <w:pPr>
        <w:keepNext/>
        <w:spacing w:after="120"/>
        <w:jc w:val="both"/>
        <w:rPr>
          <w:b/>
        </w:rPr>
      </w:pPr>
      <w:r>
        <w:rPr>
          <w:b/>
        </w:rPr>
        <w:lastRenderedPageBreak/>
        <w:t xml:space="preserve">Graf č. 2 </w:t>
      </w:r>
      <w:r w:rsidR="00B964A8">
        <w:rPr>
          <w:b/>
        </w:rPr>
        <w:t xml:space="preserve">Studenti VŠ </w:t>
      </w:r>
      <w:r w:rsidR="00005792">
        <w:rPr>
          <w:b/>
        </w:rPr>
        <w:t xml:space="preserve">v ČR </w:t>
      </w:r>
      <w:r w:rsidR="00B964A8">
        <w:rPr>
          <w:b/>
        </w:rPr>
        <w:t xml:space="preserve">dle </w:t>
      </w:r>
      <w:r w:rsidR="00484AE5">
        <w:rPr>
          <w:b/>
        </w:rPr>
        <w:t>pohlaví</w:t>
      </w:r>
      <w:r w:rsidR="00B964A8">
        <w:rPr>
          <w:b/>
        </w:rPr>
        <w:t xml:space="preserve"> –</w:t>
      </w:r>
      <w:r w:rsidR="00CA3A32">
        <w:rPr>
          <w:b/>
        </w:rPr>
        <w:t xml:space="preserve"> </w:t>
      </w:r>
      <w:r w:rsidR="00B964A8">
        <w:rPr>
          <w:b/>
        </w:rPr>
        <w:t xml:space="preserve">počet </w:t>
      </w:r>
      <w:r w:rsidR="00CA3A32">
        <w:rPr>
          <w:b/>
        </w:rPr>
        <w:t xml:space="preserve">studentů </w:t>
      </w:r>
      <w:r w:rsidR="00B964A8">
        <w:rPr>
          <w:b/>
        </w:rPr>
        <w:t xml:space="preserve">a </w:t>
      </w:r>
      <w:r w:rsidR="00CA3A32">
        <w:rPr>
          <w:b/>
        </w:rPr>
        <w:t>jejich podíl</w:t>
      </w:r>
      <w:r w:rsidR="00B964A8" w:rsidRPr="005B66A5">
        <w:rPr>
          <w:b/>
        </w:rPr>
        <w:t xml:space="preserve"> m</w:t>
      </w:r>
      <w:r w:rsidR="00B964A8">
        <w:rPr>
          <w:b/>
        </w:rPr>
        <w:t>ezi obyvateli ČR věku 20</w:t>
      </w:r>
      <w:r w:rsidR="00972D73">
        <w:rPr>
          <w:b/>
        </w:rPr>
        <w:t>–</w:t>
      </w:r>
      <w:r w:rsidR="00B964A8">
        <w:rPr>
          <w:b/>
        </w:rPr>
        <w:t>29 let</w:t>
      </w:r>
    </w:p>
    <w:p w14:paraId="38774B5E" w14:textId="2C25FEA9" w:rsidR="00BA133F" w:rsidRDefault="00972D73" w:rsidP="00BA133F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1435089F" wp14:editId="32E3F676">
            <wp:extent cx="6120130" cy="3638550"/>
            <wp:effectExtent l="0" t="0" r="13970" b="0"/>
            <wp:docPr id="24" name="Graf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5683193" w14:textId="0411F901" w:rsidR="00B8222F" w:rsidRPr="00005792" w:rsidRDefault="00BA133F" w:rsidP="00005792">
      <w:pPr>
        <w:keepNext/>
        <w:jc w:val="right"/>
        <w:rPr>
          <w:sz w:val="18"/>
          <w:szCs w:val="18"/>
        </w:rPr>
      </w:pPr>
      <w:r w:rsidRPr="00C709E0">
        <w:rPr>
          <w:sz w:val="18"/>
          <w:szCs w:val="18"/>
        </w:rPr>
        <w:t>Zdroj dat: MŠMT (data o stu</w:t>
      </w:r>
      <w:r w:rsidR="00C709E0" w:rsidRPr="00C709E0">
        <w:rPr>
          <w:sz w:val="18"/>
          <w:szCs w:val="18"/>
        </w:rPr>
        <w:t>dentech), ČSÚ (data o populaci)</w:t>
      </w:r>
    </w:p>
    <w:p w14:paraId="4F565EE7" w14:textId="57C7FC3E" w:rsidR="00BA133F" w:rsidRPr="00A06502" w:rsidRDefault="00BA133F" w:rsidP="00E52C56">
      <w:pPr>
        <w:ind w:firstLine="284"/>
        <w:jc w:val="both"/>
      </w:pPr>
      <w:r>
        <w:t>Na vysokých školách je možné studovat bakalářský, magisterský, navazující magisterský a doktorský studijní program. V tomto ohledu</w:t>
      </w:r>
      <w:r w:rsidR="0055143A">
        <w:t xml:space="preserve"> lze konstatovat, že v roce 2021</w:t>
      </w:r>
      <w:r>
        <w:t xml:space="preserve"> studovaly tři pětiny studentů </w:t>
      </w:r>
      <w:r w:rsidR="00E02345">
        <w:t>vysokých škol v ČR</w:t>
      </w:r>
      <w:r>
        <w:t xml:space="preserve"> bakalářské studijní programy, desetina magisterské navazující programy, necelá čtvrtina magisterské </w:t>
      </w:r>
      <w:r w:rsidR="0017642E">
        <w:t>ne</w:t>
      </w:r>
      <w:r w:rsidR="00EF549D">
        <w:t>navazující programy a 7</w:t>
      </w:r>
      <w:r>
        <w:t> % doktorské programy – viz graf č. 3. Oproti rokům 200</w:t>
      </w:r>
      <w:r w:rsidR="00EF549D">
        <w:t>1 a 2006</w:t>
      </w:r>
      <w:r w:rsidR="00A50394">
        <w:t xml:space="preserve"> se výrazně snížil podíl</w:t>
      </w:r>
      <w:r>
        <w:t xml:space="preserve"> studentů magisterských </w:t>
      </w:r>
      <w:r w:rsidR="0017642E">
        <w:t>ne</w:t>
      </w:r>
      <w:r>
        <w:t>navazujících programů ve prospěch zejména studentů bakalářského a magisterského navazujícího programu. To souvisí s proměno</w:t>
      </w:r>
      <w:r w:rsidR="007D3CE1">
        <w:t>u nabídky studijních programů</w:t>
      </w:r>
      <w:r w:rsidR="0032071C">
        <w:t xml:space="preserve"> (viz metodickou část výše v této zprávě)</w:t>
      </w:r>
      <w:r w:rsidR="007D3CE1">
        <w:t xml:space="preserve">. </w:t>
      </w:r>
    </w:p>
    <w:p w14:paraId="3F839FC8" w14:textId="515AA200" w:rsidR="00BA133F" w:rsidRDefault="00BA133F" w:rsidP="001E13FC">
      <w:pPr>
        <w:keepNext/>
        <w:spacing w:after="120" w:line="240" w:lineRule="auto"/>
        <w:rPr>
          <w:b/>
        </w:rPr>
      </w:pPr>
      <w:r w:rsidRPr="005A3A08">
        <w:rPr>
          <w:b/>
        </w:rPr>
        <w:t xml:space="preserve">Graf č. 3 </w:t>
      </w:r>
      <w:r w:rsidR="00005792">
        <w:rPr>
          <w:b/>
        </w:rPr>
        <w:t xml:space="preserve">Studenti VŠ v ČR – podíly studentů </w:t>
      </w:r>
      <w:r w:rsidRPr="005A3A08">
        <w:rPr>
          <w:b/>
        </w:rPr>
        <w:t xml:space="preserve">v jednotlivých studijních programech </w:t>
      </w:r>
      <w:r w:rsidR="00005792">
        <w:rPr>
          <w:b/>
        </w:rPr>
        <w:t>ze všech studentů</w:t>
      </w:r>
    </w:p>
    <w:p w14:paraId="10CDD393" w14:textId="0501BB79" w:rsidR="005F05E5" w:rsidRPr="005A3A08" w:rsidRDefault="0055143A" w:rsidP="00D36727">
      <w:pPr>
        <w:spacing w:after="120" w:line="240" w:lineRule="auto"/>
        <w:rPr>
          <w:b/>
        </w:rPr>
      </w:pPr>
      <w:r>
        <w:rPr>
          <w:noProof/>
        </w:rPr>
        <w:drawing>
          <wp:inline distT="0" distB="0" distL="0" distR="0" wp14:anchorId="1F629AE4" wp14:editId="5609221B">
            <wp:extent cx="6120130" cy="2686050"/>
            <wp:effectExtent l="0" t="0" r="13970" b="0"/>
            <wp:docPr id="19" name="Graf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7ECECF3D" w14:textId="0373868D" w:rsidR="00D36727" w:rsidRPr="00A2545E" w:rsidRDefault="00D36727" w:rsidP="005F1A99">
      <w:pPr>
        <w:spacing w:after="120" w:line="240" w:lineRule="auto"/>
        <w:jc w:val="right"/>
        <w:rPr>
          <w:sz w:val="18"/>
          <w:szCs w:val="18"/>
        </w:rPr>
      </w:pPr>
      <w:r w:rsidRPr="00A2545E">
        <w:rPr>
          <w:sz w:val="18"/>
          <w:szCs w:val="18"/>
        </w:rPr>
        <w:t>Zdroj dat: MŠMT</w:t>
      </w:r>
    </w:p>
    <w:p w14:paraId="5EF155DD" w14:textId="4F32E94B" w:rsidR="00BA133F" w:rsidRDefault="00BA133F" w:rsidP="00D218AE">
      <w:pPr>
        <w:ind w:firstLine="284"/>
        <w:jc w:val="both"/>
      </w:pPr>
      <w:r>
        <w:lastRenderedPageBreak/>
        <w:t xml:space="preserve">Výše bylo uvedeno, že vysoké školy studuje vyšší podíl žen než mužů. Z grafu č. 4 je však zřejmé, že muži častěji než ženy </w:t>
      </w:r>
      <w:r w:rsidR="002C2C5A">
        <w:t>pokračují ve studiu</w:t>
      </w:r>
      <w:r>
        <w:t xml:space="preserve"> </w:t>
      </w:r>
      <w:r w:rsidR="002C2C5A">
        <w:t xml:space="preserve">na </w:t>
      </w:r>
      <w:r>
        <w:t xml:space="preserve">doktorské </w:t>
      </w:r>
      <w:r w:rsidR="002C2C5A">
        <w:t>úrovni</w:t>
      </w:r>
      <w:r w:rsidR="00622A01">
        <w:t xml:space="preserve">. </w:t>
      </w:r>
      <w:r w:rsidR="00815C1F">
        <w:t>Zde je třeba vzít v úvahu,</w:t>
      </w:r>
      <w:r w:rsidR="002147EE">
        <w:t xml:space="preserve"> že obvyklý věk, ve kterém </w:t>
      </w:r>
      <w:r w:rsidR="00815C1F">
        <w:t>se studenti vzdělávají v doktorském</w:t>
      </w:r>
      <w:r w:rsidR="002147EE">
        <w:t xml:space="preserve"> program</w:t>
      </w:r>
      <w:r w:rsidR="00815C1F">
        <w:t>u</w:t>
      </w:r>
      <w:r w:rsidR="002147EE">
        <w:t xml:space="preserve">, spadá </w:t>
      </w:r>
      <w:r w:rsidR="00C8424F">
        <w:t xml:space="preserve">u žen </w:t>
      </w:r>
      <w:r w:rsidR="002147EE">
        <w:t>do obvyklého věkového rozmezí pro zakládání rodiny</w:t>
      </w:r>
      <w:r w:rsidR="00666E59">
        <w:t xml:space="preserve">. To </w:t>
      </w:r>
      <w:r w:rsidR="00471745">
        <w:t xml:space="preserve">navíc </w:t>
      </w:r>
      <w:r w:rsidR="00666E59">
        <w:t xml:space="preserve">pro ženy </w:t>
      </w:r>
      <w:r w:rsidR="00AB11A0">
        <w:t>(až na vzácné výjimky</w:t>
      </w:r>
      <w:r w:rsidR="00972D73">
        <w:t>)</w:t>
      </w:r>
      <w:r w:rsidR="00AB11A0">
        <w:t xml:space="preserve"> </w:t>
      </w:r>
      <w:r w:rsidR="00471745">
        <w:t xml:space="preserve">na rozdíl od mužů </w:t>
      </w:r>
      <w:r w:rsidR="00666E59">
        <w:t>představuje minimálně půl roku</w:t>
      </w:r>
      <w:r w:rsidR="00AB11A0">
        <w:t xml:space="preserve"> soustavné péče o </w:t>
      </w:r>
      <w:r w:rsidR="00666E59">
        <w:t>dítě na mateřské dovolené</w:t>
      </w:r>
      <w:r w:rsidR="00C8424F">
        <w:t>. Ženy tak častěji musí řešit dilema, zda pokračovat ve studiu, nebo založit rodinu, příp. získat před založením rodiny jistotu stálého zaměstnání</w:t>
      </w:r>
      <w:r w:rsidR="0006344C">
        <w:t xml:space="preserve"> a finančního zabezpečení</w:t>
      </w:r>
      <w:r w:rsidR="002147EE">
        <w:t>.</w:t>
      </w:r>
      <w:r w:rsidR="00227637">
        <w:t xml:space="preserve"> </w:t>
      </w:r>
      <w:r w:rsidR="00160BE7">
        <w:t xml:space="preserve">Častější inklinace žen pro studium v magisterském nenavazujícím programu je </w:t>
      </w:r>
      <w:r w:rsidR="00D218AE">
        <w:t xml:space="preserve">dále </w:t>
      </w:r>
      <w:r w:rsidR="00160BE7">
        <w:t xml:space="preserve">dána především tím, že takový program studia je zahrnut v oborech, které jsou atraktivnější pro ženy (především skupiny oborů Vzdělávání a výchova a </w:t>
      </w:r>
      <w:r w:rsidR="00160BE7" w:rsidRPr="00160BE7">
        <w:t>Zdravotní a sociální péče, péče o příznivé životní podmínky</w:t>
      </w:r>
      <w:r w:rsidR="00160BE7">
        <w:t>).</w:t>
      </w:r>
    </w:p>
    <w:p w14:paraId="6B77DF1E" w14:textId="12E27EC8" w:rsidR="00BA133F" w:rsidRDefault="00BA133F" w:rsidP="00EE338E">
      <w:pPr>
        <w:keepNext/>
        <w:spacing w:after="120" w:line="240" w:lineRule="auto"/>
        <w:rPr>
          <w:b/>
        </w:rPr>
      </w:pPr>
      <w:r>
        <w:rPr>
          <w:b/>
        </w:rPr>
        <w:t>Graf č. 4</w:t>
      </w:r>
      <w:r w:rsidRPr="00B81E9A">
        <w:rPr>
          <w:b/>
        </w:rPr>
        <w:t xml:space="preserve"> </w:t>
      </w:r>
      <w:r w:rsidR="00150B41">
        <w:rPr>
          <w:b/>
        </w:rPr>
        <w:t xml:space="preserve">Studenti VŠ v ČR dle </w:t>
      </w:r>
      <w:r w:rsidR="00484AE5">
        <w:rPr>
          <w:b/>
        </w:rPr>
        <w:t>pohlaví</w:t>
      </w:r>
      <w:r w:rsidR="00150B41">
        <w:rPr>
          <w:b/>
        </w:rPr>
        <w:t xml:space="preserve"> -</w:t>
      </w:r>
      <w:r w:rsidRPr="00B81E9A">
        <w:rPr>
          <w:b/>
        </w:rPr>
        <w:t xml:space="preserve"> </w:t>
      </w:r>
      <w:r w:rsidR="00150B41">
        <w:rPr>
          <w:b/>
        </w:rPr>
        <w:t xml:space="preserve">podíly mužů/žen </w:t>
      </w:r>
      <w:r w:rsidR="00150B41" w:rsidRPr="005A3A08">
        <w:rPr>
          <w:b/>
        </w:rPr>
        <w:t xml:space="preserve">v jednotlivých studijních programech </w:t>
      </w:r>
      <w:r w:rsidR="00150B41">
        <w:rPr>
          <w:b/>
        </w:rPr>
        <w:t xml:space="preserve">ze všech </w:t>
      </w:r>
      <w:r w:rsidR="00227637">
        <w:rPr>
          <w:b/>
        </w:rPr>
        <w:t xml:space="preserve">studujících </w:t>
      </w:r>
      <w:r w:rsidR="00150B41">
        <w:rPr>
          <w:b/>
        </w:rPr>
        <w:t>mužů/žen</w:t>
      </w:r>
    </w:p>
    <w:p w14:paraId="51E9E34D" w14:textId="7DDF9F6E" w:rsidR="00644328" w:rsidRPr="007D3CE1" w:rsidRDefault="00F057EA" w:rsidP="00EE338E">
      <w:pPr>
        <w:keepNext/>
        <w:spacing w:after="120" w:line="240" w:lineRule="auto"/>
        <w:rPr>
          <w:b/>
        </w:rPr>
      </w:pPr>
      <w:r>
        <w:rPr>
          <w:noProof/>
        </w:rPr>
        <w:drawing>
          <wp:inline distT="0" distB="0" distL="0" distR="0" wp14:anchorId="16D628F4" wp14:editId="435C9ADC">
            <wp:extent cx="6120130" cy="5095875"/>
            <wp:effectExtent l="0" t="0" r="13970" b="9525"/>
            <wp:docPr id="42" name="Graf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471BBE67" w14:textId="06D0EC4F" w:rsidR="00D36727" w:rsidRPr="00EE338E" w:rsidRDefault="00D36727" w:rsidP="00150B41">
      <w:pPr>
        <w:spacing w:after="120" w:line="240" w:lineRule="auto"/>
        <w:jc w:val="right"/>
        <w:rPr>
          <w:sz w:val="18"/>
          <w:szCs w:val="18"/>
        </w:rPr>
      </w:pPr>
      <w:r w:rsidRPr="00EE338E">
        <w:rPr>
          <w:sz w:val="18"/>
          <w:szCs w:val="18"/>
        </w:rPr>
        <w:t>Zdroj dat: MŠMT</w:t>
      </w:r>
    </w:p>
    <w:p w14:paraId="0E644944" w14:textId="1E6DF166" w:rsidR="00BA133F" w:rsidRPr="007D7055" w:rsidRDefault="00BA133F" w:rsidP="00E23AC1">
      <w:pPr>
        <w:ind w:firstLine="284"/>
        <w:jc w:val="both"/>
      </w:pPr>
      <w:r w:rsidRPr="00662604">
        <w:t xml:space="preserve">Podíl </w:t>
      </w:r>
      <w:r w:rsidRPr="00662604">
        <w:rPr>
          <w:b/>
        </w:rPr>
        <w:t>studentů cizí státní příslušnosti</w:t>
      </w:r>
      <w:r>
        <w:t xml:space="preserve"> se v celém sledovaném období postupně zvyšoval, tj. ze 4,3 % v</w:t>
      </w:r>
      <w:r w:rsidR="0013091B">
        <w:t> roce 2001 na 17,1 % v roce 2021</w:t>
      </w:r>
      <w:r>
        <w:t xml:space="preserve">. Celkově se tak za posledních 20 let zčtyřnásobil. Podíl </w:t>
      </w:r>
      <w:r w:rsidRPr="00662604">
        <w:rPr>
          <w:b/>
        </w:rPr>
        <w:t xml:space="preserve">studentů </w:t>
      </w:r>
      <w:r w:rsidR="000E1953">
        <w:rPr>
          <w:b/>
        </w:rPr>
        <w:t>ve věku</w:t>
      </w:r>
      <w:r w:rsidRPr="00662604">
        <w:rPr>
          <w:b/>
        </w:rPr>
        <w:t xml:space="preserve"> </w:t>
      </w:r>
      <w:r w:rsidRPr="00B63590">
        <w:rPr>
          <w:b/>
        </w:rPr>
        <w:t>25 let</w:t>
      </w:r>
      <w:r w:rsidR="000E1953" w:rsidRPr="00B63590">
        <w:rPr>
          <w:b/>
        </w:rPr>
        <w:t xml:space="preserve"> a více</w:t>
      </w:r>
      <w:r w:rsidRPr="00B63590">
        <w:t xml:space="preserve"> stoupl mezi lety 20</w:t>
      </w:r>
      <w:r w:rsidR="00B63590" w:rsidRPr="00B63590">
        <w:t>01 a 2009 z 24,6 % na 35,7 % a v</w:t>
      </w:r>
      <w:r w:rsidRPr="00B63590">
        <w:t> dalších le</w:t>
      </w:r>
      <w:r w:rsidR="00597C1B" w:rsidRPr="00B63590">
        <w:t>tech činil cca jednu třetinu</w:t>
      </w:r>
      <w:r w:rsidR="00B63590" w:rsidRPr="00B63590">
        <w:t xml:space="preserve">. Přitom od roku 2017 pomalu klesal </w:t>
      </w:r>
      <w:proofErr w:type="gramStart"/>
      <w:r w:rsidR="00B63590" w:rsidRPr="00B63590">
        <w:t>ze</w:t>
      </w:r>
      <w:proofErr w:type="gramEnd"/>
      <w:r w:rsidR="00B63590" w:rsidRPr="00B63590">
        <w:t xml:space="preserve"> 34,4 % na 31,5 % </w:t>
      </w:r>
      <w:r w:rsidR="00597C1B" w:rsidRPr="00B63590">
        <w:t>v </w:t>
      </w:r>
      <w:r w:rsidR="00B63590" w:rsidRPr="00B63590">
        <w:t>roce 2021</w:t>
      </w:r>
      <w:r w:rsidRPr="00B63590">
        <w:t>. Obdobně</w:t>
      </w:r>
      <w:r>
        <w:t xml:space="preserve"> podíl </w:t>
      </w:r>
      <w:r w:rsidRPr="00662604">
        <w:rPr>
          <w:b/>
        </w:rPr>
        <w:t xml:space="preserve">studentů </w:t>
      </w:r>
      <w:r>
        <w:rPr>
          <w:b/>
        </w:rPr>
        <w:t>v jiném než denním studiu</w:t>
      </w:r>
      <w:r>
        <w:t xml:space="preserve"> stoupal mezi lety 2001 a 2009, konkrétně z 18 % na 29,9</w:t>
      </w:r>
      <w:r w:rsidR="0013091B">
        <w:t> %, a poté do roku 2021</w:t>
      </w:r>
      <w:r>
        <w:t xml:space="preserve"> klesl na 2</w:t>
      </w:r>
      <w:r w:rsidR="0013091B">
        <w:t>1,</w:t>
      </w:r>
      <w:r>
        <w:t xml:space="preserve">2 %. Podíl </w:t>
      </w:r>
      <w:r w:rsidRPr="00662604">
        <w:rPr>
          <w:b/>
        </w:rPr>
        <w:t>studentů</w:t>
      </w:r>
      <w:r>
        <w:t xml:space="preserve"> </w:t>
      </w:r>
      <w:r w:rsidRPr="00662604">
        <w:rPr>
          <w:b/>
        </w:rPr>
        <w:t>doktorského studia</w:t>
      </w:r>
      <w:r>
        <w:t xml:space="preserve"> měl kolísavou tendenci a pohyboval se mezi 6,5 % (v letech 2010 až 2012) a 8,2 % (v letech 200</w:t>
      </w:r>
      <w:r w:rsidR="00F0722D">
        <w:t>2 a 2003). Více viz tabulku č. 2</w:t>
      </w:r>
      <w:r>
        <w:t>.</w:t>
      </w:r>
    </w:p>
    <w:p w14:paraId="385B72FF" w14:textId="13662BD1" w:rsidR="00BA133F" w:rsidRDefault="00211D5A" w:rsidP="00F057EA">
      <w:pPr>
        <w:keepNext/>
        <w:spacing w:after="120"/>
        <w:jc w:val="both"/>
        <w:rPr>
          <w:b/>
        </w:rPr>
      </w:pPr>
      <w:r>
        <w:rPr>
          <w:b/>
        </w:rPr>
        <w:lastRenderedPageBreak/>
        <w:t>Tabulka č. 2</w:t>
      </w:r>
      <w:r w:rsidR="00EF13A1">
        <w:rPr>
          <w:b/>
        </w:rPr>
        <w:t xml:space="preserve"> </w:t>
      </w:r>
      <w:r w:rsidR="00972D73">
        <w:rPr>
          <w:b/>
        </w:rPr>
        <w:t>Studenti VŠ v ČR –</w:t>
      </w:r>
      <w:r w:rsidR="000E1D3C">
        <w:rPr>
          <w:b/>
        </w:rPr>
        <w:t xml:space="preserve"> v</w:t>
      </w:r>
      <w:r w:rsidR="00EF13A1">
        <w:rPr>
          <w:b/>
        </w:rPr>
        <w:t xml:space="preserve">ývoj počtu studentů </w:t>
      </w:r>
      <w:r w:rsidR="000E1D3C">
        <w:rPr>
          <w:b/>
        </w:rPr>
        <w:t xml:space="preserve">v třídění dle </w:t>
      </w:r>
      <w:r w:rsidR="00484AE5">
        <w:rPr>
          <w:b/>
        </w:rPr>
        <w:t>pohlaví</w:t>
      </w:r>
      <w:r w:rsidR="000E1D3C">
        <w:rPr>
          <w:b/>
        </w:rPr>
        <w:t>, státní příslušnosti, studijního programu, formy studia a věku</w:t>
      </w:r>
      <w:r w:rsidR="0013091B">
        <w:rPr>
          <w:b/>
        </w:rPr>
        <w:t xml:space="preserve">                     </w:t>
      </w:r>
    </w:p>
    <w:tbl>
      <w:tblPr>
        <w:tblW w:w="9639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199"/>
        <w:gridCol w:w="1127"/>
        <w:gridCol w:w="1128"/>
        <w:gridCol w:w="1127"/>
        <w:gridCol w:w="1128"/>
        <w:gridCol w:w="1128"/>
        <w:gridCol w:w="1842"/>
      </w:tblGrid>
      <w:tr w:rsidR="005D02BF" w:rsidRPr="005D02BF" w14:paraId="068291A6" w14:textId="77777777" w:rsidTr="00F057EA">
        <w:trPr>
          <w:trHeight w:hRule="exact" w:val="284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996A4F0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rok</w:t>
            </w:r>
          </w:p>
        </w:tc>
        <w:tc>
          <w:tcPr>
            <w:tcW w:w="11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34288EB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 xml:space="preserve">vysokoškolští studenti celkem </w:t>
            </w: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br/>
              <w:t>(v tis. osob)</w:t>
            </w:r>
          </w:p>
        </w:tc>
        <w:tc>
          <w:tcPr>
            <w:tcW w:w="56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A8B716B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z toho podíl (v %)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28AEBBD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podíl studentů ve věkové kohortě 20-29 let (v %)</w:t>
            </w:r>
          </w:p>
        </w:tc>
      </w:tr>
      <w:tr w:rsidR="0013091B" w:rsidRPr="005D02BF" w14:paraId="0038C888" w14:textId="77777777" w:rsidTr="00E86917">
        <w:trPr>
          <w:trHeight w:hRule="exact" w:val="759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1A3491" w14:textId="77777777" w:rsidR="005D02BF" w:rsidRPr="005D02BF" w:rsidRDefault="005D02BF" w:rsidP="00F057EA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11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A5F7F69" w14:textId="77777777" w:rsidR="005D02BF" w:rsidRPr="005D02BF" w:rsidRDefault="005D02BF" w:rsidP="00F057EA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CA7A5B9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žen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68DAE75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 xml:space="preserve">cizinců 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46A88E8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 xml:space="preserve">studentů doktorského studia 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6131448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 xml:space="preserve">studentů v jiném než denním studiu 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4FDEC7D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studentů ve věku 25+</w:t>
            </w: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666B8C" w14:textId="77777777" w:rsidR="005D02BF" w:rsidRPr="005D02BF" w:rsidRDefault="005D02BF" w:rsidP="00F057EA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</w:p>
        </w:tc>
      </w:tr>
      <w:tr w:rsidR="00B63590" w:rsidRPr="005D02BF" w14:paraId="2A5ABAE6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1C7D3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BA8E5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203,4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B26B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48,3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A20C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8B01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8199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18,0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A1795" w14:textId="22F4415B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24,6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7A0A6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9,0</w:t>
            </w:r>
          </w:p>
        </w:tc>
      </w:tr>
      <w:tr w:rsidR="00B63590" w:rsidRPr="005D02BF" w14:paraId="1D529E5F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0E50A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FA88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220,2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0C1C5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49,1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6790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E194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C657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19,2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CD082" w14:textId="22F82C66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26,6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7DC13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</w:tr>
      <w:tr w:rsidR="00B63590" w:rsidRPr="005D02BF" w14:paraId="0915A913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25159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2003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7649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243,7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B344D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49,5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224F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1245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D280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20,5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57461" w14:textId="1EFB94B5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29,1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E6CED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11,1</w:t>
            </w:r>
          </w:p>
        </w:tc>
      </w:tr>
      <w:tr w:rsidR="00B63590" w:rsidRPr="005D02BF" w14:paraId="4E9CDCC9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403BD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2004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10283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264,8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40640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50,9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07C5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E430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E83A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22,2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DF0F7" w14:textId="5FFD8955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31,0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21643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11,9</w:t>
            </w:r>
          </w:p>
        </w:tc>
      </w:tr>
      <w:tr w:rsidR="00B63590" w:rsidRPr="005D02BF" w14:paraId="34C15310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ED9B1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250D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289,5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507F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52,1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FC58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ABA3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6C3D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23,7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32216" w14:textId="074021BB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31,6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F74D1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13,6</w:t>
            </w:r>
          </w:p>
        </w:tc>
      </w:tr>
      <w:tr w:rsidR="00B63590" w:rsidRPr="005D02BF" w14:paraId="41268C74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C5E2E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2006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614F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316,2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EB36C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53,1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62DD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8A73C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4696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25,5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BC479" w14:textId="2AF56443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32,6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D10B4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14,8</w:t>
            </w:r>
          </w:p>
        </w:tc>
      </w:tr>
      <w:tr w:rsidR="00B63590" w:rsidRPr="005D02BF" w14:paraId="1E1B1D6C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7076B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2007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4867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343,9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64630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54,0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F6E9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16A9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332B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27,7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D8D17" w14:textId="55A89D54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A99CD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16,2</w:t>
            </w:r>
          </w:p>
        </w:tc>
      </w:tr>
      <w:tr w:rsidR="00B63590" w:rsidRPr="005D02BF" w14:paraId="7FD2980E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48ACF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2008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DE11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368,1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2256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18A4D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39A6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7CAA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29,3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6ED1E" w14:textId="1A2A8AE6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35,2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3806D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17,2</w:t>
            </w:r>
          </w:p>
        </w:tc>
      </w:tr>
      <w:tr w:rsidR="00B63590" w:rsidRPr="005D02BF" w14:paraId="310329B2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055B5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2009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4EE1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389,0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E294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1F1F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B750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57C8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687CE" w14:textId="6498E08D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35,7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4B7FC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18,3</w:t>
            </w:r>
          </w:p>
        </w:tc>
      </w:tr>
      <w:tr w:rsidR="00B63590" w:rsidRPr="005D02BF" w14:paraId="60AC526E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361E9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0161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396,0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C402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6032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44AC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5C36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64413" w14:textId="7DB7A7F6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35,5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E57D4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18,9</w:t>
            </w:r>
          </w:p>
        </w:tc>
      </w:tr>
      <w:tr w:rsidR="00B63590" w:rsidRPr="005D02BF" w14:paraId="40786FEA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32DD0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154F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392,0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5376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A988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A122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6B12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28,6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77A0B" w14:textId="457472D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1AD0B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19,5</w:t>
            </w:r>
          </w:p>
        </w:tc>
      </w:tr>
      <w:tr w:rsidR="00B63590" w:rsidRPr="005D02BF" w14:paraId="59C4C798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A3394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9B13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380,9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0A63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60D0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10,4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FDA4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6C4B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27,0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58D47" w14:textId="3A8B1AA1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33,6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9ACBE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19,4</w:t>
            </w:r>
          </w:p>
        </w:tc>
      </w:tr>
      <w:tr w:rsidR="00B63590" w:rsidRPr="005D02BF" w14:paraId="55082EBF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9F280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2013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901F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367,8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E8A3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A816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11,0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3499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C469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25,5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D8D16" w14:textId="026CD6F2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33,0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A6A98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19,2</w:t>
            </w:r>
          </w:p>
        </w:tc>
      </w:tr>
      <w:tr w:rsidR="00B63590" w:rsidRPr="005D02BF" w14:paraId="1E1ADAF7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63406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2014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68D7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346,8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DEC6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384B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11,8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70AA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0FFB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24,8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ECECB" w14:textId="29808BD8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32,9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02E3D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18,5</w:t>
            </w:r>
          </w:p>
        </w:tc>
      </w:tr>
      <w:tr w:rsidR="00B63590" w:rsidRPr="005D02BF" w14:paraId="4E7F8FE4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EF26D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6F80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326,4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5A90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55,8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2BA9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12,9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C805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7,3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4EC90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24,4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4316C" w14:textId="5FC181A2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33,4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8BF4B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17,8</w:t>
            </w:r>
          </w:p>
        </w:tc>
      </w:tr>
      <w:tr w:rsidR="00B63590" w:rsidRPr="005D02BF" w14:paraId="24457E57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FEA2F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2016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7C41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311,1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9CCD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3458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EBFC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F310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95C57" w14:textId="454738B2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884A5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17,2</w:t>
            </w:r>
          </w:p>
        </w:tc>
      </w:tr>
      <w:tr w:rsidR="00B63590" w:rsidRPr="005D02BF" w14:paraId="28602753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CA5A0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2017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AB2A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298,7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5A8F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FA07D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C9AF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1375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3EC93" w14:textId="18498509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7AE8C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16,8</w:t>
            </w:r>
          </w:p>
        </w:tc>
      </w:tr>
      <w:tr w:rsidR="00B63590" w:rsidRPr="005D02BF" w14:paraId="5516797F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1554D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2018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21CA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289,7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1F68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C6EF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15,4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8E6B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8128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23,9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AF41F" w14:textId="1D5187E2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41C82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16,5</w:t>
            </w:r>
          </w:p>
        </w:tc>
      </w:tr>
      <w:tr w:rsidR="00B63590" w:rsidRPr="005D02BF" w14:paraId="1FC274B3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FE7E9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2019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0A94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288,6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A647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55,8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C8C4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16,1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F885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E630C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A9D59" w14:textId="5507D701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33,1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33EF1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16,7</w:t>
            </w:r>
          </w:p>
        </w:tc>
      </w:tr>
      <w:tr w:rsidR="00B63590" w:rsidRPr="005D02BF" w14:paraId="59AD064D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3C602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2020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FD91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299,0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7770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E698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3A1E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6314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22,0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CF9B5" w14:textId="52C76A8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32,3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48633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17,7</w:t>
            </w:r>
          </w:p>
        </w:tc>
      </w:tr>
      <w:tr w:rsidR="00B63590" w:rsidRPr="00B63590" w14:paraId="3E650D24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7A584" w14:textId="77777777" w:rsidR="00B63590" w:rsidRPr="005D02BF" w:rsidRDefault="00B63590" w:rsidP="00B63590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2021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5A839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304,1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3626E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3F9FD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A4B8E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16EF6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21,2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AAE2D" w14:textId="2DBCE53D" w:rsidR="00B63590" w:rsidRPr="00B63590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31,5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8FA3E" w14:textId="48489819" w:rsidR="00B63590" w:rsidRPr="00B63590" w:rsidRDefault="006016C8" w:rsidP="006016C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  <w:highlight w:val="yellow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    </w:t>
            </w:r>
            <w:r w:rsidRPr="006016C8">
              <w:rPr>
                <w:rFonts w:cs="Arial"/>
                <w:color w:val="000000"/>
                <w:sz w:val="16"/>
                <w:szCs w:val="16"/>
              </w:rPr>
              <w:t>18,7</w:t>
            </w:r>
          </w:p>
        </w:tc>
      </w:tr>
    </w:tbl>
    <w:p w14:paraId="63416C53" w14:textId="58AAED68" w:rsidR="002836FC" w:rsidRPr="001E13FC" w:rsidRDefault="00BA133F" w:rsidP="001E13FC">
      <w:pPr>
        <w:spacing w:before="120" w:line="240" w:lineRule="auto"/>
        <w:jc w:val="right"/>
        <w:rPr>
          <w:sz w:val="18"/>
          <w:szCs w:val="18"/>
        </w:rPr>
      </w:pPr>
      <w:r>
        <w:rPr>
          <w:b/>
        </w:rPr>
        <w:t xml:space="preserve">                                                   </w:t>
      </w:r>
      <w:r w:rsidRPr="00EE338E">
        <w:rPr>
          <w:sz w:val="18"/>
          <w:szCs w:val="18"/>
        </w:rPr>
        <w:t>Zdroj dat: MŠMT (data o studentech), ČSÚ (data o popu</w:t>
      </w:r>
      <w:r w:rsidR="001E13FC">
        <w:rPr>
          <w:sz w:val="18"/>
          <w:szCs w:val="18"/>
        </w:rPr>
        <w:t>laci)</w:t>
      </w:r>
    </w:p>
    <w:p w14:paraId="164E61E1" w14:textId="73F76046" w:rsidR="00416788" w:rsidRDefault="00F84233" w:rsidP="000E1D3C">
      <w:pPr>
        <w:ind w:firstLine="284"/>
        <w:jc w:val="both"/>
      </w:pPr>
      <w:r>
        <w:t>Celkem studovalo v roce 2021</w:t>
      </w:r>
      <w:r w:rsidRPr="00E739D8">
        <w:t xml:space="preserve"> </w:t>
      </w:r>
      <w:r>
        <w:t xml:space="preserve">na </w:t>
      </w:r>
      <w:r w:rsidRPr="00E739D8">
        <w:t>někter</w:t>
      </w:r>
      <w:r>
        <w:t>é</w:t>
      </w:r>
      <w:r w:rsidRPr="00E739D8">
        <w:t xml:space="preserve"> z  vy</w:t>
      </w:r>
      <w:r>
        <w:t>sokých škol v České republice 52 109</w:t>
      </w:r>
      <w:r w:rsidRPr="00E739D8">
        <w:t xml:space="preserve"> cizinců majících </w:t>
      </w:r>
      <w:r>
        <w:t xml:space="preserve">164 různých státních občanství </w:t>
      </w:r>
      <w:r w:rsidR="00856905">
        <w:t>nejvyšší</w:t>
      </w:r>
      <w:r>
        <w:t>. Nejvyšší</w:t>
      </w:r>
      <w:r w:rsidR="00856905">
        <w:t xml:space="preserve"> podíl tvoří </w:t>
      </w:r>
      <w:r w:rsidR="00856905" w:rsidRPr="00856905">
        <w:t xml:space="preserve"> dlouhodobě Slováci</w:t>
      </w:r>
      <w:r w:rsidR="00BA133F" w:rsidRPr="00E739D8">
        <w:t>.</w:t>
      </w:r>
      <w:r w:rsidR="00797DFA">
        <w:t xml:space="preserve"> V roce 2021 jich u nás studovalo celkem 20 914</w:t>
      </w:r>
      <w:r w:rsidR="004339DC">
        <w:t>.</w:t>
      </w:r>
      <w:r w:rsidR="00BA133F" w:rsidRPr="00E739D8">
        <w:t xml:space="preserve"> S odstupem pak následovali studenti z Ruské federace, Ukrajiny </w:t>
      </w:r>
      <w:r w:rsidR="000C718E">
        <w:t>a Kazachstánu – viz tabulku č. 3</w:t>
      </w:r>
      <w:r w:rsidR="00797DFA">
        <w:t xml:space="preserve">. </w:t>
      </w:r>
      <w:r w:rsidR="00416788">
        <w:t xml:space="preserve">V dalších letech lze vzhledem k politické situaci očekávat úbytek studentů z Ruské federace a naopak nárůst studentů ukrajinské státní příslušnosti. </w:t>
      </w:r>
    </w:p>
    <w:p w14:paraId="0B43B7DA" w14:textId="1ECBFF10" w:rsidR="0013091B" w:rsidRDefault="00211D5A" w:rsidP="00AC4E8D">
      <w:pPr>
        <w:keepNext/>
        <w:spacing w:after="120"/>
        <w:jc w:val="both"/>
        <w:rPr>
          <w:b/>
        </w:rPr>
      </w:pPr>
      <w:r>
        <w:rPr>
          <w:b/>
        </w:rPr>
        <w:lastRenderedPageBreak/>
        <w:t>Tabulka č. 3</w:t>
      </w:r>
      <w:r w:rsidR="00BA133F" w:rsidRPr="00E01021">
        <w:rPr>
          <w:b/>
        </w:rPr>
        <w:t xml:space="preserve"> </w:t>
      </w:r>
      <w:r w:rsidR="00F84233">
        <w:rPr>
          <w:b/>
        </w:rPr>
        <w:t>Studenti VŠ v ČR  –</w:t>
      </w:r>
      <w:r w:rsidR="000E1D3C">
        <w:rPr>
          <w:b/>
        </w:rPr>
        <w:t xml:space="preserve"> </w:t>
      </w:r>
      <w:r>
        <w:rPr>
          <w:b/>
        </w:rPr>
        <w:t>počet studentů</w:t>
      </w:r>
      <w:r w:rsidR="000E1D3C">
        <w:rPr>
          <w:b/>
        </w:rPr>
        <w:t xml:space="preserve"> </w:t>
      </w:r>
      <w:r>
        <w:rPr>
          <w:b/>
        </w:rPr>
        <w:t>cizí státní přís</w:t>
      </w:r>
      <w:r w:rsidR="000E1D3C">
        <w:rPr>
          <w:b/>
        </w:rPr>
        <w:t>lušnosti</w:t>
      </w:r>
      <w:r w:rsidR="00F357D3">
        <w:rPr>
          <w:b/>
        </w:rPr>
        <w:t xml:space="preserve"> celkem, dle země</w:t>
      </w:r>
      <w:r w:rsidR="00175B77">
        <w:rPr>
          <w:b/>
        </w:rPr>
        <w:t xml:space="preserve"> a dle studijního programu </w:t>
      </w:r>
      <w:r w:rsidR="004A51D1">
        <w:rPr>
          <w:b/>
        </w:rPr>
        <w:t>(2021</w:t>
      </w:r>
      <w:r w:rsidR="00BA133F">
        <w:rPr>
          <w:b/>
        </w:rPr>
        <w:t>)</w:t>
      </w:r>
    </w:p>
    <w:tbl>
      <w:tblPr>
        <w:tblW w:w="949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29"/>
        <w:gridCol w:w="1157"/>
        <w:gridCol w:w="1453"/>
        <w:gridCol w:w="1453"/>
        <w:gridCol w:w="1453"/>
        <w:gridCol w:w="1453"/>
      </w:tblGrid>
      <w:tr w:rsidR="00797DFA" w:rsidRPr="00797DFA" w14:paraId="16D04CCC" w14:textId="77777777" w:rsidTr="00E86917">
        <w:trPr>
          <w:trHeight w:val="300"/>
          <w:jc w:val="center"/>
        </w:trPr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6D404C6" w14:textId="757D3701" w:rsidR="00797DFA" w:rsidRPr="00797DFA" w:rsidRDefault="004A51D1" w:rsidP="004A51D1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/>
                <w:sz w:val="18"/>
                <w:szCs w:val="18"/>
              </w:rPr>
              <w:t>státní příslušnost</w:t>
            </w:r>
          </w:p>
        </w:tc>
        <w:tc>
          <w:tcPr>
            <w:tcW w:w="11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EC7EC95" w14:textId="3103B6A6" w:rsidR="00797DFA" w:rsidRPr="00797DFA" w:rsidRDefault="00C810F6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/>
                <w:sz w:val="18"/>
                <w:szCs w:val="18"/>
              </w:rPr>
              <w:t>počet studentů celkem</w:t>
            </w:r>
          </w:p>
        </w:tc>
        <w:tc>
          <w:tcPr>
            <w:tcW w:w="58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6CBE300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z toho studující program (v %)</w:t>
            </w:r>
          </w:p>
        </w:tc>
      </w:tr>
      <w:tr w:rsidR="00797DFA" w:rsidRPr="00797DFA" w14:paraId="072AAE33" w14:textId="77777777" w:rsidTr="00E86917">
        <w:trPr>
          <w:trHeight w:val="720"/>
          <w:jc w:val="center"/>
        </w:trPr>
        <w:tc>
          <w:tcPr>
            <w:tcW w:w="25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1EE0C3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16A96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A82DCDB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bakalářský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95F614C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magisterský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B24931A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navazující magisterský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52C14E8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doktorský</w:t>
            </w:r>
          </w:p>
        </w:tc>
      </w:tr>
      <w:tr w:rsidR="00797DFA" w:rsidRPr="00797DFA" w14:paraId="04997F72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98A8F" w14:textId="64D3EF15" w:rsidR="00797DFA" w:rsidRPr="00797DFA" w:rsidRDefault="004A51D1" w:rsidP="00AC4E8D">
            <w:pPr>
              <w:keepNext/>
              <w:spacing w:after="0" w:line="240" w:lineRule="auto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000000"/>
                <w:sz w:val="18"/>
                <w:szCs w:val="18"/>
              </w:rPr>
              <w:t xml:space="preserve">Cizinci </w:t>
            </w:r>
            <w:r w:rsidR="00797DFA" w:rsidRPr="00797DFA">
              <w:rPr>
                <w:rFonts w:cs="Arial"/>
                <w:b/>
                <w:bCs/>
                <w:color w:val="000000"/>
                <w:sz w:val="18"/>
                <w:szCs w:val="18"/>
              </w:rPr>
              <w:t>celkem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553FB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000000"/>
                <w:sz w:val="18"/>
                <w:szCs w:val="18"/>
              </w:rPr>
              <w:t>52 109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3C1B0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color w:val="000000"/>
                <w:sz w:val="18"/>
                <w:szCs w:val="18"/>
              </w:rPr>
              <w:t>51,3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A605F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color w:val="000000"/>
                <w:sz w:val="18"/>
                <w:szCs w:val="18"/>
              </w:rPr>
              <w:t>14,9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FD16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color w:val="000000"/>
                <w:sz w:val="18"/>
                <w:szCs w:val="18"/>
              </w:rPr>
              <w:t>23,4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18C20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color w:val="000000"/>
                <w:sz w:val="18"/>
                <w:szCs w:val="18"/>
              </w:rPr>
              <w:t>10,7</w:t>
            </w:r>
          </w:p>
        </w:tc>
      </w:tr>
      <w:tr w:rsidR="004A51D1" w:rsidRPr="00797DFA" w14:paraId="6CF15C61" w14:textId="77777777" w:rsidTr="00E86917">
        <w:trPr>
          <w:trHeight w:val="300"/>
          <w:jc w:val="center"/>
        </w:trPr>
        <w:tc>
          <w:tcPr>
            <w:tcW w:w="949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9CEDA" w14:textId="48CFD77C" w:rsidR="004A51D1" w:rsidRPr="004A51D1" w:rsidRDefault="004A51D1" w:rsidP="002836FC">
            <w:pPr>
              <w:keepNext/>
              <w:spacing w:after="0" w:line="240" w:lineRule="auto"/>
              <w:rPr>
                <w:rFonts w:cs="Arial"/>
                <w:b/>
                <w:i/>
                <w:color w:val="000000"/>
                <w:sz w:val="18"/>
                <w:szCs w:val="18"/>
              </w:rPr>
            </w:pPr>
            <w:r>
              <w:rPr>
                <w:rFonts w:cs="Arial"/>
                <w:b/>
                <w:bCs/>
                <w:i/>
                <w:color w:val="000000"/>
                <w:sz w:val="18"/>
                <w:szCs w:val="18"/>
              </w:rPr>
              <w:t xml:space="preserve">    </w:t>
            </w:r>
            <w:r w:rsidRPr="004A51D1">
              <w:rPr>
                <w:rFonts w:cs="Arial"/>
                <w:b/>
                <w:bCs/>
                <w:i/>
                <w:color w:val="000000"/>
                <w:sz w:val="18"/>
                <w:szCs w:val="18"/>
              </w:rPr>
              <w:t>z toho země</w:t>
            </w:r>
            <w:r w:rsidR="002836FC">
              <w:rPr>
                <w:rFonts w:cs="Arial"/>
                <w:b/>
                <w:bCs/>
                <w:i/>
                <w:color w:val="000000"/>
                <w:sz w:val="18"/>
                <w:szCs w:val="18"/>
              </w:rPr>
              <w:t xml:space="preserve"> s více než 500 studenty v ČR</w:t>
            </w:r>
            <w:r w:rsidRPr="004A51D1">
              <w:rPr>
                <w:rFonts w:cs="Arial"/>
                <w:b/>
                <w:bCs/>
                <w:i/>
                <w:color w:val="000000"/>
                <w:sz w:val="18"/>
                <w:szCs w:val="18"/>
              </w:rPr>
              <w:t>:</w:t>
            </w:r>
          </w:p>
        </w:tc>
      </w:tr>
      <w:tr w:rsidR="00797DFA" w:rsidRPr="00797DFA" w14:paraId="79544864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AE766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Slovenská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BE343" w14:textId="5F796F5A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20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914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A4573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50,4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72AE4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16,2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525B2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24,5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418B2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9,4</w:t>
            </w:r>
          </w:p>
        </w:tc>
      </w:tr>
      <w:tr w:rsidR="00797DFA" w:rsidRPr="00797DFA" w14:paraId="2E3349E6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A1B8A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Ruská federace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F56AC" w14:textId="3EA8562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8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116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CE0A6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72,6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303D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3,1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635A7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19,6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52183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4,9</w:t>
            </w:r>
          </w:p>
        </w:tc>
      </w:tr>
      <w:tr w:rsidR="00797DFA" w:rsidRPr="00797DFA" w14:paraId="0A540F88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6D5F3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Ukrajina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A8A25" w14:textId="23EB9D10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419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2702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70,2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47A4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5,1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4586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19,5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F3F8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5,3</w:t>
            </w:r>
          </w:p>
        </w:tc>
      </w:tr>
      <w:tr w:rsidR="00797DFA" w:rsidRPr="00797DFA" w14:paraId="51859667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49BD0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Republika Kazachstán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A5860" w14:textId="0B4B6E1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578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D1E3C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82,5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DC8F4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2F45C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14,2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53E59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1,9</w:t>
            </w:r>
          </w:p>
        </w:tc>
      </w:tr>
      <w:tr w:rsidR="00797DFA" w:rsidRPr="00797DFA" w14:paraId="1D2F0B5D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7BE7E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Indická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3AFC8" w14:textId="241D4621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469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B547D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15,1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5082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22,5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71B69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37,3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35134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25,1</w:t>
            </w:r>
          </w:p>
        </w:tc>
      </w:tr>
      <w:tr w:rsidR="00797DFA" w:rsidRPr="00797DFA" w14:paraId="061DC038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3AF99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Běloruská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45EFE" w14:textId="57EEEFE3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033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D0B04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71,4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C8300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6,7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A7C3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17,4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CA61F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4,6</w:t>
            </w:r>
          </w:p>
        </w:tc>
      </w:tr>
      <w:tr w:rsidR="00797DFA" w:rsidRPr="00797DFA" w14:paraId="5524D7C4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3C65D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Spolková republika Německo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DA319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918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6AA3B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13,6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D8375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45,5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8FA2B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14,6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21539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26,4</w:t>
            </w:r>
          </w:p>
        </w:tc>
      </w:tr>
      <w:tr w:rsidR="00797DFA" w:rsidRPr="00797DFA" w14:paraId="0889A4F0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64C8E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Italská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3889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666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C4B72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35,3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72F0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23,1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473ED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15,6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032CC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26,0</w:t>
            </w:r>
          </w:p>
        </w:tc>
      </w:tr>
      <w:tr w:rsidR="00797DFA" w:rsidRPr="00797DFA" w14:paraId="0B3E900A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94316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Čínská lidová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F69CC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648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AA9E7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46,6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4C0E3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8804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32,9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D3BDD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19,4</w:t>
            </w:r>
          </w:p>
        </w:tc>
      </w:tr>
      <w:tr w:rsidR="00797DFA" w:rsidRPr="00797DFA" w14:paraId="4DB16367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881C2" w14:textId="77777777" w:rsidR="00797DFA" w:rsidRPr="00797DFA" w:rsidRDefault="00797DFA" w:rsidP="00797DFA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Íránská islámská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6DD2B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531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FB7D4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10,7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C0793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49,2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B57C9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10,2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39B80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30,1</w:t>
            </w:r>
          </w:p>
        </w:tc>
      </w:tr>
    </w:tbl>
    <w:p w14:paraId="12F1729F" w14:textId="77777777" w:rsidR="00BA133F" w:rsidRPr="00A2545E" w:rsidRDefault="000D7FAA" w:rsidP="00A2545E">
      <w:pPr>
        <w:spacing w:before="120" w:line="276" w:lineRule="auto"/>
        <w:jc w:val="right"/>
        <w:rPr>
          <w:sz w:val="18"/>
          <w:szCs w:val="18"/>
        </w:rPr>
      </w:pPr>
      <w:r w:rsidRPr="00A2545E">
        <w:rPr>
          <w:sz w:val="18"/>
          <w:szCs w:val="18"/>
        </w:rPr>
        <w:t>Zdroj dat: MŠMT</w:t>
      </w:r>
    </w:p>
    <w:p w14:paraId="146628B6" w14:textId="7DB2B24E" w:rsidR="00BA133F" w:rsidRDefault="00BA133F" w:rsidP="006011C1">
      <w:pPr>
        <w:spacing w:line="276" w:lineRule="auto"/>
        <w:ind w:firstLine="284"/>
        <w:jc w:val="both"/>
      </w:pPr>
      <w:r>
        <w:t xml:space="preserve">Z tabulky je také patrné, že jen malé množství studentů z bývalého Sovětského svazu (tj. z Ruské federace, Ukrajiny, </w:t>
      </w:r>
      <w:r w:rsidR="00D267A3">
        <w:t>Kazachstánu a Běloruska) studoval</w:t>
      </w:r>
      <w:r w:rsidR="00FD21CA">
        <w:t>o</w:t>
      </w:r>
      <w:r w:rsidR="0022342F">
        <w:t xml:space="preserve"> v roce 2021</w:t>
      </w:r>
      <w:r>
        <w:t xml:space="preserve"> doktorský studijní program</w:t>
      </w:r>
      <w:r w:rsidR="009F2209">
        <w:t xml:space="preserve"> (1,9 až 5,3</w:t>
      </w:r>
      <w:r w:rsidR="004B5602">
        <w:t> %)</w:t>
      </w:r>
      <w:r>
        <w:t>. Oproti tomu mezi studenty z</w:t>
      </w:r>
      <w:r w:rsidR="00224E36">
        <w:t> Indie, Německa a Itálie studovala</w:t>
      </w:r>
      <w:r>
        <w:t xml:space="preserve"> doktorský program čtvrtina</w:t>
      </w:r>
      <w:r w:rsidR="00797DFA">
        <w:t xml:space="preserve"> a mezi studenty z Íránské islámské republiky dokonce 30,1 %</w:t>
      </w:r>
      <w:r w:rsidR="006011C1">
        <w:t>.</w:t>
      </w:r>
    </w:p>
    <w:p w14:paraId="3105E2C0" w14:textId="5F6D33FB" w:rsidR="00BA133F" w:rsidRDefault="00BA133F" w:rsidP="006011C1">
      <w:pPr>
        <w:pStyle w:val="Nadpis2"/>
        <w:spacing w:before="120" w:after="240"/>
      </w:pPr>
      <w:bookmarkStart w:id="3" w:name="_Toc103080342"/>
      <w:r w:rsidRPr="00E14280">
        <w:t>Studenti dle skupin oborů vzdělávání</w:t>
      </w:r>
      <w:bookmarkEnd w:id="3"/>
      <w:r w:rsidR="00797DFA">
        <w:t xml:space="preserve"> </w:t>
      </w:r>
    </w:p>
    <w:p w14:paraId="49D8BD09" w14:textId="2621C3B1" w:rsidR="00BA133F" w:rsidRDefault="000B6541" w:rsidP="0083115C">
      <w:pPr>
        <w:spacing w:after="120"/>
        <w:ind w:firstLine="284"/>
        <w:jc w:val="both"/>
      </w:pPr>
      <w:r w:rsidRPr="000B6541">
        <w:t xml:space="preserve">Co se týče dělení na jednotlivé </w:t>
      </w:r>
      <w:r w:rsidRPr="000B6541">
        <w:rPr>
          <w:b/>
        </w:rPr>
        <w:t>skupiny oborů</w:t>
      </w:r>
      <w:r w:rsidRPr="000B6541">
        <w:t xml:space="preserve"> vzdělávání dle klasifikace ISCED F-2013, v roce 2021 byl nejvyšší počet studentů zapsaný do skupiny oborů Obchod, administrativa a právo (62 695) a nejnižší naopak do skupiny oborů Zemědělství, lesnictví, rybářství a veterinářství (11 368). V relativním vyjádření se od roku 2001 do roku 2021 zvýšil nejvýrazněji počet studentů ve skupině oborů Informační a komunikační technologie (ztrojnásobil se) a dále ve skupině oborů Služeb (vzrostl 2,8krát); v absolutním vyjádření pak ve skupině oborů Obchod, administrativa a právo (byl zaznamenán nárůst o 23 061 studentů) a Zdravotní a sociální péče, péče o příznivé životní podmínky (nárůst o 21 663 studentů). Zvýšení počtu studentů zaznamenaly i ostatní skupiny oborů (o 3,5 až 14,9 tisíce studentů), kromě oborů z oblasti Technických věd, výroby a stavebnictví, které v roce 2021 studovalo o čtvrtinu méně studentů než v roce 2001. Zde je d</w:t>
      </w:r>
      <w:bookmarkStart w:id="4" w:name="_GoBack"/>
      <w:bookmarkEnd w:id="4"/>
      <w:r w:rsidRPr="000B6541">
        <w:t>obré poznamenat, že nárůstu počtu studentů docházelo zejména v první sledované dekádě, mezi roky 2011 a 2021 naopak počet studentů téměř ve všech oborech poklesl, s výjimkou skupiny oborů Zdravotní a sociální péče, péče o příznivé životní podmínky, kde došlo k nárůstu o 8,7 %, a skupiny oborů Přírodní vědy, matematika a statistika, ve které se počet studentů zvýšilo o 5,2 %. Největší pokles studentů i za toto sledované období zaznamenala skupina oborů z oblasti Technických věd, výroby a stavebnictví, a sice o dvě pětiny.</w:t>
      </w:r>
    </w:p>
    <w:p w14:paraId="1AD8E195" w14:textId="53704BEE" w:rsidR="00BA133F" w:rsidRDefault="00872BA9" w:rsidP="00B52882">
      <w:pPr>
        <w:spacing w:after="120"/>
        <w:ind w:firstLine="284"/>
        <w:jc w:val="both"/>
      </w:pPr>
      <w:r>
        <w:t>Ja</w:t>
      </w:r>
      <w:r w:rsidR="00DB61CA">
        <w:t>k uvádí graf č. 5 a tabulka č. 4</w:t>
      </w:r>
      <w:r>
        <w:t>, v</w:t>
      </w:r>
      <w:r w:rsidR="00BA133F">
        <w:t xml:space="preserve"> le</w:t>
      </w:r>
      <w:r w:rsidR="0097122A">
        <w:t xml:space="preserve">tech </w:t>
      </w:r>
      <w:r w:rsidR="004D1687">
        <w:t>2001</w:t>
      </w:r>
      <w:r w:rsidR="00AC4E8D">
        <w:t>, 2011 i 2021</w:t>
      </w:r>
      <w:r w:rsidR="004D1687">
        <w:t xml:space="preserve"> </w:t>
      </w:r>
      <w:r w:rsidR="0097122A">
        <w:t>přitom ve skupinách oborů T</w:t>
      </w:r>
      <w:r w:rsidR="00BA133F">
        <w:t>echniky</w:t>
      </w:r>
      <w:r w:rsidR="0097122A">
        <w:t>, výroby a stavebnictví, oborů I</w:t>
      </w:r>
      <w:r w:rsidR="00BA133F" w:rsidRPr="00A25E07">
        <w:t>nformační a komunikační technologie</w:t>
      </w:r>
      <w:r w:rsidR="0097122A">
        <w:t xml:space="preserve"> a oborů S</w:t>
      </w:r>
      <w:r w:rsidR="00BA133F">
        <w:t>lužeb převažovali</w:t>
      </w:r>
      <w:r w:rsidR="00065E3F">
        <w:t xml:space="preserve"> mezi studenty</w:t>
      </w:r>
      <w:r w:rsidR="00BA133F">
        <w:t xml:space="preserve"> </w:t>
      </w:r>
      <w:r w:rsidR="00BA133F" w:rsidRPr="0005743C">
        <w:rPr>
          <w:b/>
        </w:rPr>
        <w:t>muži nad ženami</w:t>
      </w:r>
      <w:r w:rsidR="00BA133F">
        <w:t xml:space="preserve">. </w:t>
      </w:r>
      <w:r>
        <w:t>V roce 2001 převažovali muži i ve skupině oborů Přírodních věd, mate</w:t>
      </w:r>
      <w:r w:rsidR="00AC4E8D">
        <w:t>matiky a statistiky, v letech</w:t>
      </w:r>
      <w:r w:rsidR="00E14280">
        <w:t xml:space="preserve"> 2011 a 2021</w:t>
      </w:r>
      <w:r>
        <w:t xml:space="preserve"> již bylo v této skupině více studentek. Pokud se jedná o obory ze skupiny Zemědělství, </w:t>
      </w:r>
      <w:r w:rsidRPr="00A71CDD">
        <w:t>lesnictví, rybářství a veterinářství</w:t>
      </w:r>
      <w:r>
        <w:t xml:space="preserve">, v roce 2001 byl poměr mužů a žen, které je studovaly, poměrně </w:t>
      </w:r>
      <w:r w:rsidRPr="00B52882">
        <w:rPr>
          <w:b/>
        </w:rPr>
        <w:t>vyrovnaný</w:t>
      </w:r>
      <w:r w:rsidR="00E14280">
        <w:t>. V roce 2011 a 2021</w:t>
      </w:r>
      <w:r>
        <w:t xml:space="preserve"> však již v těchto oborech převažovaly studentky nad studenty.  V ostatních oborech byl již </w:t>
      </w:r>
      <w:r w:rsidRPr="00B52882">
        <w:rPr>
          <w:b/>
        </w:rPr>
        <w:t>počet studentek</w:t>
      </w:r>
      <w:r>
        <w:t xml:space="preserve"> ve všech třech sledovaných letech </w:t>
      </w:r>
      <w:r w:rsidRPr="00B52882">
        <w:rPr>
          <w:b/>
        </w:rPr>
        <w:t>vyšší než počet studentů</w:t>
      </w:r>
      <w:r>
        <w:t>. Nejvýrazněji ve skupinách oborů Vzdělávání a výchova a Zdravotní a sociální péče, p</w:t>
      </w:r>
      <w:r w:rsidR="00586002">
        <w:t>éče o příznivé životní podmínky;</w:t>
      </w:r>
      <w:r>
        <w:t xml:space="preserve"> převažovaly však </w:t>
      </w:r>
      <w:r w:rsidR="00B52882">
        <w:t xml:space="preserve">též </w:t>
      </w:r>
      <w:r>
        <w:t xml:space="preserve">ve </w:t>
      </w:r>
      <w:r>
        <w:lastRenderedPageBreak/>
        <w:t>skupinách oborů Společenských věd, žurnalistiky</w:t>
      </w:r>
      <w:r w:rsidRPr="00A71CDD">
        <w:t xml:space="preserve"> a informační</w:t>
      </w:r>
      <w:r>
        <w:t>ch věd, Umění a humanitních věd a O</w:t>
      </w:r>
      <w:r w:rsidRPr="00A71CDD">
        <w:t>bchod, administrativa a právo</w:t>
      </w:r>
      <w:r>
        <w:t xml:space="preserve">. </w:t>
      </w:r>
    </w:p>
    <w:p w14:paraId="614CAF7E" w14:textId="70F97C53" w:rsidR="00BA133F" w:rsidRDefault="00BA133F" w:rsidP="00AC4E8D">
      <w:pPr>
        <w:keepNext/>
        <w:spacing w:after="120"/>
        <w:jc w:val="both"/>
        <w:rPr>
          <w:b/>
        </w:rPr>
      </w:pPr>
      <w:r>
        <w:rPr>
          <w:b/>
        </w:rPr>
        <w:t xml:space="preserve">Graf č. 5 </w:t>
      </w:r>
      <w:r w:rsidR="000C3179">
        <w:rPr>
          <w:b/>
        </w:rPr>
        <w:t xml:space="preserve">Studenti VŠ v ČR – dělení </w:t>
      </w:r>
      <w:r w:rsidR="00F26D27" w:rsidRPr="00F26D27">
        <w:rPr>
          <w:b/>
        </w:rPr>
        <w:t>dle</w:t>
      </w:r>
      <w:r w:rsidR="00F26D27">
        <w:rPr>
          <w:b/>
        </w:rPr>
        <w:t xml:space="preserve"> skupin oborů vzdělání a dle </w:t>
      </w:r>
      <w:r w:rsidR="00484AE5">
        <w:rPr>
          <w:b/>
        </w:rPr>
        <w:t>pohlaví</w:t>
      </w:r>
    </w:p>
    <w:p w14:paraId="2E236521" w14:textId="67F2FB76" w:rsidR="00E14280" w:rsidRDefault="00E14280" w:rsidP="00E14280">
      <w:pPr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6FA5D18E" wp14:editId="42D73DAB">
            <wp:extent cx="6067425" cy="2590800"/>
            <wp:effectExtent l="0" t="0" r="9525" b="0"/>
            <wp:docPr id="14" name="Graf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6F7718D" w14:textId="5EE6BE72" w:rsidR="00E14280" w:rsidRDefault="00E14280" w:rsidP="00E14280">
      <w:pPr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7CAFA1A8" wp14:editId="1724FFA7">
            <wp:extent cx="6067425" cy="2543175"/>
            <wp:effectExtent l="0" t="0" r="9525" b="9525"/>
            <wp:docPr id="20" name="Graf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5524F254" w14:textId="026C05C2" w:rsidR="00E14280" w:rsidRDefault="00E14280" w:rsidP="00E14280">
      <w:pPr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052586FF" wp14:editId="39211DE3">
            <wp:extent cx="6067425" cy="2686050"/>
            <wp:effectExtent l="0" t="0" r="9525" b="0"/>
            <wp:docPr id="21" name="Graf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55F55F18" w14:textId="77777777" w:rsidR="00BA133F" w:rsidRPr="00A2545E" w:rsidRDefault="00BA133F" w:rsidP="00BA133F">
      <w:pPr>
        <w:spacing w:after="120"/>
        <w:jc w:val="right"/>
        <w:rPr>
          <w:sz w:val="18"/>
          <w:szCs w:val="18"/>
        </w:rPr>
      </w:pPr>
      <w:r w:rsidRPr="00C71FC2">
        <w:rPr>
          <w:szCs w:val="20"/>
        </w:rPr>
        <w:t xml:space="preserve"> </w:t>
      </w:r>
      <w:r w:rsidRPr="00A2545E">
        <w:rPr>
          <w:sz w:val="18"/>
          <w:szCs w:val="18"/>
        </w:rPr>
        <w:t xml:space="preserve">Zdroj dat: MŠMT </w:t>
      </w:r>
    </w:p>
    <w:p w14:paraId="4FA79833" w14:textId="3485F01B" w:rsidR="00D0304B" w:rsidRDefault="00BA133F" w:rsidP="00E52C56">
      <w:pPr>
        <w:ind w:firstLine="284"/>
        <w:jc w:val="both"/>
      </w:pPr>
      <w:r w:rsidRPr="00D32346">
        <w:rPr>
          <w:b/>
        </w:rPr>
        <w:lastRenderedPageBreak/>
        <w:t>Vývoj počtu studentů jednotlivých skupin oborů</w:t>
      </w:r>
      <w:r w:rsidRPr="00D32346">
        <w:t xml:space="preserve"> dále znázorňuje graf č. 6. Jak je patrné, nejvýraznější </w:t>
      </w:r>
      <w:r w:rsidR="00D328E7">
        <w:t>změny v průběhu let</w:t>
      </w:r>
      <w:r w:rsidR="0097122A" w:rsidRPr="00D32346">
        <w:t xml:space="preserve"> zaznamenala skupina oborů O</w:t>
      </w:r>
      <w:r w:rsidRPr="00D32346">
        <w:t>bchod, administrativa</w:t>
      </w:r>
      <w:r w:rsidR="0097122A" w:rsidRPr="00D32346">
        <w:t xml:space="preserve"> a právo</w:t>
      </w:r>
      <w:r w:rsidR="00D328E7">
        <w:t>, poměrně výrazné</w:t>
      </w:r>
      <w:r w:rsidR="00D32346">
        <w:t xml:space="preserve"> byl</w:t>
      </w:r>
      <w:r w:rsidR="00D328E7">
        <w:t>y</w:t>
      </w:r>
      <w:r w:rsidR="00D32346">
        <w:t xml:space="preserve"> též </w:t>
      </w:r>
      <w:r w:rsidR="00D328E7">
        <w:t>u </w:t>
      </w:r>
      <w:r w:rsidR="00D32346">
        <w:t>skupiny oborů Společenské vědy, žurnalistika a informační vědy</w:t>
      </w:r>
      <w:r w:rsidR="0097122A" w:rsidRPr="00D32346">
        <w:t>.</w:t>
      </w:r>
      <w:r w:rsidR="00D32346">
        <w:t xml:space="preserve"> U těchto dvou skupin oborů byl v první dekádě 21. století zaznamenán výrazný růst počtu studentů následovaný poměrně výrazným propadem. V posledních dvou letech se pak počet studentů skupiny oborů </w:t>
      </w:r>
      <w:r w:rsidR="00D32346" w:rsidRPr="00D32346">
        <w:t xml:space="preserve">Společenské vědy, žurnalistika a informační vědy </w:t>
      </w:r>
      <w:r w:rsidR="00D32346">
        <w:t>ustálil a počet studentů</w:t>
      </w:r>
      <w:r w:rsidR="00D32346" w:rsidRPr="00D32346">
        <w:t xml:space="preserve"> oborů</w:t>
      </w:r>
      <w:r w:rsidR="00D32346">
        <w:t xml:space="preserve"> ze skupiny</w:t>
      </w:r>
      <w:r w:rsidR="00D32346" w:rsidRPr="00D32346">
        <w:t xml:space="preserve"> Obchod, administrativa a právo</w:t>
      </w:r>
      <w:r w:rsidR="00D32346">
        <w:t xml:space="preserve"> dokonce začal růst. </w:t>
      </w:r>
    </w:p>
    <w:p w14:paraId="414E1241" w14:textId="2AFF0C12" w:rsidR="00BA133F" w:rsidRDefault="00D32346" w:rsidP="00005668">
      <w:pPr>
        <w:ind w:firstLine="284"/>
        <w:jc w:val="both"/>
      </w:pPr>
      <w:r>
        <w:t>Celkově</w:t>
      </w:r>
      <w:r w:rsidR="00BA133F" w:rsidRPr="00D32346">
        <w:t xml:space="preserve"> si lze všimnout, že téměř ve všech skupinách oborů se počet studentů za poslední </w:t>
      </w:r>
      <w:r>
        <w:t xml:space="preserve">dva </w:t>
      </w:r>
      <w:r w:rsidR="00BA133F" w:rsidRPr="00D32346">
        <w:t>rok</w:t>
      </w:r>
      <w:r>
        <w:t>y</w:t>
      </w:r>
      <w:r w:rsidR="00BA133F" w:rsidRPr="00D32346">
        <w:t xml:space="preserve"> zvýšil, </w:t>
      </w:r>
      <w:r w:rsidR="0097122A" w:rsidRPr="00D32346">
        <w:t xml:space="preserve">ovšem s výjimkou skupiny oborů </w:t>
      </w:r>
      <w:r w:rsidR="0097122A" w:rsidRPr="00D0304B">
        <w:rPr>
          <w:b/>
        </w:rPr>
        <w:t>T</w:t>
      </w:r>
      <w:r w:rsidR="00BA133F" w:rsidRPr="00D0304B">
        <w:rPr>
          <w:b/>
        </w:rPr>
        <w:t>echnika, výroba a stavebnictví</w:t>
      </w:r>
      <w:r w:rsidR="00BA133F" w:rsidRPr="00D32346">
        <w:t xml:space="preserve">, kde setrval pokles počtu studentů patrný již v předchozích letech. </w:t>
      </w:r>
      <w:r w:rsidR="00416788">
        <w:t>Od roku 2009 ubylo studentů této skupiny oborů o 40,6 %, přičemž v posledních osmi letech se každoročně p</w:t>
      </w:r>
      <w:r w:rsidR="00D328E7">
        <w:t>očet těchto studentů snížil o 5–</w:t>
      </w:r>
      <w:r w:rsidR="00416788">
        <w:t xml:space="preserve">6 %. </w:t>
      </w:r>
      <w:r w:rsidR="00005668">
        <w:t xml:space="preserve">V roce 2021 tak poprvé za 20 let zaznamenaly technické obory o něco nižší počet studentů (38 543) než obory </w:t>
      </w:r>
      <w:r w:rsidR="00495C30">
        <w:t>ze skupiny Zdravotní a sociální péče, péče o příznivé životní podmínky</w:t>
      </w:r>
      <w:r w:rsidR="00005668">
        <w:t xml:space="preserve"> (39 393)</w:t>
      </w:r>
      <w:r w:rsidR="00005668" w:rsidRPr="000F05A1">
        <w:t>.</w:t>
      </w:r>
      <w:r w:rsidR="00005668">
        <w:t xml:space="preserve"> </w:t>
      </w:r>
      <w:r w:rsidR="00005668" w:rsidRPr="00D32346">
        <w:t>V roce 2001 byl přito</w:t>
      </w:r>
      <w:r w:rsidR="00005668">
        <w:t>m počet studentů</w:t>
      </w:r>
      <w:r w:rsidR="00005668" w:rsidRPr="00D32346">
        <w:t xml:space="preserve"> </w:t>
      </w:r>
      <w:r w:rsidR="00005668">
        <w:t>technických oborů</w:t>
      </w:r>
      <w:r w:rsidR="00005668" w:rsidRPr="00D32346">
        <w:t xml:space="preserve"> oproti skupině oborů </w:t>
      </w:r>
      <w:r w:rsidR="00005668">
        <w:t>zdravotnických téměř</w:t>
      </w:r>
      <w:r w:rsidR="00005668" w:rsidRPr="00D32346">
        <w:t xml:space="preserve"> trojnásobný</w:t>
      </w:r>
      <w:r w:rsidR="00005668">
        <w:t xml:space="preserve">. </w:t>
      </w:r>
      <w:r w:rsidR="00511F86">
        <w:t>Lz</w:t>
      </w:r>
      <w:r w:rsidR="00005668">
        <w:t xml:space="preserve">e doplnit, že </w:t>
      </w:r>
      <w:r w:rsidR="00B23B8F">
        <w:t xml:space="preserve">počet studentů </w:t>
      </w:r>
      <w:r w:rsidR="00005668">
        <w:t xml:space="preserve">zdravotnických oborů se </w:t>
      </w:r>
      <w:r w:rsidR="00B23B8F">
        <w:t>v posledních 20 letech</w:t>
      </w:r>
      <w:r w:rsidR="00493B22">
        <w:t xml:space="preserve"> více než zdvojnásobil</w:t>
      </w:r>
      <w:r w:rsidR="00005668">
        <w:t xml:space="preserve"> (zvýšil se o 122 %), zatímco počet studentů technických oborů</w:t>
      </w:r>
      <w:r w:rsidR="00493B22">
        <w:t xml:space="preserve"> </w:t>
      </w:r>
      <w:r w:rsidR="00005668">
        <w:t>byl v roce 2021 oproti roku 2001 o 25 % nižší.</w:t>
      </w:r>
    </w:p>
    <w:p w14:paraId="140BD1C1" w14:textId="4DEE964C" w:rsidR="006E17CA" w:rsidRDefault="00BA133F" w:rsidP="006E17CA">
      <w:pPr>
        <w:keepNext/>
        <w:spacing w:after="120" w:line="240" w:lineRule="auto"/>
        <w:jc w:val="both"/>
        <w:rPr>
          <w:b/>
        </w:rPr>
      </w:pPr>
      <w:r>
        <w:rPr>
          <w:b/>
        </w:rPr>
        <w:t>Graf</w:t>
      </w:r>
      <w:r w:rsidR="006E17CA" w:rsidRPr="006E17CA">
        <w:rPr>
          <w:b/>
        </w:rPr>
        <w:t xml:space="preserve"> </w:t>
      </w:r>
      <w:r w:rsidR="00D328E7">
        <w:rPr>
          <w:b/>
        </w:rPr>
        <w:t>č. 6 Studenti VŠ v ČR –</w:t>
      </w:r>
      <w:r w:rsidR="006E17CA">
        <w:rPr>
          <w:b/>
        </w:rPr>
        <w:t xml:space="preserve"> vývoj počtu studentů dle skupin oborů vzdělání</w:t>
      </w:r>
    </w:p>
    <w:p w14:paraId="5508B108" w14:textId="394A83BE" w:rsidR="00004701" w:rsidRDefault="00004701" w:rsidP="006E17CA">
      <w:pPr>
        <w:keepNext/>
        <w:spacing w:after="120" w:line="240" w:lineRule="auto"/>
        <w:jc w:val="both"/>
        <w:rPr>
          <w:b/>
        </w:rPr>
      </w:pPr>
      <w:r>
        <w:rPr>
          <w:noProof/>
        </w:rPr>
        <w:drawing>
          <wp:inline distT="0" distB="0" distL="0" distR="0" wp14:anchorId="7AACD1E2" wp14:editId="5AB8972A">
            <wp:extent cx="6120130" cy="4392930"/>
            <wp:effectExtent l="0" t="0" r="13970" b="7620"/>
            <wp:docPr id="16" name="Graf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0C93BD0E" w14:textId="77777777" w:rsidR="00BA133F" w:rsidRPr="00A2545E" w:rsidRDefault="007D3CE1" w:rsidP="007D3CE1">
      <w:pPr>
        <w:jc w:val="right"/>
        <w:rPr>
          <w:sz w:val="18"/>
          <w:szCs w:val="18"/>
        </w:rPr>
      </w:pPr>
      <w:r w:rsidRPr="00A2545E">
        <w:rPr>
          <w:sz w:val="18"/>
          <w:szCs w:val="18"/>
        </w:rPr>
        <w:t>Zdroj dat: MŠMT</w:t>
      </w:r>
    </w:p>
    <w:p w14:paraId="1AC887C6" w14:textId="39573F24" w:rsidR="00BA133F" w:rsidRDefault="0073155B" w:rsidP="00BA133F">
      <w:pPr>
        <w:ind w:firstLine="284"/>
        <w:jc w:val="both"/>
      </w:pPr>
      <w:r>
        <w:t>Pro úplnost ukazuje tabulka č. 4</w:t>
      </w:r>
      <w:r w:rsidR="00BA133F" w:rsidRPr="00CB3DB0">
        <w:t>, ja</w:t>
      </w:r>
      <w:r w:rsidR="00BA133F">
        <w:t>ký počet studentů c</w:t>
      </w:r>
      <w:r w:rsidR="00C61FC2">
        <w:t>elkem, jakož i</w:t>
      </w:r>
      <w:r w:rsidR="00A323D9">
        <w:t xml:space="preserve"> v dělení dle </w:t>
      </w:r>
      <w:r w:rsidR="00484AE5">
        <w:t>pohlaví</w:t>
      </w:r>
      <w:r w:rsidR="00A323D9">
        <w:t xml:space="preserve"> </w:t>
      </w:r>
      <w:r w:rsidR="00C61FC2">
        <w:t xml:space="preserve">a skupin oborů vzdělání </w:t>
      </w:r>
      <w:r w:rsidR="00A323D9">
        <w:t>studoval</w:t>
      </w:r>
      <w:r w:rsidR="007126F2">
        <w:t xml:space="preserve"> v roce 2001, 2011 a 2021</w:t>
      </w:r>
      <w:r w:rsidR="00BA133F">
        <w:t xml:space="preserve"> na veřejných a soukromých vysokých školách</w:t>
      </w:r>
      <w:r w:rsidR="00523966">
        <w:t>.</w:t>
      </w:r>
      <w:r w:rsidR="00BA133F">
        <w:t xml:space="preserve"> Údaje jsou v absolutních počtech fyzických osob</w:t>
      </w:r>
      <w:r w:rsidR="00B40D6F">
        <w:t xml:space="preserve"> (v tisících)</w:t>
      </w:r>
      <w:r w:rsidR="00BA133F">
        <w:t xml:space="preserve"> i v podílech ze všech </w:t>
      </w:r>
      <w:r>
        <w:t>studujících mužů, studujících žen, jakož i studujících vysoké školy celkem</w:t>
      </w:r>
      <w:r w:rsidR="00BA133F" w:rsidRPr="005D247C">
        <w:t xml:space="preserve">. Jak je patrné, </w:t>
      </w:r>
      <w:r w:rsidR="00BA133F" w:rsidRPr="005D247C">
        <w:rPr>
          <w:b/>
        </w:rPr>
        <w:t>nejvyšší podíl studentů vysokých škol</w:t>
      </w:r>
      <w:r w:rsidR="00340326" w:rsidRPr="005D247C">
        <w:t xml:space="preserve"> byl v roce 2021</w:t>
      </w:r>
      <w:r w:rsidR="00BA133F" w:rsidRPr="005D247C">
        <w:t xml:space="preserve"> </w:t>
      </w:r>
      <w:r w:rsidRPr="005D247C">
        <w:t>i </w:t>
      </w:r>
      <w:r w:rsidR="00340326" w:rsidRPr="005D247C">
        <w:t>2011</w:t>
      </w:r>
      <w:r w:rsidR="0097122A" w:rsidRPr="005D247C">
        <w:t xml:space="preserve"> zapsán do skupiny oborů O</w:t>
      </w:r>
      <w:r w:rsidR="00BA133F" w:rsidRPr="005D247C">
        <w:t>bchod, administrativa</w:t>
      </w:r>
      <w:r w:rsidR="00BA133F" w:rsidRPr="009A57F5">
        <w:t xml:space="preserve"> a právo</w:t>
      </w:r>
      <w:r w:rsidR="00BA133F">
        <w:t xml:space="preserve"> </w:t>
      </w:r>
      <w:r w:rsidR="00A323D9">
        <w:t>(</w:t>
      </w:r>
      <w:r w:rsidR="00340326">
        <w:t>20,6</w:t>
      </w:r>
      <w:r w:rsidR="00BA133F">
        <w:t> </w:t>
      </w:r>
      <w:r w:rsidR="00340326">
        <w:t>%, resp. 23</w:t>
      </w:r>
      <w:r w:rsidR="00BA133F">
        <w:t> %</w:t>
      </w:r>
      <w:r w:rsidR="00A323D9">
        <w:t>)</w:t>
      </w:r>
      <w:r w:rsidR="00BA133F">
        <w:t xml:space="preserve">. Též v roce 2001 byl podíl studentů zapsaný v této skupině oborů cca pětinový (19,5 %), ještě vyšší byl však podíl studentů ve </w:t>
      </w:r>
      <w:r w:rsidR="00BA133F">
        <w:lastRenderedPageBreak/>
        <w:t>sku</w:t>
      </w:r>
      <w:r w:rsidR="0097122A">
        <w:t>pině oborů T</w:t>
      </w:r>
      <w:r w:rsidR="00BA133F">
        <w:t>echnika, výroba a stav</w:t>
      </w:r>
      <w:r w:rsidR="00340326">
        <w:t>ebnictví (25,3 %). V letech 2021 i 2011</w:t>
      </w:r>
      <w:r w:rsidR="00BA133F">
        <w:t xml:space="preserve"> byla naopak nejmenším podílem stu</w:t>
      </w:r>
      <w:r w:rsidR="0097122A">
        <w:t>dentů zastoupena skupina oborů Z</w:t>
      </w:r>
      <w:r w:rsidR="00BA133F" w:rsidRPr="009A57F5">
        <w:t>emědělství, lesnictví, rybářství a veterinářství</w:t>
      </w:r>
      <w:r w:rsidR="00340326">
        <w:t xml:space="preserve"> (3,7</w:t>
      </w:r>
      <w:r w:rsidR="00BA133F">
        <w:t xml:space="preserve"> %, resp. 3,5 %). V roce 2001 však bylo nejméně studentů </w:t>
      </w:r>
      <w:r w:rsidR="00B40D6F">
        <w:t xml:space="preserve">zapsaných </w:t>
      </w:r>
      <w:r w:rsidR="00BA133F">
        <w:t>ve skup</w:t>
      </w:r>
      <w:r w:rsidR="0097122A">
        <w:t>ině oborů S</w:t>
      </w:r>
      <w:r w:rsidR="00BA133F">
        <w:t xml:space="preserve">lužeb (2,9 %). </w:t>
      </w:r>
    </w:p>
    <w:p w14:paraId="1A0D6790" w14:textId="6068F9FC" w:rsidR="00BA133F" w:rsidRDefault="0073155B" w:rsidP="005D247C">
      <w:pPr>
        <w:keepNext/>
        <w:spacing w:after="120" w:line="240" w:lineRule="auto"/>
        <w:jc w:val="both"/>
        <w:rPr>
          <w:b/>
        </w:rPr>
      </w:pPr>
      <w:r>
        <w:rPr>
          <w:b/>
        </w:rPr>
        <w:t>Tabulka č. 4</w:t>
      </w:r>
      <w:r w:rsidR="00BA133F">
        <w:rPr>
          <w:b/>
        </w:rPr>
        <w:t xml:space="preserve"> </w:t>
      </w:r>
      <w:r w:rsidR="00D328E7">
        <w:rPr>
          <w:b/>
        </w:rPr>
        <w:t>Studenti VŠ v ČR –</w:t>
      </w:r>
      <w:r w:rsidR="00A25DB6">
        <w:rPr>
          <w:b/>
        </w:rPr>
        <w:t xml:space="preserve"> p</w:t>
      </w:r>
      <w:r w:rsidR="00BA133F">
        <w:rPr>
          <w:b/>
        </w:rPr>
        <w:t xml:space="preserve">očet </w:t>
      </w:r>
      <w:r w:rsidR="00BF2945">
        <w:rPr>
          <w:b/>
        </w:rPr>
        <w:t xml:space="preserve">a podíl v jednotlivých oborech vzdělání dle </w:t>
      </w:r>
      <w:r w:rsidR="00484AE5">
        <w:rPr>
          <w:b/>
        </w:rPr>
        <w:t>pohlaví</w:t>
      </w:r>
    </w:p>
    <w:tbl>
      <w:tblPr>
        <w:tblW w:w="9633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567"/>
        <w:gridCol w:w="692"/>
        <w:gridCol w:w="692"/>
        <w:gridCol w:w="693"/>
        <w:gridCol w:w="692"/>
        <w:gridCol w:w="692"/>
        <w:gridCol w:w="693"/>
        <w:gridCol w:w="692"/>
        <w:gridCol w:w="692"/>
        <w:gridCol w:w="693"/>
      </w:tblGrid>
      <w:tr w:rsidR="00340326" w:rsidRPr="00340326" w14:paraId="75918BE5" w14:textId="77777777" w:rsidTr="00E86917">
        <w:trPr>
          <w:trHeight w:val="300"/>
        </w:trPr>
        <w:tc>
          <w:tcPr>
            <w:tcW w:w="34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noWrap/>
            <w:vAlign w:val="center"/>
            <w:hideMark/>
          </w:tcPr>
          <w:p w14:paraId="61E58CE3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Obor vzdělávání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noWrap/>
            <w:vAlign w:val="center"/>
            <w:hideMark/>
          </w:tcPr>
          <w:p w14:paraId="3E5ABF06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2001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noWrap/>
            <w:vAlign w:val="center"/>
            <w:hideMark/>
          </w:tcPr>
          <w:p w14:paraId="3A5F2BDC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2011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noWrap/>
            <w:vAlign w:val="center"/>
            <w:hideMark/>
          </w:tcPr>
          <w:p w14:paraId="7022793A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2021</w:t>
            </w:r>
          </w:p>
        </w:tc>
      </w:tr>
      <w:tr w:rsidR="00340326" w:rsidRPr="00340326" w14:paraId="30FA95FE" w14:textId="77777777" w:rsidTr="00E86917">
        <w:trPr>
          <w:trHeight w:val="300"/>
        </w:trPr>
        <w:tc>
          <w:tcPr>
            <w:tcW w:w="340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B0CAB2" w14:textId="77777777" w:rsidR="00340326" w:rsidRPr="00340326" w:rsidRDefault="00340326" w:rsidP="005D247C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85D0E44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celkem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4F92D6F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ženy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650B001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muži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07CBE13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celkem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C94C315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ženy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20CD0D9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muži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0B4F4F8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celkem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926834B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ženy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587ACBD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muži</w:t>
            </w:r>
          </w:p>
        </w:tc>
      </w:tr>
      <w:tr w:rsidR="00340326" w:rsidRPr="00340326" w14:paraId="65D296AA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9081E" w14:textId="77777777" w:rsidR="00340326" w:rsidRPr="00340326" w:rsidRDefault="00340326" w:rsidP="005D247C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všechny obory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A992E62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1952404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203,4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193930E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98,4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57D659C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105,1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6B01698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392,0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C5FA80D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219,6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CBEC49A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172,4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4D892588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304,1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171A73A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169,2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029273A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134,9</w:t>
            </w:r>
          </w:p>
        </w:tc>
      </w:tr>
      <w:tr w:rsidR="00340326" w:rsidRPr="00340326" w14:paraId="7B59D088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EAD33E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6E968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52C9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CC02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35DA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D655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60DA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799E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8675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183C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9E10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</w:tr>
      <w:tr w:rsidR="00340326" w:rsidRPr="00340326" w14:paraId="4F45D6FA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1E432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Vzdělávání a výchova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0BC367E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F8361E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31,7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E50BF5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AC9BC0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83E6A2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44,6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D7C04D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35,6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9D239F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106A9B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36,4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7A9F4C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28,3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E1F3BC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</w:tr>
      <w:tr w:rsidR="00340326" w:rsidRPr="00340326" w14:paraId="574D8CD7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5514CE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BF076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4BF9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73D9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23,0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321C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47BA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9A39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16,2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6C3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08A0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C8CA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BE50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6,0</w:t>
            </w:r>
          </w:p>
        </w:tc>
      </w:tr>
      <w:tr w:rsidR="00340326" w:rsidRPr="00340326" w14:paraId="513AA656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0EB65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Umění a humanitní vědy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AF372FB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188EF99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18,0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00A4A8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10,9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5D9349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8C37D1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37,3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EA3AFD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25,2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89D403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12,2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3B6576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29,4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543CBD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19,4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4EF73C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10,0</w:t>
            </w:r>
          </w:p>
        </w:tc>
      </w:tr>
      <w:tr w:rsidR="00340326" w:rsidRPr="00340326" w14:paraId="7993F6D3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0C1EC9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5F44A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98A9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740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C0FE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A5FD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B95E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337E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4897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A46F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1361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7,4</w:t>
            </w:r>
          </w:p>
        </w:tc>
      </w:tr>
      <w:tr w:rsidR="00340326" w:rsidRPr="00340326" w14:paraId="32F7B762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0F5E3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495DB68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140F0BB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16,3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041F4C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D593D9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39C403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43,7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C57611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28,1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F342ED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FF570C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28,4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5F556F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17,6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017251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</w:tr>
      <w:tr w:rsidR="00340326" w:rsidRPr="00340326" w14:paraId="3660EE5C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42E904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2240E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E129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CEFA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9,9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35CC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ACFC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0DEF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6073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EA06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C020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5CCD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8,0</w:t>
            </w:r>
          </w:p>
        </w:tc>
      </w:tr>
      <w:tr w:rsidR="00340326" w:rsidRPr="00340326" w14:paraId="5F3AE8FD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5227A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Obchod, administrativa a právo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D28811B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5EDBA0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39,6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C069AD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46F5DC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17,6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F6DB18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90,2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E4042C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54,6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24F027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C1D98B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62,7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677B10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35,2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8CEC3D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27,5</w:t>
            </w:r>
          </w:p>
        </w:tc>
      </w:tr>
      <w:tr w:rsidR="00340326" w:rsidRPr="00340326" w14:paraId="1F6F8EC1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09175C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22260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DA3C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19,5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FE5A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22,4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9F68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16,8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13A87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23,0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25D4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24,8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25A2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90AF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78C0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426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20,4</w:t>
            </w:r>
          </w:p>
        </w:tc>
      </w:tr>
      <w:tr w:rsidR="00340326" w:rsidRPr="00340326" w14:paraId="15BDFE3A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44FF7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Přírodní vědy, matematika a statistika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73C8602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7EDB4F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54386E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A9BF1D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B9A74D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21,9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F822A5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F9FF0C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15E5B91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23,0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8FAB8A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58A4D2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</w:tr>
      <w:tr w:rsidR="00340326" w:rsidRPr="00340326" w14:paraId="6BD3461D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CEA7A0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17392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BAF1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7B89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0CF5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F4B3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48A0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F0896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44A9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DC38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372A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7,3</w:t>
            </w:r>
          </w:p>
        </w:tc>
      </w:tr>
      <w:tr w:rsidR="00340326" w:rsidRPr="00340326" w14:paraId="4AB1D1D2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5BCA0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Informační a komunikační technologie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F9203CA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FA8490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60679E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180074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7A3558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25,8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015F5B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57F374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C779C0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3AA2D4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2971FF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18,6</w:t>
            </w:r>
          </w:p>
        </w:tc>
      </w:tr>
      <w:tr w:rsidR="00340326" w:rsidRPr="00340326" w14:paraId="2F9C4716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CB3AA2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52E6B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2A95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7731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6A58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7F42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EF93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B02B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13,1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4745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ED34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BA60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13,8</w:t>
            </w:r>
          </w:p>
        </w:tc>
      </w:tr>
      <w:tr w:rsidR="00340326" w:rsidRPr="00340326" w14:paraId="0C8CE4FF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FDEDA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Technika, výroba a stavebnictví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DF50C18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CDD9F5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51,5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D37271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7E3B70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40,2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35F19CA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63,8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11377F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19,3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2EE8C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44,5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48A82E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38,5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0CCB29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7EBCFB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27,5</w:t>
            </w:r>
          </w:p>
        </w:tc>
      </w:tr>
      <w:tr w:rsidR="00340326" w:rsidRPr="00340326" w14:paraId="10B0A08F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9B69F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FBD25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7DD9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25,3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EC45E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20E7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38,3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21F3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16,3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419A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82C7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25,8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F08E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4814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1074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20,4</w:t>
            </w:r>
          </w:p>
        </w:tc>
      </w:tr>
      <w:tr w:rsidR="00340326" w:rsidRPr="00340326" w14:paraId="1FAC15AE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C5428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B0563F0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48D7CD1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9E4FD8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0DDC5C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6FA536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13,8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C5EF2B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8,3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191EFF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16AF5A8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031B72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E4D1F0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</w:tr>
      <w:tr w:rsidR="00340326" w:rsidRPr="00340326" w14:paraId="330A2A7B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C8684A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59B93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E353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B43A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F80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B4A4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D098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3D01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3F8B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8B0C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2ECF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3,2</w:t>
            </w:r>
          </w:p>
        </w:tc>
      </w:tr>
      <w:tr w:rsidR="00340326" w:rsidRPr="00340326" w14:paraId="10D73F6A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C8D99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4A0E30E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2B33339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17,7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64F788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12,0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1CFCE3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C27523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36,2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B8A35A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27,0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039966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C4B802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39,4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7801B6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28,9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8A72F8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10,5</w:t>
            </w:r>
          </w:p>
        </w:tc>
      </w:tr>
      <w:tr w:rsidR="00340326" w:rsidRPr="00340326" w14:paraId="71B49BE6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8722B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098FD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9F2A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FF61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FE9D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B3DD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F4AC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5661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9CB4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13,0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9587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37AA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7,8</w:t>
            </w:r>
          </w:p>
        </w:tc>
      </w:tr>
      <w:tr w:rsidR="00340326" w:rsidRPr="00340326" w14:paraId="4184163D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DBAD8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Služby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785C6B6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225109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2F9DD2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6A5DD7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42EC05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096228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AB742D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438B71D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16,6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79A3E9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360BEC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9,4</w:t>
            </w:r>
          </w:p>
        </w:tc>
      </w:tr>
      <w:tr w:rsidR="00340326" w:rsidRPr="00340326" w14:paraId="15AAD640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5E740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52180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2D52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85F6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2017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FDBE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4B97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4,7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BBDB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99A6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6212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217E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7,0</w:t>
            </w:r>
          </w:p>
        </w:tc>
      </w:tr>
    </w:tbl>
    <w:p w14:paraId="7DC5EF86" w14:textId="4F86030C" w:rsidR="007D3CE1" w:rsidRPr="004F315B" w:rsidRDefault="00BA133F" w:rsidP="004F315B">
      <w:pPr>
        <w:keepNext/>
        <w:spacing w:before="120" w:after="0" w:line="240" w:lineRule="auto"/>
        <w:jc w:val="both"/>
        <w:rPr>
          <w:b/>
          <w:i/>
          <w:sz w:val="18"/>
          <w:szCs w:val="18"/>
        </w:rPr>
      </w:pPr>
      <w:r w:rsidRPr="004F315B">
        <w:rPr>
          <w:i/>
          <w:sz w:val="18"/>
          <w:szCs w:val="18"/>
        </w:rPr>
        <w:t xml:space="preserve">Pozn.: Součet procent za jednotlivé kategorie se nemusí rovnat 100 %, protože jeden student může studovat více oborů na jedné či více vysokých školách. </w:t>
      </w:r>
    </w:p>
    <w:p w14:paraId="2D82E0FD" w14:textId="77777777" w:rsidR="00BA133F" w:rsidRPr="004F315B" w:rsidRDefault="00BA133F" w:rsidP="007D3CE1">
      <w:pPr>
        <w:jc w:val="right"/>
        <w:rPr>
          <w:b/>
          <w:sz w:val="18"/>
          <w:szCs w:val="18"/>
        </w:rPr>
      </w:pPr>
      <w:r w:rsidRPr="004F315B">
        <w:rPr>
          <w:sz w:val="18"/>
          <w:szCs w:val="18"/>
        </w:rPr>
        <w:t>Zdroj dat: MŠMT</w:t>
      </w:r>
    </w:p>
    <w:p w14:paraId="10FE26C0" w14:textId="176B5597" w:rsidR="00BA133F" w:rsidRDefault="006D4689" w:rsidP="003953E3">
      <w:pPr>
        <w:spacing w:after="120"/>
        <w:ind w:firstLine="284"/>
        <w:jc w:val="both"/>
        <w:rPr>
          <w:szCs w:val="20"/>
        </w:rPr>
      </w:pPr>
      <w:r>
        <w:rPr>
          <w:szCs w:val="20"/>
        </w:rPr>
        <w:t>Tabulka č. 5</w:t>
      </w:r>
      <w:r w:rsidR="00BA133F">
        <w:rPr>
          <w:szCs w:val="20"/>
        </w:rPr>
        <w:t xml:space="preserve"> dále ukazuje, jaký podíl studen</w:t>
      </w:r>
      <w:r w:rsidR="00414A29">
        <w:rPr>
          <w:szCs w:val="20"/>
        </w:rPr>
        <w:t>tů tvořili v letech 2001 až 2021</w:t>
      </w:r>
      <w:r w:rsidR="00BA133F">
        <w:rPr>
          <w:szCs w:val="20"/>
        </w:rPr>
        <w:t xml:space="preserve"> v jednotlivých skupinách oborů </w:t>
      </w:r>
      <w:r w:rsidR="00BA133F" w:rsidRPr="0005743C">
        <w:rPr>
          <w:b/>
          <w:szCs w:val="20"/>
        </w:rPr>
        <w:t>cizinci</w:t>
      </w:r>
      <w:r w:rsidR="00414A29">
        <w:rPr>
          <w:szCs w:val="20"/>
        </w:rPr>
        <w:t>. V roce 2021</w:t>
      </w:r>
      <w:r w:rsidR="00BA133F">
        <w:rPr>
          <w:szCs w:val="20"/>
        </w:rPr>
        <w:t xml:space="preserve"> zaznamenala nejvyšší podíl studentů cizí stá</w:t>
      </w:r>
      <w:r w:rsidR="0097122A">
        <w:rPr>
          <w:szCs w:val="20"/>
        </w:rPr>
        <w:t>tní příslušnosti skupina oborů I</w:t>
      </w:r>
      <w:r w:rsidR="00BA133F">
        <w:rPr>
          <w:szCs w:val="20"/>
        </w:rPr>
        <w:t>nformační a komunikační technologie. Od roku 2001 navíc tent</w:t>
      </w:r>
      <w:r w:rsidR="00414A29">
        <w:rPr>
          <w:szCs w:val="20"/>
        </w:rPr>
        <w:t>o podíl vzrostl ze 4,9 % na 30,8</w:t>
      </w:r>
      <w:r w:rsidR="00BA133F">
        <w:rPr>
          <w:szCs w:val="20"/>
        </w:rPr>
        <w:t xml:space="preserve"> %. Druhou skupinou oborů s nejčastějším </w:t>
      </w:r>
      <w:r w:rsidR="007F60D0">
        <w:rPr>
          <w:szCs w:val="20"/>
        </w:rPr>
        <w:t>zastoupením</w:t>
      </w:r>
      <w:r w:rsidR="00BA133F">
        <w:rPr>
          <w:szCs w:val="20"/>
        </w:rPr>
        <w:t xml:space="preserve"> cizinců mezi studenty </w:t>
      </w:r>
      <w:r w:rsidR="0097122A">
        <w:rPr>
          <w:szCs w:val="20"/>
        </w:rPr>
        <w:t>byla v roce 202</w:t>
      </w:r>
      <w:r w:rsidR="00414A29">
        <w:rPr>
          <w:szCs w:val="20"/>
        </w:rPr>
        <w:t>1</w:t>
      </w:r>
      <w:r w:rsidR="0097122A">
        <w:rPr>
          <w:szCs w:val="20"/>
        </w:rPr>
        <w:t xml:space="preserve"> skupina oborů Z</w:t>
      </w:r>
      <w:r w:rsidR="00BA133F">
        <w:rPr>
          <w:szCs w:val="20"/>
        </w:rPr>
        <w:t>dravotní a sociální péče, péče o</w:t>
      </w:r>
      <w:r w:rsidR="00414A29">
        <w:rPr>
          <w:szCs w:val="20"/>
        </w:rPr>
        <w:t xml:space="preserve"> příznivé životní podmínky (22,8</w:t>
      </w:r>
      <w:r w:rsidR="00824910">
        <w:rPr>
          <w:szCs w:val="20"/>
        </w:rPr>
        <w:t> </w:t>
      </w:r>
      <w:r w:rsidR="00BA133F">
        <w:rPr>
          <w:szCs w:val="20"/>
        </w:rPr>
        <w:t xml:space="preserve">%). V této skupině oborů byl přitom v roce 2001 shledán ze všech skupin oborů zdaleka nejvyšší podíl cizinců (13,2 %) a prvenství si udržela až do roku 2015 (21 %). </w:t>
      </w:r>
      <w:r w:rsidR="007D722E">
        <w:rPr>
          <w:szCs w:val="20"/>
        </w:rPr>
        <w:t xml:space="preserve">V roce 2016 již byl v této skupině oborů srovnatelný podíl cizinců jako ve skupině oborů Informační a komunikační technologie (22,7 %, resp. 22,8 %). </w:t>
      </w:r>
      <w:r w:rsidR="00BA133F">
        <w:rPr>
          <w:szCs w:val="20"/>
        </w:rPr>
        <w:t>Nejmenší podíl cizinců naopak v čase s</w:t>
      </w:r>
      <w:r w:rsidR="0097122A">
        <w:rPr>
          <w:szCs w:val="20"/>
        </w:rPr>
        <w:t>tabilně vykazuje skupina oborů V</w:t>
      </w:r>
      <w:r w:rsidR="00414A29">
        <w:rPr>
          <w:szCs w:val="20"/>
        </w:rPr>
        <w:t>zdělávání a výchova (v roce 2021</w:t>
      </w:r>
      <w:r w:rsidR="00BA133F">
        <w:rPr>
          <w:szCs w:val="20"/>
        </w:rPr>
        <w:t xml:space="preserve"> zaznamenala </w:t>
      </w:r>
      <w:r w:rsidR="00414A29">
        <w:rPr>
          <w:szCs w:val="20"/>
        </w:rPr>
        <w:t>2,4</w:t>
      </w:r>
      <w:r w:rsidR="00BA133F">
        <w:rPr>
          <w:szCs w:val="20"/>
        </w:rPr>
        <w:t> % cizinců).</w:t>
      </w:r>
    </w:p>
    <w:p w14:paraId="01214941" w14:textId="5393285B" w:rsidR="00BA133F" w:rsidRDefault="006D4689" w:rsidP="00C40888">
      <w:pPr>
        <w:keepNext/>
        <w:spacing w:after="120" w:line="240" w:lineRule="auto"/>
        <w:jc w:val="both"/>
        <w:rPr>
          <w:b/>
        </w:rPr>
      </w:pPr>
      <w:r>
        <w:rPr>
          <w:b/>
        </w:rPr>
        <w:lastRenderedPageBreak/>
        <w:t>Tabulka č. 5</w:t>
      </w:r>
      <w:r w:rsidR="00BA133F">
        <w:rPr>
          <w:b/>
        </w:rPr>
        <w:t xml:space="preserve"> </w:t>
      </w:r>
      <w:r w:rsidR="00D328E7">
        <w:rPr>
          <w:b/>
        </w:rPr>
        <w:t>Studenti VŠ v ČR –</w:t>
      </w:r>
      <w:r>
        <w:rPr>
          <w:b/>
        </w:rPr>
        <w:t xml:space="preserve"> p</w:t>
      </w:r>
      <w:r w:rsidR="00BA133F">
        <w:rPr>
          <w:b/>
        </w:rPr>
        <w:t xml:space="preserve">odíl cizinců celkem a v jednotlivých skupinách oborů </w:t>
      </w:r>
      <w:r>
        <w:rPr>
          <w:b/>
        </w:rPr>
        <w:t xml:space="preserve">vzdělání </w:t>
      </w:r>
      <w:r w:rsidR="002B2518">
        <w:rPr>
          <w:b/>
        </w:rPr>
        <w:t>(</w:t>
      </w:r>
      <w:r w:rsidR="00BA133F">
        <w:rPr>
          <w:b/>
        </w:rPr>
        <w:t>v %)</w:t>
      </w:r>
    </w:p>
    <w:tbl>
      <w:tblPr>
        <w:tblW w:w="9639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39"/>
        <w:gridCol w:w="700"/>
        <w:gridCol w:w="700"/>
        <w:gridCol w:w="700"/>
        <w:gridCol w:w="700"/>
        <w:gridCol w:w="700"/>
        <w:gridCol w:w="700"/>
        <w:gridCol w:w="700"/>
        <w:gridCol w:w="700"/>
        <w:gridCol w:w="700"/>
      </w:tblGrid>
      <w:tr w:rsidR="00414A29" w:rsidRPr="00414A29" w14:paraId="04D47807" w14:textId="77777777" w:rsidTr="00E86917">
        <w:trPr>
          <w:trHeight w:hRule="exact" w:val="300"/>
        </w:trPr>
        <w:tc>
          <w:tcPr>
            <w:tcW w:w="3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DCA9836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03E2710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2001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B6D4351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2006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9BC3E3C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2011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5AC6C66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2016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2C74E6A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2017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317E551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2018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6C51FBB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35F2878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2020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4A04DC6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2021</w:t>
            </w:r>
          </w:p>
        </w:tc>
      </w:tr>
      <w:tr w:rsidR="00414A29" w:rsidRPr="00414A29" w14:paraId="3A4C5DAE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D68E0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Studenti cizinci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D4C6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4,3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86B3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7,5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5595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9,9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077C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0F71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53F92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15,4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49FA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16,1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E8F4E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C8D0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17,1</w:t>
            </w:r>
          </w:p>
        </w:tc>
      </w:tr>
      <w:tr w:rsidR="00414A29" w:rsidRPr="00414A29" w14:paraId="287BDE59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B29EE6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Informační a komunikační technologie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6AA5B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245D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F233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6354B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748F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24,3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66FC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25,9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B663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26,8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DDB1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29,1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A221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30,8</w:t>
            </w:r>
          </w:p>
        </w:tc>
      </w:tr>
      <w:tr w:rsidR="00414A29" w:rsidRPr="00414A29" w14:paraId="45114161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0DC311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128A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0B74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4E6C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5559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1C68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A94E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23,3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FCDB8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23,3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3D73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23,2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4753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</w:tr>
      <w:tr w:rsidR="00414A29" w:rsidRPr="00414A29" w14:paraId="12DA9B60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05F8E2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Přírodní vědy, matematika a statistika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9DD5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5,1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DAB1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8C89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4877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E0A6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18B9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18,5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459C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19,1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5C752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20,9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C50F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22,0</w:t>
            </w:r>
          </w:p>
        </w:tc>
      </w:tr>
      <w:tr w:rsidR="00414A29" w:rsidRPr="00414A29" w14:paraId="1084FE32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877994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01C7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0410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B1D1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868C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9721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9B7B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AA50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17,8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9CF98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18,9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DA9B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19,7</w:t>
            </w:r>
          </w:p>
        </w:tc>
      </w:tr>
      <w:tr w:rsidR="00414A29" w:rsidRPr="00414A29" w14:paraId="70EB689A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186B6D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Obchod, administrativa a právo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E1555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52477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4A0C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12,4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7D672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A8E1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99E1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27F6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E118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17,2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2EE4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17,6</w:t>
            </w:r>
          </w:p>
        </w:tc>
      </w:tr>
      <w:tr w:rsidR="00414A29" w:rsidRPr="00414A29" w14:paraId="1C8B7F26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18BF74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Umění a humanitní vědy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58102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30895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6,8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D3AAE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11D6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1930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1ECC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640F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77BC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3792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16,9</w:t>
            </w:r>
          </w:p>
        </w:tc>
      </w:tr>
      <w:tr w:rsidR="00414A29" w:rsidRPr="00414A29" w14:paraId="7001FC49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98E33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Technika, výroba a stavebnictví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1199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062C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9E50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3FFA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2A54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B237B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CF03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93AB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F31B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14,9</w:t>
            </w:r>
          </w:p>
        </w:tc>
      </w:tr>
      <w:tr w:rsidR="00414A29" w:rsidRPr="00414A29" w14:paraId="230AAD8A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86413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3E19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1B8D7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CF44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6,1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468BE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11,8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2FAC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C194E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3C43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A5335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6F61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14,2</w:t>
            </w:r>
          </w:p>
        </w:tc>
      </w:tr>
      <w:tr w:rsidR="00414A29" w:rsidRPr="00414A29" w14:paraId="57D3CEB2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B045EC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Služby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750D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432E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26F2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E5EAB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28E8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1B02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0627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11,3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F8C28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0DB9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10,4</w:t>
            </w:r>
          </w:p>
        </w:tc>
      </w:tr>
      <w:tr w:rsidR="00414A29" w:rsidRPr="00414A29" w14:paraId="345B16FD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AD6305" w14:textId="77777777" w:rsidR="00414A29" w:rsidRPr="00414A29" w:rsidRDefault="00414A29" w:rsidP="00414A29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Vzdělávání a výchova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CA748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A67B9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9F3A1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45601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46193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FE586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50417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AF253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F1952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2,4</w:t>
            </w:r>
          </w:p>
        </w:tc>
      </w:tr>
    </w:tbl>
    <w:p w14:paraId="538B82A7" w14:textId="22891065" w:rsidR="00414A29" w:rsidRPr="00563154" w:rsidRDefault="00414A29" w:rsidP="00C40888">
      <w:pPr>
        <w:keepNext/>
        <w:spacing w:after="120" w:line="240" w:lineRule="auto"/>
        <w:jc w:val="both"/>
        <w:rPr>
          <w:szCs w:val="20"/>
        </w:rPr>
      </w:pPr>
    </w:p>
    <w:p w14:paraId="670BB820" w14:textId="77777777" w:rsidR="00BA133F" w:rsidRPr="00603134" w:rsidRDefault="00BA133F" w:rsidP="00C40888">
      <w:pPr>
        <w:keepNext/>
        <w:spacing w:before="120" w:after="120" w:line="240" w:lineRule="auto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47A380C3" w14:textId="4ADC1F7E" w:rsidR="00BA133F" w:rsidRDefault="00BA133F" w:rsidP="003953E3">
      <w:pPr>
        <w:ind w:firstLine="284"/>
        <w:jc w:val="both"/>
      </w:pPr>
      <w:r w:rsidRPr="00564B68">
        <w:t xml:space="preserve">Pokud se jedná o podíl studentů </w:t>
      </w:r>
      <w:r w:rsidRPr="00564B68">
        <w:rPr>
          <w:b/>
        </w:rPr>
        <w:t>doktorského</w:t>
      </w:r>
      <w:r w:rsidRPr="0005743C">
        <w:rPr>
          <w:b/>
        </w:rPr>
        <w:t xml:space="preserve"> studia</w:t>
      </w:r>
      <w:r>
        <w:t>, ve všech sledovaných letech zaznamenala nejvyšší podíl stud</w:t>
      </w:r>
      <w:r w:rsidR="00965B11">
        <w:t xml:space="preserve">entů této úrovně </w:t>
      </w:r>
      <w:r w:rsidR="00D55123">
        <w:t xml:space="preserve">vzdělávání </w:t>
      </w:r>
      <w:r w:rsidR="00965B11">
        <w:t>skupina oborů P</w:t>
      </w:r>
      <w:r w:rsidRPr="00253FD7">
        <w:t>řírod</w:t>
      </w:r>
      <w:r>
        <w:t xml:space="preserve">ní vědy, matematika a statistika (v roce </w:t>
      </w:r>
      <w:r w:rsidR="00564B68">
        <w:t xml:space="preserve">2001 tvořil 28,8 % a v roce 2021 pětinu, tj. 20,3 %). Cca desetinový </w:t>
      </w:r>
      <w:r w:rsidR="00D328E7">
        <w:t>až osminový</w:t>
      </w:r>
      <w:r>
        <w:t xml:space="preserve"> </w:t>
      </w:r>
      <w:r w:rsidR="00D55123">
        <w:t xml:space="preserve">podíl </w:t>
      </w:r>
      <w:r w:rsidR="00965B11">
        <w:t>studentů doktorského studia</w:t>
      </w:r>
      <w:r>
        <w:t xml:space="preserve"> </w:t>
      </w:r>
      <w:r w:rsidR="00D55123">
        <w:t xml:space="preserve">(tj.  v rozsahu od 9,5 % do 12,1 %) </w:t>
      </w:r>
      <w:r>
        <w:t>dále ve všech sledovaných le</w:t>
      </w:r>
      <w:r w:rsidR="00965B11">
        <w:t>tech zaznamenaly skupiny oborů T</w:t>
      </w:r>
      <w:r>
        <w:t>ec</w:t>
      </w:r>
      <w:r w:rsidR="00965B11">
        <w:t>hnika, výroba a stavebnictví a U</w:t>
      </w:r>
      <w:r>
        <w:t xml:space="preserve">mění a humanitní vědy. Naopak nejmenší podíl studentů doktorského studia byl ve všech sledovaných </w:t>
      </w:r>
      <w:r w:rsidR="00965B11">
        <w:t>letech zjištěn u skupiny oborů V</w:t>
      </w:r>
      <w:r>
        <w:t>zděláv</w:t>
      </w:r>
      <w:r w:rsidR="007D3CE1">
        <w:t>ání a výchova</w:t>
      </w:r>
      <w:r w:rsidR="00D55123">
        <w:t xml:space="preserve"> (v rozmezí od 1,6 % do 2,7 %)</w:t>
      </w:r>
      <w:r w:rsidR="007D3CE1">
        <w:t xml:space="preserve"> –</w:t>
      </w:r>
      <w:r w:rsidR="00AB3951">
        <w:t xml:space="preserve"> </w:t>
      </w:r>
      <w:r w:rsidR="006D4689">
        <w:t>viz tabulku č. 6</w:t>
      </w:r>
      <w:r w:rsidR="00965B11">
        <w:t>.</w:t>
      </w:r>
    </w:p>
    <w:p w14:paraId="668F8A36" w14:textId="57485B7C" w:rsidR="00BA133F" w:rsidRDefault="006D4689" w:rsidP="00C40888">
      <w:pPr>
        <w:keepNext/>
        <w:spacing w:after="120" w:line="240" w:lineRule="auto"/>
        <w:jc w:val="both"/>
        <w:rPr>
          <w:b/>
        </w:rPr>
      </w:pPr>
      <w:r>
        <w:rPr>
          <w:b/>
        </w:rPr>
        <w:t>Tabulka č. 6</w:t>
      </w:r>
      <w:r w:rsidR="00BA133F">
        <w:rPr>
          <w:b/>
        </w:rPr>
        <w:t xml:space="preserve"> </w:t>
      </w:r>
      <w:r w:rsidR="00D328E7">
        <w:rPr>
          <w:b/>
        </w:rPr>
        <w:t>Studenti VŠ v ČR –</w:t>
      </w:r>
      <w:r>
        <w:rPr>
          <w:b/>
        </w:rPr>
        <w:t xml:space="preserve"> p</w:t>
      </w:r>
      <w:r w:rsidR="00BA133F">
        <w:rPr>
          <w:b/>
        </w:rPr>
        <w:t xml:space="preserve">odíl studentů doktorského studia </w:t>
      </w:r>
      <w:r>
        <w:rPr>
          <w:b/>
        </w:rPr>
        <w:t>dle skupin oborů vzdělání (</w:t>
      </w:r>
      <w:r w:rsidR="00BA133F">
        <w:rPr>
          <w:b/>
        </w:rPr>
        <w:t>v %)</w:t>
      </w:r>
    </w:p>
    <w:tbl>
      <w:tblPr>
        <w:tblW w:w="980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60"/>
        <w:gridCol w:w="660"/>
        <w:gridCol w:w="660"/>
        <w:gridCol w:w="660"/>
        <w:gridCol w:w="660"/>
        <w:gridCol w:w="660"/>
        <w:gridCol w:w="660"/>
        <w:gridCol w:w="660"/>
        <w:gridCol w:w="660"/>
        <w:gridCol w:w="660"/>
      </w:tblGrid>
      <w:tr w:rsidR="00564B68" w:rsidRPr="00564B68" w14:paraId="35262D7F" w14:textId="77777777" w:rsidTr="00E86917">
        <w:trPr>
          <w:trHeight w:val="300"/>
        </w:trPr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97A196F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1C2E77D7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2001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DB835A4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2006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EEEB9CE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2011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75AFCE4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2016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8A45D44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2017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49ADA82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2018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3BDA125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CDBBBD8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2020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4C2182C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2021</w:t>
            </w:r>
          </w:p>
        </w:tc>
      </w:tr>
      <w:tr w:rsidR="00564B68" w:rsidRPr="00564B68" w14:paraId="1ADCD722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C2EFD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Studenti doktorského studia celkem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36F3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8,1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D3EA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9920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6,5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46FC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0556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9D21A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DD5F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5FFC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2651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7,0</w:t>
            </w:r>
          </w:p>
        </w:tc>
      </w:tr>
      <w:tr w:rsidR="00564B68" w:rsidRPr="00564B68" w14:paraId="27DBB4C4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5FA8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Přírodní vědy, matematika a statistika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922A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28,8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4169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2C31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19,9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24FE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FF38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EA57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22,9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E7FD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20,9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B9BD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20,7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5A80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20,3</w:t>
            </w:r>
          </w:p>
        </w:tc>
      </w:tr>
      <w:tr w:rsidR="00564B68" w:rsidRPr="00564B68" w14:paraId="75082B70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27ABA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Technika, výroba a stavebnictví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AFBE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E879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467F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4A2AE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1B91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7677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87F6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D0123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12,1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190A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12,0</w:t>
            </w:r>
          </w:p>
        </w:tc>
      </w:tr>
      <w:tr w:rsidR="00564B68" w:rsidRPr="00564B68" w14:paraId="02F8F44E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76BC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Umění a humanitní vědy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EE0D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4D51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F177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4EB4E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3E17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D225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B3F7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EAC9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0206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</w:tr>
      <w:tr w:rsidR="00564B68" w:rsidRPr="00564B68" w14:paraId="64F9FA91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10DBC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89E0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3038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C1AF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3D21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FC46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F5E0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79AA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587A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31E3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</w:tr>
      <w:tr w:rsidR="00564B68" w:rsidRPr="00564B68" w14:paraId="14BFC253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E726D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8B30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A432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E2C6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AE02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55B5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DA3C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098E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5C12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112E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</w:tr>
      <w:tr w:rsidR="00564B68" w:rsidRPr="00564B68" w14:paraId="779A9DA8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EB4C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A3333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AFD8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BE66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2BB2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2E12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42CB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383DA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61E4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4930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5,5</w:t>
            </w:r>
          </w:p>
        </w:tc>
      </w:tr>
      <w:tr w:rsidR="00564B68" w:rsidRPr="00564B68" w14:paraId="25EAB76E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F35F0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Informační a komunikační technologie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4EE0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DA64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15F5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2789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A4F9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B456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2E84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4929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8128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4,1</w:t>
            </w:r>
          </w:p>
        </w:tc>
      </w:tr>
      <w:tr w:rsidR="00564B68" w:rsidRPr="00564B68" w14:paraId="4BCFEFF7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BC56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Služby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12DC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6F773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FD8C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C60F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1151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2C4A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F4EC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EEC4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B6FE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3,6</w:t>
            </w:r>
          </w:p>
        </w:tc>
      </w:tr>
      <w:tr w:rsidR="00564B68" w:rsidRPr="00564B68" w14:paraId="5A8C89B4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5BFC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Obchod, administrativa a právo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B287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BF15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56E9E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1741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FAE9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A741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51D0E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880F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79C1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</w:tr>
      <w:tr w:rsidR="00564B68" w:rsidRPr="00564B68" w14:paraId="581A865F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BACAF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Vzdělávání a výchova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C9DC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E8E5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7D44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6BF5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7650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B2053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3C9C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07E8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3EE5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2,1</w:t>
            </w:r>
          </w:p>
        </w:tc>
      </w:tr>
    </w:tbl>
    <w:p w14:paraId="2C7985A5" w14:textId="5FE2C363" w:rsidR="00564B68" w:rsidRPr="00F34F68" w:rsidRDefault="00564B68" w:rsidP="00C40888">
      <w:pPr>
        <w:keepNext/>
        <w:spacing w:after="120" w:line="240" w:lineRule="auto"/>
        <w:jc w:val="both"/>
        <w:rPr>
          <w:szCs w:val="20"/>
        </w:rPr>
      </w:pPr>
    </w:p>
    <w:p w14:paraId="6999EA72" w14:textId="77777777" w:rsidR="00BA133F" w:rsidRPr="00603134" w:rsidRDefault="00BA133F" w:rsidP="00C40888">
      <w:pPr>
        <w:keepNext/>
        <w:spacing w:before="120" w:after="120" w:line="240" w:lineRule="auto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45D6D5BB" w14:textId="0F564B5C" w:rsidR="0052370F" w:rsidRDefault="00BA133F" w:rsidP="003953E3">
      <w:pPr>
        <w:keepNext/>
        <w:ind w:firstLine="284"/>
        <w:jc w:val="both"/>
      </w:pPr>
      <w:r>
        <w:t xml:space="preserve">Nakonec můžeme též porovnat </w:t>
      </w:r>
      <w:r w:rsidRPr="00BF1949">
        <w:rPr>
          <w:b/>
        </w:rPr>
        <w:t>podíl studentů distančního a kombinovaného studia</w:t>
      </w:r>
      <w:r w:rsidRPr="00BF1949">
        <w:t xml:space="preserve"> v jednotlivých skupinách oborů </w:t>
      </w:r>
      <w:r w:rsidR="008F6A50" w:rsidRPr="00BF1949">
        <w:t>vzdělání</w:t>
      </w:r>
      <w:r w:rsidRPr="00BF1949">
        <w:t>. Jak je patrné</w:t>
      </w:r>
      <w:r w:rsidR="004273EA">
        <w:t xml:space="preserve"> z </w:t>
      </w:r>
      <w:r w:rsidR="00292939">
        <w:t>ta</w:t>
      </w:r>
      <w:r w:rsidR="007871A3">
        <w:t>bulky</w:t>
      </w:r>
      <w:r w:rsidR="004273EA">
        <w:t xml:space="preserve"> č. 7</w:t>
      </w:r>
      <w:r w:rsidRPr="00BF1949">
        <w:t>, více než</w:t>
      </w:r>
      <w:r w:rsidR="00CB24DC" w:rsidRPr="00BF1949">
        <w:t xml:space="preserve"> třetina studentů skupin oborů Služeb</w:t>
      </w:r>
      <w:r w:rsidR="00853A82">
        <w:t xml:space="preserve"> </w:t>
      </w:r>
      <w:r w:rsidR="00CB24DC" w:rsidRPr="00BF1949">
        <w:t>a V</w:t>
      </w:r>
      <w:r w:rsidRPr="00BF1949">
        <w:t>zd</w:t>
      </w:r>
      <w:r w:rsidR="00E27CE5" w:rsidRPr="00BF1949">
        <w:t>ělávání a výchova se v roce 2021</w:t>
      </w:r>
      <w:r w:rsidRPr="00BF1949">
        <w:t xml:space="preserve"> účastnila vzdělávání </w:t>
      </w:r>
      <w:r w:rsidR="007808A4" w:rsidRPr="00BF1949">
        <w:t>(zcela či mimo jiné) distanční či</w:t>
      </w:r>
      <w:r w:rsidRPr="00BF1949">
        <w:t xml:space="preserve"> kombinovanou formou (</w:t>
      </w:r>
      <w:r>
        <w:t xml:space="preserve">studenti mohou být zapsaní ve více oborech vzdělávání). </w:t>
      </w:r>
      <w:r w:rsidR="007F60D0">
        <w:t>Č</w:t>
      </w:r>
      <w:r>
        <w:t xml:space="preserve">tvrtinový </w:t>
      </w:r>
      <w:r w:rsidR="007F60D0">
        <w:t xml:space="preserve">až pětinový </w:t>
      </w:r>
      <w:r>
        <w:t>podíl takových studentů</w:t>
      </w:r>
      <w:r w:rsidR="00CB24DC">
        <w:t xml:space="preserve"> zaznamenaly též skupiny oborů Obchod, </w:t>
      </w:r>
      <w:r w:rsidR="00990D82">
        <w:t>a</w:t>
      </w:r>
      <w:r w:rsidR="00CB24DC">
        <w:t xml:space="preserve">dministrativa a právo, </w:t>
      </w:r>
      <w:r w:rsidR="00E27CE5">
        <w:t>Z</w:t>
      </w:r>
      <w:r w:rsidR="00E27CE5" w:rsidRPr="00F62793">
        <w:t>emědělství, lesnictví, rybářství a veterinářství</w:t>
      </w:r>
      <w:r w:rsidR="00E27CE5">
        <w:t xml:space="preserve">, </w:t>
      </w:r>
      <w:r w:rsidR="00CB24DC">
        <w:t>S</w:t>
      </w:r>
      <w:r w:rsidRPr="00F62793">
        <w:t>polečenské vědy, žurnalistika a informační vědy</w:t>
      </w:r>
      <w:r w:rsidR="00E27CE5">
        <w:t xml:space="preserve"> </w:t>
      </w:r>
      <w:r>
        <w:t xml:space="preserve">a </w:t>
      </w:r>
      <w:r w:rsidR="00CB24DC">
        <w:t>Z</w:t>
      </w:r>
      <w:r>
        <w:t>dravotní a sociální</w:t>
      </w:r>
      <w:r w:rsidRPr="00F34F68">
        <w:t xml:space="preserve"> </w:t>
      </w:r>
      <w:r>
        <w:t xml:space="preserve">péče, péče o příznivé </w:t>
      </w:r>
      <w:r>
        <w:lastRenderedPageBreak/>
        <w:t>životní</w:t>
      </w:r>
      <w:r w:rsidRPr="00F34F68">
        <w:t xml:space="preserve"> podmínky</w:t>
      </w:r>
      <w:r w:rsidR="00E27CE5">
        <w:t xml:space="preserve"> (23,6 % až 19,8</w:t>
      </w:r>
      <w:r w:rsidRPr="00F62793">
        <w:t> %).</w:t>
      </w:r>
      <w:r>
        <w:t xml:space="preserve"> </w:t>
      </w:r>
      <w:r w:rsidR="00292939">
        <w:t>Naopak ze studentů oborů z oblasti Přírodních věd, matematiky a statistiky se distanční či kombinovanou formou vzdělávala jen necelá desetina (9,1 %).</w:t>
      </w:r>
    </w:p>
    <w:p w14:paraId="50C3F736" w14:textId="2C77C49E" w:rsidR="00BA133F" w:rsidRDefault="0052370F" w:rsidP="00874B90">
      <w:pPr>
        <w:keepNext/>
        <w:ind w:firstLine="284"/>
        <w:jc w:val="both"/>
      </w:pPr>
      <w:r w:rsidRPr="006F308B">
        <w:t>Mezi lety</w:t>
      </w:r>
      <w:r w:rsidR="00B82B41" w:rsidRPr="006F308B">
        <w:rPr>
          <w:b/>
        </w:rPr>
        <w:t xml:space="preserve"> 2001 </w:t>
      </w:r>
      <w:r w:rsidRPr="006F308B">
        <w:rPr>
          <w:b/>
        </w:rPr>
        <w:t xml:space="preserve">a </w:t>
      </w:r>
      <w:r w:rsidR="00E27CE5" w:rsidRPr="006F308B">
        <w:rPr>
          <w:b/>
        </w:rPr>
        <w:t>2021</w:t>
      </w:r>
      <w:r w:rsidR="00BA133F">
        <w:t xml:space="preserve"> zaznamenaly skupiny oborů zpravidla nárůst podílu </w:t>
      </w:r>
      <w:r w:rsidR="00D55123">
        <w:t>studentů jinou než denní formou, ovšem s výjimkou tří skupin oborů.</w:t>
      </w:r>
      <w:r w:rsidR="00BA133F">
        <w:t xml:space="preserve"> </w:t>
      </w:r>
      <w:r w:rsidR="00D55123">
        <w:t>Jednou je skupina</w:t>
      </w:r>
      <w:r w:rsidR="00CB24DC">
        <w:t xml:space="preserve"> oborů </w:t>
      </w:r>
      <w:r w:rsidR="00CB24DC" w:rsidRPr="006F308B">
        <w:rPr>
          <w:b/>
          <w:i/>
        </w:rPr>
        <w:t>P</w:t>
      </w:r>
      <w:r w:rsidR="00BA133F" w:rsidRPr="006F308B">
        <w:rPr>
          <w:b/>
          <w:i/>
        </w:rPr>
        <w:t>řírodní</w:t>
      </w:r>
      <w:r w:rsidR="00D55123" w:rsidRPr="006F308B">
        <w:rPr>
          <w:b/>
          <w:i/>
        </w:rPr>
        <w:t xml:space="preserve"> vědy, matematika a statistika</w:t>
      </w:r>
      <w:r w:rsidR="00D55123">
        <w:t xml:space="preserve">, ve které podíl studentů jinou než denní formou vzdělávání </w:t>
      </w:r>
      <w:r w:rsidR="00E27CE5">
        <w:t>mezi lety 2001 a 2021</w:t>
      </w:r>
      <w:r w:rsidR="00350163">
        <w:t xml:space="preserve"> </w:t>
      </w:r>
      <w:r w:rsidR="00853A82">
        <w:t>soustavně klesal a</w:t>
      </w:r>
      <w:r w:rsidR="00B82B41">
        <w:t xml:space="preserve"> celkem </w:t>
      </w:r>
      <w:r w:rsidR="00853A82">
        <w:t xml:space="preserve">se </w:t>
      </w:r>
      <w:r w:rsidR="00B82B41">
        <w:t xml:space="preserve">snížil </w:t>
      </w:r>
      <w:r w:rsidR="00BA133F">
        <w:t xml:space="preserve">o </w:t>
      </w:r>
      <w:r w:rsidR="00E27CE5">
        <w:t>6,4</w:t>
      </w:r>
      <w:r w:rsidR="00BA133F">
        <w:t xml:space="preserve"> pr</w:t>
      </w:r>
      <w:r w:rsidR="00D55123">
        <w:t xml:space="preserve">ocentního bodu. Další </w:t>
      </w:r>
      <w:r w:rsidR="0040170A">
        <w:t>výjimku tvoří skupina oborů</w:t>
      </w:r>
      <w:r w:rsidR="00D55123">
        <w:t xml:space="preserve"> </w:t>
      </w:r>
      <w:r w:rsidR="00CB24DC" w:rsidRPr="006F308B">
        <w:rPr>
          <w:b/>
          <w:i/>
        </w:rPr>
        <w:t>S</w:t>
      </w:r>
      <w:r w:rsidR="00BA133F" w:rsidRPr="006F308B">
        <w:rPr>
          <w:b/>
          <w:i/>
        </w:rPr>
        <w:t xml:space="preserve">polečenské vědy, </w:t>
      </w:r>
      <w:r w:rsidR="00D55123" w:rsidRPr="006F308B">
        <w:rPr>
          <w:b/>
          <w:i/>
        </w:rPr>
        <w:t>žurnalistika a informační vědy</w:t>
      </w:r>
      <w:r w:rsidR="00D55123">
        <w:t>. Ta zaznamenala po</w:t>
      </w:r>
      <w:r w:rsidR="00350163">
        <w:t xml:space="preserve"> roce 2001 sice r</w:t>
      </w:r>
      <w:r w:rsidR="00E27CE5">
        <w:t>ůst</w:t>
      </w:r>
      <w:r w:rsidR="00D55123">
        <w:t xml:space="preserve"> podílu studentů jinou než denní formou vzdělávání</w:t>
      </w:r>
      <w:r w:rsidR="00E27CE5">
        <w:t xml:space="preserve">, avšak mezi lety 2011 a 2021 se </w:t>
      </w:r>
      <w:r w:rsidR="00D55123">
        <w:t>podíl</w:t>
      </w:r>
      <w:r w:rsidR="0040170A">
        <w:t xml:space="preserve"> takových studentů</w:t>
      </w:r>
      <w:r w:rsidR="00D55123">
        <w:t xml:space="preserve"> naopak </w:t>
      </w:r>
      <w:r w:rsidR="00E27CE5">
        <w:t>snížil z cca třetiny na pětinu</w:t>
      </w:r>
      <w:r w:rsidR="00D55123">
        <w:t>. Třetí výjimku tvoří skupina</w:t>
      </w:r>
      <w:r w:rsidR="00CB24DC">
        <w:t xml:space="preserve"> oborů </w:t>
      </w:r>
      <w:r w:rsidR="00CB24DC" w:rsidRPr="006F308B">
        <w:rPr>
          <w:b/>
          <w:i/>
        </w:rPr>
        <w:t>U</w:t>
      </w:r>
      <w:r w:rsidR="0040170A" w:rsidRPr="006F308B">
        <w:rPr>
          <w:b/>
          <w:i/>
        </w:rPr>
        <w:t>mění a humanitní vědy</w:t>
      </w:r>
      <w:r w:rsidR="0040170A">
        <w:t xml:space="preserve">, ve které podíl studentů jinou než denní formou vzdělávání také </w:t>
      </w:r>
      <w:r w:rsidR="00350163">
        <w:t xml:space="preserve">po roce 2001 </w:t>
      </w:r>
      <w:r w:rsidR="0040170A">
        <w:t>nejprve rostl</w:t>
      </w:r>
      <w:r w:rsidR="00350163">
        <w:t xml:space="preserve">, </w:t>
      </w:r>
      <w:r w:rsidR="0040170A">
        <w:t>ale už méně výrazně a</w:t>
      </w:r>
      <w:r w:rsidR="00E27CE5">
        <w:t xml:space="preserve"> mezi </w:t>
      </w:r>
      <w:r w:rsidR="00853A82">
        <w:t xml:space="preserve">lety 2011 a 2021 se </w:t>
      </w:r>
      <w:r w:rsidR="0040170A">
        <w:t xml:space="preserve">pak </w:t>
      </w:r>
      <w:r w:rsidR="00853A82">
        <w:t>snížil o 4,4</w:t>
      </w:r>
      <w:r w:rsidR="00BA133F" w:rsidRPr="00E018BA">
        <w:t xml:space="preserve"> procentního bodu</w:t>
      </w:r>
      <w:r w:rsidR="00B82B41">
        <w:t xml:space="preserve">. </w:t>
      </w:r>
      <w:r w:rsidR="00874B90">
        <w:t xml:space="preserve">Zaměříme-li se však na </w:t>
      </w:r>
      <w:r w:rsidR="00874B90" w:rsidRPr="006F308B">
        <w:rPr>
          <w:b/>
        </w:rPr>
        <w:t>období</w:t>
      </w:r>
      <w:r w:rsidR="00874B90">
        <w:t xml:space="preserve"> </w:t>
      </w:r>
      <w:r w:rsidR="00874B90" w:rsidRPr="00874B90">
        <w:rPr>
          <w:b/>
        </w:rPr>
        <w:t>posledních deseti let</w:t>
      </w:r>
      <w:r w:rsidR="00874B90">
        <w:t xml:space="preserve">, </w:t>
      </w:r>
      <w:r w:rsidR="00B82B41">
        <w:t xml:space="preserve">je možné konstatovat, že s výjimkou </w:t>
      </w:r>
      <w:r>
        <w:t>skupiny oborů S</w:t>
      </w:r>
      <w:r w:rsidR="00B82B41">
        <w:t>lužeb došlo ve všec</w:t>
      </w:r>
      <w:r w:rsidR="00E27CE5">
        <w:t xml:space="preserve">h skupinách oborů </w:t>
      </w:r>
      <w:r w:rsidR="00E27CE5" w:rsidRPr="006F308B">
        <w:t>mezi lety 2011 a 2021</w:t>
      </w:r>
      <w:r w:rsidR="00B82B41">
        <w:t xml:space="preserve"> ke </w:t>
      </w:r>
      <w:r w:rsidR="00B82B41" w:rsidRPr="006F308B">
        <w:rPr>
          <w:b/>
        </w:rPr>
        <w:t xml:space="preserve">snížení </w:t>
      </w:r>
      <w:r w:rsidR="00B82B41">
        <w:t xml:space="preserve">podílu </w:t>
      </w:r>
      <w:r w:rsidR="00BA133F">
        <w:t xml:space="preserve"> </w:t>
      </w:r>
      <w:r w:rsidR="00B82B41" w:rsidRPr="00B82B41">
        <w:t>studentů v distančním a kombinovaném studiu</w:t>
      </w:r>
      <w:r>
        <w:t xml:space="preserve">. K růstu podílu těchto studentů docházelo tedy zejména v první dekádě 21. století </w:t>
      </w:r>
      <w:r w:rsidR="00B82B41" w:rsidRPr="00B82B41">
        <w:t xml:space="preserve"> </w:t>
      </w:r>
      <w:r w:rsidR="00BA133F">
        <w:t xml:space="preserve">– </w:t>
      </w:r>
      <w:r w:rsidR="008F6A50">
        <w:t>viz tabulku č. 7</w:t>
      </w:r>
      <w:r w:rsidR="007D3CE1">
        <w:t>.</w:t>
      </w:r>
    </w:p>
    <w:p w14:paraId="08EFA20B" w14:textId="0C684EC1" w:rsidR="00BA133F" w:rsidRDefault="008F6A50" w:rsidP="00BA133F">
      <w:pPr>
        <w:keepNext/>
        <w:spacing w:after="120"/>
        <w:jc w:val="both"/>
        <w:rPr>
          <w:b/>
        </w:rPr>
      </w:pPr>
      <w:r>
        <w:rPr>
          <w:b/>
        </w:rPr>
        <w:t>Tabulka č. 7</w:t>
      </w:r>
      <w:r w:rsidR="00BA133F">
        <w:rPr>
          <w:b/>
        </w:rPr>
        <w:t xml:space="preserve"> </w:t>
      </w:r>
      <w:r>
        <w:rPr>
          <w:b/>
        </w:rPr>
        <w:t>Studenti VŠ v ČR - p</w:t>
      </w:r>
      <w:r w:rsidR="00BA133F">
        <w:rPr>
          <w:b/>
        </w:rPr>
        <w:t xml:space="preserve">odíl </w:t>
      </w:r>
      <w:r w:rsidR="00AF0F32">
        <w:rPr>
          <w:b/>
        </w:rPr>
        <w:t xml:space="preserve">studentů </w:t>
      </w:r>
      <w:r w:rsidR="00BD5355">
        <w:rPr>
          <w:b/>
        </w:rPr>
        <w:t>v </w:t>
      </w:r>
      <w:r w:rsidR="00BA133F">
        <w:rPr>
          <w:b/>
        </w:rPr>
        <w:t>di</w:t>
      </w:r>
      <w:r w:rsidR="00BD5355">
        <w:rPr>
          <w:b/>
        </w:rPr>
        <w:t>stančním a kombinovaném studiu</w:t>
      </w:r>
      <w:r w:rsidR="00BA133F">
        <w:rPr>
          <w:b/>
        </w:rPr>
        <w:t xml:space="preserve"> </w:t>
      </w:r>
      <w:r>
        <w:rPr>
          <w:b/>
        </w:rPr>
        <w:t>dle skupin</w:t>
      </w:r>
      <w:r w:rsidR="00BA133F">
        <w:rPr>
          <w:b/>
        </w:rPr>
        <w:t xml:space="preserve"> oborů</w:t>
      </w:r>
      <w:r>
        <w:rPr>
          <w:b/>
        </w:rPr>
        <w:t xml:space="preserve"> vzdělání</w:t>
      </w:r>
      <w:r w:rsidR="00BA133F">
        <w:rPr>
          <w:b/>
        </w:rPr>
        <w:t xml:space="preserve"> (v %)</w:t>
      </w:r>
    </w:p>
    <w:tbl>
      <w:tblPr>
        <w:tblW w:w="9639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28"/>
        <w:gridCol w:w="645"/>
        <w:gridCol w:w="646"/>
        <w:gridCol w:w="646"/>
        <w:gridCol w:w="645"/>
        <w:gridCol w:w="646"/>
        <w:gridCol w:w="646"/>
        <w:gridCol w:w="645"/>
        <w:gridCol w:w="646"/>
        <w:gridCol w:w="646"/>
      </w:tblGrid>
      <w:tr w:rsidR="008C74AD" w:rsidRPr="008C74AD" w14:paraId="1BB3429F" w14:textId="77777777" w:rsidTr="00E86917">
        <w:trPr>
          <w:trHeight w:hRule="exact" w:val="300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81867ED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B5792D7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2001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9A90E3B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2006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593DC41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2011</w: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47575E4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2016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9388239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2017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7E888BE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2018</w: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ED2B82A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2019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4F0069D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2020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73A8954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2021</w:t>
            </w:r>
          </w:p>
        </w:tc>
      </w:tr>
      <w:tr w:rsidR="008C74AD" w:rsidRPr="008C74AD" w14:paraId="2A7BF39B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F7ED7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Studenti s </w:t>
            </w:r>
            <w:proofErr w:type="spellStart"/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dist</w:t>
            </w:r>
            <w:proofErr w:type="spellEnd"/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. a komb. </w:t>
            </w:r>
            <w:proofErr w:type="gramStart"/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formou</w:t>
            </w:r>
            <w:proofErr w:type="gramEnd"/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studia celkem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1D6F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18,0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0D244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25,5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F634D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28,6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170B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24,7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D097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24,6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1324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23,9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1FCDE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ECA4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22,0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2185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21,2</w:t>
            </w:r>
          </w:p>
        </w:tc>
      </w:tr>
      <w:tr w:rsidR="008C74AD" w:rsidRPr="008C74AD" w14:paraId="6B48ACDD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D57C6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Služby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D384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30,4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58EB5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35,1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07A2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32,6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B70E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33,9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6367D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34,4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52F95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33,5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F164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32,1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5C57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36,1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5E1E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39,0</w:t>
            </w:r>
          </w:p>
        </w:tc>
      </w:tr>
      <w:tr w:rsidR="008C74AD" w:rsidRPr="008C74AD" w14:paraId="77AD7571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C98D6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Vzdělávání a výchova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0420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25,5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0E84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37,3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C6D7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45,3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087D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40,0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7DE2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40,3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26DF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40,0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1508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38,1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A526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35,6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84F0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34,1</w:t>
            </w:r>
          </w:p>
        </w:tc>
      </w:tr>
      <w:tr w:rsidR="008C74AD" w:rsidRPr="008C74AD" w14:paraId="17C9C9AE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F7A71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Obchod, administrativa a právo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92DC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DCDE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31,1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13A5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33,9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7D52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28,0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8FFD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27,7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B268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27,4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10F9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26,4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FB67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24,4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816A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23,6</w:t>
            </w:r>
          </w:p>
        </w:tc>
      </w:tr>
      <w:tr w:rsidR="008C74AD" w:rsidRPr="008C74AD" w14:paraId="72207417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AD6DA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13D5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B0BC5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F644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24,7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5C37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22,3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797E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A2D5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A289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3F55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22,3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88F5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22,1</w:t>
            </w:r>
          </w:p>
        </w:tc>
      </w:tr>
      <w:tr w:rsidR="008C74AD" w:rsidRPr="008C74AD" w14:paraId="0312BA6F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2950F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D404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24,4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7F03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32,3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70A6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34,3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5FF0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28,9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4CC6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28,9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2CC6F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27,4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9949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25,7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55B2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23,3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62D4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20,6</w:t>
            </w:r>
          </w:p>
        </w:tc>
      </w:tr>
      <w:tr w:rsidR="008C74AD" w:rsidRPr="008C74AD" w14:paraId="36A7FA10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6E110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4C0C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18,4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4C2A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19,7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CF72F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24,3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3907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A805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9A81F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3A16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3B4E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EC1A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19,8</w:t>
            </w:r>
          </w:p>
        </w:tc>
      </w:tr>
      <w:tr w:rsidR="008C74AD" w:rsidRPr="008C74AD" w14:paraId="3E4EE08C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0FBD8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Technika, výroba a stavebnictví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A8AF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12,2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255D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18,4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2E0D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918A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3E2D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2049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20,9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7987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18,8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18F4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2ACE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15,4</w:t>
            </w:r>
          </w:p>
        </w:tc>
      </w:tr>
      <w:tr w:rsidR="008C74AD" w:rsidRPr="008C74AD" w14:paraId="52CE5E10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92629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Umění a humanitní vědy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9E1C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7D5A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B53C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18,2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9243F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07EE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FFFC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3B20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15,0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0CC3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15,2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763D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13,8</w:t>
            </w:r>
          </w:p>
        </w:tc>
      </w:tr>
      <w:tr w:rsidR="008C74AD" w:rsidRPr="008C74AD" w14:paraId="1CD5CCBF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B6AAC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Informační a komunikační technologie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820AD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8,4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A5EA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14,5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EAD7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0DAC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14,1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5375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13,9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8EFE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84EF4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9BEE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DA31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12,5</w:t>
            </w:r>
          </w:p>
        </w:tc>
      </w:tr>
      <w:tr w:rsidR="008C74AD" w:rsidRPr="008C74AD" w14:paraId="034F07E7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C81BE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Přírodní vědy, matematika a statistika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A455E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15,5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3FDD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E0104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11,6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9BD1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10,5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8C00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B92C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9B12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E2A7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9,3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FF67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</w:tr>
    </w:tbl>
    <w:p w14:paraId="1B5AC24F" w14:textId="77777777" w:rsidR="00BA133F" w:rsidRPr="00603134" w:rsidRDefault="00BA133F" w:rsidP="00603134">
      <w:pPr>
        <w:keepNext/>
        <w:spacing w:before="120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03DD206D" w14:textId="77777777" w:rsidR="00BA133F" w:rsidRPr="00695CB6" w:rsidRDefault="00BA133F" w:rsidP="00BA133F">
      <w:pPr>
        <w:pStyle w:val="Nadpis3"/>
        <w:rPr>
          <w:sz w:val="22"/>
          <w:szCs w:val="22"/>
        </w:rPr>
      </w:pPr>
    </w:p>
    <w:p w14:paraId="5531B343" w14:textId="77777777" w:rsidR="00BA133F" w:rsidRPr="00160265" w:rsidRDefault="00BA133F" w:rsidP="000D7FAA">
      <w:pPr>
        <w:pStyle w:val="Nadpis2"/>
      </w:pPr>
      <w:bookmarkStart w:id="5" w:name="_Toc103080343"/>
      <w:r w:rsidRPr="00BF1949">
        <w:t>Studenti dle kraje trvalého bydliště</w:t>
      </w:r>
      <w:bookmarkEnd w:id="5"/>
    </w:p>
    <w:p w14:paraId="6EB6FDFC" w14:textId="77777777" w:rsidR="00BA133F" w:rsidRDefault="00BA133F" w:rsidP="00BD5355">
      <w:pPr>
        <w:spacing w:after="0"/>
      </w:pPr>
    </w:p>
    <w:p w14:paraId="7D3A94EB" w14:textId="26E18E82" w:rsidR="00BA133F" w:rsidRDefault="00BA133F" w:rsidP="00C5622D">
      <w:pPr>
        <w:spacing w:after="120"/>
        <w:ind w:firstLine="284"/>
        <w:jc w:val="both"/>
      </w:pPr>
      <w:r w:rsidRPr="00C17D0E">
        <w:t xml:space="preserve">Podíváme-li se na členění studentů </w:t>
      </w:r>
      <w:r w:rsidRPr="00C17D0E">
        <w:rPr>
          <w:b/>
        </w:rPr>
        <w:t>dle kraje trvalého bydliště</w:t>
      </w:r>
      <w:r w:rsidRPr="00C17D0E">
        <w:t>, nejvyšší počet studentů veřejných a soukromých vysokých šk</w:t>
      </w:r>
      <w:r w:rsidR="0097122A">
        <w:t xml:space="preserve">ol v ČR pocházel </w:t>
      </w:r>
      <w:r w:rsidR="000F5D4A">
        <w:t>v roce 2021</w:t>
      </w:r>
      <w:r w:rsidR="0097122A">
        <w:t xml:space="preserve"> z h</w:t>
      </w:r>
      <w:r w:rsidRPr="00C17D0E">
        <w:t>lavního města Prahy (</w:t>
      </w:r>
      <w:r w:rsidR="00BF1949">
        <w:t>36 458</w:t>
      </w:r>
      <w:r w:rsidRPr="00C17D0E">
        <w:t>), z kraje Středočeského (</w:t>
      </w:r>
      <w:r w:rsidR="00E71A4D">
        <w:t>32 463), Moravskoslezského (30 977) a Jihomoravského (28 </w:t>
      </w:r>
      <w:r w:rsidRPr="00C17D0E">
        <w:t>2</w:t>
      </w:r>
      <w:r w:rsidR="00E71A4D">
        <w:t>59</w:t>
      </w:r>
      <w:r w:rsidRPr="00C17D0E">
        <w:t>). V ostatních krajích již činil méně než 20 tisíc osob, nejméně v kraji K</w:t>
      </w:r>
      <w:r w:rsidR="00E71A4D">
        <w:t>arlovarském (5 096)</w:t>
      </w:r>
      <w:r w:rsidRPr="00C17D0E">
        <w:t>. Je nutné si uvědomit, že jednotlivé kraje se liší svou lidnatostí</w:t>
      </w:r>
      <w:r w:rsidR="00D63E37">
        <w:t xml:space="preserve">, </w:t>
      </w:r>
      <w:r w:rsidR="007F60D0">
        <w:t>jakož</w:t>
      </w:r>
      <w:r w:rsidR="00D63E37">
        <w:t xml:space="preserve"> i věkovou strukturou</w:t>
      </w:r>
      <w:r w:rsidRPr="00C17D0E">
        <w:t>.</w:t>
      </w:r>
      <w:r>
        <w:t xml:space="preserve"> </w:t>
      </w:r>
      <w:r w:rsidR="00FD600D" w:rsidRPr="0028695C">
        <w:t>Podíváme-li se tedy na podíl studentů</w:t>
      </w:r>
      <w:r w:rsidR="002F683A" w:rsidRPr="0028695C">
        <w:t xml:space="preserve"> ve věku 20</w:t>
      </w:r>
      <w:r w:rsidR="0040170A">
        <w:t>–</w:t>
      </w:r>
      <w:r w:rsidR="002F683A" w:rsidRPr="0028695C">
        <w:t>29 let</w:t>
      </w:r>
      <w:r w:rsidRPr="0028695C">
        <w:t>,</w:t>
      </w:r>
      <w:r w:rsidR="00DC54BB" w:rsidRPr="0028695C">
        <w:t xml:space="preserve"> tj. ve věku obvyklém pro studium VŠ,</w:t>
      </w:r>
      <w:r w:rsidR="00FD600D" w:rsidRPr="0028695C">
        <w:t xml:space="preserve"> ze všech obyvatel </w:t>
      </w:r>
      <w:r w:rsidR="00874B90">
        <w:t>s trvalým bydlištěm v daném kraji</w:t>
      </w:r>
      <w:r w:rsidR="00FD600D" w:rsidRPr="0028695C">
        <w:t xml:space="preserve"> ve věku 20</w:t>
      </w:r>
      <w:r w:rsidR="0040170A">
        <w:t>–</w:t>
      </w:r>
      <w:r w:rsidR="00FD600D" w:rsidRPr="0028695C">
        <w:t>29 let,</w:t>
      </w:r>
      <w:r w:rsidR="00DC54BB" w:rsidRPr="0028695C">
        <w:t xml:space="preserve"> </w:t>
      </w:r>
      <w:r w:rsidR="009364DE" w:rsidRPr="0028695C">
        <w:t>pak</w:t>
      </w:r>
      <w:r w:rsidR="000013C4" w:rsidRPr="0028695C">
        <w:t xml:space="preserve"> nejvyšší hodnoty</w:t>
      </w:r>
      <w:r w:rsidR="00FD600D" w:rsidRPr="0028695C">
        <w:t xml:space="preserve"> dosáhl kraj </w:t>
      </w:r>
      <w:r w:rsidR="000C4930" w:rsidRPr="0028695C">
        <w:t>Zlínský</w:t>
      </w:r>
      <w:r w:rsidR="0028695C" w:rsidRPr="0028695C">
        <w:t xml:space="preserve"> (22,1 %) a </w:t>
      </w:r>
      <w:r w:rsidR="001C2FAF">
        <w:t>nejmenší</w:t>
      </w:r>
      <w:r w:rsidR="00FD600D" w:rsidRPr="0028695C">
        <w:t xml:space="preserve"> naopak kraj </w:t>
      </w:r>
      <w:r w:rsidR="000C4930" w:rsidRPr="0028695C">
        <w:t>Karlovarský</w:t>
      </w:r>
      <w:r w:rsidR="0028695C" w:rsidRPr="0028695C">
        <w:t xml:space="preserve"> (13,5</w:t>
      </w:r>
      <w:r w:rsidR="00FD600D" w:rsidRPr="0028695C">
        <w:t xml:space="preserve"> %) a </w:t>
      </w:r>
      <w:r w:rsidR="000C4930" w:rsidRPr="0028695C">
        <w:t>Ústecký</w:t>
      </w:r>
      <w:r w:rsidR="0028695C" w:rsidRPr="0028695C">
        <w:t xml:space="preserve"> (13,9</w:t>
      </w:r>
      <w:r w:rsidR="00FD600D" w:rsidRPr="0028695C">
        <w:t> %)</w:t>
      </w:r>
      <w:r w:rsidRPr="0028695C">
        <w:t xml:space="preserve">. </w:t>
      </w:r>
      <w:r w:rsidR="0028695C" w:rsidRPr="0028695C">
        <w:t xml:space="preserve">Praha se umístila spolu s krajem Jihočeským na druhé příčce hned za krajem Zlínským. </w:t>
      </w:r>
      <w:r w:rsidR="00A05377">
        <w:t>Lze si však všimnout</w:t>
      </w:r>
      <w:r w:rsidR="000C0664">
        <w:t>, že mezi stu</w:t>
      </w:r>
      <w:r w:rsidR="00B6429C">
        <w:t>denty</w:t>
      </w:r>
      <w:r w:rsidR="007F60D0">
        <w:t xml:space="preserve"> s trvalým bydlištěm</w:t>
      </w:r>
      <w:r w:rsidR="00E71A4D">
        <w:t xml:space="preserve"> v </w:t>
      </w:r>
      <w:r w:rsidR="00A05377">
        <w:t>Praze</w:t>
      </w:r>
      <w:r w:rsidR="00E71A4D">
        <w:t xml:space="preserve"> byl v roce 2021</w:t>
      </w:r>
      <w:r w:rsidR="000C0664">
        <w:t xml:space="preserve"> ze všech krajů nejvyšší podíl </w:t>
      </w:r>
      <w:r w:rsidR="00B6429C">
        <w:t>studujících</w:t>
      </w:r>
      <w:r w:rsidR="000C0664">
        <w:t xml:space="preserve"> </w:t>
      </w:r>
      <w:r w:rsidR="00C65C14">
        <w:t xml:space="preserve">nespadajících do věkového rozmezí 20–29 let </w:t>
      </w:r>
      <w:r w:rsidR="00E71A4D">
        <w:t>(27,9</w:t>
      </w:r>
      <w:r w:rsidR="00DA3E31">
        <w:t> %)</w:t>
      </w:r>
      <w:r w:rsidR="00673327">
        <w:rPr>
          <w:rStyle w:val="Znakapoznpodarou"/>
        </w:rPr>
        <w:footnoteReference w:id="2"/>
      </w:r>
      <w:r w:rsidR="00B6429C">
        <w:t xml:space="preserve">. </w:t>
      </w:r>
      <w:r w:rsidR="00E71A4D">
        <w:t xml:space="preserve">Relativně vysoký byl tento podíl též v kraji Ústeckém (25,4 %), Středočeském (24,9 %) a Karlovarském (24,1 %). </w:t>
      </w:r>
      <w:r w:rsidR="000532A5">
        <w:t>V</w:t>
      </w:r>
      <w:r w:rsidR="00673327">
        <w:t xml:space="preserve"> Praze, v kraji Ústeckém, Středočeském a </w:t>
      </w:r>
      <w:r w:rsidR="00673327">
        <w:lastRenderedPageBreak/>
        <w:t>Karlovarském</w:t>
      </w:r>
      <w:r w:rsidR="000532A5">
        <w:t xml:space="preserve"> byl zárove</w:t>
      </w:r>
      <w:r w:rsidR="00090EB4">
        <w:t>ň nejvyšší průměrný věk studentů</w:t>
      </w:r>
      <w:r w:rsidR="000532A5">
        <w:rPr>
          <w:rStyle w:val="Znakapoznpodarou"/>
        </w:rPr>
        <w:footnoteReference w:id="3"/>
      </w:r>
      <w:r w:rsidR="000532A5">
        <w:t xml:space="preserve">. </w:t>
      </w:r>
      <w:r w:rsidR="000C0664">
        <w:t xml:space="preserve">Naopak mezi studenty bydlícími na Vysočině </w:t>
      </w:r>
      <w:r w:rsidR="00E71A4D">
        <w:t>a ve Zlínském kraji bylo</w:t>
      </w:r>
      <w:r w:rsidR="000C0664">
        <w:t xml:space="preserve"> studium </w:t>
      </w:r>
      <w:r w:rsidR="0040170A">
        <w:t>vysoké školy</w:t>
      </w:r>
      <w:r w:rsidR="00E71A4D">
        <w:t xml:space="preserve"> </w:t>
      </w:r>
      <w:r w:rsidR="00C65C14">
        <w:t>v jiném věku než ve 20-29 letech</w:t>
      </w:r>
      <w:r w:rsidR="000C0664">
        <w:t xml:space="preserve"> nejméně obvyklé</w:t>
      </w:r>
      <w:r w:rsidR="00E71A4D">
        <w:t xml:space="preserve"> (19,5</w:t>
      </w:r>
      <w:r w:rsidR="00DA3E31">
        <w:t> %</w:t>
      </w:r>
      <w:r w:rsidR="00E71A4D">
        <w:t>, resp. 19,2 %</w:t>
      </w:r>
      <w:r w:rsidR="00DA3E31">
        <w:t>)</w:t>
      </w:r>
      <w:r w:rsidR="00090EB4">
        <w:t>. Z</w:t>
      </w:r>
      <w:r w:rsidR="000532A5">
        <w:t xml:space="preserve"> krajů ČR </w:t>
      </w:r>
      <w:r w:rsidR="00090EB4">
        <w:t xml:space="preserve">zároveň </w:t>
      </w:r>
      <w:r w:rsidR="000532A5">
        <w:t xml:space="preserve">tyto kraje </w:t>
      </w:r>
      <w:r w:rsidR="007A1450">
        <w:t xml:space="preserve">spolu s krajem Pardubickým </w:t>
      </w:r>
      <w:r w:rsidR="000532A5">
        <w:t xml:space="preserve">zaznamenaly </w:t>
      </w:r>
      <w:r w:rsidR="00135B21">
        <w:t xml:space="preserve">nejnižší </w:t>
      </w:r>
      <w:r w:rsidR="000532A5">
        <w:t>průměrný věk studentů</w:t>
      </w:r>
      <w:r w:rsidR="007A1450">
        <w:t xml:space="preserve"> (24, resp.</w:t>
      </w:r>
      <w:r w:rsidR="00135B21">
        <w:t xml:space="preserve"> 24,2 roku)</w:t>
      </w:r>
      <w:r w:rsidR="00135B21">
        <w:rPr>
          <w:rStyle w:val="Znakapoznpodarou"/>
        </w:rPr>
        <w:footnoteReference w:id="4"/>
      </w:r>
      <w:r w:rsidR="000C0664">
        <w:t xml:space="preserve">. </w:t>
      </w:r>
      <w:r w:rsidRPr="006A3E2C">
        <w:t>Více viz graf č. 7.</w:t>
      </w:r>
    </w:p>
    <w:p w14:paraId="0CCC5A37" w14:textId="25E7F604" w:rsidR="00BF1949" w:rsidRDefault="00616301" w:rsidP="00616301">
      <w:pPr>
        <w:keepNext/>
        <w:spacing w:after="120"/>
        <w:jc w:val="both"/>
        <w:rPr>
          <w:b/>
        </w:rPr>
      </w:pPr>
      <w:r>
        <w:rPr>
          <w:b/>
        </w:rPr>
        <w:t xml:space="preserve">Graf č. 7 Studenti VŠ v ČR </w:t>
      </w:r>
      <w:r w:rsidR="00F817B4">
        <w:rPr>
          <w:b/>
        </w:rPr>
        <w:t xml:space="preserve">dle kraje </w:t>
      </w:r>
      <w:r w:rsidR="0040170A">
        <w:rPr>
          <w:b/>
        </w:rPr>
        <w:t>–</w:t>
      </w:r>
      <w:r>
        <w:rPr>
          <w:b/>
        </w:rPr>
        <w:t xml:space="preserve"> počet studentů dle trvalého bydliště a věku; podíl studentů ve věku 20-29 let ze všech ob</w:t>
      </w:r>
      <w:r w:rsidR="00BF1949">
        <w:rPr>
          <w:b/>
        </w:rPr>
        <w:t>yvatel této věkové skupiny</w:t>
      </w:r>
      <w:r w:rsidR="0040170A">
        <w:rPr>
          <w:b/>
        </w:rPr>
        <w:t xml:space="preserve"> v daném kraji</w:t>
      </w:r>
      <w:r w:rsidR="00BF1949">
        <w:rPr>
          <w:b/>
        </w:rPr>
        <w:t xml:space="preserve"> (2021</w:t>
      </w:r>
      <w:r>
        <w:rPr>
          <w:b/>
        </w:rPr>
        <w:t xml:space="preserve">) </w:t>
      </w:r>
    </w:p>
    <w:p w14:paraId="7150EC1C" w14:textId="38914F07" w:rsidR="00135B21" w:rsidRPr="00135B21" w:rsidRDefault="00A67E73" w:rsidP="00135B21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29A10211" wp14:editId="3A385689">
            <wp:extent cx="6076950" cy="3429000"/>
            <wp:effectExtent l="0" t="0" r="0" b="0"/>
            <wp:docPr id="15" name="Graf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2AE509E7" w14:textId="7CC37448" w:rsidR="000532A5" w:rsidRPr="00135B21" w:rsidRDefault="00BA133F" w:rsidP="00135B21">
      <w:pPr>
        <w:spacing w:after="120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 (data o studentech), ČSÚ (data o populaci)</w:t>
      </w:r>
    </w:p>
    <w:p w14:paraId="2683CA34" w14:textId="482BFD49" w:rsidR="00BA133F" w:rsidRDefault="00BA133F" w:rsidP="00FC79BD">
      <w:pPr>
        <w:spacing w:after="120" w:line="276" w:lineRule="auto"/>
        <w:ind w:firstLine="284"/>
        <w:jc w:val="both"/>
      </w:pPr>
      <w:r>
        <w:t xml:space="preserve">Studenti se mohou vzdělávat v rámci </w:t>
      </w:r>
      <w:r w:rsidRPr="005A1DA6">
        <w:t>více studijních programů</w:t>
      </w:r>
      <w:r>
        <w:t xml:space="preserve">, z nichž nejvýše stojí </w:t>
      </w:r>
      <w:r w:rsidRPr="005A1DA6">
        <w:rPr>
          <w:b/>
        </w:rPr>
        <w:t>doktorský studijní program</w:t>
      </w:r>
      <w:r>
        <w:t>. Graf č. 8 ukazuje vývoj podílu studentů doktorského studijního programu mezi roky 2001,</w:t>
      </w:r>
      <w:r w:rsidR="003C7835">
        <w:t xml:space="preserve"> </w:t>
      </w:r>
      <w:r w:rsidR="0067624D">
        <w:t>2011 a 2021</w:t>
      </w:r>
      <w:r>
        <w:t xml:space="preserve"> dle bydliště studentů.  Jak je patrné, nejvýraznější vývoj v čase zaznamenal podíl doktorských studentů ze všech studentů </w:t>
      </w:r>
      <w:r w:rsidR="0067624D">
        <w:t>u skupiny bydlící</w:t>
      </w:r>
      <w:r>
        <w:t xml:space="preserve"> v zahraničí. Zatímco v roce 200</w:t>
      </w:r>
      <w:r w:rsidR="0067624D">
        <w:t>1 činil pouze 3,7 %, v roce 2011 to již bylo 8,1 % a v roce 2021</w:t>
      </w:r>
      <w:r>
        <w:t xml:space="preserve"> </w:t>
      </w:r>
      <w:r w:rsidR="00D53564">
        <w:t xml:space="preserve">více než </w:t>
      </w:r>
      <w:r w:rsidR="00BF76B8">
        <w:t>desetina (</w:t>
      </w:r>
      <w:r>
        <w:t>1</w:t>
      </w:r>
      <w:r w:rsidR="0067624D">
        <w:t>0,8</w:t>
      </w:r>
      <w:r w:rsidR="00BF76B8">
        <w:t> %</w:t>
      </w:r>
      <w:r w:rsidR="00010C86">
        <w:t>)</w:t>
      </w:r>
      <w:r w:rsidR="00BF76B8">
        <w:t xml:space="preserve">, což </w:t>
      </w:r>
      <w:r w:rsidR="0067624D">
        <w:t>je téměř o jeden procentní bod více</w:t>
      </w:r>
      <w:r w:rsidR="00BF76B8">
        <w:t xml:space="preserve"> než</w:t>
      </w:r>
      <w:r w:rsidR="0067624D">
        <w:t xml:space="preserve"> u </w:t>
      </w:r>
      <w:r w:rsidR="00F42C30">
        <w:t xml:space="preserve">studentů s trvalým </w:t>
      </w:r>
      <w:r w:rsidR="00B769EA">
        <w:t xml:space="preserve">bydlištěm </w:t>
      </w:r>
      <w:r w:rsidR="00BF76B8">
        <w:t>v Praze</w:t>
      </w:r>
      <w:r w:rsidR="00BC62C3">
        <w:t xml:space="preserve">. </w:t>
      </w:r>
      <w:r w:rsidR="00FC79BD">
        <w:t>Vezmeme-li v potaz, že m</w:t>
      </w:r>
      <w:r w:rsidR="0067624D">
        <w:t>ezi všemi studenty s trvalým bydlištěm v ČR byl podíl studentů doktorského st</w:t>
      </w:r>
      <w:r w:rsidR="00FC79BD">
        <w:t>udia v roce 2021 celkem 6,3 %, pak v krajském srovnání</w:t>
      </w:r>
      <w:r w:rsidR="00BC62C3">
        <w:t xml:space="preserve"> zaznamenal n</w:t>
      </w:r>
      <w:r>
        <w:t>adprůměrný podíl doktorských studentů ze vš</w:t>
      </w:r>
      <w:r w:rsidR="00F42C30">
        <w:t>ech vyso</w:t>
      </w:r>
      <w:r w:rsidR="0067624D">
        <w:t>koškolských studentů v roce 2021 kromě Prahy</w:t>
      </w:r>
      <w:r w:rsidR="00F42C30">
        <w:t xml:space="preserve"> </w:t>
      </w:r>
      <w:r w:rsidR="0067624D">
        <w:t xml:space="preserve">také </w:t>
      </w:r>
      <w:r w:rsidR="00BC62C3">
        <w:t>kraj Jihomoravský</w:t>
      </w:r>
      <w:r w:rsidR="0067624D">
        <w:t xml:space="preserve"> (7,7</w:t>
      </w:r>
      <w:r>
        <w:t> %)</w:t>
      </w:r>
      <w:r w:rsidR="00FC79BD">
        <w:t xml:space="preserve"> a Plzeňský (6,6 %). P</w:t>
      </w:r>
      <w:r w:rsidR="0067624D">
        <w:t>růměrného výsledku dosáhl kraj Olomoucký (6,4</w:t>
      </w:r>
      <w:r w:rsidR="00BC62C3">
        <w:t> %)</w:t>
      </w:r>
      <w:r>
        <w:t xml:space="preserve">. Naopak méně než 5% byl tento podíl v kraji Karlovarském </w:t>
      </w:r>
      <w:r w:rsidR="0067624D">
        <w:t>a Ústeckém (obojí 4,6</w:t>
      </w:r>
      <w:r w:rsidR="002E659F">
        <w:t> %) a na Vysočině (4,8</w:t>
      </w:r>
      <w:r>
        <w:t> %). Vzestup podílu doktorských studentů mezi studenty bydlící</w:t>
      </w:r>
      <w:r w:rsidR="0097122A">
        <w:t>mi</w:t>
      </w:r>
      <w:r>
        <w:t xml:space="preserve"> v zahraničí </w:t>
      </w:r>
      <w:r w:rsidR="00EB4697">
        <w:t xml:space="preserve"> v čase </w:t>
      </w:r>
      <w:r>
        <w:t xml:space="preserve">zároveň kontrastuje se situací v jednotlivých krajích v ČR. Ve všech </w:t>
      </w:r>
      <w:r w:rsidR="003D57CA">
        <w:t xml:space="preserve">krajích ČR </w:t>
      </w:r>
      <w:r>
        <w:t xml:space="preserve">došlo </w:t>
      </w:r>
      <w:r w:rsidR="002E659F">
        <w:t>mezi lety 2001 a 2021</w:t>
      </w:r>
      <w:r w:rsidR="003D57CA">
        <w:t xml:space="preserve"> </w:t>
      </w:r>
      <w:r>
        <w:t xml:space="preserve">do jisté míry naopak ke snížení tohoto podílu, </w:t>
      </w:r>
      <w:r w:rsidR="003D57CA">
        <w:t>zejména</w:t>
      </w:r>
      <w:r>
        <w:t xml:space="preserve"> v kraji </w:t>
      </w:r>
      <w:r w:rsidR="002E659F">
        <w:t>Pardubi</w:t>
      </w:r>
      <w:r>
        <w:t>ckém,</w:t>
      </w:r>
      <w:r w:rsidR="002E659F">
        <w:t xml:space="preserve"> Královéhradeckém a Středočeském,</w:t>
      </w:r>
      <w:r>
        <w:t xml:space="preserve"> a </w:t>
      </w:r>
      <w:r w:rsidR="00DE410C">
        <w:t>to bezmála o třetinu</w:t>
      </w:r>
      <w:r>
        <w:t>.</w:t>
      </w:r>
    </w:p>
    <w:p w14:paraId="453CCBA8" w14:textId="1C7FC1C8" w:rsidR="00C60C1E" w:rsidRDefault="00BA133F" w:rsidP="00C0570F">
      <w:pPr>
        <w:keepNext/>
        <w:spacing w:after="120"/>
        <w:jc w:val="both"/>
        <w:rPr>
          <w:b/>
        </w:rPr>
      </w:pPr>
      <w:r w:rsidRPr="0064659B">
        <w:rPr>
          <w:b/>
        </w:rPr>
        <w:lastRenderedPageBreak/>
        <w:t xml:space="preserve">Graf č. 8 </w:t>
      </w:r>
      <w:r w:rsidR="00FC79BD">
        <w:rPr>
          <w:b/>
        </w:rPr>
        <w:t>Studenti VŠ v ČR –</w:t>
      </w:r>
      <w:r w:rsidR="00EB4697">
        <w:rPr>
          <w:b/>
        </w:rPr>
        <w:t xml:space="preserve"> p</w:t>
      </w:r>
      <w:r w:rsidRPr="0064659B">
        <w:rPr>
          <w:b/>
        </w:rPr>
        <w:t xml:space="preserve">odíl studentů doktorského studia </w:t>
      </w:r>
      <w:r w:rsidR="00B769EA">
        <w:rPr>
          <w:b/>
        </w:rPr>
        <w:t xml:space="preserve">dle </w:t>
      </w:r>
      <w:r w:rsidR="00EB4697">
        <w:rPr>
          <w:b/>
        </w:rPr>
        <w:t>bydliště studenta</w:t>
      </w:r>
      <w:r w:rsidR="002E659F">
        <w:rPr>
          <w:b/>
        </w:rPr>
        <w:t xml:space="preserve"> (2001, 2011, 2021</w:t>
      </w:r>
      <w:r w:rsidRPr="0064659B">
        <w:rPr>
          <w:b/>
        </w:rPr>
        <w:t>)</w:t>
      </w:r>
    </w:p>
    <w:p w14:paraId="28F0EE14" w14:textId="11E8BDE9" w:rsidR="00BA133F" w:rsidRPr="0067624D" w:rsidRDefault="0067624D" w:rsidP="00C0570F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45E0A634" wp14:editId="5A19F4D7">
            <wp:extent cx="6120130" cy="3714750"/>
            <wp:effectExtent l="0" t="0" r="13970" b="0"/>
            <wp:docPr id="25" name="Graf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  <w:r w:rsidR="00C0570F">
        <w:rPr>
          <w:b/>
        </w:rPr>
        <w:t xml:space="preserve"> </w:t>
      </w:r>
    </w:p>
    <w:p w14:paraId="6111CEAB" w14:textId="77777777" w:rsidR="00BA133F" w:rsidRPr="00603134" w:rsidRDefault="00356276" w:rsidP="00603134">
      <w:pPr>
        <w:spacing w:line="276" w:lineRule="auto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373E0ED1" w14:textId="0DB0F6CF" w:rsidR="005D2DE7" w:rsidRDefault="00E14F97" w:rsidP="00FC79BD">
      <w:pPr>
        <w:spacing w:after="120" w:line="276" w:lineRule="auto"/>
        <w:ind w:firstLine="284"/>
        <w:jc w:val="both"/>
      </w:pPr>
      <w:r>
        <w:t xml:space="preserve">Studenti s trvalým bydlištěm v různých krajích či bydlící v zahraničí se mezi sebou </w:t>
      </w:r>
      <w:r w:rsidR="000576CC">
        <w:t>liší</w:t>
      </w:r>
      <w:r>
        <w:t xml:space="preserve"> ve </w:t>
      </w:r>
      <w:r w:rsidRPr="008379B8">
        <w:rPr>
          <w:b/>
        </w:rPr>
        <w:t>výběru oborů studia</w:t>
      </w:r>
      <w:r w:rsidR="00C46527">
        <w:rPr>
          <w:b/>
        </w:rPr>
        <w:t xml:space="preserve"> </w:t>
      </w:r>
      <w:r w:rsidR="00C46527" w:rsidRPr="00CF2AE3">
        <w:t>(viz tabulku č. 8</w:t>
      </w:r>
      <w:r w:rsidR="00C46527">
        <w:t xml:space="preserve"> níže</w:t>
      </w:r>
      <w:r w:rsidR="00C46527" w:rsidRPr="00CF2AE3">
        <w:t>)</w:t>
      </w:r>
      <w:r>
        <w:t xml:space="preserve">. Zde lze poznamenat, že studenti </w:t>
      </w:r>
      <w:r w:rsidRPr="000B460D">
        <w:rPr>
          <w:b/>
          <w:i/>
        </w:rPr>
        <w:t>z Prahy</w:t>
      </w:r>
      <w:r>
        <w:t xml:space="preserve"> zaznamenali ze všech krajů největší zájem o obory ze skupiny oborů </w:t>
      </w:r>
      <w:r w:rsidRPr="000B460D">
        <w:t>Umě</w:t>
      </w:r>
      <w:r w:rsidR="003C0245">
        <w:t>ní a humanitní vědy (v roce 2021 je studovalo 13,1</w:t>
      </w:r>
      <w:r w:rsidRPr="000B460D">
        <w:t xml:space="preserve"> % studentů </w:t>
      </w:r>
      <w:r>
        <w:t>vysokých škol s trvalým bydlištěm</w:t>
      </w:r>
      <w:r w:rsidRPr="000B460D">
        <w:t xml:space="preserve"> v Praze), dále ze skupiny oborů Společenské vědy, žurnalistika a informační vědy (13,4 %) a ze skupiny oborů Obch</w:t>
      </w:r>
      <w:r w:rsidR="00924873">
        <w:t>od, administrativa a právo (24,1</w:t>
      </w:r>
      <w:r w:rsidRPr="000B460D">
        <w:t> %). Studenti s</w:t>
      </w:r>
      <w:r>
        <w:t> trvalým bydlištěm</w:t>
      </w:r>
      <w:r w:rsidRPr="000B460D">
        <w:t xml:space="preserve"> </w:t>
      </w:r>
      <w:r w:rsidRPr="000B460D">
        <w:rPr>
          <w:b/>
          <w:i/>
        </w:rPr>
        <w:t>v Olomouckém a Zlínském kraji</w:t>
      </w:r>
      <w:r w:rsidRPr="000B460D">
        <w:t xml:space="preserve"> si zase ze všech krajů nejčastěji vyb</w:t>
      </w:r>
      <w:r>
        <w:t>í</w:t>
      </w:r>
      <w:r w:rsidRPr="000B460D">
        <w:t xml:space="preserve">rali obor ze </w:t>
      </w:r>
      <w:r w:rsidR="00924873">
        <w:t xml:space="preserve">skupiny </w:t>
      </w:r>
      <w:r w:rsidR="005D2DE7">
        <w:t xml:space="preserve">oborů </w:t>
      </w:r>
      <w:r w:rsidR="00924873">
        <w:t>Vzdělávání a výchova (18,2 %, resp. 17,5</w:t>
      </w:r>
      <w:r w:rsidRPr="000B460D">
        <w:t> %). Student</w:t>
      </w:r>
      <w:r>
        <w:t>i bydlící ve Zlínském kraji zároveň</w:t>
      </w:r>
      <w:r w:rsidRPr="000B460D">
        <w:t xml:space="preserve"> ze všech</w:t>
      </w:r>
      <w:r>
        <w:t xml:space="preserve"> krajů v největší míře inklinovali</w:t>
      </w:r>
      <w:r w:rsidRPr="000B460D">
        <w:t xml:space="preserve"> k oborům ze skupiny Technika, </w:t>
      </w:r>
      <w:r w:rsidR="00924873">
        <w:t>výroba a stavebnictví (1</w:t>
      </w:r>
      <w:r>
        <w:t xml:space="preserve">6 %). </w:t>
      </w:r>
    </w:p>
    <w:p w14:paraId="6FD0C530" w14:textId="6FBCF214" w:rsidR="005D2DE7" w:rsidRDefault="00096CBF" w:rsidP="00FC79BD">
      <w:pPr>
        <w:spacing w:after="120" w:line="276" w:lineRule="auto"/>
        <w:ind w:firstLine="284"/>
        <w:jc w:val="both"/>
      </w:pPr>
      <w:r w:rsidRPr="000B460D">
        <w:t xml:space="preserve">Mezi studenty bydlícími </w:t>
      </w:r>
      <w:r w:rsidRPr="000B460D">
        <w:rPr>
          <w:b/>
          <w:i/>
        </w:rPr>
        <w:t>v zahraničí</w:t>
      </w:r>
      <w:r w:rsidRPr="000B460D">
        <w:t xml:space="preserve"> pak byl ze všech krajů nejvyšší podíl studujících </w:t>
      </w:r>
      <w:r>
        <w:t xml:space="preserve">některý z oborů náležejících do skupin </w:t>
      </w:r>
      <w:r w:rsidRPr="000B460D">
        <w:t>P</w:t>
      </w:r>
      <w:r>
        <w:t>řírodní vědy, matematika a statistika (10,1</w:t>
      </w:r>
      <w:r w:rsidRPr="000B460D">
        <w:t> %), Informační</w:t>
      </w:r>
      <w:r>
        <w:t xml:space="preserve"> a komunikační technologie (13,5</w:t>
      </w:r>
      <w:r w:rsidRPr="000B460D">
        <w:t> %</w:t>
      </w:r>
      <w:r>
        <w:t>)</w:t>
      </w:r>
      <w:r w:rsidRPr="00096CBF">
        <w:t xml:space="preserve"> </w:t>
      </w:r>
      <w:r w:rsidRPr="000B460D">
        <w:t>a Zd</w:t>
      </w:r>
      <w:r>
        <w:t>ravotní a sociální péče, péče</w:t>
      </w:r>
      <w:r w:rsidRPr="000B460D">
        <w:t xml:space="preserve"> o</w:t>
      </w:r>
      <w:r>
        <w:t> příznivé životní podmínky (17,9</w:t>
      </w:r>
      <w:r w:rsidRPr="000B460D">
        <w:t> %</w:t>
      </w:r>
      <w:r>
        <w:t xml:space="preserve">). </w:t>
      </w:r>
      <w:r w:rsidR="005D2DE7" w:rsidRPr="005D2DE7">
        <w:rPr>
          <w:b/>
          <w:i/>
        </w:rPr>
        <w:t>Z krajů v ČR</w:t>
      </w:r>
      <w:r w:rsidR="005D2DE7">
        <w:t xml:space="preserve"> zaznamenal nejvyšší podíl studentů oborů ze skupiny </w:t>
      </w:r>
      <w:r w:rsidR="005D2DE7" w:rsidRPr="005D2DE7">
        <w:t>Přírodní vědy, matematika a statistika</w:t>
      </w:r>
      <w:r w:rsidR="005D2DE7">
        <w:t xml:space="preserve"> kraj Karlovarský (9 %) a Ústecký (8,7 %), ze skupiny oborů Informační a komunikační technologie kraj Královéhradecký (7,9 %) a Pardubický (7,5 %) a ze skupiny Zdravotní a sociální péče kraj Jihočeský (15,3 %). </w:t>
      </w:r>
    </w:p>
    <w:p w14:paraId="20ED879B" w14:textId="7164B25A" w:rsidR="00E14F97" w:rsidRDefault="00096CBF" w:rsidP="00FC79BD">
      <w:pPr>
        <w:spacing w:after="120" w:line="276" w:lineRule="auto"/>
        <w:ind w:firstLine="284"/>
        <w:jc w:val="both"/>
      </w:pPr>
      <w:r w:rsidRPr="000B460D">
        <w:t>Obory ze skupiny oborů Zemědělství, lesnictví, rybářství a veterinářství si ze všech krajů nejčastěji vybírali studenti bydlící v </w:t>
      </w:r>
      <w:r w:rsidRPr="000B460D">
        <w:rPr>
          <w:b/>
          <w:i/>
        </w:rPr>
        <w:t>Jihočeském kraji</w:t>
      </w:r>
      <w:r>
        <w:t xml:space="preserve"> (5,8 %). Nakonec obory ze skupiny Služeb si ze všech skupin nejčastěji volili studenti z </w:t>
      </w:r>
      <w:r w:rsidRPr="00096CBF">
        <w:rPr>
          <w:b/>
          <w:i/>
        </w:rPr>
        <w:t>Karlovarského kraje</w:t>
      </w:r>
      <w:r>
        <w:t xml:space="preserve"> (7,8 %).</w:t>
      </w:r>
    </w:p>
    <w:p w14:paraId="4CFA6D2E" w14:textId="4A1D8216" w:rsidR="00924873" w:rsidRDefault="001A3D80" w:rsidP="00134B0D">
      <w:pPr>
        <w:keepNext/>
        <w:spacing w:after="120" w:line="276" w:lineRule="auto"/>
        <w:jc w:val="both"/>
        <w:rPr>
          <w:b/>
        </w:rPr>
      </w:pPr>
      <w:r>
        <w:rPr>
          <w:b/>
        </w:rPr>
        <w:lastRenderedPageBreak/>
        <w:t>Tabulka č. 8</w:t>
      </w:r>
      <w:r w:rsidR="004509BE" w:rsidRPr="004509BE">
        <w:rPr>
          <w:b/>
        </w:rPr>
        <w:t xml:space="preserve"> </w:t>
      </w:r>
      <w:r w:rsidR="000576CC">
        <w:rPr>
          <w:b/>
        </w:rPr>
        <w:t>Studenti VŠ v ČR –</w:t>
      </w:r>
      <w:r>
        <w:rPr>
          <w:b/>
        </w:rPr>
        <w:t xml:space="preserve"> </w:t>
      </w:r>
      <w:r w:rsidR="000576CC">
        <w:rPr>
          <w:b/>
        </w:rPr>
        <w:t>r</w:t>
      </w:r>
      <w:r w:rsidR="004509BE" w:rsidRPr="004509BE">
        <w:rPr>
          <w:b/>
        </w:rPr>
        <w:t xml:space="preserve">ozložení studentů </w:t>
      </w:r>
      <w:r w:rsidR="00D21DBA">
        <w:rPr>
          <w:b/>
        </w:rPr>
        <w:t xml:space="preserve">s trvalým </w:t>
      </w:r>
      <w:r w:rsidR="00B769EA">
        <w:rPr>
          <w:b/>
        </w:rPr>
        <w:t>bydlištěm</w:t>
      </w:r>
      <w:r w:rsidR="00B769EA" w:rsidRPr="004509BE">
        <w:rPr>
          <w:b/>
        </w:rPr>
        <w:t xml:space="preserve"> </w:t>
      </w:r>
      <w:r w:rsidR="004509BE" w:rsidRPr="004509BE">
        <w:rPr>
          <w:b/>
        </w:rPr>
        <w:t xml:space="preserve">v jednotlivých krajích a </w:t>
      </w:r>
      <w:r w:rsidR="00D21DBA">
        <w:rPr>
          <w:b/>
        </w:rPr>
        <w:t xml:space="preserve">bydlících </w:t>
      </w:r>
      <w:r w:rsidR="004509BE" w:rsidRPr="004509BE">
        <w:rPr>
          <w:b/>
        </w:rPr>
        <w:t>v zahraničí do sk</w:t>
      </w:r>
      <w:r w:rsidR="003C0245">
        <w:rPr>
          <w:b/>
        </w:rPr>
        <w:t>upin oborů vzdělávání (v %; 2021</w:t>
      </w:r>
      <w:r w:rsidR="004509BE" w:rsidRPr="004509BE">
        <w:rPr>
          <w:b/>
        </w:rPr>
        <w:t>)</w:t>
      </w:r>
    </w:p>
    <w:tbl>
      <w:tblPr>
        <w:tblW w:w="9639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00"/>
        <w:gridCol w:w="743"/>
        <w:gridCol w:w="744"/>
        <w:gridCol w:w="744"/>
        <w:gridCol w:w="744"/>
        <w:gridCol w:w="744"/>
        <w:gridCol w:w="744"/>
        <w:gridCol w:w="744"/>
        <w:gridCol w:w="744"/>
        <w:gridCol w:w="744"/>
        <w:gridCol w:w="744"/>
      </w:tblGrid>
      <w:tr w:rsidR="00924873" w:rsidRPr="00924873" w14:paraId="52CC302F" w14:textId="77777777" w:rsidTr="00E86917">
        <w:trPr>
          <w:trHeight w:val="1665"/>
        </w:trPr>
        <w:tc>
          <w:tcPr>
            <w:tcW w:w="2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F46266B" w14:textId="77777777" w:rsidR="00924873" w:rsidRPr="00924873" w:rsidRDefault="00924873" w:rsidP="00924873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 xml:space="preserve">Skupina oborů </w:t>
            </w: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br/>
              <w:t>dle ISCED F-2013</w:t>
            </w:r>
          </w:p>
        </w:tc>
        <w:tc>
          <w:tcPr>
            <w:tcW w:w="7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413CCBD6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Vzdělávání a výchova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5464990C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Umění a humanitní vědy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32504610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Společenské vědy, žurnalistika a informační vědy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4C9CB272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Obchod, administrativa a právo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3276A910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Přírodní vědy, matematika a statistika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0D40A900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Informační a komunikační technologie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04A024D8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Technika, výroba a stavebnictví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0EB21CA8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Zemědělství, lesnictví, rybářství a veterinářství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6202169F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Zdravotní a sociální péče, péče o příznivé životní podmínky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052AB771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Služby</w:t>
            </w:r>
          </w:p>
        </w:tc>
      </w:tr>
      <w:tr w:rsidR="00924873" w:rsidRPr="00924873" w14:paraId="753FE074" w14:textId="77777777" w:rsidTr="00E86917">
        <w:trPr>
          <w:trHeight w:val="600"/>
        </w:trPr>
        <w:tc>
          <w:tcPr>
            <w:tcW w:w="2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615582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1A65A4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BA49E0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B0F59B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B3658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08B30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187347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0B1F2C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78D2F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038BD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D7D61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</w:tr>
      <w:tr w:rsidR="00924873" w:rsidRPr="00924873" w14:paraId="0B2435BD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2C9D6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Celkem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5EEC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658E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D857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6D1A6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20,1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57A7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8D53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7931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2BCD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4262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8850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5,3</w:t>
            </w:r>
          </w:p>
        </w:tc>
      </w:tr>
      <w:tr w:rsidR="00924873" w:rsidRPr="00924873" w14:paraId="38FC7633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E3F1F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Hl. m. Praha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8493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4E5DFC0E" w14:textId="77777777" w:rsidR="00924873" w:rsidRPr="001D5777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13,1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069B7197" w14:textId="77777777" w:rsidR="00924873" w:rsidRPr="001D5777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13,4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146172CB" w14:textId="77777777" w:rsidR="00924873" w:rsidRPr="001D5777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24,1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D8D6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71A2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5A289A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9,4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7BC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 w:themeFill="background1" w:themeFillShade="80"/>
            <w:noWrap/>
            <w:vAlign w:val="center"/>
            <w:hideMark/>
          </w:tcPr>
          <w:p w14:paraId="3D6335A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06371D">
              <w:rPr>
                <w:rFonts w:cs="Arial"/>
                <w:color w:val="FFFFFF" w:themeColor="background1"/>
                <w:sz w:val="18"/>
                <w:szCs w:val="18"/>
              </w:rPr>
              <w:t>9,8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F1DF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5,6</w:t>
            </w:r>
          </w:p>
        </w:tc>
      </w:tr>
      <w:tr w:rsidR="00924873" w:rsidRPr="00924873" w14:paraId="72B11C3E" w14:textId="77777777" w:rsidTr="00E86917">
        <w:trPr>
          <w:trHeight w:val="394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F5F97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Středočeský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2EE4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B41F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EF22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CB66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23,7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D9CE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81DF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21F0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C9C3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691D9E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9,8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21AF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7,4</w:t>
            </w:r>
          </w:p>
        </w:tc>
      </w:tr>
      <w:tr w:rsidR="00924873" w:rsidRPr="00924873" w14:paraId="55DB37D2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55E74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Jihočeský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5393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0F236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3DD8C59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6,2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08EF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23,0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874A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071A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5E47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2A2ABBA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5,8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D59B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7CB3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5,7</w:t>
            </w:r>
          </w:p>
        </w:tc>
      </w:tr>
      <w:tr w:rsidR="00924873" w:rsidRPr="00924873" w14:paraId="4AAEA3BC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95A64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 xml:space="preserve">Plzeňský kraj 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D85C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1AF6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3F92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975F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22,5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EDAF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7543BD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4,3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74AF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3CC9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D3F3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EB97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4,1</w:t>
            </w:r>
          </w:p>
        </w:tc>
      </w:tr>
      <w:tr w:rsidR="00924873" w:rsidRPr="00924873" w14:paraId="478DC48C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C4D66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Karlovarský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1FD5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026A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6C14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1DC6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21,4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1D8F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DBC1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4E2D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040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2F6B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012019E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7,8</w:t>
            </w:r>
          </w:p>
        </w:tc>
      </w:tr>
      <w:tr w:rsidR="00924873" w:rsidRPr="00924873" w14:paraId="1CFE7A69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A19B6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 xml:space="preserve">Ústecký kraj 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91A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16,6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639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4A66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055A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18,1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181F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2B17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F4E4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A6DE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62F26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B998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6,1</w:t>
            </w:r>
          </w:p>
        </w:tc>
      </w:tr>
      <w:tr w:rsidR="00924873" w:rsidRPr="00924873" w14:paraId="0CFC7D13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ACCDB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Liberecký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1EF0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16,1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C015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B3A1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18BD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21,1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F2D2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4B7F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172F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36F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A80A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6D8E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4,7</w:t>
            </w:r>
          </w:p>
        </w:tc>
      </w:tr>
      <w:tr w:rsidR="00924873" w:rsidRPr="00924873" w14:paraId="0E4D8B18" w14:textId="77777777" w:rsidTr="00E86917">
        <w:trPr>
          <w:trHeight w:val="33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7033D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Královéhradecký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423F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16,0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558C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CC40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84D3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7957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CF52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4CE1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3907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AEB8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B0F0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4,9</w:t>
            </w:r>
          </w:p>
        </w:tc>
      </w:tr>
      <w:tr w:rsidR="00924873" w:rsidRPr="00924873" w14:paraId="37E3273A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DC6A0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Pardubický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9B6B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3C5C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8273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4FF0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17,8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7D90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CB6B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A123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8FD3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6831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FE2F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6,5</w:t>
            </w:r>
          </w:p>
        </w:tc>
      </w:tr>
      <w:tr w:rsidR="00924873" w:rsidRPr="00924873" w14:paraId="5F373B3F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49B76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Vysočina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CCAF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5F3626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3399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497A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19,1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88B37E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5,2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BE54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8425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4EFA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98A9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5B46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6,3</w:t>
            </w:r>
          </w:p>
        </w:tc>
      </w:tr>
      <w:tr w:rsidR="00924873" w:rsidRPr="00924873" w14:paraId="58562EE5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8B993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Jihomoravský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4268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5DE2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78BD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C16D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20,2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3F86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CCB1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875D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CB6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DDB8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C6B1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5,2</w:t>
            </w:r>
          </w:p>
        </w:tc>
      </w:tr>
      <w:tr w:rsidR="00924873" w:rsidRPr="00924873" w14:paraId="5DA89058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1EE97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Olomoucký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4B3B0A2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18,2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2027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4755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64B5EDE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16,7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4C7C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0153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B0AF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F943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60C1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A05A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6,9</w:t>
            </w:r>
          </w:p>
        </w:tc>
      </w:tr>
      <w:tr w:rsidR="00924873" w:rsidRPr="00924873" w14:paraId="652884F4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65949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Zlínský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C0CC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17,5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2FE2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D833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0061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18,9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7494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3BC7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4DB191C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16,0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308E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9CFA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F061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6,3</w:t>
            </w:r>
          </w:p>
        </w:tc>
      </w:tr>
      <w:tr w:rsidR="00924873" w:rsidRPr="00924873" w14:paraId="69565E8C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1691E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Moravskoslezský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A93F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C46E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9A8C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D648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19,2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5DD96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2C83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6CDA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66C4EF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1,7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D542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17B5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5,5</w:t>
            </w:r>
          </w:p>
        </w:tc>
      </w:tr>
      <w:tr w:rsidR="00924873" w:rsidRPr="00924873" w14:paraId="2D437CB0" w14:textId="77777777" w:rsidTr="00E86917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610CE" w14:textId="77777777" w:rsidR="00924873" w:rsidRPr="00924873" w:rsidRDefault="00924873" w:rsidP="00924873">
            <w:pPr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bydlí v zahraničí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96F708D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1,5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D9029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064E9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C2DB1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20,2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12319A1F" w14:textId="77777777" w:rsidR="00924873" w:rsidRPr="001D5777" w:rsidRDefault="00924873" w:rsidP="00924873">
            <w:pPr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10,1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13F2614B" w14:textId="77777777" w:rsidR="00924873" w:rsidRPr="001D5777" w:rsidRDefault="00924873" w:rsidP="00924873">
            <w:pPr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13,5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B3F67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C455B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5ACDA653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E729825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3,0</w:t>
            </w:r>
          </w:p>
        </w:tc>
      </w:tr>
    </w:tbl>
    <w:p w14:paraId="06738E4F" w14:textId="0C109B77" w:rsidR="004509BE" w:rsidRDefault="004509BE" w:rsidP="00AC5B96">
      <w:pPr>
        <w:spacing w:after="0" w:line="240" w:lineRule="auto"/>
        <w:jc w:val="both"/>
        <w:rPr>
          <w:b/>
        </w:rPr>
      </w:pPr>
    </w:p>
    <w:p w14:paraId="1A272127" w14:textId="77777777" w:rsidR="00BA133F" w:rsidRPr="00603134" w:rsidRDefault="00BA133F" w:rsidP="00AC5B96">
      <w:pPr>
        <w:spacing w:after="120" w:line="240" w:lineRule="auto"/>
        <w:jc w:val="both"/>
        <w:rPr>
          <w:i/>
          <w:sz w:val="18"/>
          <w:szCs w:val="18"/>
        </w:rPr>
      </w:pPr>
      <w:r w:rsidRPr="00603134">
        <w:rPr>
          <w:i/>
          <w:sz w:val="18"/>
          <w:szCs w:val="18"/>
        </w:rPr>
        <w:t>Pozn. Součty procent za jednotlivé řádky nemusejí být rovny 100, neboť jeden student může studovat více oborů, resp. z více skupin oborů. V každém sloupci (tj. za každou skupinu oborů) je vyznačena maximální a minimální hodnota.</w:t>
      </w:r>
    </w:p>
    <w:p w14:paraId="6A2F8E56" w14:textId="77777777" w:rsidR="00BA133F" w:rsidRPr="00603134" w:rsidRDefault="00BA133F" w:rsidP="00AC5B96">
      <w:pPr>
        <w:spacing w:after="120" w:line="240" w:lineRule="auto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3D7469C9" w14:textId="77777777" w:rsidR="00BA133F" w:rsidRPr="007231CC" w:rsidRDefault="00BA133F" w:rsidP="004509BE">
      <w:pPr>
        <w:spacing w:after="120"/>
        <w:jc w:val="right"/>
        <w:rPr>
          <w:szCs w:val="20"/>
        </w:rPr>
      </w:pPr>
    </w:p>
    <w:sectPr w:rsidR="00BA133F" w:rsidRPr="007231CC" w:rsidSect="00C37294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 w:code="9"/>
      <w:pgMar w:top="1134" w:right="1134" w:bottom="1418" w:left="1134" w:header="680" w:footer="680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F3CF69" w14:textId="77777777" w:rsidR="00EE62DA" w:rsidRDefault="00EE62DA" w:rsidP="00E71A58">
      <w:r>
        <w:separator/>
      </w:r>
    </w:p>
  </w:endnote>
  <w:endnote w:type="continuationSeparator" w:id="0">
    <w:p w14:paraId="6B5FCA43" w14:textId="77777777" w:rsidR="00EE62DA" w:rsidRDefault="00EE62DA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BA43AA" w14:textId="409E218B" w:rsidR="00EE62DA" w:rsidRPr="00932443" w:rsidRDefault="00EE62DA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8240" behindDoc="0" locked="0" layoutInCell="1" allowOverlap="1" wp14:anchorId="1C6510BA" wp14:editId="6C3F6332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1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fldChar w:fldCharType="begin"/>
    </w:r>
    <w:r w:rsidRPr="00932443">
      <w:rPr>
        <w:szCs w:val="16"/>
      </w:rPr>
      <w:instrText>PAGE   \* MERGEFORMAT</w:instrText>
    </w:r>
    <w:r w:rsidRPr="00932443">
      <w:rPr>
        <w:szCs w:val="16"/>
      </w:rPr>
      <w:fldChar w:fldCharType="separate"/>
    </w:r>
    <w:r w:rsidR="000B6541">
      <w:rPr>
        <w:szCs w:val="16"/>
      </w:rPr>
      <w:t>14</w:t>
    </w:r>
    <w:r w:rsidRPr="00932443">
      <w:rPr>
        <w:szCs w:val="16"/>
      </w:rPr>
      <w:fldChar w:fldCharType="end"/>
    </w:r>
    <w:r w:rsidRPr="00932443">
      <w:rPr>
        <w:szCs w:val="16"/>
      </w:rPr>
      <w:tab/>
    </w:r>
    <w:r>
      <w:rPr>
        <w:szCs w:val="16"/>
      </w:rPr>
      <w:t>2001–2021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28EBFC" w14:textId="10A608CC" w:rsidR="00EE62DA" w:rsidRPr="00932443" w:rsidRDefault="00EE62DA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7216" behindDoc="0" locked="0" layoutInCell="1" allowOverlap="1" wp14:anchorId="56CD54C6" wp14:editId="1E3A0114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0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tab/>
    </w:r>
    <w:r>
      <w:rPr>
        <w:szCs w:val="16"/>
      </w:rPr>
      <w:t>2001–</w:t>
    </w:r>
    <w:r>
      <w:rPr>
        <w:rStyle w:val="ZpatChar"/>
        <w:szCs w:val="16"/>
      </w:rPr>
      <w:t>2021</w:t>
    </w:r>
    <w:r w:rsidRPr="00932443">
      <w:rPr>
        <w:szCs w:val="16"/>
      </w:rPr>
      <w:tab/>
    </w:r>
    <w:r w:rsidRPr="00932443">
      <w:rPr>
        <w:rStyle w:val="ZpatChar"/>
        <w:szCs w:val="16"/>
      </w:rPr>
      <w:fldChar w:fldCharType="begin"/>
    </w:r>
    <w:r w:rsidRPr="00932443">
      <w:rPr>
        <w:rStyle w:val="ZpatChar"/>
        <w:szCs w:val="16"/>
      </w:rPr>
      <w:instrText>PAGE   \* MERGEFORMAT</w:instrText>
    </w:r>
    <w:r w:rsidRPr="00932443">
      <w:rPr>
        <w:rStyle w:val="ZpatChar"/>
        <w:szCs w:val="16"/>
      </w:rPr>
      <w:fldChar w:fldCharType="separate"/>
    </w:r>
    <w:r w:rsidR="000B6541">
      <w:rPr>
        <w:rStyle w:val="ZpatChar"/>
        <w:szCs w:val="16"/>
      </w:rPr>
      <w:t>15</w:t>
    </w:r>
    <w:r w:rsidRPr="00932443">
      <w:rPr>
        <w:rStyle w:val="ZpatChar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99CBAF" w14:textId="77777777" w:rsidR="00C37294" w:rsidRDefault="00C3729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087927" w14:textId="77777777" w:rsidR="00EE62DA" w:rsidRDefault="00EE62DA" w:rsidP="00E71A58">
      <w:r>
        <w:separator/>
      </w:r>
    </w:p>
  </w:footnote>
  <w:footnote w:type="continuationSeparator" w:id="0">
    <w:p w14:paraId="05851D52" w14:textId="77777777" w:rsidR="00EE62DA" w:rsidRDefault="00EE62DA" w:rsidP="00E71A58">
      <w:r>
        <w:continuationSeparator/>
      </w:r>
    </w:p>
  </w:footnote>
  <w:footnote w:id="1">
    <w:p w14:paraId="58D9168B" w14:textId="45DBF18E" w:rsidR="00EE62DA" w:rsidRDefault="00EE62DA" w:rsidP="00BF36FE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Zde lze poznamenat, že do věkového složení studentů se promítá více faktorů. </w:t>
      </w:r>
      <w:r w:rsidRPr="00343003">
        <w:t xml:space="preserve">Základní škola byla v letech 1979 až 1989 zkrácena na osm let, pak byla opět </w:t>
      </w:r>
      <w:r>
        <w:t>devítiletá, čímž se posunul možný nástup na vysokou školu o rok. O rok až dva roky se také může prodlužit věk při ukončení základní školy žákům s odkladem. Po roce 2001 byly dále zavedeny bakalářské studijní programy, což až do roku 2010 mělo za následek postupné zvyšování podílu studentů bak</w:t>
      </w:r>
      <w:r w:rsidR="004F15D4">
        <w:t>alářských oborů z 21,1 % až na 6</w:t>
      </w:r>
      <w:r>
        <w:t>2,6 %. Z těchto programů lze přitom přejít přímo na trh práce, což některé studenty může motivovat k přerušení studia a doplnění magisterského vzdělání později, příp. k pomalejšímu tempu studia vedle zaměstnání. Svou roli mohla sehrát i větší flexibilita zaměstnavatelů, příp. jejich větší podpora vzdělávání zaměstnanců, jakož i nové požadavky na kvalifikaci, např. pro učitele, které motivují k doplnění vzdělání potřebného/užitečného pro vykonávání své profese.</w:t>
      </w:r>
    </w:p>
  </w:footnote>
  <w:footnote w:id="2">
    <w:p w14:paraId="1675CE1A" w14:textId="2E962C6A" w:rsidR="00EE62DA" w:rsidRDefault="00EE62DA" w:rsidP="00673327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Studentů starších než 29 let bylo v Praze 21,3 % oproti 17 % a méně v ostatních krajích, nejméně </w:t>
      </w:r>
      <w:r w:rsidR="007A1450">
        <w:t>na Vysočině</w:t>
      </w:r>
      <w:r>
        <w:t xml:space="preserve"> (10,8 %).</w:t>
      </w:r>
    </w:p>
  </w:footnote>
  <w:footnote w:id="3">
    <w:p w14:paraId="1394ED40" w14:textId="0C211CAC" w:rsidR="00EE62DA" w:rsidRDefault="00EE62DA" w:rsidP="00135B21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V Praze je to dovršených 26 let, v kraji Ústeckém, Středočeském a Karlovarském je to dovršených 25 let. </w:t>
      </w:r>
    </w:p>
  </w:footnote>
  <w:footnote w:id="4">
    <w:p w14:paraId="3C0F4E1C" w14:textId="49C8EBA0" w:rsidR="00EE62DA" w:rsidRDefault="00EE62DA">
      <w:pPr>
        <w:pStyle w:val="Textpoznpodarou"/>
      </w:pPr>
      <w:r>
        <w:rPr>
          <w:rStyle w:val="Znakapoznpodarou"/>
        </w:rPr>
        <w:footnoteRef/>
      </w:r>
      <w:r>
        <w:t xml:space="preserve"> Doplňme, že medián věku byl ve všech krajích České republiky buď 23, nebo 22 let.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288BF8" w14:textId="77777777" w:rsidR="00EE62DA" w:rsidRDefault="00EE62DA" w:rsidP="002659EE">
    <w:pPr>
      <w:pStyle w:val="Zhlav"/>
    </w:pPr>
    <w:r>
      <w:t>Studenti a absolventi vysokoškolského vzdělávání</w:t>
    </w:r>
  </w:p>
  <w:p w14:paraId="128E6CE8" w14:textId="77777777" w:rsidR="00EE62DA" w:rsidRPr="006F5416" w:rsidRDefault="00EE62DA" w:rsidP="00937AE2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D731AC" w14:textId="77777777" w:rsidR="00EE62DA" w:rsidRDefault="00EE62DA" w:rsidP="00937AE2">
    <w:pPr>
      <w:pStyle w:val="Zhlav"/>
    </w:pPr>
    <w:r>
      <w:t>Studenti a absolventi vysokoškolského vzdělávání</w:t>
    </w:r>
  </w:p>
  <w:p w14:paraId="5E9966BA" w14:textId="77777777" w:rsidR="00EE62DA" w:rsidRPr="006F5416" w:rsidRDefault="00EE62DA" w:rsidP="00937AE2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FCA4B5" w14:textId="77777777" w:rsidR="00C37294" w:rsidRDefault="00C3729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11.25pt;height:11.25pt" o:bullet="t">
        <v:imagedata r:id="rId1" o:title="msoFAAF"/>
      </v:shape>
    </w:pict>
  </w:numPicBullet>
  <w:abstractNum w:abstractNumId="0" w15:restartNumberingAfterBreak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9975B3"/>
    <w:multiLevelType w:val="hybridMultilevel"/>
    <w:tmpl w:val="B77CB7E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24C3A79"/>
    <w:multiLevelType w:val="hybridMultilevel"/>
    <w:tmpl w:val="B5BC64B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8217B8D"/>
    <w:multiLevelType w:val="hybridMultilevel"/>
    <w:tmpl w:val="F23C6E2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0F6CF2"/>
    <w:multiLevelType w:val="multilevel"/>
    <w:tmpl w:val="277C24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" w15:restartNumberingAfterBreak="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4"/>
  </w:num>
  <w:num w:numId="13">
    <w:abstractNumId w:val="16"/>
  </w:num>
  <w:num w:numId="14">
    <w:abstractNumId w:val="11"/>
  </w:num>
  <w:num w:numId="15">
    <w:abstractNumId w:val="10"/>
  </w:num>
  <w:num w:numId="16">
    <w:abstractNumId w:val="12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59A2"/>
    <w:rsid w:val="000013C4"/>
    <w:rsid w:val="0000209D"/>
    <w:rsid w:val="00004701"/>
    <w:rsid w:val="00004CE8"/>
    <w:rsid w:val="00004D5A"/>
    <w:rsid w:val="00005668"/>
    <w:rsid w:val="000056D5"/>
    <w:rsid w:val="00005792"/>
    <w:rsid w:val="000075EB"/>
    <w:rsid w:val="0000767A"/>
    <w:rsid w:val="00010702"/>
    <w:rsid w:val="000107AD"/>
    <w:rsid w:val="00010C86"/>
    <w:rsid w:val="00015DB2"/>
    <w:rsid w:val="00016992"/>
    <w:rsid w:val="00017D39"/>
    <w:rsid w:val="000234D6"/>
    <w:rsid w:val="00023D29"/>
    <w:rsid w:val="00026389"/>
    <w:rsid w:val="000312E3"/>
    <w:rsid w:val="00031AE0"/>
    <w:rsid w:val="000322EF"/>
    <w:rsid w:val="00032BDD"/>
    <w:rsid w:val="000338DA"/>
    <w:rsid w:val="00033FCD"/>
    <w:rsid w:val="000340CE"/>
    <w:rsid w:val="00034119"/>
    <w:rsid w:val="00041CEC"/>
    <w:rsid w:val="0004340C"/>
    <w:rsid w:val="000455DB"/>
    <w:rsid w:val="0004694F"/>
    <w:rsid w:val="000522E4"/>
    <w:rsid w:val="000532A5"/>
    <w:rsid w:val="00053810"/>
    <w:rsid w:val="00053EAB"/>
    <w:rsid w:val="00056E52"/>
    <w:rsid w:val="0005740E"/>
    <w:rsid w:val="000576CC"/>
    <w:rsid w:val="000610E1"/>
    <w:rsid w:val="00062EC5"/>
    <w:rsid w:val="00062F22"/>
    <w:rsid w:val="0006344C"/>
    <w:rsid w:val="0006371D"/>
    <w:rsid w:val="000650AA"/>
    <w:rsid w:val="00065E3F"/>
    <w:rsid w:val="00067320"/>
    <w:rsid w:val="000712B3"/>
    <w:rsid w:val="000735E9"/>
    <w:rsid w:val="00077139"/>
    <w:rsid w:val="0007757D"/>
    <w:rsid w:val="00077973"/>
    <w:rsid w:val="00080AAC"/>
    <w:rsid w:val="0008263E"/>
    <w:rsid w:val="00082C19"/>
    <w:rsid w:val="00085395"/>
    <w:rsid w:val="00087634"/>
    <w:rsid w:val="00087F2B"/>
    <w:rsid w:val="000905DC"/>
    <w:rsid w:val="00090EB4"/>
    <w:rsid w:val="000942E7"/>
    <w:rsid w:val="00096C04"/>
    <w:rsid w:val="00096CBF"/>
    <w:rsid w:val="000973D8"/>
    <w:rsid w:val="000974D1"/>
    <w:rsid w:val="0009799E"/>
    <w:rsid w:val="000A1183"/>
    <w:rsid w:val="000A256D"/>
    <w:rsid w:val="000A3A2C"/>
    <w:rsid w:val="000B0F1B"/>
    <w:rsid w:val="000B134D"/>
    <w:rsid w:val="000B30FA"/>
    <w:rsid w:val="000B460D"/>
    <w:rsid w:val="000B6541"/>
    <w:rsid w:val="000C0664"/>
    <w:rsid w:val="000C3179"/>
    <w:rsid w:val="000C3408"/>
    <w:rsid w:val="000C4930"/>
    <w:rsid w:val="000C6AFD"/>
    <w:rsid w:val="000C718E"/>
    <w:rsid w:val="000C7A2A"/>
    <w:rsid w:val="000D0724"/>
    <w:rsid w:val="000D0D03"/>
    <w:rsid w:val="000D115B"/>
    <w:rsid w:val="000D5637"/>
    <w:rsid w:val="000D7FAA"/>
    <w:rsid w:val="000E1953"/>
    <w:rsid w:val="000E1D3C"/>
    <w:rsid w:val="000E6561"/>
    <w:rsid w:val="000E660A"/>
    <w:rsid w:val="000E6FBD"/>
    <w:rsid w:val="000E750E"/>
    <w:rsid w:val="000F4F99"/>
    <w:rsid w:val="000F5D4A"/>
    <w:rsid w:val="00100F5C"/>
    <w:rsid w:val="00101182"/>
    <w:rsid w:val="0010437D"/>
    <w:rsid w:val="00104C27"/>
    <w:rsid w:val="00104C4C"/>
    <w:rsid w:val="001114C0"/>
    <w:rsid w:val="0011343D"/>
    <w:rsid w:val="00120560"/>
    <w:rsid w:val="0012192F"/>
    <w:rsid w:val="001246AC"/>
    <w:rsid w:val="00125D69"/>
    <w:rsid w:val="0013091B"/>
    <w:rsid w:val="00130E35"/>
    <w:rsid w:val="00132CBA"/>
    <w:rsid w:val="001332DC"/>
    <w:rsid w:val="00134B0D"/>
    <w:rsid w:val="00135B21"/>
    <w:rsid w:val="001405FA"/>
    <w:rsid w:val="00141052"/>
    <w:rsid w:val="001419F8"/>
    <w:rsid w:val="001425C3"/>
    <w:rsid w:val="00145803"/>
    <w:rsid w:val="001507BF"/>
    <w:rsid w:val="00150B41"/>
    <w:rsid w:val="00151EA2"/>
    <w:rsid w:val="00154F9B"/>
    <w:rsid w:val="00160265"/>
    <w:rsid w:val="00160BE7"/>
    <w:rsid w:val="0016256B"/>
    <w:rsid w:val="00163793"/>
    <w:rsid w:val="001706D6"/>
    <w:rsid w:val="001714F2"/>
    <w:rsid w:val="00175B77"/>
    <w:rsid w:val="0017642E"/>
    <w:rsid w:val="001816A7"/>
    <w:rsid w:val="001837AB"/>
    <w:rsid w:val="001841C7"/>
    <w:rsid w:val="00184B08"/>
    <w:rsid w:val="00185010"/>
    <w:rsid w:val="00187450"/>
    <w:rsid w:val="00187560"/>
    <w:rsid w:val="001950E8"/>
    <w:rsid w:val="001A1B4B"/>
    <w:rsid w:val="001A287E"/>
    <w:rsid w:val="001A39E2"/>
    <w:rsid w:val="001A3D80"/>
    <w:rsid w:val="001A552F"/>
    <w:rsid w:val="001B2CA9"/>
    <w:rsid w:val="001B3110"/>
    <w:rsid w:val="001B38E0"/>
    <w:rsid w:val="001B4729"/>
    <w:rsid w:val="001B6C09"/>
    <w:rsid w:val="001B71DC"/>
    <w:rsid w:val="001C03B7"/>
    <w:rsid w:val="001C05CD"/>
    <w:rsid w:val="001C0A60"/>
    <w:rsid w:val="001C1F9D"/>
    <w:rsid w:val="001C2FAF"/>
    <w:rsid w:val="001C3F9F"/>
    <w:rsid w:val="001C6EC4"/>
    <w:rsid w:val="001D5777"/>
    <w:rsid w:val="001D59A2"/>
    <w:rsid w:val="001D68B2"/>
    <w:rsid w:val="001E13FC"/>
    <w:rsid w:val="001E2537"/>
    <w:rsid w:val="001E4236"/>
    <w:rsid w:val="001E4B7E"/>
    <w:rsid w:val="001F4597"/>
    <w:rsid w:val="001F489E"/>
    <w:rsid w:val="001F54F2"/>
    <w:rsid w:val="001F6264"/>
    <w:rsid w:val="001F6CA3"/>
    <w:rsid w:val="0020029A"/>
    <w:rsid w:val="002007EA"/>
    <w:rsid w:val="00201322"/>
    <w:rsid w:val="002118B9"/>
    <w:rsid w:val="00211974"/>
    <w:rsid w:val="00211C24"/>
    <w:rsid w:val="00211D5A"/>
    <w:rsid w:val="00212100"/>
    <w:rsid w:val="002147EE"/>
    <w:rsid w:val="002169FD"/>
    <w:rsid w:val="002176DD"/>
    <w:rsid w:val="00217C5B"/>
    <w:rsid w:val="0022139E"/>
    <w:rsid w:val="00222E40"/>
    <w:rsid w:val="0022342F"/>
    <w:rsid w:val="00224E36"/>
    <w:rsid w:val="00225215"/>
    <w:rsid w:val="002252E0"/>
    <w:rsid w:val="002255F6"/>
    <w:rsid w:val="002260A4"/>
    <w:rsid w:val="00227637"/>
    <w:rsid w:val="00227743"/>
    <w:rsid w:val="00227850"/>
    <w:rsid w:val="00227A53"/>
    <w:rsid w:val="00227F11"/>
    <w:rsid w:val="00230C6E"/>
    <w:rsid w:val="002314D1"/>
    <w:rsid w:val="002324E6"/>
    <w:rsid w:val="0023624E"/>
    <w:rsid w:val="00236443"/>
    <w:rsid w:val="00236A3D"/>
    <w:rsid w:val="00241114"/>
    <w:rsid w:val="002436BA"/>
    <w:rsid w:val="00244A15"/>
    <w:rsid w:val="00247319"/>
    <w:rsid w:val="00247454"/>
    <w:rsid w:val="0024799E"/>
    <w:rsid w:val="00252670"/>
    <w:rsid w:val="00253C0F"/>
    <w:rsid w:val="002659EE"/>
    <w:rsid w:val="00270A68"/>
    <w:rsid w:val="00271465"/>
    <w:rsid w:val="00271E98"/>
    <w:rsid w:val="0027212B"/>
    <w:rsid w:val="002722AE"/>
    <w:rsid w:val="00274284"/>
    <w:rsid w:val="0027687C"/>
    <w:rsid w:val="00280812"/>
    <w:rsid w:val="002810C9"/>
    <w:rsid w:val="002836FC"/>
    <w:rsid w:val="0028393A"/>
    <w:rsid w:val="002839A9"/>
    <w:rsid w:val="00285412"/>
    <w:rsid w:val="0028695C"/>
    <w:rsid w:val="00292939"/>
    <w:rsid w:val="00293C04"/>
    <w:rsid w:val="00297B3D"/>
    <w:rsid w:val="002A00BE"/>
    <w:rsid w:val="002A16D4"/>
    <w:rsid w:val="002A230C"/>
    <w:rsid w:val="002A3BD9"/>
    <w:rsid w:val="002A5590"/>
    <w:rsid w:val="002A612C"/>
    <w:rsid w:val="002B0EB6"/>
    <w:rsid w:val="002B2518"/>
    <w:rsid w:val="002C2C5A"/>
    <w:rsid w:val="002C43BD"/>
    <w:rsid w:val="002D050A"/>
    <w:rsid w:val="002D0547"/>
    <w:rsid w:val="002D0E59"/>
    <w:rsid w:val="002D2B28"/>
    <w:rsid w:val="002D4180"/>
    <w:rsid w:val="002D44D1"/>
    <w:rsid w:val="002D5211"/>
    <w:rsid w:val="002D6B67"/>
    <w:rsid w:val="002E02A1"/>
    <w:rsid w:val="002E4E4C"/>
    <w:rsid w:val="002E659F"/>
    <w:rsid w:val="002E72FD"/>
    <w:rsid w:val="002F3180"/>
    <w:rsid w:val="002F683A"/>
    <w:rsid w:val="00304771"/>
    <w:rsid w:val="003052D4"/>
    <w:rsid w:val="00306585"/>
    <w:rsid w:val="00306C5B"/>
    <w:rsid w:val="0032071C"/>
    <w:rsid w:val="003209D6"/>
    <w:rsid w:val="00321924"/>
    <w:rsid w:val="0032526E"/>
    <w:rsid w:val="00325D4D"/>
    <w:rsid w:val="00325F82"/>
    <w:rsid w:val="0032656E"/>
    <w:rsid w:val="0032771E"/>
    <w:rsid w:val="00332190"/>
    <w:rsid w:val="00333F7F"/>
    <w:rsid w:val="00335D1F"/>
    <w:rsid w:val="00340326"/>
    <w:rsid w:val="00342D30"/>
    <w:rsid w:val="00343003"/>
    <w:rsid w:val="00344668"/>
    <w:rsid w:val="0034569C"/>
    <w:rsid w:val="003462D9"/>
    <w:rsid w:val="00350163"/>
    <w:rsid w:val="00356276"/>
    <w:rsid w:val="00356E54"/>
    <w:rsid w:val="00357608"/>
    <w:rsid w:val="00360C86"/>
    <w:rsid w:val="003657F3"/>
    <w:rsid w:val="003659B5"/>
    <w:rsid w:val="00373F42"/>
    <w:rsid w:val="00376BEB"/>
    <w:rsid w:val="0038146E"/>
    <w:rsid w:val="003818DC"/>
    <w:rsid w:val="003836FE"/>
    <w:rsid w:val="00384327"/>
    <w:rsid w:val="003848BA"/>
    <w:rsid w:val="00385632"/>
    <w:rsid w:val="00385D98"/>
    <w:rsid w:val="00392CE3"/>
    <w:rsid w:val="00394058"/>
    <w:rsid w:val="003953E3"/>
    <w:rsid w:val="0039748D"/>
    <w:rsid w:val="00397624"/>
    <w:rsid w:val="00397752"/>
    <w:rsid w:val="003A2B4D"/>
    <w:rsid w:val="003A478C"/>
    <w:rsid w:val="003A5525"/>
    <w:rsid w:val="003A6B38"/>
    <w:rsid w:val="003A73B4"/>
    <w:rsid w:val="003B0149"/>
    <w:rsid w:val="003B5A32"/>
    <w:rsid w:val="003C0245"/>
    <w:rsid w:val="003C3490"/>
    <w:rsid w:val="003C4516"/>
    <w:rsid w:val="003C5708"/>
    <w:rsid w:val="003C693F"/>
    <w:rsid w:val="003C7835"/>
    <w:rsid w:val="003D19BB"/>
    <w:rsid w:val="003D4AF9"/>
    <w:rsid w:val="003D53AC"/>
    <w:rsid w:val="003D57CA"/>
    <w:rsid w:val="003D6920"/>
    <w:rsid w:val="003D7DE1"/>
    <w:rsid w:val="003E4C26"/>
    <w:rsid w:val="003E4C91"/>
    <w:rsid w:val="003F14A1"/>
    <w:rsid w:val="003F313C"/>
    <w:rsid w:val="003F4B2C"/>
    <w:rsid w:val="003F551C"/>
    <w:rsid w:val="003F736D"/>
    <w:rsid w:val="003F7D23"/>
    <w:rsid w:val="004003A6"/>
    <w:rsid w:val="0040170A"/>
    <w:rsid w:val="00402E1F"/>
    <w:rsid w:val="004064F5"/>
    <w:rsid w:val="00407C13"/>
    <w:rsid w:val="00410638"/>
    <w:rsid w:val="00413FD5"/>
    <w:rsid w:val="00414A29"/>
    <w:rsid w:val="004164CD"/>
    <w:rsid w:val="00416788"/>
    <w:rsid w:val="004176F9"/>
    <w:rsid w:val="00423E4D"/>
    <w:rsid w:val="00424BB8"/>
    <w:rsid w:val="00426532"/>
    <w:rsid w:val="00426913"/>
    <w:rsid w:val="00426CBB"/>
    <w:rsid w:val="004273EA"/>
    <w:rsid w:val="004276F9"/>
    <w:rsid w:val="00427C3C"/>
    <w:rsid w:val="004328CC"/>
    <w:rsid w:val="00432A58"/>
    <w:rsid w:val="004339DC"/>
    <w:rsid w:val="00434617"/>
    <w:rsid w:val="0043575A"/>
    <w:rsid w:val="004404D5"/>
    <w:rsid w:val="00440900"/>
    <w:rsid w:val="004441A0"/>
    <w:rsid w:val="00444CC0"/>
    <w:rsid w:val="004509BE"/>
    <w:rsid w:val="00451C95"/>
    <w:rsid w:val="00452DDB"/>
    <w:rsid w:val="00457857"/>
    <w:rsid w:val="00460FB3"/>
    <w:rsid w:val="00462930"/>
    <w:rsid w:val="004667B7"/>
    <w:rsid w:val="0046706B"/>
    <w:rsid w:val="00471745"/>
    <w:rsid w:val="00473CA9"/>
    <w:rsid w:val="00476240"/>
    <w:rsid w:val="00476439"/>
    <w:rsid w:val="0047735C"/>
    <w:rsid w:val="004776BC"/>
    <w:rsid w:val="0048139F"/>
    <w:rsid w:val="00481E40"/>
    <w:rsid w:val="00484AE5"/>
    <w:rsid w:val="00484ECE"/>
    <w:rsid w:val="00486AC5"/>
    <w:rsid w:val="004900FF"/>
    <w:rsid w:val="0049038F"/>
    <w:rsid w:val="004903E6"/>
    <w:rsid w:val="004915CB"/>
    <w:rsid w:val="00491E25"/>
    <w:rsid w:val="004924DC"/>
    <w:rsid w:val="00493B22"/>
    <w:rsid w:val="00495C30"/>
    <w:rsid w:val="0049659B"/>
    <w:rsid w:val="004A14E4"/>
    <w:rsid w:val="004A3212"/>
    <w:rsid w:val="004A3C46"/>
    <w:rsid w:val="004A51D1"/>
    <w:rsid w:val="004A61C5"/>
    <w:rsid w:val="004A77DF"/>
    <w:rsid w:val="004B1417"/>
    <w:rsid w:val="004B55B7"/>
    <w:rsid w:val="004B5602"/>
    <w:rsid w:val="004B643F"/>
    <w:rsid w:val="004B6468"/>
    <w:rsid w:val="004B7408"/>
    <w:rsid w:val="004C158B"/>
    <w:rsid w:val="004C3442"/>
    <w:rsid w:val="004C351F"/>
    <w:rsid w:val="004C368D"/>
    <w:rsid w:val="004C384C"/>
    <w:rsid w:val="004C3867"/>
    <w:rsid w:val="004C4CD0"/>
    <w:rsid w:val="004C70DC"/>
    <w:rsid w:val="004D0211"/>
    <w:rsid w:val="004D0794"/>
    <w:rsid w:val="004D1687"/>
    <w:rsid w:val="004D3824"/>
    <w:rsid w:val="004D3E89"/>
    <w:rsid w:val="004D461C"/>
    <w:rsid w:val="004D71C7"/>
    <w:rsid w:val="004E2F0E"/>
    <w:rsid w:val="004E6446"/>
    <w:rsid w:val="004F06F5"/>
    <w:rsid w:val="004F15D4"/>
    <w:rsid w:val="004F315B"/>
    <w:rsid w:val="004F33A0"/>
    <w:rsid w:val="004F40AD"/>
    <w:rsid w:val="004F6E6F"/>
    <w:rsid w:val="004F7950"/>
    <w:rsid w:val="00500A8A"/>
    <w:rsid w:val="00502CFD"/>
    <w:rsid w:val="005108C0"/>
    <w:rsid w:val="00511873"/>
    <w:rsid w:val="00511F86"/>
    <w:rsid w:val="00512A2F"/>
    <w:rsid w:val="00513B7E"/>
    <w:rsid w:val="00515C74"/>
    <w:rsid w:val="0052007E"/>
    <w:rsid w:val="00523241"/>
    <w:rsid w:val="0052337A"/>
    <w:rsid w:val="0052370F"/>
    <w:rsid w:val="00523966"/>
    <w:rsid w:val="00525137"/>
    <w:rsid w:val="005251DD"/>
    <w:rsid w:val="005253D4"/>
    <w:rsid w:val="0053040F"/>
    <w:rsid w:val="00532CE7"/>
    <w:rsid w:val="0053324C"/>
    <w:rsid w:val="0053465C"/>
    <w:rsid w:val="00534A28"/>
    <w:rsid w:val="0053642C"/>
    <w:rsid w:val="00541508"/>
    <w:rsid w:val="0055143A"/>
    <w:rsid w:val="005514F1"/>
    <w:rsid w:val="0055599F"/>
    <w:rsid w:val="00556D68"/>
    <w:rsid w:val="005647BF"/>
    <w:rsid w:val="00564B68"/>
    <w:rsid w:val="005713CE"/>
    <w:rsid w:val="0057364B"/>
    <w:rsid w:val="005738A2"/>
    <w:rsid w:val="00574773"/>
    <w:rsid w:val="005748D1"/>
    <w:rsid w:val="0057678D"/>
    <w:rsid w:val="005810D7"/>
    <w:rsid w:val="00583FFD"/>
    <w:rsid w:val="0058401F"/>
    <w:rsid w:val="00586002"/>
    <w:rsid w:val="00586DF8"/>
    <w:rsid w:val="005911BE"/>
    <w:rsid w:val="00591958"/>
    <w:rsid w:val="00593152"/>
    <w:rsid w:val="0059384C"/>
    <w:rsid w:val="00594DEB"/>
    <w:rsid w:val="00597C1B"/>
    <w:rsid w:val="005A0011"/>
    <w:rsid w:val="005A0D51"/>
    <w:rsid w:val="005A10F2"/>
    <w:rsid w:val="005A1179"/>
    <w:rsid w:val="005A21E0"/>
    <w:rsid w:val="005A28FF"/>
    <w:rsid w:val="005A3DF8"/>
    <w:rsid w:val="005A3E60"/>
    <w:rsid w:val="005A51CF"/>
    <w:rsid w:val="005A5549"/>
    <w:rsid w:val="005B121D"/>
    <w:rsid w:val="005B2912"/>
    <w:rsid w:val="005B5A07"/>
    <w:rsid w:val="005B66A5"/>
    <w:rsid w:val="005B6E96"/>
    <w:rsid w:val="005B73E7"/>
    <w:rsid w:val="005C06ED"/>
    <w:rsid w:val="005C0714"/>
    <w:rsid w:val="005D02BF"/>
    <w:rsid w:val="005D247C"/>
    <w:rsid w:val="005D2DE7"/>
    <w:rsid w:val="005D38EE"/>
    <w:rsid w:val="005D46B3"/>
    <w:rsid w:val="005D5802"/>
    <w:rsid w:val="005D7890"/>
    <w:rsid w:val="005E1408"/>
    <w:rsid w:val="005E2A64"/>
    <w:rsid w:val="005E50D4"/>
    <w:rsid w:val="005E7C78"/>
    <w:rsid w:val="005F05E5"/>
    <w:rsid w:val="005F1A99"/>
    <w:rsid w:val="005F3EB1"/>
    <w:rsid w:val="005F4414"/>
    <w:rsid w:val="005F5469"/>
    <w:rsid w:val="005F6BE4"/>
    <w:rsid w:val="006011C1"/>
    <w:rsid w:val="006016C8"/>
    <w:rsid w:val="006017B8"/>
    <w:rsid w:val="00601A38"/>
    <w:rsid w:val="00603134"/>
    <w:rsid w:val="00604307"/>
    <w:rsid w:val="0060487F"/>
    <w:rsid w:val="00604EAD"/>
    <w:rsid w:val="00606BF5"/>
    <w:rsid w:val="006077D3"/>
    <w:rsid w:val="006104FB"/>
    <w:rsid w:val="00612A2F"/>
    <w:rsid w:val="00613256"/>
    <w:rsid w:val="00613F21"/>
    <w:rsid w:val="00614EC7"/>
    <w:rsid w:val="006159C3"/>
    <w:rsid w:val="00616301"/>
    <w:rsid w:val="00616BC7"/>
    <w:rsid w:val="00616E05"/>
    <w:rsid w:val="00622950"/>
    <w:rsid w:val="00622A01"/>
    <w:rsid w:val="00622A1B"/>
    <w:rsid w:val="006239F8"/>
    <w:rsid w:val="00624093"/>
    <w:rsid w:val="00624BD3"/>
    <w:rsid w:val="00626FCD"/>
    <w:rsid w:val="00627155"/>
    <w:rsid w:val="00630A63"/>
    <w:rsid w:val="006332C5"/>
    <w:rsid w:val="00636335"/>
    <w:rsid w:val="0063722E"/>
    <w:rsid w:val="006404A7"/>
    <w:rsid w:val="006420BD"/>
    <w:rsid w:val="00644328"/>
    <w:rsid w:val="006451E4"/>
    <w:rsid w:val="00645B33"/>
    <w:rsid w:val="00646AB3"/>
    <w:rsid w:val="00646CD9"/>
    <w:rsid w:val="00646FC4"/>
    <w:rsid w:val="006516CB"/>
    <w:rsid w:val="00652D78"/>
    <w:rsid w:val="00652FB3"/>
    <w:rsid w:val="00657E87"/>
    <w:rsid w:val="00662AB8"/>
    <w:rsid w:val="00663707"/>
    <w:rsid w:val="00664803"/>
    <w:rsid w:val="00665BA4"/>
    <w:rsid w:val="00666E59"/>
    <w:rsid w:val="00667AF2"/>
    <w:rsid w:val="006710C9"/>
    <w:rsid w:val="00673327"/>
    <w:rsid w:val="00673A56"/>
    <w:rsid w:val="00674D89"/>
    <w:rsid w:val="00675E37"/>
    <w:rsid w:val="0067624D"/>
    <w:rsid w:val="00680B6E"/>
    <w:rsid w:val="00681431"/>
    <w:rsid w:val="0068174E"/>
    <w:rsid w:val="00681DCE"/>
    <w:rsid w:val="0068260E"/>
    <w:rsid w:val="00683A05"/>
    <w:rsid w:val="006935A9"/>
    <w:rsid w:val="0069580C"/>
    <w:rsid w:val="00695BEF"/>
    <w:rsid w:val="00695CB6"/>
    <w:rsid w:val="006975DC"/>
    <w:rsid w:val="006977F6"/>
    <w:rsid w:val="00697A13"/>
    <w:rsid w:val="00697F63"/>
    <w:rsid w:val="006A109C"/>
    <w:rsid w:val="006A1C32"/>
    <w:rsid w:val="006A2759"/>
    <w:rsid w:val="006B344A"/>
    <w:rsid w:val="006B625D"/>
    <w:rsid w:val="006B78D8"/>
    <w:rsid w:val="006C113F"/>
    <w:rsid w:val="006C123E"/>
    <w:rsid w:val="006C4B64"/>
    <w:rsid w:val="006C56D4"/>
    <w:rsid w:val="006C6924"/>
    <w:rsid w:val="006C7CA6"/>
    <w:rsid w:val="006D3545"/>
    <w:rsid w:val="006D3B0E"/>
    <w:rsid w:val="006D3E8A"/>
    <w:rsid w:val="006D4689"/>
    <w:rsid w:val="006D61F6"/>
    <w:rsid w:val="006E17CA"/>
    <w:rsid w:val="006E279A"/>
    <w:rsid w:val="006E313B"/>
    <w:rsid w:val="006E50DA"/>
    <w:rsid w:val="006F09B1"/>
    <w:rsid w:val="006F308B"/>
    <w:rsid w:val="006F5416"/>
    <w:rsid w:val="006F7137"/>
    <w:rsid w:val="00700619"/>
    <w:rsid w:val="007012BE"/>
    <w:rsid w:val="0070321E"/>
    <w:rsid w:val="00706AD4"/>
    <w:rsid w:val="00706F54"/>
    <w:rsid w:val="007126F2"/>
    <w:rsid w:val="007140BE"/>
    <w:rsid w:val="00716171"/>
    <w:rsid w:val="007171DF"/>
    <w:rsid w:val="00717C41"/>
    <w:rsid w:val="007211F5"/>
    <w:rsid w:val="00725BB5"/>
    <w:rsid w:val="00730AE8"/>
    <w:rsid w:val="00730CF1"/>
    <w:rsid w:val="0073155B"/>
    <w:rsid w:val="00736802"/>
    <w:rsid w:val="00741493"/>
    <w:rsid w:val="00743DF9"/>
    <w:rsid w:val="00744826"/>
    <w:rsid w:val="00746184"/>
    <w:rsid w:val="00747380"/>
    <w:rsid w:val="00747760"/>
    <w:rsid w:val="007516B7"/>
    <w:rsid w:val="00751897"/>
    <w:rsid w:val="00752180"/>
    <w:rsid w:val="00755202"/>
    <w:rsid w:val="00755D3A"/>
    <w:rsid w:val="007578D3"/>
    <w:rsid w:val="007609C6"/>
    <w:rsid w:val="0076175D"/>
    <w:rsid w:val="00764479"/>
    <w:rsid w:val="0076521E"/>
    <w:rsid w:val="007661E9"/>
    <w:rsid w:val="007727CC"/>
    <w:rsid w:val="00776169"/>
    <w:rsid w:val="00776344"/>
    <w:rsid w:val="00776527"/>
    <w:rsid w:val="00776589"/>
    <w:rsid w:val="00777221"/>
    <w:rsid w:val="007808A4"/>
    <w:rsid w:val="00780EF1"/>
    <w:rsid w:val="00786F49"/>
    <w:rsid w:val="007871A3"/>
    <w:rsid w:val="007904AD"/>
    <w:rsid w:val="00790764"/>
    <w:rsid w:val="00793E9A"/>
    <w:rsid w:val="0079453C"/>
    <w:rsid w:val="00794677"/>
    <w:rsid w:val="00797DFA"/>
    <w:rsid w:val="007A0E34"/>
    <w:rsid w:val="007A1450"/>
    <w:rsid w:val="007A3C70"/>
    <w:rsid w:val="007A4684"/>
    <w:rsid w:val="007A576A"/>
    <w:rsid w:val="007A5788"/>
    <w:rsid w:val="007B3FD3"/>
    <w:rsid w:val="007B6689"/>
    <w:rsid w:val="007C1321"/>
    <w:rsid w:val="007C44D1"/>
    <w:rsid w:val="007C6462"/>
    <w:rsid w:val="007D344C"/>
    <w:rsid w:val="007D3CE1"/>
    <w:rsid w:val="007D40DF"/>
    <w:rsid w:val="007D4AB4"/>
    <w:rsid w:val="007D4B97"/>
    <w:rsid w:val="007D4D0E"/>
    <w:rsid w:val="007D5BCF"/>
    <w:rsid w:val="007D6615"/>
    <w:rsid w:val="007D722E"/>
    <w:rsid w:val="007D7442"/>
    <w:rsid w:val="007E0E6D"/>
    <w:rsid w:val="007E0FF5"/>
    <w:rsid w:val="007E6387"/>
    <w:rsid w:val="007E7E61"/>
    <w:rsid w:val="007F0845"/>
    <w:rsid w:val="007F43D9"/>
    <w:rsid w:val="007F60D0"/>
    <w:rsid w:val="0080459C"/>
    <w:rsid w:val="00804A97"/>
    <w:rsid w:val="00807C82"/>
    <w:rsid w:val="00815C1F"/>
    <w:rsid w:val="00816905"/>
    <w:rsid w:val="00816B12"/>
    <w:rsid w:val="00817845"/>
    <w:rsid w:val="00821FF6"/>
    <w:rsid w:val="00824910"/>
    <w:rsid w:val="00825C4D"/>
    <w:rsid w:val="00830433"/>
    <w:rsid w:val="0083115C"/>
    <w:rsid w:val="0083143E"/>
    <w:rsid w:val="00831CDE"/>
    <w:rsid w:val="00834304"/>
    <w:rsid w:val="00834FAA"/>
    <w:rsid w:val="00836086"/>
    <w:rsid w:val="008402E2"/>
    <w:rsid w:val="008407D6"/>
    <w:rsid w:val="00843DC1"/>
    <w:rsid w:val="0084708F"/>
    <w:rsid w:val="008477C8"/>
    <w:rsid w:val="0085114D"/>
    <w:rsid w:val="0085208D"/>
    <w:rsid w:val="00852217"/>
    <w:rsid w:val="00853A82"/>
    <w:rsid w:val="00855408"/>
    <w:rsid w:val="00856901"/>
    <w:rsid w:val="00856905"/>
    <w:rsid w:val="00856D65"/>
    <w:rsid w:val="00861B41"/>
    <w:rsid w:val="00863434"/>
    <w:rsid w:val="008644B0"/>
    <w:rsid w:val="0086547C"/>
    <w:rsid w:val="00865E4C"/>
    <w:rsid w:val="008701E4"/>
    <w:rsid w:val="00870415"/>
    <w:rsid w:val="008705B8"/>
    <w:rsid w:val="00872BA9"/>
    <w:rsid w:val="00873E37"/>
    <w:rsid w:val="00874B90"/>
    <w:rsid w:val="00874CCD"/>
    <w:rsid w:val="00875A32"/>
    <w:rsid w:val="00876086"/>
    <w:rsid w:val="0088118E"/>
    <w:rsid w:val="00881BB6"/>
    <w:rsid w:val="0088355E"/>
    <w:rsid w:val="008867CE"/>
    <w:rsid w:val="008873D4"/>
    <w:rsid w:val="00892699"/>
    <w:rsid w:val="00893E85"/>
    <w:rsid w:val="00894031"/>
    <w:rsid w:val="008A1148"/>
    <w:rsid w:val="008A2643"/>
    <w:rsid w:val="008A4672"/>
    <w:rsid w:val="008B2F72"/>
    <w:rsid w:val="008B6DAE"/>
    <w:rsid w:val="008B7C02"/>
    <w:rsid w:val="008B7D2B"/>
    <w:rsid w:val="008C0049"/>
    <w:rsid w:val="008C0E88"/>
    <w:rsid w:val="008C74AD"/>
    <w:rsid w:val="008D034E"/>
    <w:rsid w:val="008D0CBD"/>
    <w:rsid w:val="008D1E6A"/>
    <w:rsid w:val="008D2A16"/>
    <w:rsid w:val="008D46BC"/>
    <w:rsid w:val="008D5947"/>
    <w:rsid w:val="008E2C57"/>
    <w:rsid w:val="008E31FF"/>
    <w:rsid w:val="008E3757"/>
    <w:rsid w:val="008E6F06"/>
    <w:rsid w:val="008F029B"/>
    <w:rsid w:val="008F0ADE"/>
    <w:rsid w:val="008F3FC9"/>
    <w:rsid w:val="008F585B"/>
    <w:rsid w:val="008F6A50"/>
    <w:rsid w:val="008F6FAC"/>
    <w:rsid w:val="009003A8"/>
    <w:rsid w:val="00901727"/>
    <w:rsid w:val="00902500"/>
    <w:rsid w:val="00902EFF"/>
    <w:rsid w:val="009038A8"/>
    <w:rsid w:val="00906401"/>
    <w:rsid w:val="0090703E"/>
    <w:rsid w:val="009076C1"/>
    <w:rsid w:val="0090798B"/>
    <w:rsid w:val="0091155E"/>
    <w:rsid w:val="00912423"/>
    <w:rsid w:val="009126A8"/>
    <w:rsid w:val="00912A92"/>
    <w:rsid w:val="0091728D"/>
    <w:rsid w:val="00921275"/>
    <w:rsid w:val="0092180B"/>
    <w:rsid w:val="00921F14"/>
    <w:rsid w:val="00924873"/>
    <w:rsid w:val="00924AC8"/>
    <w:rsid w:val="0092558E"/>
    <w:rsid w:val="0092597A"/>
    <w:rsid w:val="00932443"/>
    <w:rsid w:val="009364DE"/>
    <w:rsid w:val="00937AE2"/>
    <w:rsid w:val="0094286D"/>
    <w:rsid w:val="0094427A"/>
    <w:rsid w:val="00944345"/>
    <w:rsid w:val="00947E4F"/>
    <w:rsid w:val="00950892"/>
    <w:rsid w:val="00954833"/>
    <w:rsid w:val="009600A4"/>
    <w:rsid w:val="00964646"/>
    <w:rsid w:val="00965B11"/>
    <w:rsid w:val="00967836"/>
    <w:rsid w:val="0097122A"/>
    <w:rsid w:val="009718EA"/>
    <w:rsid w:val="00972D73"/>
    <w:rsid w:val="00974432"/>
    <w:rsid w:val="00974923"/>
    <w:rsid w:val="00976CB5"/>
    <w:rsid w:val="00977938"/>
    <w:rsid w:val="00980D3D"/>
    <w:rsid w:val="009814C8"/>
    <w:rsid w:val="009821FB"/>
    <w:rsid w:val="00983ED1"/>
    <w:rsid w:val="00987A30"/>
    <w:rsid w:val="00990D82"/>
    <w:rsid w:val="00992CF3"/>
    <w:rsid w:val="00992FFC"/>
    <w:rsid w:val="00993BE4"/>
    <w:rsid w:val="00995191"/>
    <w:rsid w:val="00995618"/>
    <w:rsid w:val="00996263"/>
    <w:rsid w:val="009968D6"/>
    <w:rsid w:val="009A1CAB"/>
    <w:rsid w:val="009A2506"/>
    <w:rsid w:val="009A5F22"/>
    <w:rsid w:val="009A60D1"/>
    <w:rsid w:val="009A6739"/>
    <w:rsid w:val="009A765F"/>
    <w:rsid w:val="009A7D47"/>
    <w:rsid w:val="009B1A33"/>
    <w:rsid w:val="009B6FD3"/>
    <w:rsid w:val="009C01B7"/>
    <w:rsid w:val="009C16E3"/>
    <w:rsid w:val="009C1750"/>
    <w:rsid w:val="009C2E29"/>
    <w:rsid w:val="009C554B"/>
    <w:rsid w:val="009C719E"/>
    <w:rsid w:val="009D1C60"/>
    <w:rsid w:val="009D3ACD"/>
    <w:rsid w:val="009D6B76"/>
    <w:rsid w:val="009E0097"/>
    <w:rsid w:val="009E2B02"/>
    <w:rsid w:val="009E4026"/>
    <w:rsid w:val="009E5273"/>
    <w:rsid w:val="009E5DDB"/>
    <w:rsid w:val="009F04D3"/>
    <w:rsid w:val="009F2209"/>
    <w:rsid w:val="009F4CA7"/>
    <w:rsid w:val="009F50B5"/>
    <w:rsid w:val="00A000D7"/>
    <w:rsid w:val="00A0199F"/>
    <w:rsid w:val="00A03844"/>
    <w:rsid w:val="00A05377"/>
    <w:rsid w:val="00A0629C"/>
    <w:rsid w:val="00A107DD"/>
    <w:rsid w:val="00A10D66"/>
    <w:rsid w:val="00A14114"/>
    <w:rsid w:val="00A15072"/>
    <w:rsid w:val="00A16413"/>
    <w:rsid w:val="00A174F2"/>
    <w:rsid w:val="00A20608"/>
    <w:rsid w:val="00A23696"/>
    <w:rsid w:val="00A23E43"/>
    <w:rsid w:val="00A24E70"/>
    <w:rsid w:val="00A25063"/>
    <w:rsid w:val="00A2545E"/>
    <w:rsid w:val="00A25DB6"/>
    <w:rsid w:val="00A30916"/>
    <w:rsid w:val="00A30F65"/>
    <w:rsid w:val="00A323D9"/>
    <w:rsid w:val="00A32584"/>
    <w:rsid w:val="00A3466F"/>
    <w:rsid w:val="00A34C27"/>
    <w:rsid w:val="00A405AE"/>
    <w:rsid w:val="00A418BC"/>
    <w:rsid w:val="00A42994"/>
    <w:rsid w:val="00A4304A"/>
    <w:rsid w:val="00A46DE0"/>
    <w:rsid w:val="00A50329"/>
    <w:rsid w:val="00A50394"/>
    <w:rsid w:val="00A50D73"/>
    <w:rsid w:val="00A5232D"/>
    <w:rsid w:val="00A52CAD"/>
    <w:rsid w:val="00A530DD"/>
    <w:rsid w:val="00A53BEC"/>
    <w:rsid w:val="00A53FC7"/>
    <w:rsid w:val="00A54451"/>
    <w:rsid w:val="00A56D3C"/>
    <w:rsid w:val="00A56DCE"/>
    <w:rsid w:val="00A570BE"/>
    <w:rsid w:val="00A57A09"/>
    <w:rsid w:val="00A6032E"/>
    <w:rsid w:val="00A60986"/>
    <w:rsid w:val="00A62CE1"/>
    <w:rsid w:val="00A633A3"/>
    <w:rsid w:val="00A67415"/>
    <w:rsid w:val="00A6741E"/>
    <w:rsid w:val="00A67E73"/>
    <w:rsid w:val="00A7127A"/>
    <w:rsid w:val="00A73844"/>
    <w:rsid w:val="00A73BCB"/>
    <w:rsid w:val="00A75E40"/>
    <w:rsid w:val="00A77D1D"/>
    <w:rsid w:val="00A81F66"/>
    <w:rsid w:val="00A857C0"/>
    <w:rsid w:val="00A9180F"/>
    <w:rsid w:val="00A95AE7"/>
    <w:rsid w:val="00AA2996"/>
    <w:rsid w:val="00AA52BF"/>
    <w:rsid w:val="00AA559A"/>
    <w:rsid w:val="00AB11A0"/>
    <w:rsid w:val="00AB2AF1"/>
    <w:rsid w:val="00AB3951"/>
    <w:rsid w:val="00AB5663"/>
    <w:rsid w:val="00AC1381"/>
    <w:rsid w:val="00AC4E8D"/>
    <w:rsid w:val="00AC5B96"/>
    <w:rsid w:val="00AD0509"/>
    <w:rsid w:val="00AD0A5E"/>
    <w:rsid w:val="00AD306C"/>
    <w:rsid w:val="00AD6465"/>
    <w:rsid w:val="00AE09B3"/>
    <w:rsid w:val="00AE1A83"/>
    <w:rsid w:val="00AE49F3"/>
    <w:rsid w:val="00AF0C24"/>
    <w:rsid w:val="00AF0F32"/>
    <w:rsid w:val="00AF3C7B"/>
    <w:rsid w:val="00AF4C2E"/>
    <w:rsid w:val="00AF75D5"/>
    <w:rsid w:val="00B00913"/>
    <w:rsid w:val="00B01593"/>
    <w:rsid w:val="00B043F7"/>
    <w:rsid w:val="00B05585"/>
    <w:rsid w:val="00B05EA7"/>
    <w:rsid w:val="00B075B8"/>
    <w:rsid w:val="00B07AA9"/>
    <w:rsid w:val="00B10A4D"/>
    <w:rsid w:val="00B12DAA"/>
    <w:rsid w:val="00B13471"/>
    <w:rsid w:val="00B16121"/>
    <w:rsid w:val="00B163C1"/>
    <w:rsid w:val="00B17E71"/>
    <w:rsid w:val="00B17FDE"/>
    <w:rsid w:val="00B2379C"/>
    <w:rsid w:val="00B23B8F"/>
    <w:rsid w:val="00B2687D"/>
    <w:rsid w:val="00B32DDB"/>
    <w:rsid w:val="00B34528"/>
    <w:rsid w:val="00B35525"/>
    <w:rsid w:val="00B35B7B"/>
    <w:rsid w:val="00B37F26"/>
    <w:rsid w:val="00B402FC"/>
    <w:rsid w:val="00B40D08"/>
    <w:rsid w:val="00B40D6F"/>
    <w:rsid w:val="00B4447D"/>
    <w:rsid w:val="00B4533A"/>
    <w:rsid w:val="00B45D48"/>
    <w:rsid w:val="00B46604"/>
    <w:rsid w:val="00B52882"/>
    <w:rsid w:val="00B5308A"/>
    <w:rsid w:val="00B530CD"/>
    <w:rsid w:val="00B55F5E"/>
    <w:rsid w:val="00B563D9"/>
    <w:rsid w:val="00B5752E"/>
    <w:rsid w:val="00B60414"/>
    <w:rsid w:val="00B617A5"/>
    <w:rsid w:val="00B63590"/>
    <w:rsid w:val="00B63A11"/>
    <w:rsid w:val="00B6429C"/>
    <w:rsid w:val="00B64C24"/>
    <w:rsid w:val="00B65FC7"/>
    <w:rsid w:val="00B6608F"/>
    <w:rsid w:val="00B679FB"/>
    <w:rsid w:val="00B769EA"/>
    <w:rsid w:val="00B76D1E"/>
    <w:rsid w:val="00B80EC6"/>
    <w:rsid w:val="00B8222F"/>
    <w:rsid w:val="00B8227C"/>
    <w:rsid w:val="00B82765"/>
    <w:rsid w:val="00B82B41"/>
    <w:rsid w:val="00B848EA"/>
    <w:rsid w:val="00B853FE"/>
    <w:rsid w:val="00B85B48"/>
    <w:rsid w:val="00B92D1D"/>
    <w:rsid w:val="00B938C5"/>
    <w:rsid w:val="00B95940"/>
    <w:rsid w:val="00B964A8"/>
    <w:rsid w:val="00B9722C"/>
    <w:rsid w:val="00BA133F"/>
    <w:rsid w:val="00BA17EF"/>
    <w:rsid w:val="00BA57ED"/>
    <w:rsid w:val="00BB439E"/>
    <w:rsid w:val="00BB46F3"/>
    <w:rsid w:val="00BB4CB1"/>
    <w:rsid w:val="00BB4F98"/>
    <w:rsid w:val="00BB5F44"/>
    <w:rsid w:val="00BC0E20"/>
    <w:rsid w:val="00BC62C3"/>
    <w:rsid w:val="00BC7154"/>
    <w:rsid w:val="00BD3114"/>
    <w:rsid w:val="00BD366B"/>
    <w:rsid w:val="00BD5355"/>
    <w:rsid w:val="00BD6D50"/>
    <w:rsid w:val="00BE0698"/>
    <w:rsid w:val="00BE18B9"/>
    <w:rsid w:val="00BE2495"/>
    <w:rsid w:val="00BE2FF5"/>
    <w:rsid w:val="00BE3071"/>
    <w:rsid w:val="00BF1578"/>
    <w:rsid w:val="00BF1949"/>
    <w:rsid w:val="00BF2945"/>
    <w:rsid w:val="00BF36FE"/>
    <w:rsid w:val="00BF76B8"/>
    <w:rsid w:val="00C0283D"/>
    <w:rsid w:val="00C0570F"/>
    <w:rsid w:val="00C10142"/>
    <w:rsid w:val="00C11DEA"/>
    <w:rsid w:val="00C160EE"/>
    <w:rsid w:val="00C1774E"/>
    <w:rsid w:val="00C201E8"/>
    <w:rsid w:val="00C21755"/>
    <w:rsid w:val="00C21F94"/>
    <w:rsid w:val="00C25E3F"/>
    <w:rsid w:val="00C266B7"/>
    <w:rsid w:val="00C26D9C"/>
    <w:rsid w:val="00C27913"/>
    <w:rsid w:val="00C27ECC"/>
    <w:rsid w:val="00C30DEF"/>
    <w:rsid w:val="00C33B68"/>
    <w:rsid w:val="00C36A79"/>
    <w:rsid w:val="00C37294"/>
    <w:rsid w:val="00C405D4"/>
    <w:rsid w:val="00C40888"/>
    <w:rsid w:val="00C4513B"/>
    <w:rsid w:val="00C46527"/>
    <w:rsid w:val="00C470CE"/>
    <w:rsid w:val="00C47D28"/>
    <w:rsid w:val="00C54697"/>
    <w:rsid w:val="00C54F8F"/>
    <w:rsid w:val="00C5622D"/>
    <w:rsid w:val="00C60C1E"/>
    <w:rsid w:val="00C61FC2"/>
    <w:rsid w:val="00C634FA"/>
    <w:rsid w:val="00C64BB2"/>
    <w:rsid w:val="00C65C14"/>
    <w:rsid w:val="00C67420"/>
    <w:rsid w:val="00C709E0"/>
    <w:rsid w:val="00C73885"/>
    <w:rsid w:val="00C747B1"/>
    <w:rsid w:val="00C7692D"/>
    <w:rsid w:val="00C810F6"/>
    <w:rsid w:val="00C82191"/>
    <w:rsid w:val="00C82DBE"/>
    <w:rsid w:val="00C8424F"/>
    <w:rsid w:val="00C90CF4"/>
    <w:rsid w:val="00C92EB6"/>
    <w:rsid w:val="00C93389"/>
    <w:rsid w:val="00C94104"/>
    <w:rsid w:val="00C94A83"/>
    <w:rsid w:val="00CA3A32"/>
    <w:rsid w:val="00CA6ACC"/>
    <w:rsid w:val="00CB24DC"/>
    <w:rsid w:val="00CB3B8B"/>
    <w:rsid w:val="00CB4930"/>
    <w:rsid w:val="00CC2E7D"/>
    <w:rsid w:val="00CD0FE2"/>
    <w:rsid w:val="00CD10A5"/>
    <w:rsid w:val="00CD2044"/>
    <w:rsid w:val="00CD2076"/>
    <w:rsid w:val="00CE0AE2"/>
    <w:rsid w:val="00CE2DE6"/>
    <w:rsid w:val="00CE670B"/>
    <w:rsid w:val="00CE716F"/>
    <w:rsid w:val="00CF324E"/>
    <w:rsid w:val="00CF51EC"/>
    <w:rsid w:val="00CF6045"/>
    <w:rsid w:val="00CF73AE"/>
    <w:rsid w:val="00CF7F7C"/>
    <w:rsid w:val="00D0304B"/>
    <w:rsid w:val="00D040DD"/>
    <w:rsid w:val="00D04E04"/>
    <w:rsid w:val="00D1324F"/>
    <w:rsid w:val="00D13986"/>
    <w:rsid w:val="00D15C07"/>
    <w:rsid w:val="00D218AE"/>
    <w:rsid w:val="00D21DBA"/>
    <w:rsid w:val="00D227E2"/>
    <w:rsid w:val="00D235B7"/>
    <w:rsid w:val="00D25F28"/>
    <w:rsid w:val="00D267A3"/>
    <w:rsid w:val="00D27973"/>
    <w:rsid w:val="00D32346"/>
    <w:rsid w:val="00D328E7"/>
    <w:rsid w:val="00D33816"/>
    <w:rsid w:val="00D36727"/>
    <w:rsid w:val="00D467CF"/>
    <w:rsid w:val="00D50F46"/>
    <w:rsid w:val="00D53564"/>
    <w:rsid w:val="00D55123"/>
    <w:rsid w:val="00D551AB"/>
    <w:rsid w:val="00D5554D"/>
    <w:rsid w:val="00D562E9"/>
    <w:rsid w:val="00D63794"/>
    <w:rsid w:val="00D63E37"/>
    <w:rsid w:val="00D66223"/>
    <w:rsid w:val="00D8084C"/>
    <w:rsid w:val="00D83E10"/>
    <w:rsid w:val="00D84019"/>
    <w:rsid w:val="00D8678C"/>
    <w:rsid w:val="00D93BFD"/>
    <w:rsid w:val="00DA3E31"/>
    <w:rsid w:val="00DA59F4"/>
    <w:rsid w:val="00DA6691"/>
    <w:rsid w:val="00DA7232"/>
    <w:rsid w:val="00DA7C0C"/>
    <w:rsid w:val="00DB0E2D"/>
    <w:rsid w:val="00DB11CC"/>
    <w:rsid w:val="00DB2EC8"/>
    <w:rsid w:val="00DB61CA"/>
    <w:rsid w:val="00DB7B08"/>
    <w:rsid w:val="00DC54BB"/>
    <w:rsid w:val="00DC5B3B"/>
    <w:rsid w:val="00DD129F"/>
    <w:rsid w:val="00DD2C11"/>
    <w:rsid w:val="00DE410C"/>
    <w:rsid w:val="00DE44FC"/>
    <w:rsid w:val="00DE5764"/>
    <w:rsid w:val="00DF0898"/>
    <w:rsid w:val="00DF0A3C"/>
    <w:rsid w:val="00DF36AA"/>
    <w:rsid w:val="00DF42FF"/>
    <w:rsid w:val="00E00549"/>
    <w:rsid w:val="00E01C0E"/>
    <w:rsid w:val="00E02345"/>
    <w:rsid w:val="00E03D9A"/>
    <w:rsid w:val="00E03F9A"/>
    <w:rsid w:val="00E04694"/>
    <w:rsid w:val="00E12B1E"/>
    <w:rsid w:val="00E14280"/>
    <w:rsid w:val="00E14F97"/>
    <w:rsid w:val="00E17262"/>
    <w:rsid w:val="00E219AC"/>
    <w:rsid w:val="00E23AC1"/>
    <w:rsid w:val="00E240E5"/>
    <w:rsid w:val="00E253A2"/>
    <w:rsid w:val="00E2548B"/>
    <w:rsid w:val="00E26DF0"/>
    <w:rsid w:val="00E27CE5"/>
    <w:rsid w:val="00E3309D"/>
    <w:rsid w:val="00E369E3"/>
    <w:rsid w:val="00E40ABE"/>
    <w:rsid w:val="00E444FF"/>
    <w:rsid w:val="00E44B35"/>
    <w:rsid w:val="00E4600D"/>
    <w:rsid w:val="00E47933"/>
    <w:rsid w:val="00E47A3F"/>
    <w:rsid w:val="00E50156"/>
    <w:rsid w:val="00E52C56"/>
    <w:rsid w:val="00E53470"/>
    <w:rsid w:val="00E539F6"/>
    <w:rsid w:val="00E61CC3"/>
    <w:rsid w:val="00E61CDD"/>
    <w:rsid w:val="00E645B4"/>
    <w:rsid w:val="00E64741"/>
    <w:rsid w:val="00E6519D"/>
    <w:rsid w:val="00E664D0"/>
    <w:rsid w:val="00E664E5"/>
    <w:rsid w:val="00E67696"/>
    <w:rsid w:val="00E71676"/>
    <w:rsid w:val="00E71A4D"/>
    <w:rsid w:val="00E71A58"/>
    <w:rsid w:val="00E72A7A"/>
    <w:rsid w:val="00E72EC9"/>
    <w:rsid w:val="00E73E5E"/>
    <w:rsid w:val="00E75C20"/>
    <w:rsid w:val="00E75C94"/>
    <w:rsid w:val="00E86569"/>
    <w:rsid w:val="00E86917"/>
    <w:rsid w:val="00E90693"/>
    <w:rsid w:val="00E93820"/>
    <w:rsid w:val="00E943EF"/>
    <w:rsid w:val="00E944B9"/>
    <w:rsid w:val="00E966D9"/>
    <w:rsid w:val="00EA0C68"/>
    <w:rsid w:val="00EA32BC"/>
    <w:rsid w:val="00EA5D17"/>
    <w:rsid w:val="00EA6564"/>
    <w:rsid w:val="00EA78F6"/>
    <w:rsid w:val="00EB25E6"/>
    <w:rsid w:val="00EB4511"/>
    <w:rsid w:val="00EB4697"/>
    <w:rsid w:val="00EC03D7"/>
    <w:rsid w:val="00EC25E1"/>
    <w:rsid w:val="00EC67E9"/>
    <w:rsid w:val="00ED62C6"/>
    <w:rsid w:val="00ED64C1"/>
    <w:rsid w:val="00ED74FD"/>
    <w:rsid w:val="00ED7915"/>
    <w:rsid w:val="00EE04E0"/>
    <w:rsid w:val="00EE338E"/>
    <w:rsid w:val="00EE3446"/>
    <w:rsid w:val="00EE3E78"/>
    <w:rsid w:val="00EE4B1B"/>
    <w:rsid w:val="00EE62DA"/>
    <w:rsid w:val="00EE69BB"/>
    <w:rsid w:val="00EF13A1"/>
    <w:rsid w:val="00EF150D"/>
    <w:rsid w:val="00EF1F5A"/>
    <w:rsid w:val="00EF46FD"/>
    <w:rsid w:val="00EF47BF"/>
    <w:rsid w:val="00EF549D"/>
    <w:rsid w:val="00F00EE3"/>
    <w:rsid w:val="00F04811"/>
    <w:rsid w:val="00F0488C"/>
    <w:rsid w:val="00F048B9"/>
    <w:rsid w:val="00F057EA"/>
    <w:rsid w:val="00F05F5E"/>
    <w:rsid w:val="00F0650D"/>
    <w:rsid w:val="00F0722D"/>
    <w:rsid w:val="00F07C76"/>
    <w:rsid w:val="00F10F11"/>
    <w:rsid w:val="00F12225"/>
    <w:rsid w:val="00F15AAA"/>
    <w:rsid w:val="00F15BEF"/>
    <w:rsid w:val="00F1607C"/>
    <w:rsid w:val="00F17375"/>
    <w:rsid w:val="00F214D1"/>
    <w:rsid w:val="00F243FC"/>
    <w:rsid w:val="00F24407"/>
    <w:rsid w:val="00F24FAA"/>
    <w:rsid w:val="00F26D27"/>
    <w:rsid w:val="00F3364D"/>
    <w:rsid w:val="00F347EA"/>
    <w:rsid w:val="00F357D3"/>
    <w:rsid w:val="00F42C30"/>
    <w:rsid w:val="00F437CC"/>
    <w:rsid w:val="00F4381F"/>
    <w:rsid w:val="00F46521"/>
    <w:rsid w:val="00F47067"/>
    <w:rsid w:val="00F51A74"/>
    <w:rsid w:val="00F5201B"/>
    <w:rsid w:val="00F525EB"/>
    <w:rsid w:val="00F52F49"/>
    <w:rsid w:val="00F53147"/>
    <w:rsid w:val="00F63DDE"/>
    <w:rsid w:val="00F63FB7"/>
    <w:rsid w:val="00F649D2"/>
    <w:rsid w:val="00F657B3"/>
    <w:rsid w:val="00F6602B"/>
    <w:rsid w:val="00F7260E"/>
    <w:rsid w:val="00F73A0C"/>
    <w:rsid w:val="00F748A3"/>
    <w:rsid w:val="00F756DB"/>
    <w:rsid w:val="00F817B4"/>
    <w:rsid w:val="00F84233"/>
    <w:rsid w:val="00F85066"/>
    <w:rsid w:val="00F9462D"/>
    <w:rsid w:val="00FA477E"/>
    <w:rsid w:val="00FA515C"/>
    <w:rsid w:val="00FA53C3"/>
    <w:rsid w:val="00FA5D10"/>
    <w:rsid w:val="00FA5D4D"/>
    <w:rsid w:val="00FB06AE"/>
    <w:rsid w:val="00FB0EE2"/>
    <w:rsid w:val="00FB4F78"/>
    <w:rsid w:val="00FB542E"/>
    <w:rsid w:val="00FB55B8"/>
    <w:rsid w:val="00FB7483"/>
    <w:rsid w:val="00FC0E5F"/>
    <w:rsid w:val="00FC1A95"/>
    <w:rsid w:val="00FC322D"/>
    <w:rsid w:val="00FC4718"/>
    <w:rsid w:val="00FC56DE"/>
    <w:rsid w:val="00FC5F9E"/>
    <w:rsid w:val="00FC601D"/>
    <w:rsid w:val="00FC684B"/>
    <w:rsid w:val="00FC6CB5"/>
    <w:rsid w:val="00FC79BD"/>
    <w:rsid w:val="00FD0848"/>
    <w:rsid w:val="00FD21CA"/>
    <w:rsid w:val="00FD3265"/>
    <w:rsid w:val="00FD600D"/>
    <w:rsid w:val="00FE2F78"/>
    <w:rsid w:val="00FF1443"/>
    <w:rsid w:val="00FF25D7"/>
    <w:rsid w:val="00FF6FBF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5DFA81DF"/>
  <w15:docId w15:val="{C9F38FDE-E07F-41CA-B4A3-64A147E4A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C6462"/>
    <w:pPr>
      <w:spacing w:after="240" w:line="288" w:lineRule="auto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900FF"/>
    <w:rPr>
      <w:rFonts w:ascii="Arial" w:eastAsia="MS Gothic" w:hAnsi="Arial"/>
      <w:b/>
      <w:bCs/>
      <w:color w:val="C00000"/>
      <w:sz w:val="32"/>
      <w:szCs w:val="28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nadpis">
    <w:name w:val="Subtitle"/>
    <w:link w:val="Podnadpis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nadpisChar">
    <w:name w:val="Podnadpis Char"/>
    <w:link w:val="Podnadpis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paragraph" w:styleId="Odstavecseseznamem">
    <w:name w:val="List Paragraph"/>
    <w:basedOn w:val="Normln"/>
    <w:uiPriority w:val="34"/>
    <w:rsid w:val="001D59A2"/>
    <w:pPr>
      <w:ind w:left="720"/>
      <w:contextualSpacing/>
    </w:pPr>
  </w:style>
  <w:style w:type="paragraph" w:styleId="Nadpisobsahu">
    <w:name w:val="TOC Heading"/>
    <w:basedOn w:val="Nadpis1"/>
    <w:next w:val="Normln"/>
    <w:uiPriority w:val="39"/>
    <w:unhideWhenUsed/>
    <w:qFormat/>
    <w:rsid w:val="004C3442"/>
    <w:pPr>
      <w:spacing w:before="240" w:after="0" w:line="259" w:lineRule="auto"/>
      <w:contextualSpacing w:val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Cs w:val="32"/>
    </w:rPr>
  </w:style>
  <w:style w:type="paragraph" w:customStyle="1" w:styleId="Default">
    <w:name w:val="Default"/>
    <w:rsid w:val="002659EE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59EE"/>
    <w:pPr>
      <w:spacing w:after="0" w:line="240" w:lineRule="auto"/>
    </w:pPr>
    <w:rPr>
      <w:rFonts w:ascii="Calibri" w:eastAsia="Calibri" w:hAnsi="Calibri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59EE"/>
  </w:style>
  <w:style w:type="character" w:styleId="Znakapoznpodarou">
    <w:name w:val="footnote reference"/>
    <w:uiPriority w:val="99"/>
    <w:semiHidden/>
    <w:unhideWhenUsed/>
    <w:rsid w:val="002659EE"/>
    <w:rPr>
      <w:vertAlign w:val="superscript"/>
    </w:rPr>
  </w:style>
  <w:style w:type="character" w:styleId="Sledovanodkaz">
    <w:name w:val="FollowedHyperlink"/>
    <w:basedOn w:val="Standardnpsmoodstavce"/>
    <w:uiPriority w:val="99"/>
    <w:semiHidden/>
    <w:unhideWhenUsed/>
    <w:rsid w:val="007D5BCF"/>
    <w:rPr>
      <w:color w:val="800080" w:themeColor="followed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07C7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7C76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7C76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7C7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7C76"/>
    <w:rPr>
      <w:rFonts w:ascii="Arial" w:eastAsia="Times New Roman" w:hAnsi="Arial"/>
      <w:b/>
      <w:bCs/>
      <w:lang w:eastAsia="cs-CZ"/>
    </w:rPr>
  </w:style>
  <w:style w:type="paragraph" w:styleId="Revize">
    <w:name w:val="Revision"/>
    <w:hidden/>
    <w:uiPriority w:val="99"/>
    <w:semiHidden/>
    <w:rsid w:val="00FD21CA"/>
    <w:rPr>
      <w:rFonts w:ascii="Arial" w:eastAsia="Times New Roman" w:hAnsi="Arial"/>
      <w:szCs w:val="24"/>
      <w:lang w:eastAsia="cs-CZ"/>
    </w:rPr>
  </w:style>
  <w:style w:type="character" w:customStyle="1" w:styleId="hgkelc">
    <w:name w:val="hgkelc"/>
    <w:basedOn w:val="Standardnpsmoodstavce"/>
    <w:rsid w:val="003976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4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2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1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7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3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4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3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1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6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header" Target="header3.xml"/><Relationship Id="rId10" Type="http://schemas.openxmlformats.org/officeDocument/2006/relationships/chart" Target="charts/chart2.xm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czso.cz/csu/czso/obyvatelstvo_hu" TargetMode="External"/><Relationship Id="rId14" Type="http://schemas.openxmlformats.org/officeDocument/2006/relationships/chart" Target="charts/chart6.xml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NDRUS~1\AppData\Local\Temp\Publikace%20bar%20CZ_lide%20a%20spolecnost_2017-08-14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List_aplikace_Microsoft_Excel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chartUserShapes" Target="../drawings/drawing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4.xml"/><Relationship Id="rId1" Type="http://schemas.microsoft.com/office/2011/relationships/chartStyle" Target="style4.xml"/><Relationship Id="rId5" Type="http://schemas.openxmlformats.org/officeDocument/2006/relationships/chartUserShapes" Target="../drawings/drawing2.xml"/><Relationship Id="rId4" Type="http://schemas.openxmlformats.org/officeDocument/2006/relationships/oleObject" Target="file:///D:\kasparova3676\Desktop\V&#352;_2022_grafy.xlsx" TargetMode="Externa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5.xml"/><Relationship Id="rId1" Type="http://schemas.microsoft.com/office/2011/relationships/chartStyle" Target="style5.xml"/><Relationship Id="rId5" Type="http://schemas.openxmlformats.org/officeDocument/2006/relationships/chartUserShapes" Target="../drawings/drawing3.xml"/><Relationship Id="rId4" Type="http://schemas.openxmlformats.org/officeDocument/2006/relationships/oleObject" Target="file:///D:\kasparova3676\Desktop\V&#352;_2022_grafy.xlsx" TargetMode="Externa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6.xml"/><Relationship Id="rId1" Type="http://schemas.microsoft.com/office/2011/relationships/chartStyle" Target="style6.xml"/><Relationship Id="rId5" Type="http://schemas.openxmlformats.org/officeDocument/2006/relationships/chartUserShapes" Target="../drawings/drawing4.xml"/><Relationship Id="rId4" Type="http://schemas.openxmlformats.org/officeDocument/2006/relationships/oleObject" Target="file:///D:\kasparova3676\Desktop\V&#352;_2022_grafy.xlsx" TargetMode="Externa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7.xml"/><Relationship Id="rId1" Type="http://schemas.microsoft.com/office/2011/relationships/chartStyle" Target="style7.xml"/><Relationship Id="rId5" Type="http://schemas.openxmlformats.org/officeDocument/2006/relationships/chartUserShapes" Target="../drawings/drawing5.xml"/><Relationship Id="rId4" Type="http://schemas.openxmlformats.org/officeDocument/2006/relationships/oleObject" Target="file:///D:\kasparova3676\Desktop\V&#352;_2022_grafy.xlsx" TargetMode="Externa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8.xml"/><Relationship Id="rId1" Type="http://schemas.microsoft.com/office/2011/relationships/chartStyle" Target="style8.xml"/><Relationship Id="rId5" Type="http://schemas.openxmlformats.org/officeDocument/2006/relationships/chartUserShapes" Target="../drawings/drawing6.xml"/><Relationship Id="rId4" Type="http://schemas.openxmlformats.org/officeDocument/2006/relationships/package" Target="../embeddings/List_aplikace_Microsoft_Excel1.xlsx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9.xml"/><Relationship Id="rId1" Type="http://schemas.microsoft.com/office/2011/relationships/chartStyle" Target="style9.xml"/><Relationship Id="rId5" Type="http://schemas.openxmlformats.org/officeDocument/2006/relationships/chartUserShapes" Target="../drawings/drawing7.xml"/><Relationship Id="rId4" Type="http://schemas.openxmlformats.org/officeDocument/2006/relationships/oleObject" Target="file:///D:\kasparova3676\Desktop\V&#352;_2022_grafy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chartUserShapes" Target="../drawings/drawing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'Graf 1,2'!$AB$4</c:f>
              <c:strCache>
                <c:ptCount val="1"/>
                <c:pt idx="0">
                  <c:v> studenti - tisíce osob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1,2'!$AA$5:$AA$25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1,2'!$AB$5:$AB$25</c:f>
              <c:numCache>
                <c:formatCode>0.0</c:formatCode>
                <c:ptCount val="21"/>
                <c:pt idx="0">
                  <c:v>203.44900000000001</c:v>
                </c:pt>
                <c:pt idx="1">
                  <c:v>220.178</c:v>
                </c:pt>
                <c:pt idx="2">
                  <c:v>243.71799999999999</c:v>
                </c:pt>
                <c:pt idx="3">
                  <c:v>264.77</c:v>
                </c:pt>
                <c:pt idx="4">
                  <c:v>289.464</c:v>
                </c:pt>
                <c:pt idx="5">
                  <c:v>316.17599999999999</c:v>
                </c:pt>
                <c:pt idx="6">
                  <c:v>343.94299999999998</c:v>
                </c:pt>
                <c:pt idx="7">
                  <c:v>368.05099999999999</c:v>
                </c:pt>
                <c:pt idx="8">
                  <c:v>388.99099999999999</c:v>
                </c:pt>
                <c:pt idx="9">
                  <c:v>395.98200000000003</c:v>
                </c:pt>
                <c:pt idx="10">
                  <c:v>392.03899999999999</c:v>
                </c:pt>
                <c:pt idx="11">
                  <c:v>380.89299999999997</c:v>
                </c:pt>
                <c:pt idx="12">
                  <c:v>367.77199999999999</c:v>
                </c:pt>
                <c:pt idx="13">
                  <c:v>346.81099999999998</c:v>
                </c:pt>
                <c:pt idx="14">
                  <c:v>326.43700000000001</c:v>
                </c:pt>
                <c:pt idx="15">
                  <c:v>311.06</c:v>
                </c:pt>
                <c:pt idx="16">
                  <c:v>298.68200000000002</c:v>
                </c:pt>
                <c:pt idx="17">
                  <c:v>289.68</c:v>
                </c:pt>
                <c:pt idx="18">
                  <c:v>288.64400000000001</c:v>
                </c:pt>
                <c:pt idx="19">
                  <c:v>299.03100000000001</c:v>
                </c:pt>
                <c:pt idx="20">
                  <c:v>304.05399999999997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C57-4E0D-A346-66880606E96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844054640"/>
        <c:axId val="844047984"/>
      </c:barChart>
      <c:lineChart>
        <c:grouping val="standard"/>
        <c:varyColors val="0"/>
        <c:ser>
          <c:idx val="1"/>
          <c:order val="1"/>
          <c:tx>
            <c:strRef>
              <c:f>'Graf 1,2'!$AC$4</c:f>
              <c:strCache>
                <c:ptCount val="1"/>
                <c:pt idx="0">
                  <c:v> podíl studentů mezi obyvateli ČR ve věku 20–29 let (v %)</c:v>
                </c:pt>
              </c:strCache>
            </c:strRef>
          </c:tx>
          <c:spPr>
            <a:ln w="28575" cap="rnd">
              <a:solidFill>
                <a:schemeClr val="accent6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6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1,2'!$AA$5:$AA$25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1,2'!$AC$5:$AC$25</c:f>
              <c:numCache>
                <c:formatCode>0.0</c:formatCode>
                <c:ptCount val="21"/>
                <c:pt idx="0">
                  <c:v>8.9840881849970948</c:v>
                </c:pt>
                <c:pt idx="1">
                  <c:v>9.9354798777087474</c:v>
                </c:pt>
                <c:pt idx="2">
                  <c:v>11.101848902640638</c:v>
                </c:pt>
                <c:pt idx="3">
                  <c:v>11.931093178429625</c:v>
                </c:pt>
                <c:pt idx="4">
                  <c:v>13.60486550270736</c:v>
                </c:pt>
                <c:pt idx="5">
                  <c:v>14.800072158354791</c:v>
                </c:pt>
                <c:pt idx="6">
                  <c:v>16.193200281718909</c:v>
                </c:pt>
                <c:pt idx="7">
                  <c:v>17.238763258035245</c:v>
                </c:pt>
                <c:pt idx="8">
                  <c:v>18.324871322861952</c:v>
                </c:pt>
                <c:pt idx="9">
                  <c:v>18.89107093823101</c:v>
                </c:pt>
                <c:pt idx="10">
                  <c:v>19.527279411659109</c:v>
                </c:pt>
                <c:pt idx="11">
                  <c:v>19.401361496494189</c:v>
                </c:pt>
                <c:pt idx="12">
                  <c:v>19.224788168084558</c:v>
                </c:pt>
                <c:pt idx="13">
                  <c:v>18.523492574917029</c:v>
                </c:pt>
                <c:pt idx="14">
                  <c:v>17.777477577372316</c:v>
                </c:pt>
                <c:pt idx="15">
                  <c:v>17.164369390959692</c:v>
                </c:pt>
                <c:pt idx="16">
                  <c:v>16.753938019325517</c:v>
                </c:pt>
                <c:pt idx="17">
                  <c:v>16.542244433133334</c:v>
                </c:pt>
                <c:pt idx="18">
                  <c:v>16.702351875544089</c:v>
                </c:pt>
                <c:pt idx="19">
                  <c:v>17.676448238361537</c:v>
                </c:pt>
                <c:pt idx="20">
                  <c:v>18.749350942598078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2C57-4E0D-A346-66880606E96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27744544"/>
        <c:axId val="527725408"/>
      </c:lineChart>
      <c:catAx>
        <c:axId val="8440546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44047984"/>
        <c:crosses val="autoZero"/>
        <c:auto val="1"/>
        <c:lblAlgn val="ctr"/>
        <c:lblOffset val="100"/>
        <c:noMultiLvlLbl val="0"/>
      </c:catAx>
      <c:valAx>
        <c:axId val="844047984"/>
        <c:scaling>
          <c:orientation val="minMax"/>
          <c:max val="500"/>
        </c:scaling>
        <c:delete val="0"/>
        <c:axPos val="l"/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44054640"/>
        <c:crosses val="autoZero"/>
        <c:crossBetween val="between"/>
      </c:valAx>
      <c:valAx>
        <c:axId val="527725408"/>
        <c:scaling>
          <c:orientation val="minMax"/>
          <c:max val="20"/>
          <c:min val="0"/>
        </c:scaling>
        <c:delete val="0"/>
        <c:axPos val="r"/>
        <c:numFmt formatCode="0" sourceLinked="0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527744544"/>
        <c:crosses val="max"/>
        <c:crossBetween val="between"/>
      </c:valAx>
      <c:catAx>
        <c:axId val="527744544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52772540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8316072048631674E-2"/>
          <c:y val="5.5555432331521937E-2"/>
          <c:w val="0.96073199183435409"/>
          <c:h val="0.7079715453395624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'Graf 1,2'!$AO$2</c:f>
              <c:strCache>
                <c:ptCount val="1"/>
                <c:pt idx="0">
                  <c:v>ženy - tisíce osob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1,2'!$AN$3:$AN$23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1,2'!$AO$3:$AO$23</c:f>
              <c:numCache>
                <c:formatCode>0.0</c:formatCode>
                <c:ptCount val="21"/>
                <c:pt idx="0">
                  <c:v>98.352000000000004</c:v>
                </c:pt>
                <c:pt idx="1">
                  <c:v>108.05200000000001</c:v>
                </c:pt>
                <c:pt idx="2">
                  <c:v>120.70399999999999</c:v>
                </c:pt>
                <c:pt idx="3">
                  <c:v>134.714</c:v>
                </c:pt>
                <c:pt idx="4">
                  <c:v>150.67699999999999</c:v>
                </c:pt>
                <c:pt idx="5">
                  <c:v>167.85499999999999</c:v>
                </c:pt>
                <c:pt idx="6">
                  <c:v>185.864</c:v>
                </c:pt>
                <c:pt idx="7">
                  <c:v>202.602</c:v>
                </c:pt>
                <c:pt idx="8">
                  <c:v>216.37899999999999</c:v>
                </c:pt>
                <c:pt idx="9">
                  <c:v>221.52600000000001</c:v>
                </c:pt>
                <c:pt idx="10">
                  <c:v>219.607</c:v>
                </c:pt>
                <c:pt idx="11">
                  <c:v>214.16200000000001</c:v>
                </c:pt>
                <c:pt idx="12">
                  <c:v>206.52</c:v>
                </c:pt>
                <c:pt idx="13">
                  <c:v>194.55500000000001</c:v>
                </c:pt>
                <c:pt idx="14">
                  <c:v>182.23400000000001</c:v>
                </c:pt>
                <c:pt idx="15">
                  <c:v>174.137</c:v>
                </c:pt>
                <c:pt idx="16">
                  <c:v>167.58699999999999</c:v>
                </c:pt>
                <c:pt idx="17">
                  <c:v>161.88499999999999</c:v>
                </c:pt>
                <c:pt idx="18">
                  <c:v>161.02799999999999</c:v>
                </c:pt>
                <c:pt idx="19">
                  <c:v>165.988</c:v>
                </c:pt>
                <c:pt idx="20">
                  <c:v>169.18700000000001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77C-4B0A-AEBD-4F1F11AD9731}"/>
            </c:ext>
          </c:extLst>
        </c:ser>
        <c:ser>
          <c:idx val="1"/>
          <c:order val="1"/>
          <c:tx>
            <c:strRef>
              <c:f>'Graf 1,2'!$AP$2</c:f>
              <c:strCache>
                <c:ptCount val="1"/>
                <c:pt idx="0">
                  <c:v>muži - tisíce osob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1,2'!$AN$3:$AN$23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1,2'!$AP$3:$AP$23</c:f>
              <c:numCache>
                <c:formatCode>0.0</c:formatCode>
                <c:ptCount val="21"/>
                <c:pt idx="0">
                  <c:v>105.09699999999999</c:v>
                </c:pt>
                <c:pt idx="1">
                  <c:v>112.126</c:v>
                </c:pt>
                <c:pt idx="2">
                  <c:v>123.014</c:v>
                </c:pt>
                <c:pt idx="3">
                  <c:v>130.05600000000001</c:v>
                </c:pt>
                <c:pt idx="4">
                  <c:v>138.78700000000001</c:v>
                </c:pt>
                <c:pt idx="5">
                  <c:v>148.321</c:v>
                </c:pt>
                <c:pt idx="6">
                  <c:v>158.07900000000001</c:v>
                </c:pt>
                <c:pt idx="7">
                  <c:v>165.44900000000001</c:v>
                </c:pt>
                <c:pt idx="8">
                  <c:v>172.61199999999999</c:v>
                </c:pt>
                <c:pt idx="9">
                  <c:v>174.45599999999999</c:v>
                </c:pt>
                <c:pt idx="10">
                  <c:v>172.43199999999999</c:v>
                </c:pt>
                <c:pt idx="11">
                  <c:v>166.73099999999999</c:v>
                </c:pt>
                <c:pt idx="12">
                  <c:v>161.25200000000001</c:v>
                </c:pt>
                <c:pt idx="13">
                  <c:v>152.256</c:v>
                </c:pt>
                <c:pt idx="14">
                  <c:v>144.203</c:v>
                </c:pt>
                <c:pt idx="15">
                  <c:v>136.923</c:v>
                </c:pt>
                <c:pt idx="16">
                  <c:v>131.095</c:v>
                </c:pt>
                <c:pt idx="17">
                  <c:v>127.795</c:v>
                </c:pt>
                <c:pt idx="18">
                  <c:v>127.616</c:v>
                </c:pt>
                <c:pt idx="19">
                  <c:v>133.04300000000001</c:v>
                </c:pt>
                <c:pt idx="20">
                  <c:v>134.86699999999999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77C-4B0A-AEBD-4F1F11AD97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overlap val="-13"/>
        <c:axId val="802242352"/>
        <c:axId val="802242768"/>
      </c:barChart>
      <c:lineChart>
        <c:grouping val="standard"/>
        <c:varyColors val="0"/>
        <c:ser>
          <c:idx val="2"/>
          <c:order val="2"/>
          <c:tx>
            <c:strRef>
              <c:f>'Graf 1,2'!$AQ$2</c:f>
              <c:strCache>
                <c:ptCount val="1"/>
                <c:pt idx="0">
                  <c:v>podíl studentek z žen ve věku 20-29 let (%)</c:v>
                </c:pt>
              </c:strCache>
            </c:strRef>
          </c:tx>
          <c:spPr>
            <a:ln w="22225" cap="rnd">
              <a:solidFill>
                <a:schemeClr val="accent2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1,2'!$AN$3:$AN$23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1,2'!$AQ$3:$AQ$23</c:f>
              <c:numCache>
                <c:formatCode>0.0</c:formatCode>
                <c:ptCount val="21"/>
                <c:pt idx="0">
                  <c:v>8.7734366917604376</c:v>
                </c:pt>
                <c:pt idx="1">
                  <c:v>9.8301850374918516</c:v>
                </c:pt>
                <c:pt idx="2">
                  <c:v>11.062553481846203</c:v>
                </c:pt>
                <c:pt idx="3">
                  <c:v>12.325307784969068</c:v>
                </c:pt>
                <c:pt idx="4">
                  <c:v>14.488216833843271</c:v>
                </c:pt>
                <c:pt idx="5">
                  <c:v>16.135574243262266</c:v>
                </c:pt>
                <c:pt idx="6">
                  <c:v>18.049470041956436</c:v>
                </c:pt>
                <c:pt idx="7">
                  <c:v>19.662532284679749</c:v>
                </c:pt>
                <c:pt idx="8">
                  <c:v>21.054490020207751</c:v>
                </c:pt>
                <c:pt idx="9">
                  <c:v>21.721797452145179</c:v>
                </c:pt>
                <c:pt idx="10">
                  <c:v>22.369119755497472</c:v>
                </c:pt>
                <c:pt idx="11">
                  <c:v>22.267307067710586</c:v>
                </c:pt>
                <c:pt idx="12">
                  <c:v>22.037257835461013</c:v>
                </c:pt>
                <c:pt idx="13">
                  <c:v>21.250502021265543</c:v>
                </c:pt>
                <c:pt idx="14">
                  <c:v>20.338972214763384</c:v>
                </c:pt>
                <c:pt idx="15">
                  <c:v>19.708834197618305</c:v>
                </c:pt>
                <c:pt idx="16">
                  <c:v>19.321687083353194</c:v>
                </c:pt>
                <c:pt idx="17">
                  <c:v>19.113241883762598</c:v>
                </c:pt>
                <c:pt idx="18">
                  <c:v>19.289430404333412</c:v>
                </c:pt>
                <c:pt idx="19">
                  <c:v>20.33862044633943</c:v>
                </c:pt>
                <c:pt idx="20">
                  <c:v>21.68291290049428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777C-4B0A-AEBD-4F1F11AD9731}"/>
            </c:ext>
          </c:extLst>
        </c:ser>
        <c:ser>
          <c:idx val="3"/>
          <c:order val="3"/>
          <c:tx>
            <c:strRef>
              <c:f>'Graf 1,2'!$AR$2</c:f>
              <c:strCache>
                <c:ptCount val="1"/>
                <c:pt idx="0">
                  <c:v>podíl studentů z mužů ve věku 20-29 let (%)</c:v>
                </c:pt>
              </c:strCache>
            </c:strRef>
          </c:tx>
          <c:spPr>
            <a:ln w="22225" cap="rnd">
              <a:solidFill>
                <a:schemeClr val="accent1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1,2'!$AN$3:$AN$23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1,2'!$AR$3:$AR$23</c:f>
              <c:numCache>
                <c:formatCode>0.0</c:formatCode>
                <c:ptCount val="21"/>
                <c:pt idx="0">
                  <c:v>9.1863656526078437</c:v>
                </c:pt>
                <c:pt idx="1">
                  <c:v>10.036755433919614</c:v>
                </c:pt>
                <c:pt idx="2">
                  <c:v>11.139590702675443</c:v>
                </c:pt>
                <c:pt idx="3">
                  <c:v>11.552797921243336</c:v>
                </c:pt>
                <c:pt idx="4">
                  <c:v>12.760802716454986</c:v>
                </c:pt>
                <c:pt idx="5">
                  <c:v>13.52993726114568</c:v>
                </c:pt>
                <c:pt idx="6">
                  <c:v>14.444374321398534</c:v>
                </c:pt>
                <c:pt idx="7">
                  <c:v>14.975290673184968</c:v>
                </c:pt>
                <c:pt idx="8">
                  <c:v>15.773652526355692</c:v>
                </c:pt>
                <c:pt idx="9">
                  <c:v>16.233308487853794</c:v>
                </c:pt>
                <c:pt idx="10">
                  <c:v>16.831627755997506</c:v>
                </c:pt>
                <c:pt idx="11">
                  <c:v>16.679365873629624</c:v>
                </c:pt>
                <c:pt idx="12">
                  <c:v>16.546570087996898</c:v>
                </c:pt>
                <c:pt idx="13">
                  <c:v>15.922104624760552</c:v>
                </c:pt>
                <c:pt idx="14">
                  <c:v>15.330625830190694</c:v>
                </c:pt>
                <c:pt idx="15">
                  <c:v>14.731901179151851</c:v>
                </c:pt>
                <c:pt idx="16">
                  <c:v>14.302638892048872</c:v>
                </c:pt>
                <c:pt idx="17">
                  <c:v>14.10275679178106</c:v>
                </c:pt>
                <c:pt idx="18">
                  <c:v>14.26215922827468</c:v>
                </c:pt>
                <c:pt idx="19">
                  <c:v>15.169965740051982</c:v>
                </c:pt>
                <c:pt idx="20">
                  <c:v>15.999771128612799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777C-4B0A-AEBD-4F1F11AD97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11304224"/>
        <c:axId val="811307968"/>
      </c:lineChart>
      <c:catAx>
        <c:axId val="8022423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02242768"/>
        <c:crosses val="autoZero"/>
        <c:auto val="1"/>
        <c:lblAlgn val="ctr"/>
        <c:lblOffset val="100"/>
        <c:noMultiLvlLbl val="0"/>
      </c:catAx>
      <c:valAx>
        <c:axId val="802242768"/>
        <c:scaling>
          <c:orientation val="minMax"/>
          <c:max val="400"/>
        </c:scaling>
        <c:delete val="0"/>
        <c:axPos val="l"/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02242352"/>
        <c:crosses val="autoZero"/>
        <c:crossBetween val="between"/>
      </c:valAx>
      <c:valAx>
        <c:axId val="811307968"/>
        <c:scaling>
          <c:orientation val="minMax"/>
          <c:max val="23"/>
          <c:min val="0"/>
        </c:scaling>
        <c:delete val="0"/>
        <c:axPos val="r"/>
        <c:numFmt formatCode="0" sourceLinked="0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1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11304224"/>
        <c:crosses val="max"/>
        <c:crossBetween val="between"/>
      </c:valAx>
      <c:catAx>
        <c:axId val="811304224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81130796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7794025746781663E-2"/>
          <c:y val="0.84471205805156713"/>
          <c:w val="0.88088461164576648"/>
          <c:h val="0.1314784181389091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7914310561254808E-2"/>
          <c:y val="7.1361502347417838E-2"/>
          <c:w val="0.93009668394149381"/>
          <c:h val="0.6900777058040158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'Graf 3,4'!$J$28</c:f>
              <c:strCache>
                <c:ptCount val="1"/>
                <c:pt idx="0">
                  <c:v>bakalářský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3,4'!$I$29:$I$33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'Graf 3,4'!$J$29:$J$33</c:f>
              <c:numCache>
                <c:formatCode>0.0</c:formatCode>
                <c:ptCount val="5"/>
                <c:pt idx="0">
                  <c:v>21.125195995065102</c:v>
                </c:pt>
                <c:pt idx="1">
                  <c:v>57.508792571226152</c:v>
                </c:pt>
                <c:pt idx="2">
                  <c:v>62.210392333415811</c:v>
                </c:pt>
                <c:pt idx="3">
                  <c:v>57.788851025525624</c:v>
                </c:pt>
                <c:pt idx="4">
                  <c:v>60.007104001262931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F65-46B8-B137-D9AA8F40F70A}"/>
            </c:ext>
          </c:extLst>
        </c:ser>
        <c:ser>
          <c:idx val="1"/>
          <c:order val="1"/>
          <c:tx>
            <c:strRef>
              <c:f>'Graf 3,4'!$K$28</c:f>
              <c:strCache>
                <c:ptCount val="1"/>
                <c:pt idx="0">
                  <c:v>magisterský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3,4'!$I$29:$I$33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'Graf 3,4'!$K$29:$K$33</c:f>
              <c:numCache>
                <c:formatCode>0.0</c:formatCode>
                <c:ptCount val="5"/>
                <c:pt idx="0">
                  <c:v>66.393543345015217</c:v>
                </c:pt>
                <c:pt idx="1">
                  <c:v>25.133153686554323</c:v>
                </c:pt>
                <c:pt idx="2">
                  <c:v>9.5612936468055487</c:v>
                </c:pt>
                <c:pt idx="3">
                  <c:v>10.033434064167684</c:v>
                </c:pt>
                <c:pt idx="4">
                  <c:v>10.69744190176745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F65-46B8-B137-D9AA8F40F70A}"/>
            </c:ext>
          </c:extLst>
        </c:ser>
        <c:ser>
          <c:idx val="2"/>
          <c:order val="2"/>
          <c:tx>
            <c:strRef>
              <c:f>'Graf 3,4'!$L$28</c:f>
              <c:strCache>
                <c:ptCount val="1"/>
                <c:pt idx="0">
                  <c:v>navazující magisterský</c:v>
                </c:pt>
              </c:strCache>
            </c:strRef>
          </c:tx>
          <c:spPr>
            <a:solidFill>
              <a:schemeClr val="accent1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3,4'!$I$29:$I$33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'Graf 3,4'!$L$29:$L$33</c:f>
              <c:numCache>
                <c:formatCode>0.0</c:formatCode>
                <c:ptCount val="5"/>
                <c:pt idx="0">
                  <c:v>5.9145043721030826</c:v>
                </c:pt>
                <c:pt idx="1">
                  <c:v>11.365821567734427</c:v>
                </c:pt>
                <c:pt idx="2">
                  <c:v>22.864817020755588</c:v>
                </c:pt>
                <c:pt idx="3">
                  <c:v>25.579630939368609</c:v>
                </c:pt>
                <c:pt idx="4">
                  <c:v>23.033079650325273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F65-46B8-B137-D9AA8F40F70A}"/>
            </c:ext>
          </c:extLst>
        </c:ser>
        <c:ser>
          <c:idx val="3"/>
          <c:order val="3"/>
          <c:tx>
            <c:strRef>
              <c:f>'Graf 3,4'!$M$28</c:f>
              <c:strCache>
                <c:ptCount val="1"/>
                <c:pt idx="0">
                  <c:v>doktorský</c:v>
                </c:pt>
              </c:strCache>
            </c:strRef>
          </c:tx>
          <c:spPr>
            <a:solidFill>
              <a:srgbClr val="FFCC9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3,4'!$I$29:$I$33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'Graf 3,4'!$M$29:$M$33</c:f>
              <c:numCache>
                <c:formatCode>0.0</c:formatCode>
                <c:ptCount val="5"/>
                <c:pt idx="0">
                  <c:v>8.10571691185506</c:v>
                </c:pt>
                <c:pt idx="1">
                  <c:v>7.369313293861647</c:v>
                </c:pt>
                <c:pt idx="2">
                  <c:v>6.5424613367547613</c:v>
                </c:pt>
                <c:pt idx="3">
                  <c:v>7.4529029769176356</c:v>
                </c:pt>
                <c:pt idx="4">
                  <c:v>7.0300012497779996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F65-46B8-B137-D9AA8F40F70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84896959"/>
        <c:axId val="1084894879"/>
      </c:barChart>
      <c:catAx>
        <c:axId val="108489695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84894879"/>
        <c:crosses val="autoZero"/>
        <c:auto val="1"/>
        <c:lblAlgn val="ctr"/>
        <c:lblOffset val="100"/>
        <c:noMultiLvlLbl val="0"/>
      </c:catAx>
      <c:valAx>
        <c:axId val="1084894879"/>
        <c:scaling>
          <c:orientation val="minMax"/>
        </c:scaling>
        <c:delete val="0"/>
        <c:axPos val="l"/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8489695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7.280596980783087E-2"/>
          <c:y val="0.86342938515664269"/>
          <c:w val="0.87794818083929593"/>
          <c:h val="0.1131172167308873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2016595751618005"/>
          <c:y val="2.1801300924340985E-2"/>
          <c:w val="0.84370567809458596"/>
          <c:h val="0.8634219331279242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'Graf 3,4'!$J$101</c:f>
              <c:strCache>
                <c:ptCount val="1"/>
                <c:pt idx="0">
                  <c:v>doktorský</c:v>
                </c:pt>
              </c:strCache>
            </c:strRef>
          </c:tx>
          <c:spPr>
            <a:solidFill>
              <a:srgbClr val="324D1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3,4'!$H$102:$I$111</c:f>
              <c:multiLvlStrCache>
                <c:ptCount val="10"/>
                <c:lvl>
                  <c:pt idx="0">
                    <c:v>ženy</c:v>
                  </c:pt>
                  <c:pt idx="1">
                    <c:v>muži</c:v>
                  </c:pt>
                  <c:pt idx="2">
                    <c:v>ženy</c:v>
                  </c:pt>
                  <c:pt idx="3">
                    <c:v>muži</c:v>
                  </c:pt>
                  <c:pt idx="4">
                    <c:v>ženy</c:v>
                  </c:pt>
                  <c:pt idx="5">
                    <c:v>muži</c:v>
                  </c:pt>
                  <c:pt idx="6">
                    <c:v>ženy</c:v>
                  </c:pt>
                  <c:pt idx="7">
                    <c:v>muži</c:v>
                  </c:pt>
                  <c:pt idx="8">
                    <c:v>ženy</c:v>
                  </c:pt>
                  <c:pt idx="9">
                    <c:v>muži</c:v>
                  </c:pt>
                </c:lvl>
                <c:lvl>
                  <c:pt idx="0">
                    <c:v>2021</c:v>
                  </c:pt>
                  <c:pt idx="2">
                    <c:v>2016</c:v>
                  </c:pt>
                  <c:pt idx="4">
                    <c:v>2011</c:v>
                  </c:pt>
                  <c:pt idx="6">
                    <c:v>2006</c:v>
                  </c:pt>
                  <c:pt idx="8">
                    <c:v>2001</c:v>
                  </c:pt>
                </c:lvl>
              </c:multiLvlStrCache>
            </c:multiLvlStrRef>
          </c:cat>
          <c:val>
            <c:numRef>
              <c:f>'Graf 3,4'!$J$102:$J$111</c:f>
              <c:numCache>
                <c:formatCode>0.0</c:formatCode>
                <c:ptCount val="10"/>
                <c:pt idx="0">
                  <c:v>5.5908550893390156</c:v>
                </c:pt>
                <c:pt idx="1">
                  <c:v>8.8353711434227797</c:v>
                </c:pt>
                <c:pt idx="2">
                  <c:v>5.9435961340783408</c:v>
                </c:pt>
                <c:pt idx="3">
                  <c:v>9.3724209957421323</c:v>
                </c:pt>
                <c:pt idx="4">
                  <c:v>5.0312603878747035</c:v>
                </c:pt>
                <c:pt idx="5">
                  <c:v>8.4671058736197455</c:v>
                </c:pt>
                <c:pt idx="6">
                  <c:v>5.4731762533138726</c:v>
                </c:pt>
                <c:pt idx="7">
                  <c:v>9.5151731717019175</c:v>
                </c:pt>
                <c:pt idx="8">
                  <c:v>6.1188384577842845</c:v>
                </c:pt>
                <c:pt idx="9">
                  <c:v>9.9650798785883516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BA2-421E-AD93-D8D010A1AE37}"/>
            </c:ext>
          </c:extLst>
        </c:ser>
        <c:ser>
          <c:idx val="1"/>
          <c:order val="1"/>
          <c:tx>
            <c:strRef>
              <c:f>'Graf 3,4'!$K$101</c:f>
              <c:strCache>
                <c:ptCount val="1"/>
                <c:pt idx="0">
                  <c:v>navazující magisterský</c:v>
                </c:pt>
              </c:strCache>
            </c:strRef>
          </c:tx>
          <c:spPr>
            <a:solidFill>
              <a:srgbClr val="5A8B3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3,4'!$H$102:$I$111</c:f>
              <c:multiLvlStrCache>
                <c:ptCount val="10"/>
                <c:lvl>
                  <c:pt idx="0">
                    <c:v>ženy</c:v>
                  </c:pt>
                  <c:pt idx="1">
                    <c:v>muži</c:v>
                  </c:pt>
                  <c:pt idx="2">
                    <c:v>ženy</c:v>
                  </c:pt>
                  <c:pt idx="3">
                    <c:v>muži</c:v>
                  </c:pt>
                  <c:pt idx="4">
                    <c:v>ženy</c:v>
                  </c:pt>
                  <c:pt idx="5">
                    <c:v>muži</c:v>
                  </c:pt>
                  <c:pt idx="6">
                    <c:v>ženy</c:v>
                  </c:pt>
                  <c:pt idx="7">
                    <c:v>muži</c:v>
                  </c:pt>
                  <c:pt idx="8">
                    <c:v>ženy</c:v>
                  </c:pt>
                  <c:pt idx="9">
                    <c:v>muži</c:v>
                  </c:pt>
                </c:lvl>
                <c:lvl>
                  <c:pt idx="0">
                    <c:v>2021</c:v>
                  </c:pt>
                  <c:pt idx="2">
                    <c:v>2016</c:v>
                  </c:pt>
                  <c:pt idx="4">
                    <c:v>2011</c:v>
                  </c:pt>
                  <c:pt idx="6">
                    <c:v>2006</c:v>
                  </c:pt>
                  <c:pt idx="8">
                    <c:v>2001</c:v>
                  </c:pt>
                </c:lvl>
              </c:multiLvlStrCache>
            </c:multiLvlStrRef>
          </c:cat>
          <c:val>
            <c:numRef>
              <c:f>'Graf 3,4'!$K$102:$K$111</c:f>
              <c:numCache>
                <c:formatCode>0.0</c:formatCode>
                <c:ptCount val="10"/>
                <c:pt idx="0">
                  <c:v>23.738821540662109</c:v>
                </c:pt>
                <c:pt idx="1">
                  <c:v>22.147745556733671</c:v>
                </c:pt>
                <c:pt idx="2">
                  <c:v>26.117941620677971</c:v>
                </c:pt>
                <c:pt idx="3">
                  <c:v>24.895013985962912</c:v>
                </c:pt>
                <c:pt idx="4">
                  <c:v>23.562545820488417</c:v>
                </c:pt>
                <c:pt idx="5">
                  <c:v>21.97619931335251</c:v>
                </c:pt>
                <c:pt idx="6">
                  <c:v>11.618956837746865</c:v>
                </c:pt>
                <c:pt idx="7">
                  <c:v>11.079348170522044</c:v>
                </c:pt>
                <c:pt idx="8">
                  <c:v>6.2998210509191477</c:v>
                </c:pt>
                <c:pt idx="9">
                  <c:v>5.5539168577599742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BA2-421E-AD93-D8D010A1AE37}"/>
            </c:ext>
          </c:extLst>
        </c:ser>
        <c:ser>
          <c:idx val="2"/>
          <c:order val="2"/>
          <c:tx>
            <c:strRef>
              <c:f>'Graf 3,4'!$L$101</c:f>
              <c:strCache>
                <c:ptCount val="1"/>
                <c:pt idx="0">
                  <c:v>magisterský</c:v>
                </c:pt>
              </c:strCache>
            </c:strRef>
          </c:tx>
          <c:spPr>
            <a:solidFill>
              <a:srgbClr val="8FC57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3,4'!$H$102:$I$111</c:f>
              <c:multiLvlStrCache>
                <c:ptCount val="10"/>
                <c:lvl>
                  <c:pt idx="0">
                    <c:v>ženy</c:v>
                  </c:pt>
                  <c:pt idx="1">
                    <c:v>muži</c:v>
                  </c:pt>
                  <c:pt idx="2">
                    <c:v>ženy</c:v>
                  </c:pt>
                  <c:pt idx="3">
                    <c:v>muži</c:v>
                  </c:pt>
                  <c:pt idx="4">
                    <c:v>ženy</c:v>
                  </c:pt>
                  <c:pt idx="5">
                    <c:v>muži</c:v>
                  </c:pt>
                  <c:pt idx="6">
                    <c:v>ženy</c:v>
                  </c:pt>
                  <c:pt idx="7">
                    <c:v>muži</c:v>
                  </c:pt>
                  <c:pt idx="8">
                    <c:v>ženy</c:v>
                  </c:pt>
                  <c:pt idx="9">
                    <c:v>muži</c:v>
                  </c:pt>
                </c:lvl>
                <c:lvl>
                  <c:pt idx="0">
                    <c:v>2021</c:v>
                  </c:pt>
                  <c:pt idx="2">
                    <c:v>2016</c:v>
                  </c:pt>
                  <c:pt idx="4">
                    <c:v>2011</c:v>
                  </c:pt>
                  <c:pt idx="6">
                    <c:v>2006</c:v>
                  </c:pt>
                  <c:pt idx="8">
                    <c:v>2001</c:v>
                  </c:pt>
                </c:lvl>
              </c:multiLvlStrCache>
            </c:multiLvlStrRef>
          </c:cat>
          <c:val>
            <c:numRef>
              <c:f>'Graf 3,4'!$L$102:$L$111</c:f>
              <c:numCache>
                <c:formatCode>0.0</c:formatCode>
                <c:ptCount val="10"/>
                <c:pt idx="0">
                  <c:v>12.773440039719365</c:v>
                </c:pt>
                <c:pt idx="1">
                  <c:v>8.0931584449865426</c:v>
                </c:pt>
                <c:pt idx="2">
                  <c:v>11.778657034403945</c:v>
                </c:pt>
                <c:pt idx="3">
                  <c:v>7.8138807943150539</c:v>
                </c:pt>
                <c:pt idx="4">
                  <c:v>11.286525475053164</c:v>
                </c:pt>
                <c:pt idx="5">
                  <c:v>7.3640623550153101</c:v>
                </c:pt>
                <c:pt idx="6">
                  <c:v>28.932709779273779</c:v>
                </c:pt>
                <c:pt idx="7">
                  <c:v>20.83319287221634</c:v>
                </c:pt>
                <c:pt idx="8">
                  <c:v>65.50756466569058</c:v>
                </c:pt>
                <c:pt idx="9">
                  <c:v>67.222660970341678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BA2-421E-AD93-D8D010A1AE37}"/>
            </c:ext>
          </c:extLst>
        </c:ser>
        <c:ser>
          <c:idx val="3"/>
          <c:order val="3"/>
          <c:tx>
            <c:strRef>
              <c:f>'Graf 3,4'!$M$101</c:f>
              <c:strCache>
                <c:ptCount val="1"/>
                <c:pt idx="0">
                  <c:v>bakalářský</c:v>
                </c:pt>
              </c:strCache>
            </c:strRef>
          </c:tx>
          <c:spPr>
            <a:solidFill>
              <a:srgbClr val="C5E1B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3,4'!$H$102:$I$111</c:f>
              <c:multiLvlStrCache>
                <c:ptCount val="10"/>
                <c:lvl>
                  <c:pt idx="0">
                    <c:v>ženy</c:v>
                  </c:pt>
                  <c:pt idx="1">
                    <c:v>muži</c:v>
                  </c:pt>
                  <c:pt idx="2">
                    <c:v>ženy</c:v>
                  </c:pt>
                  <c:pt idx="3">
                    <c:v>muži</c:v>
                  </c:pt>
                  <c:pt idx="4">
                    <c:v>ženy</c:v>
                  </c:pt>
                  <c:pt idx="5">
                    <c:v>muži</c:v>
                  </c:pt>
                  <c:pt idx="6">
                    <c:v>ženy</c:v>
                  </c:pt>
                  <c:pt idx="7">
                    <c:v>muži</c:v>
                  </c:pt>
                  <c:pt idx="8">
                    <c:v>ženy</c:v>
                  </c:pt>
                  <c:pt idx="9">
                    <c:v>muži</c:v>
                  </c:pt>
                </c:lvl>
                <c:lvl>
                  <c:pt idx="0">
                    <c:v>2021</c:v>
                  </c:pt>
                  <c:pt idx="2">
                    <c:v>2016</c:v>
                  </c:pt>
                  <c:pt idx="4">
                    <c:v>2011</c:v>
                  </c:pt>
                  <c:pt idx="6">
                    <c:v>2006</c:v>
                  </c:pt>
                  <c:pt idx="8">
                    <c:v>2001</c:v>
                  </c:pt>
                </c:lvl>
              </c:multiLvlStrCache>
            </c:multiLvlStrRef>
          </c:cat>
          <c:val>
            <c:numRef>
              <c:f>'Graf 3,4'!$M$102:$M$111</c:f>
              <c:numCache>
                <c:formatCode>0.0</c:formatCode>
                <c:ptCount val="10"/>
                <c:pt idx="0">
                  <c:v>58.746830430233999</c:v>
                </c:pt>
                <c:pt idx="1">
                  <c:v>61.588083074436298</c:v>
                </c:pt>
                <c:pt idx="2">
                  <c:v>57.119968760229014</c:v>
                </c:pt>
                <c:pt idx="3">
                  <c:v>58.639527325577149</c:v>
                </c:pt>
                <c:pt idx="4">
                  <c:v>61.391030340562914</c:v>
                </c:pt>
                <c:pt idx="5">
                  <c:v>63.253920386007238</c:v>
                </c:pt>
                <c:pt idx="6">
                  <c:v>55.428792707992017</c:v>
                </c:pt>
                <c:pt idx="7">
                  <c:v>59.862730159586306</c:v>
                </c:pt>
                <c:pt idx="8">
                  <c:v>23.618228404099561</c:v>
                </c:pt>
                <c:pt idx="9">
                  <c:v>18.792163429974217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BA2-421E-AD93-D8D010A1AE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4"/>
        <c:axId val="1091496799"/>
        <c:axId val="1091517183"/>
      </c:barChart>
      <c:catAx>
        <c:axId val="1091496799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91517183"/>
        <c:crosses val="autoZero"/>
        <c:auto val="1"/>
        <c:lblAlgn val="ctr"/>
        <c:lblOffset val="100"/>
        <c:noMultiLvlLbl val="0"/>
      </c:catAx>
      <c:valAx>
        <c:axId val="1091517183"/>
        <c:scaling>
          <c:orientation val="minMax"/>
        </c:scaling>
        <c:delete val="0"/>
        <c:axPos val="b"/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91496799"/>
        <c:crosses val="autoZero"/>
        <c:crossBetween val="between"/>
      </c:valAx>
      <c:spPr>
        <a:noFill/>
        <a:ln>
          <a:solidFill>
            <a:schemeClr val="bg1">
              <a:lumMod val="8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9.0724963727360164E-2"/>
          <c:y val="0.93724286203355001"/>
          <c:w val="0.85110399243572799"/>
          <c:h val="3.698441173114230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8282739382851864"/>
          <c:y val="3.7037037037037035E-2"/>
          <c:w val="0.48900662142506912"/>
          <c:h val="0.84321741032370967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obory2001!$C$1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rgbClr val="4F81BD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obory2001!$B$2:$B$11</c:f>
              <c:strCache>
                <c:ptCount val="10"/>
                <c:pt idx="0">
                  <c:v>Služby</c:v>
                </c:pt>
                <c:pt idx="1">
                  <c:v>Informační a komunikační technologie</c:v>
                </c:pt>
                <c:pt idx="2">
                  <c:v>Zemědělství, lesnictví, rybářství a veterinářství</c:v>
                </c:pt>
                <c:pt idx="3">
                  <c:v>Přírodní vědy, matematika a statistika</c:v>
                </c:pt>
                <c:pt idx="4">
                  <c:v>Společenské vědy, žurnalistika a informační vědy</c:v>
                </c:pt>
                <c:pt idx="5">
                  <c:v>Zdravotní a sociální péče</c:v>
                </c:pt>
                <c:pt idx="6">
                  <c:v>Umění a humanitní vědy</c:v>
                </c:pt>
                <c:pt idx="7">
                  <c:v>Vzdělávání a výchova</c:v>
                </c:pt>
                <c:pt idx="8">
                  <c:v>Obchod, administrativa a právo</c:v>
                </c:pt>
                <c:pt idx="9">
                  <c:v>Technika, výroba a stavebnictví</c:v>
                </c:pt>
              </c:strCache>
            </c:strRef>
          </c:cat>
          <c:val>
            <c:numRef>
              <c:f>obory2001!$C$2:$C$11</c:f>
              <c:numCache>
                <c:formatCode>0.0</c:formatCode>
                <c:ptCount val="10"/>
                <c:pt idx="0">
                  <c:v>4.359</c:v>
                </c:pt>
                <c:pt idx="1">
                  <c:v>6.5209999999999999</c:v>
                </c:pt>
                <c:pt idx="2">
                  <c:v>3.8530000000000002</c:v>
                </c:pt>
                <c:pt idx="3">
                  <c:v>6.202</c:v>
                </c:pt>
                <c:pt idx="4">
                  <c:v>6.5810000000000004</c:v>
                </c:pt>
                <c:pt idx="5">
                  <c:v>5.718</c:v>
                </c:pt>
                <c:pt idx="6">
                  <c:v>7.1150000000000002</c:v>
                </c:pt>
                <c:pt idx="7">
                  <c:v>9.0749999999999993</c:v>
                </c:pt>
                <c:pt idx="8">
                  <c:v>17.646000000000001</c:v>
                </c:pt>
                <c:pt idx="9">
                  <c:v>40.204999999999998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96C-4533-88B8-A7F223117929}"/>
            </c:ext>
          </c:extLst>
        </c:ser>
        <c:ser>
          <c:idx val="1"/>
          <c:order val="1"/>
          <c:tx>
            <c:strRef>
              <c:f>obory2001!$D$1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rgbClr val="FB5E3F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302459445316580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80D7-4D5B-9F20-8BFBB838BE2D}"/>
                </c:ext>
              </c:extLst>
            </c:dLbl>
            <c:dLbl>
              <c:idx val="1"/>
              <c:layout>
                <c:manualLayout>
                  <c:x val="1.67451596023024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0D7-4D5B-9F20-8BFBB838BE2D}"/>
                </c:ext>
              </c:extLst>
            </c:dLbl>
            <c:dLbl>
              <c:idx val="2"/>
              <c:layout>
                <c:manualLayout>
                  <c:x val="2.5117739403453691E-2"/>
                  <c:y val="-5.148005148005147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80D7-4D5B-9F20-8BFBB838BE2D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80D7-4D5B-9F20-8BFBB838BE2D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4-80D7-4D5B-9F20-8BFBB838BE2D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80D7-4D5B-9F20-8BFBB838BE2D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6-80D7-4D5B-9F20-8BFBB838BE2D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7-80D7-4D5B-9F20-8BFBB838BE2D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8-80D7-4D5B-9F20-8BFBB838BE2D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9-80D7-4D5B-9F20-8BFBB838BE2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obory2001!$B$2:$B$11</c:f>
              <c:strCache>
                <c:ptCount val="10"/>
                <c:pt idx="0">
                  <c:v>Služby</c:v>
                </c:pt>
                <c:pt idx="1">
                  <c:v>Informační a komunikační technologie</c:v>
                </c:pt>
                <c:pt idx="2">
                  <c:v>Zemědělství, lesnictví, rybářství a veterinářství</c:v>
                </c:pt>
                <c:pt idx="3">
                  <c:v>Přírodní vědy, matematika a statistika</c:v>
                </c:pt>
                <c:pt idx="4">
                  <c:v>Společenské vědy, žurnalistika a informační vědy</c:v>
                </c:pt>
                <c:pt idx="5">
                  <c:v>Zdravotní a sociální péče</c:v>
                </c:pt>
                <c:pt idx="6">
                  <c:v>Umění a humanitní vědy</c:v>
                </c:pt>
                <c:pt idx="7">
                  <c:v>Vzdělávání a výchova</c:v>
                </c:pt>
                <c:pt idx="8">
                  <c:v>Obchod, administrativa a právo</c:v>
                </c:pt>
                <c:pt idx="9">
                  <c:v>Technika, výroba a stavebnictví</c:v>
                </c:pt>
              </c:strCache>
            </c:strRef>
          </c:cat>
          <c:val>
            <c:numRef>
              <c:f>obory2001!$D$2:$D$11</c:f>
              <c:numCache>
                <c:formatCode>0.0</c:formatCode>
                <c:ptCount val="10"/>
                <c:pt idx="0">
                  <c:v>1.591</c:v>
                </c:pt>
                <c:pt idx="1">
                  <c:v>1.0069999999999999</c:v>
                </c:pt>
                <c:pt idx="2">
                  <c:v>3.996</c:v>
                </c:pt>
                <c:pt idx="3">
                  <c:v>5.3319999999999999</c:v>
                </c:pt>
                <c:pt idx="4">
                  <c:v>9.76</c:v>
                </c:pt>
                <c:pt idx="5">
                  <c:v>12.012</c:v>
                </c:pt>
                <c:pt idx="6">
                  <c:v>10.925000000000001</c:v>
                </c:pt>
                <c:pt idx="7">
                  <c:v>22.59</c:v>
                </c:pt>
                <c:pt idx="8">
                  <c:v>21.988</c:v>
                </c:pt>
                <c:pt idx="9">
                  <c:v>11.286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96C-4533-88B8-A7F22311792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1388666943"/>
        <c:axId val="1388676095"/>
      </c:barChart>
      <c:catAx>
        <c:axId val="1388666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76095"/>
        <c:crosses val="autoZero"/>
        <c:auto val="1"/>
        <c:lblAlgn val="ctr"/>
        <c:lblOffset val="100"/>
        <c:noMultiLvlLbl val="0"/>
      </c:catAx>
      <c:valAx>
        <c:axId val="1388676095"/>
        <c:scaling>
          <c:orientation val="minMax"/>
          <c:max val="100"/>
        </c:scaling>
        <c:delete val="0"/>
        <c:axPos val="b"/>
        <c:numFmt formatCode="0_ ;\-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66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70C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C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0.87343498049693213"/>
          <c:y val="0.61283547701333707"/>
          <c:w val="0.10409525889198597"/>
          <c:h val="0.2482754361587154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8282739382851864"/>
          <c:y val="3.7037037037037035E-2"/>
          <c:w val="0.48900662142506912"/>
          <c:h val="0.84321741032370967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obory2011!$C$1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rgbClr val="4F81BD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obory2011!$B$2:$B$11</c:f>
              <c:strCache>
                <c:ptCount val="10"/>
                <c:pt idx="0">
                  <c:v>Zemědělství, lesnictví, rybářství a veterinářství</c:v>
                </c:pt>
                <c:pt idx="1">
                  <c:v>Přírodní vědy, matematika a statistika</c:v>
                </c:pt>
                <c:pt idx="2">
                  <c:v>Služby</c:v>
                </c:pt>
                <c:pt idx="3">
                  <c:v>Informační a komunikační technologie</c:v>
                </c:pt>
                <c:pt idx="4">
                  <c:v>Zdravotní a sociální péče</c:v>
                </c:pt>
                <c:pt idx="5">
                  <c:v>Umění a humanitní vědy</c:v>
                </c:pt>
                <c:pt idx="6">
                  <c:v>Společenské vědy, žurnalistika a informační vědy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obory2011!$C$2:$C$11</c:f>
              <c:numCache>
                <c:formatCode>0.0</c:formatCode>
                <c:ptCount val="10"/>
                <c:pt idx="0">
                  <c:v>5.5780000000000003</c:v>
                </c:pt>
                <c:pt idx="1">
                  <c:v>9.27</c:v>
                </c:pt>
                <c:pt idx="2">
                  <c:v>11.849</c:v>
                </c:pt>
                <c:pt idx="3">
                  <c:v>22.507999999999999</c:v>
                </c:pt>
                <c:pt idx="4">
                  <c:v>9.2560000000000002</c:v>
                </c:pt>
                <c:pt idx="5">
                  <c:v>12.166</c:v>
                </c:pt>
                <c:pt idx="6">
                  <c:v>15.601000000000001</c:v>
                </c:pt>
                <c:pt idx="7">
                  <c:v>8.9809999999999999</c:v>
                </c:pt>
                <c:pt idx="8">
                  <c:v>44.456000000000003</c:v>
                </c:pt>
                <c:pt idx="9">
                  <c:v>35.633000000000003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AE2-4EEB-8DF4-995B799B008B}"/>
            </c:ext>
          </c:extLst>
        </c:ser>
        <c:ser>
          <c:idx val="1"/>
          <c:order val="1"/>
          <c:tx>
            <c:strRef>
              <c:f>obory2011!$D$1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rgbClr val="FB5E3F"/>
            </a:solidFill>
            <a:ln>
              <a:noFill/>
            </a:ln>
            <a:effectLst/>
          </c:spPr>
          <c:invertIfNegative val="0"/>
          <c:dLbls>
            <c:dLbl>
              <c:idx val="3"/>
              <c:layout>
                <c:manualLayout>
                  <c:x val="2.9304029304029228E-2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FA3-4EDC-86F6-92566CA5910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obory2011!$B$2:$B$11</c:f>
              <c:strCache>
                <c:ptCount val="10"/>
                <c:pt idx="0">
                  <c:v>Zemědělství, lesnictví, rybářství a veterinářství</c:v>
                </c:pt>
                <c:pt idx="1">
                  <c:v>Přírodní vědy, matematika a statistika</c:v>
                </c:pt>
                <c:pt idx="2">
                  <c:v>Služby</c:v>
                </c:pt>
                <c:pt idx="3">
                  <c:v>Informační a komunikační technologie</c:v>
                </c:pt>
                <c:pt idx="4">
                  <c:v>Zdravotní a sociální péče</c:v>
                </c:pt>
                <c:pt idx="5">
                  <c:v>Umění a humanitní vědy</c:v>
                </c:pt>
                <c:pt idx="6">
                  <c:v>Společenské vědy, žurnalistika a informační vědy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obory2011!$D$2:$D$11</c:f>
              <c:numCache>
                <c:formatCode>0.0</c:formatCode>
                <c:ptCount val="10"/>
                <c:pt idx="0">
                  <c:v>8.2690000000000001</c:v>
                </c:pt>
                <c:pt idx="1">
                  <c:v>12.590999999999999</c:v>
                </c:pt>
                <c:pt idx="2">
                  <c:v>10.329000000000001</c:v>
                </c:pt>
                <c:pt idx="3">
                  <c:v>3.2890000000000001</c:v>
                </c:pt>
                <c:pt idx="4">
                  <c:v>26.969000000000001</c:v>
                </c:pt>
                <c:pt idx="5">
                  <c:v>25.183</c:v>
                </c:pt>
                <c:pt idx="6">
                  <c:v>28.05</c:v>
                </c:pt>
                <c:pt idx="7">
                  <c:v>35.582999999999998</c:v>
                </c:pt>
                <c:pt idx="8">
                  <c:v>19.312000000000001</c:v>
                </c:pt>
                <c:pt idx="9">
                  <c:v>54.555999999999997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AE2-4EEB-8DF4-995B799B008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1388666943"/>
        <c:axId val="1388676095"/>
      </c:barChart>
      <c:catAx>
        <c:axId val="1388666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76095"/>
        <c:crosses val="autoZero"/>
        <c:auto val="1"/>
        <c:lblAlgn val="ctr"/>
        <c:lblOffset val="100"/>
        <c:noMultiLvlLbl val="0"/>
      </c:catAx>
      <c:valAx>
        <c:axId val="1388676095"/>
        <c:scaling>
          <c:orientation val="minMax"/>
        </c:scaling>
        <c:delete val="0"/>
        <c:axPos val="b"/>
        <c:numFmt formatCode="0_ ;\-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66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70C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C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0.87343498049693213"/>
          <c:y val="0.61283547701333707"/>
          <c:w val="0.10409525889198597"/>
          <c:h val="0.2482754361587154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8282739382851864"/>
          <c:y val="3.7037037037037035E-2"/>
          <c:w val="0.48900662142506912"/>
          <c:h val="0.84321741032370967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obory2021!$C$13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rgbClr val="4F81BD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obory2021!$B$14:$B$23</c:f>
              <c:strCache>
                <c:ptCount val="10"/>
                <c:pt idx="0">
                  <c:v>Zemědělství, lesnictví, rybářství a veterinářství</c:v>
                </c:pt>
                <c:pt idx="1">
                  <c:v>Služby</c:v>
                </c:pt>
                <c:pt idx="2">
                  <c:v>Informační a komunikační technologie</c:v>
                </c:pt>
                <c:pt idx="3">
                  <c:v>Přírodní vědy, matematika a statistika</c:v>
                </c:pt>
                <c:pt idx="4">
                  <c:v>Společenské vědy, žurnalistika a informační vědy</c:v>
                </c:pt>
                <c:pt idx="5">
                  <c:v>Umění a humanitní vědy</c:v>
                </c:pt>
                <c:pt idx="6">
                  <c:v>Vzdělávání a výchova</c:v>
                </c:pt>
                <c:pt idx="7">
                  <c:v>Technika, výroba a stavebnictví</c:v>
                </c:pt>
                <c:pt idx="8">
                  <c:v>Zdravotní a sociální péče</c:v>
                </c:pt>
                <c:pt idx="9">
                  <c:v>Obchod, administrativa a právo</c:v>
                </c:pt>
              </c:strCache>
            </c:strRef>
          </c:cat>
          <c:val>
            <c:numRef>
              <c:f>obory2021!$C$14:$C$23</c:f>
              <c:numCache>
                <c:formatCode>0.0</c:formatCode>
                <c:ptCount val="10"/>
                <c:pt idx="0">
                  <c:v>4.3010000000000002</c:v>
                </c:pt>
                <c:pt idx="1">
                  <c:v>9.4390000000000001</c:v>
                </c:pt>
                <c:pt idx="2">
                  <c:v>18.555</c:v>
                </c:pt>
                <c:pt idx="3">
                  <c:v>9.8059999999999992</c:v>
                </c:pt>
                <c:pt idx="4">
                  <c:v>10.792999999999999</c:v>
                </c:pt>
                <c:pt idx="5">
                  <c:v>10.004</c:v>
                </c:pt>
                <c:pt idx="6">
                  <c:v>8.08</c:v>
                </c:pt>
                <c:pt idx="7">
                  <c:v>27.491</c:v>
                </c:pt>
                <c:pt idx="8">
                  <c:v>10.471</c:v>
                </c:pt>
                <c:pt idx="9">
                  <c:v>27.545000000000002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6A7-47A3-8DE4-EC35F597C9DC}"/>
            </c:ext>
          </c:extLst>
        </c:ser>
        <c:ser>
          <c:idx val="1"/>
          <c:order val="1"/>
          <c:tx>
            <c:strRef>
              <c:f>obory2021!$D$13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rgbClr val="FB5E3F"/>
            </a:solidFill>
            <a:ln>
              <a:noFill/>
            </a:ln>
            <a:effectLst/>
          </c:spPr>
          <c:invertIfNegative val="0"/>
          <c:dLbls>
            <c:dLbl>
              <c:idx val="2"/>
              <c:layout>
                <c:manualLayout>
                  <c:x val="2.9304029304029304E-2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E01-4CE3-BB66-B3ACA4DF00E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obory2021!$B$14:$B$23</c:f>
              <c:strCache>
                <c:ptCount val="10"/>
                <c:pt idx="0">
                  <c:v>Zemědělství, lesnictví, rybářství a veterinářství</c:v>
                </c:pt>
                <c:pt idx="1">
                  <c:v>Služby</c:v>
                </c:pt>
                <c:pt idx="2">
                  <c:v>Informační a komunikační technologie</c:v>
                </c:pt>
                <c:pt idx="3">
                  <c:v>Přírodní vědy, matematika a statistika</c:v>
                </c:pt>
                <c:pt idx="4">
                  <c:v>Společenské vědy, žurnalistika a informační vědy</c:v>
                </c:pt>
                <c:pt idx="5">
                  <c:v>Umění a humanitní vědy</c:v>
                </c:pt>
                <c:pt idx="6">
                  <c:v>Vzdělávání a výchova</c:v>
                </c:pt>
                <c:pt idx="7">
                  <c:v>Technika, výroba a stavebnictví</c:v>
                </c:pt>
                <c:pt idx="8">
                  <c:v>Zdravotní a sociální péče</c:v>
                </c:pt>
                <c:pt idx="9">
                  <c:v>Obchod, administrativa a právo</c:v>
                </c:pt>
              </c:strCache>
            </c:strRef>
          </c:cat>
          <c:val>
            <c:numRef>
              <c:f>obory2021!$D$14:$D$23</c:f>
              <c:numCache>
                <c:formatCode>0.0</c:formatCode>
                <c:ptCount val="10"/>
                <c:pt idx="0">
                  <c:v>7.0670000000000002</c:v>
                </c:pt>
                <c:pt idx="1">
                  <c:v>7.1319999999999997</c:v>
                </c:pt>
                <c:pt idx="2">
                  <c:v>3.887</c:v>
                </c:pt>
                <c:pt idx="3">
                  <c:v>13.195</c:v>
                </c:pt>
                <c:pt idx="4">
                  <c:v>17.606000000000002</c:v>
                </c:pt>
                <c:pt idx="5">
                  <c:v>19.439</c:v>
                </c:pt>
                <c:pt idx="6">
                  <c:v>28.324999999999999</c:v>
                </c:pt>
                <c:pt idx="7">
                  <c:v>11.052</c:v>
                </c:pt>
                <c:pt idx="8">
                  <c:v>28.922000000000001</c:v>
                </c:pt>
                <c:pt idx="9">
                  <c:v>35.15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6A7-47A3-8DE4-EC35F597C9D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1388666943"/>
        <c:axId val="1388676095"/>
      </c:barChart>
      <c:catAx>
        <c:axId val="1388666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76095"/>
        <c:crosses val="autoZero"/>
        <c:auto val="1"/>
        <c:lblAlgn val="ctr"/>
        <c:lblOffset val="100"/>
        <c:noMultiLvlLbl val="0"/>
      </c:catAx>
      <c:valAx>
        <c:axId val="1388676095"/>
        <c:scaling>
          <c:orientation val="minMax"/>
          <c:max val="100"/>
        </c:scaling>
        <c:delete val="0"/>
        <c:axPos val="b"/>
        <c:numFmt formatCode="0_ ;\-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66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70C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C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0.87343498049693213"/>
          <c:y val="0.61283547701333707"/>
          <c:w val="0.10409525889198597"/>
          <c:h val="0.2482754361587154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4.4586144411965102E-2"/>
          <c:y val="1.1820640067050442E-2"/>
          <c:w val="0.94676828760173382"/>
          <c:h val="0.74889474668798151"/>
        </c:manualLayout>
      </c:layout>
      <c:lineChart>
        <c:grouping val="standard"/>
        <c:varyColors val="0"/>
        <c:ser>
          <c:idx val="0"/>
          <c:order val="0"/>
          <c:tx>
            <c:strRef>
              <c:f>graf6!$B$14</c:f>
              <c:strCache>
                <c:ptCount val="1"/>
                <c:pt idx="0">
                  <c:v>Obchod, administrativa a právo</c:v>
                </c:pt>
              </c:strCache>
            </c:strRef>
          </c:tx>
          <c:spPr>
            <a:ln w="28575" cap="rnd">
              <a:solidFill>
                <a:srgbClr val="2F34FD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graf6!$C$14:$W$14</c:f>
              <c:numCache>
                <c:formatCode>0.0</c:formatCode>
                <c:ptCount val="21"/>
                <c:pt idx="0">
                  <c:v>39.634</c:v>
                </c:pt>
                <c:pt idx="1">
                  <c:v>43.253999999999998</c:v>
                </c:pt>
                <c:pt idx="2">
                  <c:v>47.911999999999999</c:v>
                </c:pt>
                <c:pt idx="3">
                  <c:v>53.128</c:v>
                </c:pt>
                <c:pt idx="4">
                  <c:v>59.646000000000001</c:v>
                </c:pt>
                <c:pt idx="5">
                  <c:v>67.381</c:v>
                </c:pt>
                <c:pt idx="6">
                  <c:v>78.403999999999996</c:v>
                </c:pt>
                <c:pt idx="7">
                  <c:v>86.548000000000002</c:v>
                </c:pt>
                <c:pt idx="8">
                  <c:v>93.567999999999998</c:v>
                </c:pt>
                <c:pt idx="9">
                  <c:v>93.22</c:v>
                </c:pt>
                <c:pt idx="10">
                  <c:v>90.188999999999993</c:v>
                </c:pt>
                <c:pt idx="11">
                  <c:v>84.525999999999996</c:v>
                </c:pt>
                <c:pt idx="12">
                  <c:v>79.037000000000006</c:v>
                </c:pt>
                <c:pt idx="13">
                  <c:v>71.802000000000007</c:v>
                </c:pt>
                <c:pt idx="14">
                  <c:v>67.356999999999999</c:v>
                </c:pt>
                <c:pt idx="15">
                  <c:v>63.481999999999999</c:v>
                </c:pt>
                <c:pt idx="16">
                  <c:v>60.38</c:v>
                </c:pt>
                <c:pt idx="17">
                  <c:v>58.335000000000001</c:v>
                </c:pt>
                <c:pt idx="18">
                  <c:v>58.89</c:v>
                </c:pt>
                <c:pt idx="19">
                  <c:v>60.680999999999997</c:v>
                </c:pt>
                <c:pt idx="20">
                  <c:v>62.695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8A43-409E-8243-230BD7E906B7}"/>
            </c:ext>
          </c:extLst>
        </c:ser>
        <c:ser>
          <c:idx val="1"/>
          <c:order val="1"/>
          <c:tx>
            <c:strRef>
              <c:f>graf6!$B$15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graf6!$C$15:$W$15</c:f>
              <c:numCache>
                <c:formatCode>0.0</c:formatCode>
                <c:ptCount val="21"/>
                <c:pt idx="0">
                  <c:v>17.73</c:v>
                </c:pt>
                <c:pt idx="1">
                  <c:v>19.510000000000002</c:v>
                </c:pt>
                <c:pt idx="2">
                  <c:v>21.443000000000001</c:v>
                </c:pt>
                <c:pt idx="3">
                  <c:v>23.768999999999998</c:v>
                </c:pt>
                <c:pt idx="4">
                  <c:v>25.928999999999998</c:v>
                </c:pt>
                <c:pt idx="5">
                  <c:v>28.72</c:v>
                </c:pt>
                <c:pt idx="6">
                  <c:v>30.581</c:v>
                </c:pt>
                <c:pt idx="7">
                  <c:v>32.460999999999999</c:v>
                </c:pt>
                <c:pt idx="8">
                  <c:v>33.863999999999997</c:v>
                </c:pt>
                <c:pt idx="9">
                  <c:v>35.218000000000004</c:v>
                </c:pt>
                <c:pt idx="10">
                  <c:v>36.225000000000001</c:v>
                </c:pt>
                <c:pt idx="11">
                  <c:v>36.409999999999997</c:v>
                </c:pt>
                <c:pt idx="12">
                  <c:v>36.613999999999997</c:v>
                </c:pt>
                <c:pt idx="13">
                  <c:v>35.807000000000002</c:v>
                </c:pt>
                <c:pt idx="14">
                  <c:v>35.755000000000003</c:v>
                </c:pt>
                <c:pt idx="15">
                  <c:v>35.695</c:v>
                </c:pt>
                <c:pt idx="16">
                  <c:v>35.488</c:v>
                </c:pt>
                <c:pt idx="17">
                  <c:v>34.805</c:v>
                </c:pt>
                <c:pt idx="18">
                  <c:v>35.823999999999998</c:v>
                </c:pt>
                <c:pt idx="19">
                  <c:v>37.698999999999998</c:v>
                </c:pt>
                <c:pt idx="20">
                  <c:v>39.393000000000001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8A43-409E-8243-230BD7E906B7}"/>
            </c:ext>
          </c:extLst>
        </c:ser>
        <c:ser>
          <c:idx val="2"/>
          <c:order val="2"/>
          <c:tx>
            <c:strRef>
              <c:f>graf6!$B$16</c:f>
              <c:strCache>
                <c:ptCount val="1"/>
                <c:pt idx="0">
                  <c:v>Technika, výroba a stavebnictví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graf6!$C$16:$W$16</c:f>
              <c:numCache>
                <c:formatCode>0.0</c:formatCode>
                <c:ptCount val="21"/>
                <c:pt idx="0">
                  <c:v>51.491</c:v>
                </c:pt>
                <c:pt idx="1">
                  <c:v>52.567</c:v>
                </c:pt>
                <c:pt idx="2">
                  <c:v>56.381999999999998</c:v>
                </c:pt>
                <c:pt idx="3">
                  <c:v>57.54</c:v>
                </c:pt>
                <c:pt idx="4">
                  <c:v>60.197000000000003</c:v>
                </c:pt>
                <c:pt idx="5">
                  <c:v>62.656999999999996</c:v>
                </c:pt>
                <c:pt idx="6">
                  <c:v>63.23</c:v>
                </c:pt>
                <c:pt idx="7">
                  <c:v>63.494999999999997</c:v>
                </c:pt>
                <c:pt idx="8">
                  <c:v>64.849999999999994</c:v>
                </c:pt>
                <c:pt idx="9">
                  <c:v>64.756</c:v>
                </c:pt>
                <c:pt idx="10">
                  <c:v>63.768000000000001</c:v>
                </c:pt>
                <c:pt idx="11">
                  <c:v>61.981999999999999</c:v>
                </c:pt>
                <c:pt idx="12">
                  <c:v>60.44</c:v>
                </c:pt>
                <c:pt idx="13">
                  <c:v>57.198</c:v>
                </c:pt>
                <c:pt idx="14">
                  <c:v>54.131</c:v>
                </c:pt>
                <c:pt idx="15">
                  <c:v>51.091000000000001</c:v>
                </c:pt>
                <c:pt idx="16">
                  <c:v>48.070999999999998</c:v>
                </c:pt>
                <c:pt idx="17">
                  <c:v>45.645000000000003</c:v>
                </c:pt>
                <c:pt idx="18">
                  <c:v>42.914000000000001</c:v>
                </c:pt>
                <c:pt idx="19">
                  <c:v>40.707999999999998</c:v>
                </c:pt>
                <c:pt idx="20">
                  <c:v>38.542999999999999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8A43-409E-8243-230BD7E906B7}"/>
            </c:ext>
          </c:extLst>
        </c:ser>
        <c:ser>
          <c:idx val="3"/>
          <c:order val="3"/>
          <c:tx>
            <c:strRef>
              <c:f>graf6!$B$17</c:f>
              <c:strCache>
                <c:ptCount val="1"/>
                <c:pt idx="0">
                  <c:v>Vzdělávání a výchova</c:v>
                </c:pt>
              </c:strCache>
            </c:strRef>
          </c:tx>
          <c:spPr>
            <a:ln w="28575" cap="rnd">
              <a:solidFill>
                <a:srgbClr val="FFC000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graf6!$C$17:$W$17</c:f>
              <c:numCache>
                <c:formatCode>0.0</c:formatCode>
                <c:ptCount val="21"/>
                <c:pt idx="0">
                  <c:v>31.664999999999999</c:v>
                </c:pt>
                <c:pt idx="1">
                  <c:v>32.667000000000002</c:v>
                </c:pt>
                <c:pt idx="2">
                  <c:v>34.442999999999998</c:v>
                </c:pt>
                <c:pt idx="3">
                  <c:v>36.534999999999997</c:v>
                </c:pt>
                <c:pt idx="4">
                  <c:v>39.113999999999997</c:v>
                </c:pt>
                <c:pt idx="5">
                  <c:v>41.222000000000001</c:v>
                </c:pt>
                <c:pt idx="6">
                  <c:v>44.198</c:v>
                </c:pt>
                <c:pt idx="7">
                  <c:v>45.780999999999999</c:v>
                </c:pt>
                <c:pt idx="8">
                  <c:v>46.277000000000001</c:v>
                </c:pt>
                <c:pt idx="9">
                  <c:v>46.127000000000002</c:v>
                </c:pt>
                <c:pt idx="10">
                  <c:v>44.564</c:v>
                </c:pt>
                <c:pt idx="11">
                  <c:v>41.728999999999999</c:v>
                </c:pt>
                <c:pt idx="12">
                  <c:v>39.424999999999997</c:v>
                </c:pt>
                <c:pt idx="13">
                  <c:v>37.579000000000001</c:v>
                </c:pt>
                <c:pt idx="14">
                  <c:v>33.764000000000003</c:v>
                </c:pt>
                <c:pt idx="15">
                  <c:v>32.11</c:v>
                </c:pt>
                <c:pt idx="16">
                  <c:v>30.928999999999998</c:v>
                </c:pt>
                <c:pt idx="17">
                  <c:v>30.75</c:v>
                </c:pt>
                <c:pt idx="18">
                  <c:v>32.415999999999997</c:v>
                </c:pt>
                <c:pt idx="19">
                  <c:v>34.713000000000001</c:v>
                </c:pt>
                <c:pt idx="20">
                  <c:v>36.405000000000001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8A43-409E-8243-230BD7E906B7}"/>
            </c:ext>
          </c:extLst>
        </c:ser>
        <c:ser>
          <c:idx val="4"/>
          <c:order val="4"/>
          <c:tx>
            <c:strRef>
              <c:f>graf6!$B$18</c:f>
              <c:strCache>
                <c:ptCount val="1"/>
                <c:pt idx="0">
                  <c:v>Umění a humanitní vědy</c:v>
                </c:pt>
              </c:strCache>
            </c:strRef>
          </c:tx>
          <c:spPr>
            <a:ln w="28575" cap="rnd">
              <a:solidFill>
                <a:srgbClr val="9C57C7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graf6!$C$18:$W$18</c:f>
              <c:numCache>
                <c:formatCode>0.0</c:formatCode>
                <c:ptCount val="21"/>
                <c:pt idx="0">
                  <c:v>18.04</c:v>
                </c:pt>
                <c:pt idx="1">
                  <c:v>19.821999999999999</c:v>
                </c:pt>
                <c:pt idx="2">
                  <c:v>21.914999999999999</c:v>
                </c:pt>
                <c:pt idx="3">
                  <c:v>23.815000000000001</c:v>
                </c:pt>
                <c:pt idx="4">
                  <c:v>25.771000000000001</c:v>
                </c:pt>
                <c:pt idx="5">
                  <c:v>28.286000000000001</c:v>
                </c:pt>
                <c:pt idx="6">
                  <c:v>30.992000000000001</c:v>
                </c:pt>
                <c:pt idx="7">
                  <c:v>33.761000000000003</c:v>
                </c:pt>
                <c:pt idx="8">
                  <c:v>36.204999999999998</c:v>
                </c:pt>
                <c:pt idx="9">
                  <c:v>37.146000000000001</c:v>
                </c:pt>
                <c:pt idx="10">
                  <c:v>37.348999999999997</c:v>
                </c:pt>
                <c:pt idx="11">
                  <c:v>36.76</c:v>
                </c:pt>
                <c:pt idx="12">
                  <c:v>35.683999999999997</c:v>
                </c:pt>
                <c:pt idx="13">
                  <c:v>34.186999999999998</c:v>
                </c:pt>
                <c:pt idx="14">
                  <c:v>32.801000000000002</c:v>
                </c:pt>
                <c:pt idx="15">
                  <c:v>31.074999999999999</c:v>
                </c:pt>
                <c:pt idx="16">
                  <c:v>29.745000000000001</c:v>
                </c:pt>
                <c:pt idx="17">
                  <c:v>28.663</c:v>
                </c:pt>
                <c:pt idx="18">
                  <c:v>28.035</c:v>
                </c:pt>
                <c:pt idx="19">
                  <c:v>29.341000000000001</c:v>
                </c:pt>
                <c:pt idx="20">
                  <c:v>29.443000000000001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8A43-409E-8243-230BD7E906B7}"/>
            </c:ext>
          </c:extLst>
        </c:ser>
        <c:ser>
          <c:idx val="5"/>
          <c:order val="5"/>
          <c:tx>
            <c:strRef>
              <c:f>graf6!$B$19</c:f>
              <c:strCache>
                <c:ptCount val="1"/>
                <c:pt idx="0">
                  <c:v>Společenské vědy, žurnalistika a informační vědy</c:v>
                </c:pt>
              </c:strCache>
            </c:strRef>
          </c:tx>
          <c:spPr>
            <a:ln w="28575" cap="rnd">
              <a:solidFill>
                <a:schemeClr val="accent6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graf6!$C$19:$W$19</c:f>
              <c:numCache>
                <c:formatCode>0.0</c:formatCode>
                <c:ptCount val="21"/>
                <c:pt idx="0">
                  <c:v>16.341000000000001</c:v>
                </c:pt>
                <c:pt idx="1">
                  <c:v>18.306000000000001</c:v>
                </c:pt>
                <c:pt idx="2">
                  <c:v>21.562999999999999</c:v>
                </c:pt>
                <c:pt idx="3">
                  <c:v>24.170999999999999</c:v>
                </c:pt>
                <c:pt idx="4">
                  <c:v>26.838000000000001</c:v>
                </c:pt>
                <c:pt idx="5">
                  <c:v>30.228999999999999</c:v>
                </c:pt>
                <c:pt idx="6">
                  <c:v>33.332000000000001</c:v>
                </c:pt>
                <c:pt idx="7">
                  <c:v>38.216999999999999</c:v>
                </c:pt>
                <c:pt idx="8">
                  <c:v>42.345999999999997</c:v>
                </c:pt>
                <c:pt idx="9">
                  <c:v>43.953000000000003</c:v>
                </c:pt>
                <c:pt idx="10">
                  <c:v>43.651000000000003</c:v>
                </c:pt>
                <c:pt idx="11">
                  <c:v>42.616999999999997</c:v>
                </c:pt>
                <c:pt idx="12">
                  <c:v>40.331000000000003</c:v>
                </c:pt>
                <c:pt idx="13">
                  <c:v>37.292999999999999</c:v>
                </c:pt>
                <c:pt idx="14">
                  <c:v>34.215000000000003</c:v>
                </c:pt>
                <c:pt idx="15">
                  <c:v>32.113999999999997</c:v>
                </c:pt>
                <c:pt idx="16">
                  <c:v>30.343</c:v>
                </c:pt>
                <c:pt idx="17">
                  <c:v>28.824999999999999</c:v>
                </c:pt>
                <c:pt idx="18">
                  <c:v>28.068000000000001</c:v>
                </c:pt>
                <c:pt idx="19">
                  <c:v>28.565000000000001</c:v>
                </c:pt>
                <c:pt idx="20">
                  <c:v>28.399000000000001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8A43-409E-8243-230BD7E906B7}"/>
            </c:ext>
          </c:extLst>
        </c:ser>
        <c:ser>
          <c:idx val="6"/>
          <c:order val="6"/>
          <c:tx>
            <c:strRef>
              <c:f>graf6!$B$20</c:f>
              <c:strCache>
                <c:ptCount val="1"/>
                <c:pt idx="0">
                  <c:v>Přírodní vědy, matematika a statistika</c:v>
                </c:pt>
              </c:strCache>
            </c:strRef>
          </c:tx>
          <c:spPr>
            <a:ln w="28575" cap="rnd">
              <a:solidFill>
                <a:srgbClr val="503D00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graf6!$C$20:$W$20</c:f>
              <c:numCache>
                <c:formatCode>0.0</c:formatCode>
                <c:ptCount val="21"/>
                <c:pt idx="0">
                  <c:v>11.534000000000001</c:v>
                </c:pt>
                <c:pt idx="1">
                  <c:v>12.794</c:v>
                </c:pt>
                <c:pt idx="2">
                  <c:v>14.077999999999999</c:v>
                </c:pt>
                <c:pt idx="3">
                  <c:v>15.135999999999999</c:v>
                </c:pt>
                <c:pt idx="4">
                  <c:v>16.893000000000001</c:v>
                </c:pt>
                <c:pt idx="5">
                  <c:v>18.352</c:v>
                </c:pt>
                <c:pt idx="6">
                  <c:v>19.437000000000001</c:v>
                </c:pt>
                <c:pt idx="7">
                  <c:v>20.128</c:v>
                </c:pt>
                <c:pt idx="8">
                  <c:v>20.759</c:v>
                </c:pt>
                <c:pt idx="9">
                  <c:v>21.800999999999998</c:v>
                </c:pt>
                <c:pt idx="10">
                  <c:v>21.861000000000001</c:v>
                </c:pt>
                <c:pt idx="11">
                  <c:v>21.952999999999999</c:v>
                </c:pt>
                <c:pt idx="12">
                  <c:v>22.239000000000001</c:v>
                </c:pt>
                <c:pt idx="13">
                  <c:v>21.721</c:v>
                </c:pt>
                <c:pt idx="14">
                  <c:v>20.45</c:v>
                </c:pt>
                <c:pt idx="15">
                  <c:v>19.363</c:v>
                </c:pt>
                <c:pt idx="16">
                  <c:v>18.919</c:v>
                </c:pt>
                <c:pt idx="17">
                  <c:v>18.574000000000002</c:v>
                </c:pt>
                <c:pt idx="18">
                  <c:v>19.638000000000002</c:v>
                </c:pt>
                <c:pt idx="19">
                  <c:v>21.728000000000002</c:v>
                </c:pt>
                <c:pt idx="20">
                  <c:v>23.001000000000001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8A43-409E-8243-230BD7E906B7}"/>
            </c:ext>
          </c:extLst>
        </c:ser>
        <c:ser>
          <c:idx val="7"/>
          <c:order val="7"/>
          <c:tx>
            <c:strRef>
              <c:f>graf6!$B$21</c:f>
              <c:strCache>
                <c:ptCount val="1"/>
                <c:pt idx="0">
                  <c:v>Informační a komunikační technologie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graf6!$C$21:$W$21</c:f>
              <c:numCache>
                <c:formatCode>0.0</c:formatCode>
                <c:ptCount val="21"/>
                <c:pt idx="0">
                  <c:v>7.5279999999999996</c:v>
                </c:pt>
                <c:pt idx="1">
                  <c:v>10.082000000000001</c:v>
                </c:pt>
                <c:pt idx="2">
                  <c:v>12.685</c:v>
                </c:pt>
                <c:pt idx="3">
                  <c:v>14.888999999999999</c:v>
                </c:pt>
                <c:pt idx="4">
                  <c:v>16.945</c:v>
                </c:pt>
                <c:pt idx="5">
                  <c:v>19.001000000000001</c:v>
                </c:pt>
                <c:pt idx="6">
                  <c:v>21.161999999999999</c:v>
                </c:pt>
                <c:pt idx="7">
                  <c:v>23.141999999999999</c:v>
                </c:pt>
                <c:pt idx="8">
                  <c:v>24.83</c:v>
                </c:pt>
                <c:pt idx="9">
                  <c:v>25.709</c:v>
                </c:pt>
                <c:pt idx="10">
                  <c:v>25.797000000000001</c:v>
                </c:pt>
                <c:pt idx="11">
                  <c:v>25.198</c:v>
                </c:pt>
                <c:pt idx="12">
                  <c:v>24.731000000000002</c:v>
                </c:pt>
                <c:pt idx="13">
                  <c:v>23.306000000000001</c:v>
                </c:pt>
                <c:pt idx="14">
                  <c:v>21.48</c:v>
                </c:pt>
                <c:pt idx="15">
                  <c:v>20.498999999999999</c:v>
                </c:pt>
                <c:pt idx="16">
                  <c:v>19.981999999999999</c:v>
                </c:pt>
                <c:pt idx="17">
                  <c:v>20.045000000000002</c:v>
                </c:pt>
                <c:pt idx="18">
                  <c:v>20.367999999999999</c:v>
                </c:pt>
                <c:pt idx="19">
                  <c:v>21.646999999999998</c:v>
                </c:pt>
                <c:pt idx="20">
                  <c:v>22.442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8A43-409E-8243-230BD7E906B7}"/>
            </c:ext>
          </c:extLst>
        </c:ser>
        <c:ser>
          <c:idx val="8"/>
          <c:order val="8"/>
          <c:tx>
            <c:strRef>
              <c:f>graf6!$B$22</c:f>
              <c:strCache>
                <c:ptCount val="1"/>
                <c:pt idx="0">
                  <c:v>Služby</c:v>
                </c:pt>
              </c:strCache>
            </c:strRef>
          </c:tx>
          <c:spPr>
            <a:ln w="28575" cap="rnd">
              <a:solidFill>
                <a:srgbClr val="A19795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graf6!$C$22:$W$22</c:f>
              <c:numCache>
                <c:formatCode>0.0</c:formatCode>
                <c:ptCount val="21"/>
                <c:pt idx="0">
                  <c:v>5.95</c:v>
                </c:pt>
                <c:pt idx="1">
                  <c:v>7.6459999999999999</c:v>
                </c:pt>
                <c:pt idx="2">
                  <c:v>9.3889999999999993</c:v>
                </c:pt>
                <c:pt idx="3">
                  <c:v>11.071</c:v>
                </c:pt>
                <c:pt idx="4">
                  <c:v>12.932</c:v>
                </c:pt>
                <c:pt idx="5">
                  <c:v>15.032999999999999</c:v>
                </c:pt>
                <c:pt idx="6">
                  <c:v>17.448</c:v>
                </c:pt>
                <c:pt idx="7">
                  <c:v>19.457000000000001</c:v>
                </c:pt>
                <c:pt idx="8">
                  <c:v>20.867999999999999</c:v>
                </c:pt>
                <c:pt idx="9">
                  <c:v>21.992999999999999</c:v>
                </c:pt>
                <c:pt idx="10">
                  <c:v>22.178000000000001</c:v>
                </c:pt>
                <c:pt idx="11">
                  <c:v>21.878</c:v>
                </c:pt>
                <c:pt idx="12">
                  <c:v>21.753</c:v>
                </c:pt>
                <c:pt idx="13">
                  <c:v>20.393999999999998</c:v>
                </c:pt>
                <c:pt idx="14">
                  <c:v>18.939</c:v>
                </c:pt>
                <c:pt idx="15">
                  <c:v>17.8</c:v>
                </c:pt>
                <c:pt idx="16">
                  <c:v>16.867999999999999</c:v>
                </c:pt>
                <c:pt idx="17">
                  <c:v>16.085999999999999</c:v>
                </c:pt>
                <c:pt idx="18">
                  <c:v>14.792</c:v>
                </c:pt>
                <c:pt idx="19">
                  <c:v>16.405999999999999</c:v>
                </c:pt>
                <c:pt idx="20">
                  <c:v>16.571000000000002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8A43-409E-8243-230BD7E906B7}"/>
            </c:ext>
          </c:extLst>
        </c:ser>
        <c:ser>
          <c:idx val="9"/>
          <c:order val="9"/>
          <c:tx>
            <c:strRef>
              <c:f>graf6!$B$23</c:f>
              <c:strCache>
                <c:ptCount val="1"/>
                <c:pt idx="0">
                  <c:v>Zemědělství, lesnictví, rybářství a veterinářství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graf6!$C$23:$W$23</c:f>
              <c:numCache>
                <c:formatCode>0.0</c:formatCode>
                <c:ptCount val="21"/>
                <c:pt idx="0">
                  <c:v>7.8490000000000002</c:v>
                </c:pt>
                <c:pt idx="1">
                  <c:v>8.4550000000000001</c:v>
                </c:pt>
                <c:pt idx="2">
                  <c:v>9.3219999999999992</c:v>
                </c:pt>
                <c:pt idx="3">
                  <c:v>10.161</c:v>
                </c:pt>
                <c:pt idx="4">
                  <c:v>10.952999999999999</c:v>
                </c:pt>
                <c:pt idx="5">
                  <c:v>11.678000000000001</c:v>
                </c:pt>
                <c:pt idx="6">
                  <c:v>12.117000000000001</c:v>
                </c:pt>
                <c:pt idx="7">
                  <c:v>12.978999999999999</c:v>
                </c:pt>
                <c:pt idx="8">
                  <c:v>13.519</c:v>
                </c:pt>
                <c:pt idx="9">
                  <c:v>13.853</c:v>
                </c:pt>
                <c:pt idx="10">
                  <c:v>13.847</c:v>
                </c:pt>
                <c:pt idx="11">
                  <c:v>14.189</c:v>
                </c:pt>
                <c:pt idx="12">
                  <c:v>13.263</c:v>
                </c:pt>
                <c:pt idx="13">
                  <c:v>12.778</c:v>
                </c:pt>
                <c:pt idx="14">
                  <c:v>12.295</c:v>
                </c:pt>
                <c:pt idx="15">
                  <c:v>12.275</c:v>
                </c:pt>
                <c:pt idx="16">
                  <c:v>11.916</c:v>
                </c:pt>
                <c:pt idx="17">
                  <c:v>11.444000000000001</c:v>
                </c:pt>
                <c:pt idx="18">
                  <c:v>11.259</c:v>
                </c:pt>
                <c:pt idx="19">
                  <c:v>11.739000000000001</c:v>
                </c:pt>
                <c:pt idx="20">
                  <c:v>11.368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8A43-409E-8243-230BD7E906B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8686911"/>
        <c:axId val="1388680255"/>
      </c:lineChart>
      <c:catAx>
        <c:axId val="138868691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80255"/>
        <c:crosses val="autoZero"/>
        <c:auto val="1"/>
        <c:lblAlgn val="ctr"/>
        <c:lblOffset val="100"/>
        <c:noMultiLvlLbl val="0"/>
      </c:catAx>
      <c:valAx>
        <c:axId val="1388680255"/>
        <c:scaling>
          <c:orientation val="minMax"/>
          <c:max val="95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86911"/>
        <c:crosses val="autoZero"/>
        <c:crossBetween val="between"/>
        <c:majorUnit val="10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79636920384952E-2"/>
          <c:y val="0.84686173051897928"/>
          <c:w val="0.98203630796150476"/>
          <c:h val="0.1364716469264871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2.9258098223615466E-2"/>
          <c:y val="5.5118770531042111E-2"/>
          <c:w val="0.94822534330544106"/>
          <c:h val="0.60478302712160992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graf_7!$I$2</c:f>
              <c:strCache>
                <c:ptCount val="1"/>
                <c:pt idx="0">
                  <c:v>studenti ve věku 20–29 (tis. osob)</c:v>
                </c:pt>
              </c:strCache>
            </c:strRef>
          </c:tx>
          <c:spPr>
            <a:solidFill>
              <a:srgbClr val="5B9BD5">
                <a:lumMod val="60000"/>
                <a:lumOff val="4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graf_7!$H$3:$H$16</c:f>
              <c:strCache>
                <c:ptCount val="14"/>
                <c:pt idx="0">
                  <c:v>Zlínský</c:v>
                </c:pt>
                <c:pt idx="1">
                  <c:v>Praha</c:v>
                </c:pt>
                <c:pt idx="2">
                  <c:v>Jihočeský</c:v>
                </c:pt>
                <c:pt idx="3">
                  <c:v>Olomoucký</c:v>
                </c:pt>
                <c:pt idx="4">
                  <c:v>Moravskoslezský</c:v>
                </c:pt>
                <c:pt idx="5">
                  <c:v>Vysočina</c:v>
                </c:pt>
                <c:pt idx="6">
                  <c:v>Královéhradecký</c:v>
                </c:pt>
                <c:pt idx="7">
                  <c:v>Jihomoravský</c:v>
                </c:pt>
                <c:pt idx="8">
                  <c:v>Středočeský</c:v>
                </c:pt>
                <c:pt idx="9">
                  <c:v>Pardubický</c:v>
                </c:pt>
                <c:pt idx="10">
                  <c:v>Plzeňský</c:v>
                </c:pt>
                <c:pt idx="11">
                  <c:v>Liberecký</c:v>
                </c:pt>
                <c:pt idx="12">
                  <c:v>Ústecký</c:v>
                </c:pt>
                <c:pt idx="13">
                  <c:v>Karlovarský</c:v>
                </c:pt>
              </c:strCache>
            </c:strRef>
          </c:cat>
          <c:val>
            <c:numRef>
              <c:f>graf_7!$I$3:$I$16</c:f>
              <c:numCache>
                <c:formatCode>0.0</c:formatCode>
                <c:ptCount val="14"/>
                <c:pt idx="0">
                  <c:v>12.568</c:v>
                </c:pt>
                <c:pt idx="1">
                  <c:v>26.286999999999999</c:v>
                </c:pt>
                <c:pt idx="2">
                  <c:v>12.89</c:v>
                </c:pt>
                <c:pt idx="3">
                  <c:v>12.417999999999999</c:v>
                </c:pt>
                <c:pt idx="4">
                  <c:v>24.061</c:v>
                </c:pt>
                <c:pt idx="5">
                  <c:v>10.456</c:v>
                </c:pt>
                <c:pt idx="6">
                  <c:v>10.398999999999999</c:v>
                </c:pt>
                <c:pt idx="7">
                  <c:v>21.914999999999999</c:v>
                </c:pt>
                <c:pt idx="8">
                  <c:v>24.378</c:v>
                </c:pt>
                <c:pt idx="9">
                  <c:v>9.7200000000000006</c:v>
                </c:pt>
                <c:pt idx="10">
                  <c:v>9.3059999999999992</c:v>
                </c:pt>
                <c:pt idx="11">
                  <c:v>7.0410000000000004</c:v>
                </c:pt>
                <c:pt idx="12">
                  <c:v>11.486000000000001</c:v>
                </c:pt>
                <c:pt idx="13">
                  <c:v>3.8679999999999999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099-436D-89A1-1F3FFC73B2B8}"/>
            </c:ext>
          </c:extLst>
        </c:ser>
        <c:ser>
          <c:idx val="1"/>
          <c:order val="1"/>
          <c:tx>
            <c:strRef>
              <c:f>graf_7!$J$2</c:f>
              <c:strCache>
                <c:ptCount val="1"/>
                <c:pt idx="0">
                  <c:v>ostatní studenti (tis. osob)</c:v>
                </c:pt>
              </c:strCache>
            </c:strRef>
          </c:tx>
          <c:spPr>
            <a:solidFill>
              <a:srgbClr val="ED7D31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graf_7!$H$3:$H$16</c:f>
              <c:strCache>
                <c:ptCount val="14"/>
                <c:pt idx="0">
                  <c:v>Zlínský</c:v>
                </c:pt>
                <c:pt idx="1">
                  <c:v>Praha</c:v>
                </c:pt>
                <c:pt idx="2">
                  <c:v>Jihočeský</c:v>
                </c:pt>
                <c:pt idx="3">
                  <c:v>Olomoucký</c:v>
                </c:pt>
                <c:pt idx="4">
                  <c:v>Moravskoslezský</c:v>
                </c:pt>
                <c:pt idx="5">
                  <c:v>Vysočina</c:v>
                </c:pt>
                <c:pt idx="6">
                  <c:v>Královéhradecký</c:v>
                </c:pt>
                <c:pt idx="7">
                  <c:v>Jihomoravský</c:v>
                </c:pt>
                <c:pt idx="8">
                  <c:v>Středočeský</c:v>
                </c:pt>
                <c:pt idx="9">
                  <c:v>Pardubický</c:v>
                </c:pt>
                <c:pt idx="10">
                  <c:v>Plzeňský</c:v>
                </c:pt>
                <c:pt idx="11">
                  <c:v>Liberecký</c:v>
                </c:pt>
                <c:pt idx="12">
                  <c:v>Ústecký</c:v>
                </c:pt>
                <c:pt idx="13">
                  <c:v>Karlovarský</c:v>
                </c:pt>
              </c:strCache>
            </c:strRef>
          </c:cat>
          <c:val>
            <c:numRef>
              <c:f>graf_7!$J$3:$J$16</c:f>
              <c:numCache>
                <c:formatCode>0.0</c:formatCode>
                <c:ptCount val="14"/>
                <c:pt idx="0">
                  <c:v>2.988</c:v>
                </c:pt>
                <c:pt idx="1">
                  <c:v>10.170999999999999</c:v>
                </c:pt>
                <c:pt idx="2">
                  <c:v>3.4239999999999999</c:v>
                </c:pt>
                <c:pt idx="3">
                  <c:v>3.72</c:v>
                </c:pt>
                <c:pt idx="4">
                  <c:v>6.9160000000000004</c:v>
                </c:pt>
                <c:pt idx="5">
                  <c:v>2.5379999999999998</c:v>
                </c:pt>
                <c:pt idx="6">
                  <c:v>2.6560000000000001</c:v>
                </c:pt>
                <c:pt idx="7">
                  <c:v>6.3440000000000003</c:v>
                </c:pt>
                <c:pt idx="8">
                  <c:v>8.0850000000000009</c:v>
                </c:pt>
                <c:pt idx="9">
                  <c:v>2.516</c:v>
                </c:pt>
                <c:pt idx="10">
                  <c:v>2.65</c:v>
                </c:pt>
                <c:pt idx="11">
                  <c:v>2.08</c:v>
                </c:pt>
                <c:pt idx="12">
                  <c:v>3.9020000000000001</c:v>
                </c:pt>
                <c:pt idx="13">
                  <c:v>1.228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099-436D-89A1-1F3FFC73B2B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7"/>
        <c:overlap val="100"/>
        <c:axId val="168496480"/>
        <c:axId val="168484416"/>
      </c:barChart>
      <c:scatterChart>
        <c:scatterStyle val="lineMarker"/>
        <c:varyColors val="0"/>
        <c:ser>
          <c:idx val="2"/>
          <c:order val="2"/>
          <c:tx>
            <c:strRef>
              <c:f>graf_7!$K$2</c:f>
              <c:strCache>
                <c:ptCount val="1"/>
                <c:pt idx="0">
                  <c:v>podíl studentů mezi obyvateli ve věku 20–29 let (v %)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70AD47">
                  <a:lumMod val="75000"/>
                </a:srgbClr>
              </a:solidFill>
              <a:ln w="9525">
                <a:solidFill>
                  <a:srgbClr val="70AD47">
                    <a:lumMod val="75000"/>
                  </a:srgbClr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xVal>
            <c:strRef>
              <c:f>graf_7!$H$3:$H$16</c:f>
              <c:strCache>
                <c:ptCount val="14"/>
                <c:pt idx="0">
                  <c:v>Zlínský</c:v>
                </c:pt>
                <c:pt idx="1">
                  <c:v>Praha</c:v>
                </c:pt>
                <c:pt idx="2">
                  <c:v>Jihočeský</c:v>
                </c:pt>
                <c:pt idx="3">
                  <c:v>Olomoucký</c:v>
                </c:pt>
                <c:pt idx="4">
                  <c:v>Moravskoslezský</c:v>
                </c:pt>
                <c:pt idx="5">
                  <c:v>Vysočina</c:v>
                </c:pt>
                <c:pt idx="6">
                  <c:v>Královéhradecký</c:v>
                </c:pt>
                <c:pt idx="7">
                  <c:v>Jihomoravský</c:v>
                </c:pt>
                <c:pt idx="8">
                  <c:v>Středočeský</c:v>
                </c:pt>
                <c:pt idx="9">
                  <c:v>Pardubický</c:v>
                </c:pt>
                <c:pt idx="10">
                  <c:v>Plzeňský</c:v>
                </c:pt>
                <c:pt idx="11">
                  <c:v>Liberecký</c:v>
                </c:pt>
                <c:pt idx="12">
                  <c:v>Ústecký</c:v>
                </c:pt>
                <c:pt idx="13">
                  <c:v>Karlovarský</c:v>
                </c:pt>
              </c:strCache>
            </c:strRef>
          </c:xVal>
          <c:yVal>
            <c:numRef>
              <c:f>graf_7!$K$3:$K$16</c:f>
              <c:numCache>
                <c:formatCode>0.0</c:formatCode>
                <c:ptCount val="14"/>
                <c:pt idx="0">
                  <c:v>22.137283567893189</c:v>
                </c:pt>
                <c:pt idx="1">
                  <c:v>20.342668761269454</c:v>
                </c:pt>
                <c:pt idx="2">
                  <c:v>20.328344556766389</c:v>
                </c:pt>
                <c:pt idx="3">
                  <c:v>20.209614946457052</c:v>
                </c:pt>
                <c:pt idx="4">
                  <c:v>20.15142251739935</c:v>
                </c:pt>
                <c:pt idx="5">
                  <c:v>20.053701572688915</c:v>
                </c:pt>
                <c:pt idx="6">
                  <c:v>19.191304026870409</c:v>
                </c:pt>
                <c:pt idx="7">
                  <c:v>18.799378929940897</c:v>
                </c:pt>
                <c:pt idx="8">
                  <c:v>18.710137919918949</c:v>
                </c:pt>
                <c:pt idx="9">
                  <c:v>18.227848101265824</c:v>
                </c:pt>
                <c:pt idx="10">
                  <c:v>16.213108470678421</c:v>
                </c:pt>
                <c:pt idx="11">
                  <c:v>15.89569928885879</c:v>
                </c:pt>
                <c:pt idx="12">
                  <c:v>13.922593001127288</c:v>
                </c:pt>
                <c:pt idx="13">
                  <c:v>13.505586592178769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099-436D-89A1-1F3FFC73B2B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46883072"/>
        <c:axId val="1388332896"/>
      </c:scatterChart>
      <c:catAx>
        <c:axId val="1684964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68484416"/>
        <c:crosses val="autoZero"/>
        <c:auto val="1"/>
        <c:lblAlgn val="ctr"/>
        <c:lblOffset val="100"/>
        <c:noMultiLvlLbl val="0"/>
      </c:catAx>
      <c:valAx>
        <c:axId val="168484416"/>
        <c:scaling>
          <c:orientation val="minMax"/>
          <c:max val="45"/>
        </c:scaling>
        <c:delete val="0"/>
        <c:axPos val="l"/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68496480"/>
        <c:crosses val="autoZero"/>
        <c:crossBetween val="between"/>
      </c:valAx>
      <c:valAx>
        <c:axId val="1388332896"/>
        <c:scaling>
          <c:orientation val="minMax"/>
          <c:max val="23"/>
          <c:min val="0"/>
        </c:scaling>
        <c:delete val="0"/>
        <c:axPos val="r"/>
        <c:numFmt formatCode="0.0" sourceLinked="1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146883072"/>
        <c:crosses val="max"/>
        <c:crossBetween val="midCat"/>
      </c:valAx>
      <c:valAx>
        <c:axId val="114688307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388332896"/>
        <c:crosses val="autoZero"/>
        <c:crossBetween val="midCat"/>
      </c:valAx>
      <c:spPr>
        <a:noFill/>
        <a:ln w="25400">
          <a:noFill/>
        </a:ln>
        <a:effectLst/>
      </c:spPr>
    </c:plotArea>
    <c:legend>
      <c:legendPos val="b"/>
      <c:layout>
        <c:manualLayout>
          <c:xMode val="edge"/>
          <c:yMode val="edge"/>
          <c:x val="9.4892997309505601E-3"/>
          <c:y val="0.90343365412656751"/>
          <c:w val="0.99051070026904942"/>
          <c:h val="7.830737824438613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2316094592761921E-2"/>
          <c:y val="2.6043475334813913E-2"/>
          <c:w val="0.95280126625393202"/>
          <c:h val="0.7239394306480920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List2!$B$27</c:f>
              <c:strCache>
                <c:ptCount val="1"/>
                <c:pt idx="0">
                  <c:v>2001</c:v>
                </c:pt>
              </c:strCache>
            </c:strRef>
          </c:tx>
          <c:spPr>
            <a:solidFill>
              <a:schemeClr val="accent2">
                <a:lumMod val="40000"/>
                <a:lumOff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List2!$A$28:$A$42</c:f>
              <c:strCache>
                <c:ptCount val="15"/>
                <c:pt idx="0">
                  <c:v>bydlí v zahraničí </c:v>
                </c:pt>
                <c:pt idx="1">
                  <c:v>Praha </c:v>
                </c:pt>
                <c:pt idx="2">
                  <c:v>Jihomoravský </c:v>
                </c:pt>
                <c:pt idx="3">
                  <c:v>Plzeňský </c:v>
                </c:pt>
                <c:pt idx="4">
                  <c:v>Olomoucký </c:v>
                </c:pt>
                <c:pt idx="5">
                  <c:v>Moravskoslezský </c:v>
                </c:pt>
                <c:pt idx="6">
                  <c:v>Královéhradecký </c:v>
                </c:pt>
                <c:pt idx="7">
                  <c:v>Zlínský </c:v>
                </c:pt>
                <c:pt idx="8">
                  <c:v>Liberecký </c:v>
                </c:pt>
                <c:pt idx="9">
                  <c:v>Jihočeský </c:v>
                </c:pt>
                <c:pt idx="10">
                  <c:v>Středočeský </c:v>
                </c:pt>
                <c:pt idx="11">
                  <c:v>Pardubický </c:v>
                </c:pt>
                <c:pt idx="12">
                  <c:v>Vysočina </c:v>
                </c:pt>
                <c:pt idx="13">
                  <c:v>Karlovarský </c:v>
                </c:pt>
                <c:pt idx="14">
                  <c:v>Ústecký </c:v>
                </c:pt>
              </c:strCache>
            </c:strRef>
          </c:cat>
          <c:val>
            <c:numRef>
              <c:f>List2!$B$28:$B$42</c:f>
              <c:numCache>
                <c:formatCode>0.0</c:formatCode>
                <c:ptCount val="15"/>
                <c:pt idx="0">
                  <c:v>3.6793919502504746</c:v>
                </c:pt>
                <c:pt idx="1">
                  <c:v>12.358248230060772</c:v>
                </c:pt>
                <c:pt idx="2">
                  <c:v>10.445034149736808</c:v>
                </c:pt>
                <c:pt idx="3">
                  <c:v>7.2328709096685371</c:v>
                </c:pt>
                <c:pt idx="4">
                  <c:v>7.5924622722652284</c:v>
                </c:pt>
                <c:pt idx="5">
                  <c:v>7.5859476168595172</c:v>
                </c:pt>
                <c:pt idx="6">
                  <c:v>8.0497313244126012</c:v>
                </c:pt>
                <c:pt idx="7">
                  <c:v>6.054952510176391</c:v>
                </c:pt>
                <c:pt idx="8">
                  <c:v>7.3496027241770721</c:v>
                </c:pt>
                <c:pt idx="9">
                  <c:v>6.6053991958644458</c:v>
                </c:pt>
                <c:pt idx="10">
                  <c:v>7.4606339819844605</c:v>
                </c:pt>
                <c:pt idx="11">
                  <c:v>7.4616995481097765</c:v>
                </c:pt>
                <c:pt idx="12">
                  <c:v>6.3321914023649022</c:v>
                </c:pt>
                <c:pt idx="13">
                  <c:v>6.343091936312276</c:v>
                </c:pt>
                <c:pt idx="14">
                  <c:v>5.855614973262032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5DF-40CF-8B1E-CA8249A414A5}"/>
            </c:ext>
          </c:extLst>
        </c:ser>
        <c:ser>
          <c:idx val="1"/>
          <c:order val="1"/>
          <c:tx>
            <c:strRef>
              <c:f>List2!$C$27</c:f>
              <c:strCache>
                <c:ptCount val="1"/>
                <c:pt idx="0">
                  <c:v>2011</c:v>
                </c:pt>
              </c:strCache>
            </c:strRef>
          </c:tx>
          <c:spPr>
            <a:solidFill>
              <a:srgbClr val="7FA3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2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List2!$A$28:$A$42</c:f>
              <c:strCache>
                <c:ptCount val="15"/>
                <c:pt idx="0">
                  <c:v>bydlí v zahraničí </c:v>
                </c:pt>
                <c:pt idx="1">
                  <c:v>Praha </c:v>
                </c:pt>
                <c:pt idx="2">
                  <c:v>Jihomoravský </c:v>
                </c:pt>
                <c:pt idx="3">
                  <c:v>Plzeňský </c:v>
                </c:pt>
                <c:pt idx="4">
                  <c:v>Olomoucký </c:v>
                </c:pt>
                <c:pt idx="5">
                  <c:v>Moravskoslezský </c:v>
                </c:pt>
                <c:pt idx="6">
                  <c:v>Královéhradecký </c:v>
                </c:pt>
                <c:pt idx="7">
                  <c:v>Zlínský </c:v>
                </c:pt>
                <c:pt idx="8">
                  <c:v>Liberecký </c:v>
                </c:pt>
                <c:pt idx="9">
                  <c:v>Jihočeský </c:v>
                </c:pt>
                <c:pt idx="10">
                  <c:v>Středočeský </c:v>
                </c:pt>
                <c:pt idx="11">
                  <c:v>Pardubický </c:v>
                </c:pt>
                <c:pt idx="12">
                  <c:v>Vysočina </c:v>
                </c:pt>
                <c:pt idx="13">
                  <c:v>Karlovarský </c:v>
                </c:pt>
                <c:pt idx="14">
                  <c:v>Ústecký </c:v>
                </c:pt>
              </c:strCache>
            </c:strRef>
          </c:cat>
          <c:val>
            <c:numRef>
              <c:f>List2!$C$28:$C$42</c:f>
              <c:numCache>
                <c:formatCode>0.0</c:formatCode>
                <c:ptCount val="15"/>
                <c:pt idx="0">
                  <c:v>8.0915146249637999</c:v>
                </c:pt>
                <c:pt idx="1">
                  <c:v>9.9124850715586277</c:v>
                </c:pt>
                <c:pt idx="2">
                  <c:v>7.9947575360419396</c:v>
                </c:pt>
                <c:pt idx="3">
                  <c:v>6.2948546405546768</c:v>
                </c:pt>
                <c:pt idx="4">
                  <c:v>6.1124588459539071</c:v>
                </c:pt>
                <c:pt idx="5">
                  <c:v>5.9654802791328514</c:v>
                </c:pt>
                <c:pt idx="6">
                  <c:v>5.6036347901341408</c:v>
                </c:pt>
                <c:pt idx="7">
                  <c:v>5.8688595542090463</c:v>
                </c:pt>
                <c:pt idx="8">
                  <c:v>5.8312753923364937</c:v>
                </c:pt>
                <c:pt idx="9">
                  <c:v>5.0501205430782896</c:v>
                </c:pt>
                <c:pt idx="10">
                  <c:v>5.1809812741918613</c:v>
                </c:pt>
                <c:pt idx="11">
                  <c:v>5.5828469051609551</c:v>
                </c:pt>
                <c:pt idx="12">
                  <c:v>4.7889567294929654</c:v>
                </c:pt>
                <c:pt idx="13">
                  <c:v>4.4272948822095852</c:v>
                </c:pt>
                <c:pt idx="14">
                  <c:v>4.338128186453023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5DF-40CF-8B1E-CA8249A414A5}"/>
            </c:ext>
          </c:extLst>
        </c:ser>
        <c:ser>
          <c:idx val="2"/>
          <c:order val="2"/>
          <c:tx>
            <c:strRef>
              <c:f>List2!$D$27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6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List2!$A$28:$A$42</c:f>
              <c:strCache>
                <c:ptCount val="15"/>
                <c:pt idx="0">
                  <c:v>bydlí v zahraničí </c:v>
                </c:pt>
                <c:pt idx="1">
                  <c:v>Praha </c:v>
                </c:pt>
                <c:pt idx="2">
                  <c:v>Jihomoravský </c:v>
                </c:pt>
                <c:pt idx="3">
                  <c:v>Plzeňský </c:v>
                </c:pt>
                <c:pt idx="4">
                  <c:v>Olomoucký </c:v>
                </c:pt>
                <c:pt idx="5">
                  <c:v>Moravskoslezský </c:v>
                </c:pt>
                <c:pt idx="6">
                  <c:v>Královéhradecký </c:v>
                </c:pt>
                <c:pt idx="7">
                  <c:v>Zlínský </c:v>
                </c:pt>
                <c:pt idx="8">
                  <c:v>Liberecký </c:v>
                </c:pt>
                <c:pt idx="9">
                  <c:v>Jihočeský </c:v>
                </c:pt>
                <c:pt idx="10">
                  <c:v>Středočeský </c:v>
                </c:pt>
                <c:pt idx="11">
                  <c:v>Pardubický </c:v>
                </c:pt>
                <c:pt idx="12">
                  <c:v>Vysočina </c:v>
                </c:pt>
                <c:pt idx="13">
                  <c:v>Karlovarský </c:v>
                </c:pt>
                <c:pt idx="14">
                  <c:v>Ústecký </c:v>
                </c:pt>
              </c:strCache>
            </c:strRef>
          </c:cat>
          <c:val>
            <c:numRef>
              <c:f>List2!$D$28:$D$42</c:f>
              <c:numCache>
                <c:formatCode>0.0</c:formatCode>
                <c:ptCount val="15"/>
                <c:pt idx="0">
                  <c:v>10.823637158378952</c:v>
                </c:pt>
                <c:pt idx="1">
                  <c:v>9.860661583191618</c:v>
                </c:pt>
                <c:pt idx="2">
                  <c:v>7.7037404012880852</c:v>
                </c:pt>
                <c:pt idx="3">
                  <c:v>6.565741050518568</c:v>
                </c:pt>
                <c:pt idx="4">
                  <c:v>6.3700582476143266</c:v>
                </c:pt>
                <c:pt idx="5">
                  <c:v>5.8527294444265099</c:v>
                </c:pt>
                <c:pt idx="6">
                  <c:v>5.5534278054385293</c:v>
                </c:pt>
                <c:pt idx="7">
                  <c:v>5.5155566983800464</c:v>
                </c:pt>
                <c:pt idx="8">
                  <c:v>5.3941453787961846</c:v>
                </c:pt>
                <c:pt idx="9">
                  <c:v>5.2163785705528998</c:v>
                </c:pt>
                <c:pt idx="10">
                  <c:v>5.1473985768413266</c:v>
                </c:pt>
                <c:pt idx="11">
                  <c:v>5.0588427590715916</c:v>
                </c:pt>
                <c:pt idx="12">
                  <c:v>4.7791288286901645</c:v>
                </c:pt>
                <c:pt idx="13">
                  <c:v>4.6310832025117739</c:v>
                </c:pt>
                <c:pt idx="14">
                  <c:v>4.5749935014296854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5DF-40CF-8B1E-CA8249A414A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9"/>
        <c:axId val="843404352"/>
        <c:axId val="843396448"/>
      </c:barChart>
      <c:catAx>
        <c:axId val="8434043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43396448"/>
        <c:crosses val="autoZero"/>
        <c:auto val="1"/>
        <c:lblAlgn val="ctr"/>
        <c:lblOffset val="100"/>
        <c:noMultiLvlLbl val="0"/>
      </c:catAx>
      <c:valAx>
        <c:axId val="843396448"/>
        <c:scaling>
          <c:orientation val="minMax"/>
        </c:scaling>
        <c:delete val="0"/>
        <c:axPos val="l"/>
        <c:numFmt formatCode="#\ 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434043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66328149892240851"/>
          <c:y val="4.45451241671714E-2"/>
          <c:w val="0.31242800398030757"/>
          <c:h val="6.657917760279964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</cdr:x>
      <cdr:y>0.79437</cdr:y>
    </cdr:from>
    <cdr:to>
      <cdr:x>0.05847</cdr:x>
      <cdr:y>0.86761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0" y="2686050"/>
          <a:ext cx="371475" cy="24765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ctr" anchorCtr="0" forceAA="0" compatLnSpc="1">
          <a:prstTxWarp prst="textNoShape">
            <a:avLst/>
          </a:prstTxWarp>
          <a:noAutofit/>
        </a:bodyPr>
        <a:lstStyle xmlns:a="http://schemas.openxmlformats.org/drawingml/2006/main"/>
        <a:p xmlns:a="http://schemas.openxmlformats.org/drawingml/2006/main">
          <a:pPr algn="ctr">
            <a:lnSpc>
              <a:spcPct val="120000"/>
            </a:lnSpc>
            <a:spcAft>
              <a:spcPts val="0"/>
            </a:spcAft>
          </a:pPr>
          <a:r>
            <a:rPr lang="cs-CZ" sz="800">
              <a:solidFill>
                <a:srgbClr val="595959"/>
              </a:solidFill>
              <a:effectLst/>
              <a:latin typeface="Arial" panose="020B0604020202020204" pitchFamily="34" charset="0"/>
              <a:ea typeface="Times New Roman" panose="02020603050405020304" pitchFamily="18" charset="0"/>
              <a:cs typeface="Times New Roman" panose="02020603050405020304" pitchFamily="18" charset="0"/>
            </a:rPr>
            <a:t>%</a:t>
          </a:r>
          <a:endParaRPr lang="cs-CZ" sz="1000">
            <a:effectLst/>
            <a:latin typeface="Arial" panose="020B0604020202020204" pitchFamily="34" charset="0"/>
            <a:ea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0.9447</cdr:x>
      <cdr:y>0.91411</cdr:y>
    </cdr:from>
    <cdr:to>
      <cdr:x>0.99224</cdr:x>
      <cdr:y>1</cdr:y>
    </cdr:to>
    <cdr:sp macro="" textlink="">
      <cdr:nvSpPr>
        <cdr:cNvPr id="5" name="Obdélník 4"/>
        <cdr:cNvSpPr/>
      </cdr:nvSpPr>
      <cdr:spPr>
        <a:xfrm xmlns:a="http://schemas.openxmlformats.org/drawingml/2006/main">
          <a:off x="5794860" y="5006466"/>
          <a:ext cx="291615" cy="470409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>
                  <a:lumMod val="65000"/>
                  <a:lumOff val="35000"/>
                </a:schemeClr>
              </a:solidFill>
            </a:rPr>
            <a:t>%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0.42237</cdr:x>
      <cdr:y>0.88204</cdr:y>
    </cdr:from>
    <cdr:to>
      <cdr:x>0.4833</cdr:x>
      <cdr:y>0.95942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562711" y="2175966"/>
          <a:ext cx="369688" cy="19089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</a:t>
          </a:r>
          <a:r>
            <a:rPr lang="cs-CZ" sz="900">
              <a:solidFill>
                <a:sysClr val="windowText" lastClr="000000"/>
              </a:solidFill>
            </a:rPr>
            <a:t>.</a:t>
          </a:r>
        </a:p>
      </cdr:txBody>
    </cdr:sp>
  </cdr:relSizeAnchor>
  <cdr:relSizeAnchor xmlns:cdr="http://schemas.openxmlformats.org/drawingml/2006/chartDrawing">
    <cdr:from>
      <cdr:x>0.00598</cdr:x>
      <cdr:y>0.02191</cdr:y>
    </cdr:from>
    <cdr:to>
      <cdr:x>0.12453</cdr:x>
      <cdr:y>0.12355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36283" y="54051"/>
          <a:ext cx="719293" cy="250749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>
            <a:lumMod val="65000"/>
          </a:schemeClr>
        </a:solidFill>
        <a:ln xmlns:a="http://schemas.openxmlformats.org/drawingml/2006/main">
          <a:solidFill>
            <a:schemeClr val="accent1">
              <a:lumMod val="40000"/>
              <a:lumOff val="60000"/>
            </a:schemeClr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>
              <a:latin typeface="Arial" panose="020B0604020202020204" pitchFamily="34" charset="0"/>
              <a:cs typeface="Arial" panose="020B0604020202020204" pitchFamily="34" charset="0"/>
            </a:rPr>
            <a:t>2001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0.42237</cdr:x>
      <cdr:y>0.88204</cdr:y>
    </cdr:from>
    <cdr:to>
      <cdr:x>0.4833</cdr:x>
      <cdr:y>0.95942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562711" y="2175966"/>
          <a:ext cx="369688" cy="19089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</a:p>
      </cdr:txBody>
    </cdr:sp>
  </cdr:relSizeAnchor>
  <cdr:relSizeAnchor xmlns:cdr="http://schemas.openxmlformats.org/drawingml/2006/chartDrawing">
    <cdr:from>
      <cdr:x>0.00598</cdr:x>
      <cdr:y>0.02191</cdr:y>
    </cdr:from>
    <cdr:to>
      <cdr:x>0.12453</cdr:x>
      <cdr:y>0.12355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36283" y="54051"/>
          <a:ext cx="719293" cy="250749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>
            <a:lumMod val="65000"/>
          </a:schemeClr>
        </a:solidFill>
        <a:ln xmlns:a="http://schemas.openxmlformats.org/drawingml/2006/main">
          <a:solidFill>
            <a:schemeClr val="accent1">
              <a:lumMod val="40000"/>
              <a:lumOff val="60000"/>
            </a:schemeClr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>
              <a:latin typeface="Arial" panose="020B0604020202020204" pitchFamily="34" charset="0"/>
              <a:cs typeface="Arial" panose="020B0604020202020204" pitchFamily="34" charset="0"/>
            </a:rPr>
            <a:t>2011</a:t>
          </a: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0.42237</cdr:x>
      <cdr:y>0.88204</cdr:y>
    </cdr:from>
    <cdr:to>
      <cdr:x>0.4833</cdr:x>
      <cdr:y>0.95942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562711" y="2175966"/>
          <a:ext cx="369688" cy="19089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</a:p>
      </cdr:txBody>
    </cdr:sp>
  </cdr:relSizeAnchor>
  <cdr:relSizeAnchor xmlns:cdr="http://schemas.openxmlformats.org/drawingml/2006/chartDrawing">
    <cdr:from>
      <cdr:x>0.00598</cdr:x>
      <cdr:y>0.02191</cdr:y>
    </cdr:from>
    <cdr:to>
      <cdr:x>0.12453</cdr:x>
      <cdr:y>0.12355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36283" y="54051"/>
          <a:ext cx="719293" cy="250749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>
            <a:lumMod val="65000"/>
          </a:schemeClr>
        </a:solidFill>
        <a:ln xmlns:a="http://schemas.openxmlformats.org/drawingml/2006/main">
          <a:solidFill>
            <a:schemeClr val="accent1">
              <a:lumMod val="40000"/>
              <a:lumOff val="60000"/>
            </a:schemeClr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>
              <a:latin typeface="Arial" panose="020B0604020202020204" pitchFamily="34" charset="0"/>
              <a:cs typeface="Arial" panose="020B0604020202020204" pitchFamily="34" charset="0"/>
            </a:rPr>
            <a:t>2021</a:t>
          </a:r>
        </a:p>
      </cdr:txBody>
    </cdr: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0.00612</cdr:x>
      <cdr:y>0.70833</cdr:y>
    </cdr:from>
    <cdr:to>
      <cdr:x>0.05046</cdr:x>
      <cdr:y>0.75245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38100" y="2752725"/>
          <a:ext cx="276225" cy="171449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</cdr:x>
      <cdr:y>0.77615</cdr:y>
    </cdr:from>
    <cdr:to>
      <cdr:x>0.06854</cdr:x>
      <cdr:y>0.83047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-723900" y="3409562"/>
          <a:ext cx="419474" cy="23862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</a:p>
      </cdr:txBody>
    </cdr:sp>
  </cdr:relSizeAnchor>
</c:userShapes>
</file>

<file path=word/drawings/drawing7.xml><?xml version="1.0" encoding="utf-8"?>
<c:userShapes xmlns:c="http://schemas.openxmlformats.org/drawingml/2006/chart">
  <cdr:relSizeAnchor xmlns:cdr="http://schemas.openxmlformats.org/drawingml/2006/chartDrawing">
    <cdr:from>
      <cdr:x>0</cdr:x>
      <cdr:y>0.53998</cdr:y>
    </cdr:from>
    <cdr:to>
      <cdr:x>0.06583</cdr:x>
      <cdr:y>0.62098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-723900" y="1651000"/>
          <a:ext cx="400050" cy="24765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r>
            <a:rPr lang="cs-CZ" sz="8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</a:p>
      </cdr:txBody>
    </cdr:sp>
  </cdr:relSizeAnchor>
</c:userShapes>
</file>

<file path=word/drawings/drawing8.xml><?xml version="1.0" encoding="utf-8"?>
<c:userShapes xmlns:c="http://schemas.openxmlformats.org/drawingml/2006/chart">
  <cdr:relSizeAnchor xmlns:cdr="http://schemas.openxmlformats.org/drawingml/2006/chartDrawing">
    <cdr:from>
      <cdr:x>0</cdr:x>
      <cdr:y>0.79215</cdr:y>
    </cdr:from>
    <cdr:to>
      <cdr:x>0.05119</cdr:x>
      <cdr:y>0.87451</cdr:y>
    </cdr:to>
    <cdr:sp macro="" textlink="">
      <cdr:nvSpPr>
        <cdr:cNvPr id="4" name="Obdélník 3"/>
        <cdr:cNvSpPr/>
      </cdr:nvSpPr>
      <cdr:spPr>
        <a:xfrm xmlns:a="http://schemas.openxmlformats.org/drawingml/2006/main">
          <a:off x="0" y="2565391"/>
          <a:ext cx="319368" cy="266723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%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8D2173-33E8-4711-B1C6-91939600D6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1</TotalTime>
  <Pages>14</Pages>
  <Words>4606</Words>
  <Characters>27177</Characters>
  <Application>Microsoft Office Word</Application>
  <DocSecurity>0</DocSecurity>
  <Lines>226</Lines>
  <Paragraphs>63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Manager/>
  <Company>CSU</Company>
  <LinksUpToDate>false</LinksUpToDate>
  <CharactersWithSpaces>31720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Adriana Ondrušová</dc:creator>
  <cp:keywords/>
  <dc:description/>
  <cp:lastModifiedBy>Kašparová Vendula</cp:lastModifiedBy>
  <cp:revision>9</cp:revision>
  <cp:lastPrinted>2014-07-17T14:07:00Z</cp:lastPrinted>
  <dcterms:created xsi:type="dcterms:W3CDTF">2022-05-10T11:08:00Z</dcterms:created>
  <dcterms:modified xsi:type="dcterms:W3CDTF">2022-05-11T09:22:00Z</dcterms:modified>
  <cp:category/>
</cp:coreProperties>
</file>