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0C479" w14:textId="77777777" w:rsidR="00A50D73" w:rsidRDefault="003E78E5" w:rsidP="003E78E5">
      <w:pPr>
        <w:pStyle w:val="Nadpis1"/>
      </w:pPr>
      <w:r>
        <w:t>4. Výdaje na dlouhodobou péči</w:t>
      </w:r>
    </w:p>
    <w:p w14:paraId="14CE3D36" w14:textId="77777777" w:rsidR="003E78E5" w:rsidRPr="00AB64E8" w:rsidRDefault="003E78E5" w:rsidP="003E78E5">
      <w:pPr>
        <w:keepNext/>
        <w:spacing w:after="240"/>
        <w:jc w:val="both"/>
        <w:rPr>
          <w:rFonts w:eastAsia="Calibri" w:cs="Arial"/>
          <w:szCs w:val="20"/>
          <w:lang w:eastAsia="en-US"/>
        </w:rPr>
      </w:pPr>
      <w:r w:rsidRPr="00AB64E8">
        <w:rPr>
          <w:rFonts w:eastAsia="Calibri" w:cs="Arial"/>
          <w:szCs w:val="20"/>
          <w:lang w:eastAsia="en-US"/>
        </w:rPr>
        <w:t xml:space="preserve">Zdravotnické účty v minulosti zahrnovaly pouze výdaje na dlouhodobou </w:t>
      </w:r>
      <w:r w:rsidRPr="00B21F9E">
        <w:rPr>
          <w:rFonts w:eastAsia="Calibri" w:cs="Arial"/>
          <w:b/>
          <w:szCs w:val="20"/>
          <w:lang w:eastAsia="en-US"/>
        </w:rPr>
        <w:t>zdravotní</w:t>
      </w:r>
      <w:r w:rsidRPr="00AB64E8">
        <w:rPr>
          <w:rFonts w:eastAsia="Calibri" w:cs="Arial"/>
          <w:szCs w:val="20"/>
          <w:lang w:eastAsia="en-US"/>
        </w:rPr>
        <w:t xml:space="preserve"> péči, která byla financována z veřejných zdrojů a zdravotních pojišťoven. V návaznosti na novou metodiku SHA 2011 byla do tohoto systému nově zařazena </w:t>
      </w:r>
      <w:r>
        <w:rPr>
          <w:rFonts w:eastAsia="Calibri" w:cs="Arial"/>
          <w:szCs w:val="20"/>
          <w:lang w:eastAsia="en-US"/>
        </w:rPr>
        <w:t xml:space="preserve">také </w:t>
      </w:r>
      <w:r w:rsidRPr="00AB64E8">
        <w:rPr>
          <w:rFonts w:eastAsia="Calibri" w:cs="Arial"/>
          <w:szCs w:val="20"/>
          <w:lang w:eastAsia="en-US"/>
        </w:rPr>
        <w:t>položka dlouhodob</w:t>
      </w:r>
      <w:r>
        <w:rPr>
          <w:rFonts w:eastAsia="Calibri" w:cs="Arial"/>
          <w:szCs w:val="20"/>
          <w:lang w:eastAsia="en-US"/>
        </w:rPr>
        <w:t>á</w:t>
      </w:r>
      <w:r w:rsidRPr="00AB64E8">
        <w:rPr>
          <w:rFonts w:eastAsia="Calibri" w:cs="Arial"/>
          <w:szCs w:val="20"/>
          <w:lang w:eastAsia="en-US"/>
        </w:rPr>
        <w:t xml:space="preserve"> </w:t>
      </w:r>
      <w:r w:rsidRPr="00B21F9E">
        <w:rPr>
          <w:rFonts w:eastAsia="Calibri" w:cs="Arial"/>
          <w:b/>
          <w:szCs w:val="20"/>
          <w:lang w:eastAsia="en-US"/>
        </w:rPr>
        <w:t>sociální</w:t>
      </w:r>
      <w:r w:rsidRPr="00AB64E8">
        <w:rPr>
          <w:rFonts w:eastAsia="Calibri" w:cs="Arial"/>
          <w:szCs w:val="20"/>
          <w:lang w:eastAsia="en-US"/>
        </w:rPr>
        <w:t xml:space="preserve"> péče a výdaje na dlouhodobou zdravotní péči lůžkovou a denní </w:t>
      </w:r>
      <w:r>
        <w:rPr>
          <w:rFonts w:eastAsia="Calibri" w:cs="Arial"/>
          <w:szCs w:val="20"/>
          <w:lang w:eastAsia="en-US"/>
        </w:rPr>
        <w:t xml:space="preserve">tak byly </w:t>
      </w:r>
      <w:r w:rsidRPr="00AB64E8">
        <w:rPr>
          <w:rFonts w:eastAsia="Calibri" w:cs="Arial"/>
          <w:szCs w:val="20"/>
          <w:lang w:eastAsia="en-US"/>
        </w:rPr>
        <w:t>rozšířeny o vybran</w:t>
      </w:r>
      <w:r>
        <w:rPr>
          <w:rFonts w:eastAsia="Calibri" w:cs="Arial"/>
          <w:szCs w:val="20"/>
          <w:lang w:eastAsia="en-US"/>
        </w:rPr>
        <w:t>é</w:t>
      </w:r>
      <w:r w:rsidRPr="00AB64E8">
        <w:rPr>
          <w:rFonts w:eastAsia="Calibri" w:cs="Arial"/>
          <w:szCs w:val="20"/>
          <w:lang w:eastAsia="en-US"/>
        </w:rPr>
        <w:t xml:space="preserve"> sociální služ</w:t>
      </w:r>
      <w:r>
        <w:rPr>
          <w:rFonts w:eastAsia="Calibri" w:cs="Arial"/>
          <w:szCs w:val="20"/>
          <w:lang w:eastAsia="en-US"/>
        </w:rPr>
        <w:t xml:space="preserve">by. Řadí se sem </w:t>
      </w:r>
      <w:r w:rsidRPr="00AB64E8">
        <w:rPr>
          <w:rFonts w:eastAsia="Calibri" w:cs="Arial"/>
          <w:szCs w:val="20"/>
          <w:lang w:eastAsia="en-US"/>
        </w:rPr>
        <w:t xml:space="preserve">denní a týdenní stacionáře, chráněné bydlení, pečovatelské služby atd. Před zahájením sběru dat bylo nutné ve spolupráci se zástupci Ministerstva práce a sociálních věcí ČR definovat veškeré výdajové položky realizované v podmínkách ČR v oblasti </w:t>
      </w:r>
      <w:r w:rsidRPr="00AB64E8">
        <w:rPr>
          <w:rFonts w:eastAsia="Calibri" w:cs="Arial"/>
          <w:b/>
          <w:szCs w:val="20"/>
          <w:lang w:eastAsia="en-US"/>
        </w:rPr>
        <w:t>zdravotně-sociální péče</w:t>
      </w:r>
      <w:r w:rsidRPr="00AB64E8">
        <w:rPr>
          <w:rFonts w:eastAsia="Calibri" w:cs="Arial"/>
          <w:szCs w:val="20"/>
          <w:lang w:eastAsia="en-US"/>
        </w:rPr>
        <w:t xml:space="preserve">. Podrobné informace obsahuje </w:t>
      </w:r>
      <w:r w:rsidRPr="00985DC2">
        <w:rPr>
          <w:rFonts w:eastAsia="Calibri" w:cs="Arial"/>
          <w:szCs w:val="20"/>
          <w:lang w:eastAsia="en-US"/>
        </w:rPr>
        <w:t>metodická příloha</w:t>
      </w:r>
      <w:r w:rsidRPr="00AB64E8">
        <w:rPr>
          <w:rFonts w:eastAsia="Calibri" w:cs="Arial"/>
          <w:szCs w:val="20"/>
          <w:lang w:eastAsia="en-US"/>
        </w:rPr>
        <w:t xml:space="preserve">.  </w:t>
      </w:r>
    </w:p>
    <w:p w14:paraId="470EFFA2" w14:textId="77777777" w:rsidR="003E78E5" w:rsidRPr="00AB64E8" w:rsidRDefault="003E78E5" w:rsidP="003E78E5">
      <w:pPr>
        <w:keepNext/>
        <w:spacing w:after="240"/>
        <w:jc w:val="both"/>
        <w:rPr>
          <w:rFonts w:eastAsia="Calibri" w:cs="Arial"/>
          <w:szCs w:val="20"/>
          <w:lang w:eastAsia="en-US"/>
        </w:rPr>
      </w:pPr>
      <w:r w:rsidRPr="00AB64E8">
        <w:rPr>
          <w:rFonts w:eastAsia="Calibri" w:cs="Arial"/>
          <w:szCs w:val="20"/>
          <w:lang w:eastAsia="en-US"/>
        </w:rPr>
        <w:t xml:space="preserve">V praxi není jednoduché oddělit zdravotní a sociální stránku dlouhodobé péče, neboť stav pacienta (klienta) vyžaduje oba typy péče. V širším slova smyslu komplex dlouhodobé péče představují některé služby zdravotnické (léčba, rehabilitace, preskripce léků a pomůcek) a také pomocné a podpůrné sociální služby (zvládání běžných úkonů péče o vlastní osobu, zajištění chodu domácnosti, stravování, sociální aktivity). </w:t>
      </w:r>
    </w:p>
    <w:p w14:paraId="2571BA7A" w14:textId="010F8F13" w:rsidR="003E78E5" w:rsidRDefault="003E78E5" w:rsidP="003E78E5">
      <w:pPr>
        <w:keepNext/>
        <w:spacing w:after="240"/>
        <w:jc w:val="both"/>
        <w:rPr>
          <w:rFonts w:eastAsia="Calibri" w:cs="Arial"/>
          <w:szCs w:val="20"/>
          <w:lang w:eastAsia="en-US"/>
        </w:rPr>
      </w:pPr>
      <w:r w:rsidRPr="00AB64E8">
        <w:rPr>
          <w:szCs w:val="20"/>
        </w:rPr>
        <w:t xml:space="preserve">Dlouhodobá péče tak </w:t>
      </w:r>
      <w:r w:rsidRPr="00AB64E8">
        <w:rPr>
          <w:b/>
          <w:szCs w:val="20"/>
        </w:rPr>
        <w:t>spojuje řadu zdravotních a sociálních služeb</w:t>
      </w:r>
      <w:r w:rsidRPr="00AB64E8">
        <w:rPr>
          <w:szCs w:val="20"/>
        </w:rPr>
        <w:t xml:space="preserve"> přizpůsobených potřebám osob, které</w:t>
      </w:r>
      <w:r>
        <w:rPr>
          <w:szCs w:val="20"/>
        </w:rPr>
        <w:t> </w:t>
      </w:r>
      <w:r w:rsidRPr="00AB64E8">
        <w:rPr>
          <w:szCs w:val="20"/>
        </w:rPr>
        <w:t>jsou v základních činnostech každodenního života dlou</w:t>
      </w:r>
      <w:r>
        <w:rPr>
          <w:szCs w:val="20"/>
        </w:rPr>
        <w:t>hodobě závislé na pomoci jiných</w:t>
      </w:r>
      <w:r w:rsidRPr="00AB64E8">
        <w:rPr>
          <w:szCs w:val="20"/>
        </w:rPr>
        <w:t xml:space="preserve"> v důsledku chronického onemocnění či jiných příčin postižení. </w:t>
      </w:r>
      <w:r w:rsidRPr="00AB64E8">
        <w:rPr>
          <w:rFonts w:cs="Arial"/>
          <w:bCs/>
          <w:szCs w:val="20"/>
        </w:rPr>
        <w:t>Dlouhodobou péčí rozumíme jak péči v domácím prostředí</w:t>
      </w:r>
      <w:r w:rsidRPr="00AB64E8">
        <w:rPr>
          <w:rFonts w:eastAsia="Calibri" w:cs="Arial"/>
          <w:bCs/>
          <w:szCs w:val="20"/>
          <w:lang w:eastAsia="en-US"/>
        </w:rPr>
        <w:t xml:space="preserve">, </w:t>
      </w:r>
      <w:r w:rsidRPr="00AB64E8">
        <w:rPr>
          <w:rFonts w:cs="Arial"/>
          <w:bCs/>
          <w:szCs w:val="20"/>
        </w:rPr>
        <w:t>tak péči v</w:t>
      </w:r>
      <w:r w:rsidRPr="00AB64E8">
        <w:rPr>
          <w:rFonts w:eastAsia="Calibri" w:cs="Arial"/>
          <w:bCs/>
          <w:szCs w:val="20"/>
          <w:lang w:eastAsia="en-US"/>
        </w:rPr>
        <w:t> </w:t>
      </w:r>
      <w:r w:rsidRPr="00AB64E8">
        <w:rPr>
          <w:rFonts w:cs="Arial"/>
          <w:bCs/>
          <w:szCs w:val="20"/>
        </w:rPr>
        <w:t xml:space="preserve">institucích. </w:t>
      </w:r>
      <w:r w:rsidRPr="00AB64E8">
        <w:t>Dlouhodobou péči potřebují lidé v důsledku zhoršené schopnosti postarat se sami o</w:t>
      </w:r>
      <w:r w:rsidR="00B03535">
        <w:t> </w:t>
      </w:r>
      <w:r w:rsidRPr="00AB64E8">
        <w:t>sebe, která může být vrozená nebo získaná v průběhu života, obvykle bezprostředně souvisí se zhoršením zdravotního stavu.</w:t>
      </w:r>
      <w:r w:rsidRPr="00AB64E8">
        <w:rPr>
          <w:rFonts w:eastAsia="Calibri" w:cs="Arial"/>
          <w:szCs w:val="20"/>
          <w:lang w:eastAsia="en-US"/>
        </w:rPr>
        <w:t xml:space="preserve"> Služby dlouhodobé péče využívají </w:t>
      </w:r>
      <w:r w:rsidRPr="00AB64E8">
        <w:rPr>
          <w:rFonts w:cs="Arial"/>
          <w:szCs w:val="20"/>
        </w:rPr>
        <w:t>nejčastěji</w:t>
      </w:r>
      <w:r w:rsidRPr="00AB64E8">
        <w:rPr>
          <w:rFonts w:eastAsia="Calibri" w:cs="Arial"/>
          <w:szCs w:val="20"/>
          <w:lang w:eastAsia="en-US"/>
        </w:rPr>
        <w:t xml:space="preserve"> lidé ve vyšším seniorském věku a</w:t>
      </w:r>
      <w:r>
        <w:rPr>
          <w:rFonts w:eastAsia="Calibri" w:cs="Arial"/>
          <w:szCs w:val="20"/>
          <w:lang w:eastAsia="en-US"/>
        </w:rPr>
        <w:t> </w:t>
      </w:r>
      <w:r w:rsidRPr="00AB64E8">
        <w:rPr>
          <w:rFonts w:eastAsia="Calibri" w:cs="Arial"/>
          <w:szCs w:val="20"/>
          <w:lang w:eastAsia="en-US"/>
        </w:rPr>
        <w:t>osoby s tělesným či duševním postižením.</w:t>
      </w:r>
    </w:p>
    <w:p w14:paraId="170B9EE2" w14:textId="77777777" w:rsidR="003E78E5" w:rsidRDefault="003E78E5" w:rsidP="003E78E5">
      <w:pPr>
        <w:pStyle w:val="Nadpis3"/>
      </w:pPr>
      <w:r>
        <w:rPr>
          <w:lang w:eastAsia="en-US"/>
        </w:rPr>
        <w:t>4.1.</w:t>
      </w:r>
      <w:r w:rsidRPr="003E78E5">
        <w:t xml:space="preserve"> </w:t>
      </w:r>
      <w:r w:rsidRPr="00854CCF">
        <w:t>Celkové výdaje na dlouhodobou péči</w:t>
      </w:r>
    </w:p>
    <w:p w14:paraId="33DAFF4C" w14:textId="20C21B09" w:rsidR="003E78E5" w:rsidRDefault="003E78E5" w:rsidP="003E78E5">
      <w:pPr>
        <w:spacing w:after="240"/>
        <w:jc w:val="both"/>
        <w:rPr>
          <w:rFonts w:cs="Arial"/>
          <w:szCs w:val="20"/>
        </w:rPr>
      </w:pPr>
      <w:r w:rsidRPr="00AB64E8">
        <w:rPr>
          <w:rFonts w:cs="Arial"/>
          <w:b/>
          <w:szCs w:val="20"/>
        </w:rPr>
        <w:t>V roce 201</w:t>
      </w:r>
      <w:r>
        <w:rPr>
          <w:rFonts w:cs="Arial"/>
          <w:b/>
          <w:szCs w:val="20"/>
        </w:rPr>
        <w:t>9</w:t>
      </w:r>
      <w:r w:rsidRPr="00AB64E8">
        <w:rPr>
          <w:rFonts w:cs="Arial"/>
          <w:b/>
          <w:szCs w:val="20"/>
        </w:rPr>
        <w:t xml:space="preserve"> tvořily souhrnné výdaje na dlouhodobou péči </w:t>
      </w:r>
      <w:r>
        <w:rPr>
          <w:rFonts w:cs="Arial"/>
          <w:b/>
          <w:szCs w:val="20"/>
        </w:rPr>
        <w:t>88,5</w:t>
      </w:r>
      <w:r w:rsidRPr="00AB64E8">
        <w:rPr>
          <w:rFonts w:cs="Arial"/>
          <w:b/>
          <w:szCs w:val="20"/>
        </w:rPr>
        <w:t xml:space="preserve"> mld. Kč</w:t>
      </w:r>
      <w:r w:rsidRPr="00AB64E8">
        <w:rPr>
          <w:rFonts w:cs="Arial"/>
          <w:szCs w:val="20"/>
        </w:rPr>
        <w:t xml:space="preserve">, což představovalo </w:t>
      </w:r>
      <w:r w:rsidR="007D5DD1">
        <w:rPr>
          <w:rFonts w:cs="Arial"/>
          <w:szCs w:val="20"/>
        </w:rPr>
        <w:t>18,5</w:t>
      </w:r>
      <w:r>
        <w:rPr>
          <w:rFonts w:cs="Arial"/>
          <w:szCs w:val="20"/>
        </w:rPr>
        <w:t xml:space="preserve"> %</w:t>
      </w:r>
      <w:r w:rsidRPr="00AB64E8">
        <w:rPr>
          <w:rFonts w:cs="Arial"/>
          <w:szCs w:val="20"/>
        </w:rPr>
        <w:t xml:space="preserve"> z</w:t>
      </w:r>
      <w:r>
        <w:rPr>
          <w:rFonts w:cs="Arial"/>
          <w:szCs w:val="20"/>
        </w:rPr>
        <w:t> běžných výdajů</w:t>
      </w:r>
      <w:r w:rsidRPr="00AB64E8">
        <w:rPr>
          <w:rFonts w:cs="Arial"/>
          <w:szCs w:val="20"/>
        </w:rPr>
        <w:t xml:space="preserve"> na zdravotní péči, které dosáhly v daném roce </w:t>
      </w:r>
      <w:r w:rsidR="007D5DD1">
        <w:rPr>
          <w:rFonts w:cs="Arial"/>
          <w:szCs w:val="20"/>
        </w:rPr>
        <w:t>477,7</w:t>
      </w:r>
      <w:r w:rsidRPr="00AB64E8">
        <w:rPr>
          <w:rFonts w:cs="Arial"/>
          <w:szCs w:val="20"/>
        </w:rPr>
        <w:t xml:space="preserve"> mld. Kč</w:t>
      </w:r>
      <w:r>
        <w:rPr>
          <w:rFonts w:cs="Arial"/>
          <w:szCs w:val="20"/>
        </w:rPr>
        <w:t xml:space="preserve">. </w:t>
      </w:r>
      <w:r w:rsidRPr="00AB64E8">
        <w:rPr>
          <w:rFonts w:cs="Arial"/>
          <w:szCs w:val="20"/>
        </w:rPr>
        <w:t xml:space="preserve">Přestože závislost na péči druhých osob přirozeně narůstá s věkem, je nutné mít na paměti, že potřeba dlouhodobé péče se </w:t>
      </w:r>
      <w:r>
        <w:rPr>
          <w:rFonts w:cs="Arial"/>
          <w:szCs w:val="20"/>
        </w:rPr>
        <w:t>může týkat</w:t>
      </w:r>
      <w:r w:rsidRPr="00AB64E8">
        <w:rPr>
          <w:rFonts w:cs="Arial"/>
          <w:szCs w:val="20"/>
        </w:rPr>
        <w:t xml:space="preserve"> také dětí a osob v produktivním věku. Pokud bychom však uvedenou částku </w:t>
      </w:r>
      <w:r>
        <w:rPr>
          <w:rFonts w:cs="Arial"/>
          <w:szCs w:val="20"/>
        </w:rPr>
        <w:t>necelých 89</w:t>
      </w:r>
      <w:r w:rsidRPr="00AB64E8">
        <w:rPr>
          <w:rFonts w:cs="Arial"/>
          <w:szCs w:val="20"/>
        </w:rPr>
        <w:t xml:space="preserve"> mld. Kč rozdělili mezi obyvatele ČR starší 65 let, kteří dlouhodobou péči potřebují</w:t>
      </w:r>
      <w:r>
        <w:rPr>
          <w:rFonts w:cs="Arial"/>
          <w:szCs w:val="20"/>
        </w:rPr>
        <w:t xml:space="preserve"> </w:t>
      </w:r>
      <w:r w:rsidRPr="00AB64E8">
        <w:rPr>
          <w:rFonts w:cs="Arial"/>
          <w:szCs w:val="20"/>
        </w:rPr>
        <w:t>nejčastěji, p</w:t>
      </w:r>
      <w:r w:rsidR="00B03535">
        <w:rPr>
          <w:rFonts w:cs="Arial"/>
          <w:szCs w:val="20"/>
        </w:rPr>
        <w:t>ak by průměrné roční náklady na </w:t>
      </w:r>
      <w:r w:rsidRPr="00AB64E8">
        <w:rPr>
          <w:rFonts w:cs="Arial"/>
          <w:szCs w:val="20"/>
        </w:rPr>
        <w:t xml:space="preserve">jednoho seniora tvořily </w:t>
      </w:r>
      <w:r>
        <w:rPr>
          <w:rFonts w:cs="Arial"/>
          <w:szCs w:val="20"/>
        </w:rPr>
        <w:t>41 536 Kč, před deseti lety to bylo o více než 9 tisíc méně. V roce 2010 činily průměrné</w:t>
      </w:r>
      <w:r w:rsidR="00CC6EB8">
        <w:rPr>
          <w:rFonts w:cs="Arial"/>
          <w:szCs w:val="20"/>
        </w:rPr>
        <w:t xml:space="preserve"> roční</w:t>
      </w:r>
      <w:r>
        <w:rPr>
          <w:rFonts w:cs="Arial"/>
          <w:szCs w:val="20"/>
        </w:rPr>
        <w:t xml:space="preserve"> náklady na jednoho seniora 32 245 Kč.</w:t>
      </w:r>
      <w:r w:rsidRPr="00AB64E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konci roku 2019 žilo v České republice 2 131,6 tisíc obyvatel starších 65 let, tedy téměř o půl milionu více než v roce 2010. </w:t>
      </w:r>
    </w:p>
    <w:p w14:paraId="7380CD1D" w14:textId="77777777" w:rsidR="003E78E5" w:rsidRPr="003C519B" w:rsidRDefault="003E78E5" w:rsidP="003E78E5">
      <w:pPr>
        <w:spacing w:after="240"/>
        <w:jc w:val="both"/>
        <w:rPr>
          <w:rFonts w:eastAsia="Calibri" w:cs="Arial"/>
          <w:szCs w:val="20"/>
          <w:lang w:eastAsia="en-US"/>
        </w:rPr>
      </w:pPr>
      <w:r w:rsidRPr="003C519B">
        <w:rPr>
          <w:rFonts w:cs="Arial"/>
          <w:szCs w:val="20"/>
        </w:rPr>
        <w:t xml:space="preserve">Sledované výdaje ve skupině dlouhodobé péče byly v roce 2019 složeny ze 70 % (v absolutních hodnotách 61,5 mld. Kč) z </w:t>
      </w:r>
      <w:r w:rsidRPr="003C519B">
        <w:rPr>
          <w:rFonts w:cs="Arial"/>
          <w:b/>
          <w:szCs w:val="20"/>
        </w:rPr>
        <w:t>dlouhodobé péče zdravotní</w:t>
      </w:r>
      <w:r w:rsidRPr="003C519B">
        <w:rPr>
          <w:rFonts w:cs="Arial"/>
          <w:szCs w:val="20"/>
        </w:rPr>
        <w:t xml:space="preserve"> a zbývajících 30 % (v absolutních hodnotách 27 mld. Kč)</w:t>
      </w:r>
      <w:r>
        <w:rPr>
          <w:rFonts w:cs="Arial"/>
          <w:szCs w:val="20"/>
        </w:rPr>
        <w:t xml:space="preserve"> z péče sociální.</w:t>
      </w:r>
      <w:r w:rsidRPr="003C519B">
        <w:rPr>
          <w:rFonts w:cs="Arial"/>
          <w:szCs w:val="20"/>
        </w:rPr>
        <w:t xml:space="preserve"> </w:t>
      </w:r>
      <w:r w:rsidRPr="003C519B">
        <w:rPr>
          <w:rFonts w:eastAsia="Calibri" w:cs="Arial"/>
          <w:szCs w:val="20"/>
          <w:lang w:eastAsia="en-US"/>
        </w:rPr>
        <w:t>Dlouhodobě zůstává zastoupení uvedených výdajů na dlouhodobou péči stabilní.</w:t>
      </w:r>
    </w:p>
    <w:p w14:paraId="2F49CED1" w14:textId="77777777" w:rsidR="003E78E5" w:rsidRPr="00F54844" w:rsidRDefault="003E78E5" w:rsidP="003E78E5">
      <w:pPr>
        <w:spacing w:after="240"/>
        <w:jc w:val="both"/>
        <w:rPr>
          <w:rFonts w:cs="Arial"/>
          <w:b/>
          <w:i/>
          <w:szCs w:val="20"/>
        </w:rPr>
      </w:pPr>
      <w:r w:rsidRPr="00F54844">
        <w:rPr>
          <w:rFonts w:cs="Arial"/>
          <w:b/>
          <w:i/>
          <w:szCs w:val="20"/>
        </w:rPr>
        <w:t xml:space="preserve">Výdaje na dlouhodobou péči se od roku 2010 zvýšily o </w:t>
      </w:r>
      <w:r>
        <w:rPr>
          <w:rFonts w:cs="Arial"/>
          <w:b/>
          <w:i/>
          <w:szCs w:val="20"/>
        </w:rPr>
        <w:t>dvě třetiny</w:t>
      </w:r>
      <w:r w:rsidRPr="00F54844">
        <w:rPr>
          <w:rFonts w:cs="Arial"/>
          <w:b/>
          <w:i/>
          <w:szCs w:val="20"/>
        </w:rPr>
        <w:t xml:space="preserve"> a </w:t>
      </w:r>
      <w:r>
        <w:rPr>
          <w:rFonts w:cs="Arial"/>
          <w:b/>
          <w:i/>
          <w:szCs w:val="20"/>
        </w:rPr>
        <w:t xml:space="preserve">dosáhly bezmála 89 </w:t>
      </w:r>
      <w:r w:rsidRPr="00F54844">
        <w:rPr>
          <w:rFonts w:cs="Arial"/>
          <w:b/>
          <w:i/>
          <w:szCs w:val="20"/>
        </w:rPr>
        <w:t>miliard Kč</w:t>
      </w:r>
    </w:p>
    <w:p w14:paraId="3D8FF660" w14:textId="6712C892" w:rsidR="003E78E5" w:rsidRDefault="003E78E5" w:rsidP="007D5DD1">
      <w:pPr>
        <w:spacing w:before="240" w:after="240"/>
        <w:jc w:val="both"/>
      </w:pPr>
      <w:r>
        <w:t>P</w:t>
      </w:r>
      <w:r w:rsidRPr="00AB64E8">
        <w:t>odíl dlouhodobé péče na celko</w:t>
      </w:r>
      <w:r>
        <w:t xml:space="preserve">vých výdajích na zdravotní péči byl v České republice po celé sledované období </w:t>
      </w:r>
      <w:r w:rsidRPr="00B42519">
        <w:rPr>
          <w:b/>
        </w:rPr>
        <w:t>let</w:t>
      </w:r>
      <w:r>
        <w:t xml:space="preserve"> </w:t>
      </w:r>
      <w:r w:rsidRPr="00B42519">
        <w:rPr>
          <w:b/>
        </w:rPr>
        <w:t>2010</w:t>
      </w:r>
      <w:r>
        <w:t> </w:t>
      </w:r>
      <w:r w:rsidRPr="00B42519">
        <w:rPr>
          <w:b/>
        </w:rPr>
        <w:t>až</w:t>
      </w:r>
      <w:r>
        <w:rPr>
          <w:b/>
        </w:rPr>
        <w:t> </w:t>
      </w:r>
      <w:r w:rsidRPr="00AB64E8">
        <w:rPr>
          <w:b/>
        </w:rPr>
        <w:t>201</w:t>
      </w:r>
      <w:r>
        <w:rPr>
          <w:b/>
        </w:rPr>
        <w:t xml:space="preserve">9 </w:t>
      </w:r>
      <w:r w:rsidRPr="00B42519">
        <w:t>poměrně</w:t>
      </w:r>
      <w:r>
        <w:rPr>
          <w:b/>
        </w:rPr>
        <w:t xml:space="preserve"> stabilní </w:t>
      </w:r>
      <w:r w:rsidRPr="00B42519">
        <w:t>a pohyboval se</w:t>
      </w:r>
      <w:r w:rsidRPr="00031521">
        <w:t xml:space="preserve"> </w:t>
      </w:r>
      <w:r w:rsidR="007D5DD1">
        <w:rPr>
          <w:b/>
        </w:rPr>
        <w:t>mezi 16 a 19</w:t>
      </w:r>
      <w:r w:rsidR="000D3CE3">
        <w:rPr>
          <w:b/>
        </w:rPr>
        <w:t xml:space="preserve"> </w:t>
      </w:r>
      <w:r w:rsidRPr="00031521">
        <w:rPr>
          <w:b/>
        </w:rPr>
        <w:t>%</w:t>
      </w:r>
      <w:r w:rsidRPr="00031521">
        <w:t>.</w:t>
      </w:r>
      <w:r w:rsidRPr="00AB64E8">
        <w:t xml:space="preserve"> Výdaje na dlouhodobou péči </w:t>
      </w:r>
      <w:r w:rsidRPr="00AB64E8">
        <w:rPr>
          <w:b/>
        </w:rPr>
        <w:t>zdravotní</w:t>
      </w:r>
      <w:r w:rsidRPr="00AB64E8">
        <w:t xml:space="preserve"> </w:t>
      </w:r>
      <w:r>
        <w:t xml:space="preserve">každoročně rostou. Od roku 2010 byl nárůst výdajů přerušen pouze jednou a to v roce 2015. V dalších letech se již sestupný trend nepotvrdil a naopak mezi roky 2015–2019 se uvedené výdaje zvýšily téměř o polovinu. </w:t>
      </w:r>
      <w:r w:rsidRPr="00F8700E">
        <w:t xml:space="preserve">Výdaje na dlouhodobou péči </w:t>
      </w:r>
      <w:r w:rsidRPr="00F8700E">
        <w:rPr>
          <w:b/>
        </w:rPr>
        <w:t>sociální</w:t>
      </w:r>
      <w:r w:rsidRPr="00F8700E">
        <w:t xml:space="preserve"> od roku 2010 vzrostly </w:t>
      </w:r>
      <w:r>
        <w:t>bezmála o 60 %</w:t>
      </w:r>
      <w:r w:rsidRPr="00F8700E">
        <w:t xml:space="preserve"> a v roce 2019 dosáhly v absolutních hodnotách prozatím maximální hodnoty 27 mld. Kč.</w:t>
      </w:r>
      <w:r>
        <w:br w:type="page"/>
      </w:r>
    </w:p>
    <w:p w14:paraId="56EBA188" w14:textId="77777777" w:rsidR="003E78E5" w:rsidRPr="00F8700E" w:rsidRDefault="003E78E5" w:rsidP="007D5DD1">
      <w:pPr>
        <w:spacing w:before="240" w:after="240"/>
        <w:jc w:val="both"/>
        <w:rPr>
          <w:sz w:val="2"/>
        </w:rPr>
      </w:pPr>
    </w:p>
    <w:p w14:paraId="28A0C463" w14:textId="77777777" w:rsidR="003E78E5" w:rsidRDefault="003E78E5" w:rsidP="007D5DD1">
      <w:pPr>
        <w:spacing w:before="240" w:after="120"/>
        <w:jc w:val="both"/>
        <w:rPr>
          <w:rFonts w:cs="Arial"/>
          <w:b/>
          <w:sz w:val="18"/>
          <w:szCs w:val="18"/>
        </w:rPr>
      </w:pPr>
      <w:r w:rsidRPr="00AB64E8">
        <w:rPr>
          <w:rFonts w:cs="Arial"/>
          <w:b/>
          <w:sz w:val="18"/>
          <w:szCs w:val="18"/>
        </w:rPr>
        <w:t xml:space="preserve">Graf č. </w:t>
      </w:r>
      <w:r>
        <w:rPr>
          <w:rFonts w:cs="Arial"/>
          <w:b/>
          <w:sz w:val="18"/>
          <w:szCs w:val="18"/>
        </w:rPr>
        <w:t>4.1.</w:t>
      </w:r>
      <w:r w:rsidRPr="00AB64E8">
        <w:rPr>
          <w:rFonts w:cs="Arial"/>
          <w:b/>
          <w:sz w:val="18"/>
          <w:szCs w:val="18"/>
        </w:rPr>
        <w:t xml:space="preserve"> Výdaje na dlouhodobou</w:t>
      </w:r>
      <w:r>
        <w:rPr>
          <w:rFonts w:cs="Arial"/>
          <w:b/>
          <w:sz w:val="18"/>
          <w:szCs w:val="18"/>
        </w:rPr>
        <w:t xml:space="preserve"> </w:t>
      </w:r>
      <w:r w:rsidRPr="00AB64E8">
        <w:rPr>
          <w:rFonts w:cs="Arial"/>
          <w:b/>
          <w:sz w:val="18"/>
          <w:szCs w:val="18"/>
        </w:rPr>
        <w:t>zdravotní a související sociální péči v Č</w:t>
      </w:r>
      <w:r>
        <w:rPr>
          <w:rFonts w:cs="Arial"/>
          <w:b/>
          <w:sz w:val="18"/>
          <w:szCs w:val="18"/>
        </w:rPr>
        <w:t>esku</w:t>
      </w:r>
      <w:r w:rsidRPr="00AB64E8">
        <w:rPr>
          <w:rFonts w:cs="Arial"/>
          <w:b/>
          <w:sz w:val="18"/>
          <w:szCs w:val="18"/>
        </w:rPr>
        <w:t>, 2010</w:t>
      </w:r>
      <w:r w:rsidRPr="00F277AB">
        <w:rPr>
          <w:b/>
          <w:szCs w:val="20"/>
        </w:rPr>
        <w:t>–</w:t>
      </w:r>
      <w:r w:rsidRPr="00AB64E8">
        <w:rPr>
          <w:rFonts w:cs="Arial"/>
          <w:b/>
          <w:sz w:val="18"/>
          <w:szCs w:val="18"/>
        </w:rPr>
        <w:t>201</w:t>
      </w:r>
      <w:r>
        <w:rPr>
          <w:rFonts w:cs="Arial"/>
          <w:b/>
          <w:sz w:val="18"/>
          <w:szCs w:val="18"/>
        </w:rPr>
        <w:t>9</w:t>
      </w:r>
      <w:r w:rsidRPr="00AB64E8">
        <w:rPr>
          <w:rFonts w:cs="Arial"/>
          <w:b/>
          <w:sz w:val="18"/>
          <w:szCs w:val="18"/>
        </w:rPr>
        <w:t xml:space="preserve"> (mld. Kč; %)</w:t>
      </w:r>
    </w:p>
    <w:p w14:paraId="3A9AC59C" w14:textId="4D663B14" w:rsidR="003E78E5" w:rsidRDefault="007D5DD1" w:rsidP="003E78E5">
      <w:pPr>
        <w:spacing w:before="120"/>
        <w:jc w:val="both"/>
        <w:rPr>
          <w:rFonts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65F53B24" wp14:editId="7663C229">
            <wp:extent cx="6050280" cy="3505200"/>
            <wp:effectExtent l="0" t="0" r="762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9BBBA0" w14:textId="77777777" w:rsidR="003E78E5" w:rsidRPr="003E78E5" w:rsidRDefault="003E78E5" w:rsidP="007D5DD1">
      <w:pPr>
        <w:spacing w:before="120" w:after="240"/>
        <w:jc w:val="right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Zdroj: ČSÚ </w:t>
      </w:r>
      <w:r w:rsidRPr="00AB64E8">
        <w:rPr>
          <w:b/>
          <w:i/>
          <w:sz w:val="16"/>
          <w:szCs w:val="16"/>
        </w:rPr>
        <w:t>20</w:t>
      </w:r>
      <w:r>
        <w:rPr>
          <w:b/>
          <w:i/>
          <w:sz w:val="16"/>
          <w:szCs w:val="16"/>
        </w:rPr>
        <w:t>21, Zdravotnické účty ČR 2010</w:t>
      </w:r>
      <w:r>
        <w:rPr>
          <w:sz w:val="16"/>
          <w:szCs w:val="16"/>
        </w:rPr>
        <w:t>–</w:t>
      </w:r>
      <w:r w:rsidRPr="00AB64E8">
        <w:rPr>
          <w:b/>
          <w:i/>
          <w:sz w:val="16"/>
          <w:szCs w:val="16"/>
        </w:rPr>
        <w:t>201</w:t>
      </w:r>
      <w:r>
        <w:rPr>
          <w:b/>
          <w:i/>
          <w:sz w:val="16"/>
          <w:szCs w:val="16"/>
        </w:rPr>
        <w:t>9</w:t>
      </w:r>
      <w:r w:rsidRPr="00AB64E8">
        <w:rPr>
          <w:i/>
          <w:sz w:val="16"/>
          <w:szCs w:val="16"/>
        </w:rPr>
        <w:t xml:space="preserve"> </w:t>
      </w:r>
    </w:p>
    <w:p w14:paraId="1779CDAE" w14:textId="77777777" w:rsidR="003E78E5" w:rsidRDefault="003E78E5" w:rsidP="003E78E5">
      <w:pPr>
        <w:spacing w:after="240"/>
        <w:jc w:val="both"/>
        <w:rPr>
          <w:b/>
          <w:i/>
          <w:szCs w:val="20"/>
        </w:rPr>
      </w:pPr>
      <w:r w:rsidRPr="00250BE0">
        <w:rPr>
          <w:b/>
          <w:i/>
          <w:szCs w:val="20"/>
        </w:rPr>
        <w:t>Více než polovinu výdajů na dlouhodobou péči tvoří péče lůžková</w:t>
      </w:r>
    </w:p>
    <w:p w14:paraId="36D45CE9" w14:textId="77777777" w:rsidR="003E78E5" w:rsidRPr="003E78E5" w:rsidRDefault="003E78E5" w:rsidP="003E78E5">
      <w:pPr>
        <w:spacing w:after="240"/>
        <w:jc w:val="both"/>
        <w:rPr>
          <w:szCs w:val="20"/>
        </w:rPr>
      </w:pPr>
      <w:r>
        <w:rPr>
          <w:szCs w:val="20"/>
        </w:rPr>
        <w:t xml:space="preserve">Z grafu 4.2 je patrné, že výdaje na </w:t>
      </w:r>
      <w:r w:rsidRPr="00E92D12">
        <w:rPr>
          <w:b/>
          <w:szCs w:val="20"/>
        </w:rPr>
        <w:t>dlouhodobou lůžkovou péči</w:t>
      </w:r>
      <w:r>
        <w:rPr>
          <w:szCs w:val="20"/>
        </w:rPr>
        <w:t xml:space="preserve"> každoročně rostou, v relativním vyjádření však na dlouhodobou lůžkovou péči připadá stabilně mezi 58 až 60 % z celkových výdajů na dlouhodobou péči. V roce 2014 se vyšplhaly uvedené výdaje na hranici 60 %, ale tato hodnota se v dalších letech neopakovala. V absolutních číslech se výdaje na tento druh péče mezi roky 2018–2019 zvýšily o 5,2 mld. Kč (11 %). </w:t>
      </w:r>
      <w:r w:rsidRPr="000E3707">
        <w:rPr>
          <w:szCs w:val="20"/>
        </w:rPr>
        <w:t>V</w:t>
      </w:r>
      <w:r w:rsidRPr="000E3707">
        <w:t>zhledem k demografickému stárnutí populace a rostoucí</w:t>
      </w:r>
      <w:r>
        <w:t>m nárokům na dlouhodobou péči není  nárůst výdajů v této oblasti nikterak překvapivý.</w:t>
      </w:r>
    </w:p>
    <w:p w14:paraId="0BFD222D" w14:textId="77777777" w:rsidR="003E78E5" w:rsidRPr="003F4B18" w:rsidRDefault="003E78E5" w:rsidP="009C55D1">
      <w:pPr>
        <w:spacing w:before="120" w:after="60"/>
        <w:jc w:val="both"/>
        <w:rPr>
          <w:rFonts w:cs="Arial"/>
          <w:b/>
          <w:bCs/>
          <w:color w:val="000000"/>
          <w:sz w:val="18"/>
          <w:szCs w:val="18"/>
        </w:rPr>
      </w:pPr>
      <w:r w:rsidRPr="003F4B18">
        <w:rPr>
          <w:rFonts w:cs="Arial"/>
          <w:b/>
          <w:sz w:val="18"/>
          <w:szCs w:val="18"/>
        </w:rPr>
        <w:t xml:space="preserve">Graf č. </w:t>
      </w:r>
      <w:r>
        <w:rPr>
          <w:rFonts w:cs="Arial"/>
          <w:b/>
          <w:sz w:val="18"/>
          <w:szCs w:val="18"/>
        </w:rPr>
        <w:t>4</w:t>
      </w:r>
      <w:r w:rsidRPr="003F4B18">
        <w:rPr>
          <w:rFonts w:cs="Arial"/>
          <w:b/>
          <w:sz w:val="18"/>
          <w:szCs w:val="18"/>
        </w:rPr>
        <w:t xml:space="preserve">.2. </w:t>
      </w:r>
      <w:r w:rsidRPr="003F4B18">
        <w:rPr>
          <w:rFonts w:cs="Arial"/>
          <w:b/>
          <w:bCs/>
          <w:color w:val="000000"/>
          <w:sz w:val="18"/>
          <w:szCs w:val="18"/>
        </w:rPr>
        <w:t>Výdaje na dlouhodobou péči v Česku podle typu poskytnuté péče, 2014</w:t>
      </w:r>
      <w:r w:rsidRPr="003F4B18">
        <w:rPr>
          <w:b/>
          <w:sz w:val="16"/>
          <w:szCs w:val="16"/>
        </w:rPr>
        <w:t>–</w:t>
      </w:r>
      <w:r w:rsidRPr="003F4B18">
        <w:rPr>
          <w:rFonts w:cs="Arial"/>
          <w:b/>
          <w:bCs/>
          <w:color w:val="000000"/>
          <w:sz w:val="18"/>
          <w:szCs w:val="18"/>
        </w:rPr>
        <w:t>201</w:t>
      </w:r>
      <w:r>
        <w:rPr>
          <w:rFonts w:cs="Arial"/>
          <w:b/>
          <w:bCs/>
          <w:color w:val="000000"/>
          <w:sz w:val="18"/>
          <w:szCs w:val="18"/>
        </w:rPr>
        <w:t>9</w:t>
      </w:r>
      <w:r w:rsidRPr="003F4B18">
        <w:rPr>
          <w:rFonts w:cs="Arial"/>
          <w:b/>
          <w:bCs/>
          <w:color w:val="000000"/>
          <w:sz w:val="18"/>
          <w:szCs w:val="18"/>
        </w:rPr>
        <w:t xml:space="preserve"> (mld. Kč, %)</w:t>
      </w:r>
    </w:p>
    <w:p w14:paraId="0914CF6C" w14:textId="77777777" w:rsidR="003E78E5" w:rsidRPr="00432FC3" w:rsidRDefault="003E78E5" w:rsidP="003E78E5">
      <w:pPr>
        <w:keepNext/>
        <w:numPr>
          <w:ilvl w:val="0"/>
          <w:numId w:val="14"/>
        </w:numPr>
        <w:spacing w:before="120" w:after="120" w:line="240" w:lineRule="auto"/>
        <w:ind w:left="360"/>
        <w:contextualSpacing/>
        <w:jc w:val="both"/>
        <w:rPr>
          <w:b/>
          <w:sz w:val="18"/>
          <w:szCs w:val="18"/>
        </w:rPr>
      </w:pPr>
      <w:r w:rsidRPr="00AB64E8">
        <w:rPr>
          <w:b/>
          <w:sz w:val="18"/>
          <w:szCs w:val="18"/>
        </w:rPr>
        <w:t>v mld. Kč</w:t>
      </w:r>
      <w:r>
        <w:rPr>
          <w:b/>
          <w:sz w:val="18"/>
          <w:szCs w:val="18"/>
        </w:rPr>
        <w:t xml:space="preserve">         </w:t>
      </w:r>
      <w:r w:rsidRPr="00432FC3">
        <w:rPr>
          <w:b/>
          <w:sz w:val="18"/>
          <w:szCs w:val="18"/>
        </w:rPr>
        <w:t xml:space="preserve">                                                         </w:t>
      </w:r>
      <w:r>
        <w:rPr>
          <w:b/>
          <w:sz w:val="18"/>
          <w:szCs w:val="18"/>
        </w:rPr>
        <w:t xml:space="preserve">                      </w:t>
      </w:r>
      <w:r w:rsidRPr="00432FC3">
        <w:rPr>
          <w:b/>
          <w:sz w:val="18"/>
          <w:szCs w:val="18"/>
        </w:rPr>
        <w:t xml:space="preserve"> b)  struktura (%)</w:t>
      </w:r>
    </w:p>
    <w:p w14:paraId="3044374B" w14:textId="41B1489B" w:rsidR="003E78E5" w:rsidRPr="004D5C0C" w:rsidRDefault="004D5C0C" w:rsidP="009C55D1">
      <w:pPr>
        <w:keepNext/>
        <w:spacing w:before="60" w:after="120" w:line="240" w:lineRule="auto"/>
        <w:ind w:left="360"/>
        <w:contextualSpacing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33940BC9" wp14:editId="709E164A">
            <wp:extent cx="2552700" cy="2346960"/>
            <wp:effectExtent l="0" t="0" r="0" b="1524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D8EAFCC" wp14:editId="409EB807">
            <wp:simplePos x="944880" y="853440"/>
            <wp:positionH relativeFrom="column">
              <wp:align>left</wp:align>
            </wp:positionH>
            <wp:positionV relativeFrom="paragraph">
              <wp:align>top</wp:align>
            </wp:positionV>
            <wp:extent cx="3406140" cy="2346960"/>
            <wp:effectExtent l="0" t="0" r="3810" b="15240"/>
            <wp:wrapSquare wrapText="bothSides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3E78E5" w:rsidRPr="00B21F9E">
        <w:rPr>
          <w:sz w:val="16"/>
          <w:szCs w:val="16"/>
        </w:rPr>
        <w:t>Ostatní – denní dlouhodobá zdravotní péče, sociální služby</w:t>
      </w:r>
    </w:p>
    <w:p w14:paraId="440A1887" w14:textId="77777777" w:rsidR="003E78E5" w:rsidRPr="00AB64E8" w:rsidRDefault="003E78E5" w:rsidP="009C55D1">
      <w:pPr>
        <w:spacing w:before="120" w:after="240"/>
        <w:jc w:val="right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Zdroj: ČSÚ </w:t>
      </w:r>
      <w:r w:rsidRPr="00AB64E8">
        <w:rPr>
          <w:b/>
          <w:i/>
          <w:sz w:val="16"/>
          <w:szCs w:val="16"/>
        </w:rPr>
        <w:t>20</w:t>
      </w:r>
      <w:r>
        <w:rPr>
          <w:b/>
          <w:i/>
          <w:sz w:val="16"/>
          <w:szCs w:val="16"/>
        </w:rPr>
        <w:t>21, Zdravotnické účty ČR 2010</w:t>
      </w:r>
      <w:r>
        <w:rPr>
          <w:sz w:val="16"/>
          <w:szCs w:val="16"/>
        </w:rPr>
        <w:t>–</w:t>
      </w:r>
      <w:r w:rsidRPr="00AB64E8">
        <w:rPr>
          <w:b/>
          <w:i/>
          <w:sz w:val="16"/>
          <w:szCs w:val="16"/>
        </w:rPr>
        <w:t>201</w:t>
      </w:r>
      <w:r>
        <w:rPr>
          <w:b/>
          <w:i/>
          <w:sz w:val="16"/>
          <w:szCs w:val="16"/>
        </w:rPr>
        <w:t>9</w:t>
      </w:r>
      <w:r w:rsidRPr="00AB64E8">
        <w:rPr>
          <w:i/>
          <w:sz w:val="16"/>
          <w:szCs w:val="16"/>
        </w:rPr>
        <w:t xml:space="preserve"> </w:t>
      </w:r>
    </w:p>
    <w:p w14:paraId="525BDC8B" w14:textId="2F949450" w:rsidR="003E78E5" w:rsidRDefault="003E78E5" w:rsidP="003E78E5">
      <w:pPr>
        <w:spacing w:after="240"/>
        <w:jc w:val="both"/>
        <w:rPr>
          <w:szCs w:val="20"/>
        </w:rPr>
      </w:pPr>
      <w:r>
        <w:rPr>
          <w:szCs w:val="20"/>
        </w:rPr>
        <w:lastRenderedPageBreak/>
        <w:t xml:space="preserve">Výdaje za </w:t>
      </w:r>
      <w:r w:rsidRPr="00840D8E">
        <w:rPr>
          <w:b/>
          <w:szCs w:val="20"/>
        </w:rPr>
        <w:t>peněžité dávky</w:t>
      </w:r>
      <w:r>
        <w:rPr>
          <w:szCs w:val="20"/>
        </w:rPr>
        <w:t xml:space="preserve"> (příspěvky na péči, na mobilitu a kompenzační pomůcky) hrazené ze státního rozpočtu se </w:t>
      </w:r>
      <w:r w:rsidR="000D3CE3">
        <w:rPr>
          <w:szCs w:val="20"/>
        </w:rPr>
        <w:t xml:space="preserve">ve sledovaném období </w:t>
      </w:r>
      <w:r>
        <w:rPr>
          <w:szCs w:val="20"/>
        </w:rPr>
        <w:t>pohybovaly mezi 26 a 28 %. V roce 2019 činily 27</w:t>
      </w:r>
      <w:r w:rsidR="000D3CE3">
        <w:rPr>
          <w:szCs w:val="20"/>
        </w:rPr>
        <w:t> </w:t>
      </w:r>
      <w:r>
        <w:rPr>
          <w:szCs w:val="20"/>
        </w:rPr>
        <w:t>% celkových výdajů</w:t>
      </w:r>
      <w:r w:rsidR="00B03535">
        <w:rPr>
          <w:szCs w:val="20"/>
        </w:rPr>
        <w:t xml:space="preserve"> na </w:t>
      </w:r>
      <w:r>
        <w:rPr>
          <w:szCs w:val="20"/>
        </w:rPr>
        <w:t xml:space="preserve">dlouhodobou péči. Výdaje na péči o dlouhodobě nemocného pacienta </w:t>
      </w:r>
      <w:r w:rsidRPr="00840D8E">
        <w:rPr>
          <w:b/>
          <w:szCs w:val="20"/>
        </w:rPr>
        <w:t>v domácím prostředí</w:t>
      </w:r>
      <w:r>
        <w:rPr>
          <w:szCs w:val="20"/>
        </w:rPr>
        <w:t xml:space="preserve"> tvoří stabilně necelou desetinu celkových výdajů na dlouhodobou péči. </w:t>
      </w:r>
    </w:p>
    <w:p w14:paraId="292890BF" w14:textId="77777777" w:rsidR="003E78E5" w:rsidRDefault="003E78E5" w:rsidP="003E78E5">
      <w:pPr>
        <w:pStyle w:val="Nadpis3"/>
      </w:pPr>
      <w:r>
        <w:t xml:space="preserve">4.2. </w:t>
      </w:r>
      <w:r w:rsidRPr="009E4C7D">
        <w:t>Výdaje na dlouhodobou zdravotní péči</w:t>
      </w:r>
    </w:p>
    <w:p w14:paraId="1445B779" w14:textId="77777777" w:rsidR="003E78E5" w:rsidRPr="00AB64E8" w:rsidRDefault="003E78E5" w:rsidP="003E78E5">
      <w:pPr>
        <w:keepNext/>
        <w:spacing w:after="240"/>
        <w:jc w:val="both"/>
      </w:pPr>
      <w:r w:rsidRPr="00AB64E8">
        <w:t>Dlouhodobá zdravotní péče je složena z řady služeb zdravotní a související osobní péče</w:t>
      </w:r>
      <w:r w:rsidRPr="00AB64E8">
        <w:rPr>
          <w:rFonts w:cs="Arial"/>
        </w:rPr>
        <w:t xml:space="preserve"> (např. </w:t>
      </w:r>
      <w:r w:rsidRPr="00AB64E8">
        <w:t xml:space="preserve">podávání léků, ošetřování chronických ran, rehabilitace, </w:t>
      </w:r>
      <w:r w:rsidRPr="00AB64E8">
        <w:rPr>
          <w:rFonts w:cs="Arial"/>
        </w:rPr>
        <w:t>pomoc při osobní hygieně, pomoc při zvládání běžných úkonů, pomoc při poskytnutí stravy</w:t>
      </w:r>
      <w:r w:rsidRPr="00AB64E8">
        <w:t xml:space="preserve">), které pacient čerpá s primárním cílem zmírnit bolest a zvládnout špatný zdravotní stav s určitým stupněm závislosti. Pro účely zdravotnických účtů ji členíme </w:t>
      </w:r>
      <w:r w:rsidRPr="00356E1F">
        <w:t>na</w:t>
      </w:r>
      <w:r w:rsidRPr="00AB64E8">
        <w:rPr>
          <w:b/>
        </w:rPr>
        <w:t xml:space="preserve"> </w:t>
      </w:r>
      <w:r w:rsidRPr="003A1F98">
        <w:t>dlouhodobou</w:t>
      </w:r>
      <w:r w:rsidRPr="00AB64E8">
        <w:rPr>
          <w:b/>
        </w:rPr>
        <w:t xml:space="preserve"> lůžkovou</w:t>
      </w:r>
      <w:r w:rsidRPr="003A1F98">
        <w:t>,</w:t>
      </w:r>
      <w:r w:rsidRPr="00AB64E8">
        <w:rPr>
          <w:b/>
        </w:rPr>
        <w:t xml:space="preserve"> denní </w:t>
      </w:r>
      <w:r w:rsidRPr="003A1F98">
        <w:t>a</w:t>
      </w:r>
      <w:r w:rsidRPr="00AB64E8">
        <w:rPr>
          <w:b/>
        </w:rPr>
        <w:t xml:space="preserve"> domácí </w:t>
      </w:r>
      <w:r w:rsidRPr="003A1F98">
        <w:t>péči</w:t>
      </w:r>
      <w:r w:rsidRPr="00AB64E8">
        <w:t>.</w:t>
      </w:r>
    </w:p>
    <w:p w14:paraId="519C4664" w14:textId="35E16F80" w:rsidR="003E78E5" w:rsidRDefault="003E78E5" w:rsidP="003E78E5">
      <w:pPr>
        <w:spacing w:after="240"/>
        <w:jc w:val="both"/>
        <w:rPr>
          <w:rFonts w:cs="Arial"/>
        </w:rPr>
      </w:pPr>
      <w:r w:rsidRPr="00AB64E8">
        <w:rPr>
          <w:rFonts w:cs="Arial"/>
          <w:szCs w:val="20"/>
        </w:rPr>
        <w:t xml:space="preserve">Celkové výdaje na dlouhodobou </w:t>
      </w:r>
      <w:r w:rsidRPr="00AB64E8">
        <w:rPr>
          <w:rFonts w:cs="Arial"/>
          <w:b/>
          <w:szCs w:val="20"/>
        </w:rPr>
        <w:t>zdravotní</w:t>
      </w:r>
      <w:r w:rsidRPr="00AB64E8">
        <w:rPr>
          <w:rFonts w:cs="Arial"/>
          <w:szCs w:val="20"/>
        </w:rPr>
        <w:t xml:space="preserve"> péči dosáhly v roce </w:t>
      </w:r>
      <w:r>
        <w:rPr>
          <w:rFonts w:cs="Arial"/>
          <w:b/>
          <w:szCs w:val="20"/>
        </w:rPr>
        <w:t>2019 výše 61,6</w:t>
      </w:r>
      <w:r w:rsidRPr="00AB64E8">
        <w:rPr>
          <w:rFonts w:cs="Arial"/>
          <w:b/>
          <w:szCs w:val="20"/>
        </w:rPr>
        <w:t xml:space="preserve"> mld</w:t>
      </w:r>
      <w:r w:rsidRPr="00AB64E8">
        <w:rPr>
          <w:rFonts w:cs="Arial"/>
          <w:szCs w:val="20"/>
        </w:rPr>
        <w:t xml:space="preserve">. Kč a z nich </w:t>
      </w:r>
      <w:r w:rsidRPr="003A1F98">
        <w:rPr>
          <w:rFonts w:cs="Arial"/>
          <w:szCs w:val="20"/>
        </w:rPr>
        <w:t>dlouhodobá</w:t>
      </w:r>
      <w:r w:rsidRPr="00AB64E8">
        <w:rPr>
          <w:rFonts w:cs="Arial"/>
          <w:b/>
          <w:szCs w:val="20"/>
        </w:rPr>
        <w:t xml:space="preserve"> lůžková péče</w:t>
      </w:r>
      <w:r w:rsidRPr="00AB64E8">
        <w:rPr>
          <w:rFonts w:cs="Arial"/>
          <w:szCs w:val="20"/>
        </w:rPr>
        <w:t xml:space="preserve"> tvořila </w:t>
      </w:r>
      <w:r w:rsidRPr="00AB64E8">
        <w:rPr>
          <w:rFonts w:cs="Arial"/>
          <w:b/>
          <w:szCs w:val="20"/>
        </w:rPr>
        <w:t>více než čtyři pětiny</w:t>
      </w:r>
      <w:r w:rsidRPr="00AB64E8">
        <w:rPr>
          <w:rFonts w:cs="Arial"/>
          <w:szCs w:val="20"/>
        </w:rPr>
        <w:t xml:space="preserve"> těchto výdajů. Zahrnuje lůžkovou péči jak v</w:t>
      </w:r>
      <w:r>
        <w:rPr>
          <w:rFonts w:cs="Arial"/>
          <w:szCs w:val="20"/>
        </w:rPr>
        <w:t> </w:t>
      </w:r>
      <w:r w:rsidRPr="00AB64E8">
        <w:rPr>
          <w:rFonts w:cs="Arial"/>
          <w:szCs w:val="20"/>
        </w:rPr>
        <w:t>různých typech zdravotnických zařízeních (např. nemocnice, léčebny dlouhodobě nemocných, ostatní speciali</w:t>
      </w:r>
      <w:r>
        <w:rPr>
          <w:rFonts w:cs="Arial"/>
          <w:szCs w:val="20"/>
        </w:rPr>
        <w:t>zované léčebny, hospice</w:t>
      </w:r>
      <w:r w:rsidRPr="00AB64E8">
        <w:rPr>
          <w:rFonts w:cs="Arial"/>
          <w:szCs w:val="20"/>
        </w:rPr>
        <w:t>)</w:t>
      </w:r>
      <w:r>
        <w:rPr>
          <w:rFonts w:cs="Arial"/>
          <w:szCs w:val="20"/>
        </w:rPr>
        <w:t>,</w:t>
      </w:r>
      <w:r w:rsidRPr="00AB64E8">
        <w:rPr>
          <w:rFonts w:cs="Arial"/>
          <w:szCs w:val="20"/>
        </w:rPr>
        <w:t xml:space="preserve"> tak i v rámci poskytovatelů sociálních služeb (domovy pro seniory, domovy se zvláštním režimem, týdenní stacionáře apod.). </w:t>
      </w:r>
      <w:r w:rsidRPr="00AB64E8">
        <w:rPr>
          <w:rFonts w:cs="Arial"/>
        </w:rPr>
        <w:t>V roce 201</w:t>
      </w:r>
      <w:r>
        <w:rPr>
          <w:rFonts w:cs="Arial"/>
        </w:rPr>
        <w:t>9</w:t>
      </w:r>
      <w:r w:rsidRPr="00AB64E8">
        <w:rPr>
          <w:rFonts w:cs="Arial"/>
        </w:rPr>
        <w:t xml:space="preserve"> byly služby dlouhodobé lůžkov</w:t>
      </w:r>
      <w:r w:rsidR="00B03535">
        <w:rPr>
          <w:rFonts w:cs="Arial"/>
        </w:rPr>
        <w:t>é péče financovány především ze </w:t>
      </w:r>
      <w:r w:rsidRPr="00AB64E8">
        <w:rPr>
          <w:rFonts w:cs="Arial"/>
        </w:rPr>
        <w:t xml:space="preserve">státního rozpočtu a veřejného zdravotního pojištění. I když si na nadstandardní ubytování, stravu a některé druhy služeb klienti připlácí i z vlastní kapsy, pro dlouhodobou lůžkovou péči v pobytových zařízeních sociálních služeb jsou k dispozici </w:t>
      </w:r>
      <w:r>
        <w:rPr>
          <w:rFonts w:cs="Arial"/>
        </w:rPr>
        <w:t xml:space="preserve">údaje </w:t>
      </w:r>
      <w:r w:rsidRPr="00AB64E8">
        <w:rPr>
          <w:rFonts w:cs="Arial"/>
        </w:rPr>
        <w:t xml:space="preserve">pouze </w:t>
      </w:r>
      <w:r>
        <w:rPr>
          <w:rFonts w:cs="Arial"/>
        </w:rPr>
        <w:t xml:space="preserve">o </w:t>
      </w:r>
      <w:r w:rsidRPr="00AB64E8">
        <w:rPr>
          <w:rFonts w:cs="Arial"/>
        </w:rPr>
        <w:t>výdaj</w:t>
      </w:r>
      <w:r>
        <w:rPr>
          <w:rFonts w:cs="Arial"/>
        </w:rPr>
        <w:t>ích</w:t>
      </w:r>
      <w:r w:rsidRPr="00AB64E8">
        <w:rPr>
          <w:rFonts w:cs="Arial"/>
        </w:rPr>
        <w:t xml:space="preserve"> z veřejných zdrojů.</w:t>
      </w:r>
      <w:r>
        <w:rPr>
          <w:rFonts w:cs="Arial"/>
        </w:rPr>
        <w:t xml:space="preserve"> </w:t>
      </w:r>
    </w:p>
    <w:p w14:paraId="73455553" w14:textId="77777777" w:rsidR="003E78E5" w:rsidRPr="00AB64E8" w:rsidRDefault="003E78E5" w:rsidP="006812F1">
      <w:pPr>
        <w:keepNext/>
        <w:spacing w:before="240" w:after="120"/>
        <w:jc w:val="both"/>
        <w:rPr>
          <w:rFonts w:cs="Arial"/>
          <w:b/>
          <w:sz w:val="18"/>
          <w:szCs w:val="18"/>
        </w:rPr>
      </w:pPr>
      <w:r w:rsidRPr="00AB64E8">
        <w:rPr>
          <w:rFonts w:cs="Arial"/>
          <w:b/>
          <w:sz w:val="18"/>
          <w:szCs w:val="18"/>
        </w:rPr>
        <w:t xml:space="preserve">Graf č. </w:t>
      </w:r>
      <w:r>
        <w:rPr>
          <w:rFonts w:cs="Arial"/>
          <w:b/>
          <w:sz w:val="18"/>
          <w:szCs w:val="18"/>
        </w:rPr>
        <w:t>4.3.</w:t>
      </w:r>
      <w:r w:rsidRPr="00AB64E8">
        <w:rPr>
          <w:rFonts w:cs="Arial"/>
          <w:b/>
          <w:sz w:val="18"/>
          <w:szCs w:val="18"/>
        </w:rPr>
        <w:t xml:space="preserve"> Výdaje na dlouhodobou zdravotní péči v </w:t>
      </w:r>
      <w:r>
        <w:rPr>
          <w:rFonts w:cs="Arial"/>
          <w:b/>
          <w:sz w:val="18"/>
          <w:szCs w:val="18"/>
        </w:rPr>
        <w:t>Česku</w:t>
      </w:r>
      <w:r w:rsidRPr="00AB64E8">
        <w:rPr>
          <w:rFonts w:cs="Arial"/>
          <w:b/>
          <w:sz w:val="18"/>
          <w:szCs w:val="18"/>
        </w:rPr>
        <w:t xml:space="preserve"> podle typu poskytnuté péče,</w:t>
      </w:r>
      <w:r>
        <w:rPr>
          <w:rFonts w:cs="Arial"/>
          <w:b/>
          <w:sz w:val="18"/>
          <w:szCs w:val="18"/>
        </w:rPr>
        <w:t xml:space="preserve"> v roce</w:t>
      </w:r>
      <w:r w:rsidRPr="00AB64E8">
        <w:rPr>
          <w:rFonts w:cs="Arial"/>
          <w:b/>
          <w:sz w:val="18"/>
          <w:szCs w:val="18"/>
        </w:rPr>
        <w:t xml:space="preserve"> 201</w:t>
      </w:r>
      <w:r>
        <w:rPr>
          <w:rFonts w:cs="Arial"/>
          <w:b/>
          <w:sz w:val="18"/>
          <w:szCs w:val="18"/>
        </w:rPr>
        <w:t>9</w:t>
      </w:r>
      <w:r w:rsidRPr="00AB64E8">
        <w:rPr>
          <w:rFonts w:cs="Arial"/>
          <w:b/>
          <w:sz w:val="18"/>
          <w:szCs w:val="18"/>
        </w:rPr>
        <w:t xml:space="preserve"> (mld. Kč; %)</w:t>
      </w:r>
    </w:p>
    <w:p w14:paraId="45E739AD" w14:textId="77777777" w:rsidR="003E78E5" w:rsidRDefault="003E78E5" w:rsidP="006812F1">
      <w:pPr>
        <w:keepNext/>
        <w:spacing w:before="240" w:after="120"/>
        <w:jc w:val="center"/>
        <w:rPr>
          <w:rFonts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34968784" wp14:editId="0DD9A3CE">
            <wp:extent cx="4886325" cy="2883218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29C8AAC" w14:textId="77777777" w:rsidR="003E78E5" w:rsidRPr="003E78E5" w:rsidRDefault="003E78E5" w:rsidP="006812F1">
      <w:pPr>
        <w:spacing w:before="120" w:after="240"/>
        <w:jc w:val="right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Zdroj: ČSÚ </w:t>
      </w:r>
      <w:r w:rsidRPr="00AB64E8">
        <w:rPr>
          <w:b/>
          <w:i/>
          <w:sz w:val="16"/>
          <w:szCs w:val="16"/>
        </w:rPr>
        <w:t>20</w:t>
      </w:r>
      <w:r>
        <w:rPr>
          <w:b/>
          <w:i/>
          <w:sz w:val="16"/>
          <w:szCs w:val="16"/>
        </w:rPr>
        <w:t>21, Zdravotnické účty ČR 2010</w:t>
      </w:r>
      <w:r>
        <w:rPr>
          <w:sz w:val="16"/>
          <w:szCs w:val="16"/>
        </w:rPr>
        <w:t>–</w:t>
      </w:r>
      <w:r w:rsidRPr="00AB64E8">
        <w:rPr>
          <w:b/>
          <w:i/>
          <w:sz w:val="16"/>
          <w:szCs w:val="16"/>
        </w:rPr>
        <w:t>201</w:t>
      </w:r>
      <w:r>
        <w:rPr>
          <w:b/>
          <w:i/>
          <w:sz w:val="16"/>
          <w:szCs w:val="16"/>
        </w:rPr>
        <w:t>9</w:t>
      </w:r>
      <w:r w:rsidRPr="00AB64E8">
        <w:rPr>
          <w:i/>
          <w:sz w:val="16"/>
          <w:szCs w:val="16"/>
        </w:rPr>
        <w:t xml:space="preserve"> </w:t>
      </w:r>
    </w:p>
    <w:p w14:paraId="5A80C6BE" w14:textId="77777777" w:rsidR="003E78E5" w:rsidRPr="00BD1FB8" w:rsidRDefault="003E78E5" w:rsidP="003E78E5">
      <w:pPr>
        <w:spacing w:after="240"/>
        <w:jc w:val="both"/>
        <w:rPr>
          <w:rFonts w:cs="Arial"/>
        </w:rPr>
      </w:pPr>
      <w:r w:rsidRPr="00575517">
        <w:rPr>
          <w:rFonts w:cs="Arial"/>
          <w:b/>
        </w:rPr>
        <w:t>Nejvíce finančních prostředků</w:t>
      </w:r>
      <w:r>
        <w:rPr>
          <w:rFonts w:cs="Arial"/>
        </w:rPr>
        <w:t xml:space="preserve"> z kategorie dlouhodobé lůžkové péče bylo </w:t>
      </w:r>
      <w:r w:rsidRPr="00C901F9">
        <w:rPr>
          <w:rFonts w:cs="Arial"/>
        </w:rPr>
        <w:t>v letech 201</w:t>
      </w:r>
      <w:r>
        <w:rPr>
          <w:rFonts w:cs="Arial"/>
        </w:rPr>
        <w:t>4</w:t>
      </w:r>
      <w:r w:rsidRPr="00C901F9">
        <w:rPr>
          <w:rFonts w:cs="Arial"/>
        </w:rPr>
        <w:t xml:space="preserve"> </w:t>
      </w:r>
      <w:r>
        <w:rPr>
          <w:rFonts w:cs="Arial"/>
        </w:rPr>
        <w:t>až</w:t>
      </w:r>
      <w:r w:rsidRPr="00C901F9">
        <w:rPr>
          <w:rFonts w:cs="Arial"/>
        </w:rPr>
        <w:t xml:space="preserve"> 201</w:t>
      </w:r>
      <w:r>
        <w:rPr>
          <w:rFonts w:cs="Arial"/>
        </w:rPr>
        <w:t>9</w:t>
      </w:r>
      <w:r w:rsidRPr="00C901F9">
        <w:rPr>
          <w:rFonts w:cs="Arial"/>
        </w:rPr>
        <w:t xml:space="preserve"> </w:t>
      </w:r>
      <w:r>
        <w:rPr>
          <w:rFonts w:cs="Arial"/>
        </w:rPr>
        <w:t>z </w:t>
      </w:r>
      <w:r w:rsidRPr="00C901F9">
        <w:rPr>
          <w:rFonts w:cs="Arial"/>
        </w:rPr>
        <w:t xml:space="preserve">veřejných rozpočtů </w:t>
      </w:r>
      <w:r>
        <w:rPr>
          <w:rFonts w:cs="Arial"/>
        </w:rPr>
        <w:t xml:space="preserve">vydáno na provoz domovů pro seniory. Dohromady za sledované období tvoří částku ve výši 76,5 mld. Kč. Výdaje na péči v uvedených </w:t>
      </w:r>
      <w:r w:rsidRPr="00BD1FB8">
        <w:rPr>
          <w:rFonts w:cs="Arial"/>
        </w:rPr>
        <w:t>zařízeních pro seniory se v roce 2019 pohybovaly na úrovni 15,7 mld. Kč, o polovinu více než v roce 2014. V roce 2019 bylo na území České republiky 539 domovů pro seniory, s celkovou kapacitou přes 36 tis. lůžek. Tento počet se v posledních letech příliš nemění.</w:t>
      </w:r>
    </w:p>
    <w:p w14:paraId="19555432" w14:textId="541A6BB4" w:rsidR="003E78E5" w:rsidRPr="00BD1FB8" w:rsidRDefault="003E78E5" w:rsidP="003E78E5">
      <w:pPr>
        <w:spacing w:after="240"/>
        <w:jc w:val="both"/>
        <w:rPr>
          <w:rStyle w:val="st"/>
        </w:rPr>
      </w:pPr>
      <w:r>
        <w:rPr>
          <w:rFonts w:cs="Arial"/>
          <w:szCs w:val="20"/>
        </w:rPr>
        <w:t>Každoročně roste počet zařízení</w:t>
      </w:r>
      <w:r w:rsidRPr="00D517DC">
        <w:rPr>
          <w:rFonts w:cs="Arial"/>
          <w:szCs w:val="20"/>
        </w:rPr>
        <w:t>, l</w:t>
      </w:r>
      <w:r>
        <w:rPr>
          <w:rFonts w:cs="Arial"/>
          <w:szCs w:val="20"/>
        </w:rPr>
        <w:t xml:space="preserve">ůžek i klientů </w:t>
      </w:r>
      <w:r w:rsidRPr="004569CC">
        <w:rPr>
          <w:rFonts w:cs="Arial"/>
          <w:b/>
          <w:szCs w:val="20"/>
        </w:rPr>
        <w:t>domovů se zvláštním režimem</w:t>
      </w:r>
      <w:r>
        <w:rPr>
          <w:rFonts w:cs="Arial"/>
          <w:b/>
          <w:szCs w:val="20"/>
        </w:rPr>
        <w:t xml:space="preserve">. </w:t>
      </w:r>
      <w:r w:rsidRPr="00C7544F">
        <w:rPr>
          <w:rFonts w:cs="Arial"/>
          <w:szCs w:val="20"/>
        </w:rPr>
        <w:t>To se</w:t>
      </w:r>
      <w:r>
        <w:rPr>
          <w:rFonts w:cs="Arial"/>
          <w:szCs w:val="20"/>
        </w:rPr>
        <w:t xml:space="preserve"> pak</w:t>
      </w:r>
      <w:r>
        <w:rPr>
          <w:rFonts w:cs="Arial"/>
        </w:rPr>
        <w:t xml:space="preserve"> odráží na výrazně vyšších výdajích ze státního a místních rozpočtů na provoz zařízení tohoto typu</w:t>
      </w:r>
      <w:r w:rsidRPr="00BD1FB8">
        <w:rPr>
          <w:rFonts w:cs="Arial"/>
        </w:rPr>
        <w:t xml:space="preserve">. V roce 2019 bylo z veřejných rozpočtů na domovy se zvláštním režimem vynaloženo 10 mld. Kč, </w:t>
      </w:r>
      <w:r w:rsidRPr="00BD1FB8">
        <w:rPr>
          <w:rStyle w:val="st"/>
        </w:rPr>
        <w:t>což je více než dvojnásobná částka v porovnání s rokem 2014. Jedná se o druhou nejvíce zastoupenou pobyto</w:t>
      </w:r>
      <w:r w:rsidR="00B03535">
        <w:rPr>
          <w:rStyle w:val="st"/>
        </w:rPr>
        <w:t xml:space="preserve">vou službu. V roce 2019 bylo </w:t>
      </w:r>
      <w:r w:rsidR="00B03535">
        <w:rPr>
          <w:rStyle w:val="st"/>
        </w:rPr>
        <w:lastRenderedPageBreak/>
        <w:t>na </w:t>
      </w:r>
      <w:r w:rsidRPr="00BD1FB8">
        <w:rPr>
          <w:rStyle w:val="st"/>
        </w:rPr>
        <w:t>území České republiky evidováno 357 domovů se zvláštním režimem s celkovou kapacitou přes 20 tisíc lůžek.</w:t>
      </w:r>
    </w:p>
    <w:p w14:paraId="798BCE96" w14:textId="50CEDC64" w:rsidR="003E78E5" w:rsidRDefault="003E78E5" w:rsidP="003E78E5">
      <w:pPr>
        <w:spacing w:after="240"/>
        <w:jc w:val="both"/>
        <w:rPr>
          <w:rFonts w:eastAsia="Calibri" w:cs="Arial"/>
          <w:szCs w:val="20"/>
        </w:rPr>
      </w:pPr>
      <w:r>
        <w:rPr>
          <w:rFonts w:cs="Arial"/>
          <w:szCs w:val="20"/>
        </w:rPr>
        <w:t xml:space="preserve">Další kategorii tvoří domácí dlouhodobá zdravotní péče. Výdaje na tento druh péče se již od roku </w:t>
      </w:r>
      <w:r w:rsidRPr="00F277AB">
        <w:rPr>
          <w:rFonts w:cs="Arial"/>
          <w:szCs w:val="20"/>
        </w:rPr>
        <w:t>2014</w:t>
      </w:r>
      <w:r>
        <w:rPr>
          <w:rFonts w:cs="Arial"/>
          <w:szCs w:val="20"/>
        </w:rPr>
        <w:t xml:space="preserve"> </w:t>
      </w:r>
      <w:r w:rsidRPr="00F277AB">
        <w:rPr>
          <w:rFonts w:cs="Arial"/>
          <w:szCs w:val="20"/>
        </w:rPr>
        <w:t>pohybují v rozmezí 1</w:t>
      </w:r>
      <w:r>
        <w:rPr>
          <w:rFonts w:cs="Arial"/>
          <w:szCs w:val="20"/>
        </w:rPr>
        <w:t>0-12</w:t>
      </w:r>
      <w:r w:rsidRPr="00F277AB">
        <w:rPr>
          <w:rFonts w:cs="Arial"/>
          <w:szCs w:val="20"/>
        </w:rPr>
        <w:t xml:space="preserve"> % z celkových nákladů na dlouhodobou zdravotní péči. Kategorie </w:t>
      </w:r>
      <w:r w:rsidRPr="00F277AB">
        <w:rPr>
          <w:rFonts w:cs="Arial"/>
          <w:b/>
          <w:szCs w:val="20"/>
        </w:rPr>
        <w:t xml:space="preserve">domácí </w:t>
      </w:r>
      <w:r>
        <w:rPr>
          <w:rFonts w:cs="Arial"/>
          <w:b/>
          <w:szCs w:val="20"/>
        </w:rPr>
        <w:t xml:space="preserve">dlouhodobé </w:t>
      </w:r>
      <w:r w:rsidRPr="00F277AB">
        <w:rPr>
          <w:rFonts w:cs="Arial"/>
          <w:b/>
          <w:szCs w:val="20"/>
        </w:rPr>
        <w:t>péče</w:t>
      </w:r>
      <w:r w:rsidRPr="00F277AB">
        <w:rPr>
          <w:rFonts w:cs="Arial"/>
          <w:szCs w:val="20"/>
        </w:rPr>
        <w:t xml:space="preserve"> zahrnuje služby, které jsou </w:t>
      </w:r>
      <w:r w:rsidRPr="00AB64E8">
        <w:rPr>
          <w:rFonts w:cs="Arial"/>
          <w:szCs w:val="20"/>
        </w:rPr>
        <w:t>poskytovány</w:t>
      </w:r>
      <w:r w:rsidRPr="00F277AB">
        <w:rPr>
          <w:rFonts w:cs="Arial"/>
          <w:bCs/>
          <w:szCs w:val="20"/>
        </w:rPr>
        <w:t xml:space="preserve"> pacientům s chronickým popř. nevyléčitelným onemocněním</w:t>
      </w:r>
      <w:r w:rsidRPr="00AB64E8">
        <w:rPr>
          <w:rFonts w:cs="Arial"/>
          <w:bCs/>
          <w:szCs w:val="20"/>
        </w:rPr>
        <w:t xml:space="preserve"> včetně </w:t>
      </w:r>
      <w:r w:rsidRPr="00AB64E8">
        <w:rPr>
          <w:rFonts w:cs="Arial"/>
          <w:szCs w:val="20"/>
        </w:rPr>
        <w:t xml:space="preserve">hospicové péče v domácím přirozeném prostředí. </w:t>
      </w:r>
      <w:r w:rsidRPr="00E24327">
        <w:rPr>
          <w:rFonts w:cs="Arial"/>
          <w:szCs w:val="20"/>
        </w:rPr>
        <w:t>V absolutních</w:t>
      </w:r>
      <w:r>
        <w:rPr>
          <w:rFonts w:cs="Arial"/>
          <w:szCs w:val="20"/>
        </w:rPr>
        <w:t xml:space="preserve"> hodnotách bylo v roce 2019 vynaloženo na domácí dlouhodobou péči 7,4 mld. Kč, což je o téměř dvě třetiny více než v roce 2014.</w:t>
      </w:r>
      <w:r w:rsidRPr="00AB64E8">
        <w:rPr>
          <w:rFonts w:eastAsia="Calibri" w:cs="Arial"/>
          <w:sz w:val="24"/>
        </w:rPr>
        <w:t xml:space="preserve"> </w:t>
      </w:r>
      <w:r w:rsidRPr="00AB64E8">
        <w:rPr>
          <w:rFonts w:eastAsia="Calibri" w:cs="Arial"/>
          <w:szCs w:val="20"/>
        </w:rPr>
        <w:t>Výdaje na domácí dlouhodobou péči</w:t>
      </w:r>
      <w:r>
        <w:rPr>
          <w:rFonts w:eastAsia="Calibri" w:cs="Arial"/>
          <w:szCs w:val="20"/>
        </w:rPr>
        <w:t>, jako jsou výdaje na ošetřovné člena</w:t>
      </w:r>
      <w:r w:rsidR="00B03535">
        <w:rPr>
          <w:rFonts w:eastAsia="Calibri" w:cs="Arial"/>
          <w:szCs w:val="20"/>
        </w:rPr>
        <w:t xml:space="preserve"> rodiny, pečovatelskou službu a </w:t>
      </w:r>
      <w:r>
        <w:rPr>
          <w:rFonts w:eastAsia="Calibri" w:cs="Arial"/>
          <w:szCs w:val="20"/>
        </w:rPr>
        <w:t>služby osobní asistence,</w:t>
      </w:r>
      <w:r w:rsidRPr="00AB64E8">
        <w:rPr>
          <w:rFonts w:eastAsia="Calibri" w:cs="Arial"/>
          <w:szCs w:val="20"/>
        </w:rPr>
        <w:t xml:space="preserve"> jsou</w:t>
      </w:r>
      <w:r>
        <w:rPr>
          <w:rFonts w:eastAsia="Calibri" w:cs="Arial"/>
          <w:szCs w:val="20"/>
        </w:rPr>
        <w:t xml:space="preserve"> zhruba ze tří čtvrtin hrazeny </w:t>
      </w:r>
      <w:r w:rsidRPr="00AB64E8">
        <w:rPr>
          <w:rFonts w:eastAsia="Calibri" w:cs="Arial"/>
          <w:szCs w:val="20"/>
        </w:rPr>
        <w:t xml:space="preserve">ze </w:t>
      </w:r>
      <w:r w:rsidRPr="009049DE">
        <w:rPr>
          <w:rFonts w:eastAsia="Calibri" w:cs="Arial"/>
          <w:szCs w:val="20"/>
        </w:rPr>
        <w:t xml:space="preserve">státního rozpočtu. </w:t>
      </w:r>
    </w:p>
    <w:p w14:paraId="03815B30" w14:textId="77777777" w:rsidR="003E78E5" w:rsidRDefault="003E78E5" w:rsidP="003E78E5">
      <w:pPr>
        <w:spacing w:after="240"/>
        <w:jc w:val="both"/>
        <w:rPr>
          <w:rFonts w:cs="Arial"/>
          <w:szCs w:val="20"/>
        </w:rPr>
      </w:pPr>
      <w:r w:rsidRPr="000A61EF">
        <w:rPr>
          <w:rFonts w:cs="Arial"/>
          <w:szCs w:val="20"/>
        </w:rPr>
        <w:t xml:space="preserve">Součástí domácí péče jsou </w:t>
      </w:r>
      <w:r w:rsidRPr="008535A7">
        <w:rPr>
          <w:rFonts w:cs="Arial"/>
          <w:b/>
          <w:szCs w:val="20"/>
        </w:rPr>
        <w:t>služby agentur domácí péče</w:t>
      </w:r>
      <w:r w:rsidRPr="000A61EF">
        <w:rPr>
          <w:rFonts w:cs="Arial"/>
          <w:szCs w:val="20"/>
        </w:rPr>
        <w:t xml:space="preserve"> (</w:t>
      </w:r>
      <w:r w:rsidRPr="000A61EF">
        <w:rPr>
          <w:rFonts w:cs="Arial"/>
          <w:color w:val="000000"/>
          <w:szCs w:val="20"/>
        </w:rPr>
        <w:t xml:space="preserve">nazývané také </w:t>
      </w:r>
      <w:proofErr w:type="spellStart"/>
      <w:r w:rsidRPr="000A61EF">
        <w:rPr>
          <w:rFonts w:cs="Arial"/>
          <w:iCs/>
          <w:color w:val="000000"/>
          <w:szCs w:val="20"/>
        </w:rPr>
        <w:t>homecare</w:t>
      </w:r>
      <w:proofErr w:type="spellEnd"/>
      <w:r w:rsidRPr="000A61EF">
        <w:rPr>
          <w:rFonts w:cs="Arial"/>
          <w:color w:val="000000"/>
          <w:szCs w:val="20"/>
        </w:rPr>
        <w:t>)</w:t>
      </w:r>
      <w:r>
        <w:rPr>
          <w:rFonts w:cs="Arial"/>
          <w:color w:val="000000"/>
          <w:szCs w:val="20"/>
        </w:rPr>
        <w:t xml:space="preserve">, které fungují v České republice od roku 1991. </w:t>
      </w:r>
      <w:r>
        <w:t>Domácí zdravotní péče</w:t>
      </w:r>
      <w:r w:rsidRPr="00A65E26">
        <w:t>, tedy ošetřovatelská, léčebně rehabilitační nebo paliativní péče, je určena dospělým i dětským pacientům všech věkových kategorií na základě indikace ošetřujícího lékaře. Tuto péči předepisuje praktický lékař, ale na omezenou dobu si tuto službu může vyžádat i lékař propouštějící pacienta z nemocnice (</w:t>
      </w:r>
      <w:r w:rsidRPr="00A65E26">
        <w:rPr>
          <w:rFonts w:cs="Arial"/>
          <w:szCs w:val="20"/>
        </w:rPr>
        <w:t>nejvýše však 14 dnů po ukončení hospitalizace).</w:t>
      </w:r>
      <w:r w:rsidRPr="00A65E26">
        <w:t xml:space="preserve"> Ve všech těchto případech je pak domácí péče pacientovi hrazena z veřejného zdravotního pojištění a vykonává ji</w:t>
      </w:r>
      <w:r w:rsidRPr="00A65E26">
        <w:rPr>
          <w:rFonts w:cs="Arial"/>
          <w:szCs w:val="20"/>
        </w:rPr>
        <w:t xml:space="preserve"> v domácím prostředí pacienta kvalifikovaná zdravotní sestra, která dochází k pacientovi domů a provádí pouze zdravotní výkony dle indikace lékaře</w:t>
      </w:r>
      <w:r w:rsidRPr="0065336F">
        <w:rPr>
          <w:rFonts w:cs="Arial"/>
          <w:i/>
          <w:szCs w:val="20"/>
        </w:rPr>
        <w:t>.</w:t>
      </w:r>
      <w:r>
        <w:rPr>
          <w:rFonts w:cs="Arial"/>
          <w:szCs w:val="20"/>
        </w:rPr>
        <w:t xml:space="preserve"> V roce 2019 dosáhly výdaje zdravotních pojišťoven na služby poskytovatelů domácí péče 2,5 mld. Kč, což bylo o polovinu více než v roce 2014. </w:t>
      </w:r>
    </w:p>
    <w:p w14:paraId="0C431B33" w14:textId="77777777" w:rsidR="003E78E5" w:rsidRDefault="003E78E5" w:rsidP="003E78E5">
      <w:pPr>
        <w:spacing w:after="240"/>
        <w:jc w:val="both"/>
        <w:rPr>
          <w:rFonts w:cs="Arial"/>
          <w:szCs w:val="20"/>
        </w:rPr>
      </w:pPr>
      <w:r w:rsidRPr="001C3350">
        <w:rPr>
          <w:rFonts w:cs="Arial"/>
          <w:szCs w:val="20"/>
        </w:rPr>
        <w:t xml:space="preserve">Na </w:t>
      </w:r>
      <w:r w:rsidRPr="001C3350">
        <w:rPr>
          <w:rFonts w:cs="Arial"/>
          <w:b/>
          <w:szCs w:val="20"/>
        </w:rPr>
        <w:t>ošetřovné</w:t>
      </w:r>
      <w:r w:rsidRPr="001C3350">
        <w:rPr>
          <w:rFonts w:cs="Arial"/>
          <w:szCs w:val="20"/>
        </w:rPr>
        <w:t xml:space="preserve"> člena domácnosti bylo v roce 2019 vydáno ze státního rozpočtu 1,7 mld. Kč. </w:t>
      </w:r>
    </w:p>
    <w:p w14:paraId="0577255C" w14:textId="77777777" w:rsidR="00B15DD3" w:rsidRPr="00B15DD3" w:rsidRDefault="003E78E5" w:rsidP="00B15DD3">
      <w:pPr>
        <w:pStyle w:val="Box1"/>
      </w:pPr>
      <w:r w:rsidRPr="003E78E5">
        <w:t xml:space="preserve">Na </w:t>
      </w:r>
      <w:r w:rsidRPr="00B15DD3">
        <w:rPr>
          <w:b/>
        </w:rPr>
        <w:t>ošetřovné</w:t>
      </w:r>
      <w:r w:rsidRPr="003E78E5">
        <w:t xml:space="preserve"> má nárok zaměstnanec, který nemůže pracovat z důvodu, že musí ošetřovat nemocného člena domácnosti, nebo pečovat o zdravé dítě mladší 10 let z důvodů, že školské nebo dětské zařízení bylo uzavřeno z důvodu nepředvídané události, dítěti byla nařízena karanténa, nebo osoba, která jinak o dítě pečuje, sama onemocněla. Podpůrčí doba u ošetřovného počíná prvním kalendářním dnem potřeby ošetřování a činí nejdéle 9 kalendářních dnů.</w:t>
      </w:r>
    </w:p>
    <w:p w14:paraId="46E0E5E1" w14:textId="77777777" w:rsidR="003E78E5" w:rsidRDefault="003E78E5" w:rsidP="003E78E5">
      <w:pPr>
        <w:pStyle w:val="Box1"/>
      </w:pPr>
      <w:r w:rsidRPr="003E78E5">
        <w:t xml:space="preserve">V České republice bylo od 1. června 2018 zavedeno tzv. </w:t>
      </w:r>
      <w:r w:rsidRPr="00B15DD3">
        <w:rPr>
          <w:b/>
        </w:rPr>
        <w:t>dlouhodobé ošetřovné</w:t>
      </w:r>
      <w:r w:rsidRPr="003E78E5">
        <w:t>. Jedná se o dávku z nemocenského pojištění, která umožňuje občanům zůstat doma v situaci, kdy budou pečovat o člena rodiny, u kterého ošetřující lékař zdravotnického zařízení poskytujícího lůžkovou péči (zpravidla nemocnice) rozhodl, že jeho zdravotní stav potřebuje po propuštění z hospitalizace domácí celodenní péči. Současně musí být u ošetřované osoby splněna podmínka hospitalizace, která trvala minimálně 7 po sobě jdoucích kalendářních dnů (počítá se i první a poslední den hospitalizace), a potřeby celodenní péče v domácím prostředí alespoň po dobu 30 dnů následujících po propuštění z nemocnice. Maximálně lze dlouhodobé ošetřovné čerpat 90 dnů. Podle informací MPSV bylo do konce roku 2018 vyplaceno dlouhodobé ošetřovné ve výši 31,6 mil. Kč. V roce 2019 už výše výdajů za dlouhodobé ošetřovné dosáhla bezmála 110 mil. Kč. Výdaje za dlouhodobé ošetřovné nejsou zahrnuty do celkových výdajů na dlouhodobou péči.</w:t>
      </w:r>
    </w:p>
    <w:p w14:paraId="3CDFD011" w14:textId="5FFC9BFB" w:rsidR="003E78E5" w:rsidRDefault="003E78E5" w:rsidP="003E78E5">
      <w:pPr>
        <w:autoSpaceDE w:val="0"/>
        <w:autoSpaceDN w:val="0"/>
        <w:adjustRightInd w:val="0"/>
        <w:spacing w:after="240"/>
        <w:jc w:val="both"/>
        <w:rPr>
          <w:rFonts w:cs="Arial"/>
          <w:szCs w:val="20"/>
        </w:rPr>
      </w:pPr>
      <w:r w:rsidRPr="00AB64E8">
        <w:rPr>
          <w:rFonts w:cs="Arial"/>
          <w:szCs w:val="20"/>
        </w:rPr>
        <w:t xml:space="preserve">Pouze </w:t>
      </w:r>
      <w:r>
        <w:rPr>
          <w:rFonts w:cs="Arial"/>
          <w:szCs w:val="20"/>
        </w:rPr>
        <w:t>4</w:t>
      </w:r>
      <w:r w:rsidRPr="00AB64E8">
        <w:rPr>
          <w:rFonts w:cs="Arial"/>
          <w:szCs w:val="20"/>
        </w:rPr>
        <w:t xml:space="preserve"> % z celkových nákladů na dlouhodobou zdravotní péči se týkají </w:t>
      </w:r>
      <w:r w:rsidRPr="00AB64E8">
        <w:rPr>
          <w:rFonts w:cs="Arial"/>
          <w:b/>
          <w:szCs w:val="20"/>
        </w:rPr>
        <w:t>denní péče</w:t>
      </w:r>
      <w:r w:rsidRPr="00AB64E8">
        <w:rPr>
          <w:rFonts w:cs="Arial"/>
          <w:szCs w:val="20"/>
        </w:rPr>
        <w:t>. Jedná se především o odlehčovací služby poskytované osobám se zdravotním postižením a seniorům, o které jinak p</w:t>
      </w:r>
      <w:r>
        <w:rPr>
          <w:rFonts w:cs="Arial"/>
          <w:szCs w:val="20"/>
        </w:rPr>
        <w:t>ečuje osoba blízká v domácnosti, protože</w:t>
      </w:r>
      <w:r w:rsidRPr="00AB64E8">
        <w:rPr>
          <w:rFonts w:cs="Arial"/>
          <w:szCs w:val="20"/>
        </w:rPr>
        <w:t xml:space="preserve"> jejich si</w:t>
      </w:r>
      <w:r w:rsidR="006812F1">
        <w:rPr>
          <w:rFonts w:cs="Arial"/>
          <w:szCs w:val="20"/>
        </w:rPr>
        <w:t xml:space="preserve">tuace vyžaduje pomoc jiné osoby. </w:t>
      </w:r>
      <w:r>
        <w:rPr>
          <w:rFonts w:cs="Arial"/>
          <w:szCs w:val="20"/>
        </w:rPr>
        <w:t>Výdaje na odlehčovací služby poprvé v roce 2019 převýšily 1 mld. Kč. C</w:t>
      </w:r>
      <w:r w:rsidRPr="00AB64E8">
        <w:rPr>
          <w:rFonts w:cs="Arial"/>
          <w:szCs w:val="20"/>
        </w:rPr>
        <w:t>ílem této služby je umožnit pečující osobě</w:t>
      </w:r>
      <w:r>
        <w:rPr>
          <w:rFonts w:cs="Arial"/>
          <w:szCs w:val="20"/>
        </w:rPr>
        <w:t xml:space="preserve"> nezbytný odpočinek. Dále do skupiny denní péče spadají </w:t>
      </w:r>
      <w:r w:rsidRPr="00AB64E8">
        <w:rPr>
          <w:rFonts w:cs="Arial"/>
          <w:szCs w:val="20"/>
        </w:rPr>
        <w:t>denní stacionáře poskytující ambulantní služb</w:t>
      </w:r>
      <w:r w:rsidR="00B03535">
        <w:rPr>
          <w:rFonts w:cs="Arial"/>
          <w:szCs w:val="20"/>
        </w:rPr>
        <w:t>y ve specializovaném zařízení a </w:t>
      </w:r>
      <w:r w:rsidRPr="00AB64E8">
        <w:rPr>
          <w:rFonts w:cs="Arial"/>
          <w:szCs w:val="20"/>
        </w:rPr>
        <w:t xml:space="preserve">centra denních služeb, směřující k posílení samostatnosti a soběstačnosti </w:t>
      </w:r>
      <w:r w:rsidR="00B03535">
        <w:rPr>
          <w:rFonts w:cs="Arial"/>
          <w:szCs w:val="20"/>
        </w:rPr>
        <w:t>osob se zdravotním postižením a </w:t>
      </w:r>
      <w:r w:rsidRPr="00AB64E8">
        <w:rPr>
          <w:rFonts w:cs="Arial"/>
          <w:szCs w:val="20"/>
        </w:rPr>
        <w:t xml:space="preserve">seniorů v nepříznivé sociální situaci. </w:t>
      </w:r>
    </w:p>
    <w:p w14:paraId="713DE228" w14:textId="77777777" w:rsidR="003E78E5" w:rsidRDefault="003E78E5" w:rsidP="003E78E5">
      <w:pPr>
        <w:spacing w:after="240"/>
        <w:jc w:val="both"/>
        <w:rPr>
          <w:rFonts w:eastAsia="Calibri" w:cs="Arial"/>
          <w:color w:val="FF0000"/>
          <w:szCs w:val="20"/>
        </w:rPr>
      </w:pPr>
      <w:r>
        <w:rPr>
          <w:rFonts w:eastAsia="Calibri" w:cs="Arial"/>
          <w:color w:val="FF0000"/>
          <w:szCs w:val="20"/>
        </w:rPr>
        <w:br w:type="page"/>
      </w:r>
    </w:p>
    <w:p w14:paraId="6E1A0B65" w14:textId="77777777" w:rsidR="003E78E5" w:rsidRDefault="00B15DD3" w:rsidP="00B15DD3">
      <w:pPr>
        <w:pStyle w:val="Nadpis3"/>
      </w:pPr>
      <w:r>
        <w:lastRenderedPageBreak/>
        <w:t xml:space="preserve">4.3. </w:t>
      </w:r>
      <w:r w:rsidRPr="007A608E">
        <w:t>Výdaje na dlouhodobou sociální péči</w:t>
      </w:r>
    </w:p>
    <w:p w14:paraId="78340D10" w14:textId="2EBE321C" w:rsidR="00B15DD3" w:rsidRPr="00AB64E8" w:rsidRDefault="00B15DD3" w:rsidP="00B15DD3">
      <w:pPr>
        <w:spacing w:after="240"/>
        <w:jc w:val="both"/>
        <w:rPr>
          <w:szCs w:val="20"/>
        </w:rPr>
      </w:pPr>
      <w:r w:rsidRPr="00AB64E8">
        <w:rPr>
          <w:szCs w:val="20"/>
        </w:rPr>
        <w:t xml:space="preserve">Dlouhodobá sociální péče v systému zdravotnických účtů zahrnuje výdaje na služby, které zajišťují pomoc s činnostmi každodenního života, a dělí se </w:t>
      </w:r>
      <w:r w:rsidRPr="00CA63CC">
        <w:rPr>
          <w:szCs w:val="20"/>
        </w:rPr>
        <w:t>na</w:t>
      </w:r>
      <w:r w:rsidRPr="00AB64E8">
        <w:rPr>
          <w:b/>
          <w:szCs w:val="20"/>
        </w:rPr>
        <w:t xml:space="preserve"> sociální služby </w:t>
      </w:r>
      <w:r w:rsidRPr="00CA63CC">
        <w:rPr>
          <w:szCs w:val="20"/>
        </w:rPr>
        <w:t>a</w:t>
      </w:r>
      <w:r w:rsidRPr="00AB64E8">
        <w:rPr>
          <w:b/>
          <w:szCs w:val="20"/>
        </w:rPr>
        <w:t xml:space="preserve"> peněžité dávky</w:t>
      </w:r>
      <w:r w:rsidRPr="00AB64E8">
        <w:rPr>
          <w:szCs w:val="20"/>
        </w:rPr>
        <w:t>. </w:t>
      </w:r>
      <w:r w:rsidR="00B03535">
        <w:rPr>
          <w:rFonts w:cs="Arial"/>
          <w:szCs w:val="20"/>
        </w:rPr>
        <w:t>Obojí je financováno ze </w:t>
      </w:r>
      <w:r w:rsidRPr="00AB64E8">
        <w:rPr>
          <w:rFonts w:cs="Arial"/>
          <w:szCs w:val="20"/>
        </w:rPr>
        <w:t>státního rozpočtu</w:t>
      </w:r>
      <w:r>
        <w:rPr>
          <w:rFonts w:cs="Arial"/>
          <w:szCs w:val="20"/>
        </w:rPr>
        <w:t xml:space="preserve">, ze kterého bylo v roce 2019 vydáno </w:t>
      </w:r>
      <w:r>
        <w:rPr>
          <w:rFonts w:cs="Arial"/>
          <w:b/>
          <w:szCs w:val="20"/>
        </w:rPr>
        <w:t>celkem 27</w:t>
      </w:r>
      <w:r w:rsidRPr="00CA63CC">
        <w:rPr>
          <w:rFonts w:cs="Arial"/>
          <w:b/>
          <w:szCs w:val="20"/>
        </w:rPr>
        <w:t xml:space="preserve"> mld. Kč</w:t>
      </w:r>
      <w:r>
        <w:rPr>
          <w:rFonts w:cs="Arial"/>
          <w:szCs w:val="20"/>
        </w:rPr>
        <w:t xml:space="preserve">. </w:t>
      </w:r>
      <w:r w:rsidRPr="00AB64E8">
        <w:rPr>
          <w:szCs w:val="20"/>
        </w:rPr>
        <w:t>Peněžité dávky tvoří většinu výdajů na dlouhodobou sociální péči. V roce 201</w:t>
      </w:r>
      <w:r>
        <w:rPr>
          <w:szCs w:val="20"/>
        </w:rPr>
        <w:t>9 bylo</w:t>
      </w:r>
      <w:r w:rsidRPr="00AB64E8">
        <w:rPr>
          <w:szCs w:val="20"/>
        </w:rPr>
        <w:t xml:space="preserve"> pouze </w:t>
      </w:r>
      <w:r>
        <w:rPr>
          <w:szCs w:val="20"/>
        </w:rPr>
        <w:t xml:space="preserve">11 % výdajů v této kategorii určeno </w:t>
      </w:r>
      <w:r w:rsidRPr="00AB64E8">
        <w:rPr>
          <w:szCs w:val="20"/>
        </w:rPr>
        <w:t>na sociální služby</w:t>
      </w:r>
      <w:r>
        <w:rPr>
          <w:szCs w:val="20"/>
        </w:rPr>
        <w:t xml:space="preserve"> (nejsou zde zahrnuty výdaje na pobytová zařízení sociálních služeb jako domovy pro seniory nebo domovy se zvláštním režimem, které jsou již obsaženy v kategorii lůžkové dlouhodobé zdravotní péče)</w:t>
      </w:r>
      <w:r w:rsidRPr="00AB64E8">
        <w:rPr>
          <w:szCs w:val="20"/>
        </w:rPr>
        <w:t xml:space="preserve">. </w:t>
      </w:r>
    </w:p>
    <w:p w14:paraId="7FE603E3" w14:textId="77777777" w:rsidR="00B15DD3" w:rsidRDefault="00B15DD3" w:rsidP="00C77E72">
      <w:pPr>
        <w:keepNext/>
        <w:spacing w:before="240" w:after="12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Graf č. 4.4.</w:t>
      </w:r>
      <w:r w:rsidRPr="00AB64E8">
        <w:rPr>
          <w:rFonts w:cs="Arial"/>
          <w:b/>
          <w:sz w:val="18"/>
          <w:szCs w:val="18"/>
        </w:rPr>
        <w:t xml:space="preserve"> Výdaje na dlouhodobou sociální péči v</w:t>
      </w:r>
      <w:r>
        <w:rPr>
          <w:rFonts w:cs="Arial"/>
          <w:b/>
          <w:sz w:val="18"/>
          <w:szCs w:val="18"/>
        </w:rPr>
        <w:t xml:space="preserve"> Česku podle typu poskytnuté péče, v roce </w:t>
      </w:r>
      <w:r w:rsidRPr="00AB64E8">
        <w:rPr>
          <w:rFonts w:cs="Arial"/>
          <w:b/>
          <w:sz w:val="18"/>
          <w:szCs w:val="18"/>
        </w:rPr>
        <w:t>201</w:t>
      </w:r>
      <w:r>
        <w:rPr>
          <w:rFonts w:cs="Arial"/>
          <w:b/>
          <w:sz w:val="18"/>
          <w:szCs w:val="18"/>
        </w:rPr>
        <w:t>9</w:t>
      </w:r>
      <w:r w:rsidRPr="00AB64E8">
        <w:rPr>
          <w:rFonts w:cs="Arial"/>
          <w:b/>
          <w:sz w:val="18"/>
          <w:szCs w:val="18"/>
        </w:rPr>
        <w:t xml:space="preserve"> (mld. Kč; %)</w:t>
      </w:r>
    </w:p>
    <w:p w14:paraId="36301D04" w14:textId="77777777" w:rsidR="00B15DD3" w:rsidRDefault="00B15DD3" w:rsidP="00C77E72">
      <w:pPr>
        <w:keepNext/>
        <w:spacing w:before="240" w:after="120"/>
        <w:jc w:val="center"/>
        <w:rPr>
          <w:rFonts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716DC8EF" wp14:editId="097C2D90">
            <wp:extent cx="5665076" cy="3594538"/>
            <wp:effectExtent l="0" t="0" r="0" b="63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ED5FE8A" w14:textId="77777777" w:rsidR="00B15DD3" w:rsidRPr="00AB64E8" w:rsidRDefault="00B15DD3" w:rsidP="00B15DD3">
      <w:pPr>
        <w:keepNext/>
        <w:spacing w:before="240" w:after="120"/>
        <w:jc w:val="both"/>
        <w:rPr>
          <w:rFonts w:cs="Arial"/>
          <w:b/>
          <w:sz w:val="18"/>
          <w:szCs w:val="18"/>
        </w:rPr>
      </w:pPr>
    </w:p>
    <w:p w14:paraId="2292D70A" w14:textId="77777777" w:rsidR="00B15DD3" w:rsidRPr="00B15DD3" w:rsidRDefault="00B15DD3" w:rsidP="00C77E72">
      <w:pPr>
        <w:spacing w:before="120" w:after="240"/>
        <w:jc w:val="right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Zdroj: ČSÚ </w:t>
      </w:r>
      <w:r w:rsidRPr="00AB64E8">
        <w:rPr>
          <w:b/>
          <w:i/>
          <w:sz w:val="16"/>
          <w:szCs w:val="16"/>
        </w:rPr>
        <w:t>20</w:t>
      </w:r>
      <w:r>
        <w:rPr>
          <w:b/>
          <w:i/>
          <w:sz w:val="16"/>
          <w:szCs w:val="16"/>
        </w:rPr>
        <w:t>21, Zdravotnické účty ČR 2010</w:t>
      </w:r>
      <w:r>
        <w:rPr>
          <w:sz w:val="16"/>
          <w:szCs w:val="16"/>
        </w:rPr>
        <w:t>–</w:t>
      </w:r>
      <w:r w:rsidRPr="00AB64E8">
        <w:rPr>
          <w:b/>
          <w:i/>
          <w:sz w:val="16"/>
          <w:szCs w:val="16"/>
        </w:rPr>
        <w:t>201</w:t>
      </w:r>
      <w:r>
        <w:rPr>
          <w:b/>
          <w:i/>
          <w:sz w:val="16"/>
          <w:szCs w:val="16"/>
        </w:rPr>
        <w:t>9</w:t>
      </w:r>
      <w:r w:rsidRPr="00AB64E8">
        <w:rPr>
          <w:i/>
          <w:sz w:val="16"/>
          <w:szCs w:val="16"/>
        </w:rPr>
        <w:t xml:space="preserve"> </w:t>
      </w:r>
    </w:p>
    <w:p w14:paraId="76506B7A" w14:textId="77777777" w:rsidR="00B15DD3" w:rsidRPr="007949E3" w:rsidRDefault="00B15DD3" w:rsidP="00B15DD3">
      <w:pPr>
        <w:keepNext/>
        <w:spacing w:after="240"/>
        <w:rPr>
          <w:rFonts w:eastAsia="MS Gothic"/>
          <w:b/>
          <w:i/>
        </w:rPr>
      </w:pPr>
      <w:r>
        <w:rPr>
          <w:rFonts w:eastAsia="MS Gothic"/>
          <w:b/>
          <w:i/>
        </w:rPr>
        <w:t>Téměř p</w:t>
      </w:r>
      <w:r w:rsidRPr="007949E3">
        <w:rPr>
          <w:rFonts w:eastAsia="MS Gothic"/>
          <w:b/>
          <w:i/>
        </w:rPr>
        <w:t xml:space="preserve">olovina výdajů na sociální služby </w:t>
      </w:r>
      <w:r>
        <w:rPr>
          <w:rFonts w:eastAsia="MS Gothic"/>
          <w:b/>
          <w:i/>
        </w:rPr>
        <w:t>dlouhodobé péče byla</w:t>
      </w:r>
      <w:r w:rsidRPr="007949E3">
        <w:rPr>
          <w:rFonts w:eastAsia="MS Gothic"/>
          <w:b/>
          <w:i/>
        </w:rPr>
        <w:t xml:space="preserve"> investována do chráněného bydlení</w:t>
      </w:r>
    </w:p>
    <w:p w14:paraId="06382727" w14:textId="77777777" w:rsidR="00B15DD3" w:rsidRDefault="00B15DD3" w:rsidP="00B15DD3">
      <w:pPr>
        <w:spacing w:after="240"/>
        <w:jc w:val="both"/>
        <w:rPr>
          <w:rFonts w:cs="Arial"/>
          <w:szCs w:val="20"/>
        </w:rPr>
      </w:pPr>
      <w:r w:rsidRPr="00AB64E8">
        <w:rPr>
          <w:rFonts w:cs="Arial"/>
        </w:rPr>
        <w:t>V případě</w:t>
      </w:r>
      <w:r w:rsidRPr="00AB64E8">
        <w:rPr>
          <w:szCs w:val="20"/>
        </w:rPr>
        <w:t xml:space="preserve"> </w:t>
      </w:r>
      <w:r w:rsidRPr="00AB64E8">
        <w:rPr>
          <w:b/>
          <w:szCs w:val="20"/>
        </w:rPr>
        <w:t>sociálních služeb</w:t>
      </w:r>
      <w:r w:rsidRPr="00AB64E8">
        <w:rPr>
          <w:szCs w:val="20"/>
        </w:rPr>
        <w:t xml:space="preserve"> dlouhodobé sociální péče</w:t>
      </w:r>
      <w:r w:rsidRPr="00AB64E8">
        <w:rPr>
          <w:rFonts w:cs="Arial"/>
        </w:rPr>
        <w:t xml:space="preserve"> se jedná výhradně nebo převážně o zprostředkování kontaktu se společenským prostředím, poskytnutí ubytování, sociálně terapeutické, výchovné a vzdělávací činnosti nebo pomoc </w:t>
      </w:r>
      <w:r w:rsidRPr="00AB64E8">
        <w:rPr>
          <w:rFonts w:cs="Arial"/>
          <w:szCs w:val="20"/>
        </w:rPr>
        <w:t xml:space="preserve">při uplatňování práv a oprávněných zájmů. </w:t>
      </w:r>
      <w:r>
        <w:rPr>
          <w:rFonts w:cs="Arial"/>
          <w:szCs w:val="20"/>
        </w:rPr>
        <w:t>V roce 2019 bylo celkem na uvedené služby vydáno 3,1 mld. Kč.</w:t>
      </w:r>
      <w:r>
        <w:rPr>
          <w:rFonts w:cs="Arial"/>
          <w:szCs w:val="20"/>
        </w:rPr>
        <w:br w:type="page"/>
      </w:r>
    </w:p>
    <w:p w14:paraId="3342B226" w14:textId="77777777" w:rsidR="00B15DD3" w:rsidRPr="00B15DD3" w:rsidRDefault="00B15DD3" w:rsidP="00B15DD3">
      <w:pPr>
        <w:widowControl w:val="0"/>
        <w:spacing w:before="240"/>
        <w:jc w:val="both"/>
        <w:rPr>
          <w:rFonts w:cs="Arial"/>
          <w:b/>
          <w:sz w:val="18"/>
          <w:szCs w:val="18"/>
        </w:rPr>
      </w:pPr>
      <w:r w:rsidRPr="00B15DD3">
        <w:rPr>
          <w:rFonts w:cs="Arial"/>
          <w:b/>
          <w:sz w:val="18"/>
          <w:szCs w:val="18"/>
        </w:rPr>
        <w:lastRenderedPageBreak/>
        <w:t xml:space="preserve">Graf č. 4.5. Výdaje na sociální služby dlouhodobé péče v Česku podle druhu služeb </w:t>
      </w:r>
    </w:p>
    <w:p w14:paraId="20B93160" w14:textId="77777777" w:rsidR="00B15DD3" w:rsidRPr="00B15DD3" w:rsidRDefault="00B15DD3" w:rsidP="00B15DD3">
      <w:pPr>
        <w:keepNext/>
        <w:numPr>
          <w:ilvl w:val="0"/>
          <w:numId w:val="15"/>
        </w:numPr>
        <w:spacing w:line="240" w:lineRule="auto"/>
        <w:ind w:left="714" w:hanging="357"/>
        <w:contextualSpacing/>
        <w:jc w:val="both"/>
        <w:rPr>
          <w:rFonts w:cs="Arial"/>
          <w:b/>
          <w:sz w:val="18"/>
          <w:szCs w:val="18"/>
        </w:rPr>
      </w:pPr>
      <w:r w:rsidRPr="00B15DD3">
        <w:rPr>
          <w:rFonts w:cs="Arial"/>
          <w:b/>
          <w:sz w:val="18"/>
          <w:szCs w:val="18"/>
        </w:rPr>
        <w:t xml:space="preserve">vývoj v letech 2014-2019 v mil. Kč               </w:t>
      </w:r>
    </w:p>
    <w:p w14:paraId="7BA7F3FB" w14:textId="77777777" w:rsidR="00B15DD3" w:rsidRPr="00B15DD3" w:rsidRDefault="00B15DD3" w:rsidP="00B15DD3">
      <w:pPr>
        <w:keepNext/>
        <w:spacing w:line="240" w:lineRule="auto"/>
        <w:ind w:left="-426"/>
        <w:contextualSpacing/>
        <w:jc w:val="center"/>
        <w:rPr>
          <w:rFonts w:cs="Arial"/>
          <w:b/>
          <w:sz w:val="18"/>
          <w:szCs w:val="18"/>
        </w:rPr>
      </w:pPr>
      <w:r w:rsidRPr="00B15DD3">
        <w:rPr>
          <w:noProof/>
        </w:rPr>
        <w:drawing>
          <wp:inline distT="0" distB="0" distL="0" distR="0" wp14:anchorId="6349340F" wp14:editId="744734F9">
            <wp:extent cx="4792717" cy="3668110"/>
            <wp:effectExtent l="0" t="0" r="8255" b="889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B15DD3">
        <w:rPr>
          <w:rFonts w:cs="Arial"/>
          <w:b/>
          <w:sz w:val="18"/>
          <w:szCs w:val="18"/>
        </w:rPr>
        <w:t xml:space="preserve">                                                                </w:t>
      </w:r>
    </w:p>
    <w:p w14:paraId="7547E8A7" w14:textId="77777777" w:rsidR="00B15DD3" w:rsidRPr="00B15DD3" w:rsidRDefault="00B15DD3" w:rsidP="00B15DD3">
      <w:pPr>
        <w:spacing w:line="240" w:lineRule="auto"/>
        <w:rPr>
          <w:rFonts w:cs="Arial"/>
          <w:color w:val="000000"/>
          <w:sz w:val="18"/>
          <w:szCs w:val="18"/>
        </w:rPr>
      </w:pPr>
    </w:p>
    <w:p w14:paraId="62B55443" w14:textId="77777777" w:rsidR="00B15DD3" w:rsidRPr="00B15DD3" w:rsidRDefault="00B15DD3" w:rsidP="00B15DD3">
      <w:pPr>
        <w:keepNext/>
        <w:ind w:left="360"/>
        <w:rPr>
          <w:rFonts w:cs="Arial"/>
          <w:b/>
          <w:sz w:val="18"/>
          <w:szCs w:val="18"/>
        </w:rPr>
      </w:pPr>
      <w:r w:rsidRPr="00B15DD3">
        <w:rPr>
          <w:rFonts w:cs="Arial"/>
          <w:b/>
          <w:color w:val="000000"/>
          <w:sz w:val="18"/>
          <w:szCs w:val="18"/>
        </w:rPr>
        <w:t xml:space="preserve">b) </w:t>
      </w:r>
      <w:r w:rsidRPr="00B15DD3">
        <w:rPr>
          <w:rFonts w:cs="Arial"/>
          <w:b/>
          <w:sz w:val="18"/>
          <w:szCs w:val="18"/>
        </w:rPr>
        <w:t xml:space="preserve">struktura v roce 2019 (v %)                                                                                  </w:t>
      </w:r>
    </w:p>
    <w:p w14:paraId="689BC4F6" w14:textId="1279FFEC" w:rsidR="00B15DD3" w:rsidRPr="00B15DD3" w:rsidRDefault="00B15DD3" w:rsidP="00516D1A">
      <w:pPr>
        <w:spacing w:line="240" w:lineRule="auto"/>
        <w:ind w:left="-284"/>
        <w:jc w:val="center"/>
        <w:rPr>
          <w:rFonts w:cs="Arial"/>
          <w:color w:val="000000"/>
          <w:sz w:val="16"/>
          <w:szCs w:val="16"/>
        </w:rPr>
      </w:pPr>
      <w:r w:rsidRPr="00B15DD3">
        <w:rPr>
          <w:noProof/>
        </w:rPr>
        <w:drawing>
          <wp:inline distT="0" distB="0" distL="0" distR="0" wp14:anchorId="2F793AB3" wp14:editId="1696F365">
            <wp:extent cx="4897821" cy="2564524"/>
            <wp:effectExtent l="0" t="0" r="17145" b="762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ADFF672" w14:textId="77777777" w:rsidR="00B15DD3" w:rsidRPr="00B15DD3" w:rsidRDefault="00B15DD3" w:rsidP="00516D1A">
      <w:pPr>
        <w:spacing w:before="60" w:after="120" w:line="240" w:lineRule="auto"/>
        <w:rPr>
          <w:rFonts w:cs="Arial"/>
          <w:sz w:val="16"/>
          <w:szCs w:val="16"/>
        </w:rPr>
      </w:pPr>
      <w:r w:rsidRPr="00B15DD3">
        <w:rPr>
          <w:rFonts w:cs="Arial"/>
          <w:color w:val="000000"/>
          <w:sz w:val="16"/>
          <w:szCs w:val="16"/>
        </w:rPr>
        <w:t xml:space="preserve">(1) Ostatní služby: následné péče, podpora samostatného bydlení, tísňová péče, tlumočnické, průvodcovské a předčitatelské </w:t>
      </w:r>
      <w:r w:rsidRPr="00B15DD3">
        <w:rPr>
          <w:rFonts w:cs="Arial"/>
          <w:sz w:val="16"/>
          <w:szCs w:val="16"/>
        </w:rPr>
        <w:t>služby</w:t>
      </w:r>
    </w:p>
    <w:p w14:paraId="3CFE4E87" w14:textId="77777777" w:rsidR="00B15DD3" w:rsidRDefault="00B15DD3" w:rsidP="00516D1A">
      <w:pPr>
        <w:spacing w:before="120" w:after="240"/>
        <w:jc w:val="right"/>
        <w:rPr>
          <w:i/>
          <w:sz w:val="16"/>
          <w:szCs w:val="16"/>
        </w:rPr>
      </w:pPr>
      <w:r w:rsidRPr="00B15DD3">
        <w:rPr>
          <w:b/>
          <w:i/>
          <w:sz w:val="16"/>
          <w:szCs w:val="16"/>
        </w:rPr>
        <w:t>Zdroj: ČSÚ 2021, Zdravotnické účty ČR 2010</w:t>
      </w:r>
      <w:r w:rsidRPr="00B15DD3">
        <w:rPr>
          <w:sz w:val="16"/>
          <w:szCs w:val="16"/>
        </w:rPr>
        <w:t>–</w:t>
      </w:r>
      <w:r w:rsidRPr="00B15DD3">
        <w:rPr>
          <w:b/>
          <w:i/>
          <w:sz w:val="16"/>
          <w:szCs w:val="16"/>
        </w:rPr>
        <w:t>2019</w:t>
      </w:r>
      <w:r w:rsidRPr="00B15DD3">
        <w:rPr>
          <w:i/>
          <w:sz w:val="16"/>
          <w:szCs w:val="16"/>
        </w:rPr>
        <w:t xml:space="preserve"> </w:t>
      </w:r>
    </w:p>
    <w:p w14:paraId="03176617" w14:textId="16006E65" w:rsidR="00B15DD3" w:rsidRDefault="00B15DD3" w:rsidP="00B15DD3">
      <w:pPr>
        <w:spacing w:after="240"/>
        <w:jc w:val="both"/>
        <w:rPr>
          <w:rFonts w:cs="Arial"/>
          <w:szCs w:val="20"/>
        </w:rPr>
      </w:pPr>
      <w:r>
        <w:rPr>
          <w:b/>
        </w:rPr>
        <w:t>N</w:t>
      </w:r>
      <w:r w:rsidRPr="00AB64E8">
        <w:rPr>
          <w:b/>
        </w:rPr>
        <w:t>a provoz chráněného bydlení</w:t>
      </w:r>
      <w:r w:rsidRPr="000940BE">
        <w:t xml:space="preserve"> </w:t>
      </w:r>
      <w:r w:rsidRPr="00AB64E8">
        <w:t xml:space="preserve">bylo </w:t>
      </w:r>
      <w:r>
        <w:t>v</w:t>
      </w:r>
      <w:r w:rsidR="00CC6EB8">
        <w:t> </w:t>
      </w:r>
      <w:r>
        <w:t>roce</w:t>
      </w:r>
      <w:r w:rsidR="00CC6EB8">
        <w:t xml:space="preserve"> 2019</w:t>
      </w:r>
      <w:r>
        <w:t xml:space="preserve"> </w:t>
      </w:r>
      <w:r w:rsidRPr="00AB64E8">
        <w:t xml:space="preserve">investováno </w:t>
      </w:r>
      <w:r>
        <w:t>bezmála 1,5 mld. Kč</w:t>
      </w:r>
      <w:r>
        <w:rPr>
          <w:b/>
        </w:rPr>
        <w:t xml:space="preserve">. </w:t>
      </w:r>
      <w:r>
        <w:t>Od roku 2014 se výdaje na tento druh sociální služby zdvojnásobily, což</w:t>
      </w:r>
      <w:r w:rsidRPr="00AB64E8">
        <w:rPr>
          <w:rFonts w:cs="Arial"/>
          <w:szCs w:val="20"/>
        </w:rPr>
        <w:t xml:space="preserve"> je dáno postupným zvyšováním kapacit to</w:t>
      </w:r>
      <w:r>
        <w:rPr>
          <w:rFonts w:cs="Arial"/>
          <w:szCs w:val="20"/>
        </w:rPr>
        <w:t xml:space="preserve">hoto typu ubytování, které odpovídá i snaze o </w:t>
      </w:r>
      <w:proofErr w:type="spellStart"/>
      <w:r>
        <w:rPr>
          <w:rFonts w:cs="Arial"/>
          <w:szCs w:val="20"/>
        </w:rPr>
        <w:t>deinstitucionalizaci</w:t>
      </w:r>
      <w:proofErr w:type="spellEnd"/>
      <w:r>
        <w:rPr>
          <w:rFonts w:cs="Arial"/>
          <w:szCs w:val="20"/>
        </w:rPr>
        <w:t xml:space="preserve"> péče o osoby s mentálním postižením. </w:t>
      </w:r>
    </w:p>
    <w:p w14:paraId="33B43A0D" w14:textId="77777777" w:rsidR="00B15DD3" w:rsidRPr="005C7D3C" w:rsidRDefault="00B15DD3" w:rsidP="00B15DD3">
      <w:pPr>
        <w:pStyle w:val="Box1"/>
      </w:pPr>
      <w:r w:rsidRPr="005C7D3C">
        <w:rPr>
          <w:b/>
        </w:rPr>
        <w:t>Chráněné bydlení</w:t>
      </w:r>
      <w:r w:rsidRPr="005C7D3C">
        <w:t xml:space="preserve"> je pobytová služba umožňující lidem se zdravotním postižením nebo chronickým onemocněním žít v běžném prostředí domácnosti. Hlavním smyslem chráněného bydlení je poskytování přiměřené míry podpory především osobám s mentálním postižením, které potřebují individuální podporu v každodenním životě. Chráněné bydlení je v běžné zástavbě a patří poskytovateli služby. Bydlí zde jeden a více klientů, kteří se podílejí na vedení domácnosti podle svých možností. </w:t>
      </w:r>
      <w:hyperlink r:id="rId15" w:tooltip="Sociální pracovník" w:history="1">
        <w:r w:rsidRPr="005C7D3C">
          <w:t>Sociální pracovníci</w:t>
        </w:r>
      </w:hyperlink>
      <w:r w:rsidRPr="005C7D3C">
        <w:t xml:space="preserve"> jsou v pravidelném kontaktu s klienty.</w:t>
      </w:r>
    </w:p>
    <w:p w14:paraId="2423D952" w14:textId="16502FB3" w:rsidR="00B15DD3" w:rsidRDefault="00B15DD3" w:rsidP="00B15DD3">
      <w:pPr>
        <w:autoSpaceDE w:val="0"/>
        <w:autoSpaceDN w:val="0"/>
        <w:adjustRightInd w:val="0"/>
        <w:spacing w:after="240"/>
        <w:jc w:val="both"/>
        <w:rPr>
          <w:rFonts w:cs="Arial"/>
          <w:szCs w:val="20"/>
        </w:rPr>
      </w:pPr>
      <w:r w:rsidRPr="006C0C43">
        <w:rPr>
          <w:rFonts w:cs="Arial"/>
          <w:b/>
          <w:szCs w:val="20"/>
        </w:rPr>
        <w:lastRenderedPageBreak/>
        <w:t>Sociální rehabilitace</w:t>
      </w:r>
      <w:r w:rsidRPr="00957CD1">
        <w:rPr>
          <w:rFonts w:cs="Arial"/>
          <w:szCs w:val="20"/>
        </w:rPr>
        <w:t xml:space="preserve"> zahrnuje soubor činností zaměřených na nácvik potřebných dovedností osob se zdravotním postižením směřujících k dosažení maximální možné soběstačnosti. </w:t>
      </w:r>
      <w:r w:rsidRPr="00AB64E8">
        <w:rPr>
          <w:rFonts w:cs="Arial"/>
          <w:szCs w:val="20"/>
        </w:rPr>
        <w:t xml:space="preserve">Výdaje na služby </w:t>
      </w:r>
      <w:r w:rsidRPr="006C0C43">
        <w:rPr>
          <w:rFonts w:cs="Arial"/>
          <w:szCs w:val="20"/>
        </w:rPr>
        <w:t>sociální rehabilitace</w:t>
      </w:r>
      <w:r w:rsidRPr="00AB64E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dosáhly v roce 2014 hodnoty 650 mil. Kč. Následující dva roky u </w:t>
      </w:r>
      <w:r w:rsidR="00B03535">
        <w:rPr>
          <w:rFonts w:cs="Arial"/>
          <w:szCs w:val="20"/>
        </w:rPr>
        <w:t>nich došlo k poklesu výdajů ze </w:t>
      </w:r>
      <w:r>
        <w:rPr>
          <w:rFonts w:cs="Arial"/>
          <w:szCs w:val="20"/>
        </w:rPr>
        <w:t>státního rozpočtu, což souviselo především se snížením počtu zařízeních poskytujících tento druh péče. V posledních letech výdaje na služby sociální rehabilitace rostly a v roce 2019 dosáhly částky 933 mil. Kč.</w:t>
      </w:r>
    </w:p>
    <w:p w14:paraId="0E54EC0B" w14:textId="77777777" w:rsidR="00B15DD3" w:rsidRPr="007949E3" w:rsidRDefault="00B15DD3" w:rsidP="00B15DD3">
      <w:pPr>
        <w:spacing w:after="240"/>
        <w:rPr>
          <w:rFonts w:eastAsia="MS Gothic"/>
          <w:b/>
          <w:i/>
        </w:rPr>
      </w:pPr>
      <w:r>
        <w:rPr>
          <w:rFonts w:eastAsia="MS Gothic"/>
          <w:b/>
          <w:i/>
        </w:rPr>
        <w:t>V</w:t>
      </w:r>
      <w:r w:rsidRPr="007949E3">
        <w:rPr>
          <w:rFonts w:eastAsia="MS Gothic"/>
          <w:b/>
          <w:i/>
        </w:rPr>
        <w:t xml:space="preserve">ýdaje státu na příspěvky na péči vzrostly </w:t>
      </w:r>
      <w:r>
        <w:rPr>
          <w:rFonts w:eastAsia="MS Gothic"/>
          <w:b/>
          <w:i/>
        </w:rPr>
        <w:t>od roku 2014 téměř o polovinu</w:t>
      </w:r>
    </w:p>
    <w:p w14:paraId="6AF01FE2" w14:textId="77777777" w:rsidR="00B15DD3" w:rsidRDefault="00B15DD3" w:rsidP="00B15DD3">
      <w:pPr>
        <w:spacing w:after="240"/>
        <w:jc w:val="both"/>
        <w:rPr>
          <w:rFonts w:cs="Arial"/>
          <w:szCs w:val="20"/>
        </w:rPr>
      </w:pPr>
      <w:r w:rsidRPr="00AB64E8">
        <w:rPr>
          <w:rFonts w:cs="Arial"/>
          <w:b/>
          <w:szCs w:val="20"/>
        </w:rPr>
        <w:t>Peněžité sociální dávky</w:t>
      </w:r>
      <w:r w:rsidRPr="00AB64E8">
        <w:rPr>
          <w:rFonts w:cs="Arial"/>
          <w:szCs w:val="20"/>
        </w:rPr>
        <w:t xml:space="preserve"> zahrnují dávky dlouhodobé sociální péče, a to zejména </w:t>
      </w:r>
      <w:r w:rsidRPr="00AB64E8">
        <w:rPr>
          <w:rFonts w:cs="Arial"/>
          <w:b/>
          <w:szCs w:val="20"/>
        </w:rPr>
        <w:t>příspěvek na péči</w:t>
      </w:r>
      <w:r w:rsidRPr="00AB64E8">
        <w:rPr>
          <w:rFonts w:cs="Arial"/>
          <w:szCs w:val="20"/>
        </w:rPr>
        <w:t>, který byl zaveden v roce 2007. Ten je určen osobám</w:t>
      </w:r>
      <w:r>
        <w:rPr>
          <w:rFonts w:cs="Arial"/>
          <w:szCs w:val="20"/>
        </w:rPr>
        <w:t xml:space="preserve"> starším 1 roku</w:t>
      </w:r>
      <w:r w:rsidRPr="00AB64E8">
        <w:rPr>
          <w:rFonts w:cs="Arial"/>
          <w:szCs w:val="20"/>
        </w:rPr>
        <w:t xml:space="preserve">, které z důvodů dlouhodobě nepříznivého zdravotního stavu potřebují pomoc jiné osoby při zvládání základních životních potřeb. Z příspěvku je pak hrazena pomoc poskytovaná osobou blízkou, asistentem sociální péče nebo poskytovatelem sociálních služeb. </w:t>
      </w:r>
    </w:p>
    <w:p w14:paraId="190422A8" w14:textId="4D9DDE9C" w:rsidR="00B15DD3" w:rsidRPr="005C7D3C" w:rsidRDefault="00B15DD3" w:rsidP="00B15DD3">
      <w:pPr>
        <w:spacing w:after="240"/>
        <w:jc w:val="both"/>
        <w:rPr>
          <w:rFonts w:eastAsia="Calibri" w:cs="Arial"/>
          <w:bCs/>
          <w:szCs w:val="20"/>
        </w:rPr>
      </w:pPr>
      <w:r w:rsidRPr="00AB64E8">
        <w:t>Jak je</w:t>
      </w:r>
      <w:r>
        <w:t xml:space="preserve"> </w:t>
      </w:r>
      <w:r w:rsidRPr="00AB64E8">
        <w:t xml:space="preserve">patrné </w:t>
      </w:r>
      <w:r>
        <w:t xml:space="preserve">z absolutních hodnot v grafu č. 4.6, v letech </w:t>
      </w:r>
      <w:r w:rsidRPr="00AB64E8">
        <w:t>201</w:t>
      </w:r>
      <w:r>
        <w:t>4</w:t>
      </w:r>
      <w:r>
        <w:rPr>
          <w:sz w:val="16"/>
          <w:szCs w:val="16"/>
        </w:rPr>
        <w:t>–</w:t>
      </w:r>
      <w:r>
        <w:t>2015</w:t>
      </w:r>
      <w:r w:rsidRPr="00AB64E8">
        <w:t xml:space="preserve"> se výdaje na peněžité dávky</w:t>
      </w:r>
      <w:r>
        <w:t xml:space="preserve"> pohybovaly</w:t>
      </w:r>
      <w:r w:rsidRPr="00AB64E8">
        <w:t xml:space="preserve"> pod hranicí 15 miliard Kč</w:t>
      </w:r>
      <w:r>
        <w:t>.</w:t>
      </w:r>
      <w:r w:rsidRPr="00AB64E8">
        <w:t xml:space="preserve"> Výše </w:t>
      </w:r>
      <w:r>
        <w:t xml:space="preserve">dávky </w:t>
      </w:r>
      <w:r w:rsidRPr="00AB64E8">
        <w:t xml:space="preserve">jednotlivých </w:t>
      </w:r>
      <w:r>
        <w:t xml:space="preserve">stupňů </w:t>
      </w:r>
      <w:r w:rsidRPr="00AB64E8">
        <w:t>příspěvků na péči zůstala v</w:t>
      </w:r>
      <w:r>
        <w:t> </w:t>
      </w:r>
      <w:r w:rsidRPr="00AB64E8">
        <w:t>období 201</w:t>
      </w:r>
      <w:r>
        <w:t>4</w:t>
      </w:r>
      <w:r w:rsidRPr="00AB64E8">
        <w:t xml:space="preserve"> až 2015 stejná, avšak k</w:t>
      </w:r>
      <w:r>
        <w:t>aždoročně narůstal počet vyplacených dávek. V srpnu 2016 se poprvé za dobu své existence navýšil příspěvek na péči u všech stupňů závislosti o deset procent, a prot</w:t>
      </w:r>
      <w:r w:rsidR="00B03535">
        <w:t>o byla i jeho celková částka za </w:t>
      </w:r>
      <w:r>
        <w:t>uvedený rok vyšší o 1,3 mld. Kč v porovnání s rokem 2015 (viz graf č. 4.6.</w:t>
      </w:r>
      <w:r w:rsidR="00B03535">
        <w:t>). Vzestupný trend pokračoval i </w:t>
      </w:r>
      <w:r>
        <w:t>v následujících letech a v roce 2019 činily výdaje za příspěvky na péči 21 miliard Kč.</w:t>
      </w:r>
      <w:r w:rsidRPr="001B7BD7">
        <w:rPr>
          <w:color w:val="FF0000"/>
        </w:rPr>
        <w:t xml:space="preserve"> </w:t>
      </w:r>
      <w:r w:rsidRPr="005C7D3C">
        <w:t>Podle informací MPSV ČR bylo v</w:t>
      </w:r>
      <w:r w:rsidRPr="005C7D3C">
        <w:rPr>
          <w:rFonts w:eastAsia="Calibri" w:cs="Arial"/>
          <w:bCs/>
          <w:szCs w:val="20"/>
        </w:rPr>
        <w:t> České republice v roce 2019 vypláceno průměrně 363 tisíc přís</w:t>
      </w:r>
      <w:r w:rsidR="00B03535">
        <w:rPr>
          <w:rFonts w:eastAsia="Calibri" w:cs="Arial"/>
          <w:bCs/>
          <w:szCs w:val="20"/>
        </w:rPr>
        <w:t>pěvků na péči měsíčně, což je o </w:t>
      </w:r>
      <w:r w:rsidRPr="005C7D3C">
        <w:rPr>
          <w:rFonts w:eastAsia="Calibri" w:cs="Arial"/>
          <w:bCs/>
          <w:szCs w:val="20"/>
        </w:rPr>
        <w:t>3</w:t>
      </w:r>
      <w:r w:rsidR="00024BD9">
        <w:rPr>
          <w:rFonts w:eastAsia="Calibri" w:cs="Arial"/>
          <w:bCs/>
          <w:szCs w:val="20"/>
        </w:rPr>
        <w:t> </w:t>
      </w:r>
      <w:r w:rsidRPr="005C7D3C">
        <w:rPr>
          <w:rFonts w:eastAsia="Calibri" w:cs="Arial"/>
          <w:bCs/>
          <w:szCs w:val="20"/>
        </w:rPr>
        <w:t>tisíc</w:t>
      </w:r>
      <w:r w:rsidR="00024BD9">
        <w:rPr>
          <w:rFonts w:eastAsia="Calibri" w:cs="Arial"/>
          <w:bCs/>
          <w:szCs w:val="20"/>
        </w:rPr>
        <w:t>e</w:t>
      </w:r>
      <w:r w:rsidRPr="005C7D3C">
        <w:rPr>
          <w:rFonts w:eastAsia="Calibri" w:cs="Arial"/>
          <w:bCs/>
          <w:szCs w:val="20"/>
        </w:rPr>
        <w:t xml:space="preserve"> více než v roce předchozím. </w:t>
      </w:r>
    </w:p>
    <w:p w14:paraId="4EB23CC1" w14:textId="348CCEF9" w:rsidR="00B15DD3" w:rsidRPr="001B7BD7" w:rsidRDefault="00B15DD3" w:rsidP="00B15DD3">
      <w:pPr>
        <w:spacing w:after="240"/>
        <w:jc w:val="both"/>
        <w:rPr>
          <w:rFonts w:cs="Arial"/>
          <w:vertAlign w:val="superscript"/>
        </w:rPr>
      </w:pPr>
      <w:r w:rsidRPr="00AB64E8">
        <w:rPr>
          <w:rFonts w:cs="Arial"/>
        </w:rPr>
        <w:t xml:space="preserve">V kategorii </w:t>
      </w:r>
      <w:r w:rsidRPr="00AB64E8">
        <w:rPr>
          <w:rFonts w:cs="Arial"/>
          <w:b/>
        </w:rPr>
        <w:t>peněžitých dávek</w:t>
      </w:r>
      <w:r w:rsidRPr="00AB64E8">
        <w:rPr>
          <w:rFonts w:cs="Arial"/>
        </w:rPr>
        <w:t xml:space="preserve"> dlouhodobé sociální péče patř</w:t>
      </w:r>
      <w:r>
        <w:rPr>
          <w:rFonts w:cs="Arial"/>
        </w:rPr>
        <w:t>í</w:t>
      </w:r>
      <w:r w:rsidRPr="00AB64E8">
        <w:rPr>
          <w:rFonts w:cs="Arial"/>
        </w:rPr>
        <w:t xml:space="preserve"> z hlediska výdajů k nejnákladnějším </w:t>
      </w:r>
      <w:r>
        <w:rPr>
          <w:rFonts w:cs="Arial"/>
        </w:rPr>
        <w:t xml:space="preserve">právě </w:t>
      </w:r>
      <w:r w:rsidRPr="00AB64E8">
        <w:rPr>
          <w:rFonts w:cs="Arial"/>
          <w:b/>
        </w:rPr>
        <w:t>příspěvek na péči</w:t>
      </w:r>
      <w:r w:rsidRPr="00AB64E8">
        <w:rPr>
          <w:rFonts w:cs="Arial"/>
        </w:rPr>
        <w:t xml:space="preserve">, </w:t>
      </w:r>
      <w:r>
        <w:rPr>
          <w:rFonts w:cs="Arial"/>
        </w:rPr>
        <w:t>na jehož výplatu bylo v roce 2019 vydáno 21 192 mil. Kč</w:t>
      </w:r>
      <w:r w:rsidRPr="00AB64E8">
        <w:rPr>
          <w:rFonts w:cs="Arial"/>
        </w:rPr>
        <w:t xml:space="preserve">. </w:t>
      </w:r>
      <w:r w:rsidR="00B03535">
        <w:rPr>
          <w:rFonts w:cs="Arial"/>
        </w:rPr>
        <w:t>Porovnáme-li výši výdajů na </w:t>
      </w:r>
      <w:r>
        <w:rPr>
          <w:rFonts w:cs="Arial"/>
        </w:rPr>
        <w:t>příspěvek na péči v roce 2019 s rokem 2014, je patrný nárůst téměř o 50 %.</w:t>
      </w:r>
    </w:p>
    <w:p w14:paraId="26D19B05" w14:textId="77777777" w:rsidR="00B15DD3" w:rsidRPr="00AB64E8" w:rsidRDefault="00B15DD3" w:rsidP="00B15DD3">
      <w:pPr>
        <w:keepNext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Graf č. 4.6. Výdaje na p</w:t>
      </w:r>
      <w:r w:rsidRPr="00AB64E8">
        <w:rPr>
          <w:rFonts w:cs="Arial"/>
          <w:b/>
          <w:sz w:val="18"/>
          <w:szCs w:val="18"/>
        </w:rPr>
        <w:t xml:space="preserve">eněžité dávky </w:t>
      </w:r>
      <w:r>
        <w:rPr>
          <w:rFonts w:cs="Arial"/>
          <w:b/>
          <w:sz w:val="18"/>
          <w:szCs w:val="18"/>
        </w:rPr>
        <w:t xml:space="preserve">dlouhodobé sociální péče v Česku </w:t>
      </w:r>
      <w:r w:rsidRPr="00AB64E8">
        <w:rPr>
          <w:rFonts w:cs="Arial"/>
          <w:b/>
          <w:sz w:val="18"/>
          <w:szCs w:val="18"/>
        </w:rPr>
        <w:t>podle druhů příspěvku, 201</w:t>
      </w:r>
      <w:r>
        <w:rPr>
          <w:rFonts w:cs="Arial"/>
          <w:b/>
          <w:sz w:val="18"/>
          <w:szCs w:val="18"/>
        </w:rPr>
        <w:t>4</w:t>
      </w:r>
      <w:r>
        <w:rPr>
          <w:sz w:val="16"/>
          <w:szCs w:val="16"/>
        </w:rPr>
        <w:t>–</w:t>
      </w:r>
      <w:r w:rsidRPr="00AB64E8">
        <w:rPr>
          <w:rFonts w:cs="Arial"/>
          <w:b/>
          <w:sz w:val="18"/>
          <w:szCs w:val="18"/>
        </w:rPr>
        <w:t>201</w:t>
      </w:r>
      <w:r>
        <w:rPr>
          <w:rFonts w:cs="Arial"/>
          <w:b/>
          <w:sz w:val="18"/>
          <w:szCs w:val="18"/>
        </w:rPr>
        <w:t xml:space="preserve">9 </w:t>
      </w:r>
    </w:p>
    <w:p w14:paraId="5234DFAA" w14:textId="20DB976D" w:rsidR="00B15DD3" w:rsidRDefault="00516D1A" w:rsidP="00516D1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BA0BDA" wp14:editId="599ADCB3">
            <wp:simplePos x="0" y="0"/>
            <wp:positionH relativeFrom="column">
              <wp:posOffset>-3810</wp:posOffset>
            </wp:positionH>
            <wp:positionV relativeFrom="paragraph">
              <wp:posOffset>204470</wp:posOffset>
            </wp:positionV>
            <wp:extent cx="3086100" cy="2613660"/>
            <wp:effectExtent l="0" t="0" r="0" b="15240"/>
            <wp:wrapSquare wrapText="bothSides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</wp:anchor>
        </w:drawing>
      </w:r>
      <w:r w:rsidR="00B15DD3">
        <w:rPr>
          <w:b/>
          <w:sz w:val="18"/>
          <w:szCs w:val="18"/>
        </w:rPr>
        <w:t>v mld</w:t>
      </w:r>
      <w:r w:rsidR="00B15DD3" w:rsidRPr="009C1F88">
        <w:rPr>
          <w:b/>
          <w:sz w:val="18"/>
          <w:szCs w:val="18"/>
        </w:rPr>
        <w:t xml:space="preserve">. Kč                                                                                 </w:t>
      </w:r>
      <w:r w:rsidR="00B15DD3">
        <w:rPr>
          <w:b/>
          <w:sz w:val="18"/>
          <w:szCs w:val="18"/>
        </w:rPr>
        <w:t xml:space="preserve">      </w:t>
      </w:r>
      <w:r w:rsidR="00B15DD3" w:rsidRPr="009C1F88">
        <w:rPr>
          <w:b/>
          <w:sz w:val="18"/>
          <w:szCs w:val="18"/>
        </w:rPr>
        <w:t xml:space="preserve"> b)  struktura (%)</w:t>
      </w:r>
    </w:p>
    <w:p w14:paraId="51755639" w14:textId="6CA9D1D8" w:rsidR="00B15DD3" w:rsidRDefault="00B15DD3" w:rsidP="00516D1A">
      <w:pPr>
        <w:autoSpaceDE w:val="0"/>
        <w:autoSpaceDN w:val="0"/>
        <w:adjustRightInd w:val="0"/>
        <w:spacing w:before="120" w:after="240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7ACE5E8A" wp14:editId="63858AF6">
            <wp:extent cx="2865120" cy="2621280"/>
            <wp:effectExtent l="0" t="0" r="11430" b="762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D799DE7" w14:textId="77777777" w:rsidR="00B15DD3" w:rsidRDefault="00B15DD3" w:rsidP="00516D1A">
      <w:pPr>
        <w:spacing w:before="120" w:after="240"/>
        <w:jc w:val="right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Zdroj: ČSÚ </w:t>
      </w:r>
      <w:r w:rsidRPr="00AB64E8">
        <w:rPr>
          <w:b/>
          <w:i/>
          <w:sz w:val="16"/>
          <w:szCs w:val="16"/>
        </w:rPr>
        <w:t>20</w:t>
      </w:r>
      <w:r>
        <w:rPr>
          <w:b/>
          <w:i/>
          <w:sz w:val="16"/>
          <w:szCs w:val="16"/>
        </w:rPr>
        <w:t>21, Zdravotnické účty ČR 2010</w:t>
      </w:r>
      <w:r>
        <w:rPr>
          <w:sz w:val="16"/>
          <w:szCs w:val="16"/>
        </w:rPr>
        <w:t>–</w:t>
      </w:r>
      <w:r w:rsidRPr="00AB64E8">
        <w:rPr>
          <w:b/>
          <w:i/>
          <w:sz w:val="16"/>
          <w:szCs w:val="16"/>
        </w:rPr>
        <w:t>201</w:t>
      </w:r>
      <w:r>
        <w:rPr>
          <w:b/>
          <w:i/>
          <w:sz w:val="16"/>
          <w:szCs w:val="16"/>
        </w:rPr>
        <w:t>9</w:t>
      </w:r>
      <w:r w:rsidRPr="00AB64E8">
        <w:rPr>
          <w:i/>
          <w:sz w:val="16"/>
          <w:szCs w:val="16"/>
        </w:rPr>
        <w:t xml:space="preserve"> </w:t>
      </w:r>
    </w:p>
    <w:p w14:paraId="5DAB6E8C" w14:textId="108ACC96" w:rsidR="00B15DD3" w:rsidRDefault="00B15DD3" w:rsidP="00B15DD3">
      <w:pPr>
        <w:spacing w:after="240"/>
        <w:jc w:val="both"/>
        <w:rPr>
          <w:rFonts w:cs="Arial"/>
          <w:szCs w:val="20"/>
        </w:rPr>
      </w:pPr>
      <w:r w:rsidRPr="00AB64E8">
        <w:rPr>
          <w:rFonts w:cs="Arial"/>
          <w:szCs w:val="20"/>
        </w:rPr>
        <w:t xml:space="preserve">Výdaje na příspěvek </w:t>
      </w:r>
      <w:r w:rsidRPr="00AB64E8">
        <w:rPr>
          <w:rFonts w:cs="Arial"/>
          <w:b/>
          <w:szCs w:val="20"/>
        </w:rPr>
        <w:t>na mobilitu</w:t>
      </w:r>
      <w:r w:rsidRPr="00AB64E8">
        <w:rPr>
          <w:rFonts w:cs="Arial"/>
          <w:szCs w:val="20"/>
        </w:rPr>
        <w:t xml:space="preserve"> pro osoby s nárokem na průkaz ZTP ne</w:t>
      </w:r>
      <w:r w:rsidR="00B03535">
        <w:rPr>
          <w:rFonts w:cs="Arial"/>
          <w:szCs w:val="20"/>
        </w:rPr>
        <w:t>bo ZTP/P, které se opakovaně za </w:t>
      </w:r>
      <w:r w:rsidRPr="00AB64E8">
        <w:rPr>
          <w:rFonts w:cs="Arial"/>
          <w:szCs w:val="20"/>
        </w:rPr>
        <w:t>úhradu dopravují, dosáhly</w:t>
      </w:r>
      <w:r>
        <w:rPr>
          <w:rFonts w:cs="Arial"/>
          <w:szCs w:val="20"/>
        </w:rPr>
        <w:t xml:space="preserve"> v roce 2019 výše 1 721 mil. Kč. Od roku 2014 do 2017 se pohybovaly průměrné výdaje na příspěvek na mobilitu okolo 1,2 mld. Kč. V roce 2018 došlo k nárůstu těchto výdajů o 37 %, což bylo ovlivněno zvýšením původní částky ve výši 400 Kč měsíčně na 550 Kč. Uvedená změna vešla v platnost </w:t>
      </w:r>
      <w:r>
        <w:rPr>
          <w:rFonts w:cs="Arial"/>
          <w:szCs w:val="20"/>
        </w:rPr>
        <w:lastRenderedPageBreak/>
        <w:t>v</w:t>
      </w:r>
      <w:r w:rsidR="00B03535">
        <w:rPr>
          <w:rFonts w:cs="Arial"/>
          <w:szCs w:val="20"/>
        </w:rPr>
        <w:t> </w:t>
      </w:r>
      <w:r>
        <w:rPr>
          <w:rFonts w:cs="Arial"/>
          <w:szCs w:val="20"/>
        </w:rPr>
        <w:t>lednu 2018. Mezi roky 2018 a 2019 došlo k nárůstu výdajů o 4 %, což víceméně ko</w:t>
      </w:r>
      <w:r w:rsidR="00B03535">
        <w:rPr>
          <w:rFonts w:cs="Arial"/>
          <w:szCs w:val="20"/>
        </w:rPr>
        <w:t>píruje trend roků </w:t>
      </w:r>
      <w:r>
        <w:rPr>
          <w:rFonts w:cs="Arial"/>
          <w:szCs w:val="20"/>
        </w:rPr>
        <w:t>2014-2017.</w:t>
      </w:r>
    </w:p>
    <w:p w14:paraId="14BCE394" w14:textId="1A4E57A9" w:rsidR="00B15DD3" w:rsidRDefault="00B15DD3" w:rsidP="00B15DD3">
      <w:pPr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>Výdaje</w:t>
      </w:r>
      <w:r w:rsidRPr="00AB64E8">
        <w:rPr>
          <w:rFonts w:cs="Arial"/>
          <w:szCs w:val="20"/>
        </w:rPr>
        <w:t xml:space="preserve"> </w:t>
      </w:r>
      <w:r w:rsidRPr="00AB64E8">
        <w:rPr>
          <w:rFonts w:cs="Arial"/>
          <w:b/>
          <w:szCs w:val="20"/>
        </w:rPr>
        <w:t xml:space="preserve">na </w:t>
      </w:r>
      <w:r>
        <w:rPr>
          <w:rFonts w:cs="Arial"/>
          <w:b/>
          <w:szCs w:val="20"/>
        </w:rPr>
        <w:t xml:space="preserve">příspěvky na </w:t>
      </w:r>
      <w:r w:rsidRPr="00AB64E8">
        <w:rPr>
          <w:rFonts w:cs="Arial"/>
          <w:b/>
          <w:szCs w:val="20"/>
        </w:rPr>
        <w:t>zvláštní pomůcku</w:t>
      </w:r>
      <w:r w:rsidRPr="00AB64E8">
        <w:rPr>
          <w:rFonts w:cs="Arial"/>
          <w:szCs w:val="20"/>
        </w:rPr>
        <w:t xml:space="preserve"> pro osoby s těžkou vadou nosného nebo pohybového ústrojí nebo s těžkým zrakovým či </w:t>
      </w:r>
      <w:r>
        <w:rPr>
          <w:rFonts w:cs="Arial"/>
          <w:szCs w:val="20"/>
        </w:rPr>
        <w:t>sluchovým postižením dosáhly v roce 2019 celkem</w:t>
      </w:r>
      <w:r w:rsidR="00B03535">
        <w:rPr>
          <w:rFonts w:cs="Arial"/>
          <w:szCs w:val="20"/>
        </w:rPr>
        <w:t xml:space="preserve"> 933 mil. Kč, což bylo zhruba o </w:t>
      </w:r>
      <w:bookmarkStart w:id="0" w:name="_GoBack"/>
      <w:bookmarkEnd w:id="0"/>
      <w:r>
        <w:rPr>
          <w:rFonts w:cs="Arial"/>
          <w:szCs w:val="20"/>
        </w:rPr>
        <w:t>40 mil. méně než v roce předchozím.</w:t>
      </w:r>
    </w:p>
    <w:p w14:paraId="2D735BC4" w14:textId="77777777" w:rsidR="00B15DD3" w:rsidRPr="00FF238F" w:rsidRDefault="00B15DD3" w:rsidP="00B15DD3"/>
    <w:p w14:paraId="3D942E1E" w14:textId="77777777" w:rsidR="00B15DD3" w:rsidRPr="001C3350" w:rsidRDefault="00B15DD3" w:rsidP="00B15DD3">
      <w:pPr>
        <w:spacing w:after="240"/>
        <w:jc w:val="both"/>
        <w:rPr>
          <w:rFonts w:cs="Arial"/>
          <w:szCs w:val="20"/>
        </w:rPr>
      </w:pPr>
    </w:p>
    <w:p w14:paraId="78BA0C69" w14:textId="77777777" w:rsidR="00B15DD3" w:rsidRPr="00B15DD3" w:rsidRDefault="00B15DD3" w:rsidP="00B15DD3">
      <w:pPr>
        <w:spacing w:after="240"/>
      </w:pPr>
    </w:p>
    <w:p w14:paraId="147B1E58" w14:textId="77777777" w:rsidR="003E78E5" w:rsidRPr="003E78E5" w:rsidRDefault="003E78E5" w:rsidP="003E78E5">
      <w:pPr>
        <w:spacing w:after="240"/>
      </w:pPr>
    </w:p>
    <w:p w14:paraId="5247D5BB" w14:textId="77777777" w:rsidR="003E78E5" w:rsidRDefault="003E78E5" w:rsidP="003E78E5">
      <w:pPr>
        <w:spacing w:after="240"/>
        <w:jc w:val="both"/>
        <w:rPr>
          <w:szCs w:val="20"/>
        </w:rPr>
      </w:pPr>
    </w:p>
    <w:p w14:paraId="28DF56E1" w14:textId="77777777" w:rsidR="003E78E5" w:rsidRDefault="003E78E5" w:rsidP="003E78E5">
      <w:pPr>
        <w:spacing w:after="240"/>
      </w:pPr>
    </w:p>
    <w:p w14:paraId="1B14B774" w14:textId="77777777" w:rsidR="003E78E5" w:rsidRPr="003E78E5" w:rsidRDefault="003E78E5" w:rsidP="003E78E5">
      <w:pPr>
        <w:spacing w:after="240"/>
      </w:pPr>
    </w:p>
    <w:sectPr w:rsidR="003E78E5" w:rsidRPr="003E78E5" w:rsidSect="00B5396C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134" w:right="1134" w:bottom="1418" w:left="1134" w:header="680" w:footer="680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A6F38" w14:textId="77777777" w:rsidR="003E33F9" w:rsidRDefault="003E33F9" w:rsidP="00E71A58">
      <w:r>
        <w:separator/>
      </w:r>
    </w:p>
  </w:endnote>
  <w:endnote w:type="continuationSeparator" w:id="0">
    <w:p w14:paraId="48DA4CA6" w14:textId="77777777" w:rsidR="003E33F9" w:rsidRDefault="003E33F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8C5D" w14:textId="17786F16" w:rsidR="007661E9" w:rsidRPr="00932443" w:rsidRDefault="0001699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6192" behindDoc="0" locked="0" layoutInCell="1" allowOverlap="1" wp14:anchorId="37C65CB9" wp14:editId="4FDFF258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B03535">
      <w:rPr>
        <w:szCs w:val="16"/>
      </w:rPr>
      <w:t>50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B15DD3">
      <w:rPr>
        <w:szCs w:val="16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EA70" w14:textId="13B4EAB9" w:rsidR="00B80EC6" w:rsidRPr="00932443" w:rsidRDefault="0001699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4144" behindDoc="0" locked="0" layoutInCell="1" allowOverlap="1" wp14:anchorId="5D6106EA" wp14:editId="6E531CE4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3E78E5">
      <w:rPr>
        <w:rStyle w:val="ZpatChar"/>
        <w:szCs w:val="16"/>
      </w:rPr>
      <w:t>2021</w:t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B03535">
      <w:rPr>
        <w:rStyle w:val="ZpatChar"/>
        <w:szCs w:val="16"/>
      </w:rPr>
      <w:t>49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6D598" w14:textId="77777777" w:rsidR="003E33F9" w:rsidRDefault="003E33F9" w:rsidP="00E71A58">
      <w:r>
        <w:separator/>
      </w:r>
    </w:p>
  </w:footnote>
  <w:footnote w:type="continuationSeparator" w:id="0">
    <w:p w14:paraId="6EDD262A" w14:textId="77777777" w:rsidR="003E33F9" w:rsidRDefault="003E33F9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3679" w14:textId="77777777" w:rsidR="00515C74" w:rsidRPr="00B15DD3" w:rsidRDefault="00B15DD3" w:rsidP="00B15DD3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 xml:space="preserve">Výsledky </w:t>
    </w:r>
    <w:r>
      <w:rPr>
        <w:b w:val="0"/>
        <w:color w:val="auto"/>
        <w:sz w:val="16"/>
        <w:szCs w:val="16"/>
      </w:rPr>
      <w:t>zdravotnických účtů ČR 2010–2019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00322" w14:textId="77777777" w:rsidR="00B5752E" w:rsidRPr="003E78E5" w:rsidRDefault="003E78E5" w:rsidP="003E78E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 xml:space="preserve">Výsledky </w:t>
    </w:r>
    <w:r>
      <w:rPr>
        <w:b w:val="0"/>
        <w:color w:val="auto"/>
        <w:sz w:val="16"/>
        <w:szCs w:val="16"/>
      </w:rPr>
      <w:t>zdravotnických účtů ČR 2010–2019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95pt;height:9.9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21244"/>
    <w:multiLevelType w:val="hybridMultilevel"/>
    <w:tmpl w:val="93965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C752F"/>
    <w:multiLevelType w:val="hybridMultilevel"/>
    <w:tmpl w:val="F1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760B6"/>
    <w:multiLevelType w:val="hybridMultilevel"/>
    <w:tmpl w:val="2EF6101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E5"/>
    <w:rsid w:val="0000209D"/>
    <w:rsid w:val="00004D5A"/>
    <w:rsid w:val="000056D5"/>
    <w:rsid w:val="0000767A"/>
    <w:rsid w:val="00010702"/>
    <w:rsid w:val="00016992"/>
    <w:rsid w:val="000234D6"/>
    <w:rsid w:val="00023D29"/>
    <w:rsid w:val="00024BD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B30FA"/>
    <w:rsid w:val="000C3408"/>
    <w:rsid w:val="000C6AFD"/>
    <w:rsid w:val="000D3CE3"/>
    <w:rsid w:val="000D5637"/>
    <w:rsid w:val="000E6FBD"/>
    <w:rsid w:val="00100F5C"/>
    <w:rsid w:val="0010437D"/>
    <w:rsid w:val="00104C4C"/>
    <w:rsid w:val="0012192F"/>
    <w:rsid w:val="00125D69"/>
    <w:rsid w:val="001405FA"/>
    <w:rsid w:val="001425C3"/>
    <w:rsid w:val="0016256B"/>
    <w:rsid w:val="00163793"/>
    <w:rsid w:val="001706D6"/>
    <w:rsid w:val="001714F2"/>
    <w:rsid w:val="00184B08"/>
    <w:rsid w:val="00185010"/>
    <w:rsid w:val="001A552F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A00BE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4327"/>
    <w:rsid w:val="00385D98"/>
    <w:rsid w:val="003878FC"/>
    <w:rsid w:val="00391A0A"/>
    <w:rsid w:val="003A2B4D"/>
    <w:rsid w:val="003A478C"/>
    <w:rsid w:val="003A5525"/>
    <w:rsid w:val="003A6B38"/>
    <w:rsid w:val="003B5A32"/>
    <w:rsid w:val="003C3490"/>
    <w:rsid w:val="003D6920"/>
    <w:rsid w:val="003E33F9"/>
    <w:rsid w:val="003E4C91"/>
    <w:rsid w:val="003E78E5"/>
    <w:rsid w:val="003F313C"/>
    <w:rsid w:val="003F4B2C"/>
    <w:rsid w:val="003F551C"/>
    <w:rsid w:val="003F7D23"/>
    <w:rsid w:val="00407C13"/>
    <w:rsid w:val="00410638"/>
    <w:rsid w:val="00432A58"/>
    <w:rsid w:val="00434617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5C0C"/>
    <w:rsid w:val="004F06F5"/>
    <w:rsid w:val="004F33A0"/>
    <w:rsid w:val="00500A8A"/>
    <w:rsid w:val="005108C0"/>
    <w:rsid w:val="00511873"/>
    <w:rsid w:val="00512A2F"/>
    <w:rsid w:val="00513B7E"/>
    <w:rsid w:val="00515C74"/>
    <w:rsid w:val="00516D1A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2F1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6F7137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D5DD1"/>
    <w:rsid w:val="007E2C9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2A3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55D1"/>
    <w:rsid w:val="009C719E"/>
    <w:rsid w:val="009D3ACD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03535"/>
    <w:rsid w:val="00B10A4D"/>
    <w:rsid w:val="00B15DD3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396C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A52EF"/>
    <w:rsid w:val="00BB46F3"/>
    <w:rsid w:val="00BB4CB1"/>
    <w:rsid w:val="00BB4F98"/>
    <w:rsid w:val="00BC7154"/>
    <w:rsid w:val="00BD366B"/>
    <w:rsid w:val="00BD6D50"/>
    <w:rsid w:val="00BE18B9"/>
    <w:rsid w:val="00BE2495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77E72"/>
    <w:rsid w:val="00C82191"/>
    <w:rsid w:val="00C90CF4"/>
    <w:rsid w:val="00C92EB6"/>
    <w:rsid w:val="00C93389"/>
    <w:rsid w:val="00CB4930"/>
    <w:rsid w:val="00CC2E7D"/>
    <w:rsid w:val="00CC6EB8"/>
    <w:rsid w:val="00CD10A5"/>
    <w:rsid w:val="00CD2076"/>
    <w:rsid w:val="00CE670B"/>
    <w:rsid w:val="00CF51EC"/>
    <w:rsid w:val="00CF73AE"/>
    <w:rsid w:val="00D040DD"/>
    <w:rsid w:val="00D13986"/>
    <w:rsid w:val="00D235B7"/>
    <w:rsid w:val="00D25F28"/>
    <w:rsid w:val="00D27973"/>
    <w:rsid w:val="00D50F46"/>
    <w:rsid w:val="00D66223"/>
    <w:rsid w:val="00D8084C"/>
    <w:rsid w:val="00DA7C0C"/>
    <w:rsid w:val="00DB2EC8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A32BC"/>
    <w:rsid w:val="00EB4511"/>
    <w:rsid w:val="00EC03D7"/>
    <w:rsid w:val="00ED62C6"/>
    <w:rsid w:val="00ED64C1"/>
    <w:rsid w:val="00EE3446"/>
    <w:rsid w:val="00EE3E78"/>
    <w:rsid w:val="00EE4B1B"/>
    <w:rsid w:val="00EF150D"/>
    <w:rsid w:val="00EF1F5A"/>
    <w:rsid w:val="00EF47BF"/>
    <w:rsid w:val="00EF521E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7670A"/>
    <w:rsid w:val="00F85066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2FF3804"/>
  <w15:docId w15:val="{E69CB6E3-11ED-40AF-B533-A773CB3F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8E5"/>
    <w:pPr>
      <w:spacing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EF521E"/>
    <w:pPr>
      <w:keepNext/>
      <w:keepLines/>
      <w:spacing w:after="10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EF521E"/>
    <w:rPr>
      <w:rFonts w:ascii="Arial" w:eastAsia="MS Gothic" w:hAnsi="Arial"/>
      <w:b/>
      <w:bCs/>
      <w:color w:val="BC091B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3E78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78E5"/>
    <w:pPr>
      <w:keepNext/>
      <w:spacing w:line="240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78E5"/>
    <w:rPr>
      <w:rFonts w:ascii="Arial" w:eastAsia="Times New Roman" w:hAnsi="Arial"/>
      <w:lang w:eastAsia="cs-CZ"/>
    </w:rPr>
  </w:style>
  <w:style w:type="character" w:customStyle="1" w:styleId="st">
    <w:name w:val="st"/>
    <w:basedOn w:val="Standardnpsmoodstavce"/>
    <w:rsid w:val="003E78E5"/>
  </w:style>
  <w:style w:type="paragraph" w:styleId="Normlnweb">
    <w:name w:val="Normal (Web)"/>
    <w:basedOn w:val="Normln"/>
    <w:uiPriority w:val="99"/>
    <w:unhideWhenUsed/>
    <w:rsid w:val="00B15DD3"/>
    <w:pPr>
      <w:spacing w:before="100" w:beforeAutospacing="1" w:after="100" w:afterAutospacing="1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B15DD3"/>
    <w:pPr>
      <w:spacing w:before="120" w:after="120" w:line="240" w:lineRule="auto"/>
      <w:ind w:left="720"/>
      <w:contextualSpacing/>
      <w:jc w:val="both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2EF"/>
    <w:pPr>
      <w:keepNext w:val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52EF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024BD9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Soci%C3%A1ln%C3%AD_pracovn%C3%ADk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kysova23070\Documents\ved\kontroly\zdravotnictv&#237;\2021_1\Publikace%20bar%20CZ_lide%20a%20spolecnost_2017-08-14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2\DATA\DATA\ZPRAC\TECHNOL\oddeleni_6301\1_Zdravotnictv&#237;\SHA%20zdravotnick&#233;%20&#250;&#269;ty\ANAL&#221;ZA%20SHA%202010-2019\Kapitola_4_dl.p&#233;&#269;e_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2\DATA\DATA\ZPRAC\TECHNOL\oddeleni_6301\1_Zdravotnictv&#237;\SHA%20zdravotnick&#233;%20&#250;&#269;ty\ANAL&#221;ZA%20SHA%202010-2019\Kapitola_4_dl.p&#233;&#269;e_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2\DATA\DATA\ZPRAC\TECHNOL\oddeleni_6301\1_Zdravotnictv&#237;\SHA%20zdravotnick&#233;%20&#250;&#269;ty\ANAL&#221;ZA%20SHA%202010-2019\Kapitola_4_dl.p&#233;&#269;e_grafy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lojkova21784\Desktop\Kapitola%204%20_grafy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lojkova21784\Desktop\Kapitola%204%20_grafy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ABFS2\DATA\DATA\ZPRAC\TECHNOL\oddeleni_6301\1_Zdravotnictv&#237;\SHA%20zdravotnick&#233;%20&#250;&#269;ty\ANAL&#221;ZA%20SHA%202010-2019\Kapitola_4_dl.p&#233;&#269;e_grafy.xlsx" TargetMode="External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lojkova21784\Desktop\Kapitola%204%20_graf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jkova21784\Desktop\Kapitola%204%20_grafy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jkova21784\Desktop\Kapitola%204%20_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25300382228342E-2"/>
          <c:y val="6.6128929005825496E-2"/>
          <c:w val="0.90606920403606261"/>
          <c:h val="0.700820055621641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'Graf č.4.1.'!$A$55</c:f>
              <c:strCache>
                <c:ptCount val="1"/>
                <c:pt idx="0">
                  <c:v>Dlouhodobá zdravotní (dlouhodobá lůžková, denní a domácí)</c:v>
                </c:pt>
              </c:strCache>
            </c:strRef>
          </c:tx>
          <c:spPr>
            <a:solidFill>
              <a:srgbClr val="D96D75"/>
            </a:solidFill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7F2-4A74-88F3-A9C603E4EDEE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7F2-4A74-88F3-A9C603E4EDEE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7F2-4A74-88F3-A9C603E4EDEE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7F2-4A74-88F3-A9C603E4EDEE}"/>
                </c:ext>
              </c:extLst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7F2-4A74-88F3-A9C603E4EDEE}"/>
                </c:ext>
              </c:extLst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7F2-4A74-88F3-A9C603E4EDEE}"/>
                </c:ext>
              </c:extLst>
            </c:dLbl>
            <c:dLbl>
              <c:idx val="6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7F2-4A74-88F3-A9C603E4EDEE}"/>
                </c:ext>
              </c:extLst>
            </c:dLbl>
            <c:dLbl>
              <c:idx val="7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7F2-4A74-88F3-A9C603E4EDEE}"/>
                </c:ext>
              </c:extLst>
            </c:dLbl>
            <c:dLbl>
              <c:idx val="8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7F2-4A74-88F3-A9C603E4EDEE}"/>
                </c:ext>
              </c:extLst>
            </c:dLbl>
            <c:dLbl>
              <c:idx val="9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7F2-4A74-88F3-A9C603E4EDE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'Graf č.4.1.'!$B$54:$K$54</c:f>
              <c:strCach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strCache>
            </c:strRef>
          </c:cat>
          <c:val>
            <c:numRef>
              <c:f>'Graf č.4.1.'!$B$55:$K$55</c:f>
              <c:numCache>
                <c:formatCode>0.0</c:formatCode>
                <c:ptCount val="10"/>
                <c:pt idx="0">
                  <c:v>35.748016043945661</c:v>
                </c:pt>
                <c:pt idx="1">
                  <c:v>36.355188437682799</c:v>
                </c:pt>
                <c:pt idx="2">
                  <c:v>36.388970534194428</c:v>
                </c:pt>
                <c:pt idx="3">
                  <c:v>37.751910682648564</c:v>
                </c:pt>
                <c:pt idx="4">
                  <c:v>43.189732067056191</c:v>
                </c:pt>
                <c:pt idx="5">
                  <c:v>41.310670077687284</c:v>
                </c:pt>
                <c:pt idx="6">
                  <c:v>43.947607224498235</c:v>
                </c:pt>
                <c:pt idx="7">
                  <c:v>49.005209473449632</c:v>
                </c:pt>
                <c:pt idx="8">
                  <c:v>55.090636937620758</c:v>
                </c:pt>
                <c:pt idx="9">
                  <c:v>61.549988649000028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7F2-4A74-88F3-A9C603E4EDEE}"/>
            </c:ext>
          </c:extLst>
        </c:ser>
        <c:ser>
          <c:idx val="1"/>
          <c:order val="1"/>
          <c:tx>
            <c:strRef>
              <c:f>'Graf č.4.1.'!$A$56</c:f>
              <c:strCache>
                <c:ptCount val="1"/>
                <c:pt idx="0">
                  <c:v>Dlouhodobá sociální ( peněžité dávky a sociální služby)</c:v>
                </c:pt>
              </c:strCache>
            </c:strRef>
          </c:tx>
          <c:spPr>
            <a:solidFill>
              <a:srgbClr val="648FC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'Graf č.4.1.'!$B$54:$K$54</c:f>
              <c:strCach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strCache>
            </c:strRef>
          </c:cat>
          <c:val>
            <c:numRef>
              <c:f>'Graf č.4.1.'!$B$56:$K$56</c:f>
              <c:numCache>
                <c:formatCode>0.0</c:formatCode>
                <c:ptCount val="10"/>
                <c:pt idx="0">
                  <c:v>16.998922360000002</c:v>
                </c:pt>
                <c:pt idx="1">
                  <c:v>16.049514070000001</c:v>
                </c:pt>
                <c:pt idx="2">
                  <c:v>15.926341599999999</c:v>
                </c:pt>
                <c:pt idx="3">
                  <c:v>17.24097411172</c:v>
                </c:pt>
                <c:pt idx="4">
                  <c:v>18.077604577219997</c:v>
                </c:pt>
                <c:pt idx="5">
                  <c:v>18.611297441670001</c:v>
                </c:pt>
                <c:pt idx="6">
                  <c:v>20.147800696099999</c:v>
                </c:pt>
                <c:pt idx="7">
                  <c:v>21.79945531912</c:v>
                </c:pt>
                <c:pt idx="8">
                  <c:v>23.535843238610003</c:v>
                </c:pt>
                <c:pt idx="9">
                  <c:v>26.989000000000001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7F2-4A74-88F3-A9C603E4ED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279332352"/>
        <c:axId val="48256064"/>
      </c:barChart>
      <c:lineChart>
        <c:grouping val="standard"/>
        <c:varyColors val="0"/>
        <c:ser>
          <c:idx val="2"/>
          <c:order val="2"/>
          <c:tx>
            <c:strRef>
              <c:f>'Graf č.4.1.'!$A$57</c:f>
              <c:strCache>
                <c:ptCount val="1"/>
                <c:pt idx="0">
                  <c:v>% z běžných výdajů na zdravotní péči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diamond"/>
            <c:size val="7"/>
            <c:spPr>
              <a:solidFill>
                <a:srgbClr val="FFC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5.0976409013962019E-2"/>
                  <c:y val="-2.6737517407404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77F2-4A74-88F3-A9C603E4EDEE}"/>
                </c:ext>
              </c:extLst>
            </c:dLbl>
            <c:dLbl>
              <c:idx val="1"/>
              <c:layout>
                <c:manualLayout>
                  <c:x val="-3.7169702899563589E-2"/>
                  <c:y val="-3.88955759983968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7F2-4A74-88F3-A9C603E4EDEE}"/>
                </c:ext>
              </c:extLst>
            </c:dLbl>
            <c:dLbl>
              <c:idx val="9"/>
              <c:layout>
                <c:manualLayout>
                  <c:x val="-4.5331063229049055E-2"/>
                  <c:y val="-3.3446524882246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7F2-4A74-88F3-A9C603E4EDEE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'Graf č.4.1.'!$B$54:$K$54</c:f>
              <c:strCach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strCache>
            </c:strRef>
          </c:cat>
          <c:val>
            <c:numRef>
              <c:f>'Graf č.4.1.'!$B$57:$K$57</c:f>
              <c:numCache>
                <c:formatCode>0.0%</c:formatCode>
                <c:ptCount val="10"/>
                <c:pt idx="0">
                  <c:v>0.15800034750617864</c:v>
                </c:pt>
                <c:pt idx="1">
                  <c:v>0.15693019913844186</c:v>
                </c:pt>
                <c:pt idx="2">
                  <c:v>0.15501902820184207</c:v>
                </c:pt>
                <c:pt idx="3">
                  <c:v>0.16196028873195686</c:v>
                </c:pt>
                <c:pt idx="4">
                  <c:v>0.17809472984250199</c:v>
                </c:pt>
                <c:pt idx="5">
                  <c:v>0.17021370824803828</c:v>
                </c:pt>
                <c:pt idx="6">
                  <c:v>0.17723206675479541</c:v>
                </c:pt>
                <c:pt idx="7">
                  <c:v>0.18276888175676212</c:v>
                </c:pt>
                <c:pt idx="8">
                  <c:v>0.18246095579947885</c:v>
                </c:pt>
                <c:pt idx="9">
                  <c:v>0.18533501317535095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77F2-4A74-88F3-A9C603E4ED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9332864"/>
        <c:axId val="48256640"/>
      </c:lineChart>
      <c:catAx>
        <c:axId val="279332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3175">
            <a:solidFill>
              <a:schemeClr val="bg1">
                <a:lumMod val="75000"/>
              </a:schemeClr>
            </a:solidFill>
          </a:ln>
        </c:spPr>
        <c:crossAx val="48256064"/>
        <c:crosses val="autoZero"/>
        <c:auto val="1"/>
        <c:lblAlgn val="ctr"/>
        <c:lblOffset val="100"/>
        <c:noMultiLvlLbl val="0"/>
      </c:catAx>
      <c:valAx>
        <c:axId val="48256064"/>
        <c:scaling>
          <c:orientation val="minMax"/>
          <c:max val="10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chemeClr val="bg1">
                <a:lumMod val="75000"/>
              </a:schemeClr>
            </a:solidFill>
          </a:ln>
        </c:spPr>
        <c:crossAx val="279332352"/>
        <c:crosses val="autoZero"/>
        <c:crossBetween val="between"/>
        <c:majorUnit val="25"/>
      </c:valAx>
      <c:valAx>
        <c:axId val="48256640"/>
        <c:scaling>
          <c:orientation val="minMax"/>
          <c:max val="0.2"/>
        </c:scaling>
        <c:delete val="0"/>
        <c:axPos val="r"/>
        <c:numFmt formatCode="0%" sourceLinked="0"/>
        <c:majorTickMark val="out"/>
        <c:minorTickMark val="none"/>
        <c:tickLblPos val="nextTo"/>
        <c:crossAx val="279332864"/>
        <c:crosses val="max"/>
        <c:crossBetween val="between"/>
        <c:majorUnit val="5.000000000000001E-2"/>
      </c:valAx>
      <c:catAx>
        <c:axId val="2793328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8256640"/>
        <c:crosses val="autoZero"/>
        <c:auto val="1"/>
        <c:lblAlgn val="ctr"/>
        <c:lblOffset val="100"/>
        <c:noMultiLvlLbl val="0"/>
      </c:catAx>
      <c:spPr>
        <a:ln>
          <a:solidFill>
            <a:schemeClr val="bg1">
              <a:lumMod val="7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1.6608185170883489E-2"/>
          <c:y val="0.83146999463540661"/>
          <c:w val="0.96629455341750925"/>
          <c:h val="0.14204867099401386"/>
        </c:manualLayout>
      </c:layout>
      <c:overlay val="0"/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txPr>
    <a:bodyPr/>
    <a:lstStyle/>
    <a:p>
      <a:pPr>
        <a:defRPr sz="8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55555555555555E-2"/>
          <c:y val="5.0925925925925923E-2"/>
          <c:w val="0.8015732542898576"/>
          <c:h val="0.74967848241432034"/>
        </c:manualLayout>
      </c:layout>
      <c:barChart>
        <c:barDir val="col"/>
        <c:grouping val="stacked"/>
        <c:varyColors val="0"/>
        <c:ser>
          <c:idx val="3"/>
          <c:order val="0"/>
          <c:tx>
            <c:strRef>
              <c:f>'Graf č.4.2.'!$A$17</c:f>
              <c:strCache>
                <c:ptCount val="1"/>
                <c:pt idx="0">
                  <c:v>Ostatní (1)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č.4.2.'!$B$13:$I$13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č.4.2.'!$B$17:$I$17</c:f>
              <c:numCache>
                <c:formatCode>0%</c:formatCode>
                <c:ptCount val="6"/>
                <c:pt idx="0">
                  <c:v>5.553052656640417E-2</c:v>
                </c:pt>
                <c:pt idx="1">
                  <c:v>5.8367618028232489E-2</c:v>
                </c:pt>
                <c:pt idx="2">
                  <c:v>5.7814803763954446E-2</c:v>
                </c:pt>
                <c:pt idx="3">
                  <c:v>6.150164493931732E-2</c:v>
                </c:pt>
                <c:pt idx="4">
                  <c:v>6.4446306489271535E-2</c:v>
                </c:pt>
                <c:pt idx="5">
                  <c:v>6.3437393251311286E-2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76-4F5E-8711-043DC0FD734B}"/>
            </c:ext>
          </c:extLst>
        </c:ser>
        <c:ser>
          <c:idx val="0"/>
          <c:order val="1"/>
          <c:tx>
            <c:strRef>
              <c:f>'Graf č.4.2.'!$A$14</c:f>
              <c:strCache>
                <c:ptCount val="1"/>
                <c:pt idx="0">
                  <c:v>Lůžková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č.4.2.'!$B$13:$I$13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č.4.2.'!$B$14:$I$14</c:f>
              <c:numCache>
                <c:formatCode>0%</c:formatCode>
                <c:ptCount val="6"/>
                <c:pt idx="0">
                  <c:v>0.59665616937913413</c:v>
                </c:pt>
                <c:pt idx="1">
                  <c:v>0.5815205560870581</c:v>
                </c:pt>
                <c:pt idx="2">
                  <c:v>0.5795023357759379</c:v>
                </c:pt>
                <c:pt idx="3">
                  <c:v>0.58337629375775724</c:v>
                </c:pt>
                <c:pt idx="4">
                  <c:v>0.5908361996174476</c:v>
                </c:pt>
                <c:pt idx="5">
                  <c:v>0.58419998272234841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76-4F5E-8711-043DC0FD734B}"/>
            </c:ext>
          </c:extLst>
        </c:ser>
        <c:ser>
          <c:idx val="1"/>
          <c:order val="2"/>
          <c:tx>
            <c:strRef>
              <c:f>'Graf č.4.2.'!$A$15</c:f>
              <c:strCache>
                <c:ptCount val="1"/>
                <c:pt idx="0">
                  <c:v>Peněžité dávky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č.4.2.'!$B$13:$I$13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č.4.2.'!$B$15:$I$15</c:f>
              <c:numCache>
                <c:formatCode>0%</c:formatCode>
                <c:ptCount val="6"/>
                <c:pt idx="0">
                  <c:v>0.26195269959441431</c:v>
                </c:pt>
                <c:pt idx="1">
                  <c:v>0.28069839319889556</c:v>
                </c:pt>
                <c:pt idx="2">
                  <c:v>0.28406091154852986</c:v>
                </c:pt>
                <c:pt idx="3">
                  <c:v>0.27412035713834515</c:v>
                </c:pt>
                <c:pt idx="4">
                  <c:v>0.26325736512185149</c:v>
                </c:pt>
                <c:pt idx="5">
                  <c:v>0.26932767545531844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76-4F5E-8711-043DC0FD734B}"/>
            </c:ext>
          </c:extLst>
        </c:ser>
        <c:ser>
          <c:idx val="2"/>
          <c:order val="3"/>
          <c:tx>
            <c:strRef>
              <c:f>'Graf č.4.2.'!$A$16</c:f>
              <c:strCache>
                <c:ptCount val="1"/>
                <c:pt idx="0">
                  <c:v>Domácí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č.4.2.'!$B$13:$I$13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č.4.2.'!$B$16:$I$16</c:f>
              <c:numCache>
                <c:formatCode>0%</c:formatCode>
                <c:ptCount val="6"/>
                <c:pt idx="0">
                  <c:v>8.5860604460047479E-2</c:v>
                </c:pt>
                <c:pt idx="1">
                  <c:v>7.9413432685813787E-2</c:v>
                </c:pt>
                <c:pt idx="2">
                  <c:v>7.8621948911577574E-2</c:v>
                </c:pt>
                <c:pt idx="3">
                  <c:v>8.1001704164580315E-2</c:v>
                </c:pt>
                <c:pt idx="4">
                  <c:v>8.1460128771429427E-2</c:v>
                </c:pt>
                <c:pt idx="5">
                  <c:v>8.3034948571021922E-2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76-4F5E-8711-043DC0FD73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279330816"/>
        <c:axId val="158108480"/>
      </c:barChart>
      <c:catAx>
        <c:axId val="27933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58108480"/>
        <c:crosses val="autoZero"/>
        <c:auto val="1"/>
        <c:lblAlgn val="ctr"/>
        <c:lblOffset val="100"/>
        <c:noMultiLvlLbl val="0"/>
      </c:catAx>
      <c:valAx>
        <c:axId val="158108480"/>
        <c:scaling>
          <c:orientation val="minMax"/>
          <c:max val="1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279330816"/>
        <c:crosses val="autoZero"/>
        <c:crossBetween val="between"/>
      </c:valAx>
      <c:spPr>
        <a:ln>
          <a:solidFill>
            <a:schemeClr val="bg1">
              <a:lumMod val="75000"/>
            </a:schemeClr>
          </a:solidFill>
        </a:ln>
      </c:spPr>
    </c:plotArea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55555555555555E-2"/>
          <c:y val="5.0925925925925923E-2"/>
          <c:w val="0.66952237180308105"/>
          <c:h val="0.74967848241432034"/>
        </c:manualLayout>
      </c:layout>
      <c:barChart>
        <c:barDir val="col"/>
        <c:grouping val="stacked"/>
        <c:varyColors val="0"/>
        <c:ser>
          <c:idx val="3"/>
          <c:order val="0"/>
          <c:tx>
            <c:strRef>
              <c:f>'Graf č.4.2.'!$A$24</c:f>
              <c:strCache>
                <c:ptCount val="1"/>
                <c:pt idx="0">
                  <c:v>Ostatní (1)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č.4.2.'!$B$20:$I$20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 formatCode="0">
                  <c:v>2016</c:v>
                </c:pt>
                <c:pt idx="3" formatCode="0">
                  <c:v>2017</c:v>
                </c:pt>
                <c:pt idx="4" formatCode="0">
                  <c:v>2018</c:v>
                </c:pt>
                <c:pt idx="5" formatCode="0">
                  <c:v>2019</c:v>
                </c:pt>
              </c:numCache>
            </c:numRef>
          </c:cat>
          <c:val>
            <c:numRef>
              <c:f>'Graf č.4.2.'!$B$24:$I$24</c:f>
              <c:numCache>
                <c:formatCode>#,##0.0</c:formatCode>
                <c:ptCount val="6"/>
                <c:pt idx="0">
                  <c:v>3.4488139962200002</c:v>
                </c:pt>
                <c:pt idx="1">
                  <c:v>3.49750251167</c:v>
                </c:pt>
                <c:pt idx="2" formatCode="0.0">
                  <c:v>3.7056634310999996</c:v>
                </c:pt>
                <c:pt idx="3" formatCode="0.0">
                  <c:v>4.3546033541199991</c:v>
                </c:pt>
                <c:pt idx="4" formatCode="0.0">
                  <c:v>5.0671862396100007</c:v>
                </c:pt>
                <c:pt idx="5" formatCode="0.0">
                  <c:v>5.6166826409999997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E-4281-BD6F-7D2499197347}"/>
            </c:ext>
          </c:extLst>
        </c:ser>
        <c:ser>
          <c:idx val="0"/>
          <c:order val="1"/>
          <c:tx>
            <c:strRef>
              <c:f>'Graf č.4.2.'!$A$21</c:f>
              <c:strCache>
                <c:ptCount val="1"/>
                <c:pt idx="0">
                  <c:v>Lůžková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č.4.2.'!$B$20:$I$20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 formatCode="0">
                  <c:v>2016</c:v>
                </c:pt>
                <c:pt idx="3" formatCode="0">
                  <c:v>2017</c:v>
                </c:pt>
                <c:pt idx="4" formatCode="0">
                  <c:v>2018</c:v>
                </c:pt>
                <c:pt idx="5" formatCode="0">
                  <c:v>2019</c:v>
                </c:pt>
              </c:numCache>
            </c:numRef>
          </c:cat>
          <c:val>
            <c:numRef>
              <c:f>'Graf č.4.2.'!$B$21:$I$21</c:f>
              <c:numCache>
                <c:formatCode>#,##0.0</c:formatCode>
                <c:ptCount val="6"/>
                <c:pt idx="0">
                  <c:v>37.056305335500028</c:v>
                </c:pt>
                <c:pt idx="1">
                  <c:v>34.845855873687285</c:v>
                </c:pt>
                <c:pt idx="2" formatCode="0.0">
                  <c:v>37.143438602498236</c:v>
                </c:pt>
                <c:pt idx="3" formatCode="0.0">
                  <c:v>41.305762927449628</c:v>
                </c:pt>
                <c:pt idx="4" formatCode="0.0">
                  <c:v>46.455370736620758</c:v>
                </c:pt>
                <c:pt idx="5" formatCode="0.0">
                  <c:v>51.724475639000012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1E-4281-BD6F-7D2499197347}"/>
            </c:ext>
          </c:extLst>
        </c:ser>
        <c:ser>
          <c:idx val="1"/>
          <c:order val="2"/>
          <c:tx>
            <c:strRef>
              <c:f>'Graf č.4.2.'!$A$22</c:f>
              <c:strCache>
                <c:ptCount val="1"/>
                <c:pt idx="0">
                  <c:v>Peněžité dávky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č.4.2.'!$B$20:$I$20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 formatCode="0">
                  <c:v>2016</c:v>
                </c:pt>
                <c:pt idx="3" formatCode="0">
                  <c:v>2017</c:v>
                </c:pt>
                <c:pt idx="4" formatCode="0">
                  <c:v>2018</c:v>
                </c:pt>
                <c:pt idx="5" formatCode="0">
                  <c:v>2019</c:v>
                </c:pt>
              </c:numCache>
            </c:numRef>
          </c:cat>
          <c:val>
            <c:numRef>
              <c:f>'Graf č.4.2.'!$B$22:$I$22</c:f>
              <c:numCache>
                <c:formatCode>#,##0.0</c:formatCode>
                <c:ptCount val="6"/>
                <c:pt idx="0">
                  <c:v>16.268999999999998</c:v>
                </c:pt>
                <c:pt idx="1">
                  <c:v>16.82</c:v>
                </c:pt>
                <c:pt idx="2" formatCode="0.0">
                  <c:v>18.207000000000001</c:v>
                </c:pt>
                <c:pt idx="3" formatCode="0.0">
                  <c:v>19.408999999999999</c:v>
                </c:pt>
                <c:pt idx="4" formatCode="0.0">
                  <c:v>20.699000000000002</c:v>
                </c:pt>
                <c:pt idx="5" formatCode="0.0">
                  <c:v>23.846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1E-4281-BD6F-7D2499197347}"/>
            </c:ext>
          </c:extLst>
        </c:ser>
        <c:ser>
          <c:idx val="2"/>
          <c:order val="3"/>
          <c:tx>
            <c:strRef>
              <c:f>'Graf č.4.2.'!$A$23</c:f>
              <c:strCache>
                <c:ptCount val="1"/>
                <c:pt idx="0">
                  <c:v>Domácí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č.4.2.'!$B$20:$I$20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 formatCode="0">
                  <c:v>2016</c:v>
                </c:pt>
                <c:pt idx="3" formatCode="0">
                  <c:v>2017</c:v>
                </c:pt>
                <c:pt idx="4" formatCode="0">
                  <c:v>2018</c:v>
                </c:pt>
                <c:pt idx="5" formatCode="0">
                  <c:v>2019</c:v>
                </c:pt>
              </c:numCache>
            </c:numRef>
          </c:cat>
          <c:val>
            <c:numRef>
              <c:f>'Graf č.4.2.'!$B$23:$I$23</c:f>
              <c:numCache>
                <c:formatCode>#,##0.0</c:formatCode>
                <c:ptCount val="6"/>
                <c:pt idx="0">
                  <c:v>4.4790000000000001</c:v>
                </c:pt>
                <c:pt idx="1">
                  <c:v>4.7586091340000003</c:v>
                </c:pt>
                <c:pt idx="2" formatCode="0.0">
                  <c:v>5.0393058870000003</c:v>
                </c:pt>
                <c:pt idx="3" formatCode="0.0">
                  <c:v>5.7352985109999999</c:v>
                </c:pt>
                <c:pt idx="4" formatCode="0.0">
                  <c:v>6.4049231999999998</c:v>
                </c:pt>
                <c:pt idx="5" formatCode="0.0">
                  <c:v>7.3518303690000106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1E-4281-BD6F-7D24991973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279330816"/>
        <c:axId val="158108480"/>
      </c:barChart>
      <c:catAx>
        <c:axId val="27933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58108480"/>
        <c:crosses val="autoZero"/>
        <c:auto val="1"/>
        <c:lblAlgn val="ctr"/>
        <c:lblOffset val="100"/>
        <c:noMultiLvlLbl val="0"/>
      </c:catAx>
      <c:valAx>
        <c:axId val="158108480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279330816"/>
        <c:crosses val="autoZero"/>
        <c:crossBetween val="between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77617615442229404"/>
          <c:y val="4.6541536519598109E-2"/>
          <c:w val="0.19467976803540263"/>
          <c:h val="0.75867266051786719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991941796749092"/>
          <c:y val="0.12166529457216274"/>
          <c:w val="0.48095368195934574"/>
          <c:h val="0.78202598349892749"/>
        </c:manualLayout>
      </c:layout>
      <c:pieChart>
        <c:varyColors val="1"/>
        <c:ser>
          <c:idx val="0"/>
          <c:order val="0"/>
          <c:spPr>
            <a:solidFill>
              <a:srgbClr val="D96D75"/>
            </a:solidFill>
          </c:spPr>
          <c:dPt>
            <c:idx val="0"/>
            <c:bubble3D val="0"/>
            <c:spPr>
              <a:solidFill>
                <a:srgbClr val="D96D75"/>
              </a:solidFill>
              <a:ln>
                <a:solidFill>
                  <a:srgbClr val="D96D75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9CA6-4D34-9ECB-45073E794403}"/>
              </c:ext>
            </c:extLst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accent4">
                    <a:lumMod val="40000"/>
                    <a:lumOff val="6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9CA6-4D34-9ECB-45073E794403}"/>
              </c:ext>
            </c:extLst>
          </c:dPt>
          <c:dPt>
            <c:idx val="2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accent2">
                    <a:lumMod val="40000"/>
                    <a:lumOff val="6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9CA6-4D34-9ECB-45073E794403}"/>
              </c:ext>
            </c:extLst>
          </c:dPt>
          <c:dLbls>
            <c:dLbl>
              <c:idx val="0"/>
              <c:layout>
                <c:manualLayout>
                  <c:x val="9.7222222222222127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CA6-4D34-9ECB-45073E794403}"/>
                </c:ext>
              </c:extLst>
            </c:dLbl>
            <c:dLbl>
              <c:idx val="1"/>
              <c:layout>
                <c:manualLayout>
                  <c:x val="-3.6111111111111135E-2"/>
                  <c:y val="-4.629629629629629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CA6-4D34-9ECB-45073E794403}"/>
                </c:ext>
              </c:extLst>
            </c:dLbl>
            <c:dLbl>
              <c:idx val="2"/>
              <c:layout>
                <c:manualLayout>
                  <c:x val="-4.166666666666672E-2"/>
                  <c:y val="-4.629629629629624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CA6-4D34-9ECB-45073E794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'Graf č.4.3.'!$A$22:$A$24</c:f>
              <c:strCache>
                <c:ptCount val="3"/>
                <c:pt idx="0">
                  <c:v>Lůžková</c:v>
                </c:pt>
                <c:pt idx="1">
                  <c:v>Denní</c:v>
                </c:pt>
                <c:pt idx="2">
                  <c:v>Domácí</c:v>
                </c:pt>
              </c:strCache>
            </c:strRef>
          </c:cat>
          <c:val>
            <c:numRef>
              <c:f>'Graf č.4.3.'!$B$22:$B$24</c:f>
              <c:numCache>
                <c:formatCode>#,##0.0</c:formatCode>
                <c:ptCount val="3"/>
                <c:pt idx="0">
                  <c:v>51.7</c:v>
                </c:pt>
                <c:pt idx="1">
                  <c:v>2.5</c:v>
                </c:pt>
                <c:pt idx="2">
                  <c:v>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6-4D34-9ECB-45073E794403}"/>
            </c:ext>
          </c:extLst>
        </c:ser>
        <c:ser>
          <c:idx val="1"/>
          <c:order val="1"/>
          <c:cat>
            <c:strRef>
              <c:f>'Graf č.4.3.'!$A$22:$A$24</c:f>
              <c:strCache>
                <c:ptCount val="3"/>
                <c:pt idx="0">
                  <c:v>Lůžková</c:v>
                </c:pt>
                <c:pt idx="1">
                  <c:v>Denní</c:v>
                </c:pt>
                <c:pt idx="2">
                  <c:v>Domácí</c:v>
                </c:pt>
              </c:strCache>
            </c:strRef>
          </c:cat>
          <c:val>
            <c:numRef>
              <c:f>'Graf č.4.3.'!$C$22:$C$24</c:f>
              <c:numCache>
                <c:formatCode>0%</c:formatCode>
                <c:ptCount val="3"/>
                <c:pt idx="0">
                  <c:v>0.8392857142857143</c:v>
                </c:pt>
                <c:pt idx="1">
                  <c:v>4.0584415584415584E-2</c:v>
                </c:pt>
                <c:pt idx="2">
                  <c:v>0.12012987012987013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CA6-4D34-9ECB-45073E7944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'Graf č.4.4'!$E$3</c:f>
              <c:strCache>
                <c:ptCount val="1"/>
                <c:pt idx="0">
                  <c:v>Peněžité dávky</c:v>
                </c:pt>
              </c:strCache>
            </c:strRef>
          </c:tx>
          <c:spPr>
            <a:solidFill>
              <a:srgbClr val="0070C0"/>
            </a:solidFill>
          </c:spPr>
          <c:dPt>
            <c:idx val="0"/>
            <c:bubble3D val="0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340B-4F32-80D8-7E0593650D60}"/>
              </c:ext>
            </c:extLst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1">
                    <a:lumMod val="40000"/>
                    <a:lumOff val="6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340B-4F32-80D8-7E0593650D60}"/>
              </c:ext>
            </c:extLst>
          </c:dPt>
          <c:dLbls>
            <c:dLbl>
              <c:idx val="0"/>
              <c:layout>
                <c:manualLayout>
                  <c:x val="0.19813519813519814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Peněžité dávky 89</a:t>
                    </a:r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 </a:t>
                    </a:r>
                    <a:r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40B-4F32-80D8-7E0593650D60}"/>
                </c:ext>
              </c:extLst>
            </c:dLbl>
            <c:dLbl>
              <c:idx val="1"/>
              <c:layout>
                <c:manualLayout>
                  <c:x val="0.15384615384615385"/>
                  <c:y val="-1.508722076761879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Sociální služby 11 %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40B-4F32-80D8-7E0593650D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'Graf č.4.4'!$F$3:$G$3</c:f>
              <c:numCache>
                <c:formatCode>0%</c:formatCode>
                <c:ptCount val="2"/>
                <c:pt idx="0" formatCode="0.0">
                  <c:v>23.8</c:v>
                </c:pt>
                <c:pt idx="1">
                  <c:v>0.89473684210526316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0B-4F32-80D8-7E0593650D60}"/>
            </c:ext>
          </c:extLst>
        </c:ser>
        <c:ser>
          <c:idx val="1"/>
          <c:order val="1"/>
          <c:tx>
            <c:strRef>
              <c:f>'Graf č.4.4'!$E$4</c:f>
              <c:strCache>
                <c:ptCount val="1"/>
                <c:pt idx="0">
                  <c:v>Sociální služby</c:v>
                </c:pt>
              </c:strCache>
            </c:strRef>
          </c:tx>
          <c:val>
            <c:numRef>
              <c:f>'Graf č.4.4'!$F$4:$G$4</c:f>
              <c:numCache>
                <c:formatCode>0%</c:formatCode>
                <c:ptCount val="2"/>
                <c:pt idx="0" formatCode="0.0">
                  <c:v>3.1429999999999998</c:v>
                </c:pt>
                <c:pt idx="1">
                  <c:v>0.10526315789473684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40B-4F32-80D8-7E0593650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487563780103772E-2"/>
          <c:y val="6.042687085374171E-2"/>
          <c:w val="0.87600254688251789"/>
          <c:h val="0.67454989918870845"/>
        </c:manualLayout>
      </c:layout>
      <c:barChart>
        <c:barDir val="col"/>
        <c:grouping val="stacked"/>
        <c:varyColors val="0"/>
        <c:ser>
          <c:idx val="2"/>
          <c:order val="0"/>
          <c:tx>
            <c:strRef>
              <c:f>'Graf 4.5.'!$A$64</c:f>
              <c:strCache>
                <c:ptCount val="1"/>
                <c:pt idx="0">
                  <c:v>Sociálně aktivizační služby 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4.5.'!$B$61:$H$61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4.5.'!$B$64:$H$64</c:f>
              <c:numCache>
                <c:formatCode>#,##0</c:formatCode>
                <c:ptCount val="6"/>
                <c:pt idx="0">
                  <c:v>131</c:v>
                </c:pt>
                <c:pt idx="1">
                  <c:v>127</c:v>
                </c:pt>
                <c:pt idx="2">
                  <c:v>131</c:v>
                </c:pt>
                <c:pt idx="3">
                  <c:v>157</c:v>
                </c:pt>
                <c:pt idx="4">
                  <c:v>179</c:v>
                </c:pt>
                <c:pt idx="5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86-400A-A69A-D51E557800D6}"/>
            </c:ext>
          </c:extLst>
        </c:ser>
        <c:ser>
          <c:idx val="3"/>
          <c:order val="1"/>
          <c:tx>
            <c:strRef>
              <c:f>'Graf 4.5.'!$A$65</c:f>
              <c:strCache>
                <c:ptCount val="1"/>
                <c:pt idx="0">
                  <c:v>Terapeutické komunity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FFFF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4.5.'!$B$61:$H$61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4.5.'!$B$65:$H$65</c:f>
              <c:numCache>
                <c:formatCode>#,##0</c:formatCode>
                <c:ptCount val="6"/>
                <c:pt idx="0">
                  <c:v>81</c:v>
                </c:pt>
                <c:pt idx="1">
                  <c:v>83</c:v>
                </c:pt>
                <c:pt idx="2" formatCode="General">
                  <c:v>83</c:v>
                </c:pt>
                <c:pt idx="3">
                  <c:v>86</c:v>
                </c:pt>
                <c:pt idx="4" formatCode="General">
                  <c:v>106</c:v>
                </c:pt>
                <c:pt idx="5" formatCode="General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86-400A-A69A-D51E557800D6}"/>
            </c:ext>
          </c:extLst>
        </c:ser>
        <c:ser>
          <c:idx val="4"/>
          <c:order val="2"/>
          <c:tx>
            <c:strRef>
              <c:f>'Graf 4.5.'!$A$66</c:f>
              <c:strCache>
                <c:ptCount val="1"/>
                <c:pt idx="0">
                  <c:v>Ostatní (1)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4.5.'!$B$61:$H$61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4.5.'!$B$66:$H$66</c:f>
              <c:numCache>
                <c:formatCode>General</c:formatCode>
                <c:ptCount val="6"/>
                <c:pt idx="0">
                  <c:v>185</c:v>
                </c:pt>
                <c:pt idx="1">
                  <c:v>202</c:v>
                </c:pt>
                <c:pt idx="2">
                  <c:v>220</c:v>
                </c:pt>
                <c:pt idx="3">
                  <c:v>266</c:v>
                </c:pt>
                <c:pt idx="4" formatCode="#,##0">
                  <c:v>329</c:v>
                </c:pt>
                <c:pt idx="5" formatCode="#,##0">
                  <c:v>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86-400A-A69A-D51E557800D6}"/>
            </c:ext>
          </c:extLst>
        </c:ser>
        <c:ser>
          <c:idx val="1"/>
          <c:order val="3"/>
          <c:tx>
            <c:strRef>
              <c:f>'Graf 4.5.'!$A$63</c:f>
              <c:strCache>
                <c:ptCount val="1"/>
                <c:pt idx="0">
                  <c:v>Sociální rehabilitace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</c:spPr>
          <c:invertIfNegative val="0"/>
          <c:dLbls>
            <c:spPr>
              <a:solidFill>
                <a:schemeClr val="accent6">
                  <a:lumMod val="75000"/>
                </a:schemeClr>
              </a:solidFill>
            </c:spPr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4.5.'!$B$61:$H$61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4.5.'!$B$63:$H$63</c:f>
              <c:numCache>
                <c:formatCode>#,##0</c:formatCode>
                <c:ptCount val="6"/>
                <c:pt idx="0">
                  <c:v>650</c:v>
                </c:pt>
                <c:pt idx="1">
                  <c:v>485</c:v>
                </c:pt>
                <c:pt idx="2" formatCode="General">
                  <c:v>541</c:v>
                </c:pt>
                <c:pt idx="3">
                  <c:v>686</c:v>
                </c:pt>
                <c:pt idx="4">
                  <c:v>814</c:v>
                </c:pt>
                <c:pt idx="5">
                  <c:v>933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86-400A-A69A-D51E557800D6}"/>
            </c:ext>
          </c:extLst>
        </c:ser>
        <c:ser>
          <c:idx val="0"/>
          <c:order val="4"/>
          <c:tx>
            <c:strRef>
              <c:f>'Graf 4.5.'!$A$62</c:f>
              <c:strCache>
                <c:ptCount val="1"/>
                <c:pt idx="0">
                  <c:v>Chráněné bydlení</c:v>
                </c:pt>
              </c:strCache>
            </c:strRef>
          </c:tx>
          <c:spPr>
            <a:solidFill>
              <a:srgbClr val="953735"/>
            </a:solidFill>
            <a:ln>
              <a:solidFill>
                <a:srgbClr val="953735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4.5.'!$B$61:$H$61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4.5.'!$B$62:$H$62</c:f>
              <c:numCache>
                <c:formatCode>#,##0</c:formatCode>
                <c:ptCount val="6"/>
                <c:pt idx="0">
                  <c:v>708</c:v>
                </c:pt>
                <c:pt idx="1">
                  <c:v>836</c:v>
                </c:pt>
                <c:pt idx="2" formatCode="General">
                  <c:v>909</c:v>
                </c:pt>
                <c:pt idx="3">
                  <c:v>1135</c:v>
                </c:pt>
                <c:pt idx="4">
                  <c:v>1344</c:v>
                </c:pt>
                <c:pt idx="5">
                  <c:v>1480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86-400A-A69A-D51E557800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295614464"/>
        <c:axId val="311909696"/>
      </c:barChart>
      <c:catAx>
        <c:axId val="29561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crossAx val="311909696"/>
        <c:crosses val="autoZero"/>
        <c:auto val="1"/>
        <c:lblAlgn val="ctr"/>
        <c:lblOffset val="100"/>
        <c:noMultiLvlLbl val="0"/>
      </c:catAx>
      <c:valAx>
        <c:axId val="311909696"/>
        <c:scaling>
          <c:orientation val="minMax"/>
          <c:max val="3500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#,##0" sourceLinked="1"/>
        <c:majorTickMark val="out"/>
        <c:minorTickMark val="none"/>
        <c:tickLblPos val="nextTo"/>
        <c:spPr>
          <a:ln>
            <a:noFill/>
            <a:prstDash val="dash"/>
          </a:ln>
        </c:spPr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cs-CZ"/>
          </a:p>
        </c:txPr>
        <c:crossAx val="295614464"/>
        <c:crosses val="autoZero"/>
        <c:crossBetween val="between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1.3475449715127074E-2"/>
          <c:y val="0.81404746932959404"/>
          <c:w val="0.96375840215095088"/>
          <c:h val="0.16340932803839364"/>
        </c:manualLayout>
      </c:layout>
      <c:overlay val="0"/>
      <c:spPr>
        <a:ln>
          <a:solidFill>
            <a:schemeClr val="bg1">
              <a:lumMod val="85000"/>
            </a:schemeClr>
          </a:solidFill>
        </a:ln>
      </c:spPr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'Graf 4.5.'!$R$2</c:f>
              <c:strCache>
                <c:ptCount val="1"/>
                <c:pt idx="0">
                  <c:v>2019</c:v>
                </c:pt>
              </c:strCache>
            </c:strRef>
          </c:tx>
          <c:dPt>
            <c:idx val="0"/>
            <c:bubble3D val="0"/>
            <c:spPr>
              <a:solidFill>
                <a:srgbClr val="95373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01-4814-B769-4398B0F95F26}"/>
              </c:ext>
            </c:extLst>
          </c:dPt>
          <c:dPt>
            <c:idx val="1"/>
            <c:bubble3D val="0"/>
            <c:explosion val="1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01-4814-B769-4398B0F95F26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01-4814-B769-4398B0F95F26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401-4814-B769-4398B0F95F26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401-4814-B769-4398B0F95F26}"/>
              </c:ext>
            </c:extLst>
          </c:dPt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401-4814-B769-4398B0F95F26}"/>
                </c:ext>
              </c:extLst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401-4814-B769-4398B0F95F26}"/>
                </c:ext>
              </c:extLst>
            </c:dLbl>
            <c:dLbl>
              <c:idx val="2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401-4814-B769-4398B0F95F26}"/>
                </c:ext>
              </c:extLst>
            </c:dLbl>
            <c:dLbl>
              <c:idx val="3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401-4814-B769-4398B0F95F26}"/>
                </c:ext>
              </c:extLst>
            </c:dLbl>
            <c:dLbl>
              <c:idx val="4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401-4814-B769-4398B0F95F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'Graf 4.5.'!$J$3:$J$7</c:f>
              <c:strCache>
                <c:ptCount val="5"/>
                <c:pt idx="0">
                  <c:v>Chráněné bydlení</c:v>
                </c:pt>
                <c:pt idx="1">
                  <c:v>Sociální rehabilitace</c:v>
                </c:pt>
                <c:pt idx="2">
                  <c:v>Sociálně aktivizační služby </c:v>
                </c:pt>
                <c:pt idx="3">
                  <c:v>Terapeutické komunity</c:v>
                </c:pt>
                <c:pt idx="4">
                  <c:v>Ostatní (1)</c:v>
                </c:pt>
              </c:strCache>
            </c:strRef>
          </c:cat>
          <c:val>
            <c:numRef>
              <c:f>'Graf 4.5.'!$R$3:$R$7</c:f>
              <c:numCache>
                <c:formatCode>0.0%</c:formatCode>
                <c:ptCount val="5"/>
                <c:pt idx="0">
                  <c:v>0.47103755569700828</c:v>
                </c:pt>
                <c:pt idx="1">
                  <c:v>0.29694462126034371</c:v>
                </c:pt>
                <c:pt idx="2">
                  <c:v>6.4290260980267341E-2</c:v>
                </c:pt>
                <c:pt idx="3">
                  <c:v>3.9147040101845956E-2</c:v>
                </c:pt>
                <c:pt idx="4">
                  <c:v>0.12858052196053468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401-4814-B769-4398B0F95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8034211592862448"/>
          <c:y val="0.59708010124291666"/>
          <c:w val="0.31025725051579756"/>
          <c:h val="0.38047290893987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55555555555555E-2"/>
          <c:y val="5.0925925925925923E-2"/>
          <c:w val="0.65442988728705365"/>
          <c:h val="0.7841222653290786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'Graf č.4.6'!$A$8</c:f>
              <c:strCache>
                <c:ptCount val="1"/>
                <c:pt idx="0">
                  <c:v>Příspěvek na péči</c:v>
                </c:pt>
              </c:strCache>
            </c:strRef>
          </c:tx>
          <c:spPr>
            <a:solidFill>
              <a:srgbClr val="953735"/>
            </a:solidFill>
            <a:ln>
              <a:solidFill>
                <a:srgbClr val="953735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č.4.6'!$B$7:$I$7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č.4.6'!$B$8:$I$8</c:f>
              <c:numCache>
                <c:formatCode>0.0</c:formatCode>
                <c:ptCount val="6"/>
                <c:pt idx="0">
                  <c:v>14.353</c:v>
                </c:pt>
                <c:pt idx="1">
                  <c:v>14.8909845</c:v>
                </c:pt>
                <c:pt idx="2">
                  <c:v>16.212861</c:v>
                </c:pt>
                <c:pt idx="3">
                  <c:v>17.45309808</c:v>
                </c:pt>
                <c:pt idx="4">
                  <c:v>18.073901879999998</c:v>
                </c:pt>
                <c:pt idx="5">
                  <c:v>21.191839199999997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C8-4C37-A8EB-AE1AC9D33C29}"/>
            </c:ext>
          </c:extLst>
        </c:ser>
        <c:ser>
          <c:idx val="1"/>
          <c:order val="1"/>
          <c:tx>
            <c:strRef>
              <c:f>'Graf č.4.6'!$A$9</c:f>
              <c:strCache>
                <c:ptCount val="1"/>
                <c:pt idx="0">
                  <c:v>Příspěvek na mobilitu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č.4.6'!$B$7:$I$7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č.4.6'!$B$9:$I$9</c:f>
              <c:numCache>
                <c:formatCode>0.0</c:formatCode>
                <c:ptCount val="6"/>
                <c:pt idx="0">
                  <c:v>1.111</c:v>
                </c:pt>
                <c:pt idx="1">
                  <c:v>1.1459999999999999</c:v>
                </c:pt>
                <c:pt idx="2">
                  <c:v>1.167</c:v>
                </c:pt>
                <c:pt idx="3">
                  <c:v>1.202</c:v>
                </c:pt>
                <c:pt idx="4">
                  <c:v>1.6479999999999999</c:v>
                </c:pt>
                <c:pt idx="5">
                  <c:v>1.7210000000000001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C8-4C37-A8EB-AE1AC9D33C29}"/>
            </c:ext>
          </c:extLst>
        </c:ser>
        <c:ser>
          <c:idx val="2"/>
          <c:order val="2"/>
          <c:tx>
            <c:strRef>
              <c:f>'Graf č.4.6'!$A$10</c:f>
              <c:strCache>
                <c:ptCount val="1"/>
                <c:pt idx="0">
                  <c:v>Příspěvek na zvláštní pomůcky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č.4.6'!$B$7:$I$7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č.4.6'!$B$10:$I$10</c:f>
              <c:numCache>
                <c:formatCode>0.0</c:formatCode>
                <c:ptCount val="6"/>
                <c:pt idx="0">
                  <c:v>0.80500000000000005</c:v>
                </c:pt>
                <c:pt idx="1">
                  <c:v>0.78300000000000003</c:v>
                </c:pt>
                <c:pt idx="2">
                  <c:v>0.82699999999999996</c:v>
                </c:pt>
                <c:pt idx="3">
                  <c:v>0.754</c:v>
                </c:pt>
                <c:pt idx="4">
                  <c:v>0.97699999999999998</c:v>
                </c:pt>
                <c:pt idx="5">
                  <c:v>0.93300000000000005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C8-4C37-A8EB-AE1AC9D33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297534976"/>
        <c:axId val="313174272"/>
      </c:barChart>
      <c:catAx>
        <c:axId val="29753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crossAx val="313174272"/>
        <c:crosses val="autoZero"/>
        <c:auto val="1"/>
        <c:lblAlgn val="ctr"/>
        <c:lblOffset val="100"/>
        <c:noMultiLvlLbl val="0"/>
      </c:catAx>
      <c:valAx>
        <c:axId val="313174272"/>
        <c:scaling>
          <c:orientation val="minMax"/>
          <c:max val="24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>
                <a:tint val="75000"/>
                <a:shade val="95000"/>
                <a:satMod val="105000"/>
              </a:schemeClr>
            </a:solidFill>
          </a:ln>
        </c:spPr>
        <c:crossAx val="297534976"/>
        <c:crosses val="autoZero"/>
        <c:crossBetween val="between"/>
        <c:majorUnit val="6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74962110654309788"/>
          <c:y val="4.6331581001354427E-2"/>
          <c:w val="0.22004925310262144"/>
          <c:h val="0.84030133988353495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ln>
      <a:solidFill>
        <a:schemeClr val="bg1">
          <a:lumMod val="85000"/>
        </a:schemeClr>
      </a:solidFill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55555555555555E-2"/>
          <c:y val="5.0925925925925923E-2"/>
          <c:w val="0.78274146100864916"/>
          <c:h val="0.7895232487434672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'Graf č.4.6'!$A$14</c:f>
              <c:strCache>
                <c:ptCount val="1"/>
                <c:pt idx="0">
                  <c:v>Příspěvek na péči</c:v>
                </c:pt>
              </c:strCache>
            </c:strRef>
          </c:tx>
          <c:spPr>
            <a:solidFill>
              <a:srgbClr val="953735"/>
            </a:solidFill>
            <a:ln>
              <a:solidFill>
                <a:srgbClr val="953735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č.4.6'!$B$13:$I$13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č.4.6'!$B$14:$I$14</c:f>
              <c:numCache>
                <c:formatCode>0.0%</c:formatCode>
                <c:ptCount val="6"/>
                <c:pt idx="0">
                  <c:v>0.88223000799065698</c:v>
                </c:pt>
                <c:pt idx="1">
                  <c:v>0.88531499538540004</c:v>
                </c:pt>
                <c:pt idx="2">
                  <c:v>0.89048084675331995</c:v>
                </c:pt>
                <c:pt idx="3">
                  <c:v>0.8992225196689817</c:v>
                </c:pt>
                <c:pt idx="4">
                  <c:v>0.87318167817702619</c:v>
                </c:pt>
                <c:pt idx="5">
                  <c:v>0.88870175724408962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95-418D-B6A9-6818774A2FEF}"/>
            </c:ext>
          </c:extLst>
        </c:ser>
        <c:ser>
          <c:idx val="1"/>
          <c:order val="1"/>
          <c:tx>
            <c:strRef>
              <c:f>'Graf č.4.6'!$A$15</c:f>
              <c:strCache>
                <c:ptCount val="1"/>
                <c:pt idx="0">
                  <c:v>Příspěvek na mobilitu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č.4.6'!$B$13:$I$13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č.4.6'!$B$15:$I$15</c:f>
              <c:numCache>
                <c:formatCode>0.0%</c:formatCode>
                <c:ptCount val="6"/>
                <c:pt idx="0">
                  <c:v>6.8289384719404989E-2</c:v>
                </c:pt>
                <c:pt idx="1">
                  <c:v>6.8133237578191577E-2</c:v>
                </c:pt>
                <c:pt idx="2">
                  <c:v>6.4096716067640641E-2</c:v>
                </c:pt>
                <c:pt idx="3">
                  <c:v>6.1929719508120477E-2</c:v>
                </c:pt>
                <c:pt idx="4">
                  <c:v>7.9617750234004206E-2</c:v>
                </c:pt>
                <c:pt idx="5">
                  <c:v>7.2171920038779785E-2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95-418D-B6A9-6818774A2FEF}"/>
            </c:ext>
          </c:extLst>
        </c:ser>
        <c:ser>
          <c:idx val="2"/>
          <c:order val="2"/>
          <c:tx>
            <c:strRef>
              <c:f>'Graf č.4.6'!$A$16</c:f>
              <c:strCache>
                <c:ptCount val="1"/>
                <c:pt idx="0">
                  <c:v>Příspěvek na zvláštní pomůcky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'Graf č.4.6'!$B$13:$I$13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'Graf č.4.6'!$B$16:$I$16</c:f>
              <c:numCache>
                <c:formatCode>0.0%</c:formatCode>
                <c:ptCount val="6"/>
                <c:pt idx="0">
                  <c:v>4.9480607289937917E-2</c:v>
                </c:pt>
                <c:pt idx="1">
                  <c:v>4.6551767036408377E-2</c:v>
                </c:pt>
                <c:pt idx="2">
                  <c:v>4.5422437179039245E-2</c:v>
                </c:pt>
                <c:pt idx="3">
                  <c:v>3.8847760822897544E-2</c:v>
                </c:pt>
                <c:pt idx="4">
                  <c:v>4.7200571588969724E-2</c:v>
                </c:pt>
                <c:pt idx="5">
                  <c:v>3.9126322717130471E-2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95-418D-B6A9-6818774A2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297534976"/>
        <c:axId val="313174272"/>
      </c:barChart>
      <c:catAx>
        <c:axId val="29753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85000"/>
              </a:schemeClr>
            </a:solidFill>
          </a:ln>
        </c:spPr>
        <c:crossAx val="313174272"/>
        <c:crosses val="autoZero"/>
        <c:auto val="1"/>
        <c:lblAlgn val="ctr"/>
        <c:lblOffset val="100"/>
        <c:noMultiLvlLbl val="0"/>
      </c:catAx>
      <c:valAx>
        <c:axId val="313174272"/>
        <c:scaling>
          <c:orientation val="minMax"/>
          <c:max val="1"/>
          <c:min val="0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%" sourceLinked="0"/>
        <c:majorTickMark val="out"/>
        <c:minorTickMark val="none"/>
        <c:tickLblPos val="nextTo"/>
        <c:spPr>
          <a:ln>
            <a:solidFill>
              <a:schemeClr val="tx1">
                <a:tint val="75000"/>
                <a:shade val="95000"/>
                <a:satMod val="105000"/>
              </a:schemeClr>
            </a:solidFill>
          </a:ln>
        </c:spPr>
        <c:crossAx val="297534976"/>
        <c:crosses val="autoZero"/>
        <c:crossBetween val="between"/>
        <c:majorUnit val="0.2"/>
      </c:valAx>
      <c:spPr>
        <a:ln>
          <a:solidFill>
            <a:schemeClr val="bg1">
              <a:lumMod val="75000"/>
            </a:schemeClr>
          </a:solidFill>
        </a:ln>
      </c:spPr>
    </c:plotArea>
    <c:plotVisOnly val="1"/>
    <c:dispBlanksAs val="gap"/>
    <c:showDLblsOverMax val="0"/>
  </c:chart>
  <c:spPr>
    <a:ln>
      <a:solidFill>
        <a:schemeClr val="bg1">
          <a:lumMod val="85000"/>
        </a:schemeClr>
      </a:solidFill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0.46875</cdr:x>
      <cdr:y>0.65104</cdr:y>
    </cdr:from>
    <cdr:to>
      <cdr:x>0.66458</cdr:x>
      <cdr:y>0.74132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143125" y="1785938"/>
          <a:ext cx="8953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51,7</a:t>
          </a:r>
          <a:r>
            <a:rPr lang="cs-CZ" sz="800" b="1">
              <a:latin typeface="Arial" panose="020B0604020202020204" pitchFamily="34" charset="0"/>
              <a:cs typeface="Arial" panose="020B0604020202020204" pitchFamily="34" charset="0"/>
            </a:rPr>
            <a:t> mld. Kč</a:t>
          </a:r>
        </a:p>
      </cdr:txBody>
    </cdr:sp>
  </cdr:relSizeAnchor>
  <cdr:relSizeAnchor xmlns:cdr="http://schemas.openxmlformats.org/drawingml/2006/chartDrawing">
    <cdr:from>
      <cdr:x>0.36873</cdr:x>
      <cdr:y>0.20976</cdr:y>
    </cdr:from>
    <cdr:to>
      <cdr:x>0.52086</cdr:x>
      <cdr:y>0.29435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801713" y="604775"/>
          <a:ext cx="743368" cy="2439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7,4</a:t>
          </a:r>
          <a:r>
            <a:rPr lang="cs-CZ" sz="800" b="1">
              <a:latin typeface="Arial" panose="020B0604020202020204" pitchFamily="34" charset="0"/>
              <a:cs typeface="Arial" panose="020B0604020202020204" pitchFamily="34" charset="0"/>
            </a:rPr>
            <a:t> mld. Kč</a:t>
          </a:r>
        </a:p>
      </cdr:txBody>
    </cdr:sp>
  </cdr:relSizeAnchor>
  <cdr:relSizeAnchor xmlns:cdr="http://schemas.openxmlformats.org/drawingml/2006/chartDrawing">
    <cdr:from>
      <cdr:x>0.31569</cdr:x>
      <cdr:y>0.32801</cdr:y>
    </cdr:from>
    <cdr:to>
      <cdr:x>0.49128</cdr:x>
      <cdr:y>0.43935</cdr:y>
    </cdr:to>
    <cdr:sp macro="" textlink="">
      <cdr:nvSpPr>
        <cdr:cNvPr id="4" name="TextovéPole 3"/>
        <cdr:cNvSpPr txBox="1"/>
      </cdr:nvSpPr>
      <cdr:spPr>
        <a:xfrm xmlns:a="http://schemas.openxmlformats.org/drawingml/2006/main" rot="1968411">
          <a:off x="1542541" y="945713"/>
          <a:ext cx="858008" cy="321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latin typeface="Arial" panose="020B0604020202020204" pitchFamily="34" charset="0"/>
              <a:cs typeface="Arial" panose="020B0604020202020204" pitchFamily="34" charset="0"/>
            </a:rPr>
            <a:t>2,5 mld. Kč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0.47552</cdr:x>
      <cdr:y>0.66054</cdr:y>
    </cdr:from>
    <cdr:to>
      <cdr:x>0.62063</cdr:x>
      <cdr:y>0.73409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590800" y="2224088"/>
          <a:ext cx="7905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2</a:t>
          </a:r>
          <a:r>
            <a:rPr lang="en-US" sz="8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3,9</a:t>
          </a:r>
          <a:r>
            <a:rPr lang="cs-CZ" sz="800" b="1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cs-CZ" sz="8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mld. Kč</a:t>
          </a:r>
        </a:p>
      </cdr:txBody>
    </cdr:sp>
  </cdr:relSizeAnchor>
  <cdr:relSizeAnchor xmlns:cdr="http://schemas.openxmlformats.org/drawingml/2006/chartDrawing">
    <cdr:from>
      <cdr:x>0.45108</cdr:x>
      <cdr:y>0.14323</cdr:y>
    </cdr:from>
    <cdr:to>
      <cdr:x>0.50326</cdr:x>
      <cdr:y>0.4148</cdr:y>
    </cdr:to>
    <cdr:sp macro="" textlink="">
      <cdr:nvSpPr>
        <cdr:cNvPr id="3" name="TextovéPole 2"/>
        <cdr:cNvSpPr txBox="1"/>
      </cdr:nvSpPr>
      <cdr:spPr>
        <a:xfrm xmlns:a="http://schemas.openxmlformats.org/drawingml/2006/main" rot="4913805">
          <a:off x="2142577" y="797320"/>
          <a:ext cx="914400" cy="2842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3,1</a:t>
          </a:r>
          <a:r>
            <a:rPr lang="cs-CZ" sz="800" b="1">
              <a:latin typeface="Arial" panose="020B0604020202020204" pitchFamily="34" charset="0"/>
              <a:cs typeface="Arial" panose="020B0604020202020204" pitchFamily="34" charset="0"/>
            </a:rPr>
            <a:t> mld. Kč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335E-4403-4A58-811A-3153D298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22</TotalTime>
  <Pages>8</Pages>
  <Words>2484</Words>
  <Characters>14657</Characters>
  <Application>Microsoft Office Word</Application>
  <DocSecurity>0</DocSecurity>
  <Lines>122</Lines>
  <Paragraphs>34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17107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cermakova38818</dc:creator>
  <cp:keywords/>
  <dc:description/>
  <cp:lastModifiedBy>cermakova38818</cp:lastModifiedBy>
  <cp:revision>4</cp:revision>
  <cp:lastPrinted>2014-07-17T14:07:00Z</cp:lastPrinted>
  <dcterms:created xsi:type="dcterms:W3CDTF">2021-03-25T14:58:00Z</dcterms:created>
  <dcterms:modified xsi:type="dcterms:W3CDTF">2021-03-26T08:15:00Z</dcterms:modified>
  <cp:category/>
</cp:coreProperties>
</file>