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191" w:rsidRDefault="009604B7">
      <w:pPr>
        <w:pStyle w:val="Normln0"/>
        <w:jc w:val="center"/>
        <w:rPr>
          <w:rFonts w:ascii="Arial" w:hAnsi="Arial" w:cs="Arial"/>
          <w:b/>
          <w:bCs/>
          <w:color w:val="000000"/>
          <w:szCs w:val="20"/>
          <w:lang w:val="en-GB"/>
        </w:rPr>
      </w:pPr>
      <w:bookmarkStart w:id="0" w:name="_GoBack"/>
      <w:bookmarkEnd w:id="0"/>
      <w:r>
        <w:rPr>
          <w:rFonts w:ascii="Arial" w:hAnsi="Arial" w:cs="Arial"/>
          <w:b/>
          <w:bCs/>
          <w:color w:val="000000"/>
          <w:szCs w:val="20"/>
          <w:lang w:val="en-GB"/>
        </w:rPr>
        <w:t>Methodological notes</w:t>
      </w:r>
    </w:p>
    <w:p w:rsidR="00071191" w:rsidRDefault="00071191">
      <w:pPr>
        <w:pStyle w:val="Normln0"/>
        <w:rPr>
          <w:rFonts w:ascii="Times New Roman" w:hAnsi="Times New Roman"/>
          <w:color w:val="000000"/>
          <w:sz w:val="20"/>
          <w:szCs w:val="20"/>
          <w:lang w:val="en-GB"/>
        </w:rPr>
      </w:pPr>
    </w:p>
    <w:p w:rsidR="00071191" w:rsidRDefault="009604B7">
      <w:pPr>
        <w:jc w:val="both"/>
        <w:rPr>
          <w:rFonts w:ascii="Calibri" w:hAnsi="Calibri"/>
          <w:lang w:val="en-GB"/>
        </w:rPr>
      </w:pPr>
      <w:r>
        <w:rPr>
          <w:rFonts w:ascii="Arial" w:hAnsi="Arial" w:cs="Arial"/>
          <w:bCs/>
          <w:sz w:val="20"/>
          <w:szCs w:val="20"/>
          <w:lang w:val="en-GB"/>
        </w:rPr>
        <w:t xml:space="preserve">From 2023 onwards, the Czech Statistical Office started to use administrative data from the Single Application (Declaration of Crops, Declaration of All Agricultural Land). Units from the population that are not included in this administrative source are surveyed using a statistical questionnaire </w:t>
      </w:r>
      <w:r w:rsidR="00E53DF0">
        <w:rPr>
          <w:rFonts w:ascii="Arial" w:hAnsi="Arial" w:cs="Arial"/>
          <w:bCs/>
          <w:sz w:val="20"/>
          <w:szCs w:val="20"/>
          <w:lang w:val="en-GB"/>
        </w:rPr>
        <w:t>Sown Areas</w:t>
      </w:r>
      <w:r>
        <w:rPr>
          <w:rFonts w:ascii="Arial" w:hAnsi="Arial" w:cs="Arial"/>
          <w:bCs/>
          <w:sz w:val="20"/>
          <w:szCs w:val="20"/>
          <w:lang w:val="en-GB"/>
        </w:rPr>
        <w:t xml:space="preserve"> of Crops.</w:t>
      </w:r>
    </w:p>
    <w:p w:rsidR="00071191" w:rsidRDefault="00071191">
      <w:pPr>
        <w:pStyle w:val="Normln0"/>
        <w:rPr>
          <w:rFonts w:ascii="Times New Roman" w:hAnsi="Times New Roman"/>
          <w:color w:val="000000"/>
          <w:sz w:val="20"/>
          <w:szCs w:val="20"/>
          <w:lang w:val="en-GB"/>
        </w:rPr>
      </w:pPr>
    </w:p>
    <w:p w:rsidR="00071191" w:rsidRDefault="00A77C1A">
      <w:pPr>
        <w:pStyle w:val="Bezmezer"/>
        <w:jc w:val="both"/>
        <w:rPr>
          <w:rFonts w:ascii="Calibri" w:hAnsi="Calibri"/>
          <w:lang w:val="en-GB"/>
        </w:rPr>
      </w:pPr>
      <w:r>
        <w:rPr>
          <w:rFonts w:ascii="Arial" w:hAnsi="Arial" w:cs="Arial"/>
          <w:bCs/>
          <w:sz w:val="20"/>
          <w:szCs w:val="20"/>
          <w:lang w:val="en-GB"/>
        </w:rPr>
        <w:t>Sown area</w:t>
      </w:r>
      <w:r w:rsidR="009604B7">
        <w:rPr>
          <w:rFonts w:ascii="Arial" w:hAnsi="Arial" w:cs="Arial"/>
          <w:bCs/>
          <w:sz w:val="20"/>
          <w:szCs w:val="20"/>
          <w:lang w:val="en-GB"/>
        </w:rPr>
        <w:t>: Arable land area sown or planted with main crops in spring of the harvest year, or with winter crops in autumn of the preceding year, or with multiannual crops in preceding years. Areas of pre-crops, catch crops, and succeeding crops are not included. Includes also nurseries until 2022, from 2023 onwards are nurseries recorded separately. Includes also areas sown outside arable land until 2016.</w:t>
      </w:r>
    </w:p>
    <w:p w:rsidR="00071191" w:rsidRDefault="009604B7">
      <w:pPr>
        <w:pStyle w:val="Bezmezer"/>
        <w:jc w:val="both"/>
        <w:rPr>
          <w:rFonts w:ascii="Calibri" w:hAnsi="Calibri"/>
          <w:lang w:val="en-GB"/>
        </w:rPr>
      </w:pPr>
      <w:r>
        <w:rPr>
          <w:rFonts w:ascii="Arial" w:hAnsi="Arial" w:cs="Arial"/>
          <w:bCs/>
          <w:sz w:val="20"/>
          <w:szCs w:val="20"/>
          <w:lang w:val="en-GB"/>
        </w:rPr>
        <w:t>Utilised agricultural area: includes arable land, permanent grasslands, vineyards, hop gardens, orchards, gardens (until 2022), and other permanent crops (from 2016 onwards).</w:t>
      </w:r>
    </w:p>
    <w:p w:rsidR="00071191" w:rsidRDefault="009604B7">
      <w:pPr>
        <w:rPr>
          <w:rFonts w:ascii="Arial" w:hAnsi="Arial" w:cs="Arial"/>
          <w:sz w:val="20"/>
          <w:szCs w:val="20"/>
        </w:rPr>
      </w:pPr>
      <w:r>
        <w:rPr>
          <w:rFonts w:ascii="Arial" w:hAnsi="Arial" w:cs="Arial"/>
          <w:bCs/>
          <w:sz w:val="20"/>
          <w:szCs w:val="20"/>
          <w:lang w:val="en-GB"/>
        </w:rPr>
        <w:t xml:space="preserve">Arable land: Utilised arable land, on which crops for production purposes are planted in a regular sequence, or areas of arable land available for crop production but set aside (fallow land). Areas under glass or high accessible cover (glasshouses, plastic houses) are included as well. Includes also nurseries until 2022, from 2023 onwards are nurseries recorded separately. </w:t>
      </w:r>
    </w:p>
    <w:p w:rsidR="00071191" w:rsidRDefault="009604B7">
      <w:pPr>
        <w:rPr>
          <w:rFonts w:ascii="Arial" w:hAnsi="Arial" w:cs="Arial"/>
          <w:sz w:val="20"/>
          <w:szCs w:val="20"/>
        </w:rPr>
      </w:pPr>
      <w:r>
        <w:rPr>
          <w:rFonts w:ascii="Arial" w:hAnsi="Arial" w:cs="Arial"/>
          <w:bCs/>
          <w:sz w:val="20"/>
          <w:szCs w:val="20"/>
          <w:lang w:val="en-GB"/>
        </w:rPr>
        <w:t>Fallow land: Arable land set aside, not used for crop production during the reference year. Includes arable land with no vegetation, naturally seeded, with a crop sown, or covered with grasses and other herbaceous fodder crops.</w:t>
      </w:r>
    </w:p>
    <w:p w:rsidR="00071191" w:rsidRDefault="009604B7">
      <w:pPr>
        <w:rPr>
          <w:rFonts w:ascii="Arial" w:hAnsi="Arial" w:cs="Arial"/>
          <w:sz w:val="20"/>
          <w:szCs w:val="20"/>
        </w:rPr>
      </w:pPr>
      <w:r>
        <w:rPr>
          <w:rFonts w:ascii="Arial" w:hAnsi="Arial" w:cs="Arial"/>
          <w:bCs/>
          <w:sz w:val="20"/>
          <w:szCs w:val="20"/>
          <w:lang w:val="en-GB"/>
        </w:rPr>
        <w:t>Hop gardens: Utilised agricultural area planted with hops, equipped with a support device for growing hops. The associated handling space is included.</w:t>
      </w:r>
    </w:p>
    <w:p w:rsidR="00071191" w:rsidRDefault="009604B7">
      <w:pPr>
        <w:rPr>
          <w:rFonts w:ascii="Arial" w:hAnsi="Arial" w:cs="Arial"/>
          <w:sz w:val="20"/>
          <w:szCs w:val="20"/>
        </w:rPr>
      </w:pPr>
      <w:r>
        <w:rPr>
          <w:rFonts w:ascii="Arial" w:hAnsi="Arial" w:cs="Arial"/>
          <w:bCs/>
          <w:sz w:val="20"/>
          <w:szCs w:val="20"/>
          <w:lang w:val="en-GB"/>
        </w:rPr>
        <w:t>Vineyards: Utilised agricultural area continuously planted with vines, equipped with a support device for growing vines. The associated handling space is included.</w:t>
      </w:r>
    </w:p>
    <w:p w:rsidR="00071191" w:rsidRDefault="009604B7">
      <w:pPr>
        <w:rPr>
          <w:rFonts w:ascii="Arial" w:hAnsi="Arial" w:cs="Arial"/>
          <w:sz w:val="20"/>
          <w:szCs w:val="20"/>
        </w:rPr>
      </w:pPr>
      <w:r>
        <w:rPr>
          <w:rFonts w:ascii="Arial" w:hAnsi="Arial" w:cs="Arial"/>
          <w:bCs/>
          <w:sz w:val="20"/>
          <w:szCs w:val="20"/>
          <w:lang w:val="en-GB"/>
        </w:rPr>
        <w:t>Orchards: Utilised agricultural area regularly and continuously planted with fruit trees or bushes. The associated handling space is included. Meadow orchards, rootstock and propagation stands, isolated fruit trees, and areas with line planting along roads (alleys, tree lines) are excluded. Includes plantations with a minimal density 100 fruit trees or 800 fruit bushes per 1 hectare from 2018 onwards.</w:t>
      </w:r>
    </w:p>
    <w:p w:rsidR="00071191" w:rsidRDefault="009604B7">
      <w:pPr>
        <w:rPr>
          <w:rFonts w:ascii="Arial" w:hAnsi="Arial" w:cs="Arial"/>
          <w:sz w:val="20"/>
          <w:szCs w:val="20"/>
        </w:rPr>
      </w:pPr>
      <w:r>
        <w:rPr>
          <w:rFonts w:ascii="Arial" w:hAnsi="Arial" w:cs="Arial"/>
          <w:bCs/>
          <w:sz w:val="20"/>
          <w:szCs w:val="20"/>
          <w:lang w:val="en-GB"/>
        </w:rPr>
        <w:t>Nurseries: Utilised agricultural area with young plants or woody plants grown for later replanting. Includes vine and rootstock nurseries, fruit and berry nurseries, nurseries of ornamental plants and woody plants, commercial forest nurseries (excluding nurseries on forest land for own use), tree and shrub nurseries for replanting in gardens, parks, roadsides and riparian areas (e.g. hedge plants, rose bushes and other ornamental shrubs, ornamental conifers). Include hop nurseries from 2023 onwards.</w:t>
      </w:r>
    </w:p>
    <w:p w:rsidR="00071191" w:rsidRDefault="009604B7">
      <w:pPr>
        <w:rPr>
          <w:rFonts w:ascii="Arial" w:hAnsi="Arial" w:cs="Arial"/>
          <w:sz w:val="20"/>
          <w:szCs w:val="20"/>
        </w:rPr>
      </w:pPr>
      <w:r>
        <w:rPr>
          <w:rFonts w:ascii="Arial" w:hAnsi="Arial" w:cs="Arial"/>
          <w:bCs/>
          <w:sz w:val="20"/>
          <w:szCs w:val="20"/>
          <w:lang w:val="en-GB"/>
        </w:rPr>
        <w:t>Permanent grasslands: Utilised agricultural area with natural or artificial grasslands or pastures, not included in crop rotation for a period of 5 years or more.</w:t>
      </w:r>
    </w:p>
    <w:p w:rsidR="00071191" w:rsidRDefault="009604B7">
      <w:pPr>
        <w:rPr>
          <w:rFonts w:ascii="Arial" w:hAnsi="Arial" w:cs="Arial"/>
          <w:sz w:val="20"/>
          <w:szCs w:val="20"/>
        </w:rPr>
      </w:pPr>
      <w:r>
        <w:rPr>
          <w:rFonts w:ascii="Arial" w:hAnsi="Arial" w:cs="Arial"/>
          <w:bCs/>
          <w:sz w:val="20"/>
          <w:szCs w:val="20"/>
          <w:lang w:val="en-GB"/>
        </w:rPr>
        <w:t>Permanent crops n.e.c.: Utilised agricultural area planted with other permanent crops, e.g. meadow orchards (from 2018 onwards), Christmas trees grown out of forest land, areas for planting truffles. They include also areas of short rotation coppices from 2016 to 2022. Meadow orchards are areas evenly planted with fruit trees of half stem or tall trunk standard with a minimum density of 50 viable individuals per hectare with herbaceous cover in between. They do not comply with the definition of orchards. Their primary purpose is not fruit production but the preservation of varietal diversity, cultural heritage, and rural landscape character.</w:t>
      </w:r>
    </w:p>
    <w:p w:rsidR="00071191" w:rsidRDefault="00071191">
      <w:pPr>
        <w:rPr>
          <w:rFonts w:ascii="Arial" w:hAnsi="Arial" w:cs="Arial"/>
          <w:bCs/>
          <w:sz w:val="20"/>
          <w:szCs w:val="20"/>
        </w:rPr>
      </w:pPr>
    </w:p>
    <w:p w:rsidR="00071191" w:rsidRDefault="00341486">
      <w:pPr>
        <w:rPr>
          <w:rFonts w:ascii="Arial" w:hAnsi="Arial" w:cs="Arial"/>
          <w:sz w:val="20"/>
          <w:szCs w:val="20"/>
        </w:rPr>
      </w:pPr>
      <w:r>
        <w:rPr>
          <w:rFonts w:ascii="Arial" w:hAnsi="Arial" w:cs="Arial"/>
          <w:bCs/>
          <w:sz w:val="20"/>
          <w:szCs w:val="20"/>
          <w:lang w:val="en-GB"/>
        </w:rPr>
        <w:t>Sown areas</w:t>
      </w:r>
      <w:r w:rsidR="009604B7">
        <w:rPr>
          <w:rFonts w:ascii="Arial" w:hAnsi="Arial" w:cs="Arial"/>
          <w:bCs/>
          <w:sz w:val="20"/>
          <w:szCs w:val="20"/>
          <w:lang w:val="en-GB"/>
        </w:rPr>
        <w:t>:</w:t>
      </w:r>
    </w:p>
    <w:p w:rsidR="00071191" w:rsidRDefault="009604B7">
      <w:pPr>
        <w:rPr>
          <w:rFonts w:ascii="Arial" w:hAnsi="Arial" w:cs="Arial"/>
          <w:sz w:val="20"/>
          <w:szCs w:val="20"/>
        </w:rPr>
      </w:pPr>
      <w:r>
        <w:rPr>
          <w:rFonts w:ascii="Arial" w:hAnsi="Arial" w:cs="Arial"/>
          <w:bCs/>
          <w:sz w:val="20"/>
          <w:szCs w:val="20"/>
          <w:lang w:val="en-GB"/>
        </w:rPr>
        <w:t>Cereals and pulses include only those harvested for grain. Cereals harvested in milky ripeness or for rotary dryers are included in “Cereals harvested green”. Fodder pulses, other pulses, mixtures of pulses, and mixtures of cereals and pulses belong in item “Other pulses”.</w:t>
      </w:r>
    </w:p>
    <w:p w:rsidR="00071191" w:rsidRDefault="009604B7">
      <w:pPr>
        <w:rPr>
          <w:rFonts w:ascii="Arial" w:hAnsi="Arial" w:cs="Arial"/>
          <w:sz w:val="20"/>
          <w:szCs w:val="20"/>
        </w:rPr>
      </w:pPr>
      <w:r>
        <w:rPr>
          <w:rFonts w:ascii="Arial" w:hAnsi="Arial" w:cs="Arial"/>
          <w:bCs/>
          <w:sz w:val="20"/>
          <w:szCs w:val="20"/>
          <w:lang w:val="en-GB"/>
        </w:rPr>
        <w:t>Winter common wheat, spring common wheat: include durum wheat until 2022</w:t>
      </w:r>
    </w:p>
    <w:p w:rsidR="00071191" w:rsidRDefault="009604B7">
      <w:pPr>
        <w:rPr>
          <w:rFonts w:ascii="Arial" w:hAnsi="Arial" w:cs="Arial"/>
          <w:b/>
          <w:bCs/>
          <w:sz w:val="20"/>
          <w:szCs w:val="20"/>
        </w:rPr>
      </w:pPr>
      <w:r>
        <w:rPr>
          <w:rFonts w:ascii="Arial" w:hAnsi="Arial" w:cs="Arial"/>
          <w:bCs/>
          <w:sz w:val="20"/>
          <w:szCs w:val="20"/>
          <w:lang w:val="en-GB"/>
        </w:rPr>
        <w:t xml:space="preserve">Cereal mixtures for grain: replace two items surveyed until 2022: Spring cereal mixtures for grain and </w:t>
      </w:r>
      <w:proofErr w:type="gramStart"/>
      <w:r>
        <w:rPr>
          <w:rFonts w:ascii="Arial" w:hAnsi="Arial" w:cs="Arial"/>
          <w:bCs/>
          <w:sz w:val="20"/>
          <w:szCs w:val="20"/>
          <w:lang w:val="en-GB"/>
        </w:rPr>
        <w:t>Winter</w:t>
      </w:r>
      <w:proofErr w:type="gramEnd"/>
      <w:r>
        <w:rPr>
          <w:rFonts w:ascii="Arial" w:hAnsi="Arial" w:cs="Arial"/>
          <w:bCs/>
          <w:sz w:val="20"/>
          <w:szCs w:val="20"/>
          <w:lang w:val="en-GB"/>
        </w:rPr>
        <w:t xml:space="preserve"> cereal mixtures for grain.</w:t>
      </w:r>
    </w:p>
    <w:p w:rsidR="00071191" w:rsidRDefault="009604B7">
      <w:pPr>
        <w:rPr>
          <w:rFonts w:ascii="Arial" w:hAnsi="Arial" w:cs="Arial"/>
          <w:b/>
          <w:bCs/>
          <w:sz w:val="20"/>
          <w:szCs w:val="20"/>
        </w:rPr>
      </w:pPr>
      <w:r>
        <w:rPr>
          <w:rFonts w:ascii="Arial" w:hAnsi="Arial" w:cs="Arial"/>
          <w:bCs/>
          <w:sz w:val="20"/>
          <w:szCs w:val="20"/>
          <w:lang w:val="en-GB"/>
        </w:rPr>
        <w:t>Other cereals for grain: include buckwheat until 2022 while it is reported separately from 2023 onwards.</w:t>
      </w:r>
    </w:p>
    <w:p w:rsidR="00071191" w:rsidRDefault="009604B7">
      <w:pPr>
        <w:pStyle w:val="Bezmezer"/>
        <w:jc w:val="both"/>
        <w:rPr>
          <w:rFonts w:ascii="Calibri" w:hAnsi="Calibri"/>
          <w:lang w:val="en-GB"/>
        </w:rPr>
      </w:pPr>
      <w:r>
        <w:rPr>
          <w:rFonts w:ascii="Arial" w:hAnsi="Arial" w:cs="Arial"/>
          <w:bCs/>
          <w:sz w:val="20"/>
          <w:szCs w:val="20"/>
          <w:lang w:val="en-GB"/>
        </w:rPr>
        <w:t>Other pulses and protein crops for grain include vetches for grain until 2022 while they are reported separately from 2023 onwards.</w:t>
      </w:r>
    </w:p>
    <w:p w:rsidR="00071191" w:rsidRDefault="009604B7">
      <w:pPr>
        <w:rPr>
          <w:rFonts w:ascii="Arial" w:hAnsi="Arial" w:cs="Arial"/>
          <w:bCs/>
          <w:sz w:val="20"/>
          <w:szCs w:val="20"/>
        </w:rPr>
      </w:pPr>
      <w:r>
        <w:rPr>
          <w:rFonts w:ascii="Arial" w:hAnsi="Arial" w:cs="Arial"/>
          <w:bCs/>
          <w:sz w:val="20"/>
          <w:szCs w:val="20"/>
          <w:lang w:val="en-GB"/>
        </w:rPr>
        <w:t xml:space="preserve">Early potatoes are those supposed to be harvested before 30 June (excluding seed potatoes). </w:t>
      </w:r>
    </w:p>
    <w:p w:rsidR="00071191" w:rsidRDefault="009604B7">
      <w:pPr>
        <w:rPr>
          <w:rFonts w:ascii="Arial" w:hAnsi="Arial" w:cs="Arial"/>
          <w:sz w:val="20"/>
          <w:szCs w:val="20"/>
        </w:rPr>
      </w:pPr>
      <w:r>
        <w:rPr>
          <w:rFonts w:ascii="Arial" w:hAnsi="Arial" w:cs="Arial"/>
          <w:sz w:val="20"/>
          <w:szCs w:val="20"/>
          <w:lang w:val="en-GB"/>
        </w:rPr>
        <w:t xml:space="preserve">Potatoes (excl. early and seed ones) include potatoes for human consumption and for industrial processing (excluding seed potatoes). </w:t>
      </w:r>
    </w:p>
    <w:p w:rsidR="00071191" w:rsidRDefault="009604B7">
      <w:pPr>
        <w:rPr>
          <w:rFonts w:ascii="Arial" w:hAnsi="Arial" w:cs="Arial"/>
          <w:sz w:val="20"/>
          <w:szCs w:val="20"/>
        </w:rPr>
      </w:pPr>
      <w:r>
        <w:rPr>
          <w:rFonts w:ascii="Arial" w:hAnsi="Arial" w:cs="Arial"/>
          <w:sz w:val="20"/>
          <w:szCs w:val="20"/>
          <w:lang w:val="en-GB"/>
        </w:rPr>
        <w:t>Other root crops include rutabaga, Jerusalem artichoke, fodder carrots, fodder beet, fodder kale etc.</w:t>
      </w:r>
    </w:p>
    <w:p w:rsidR="00071191" w:rsidRDefault="009604B7">
      <w:pPr>
        <w:rPr>
          <w:rFonts w:ascii="Arial" w:hAnsi="Arial" w:cs="Arial"/>
          <w:sz w:val="20"/>
          <w:szCs w:val="20"/>
        </w:rPr>
      </w:pPr>
      <w:r>
        <w:rPr>
          <w:rFonts w:ascii="Arial" w:hAnsi="Arial" w:cs="Arial"/>
          <w:sz w:val="20"/>
          <w:szCs w:val="20"/>
          <w:lang w:val="en-GB"/>
        </w:rPr>
        <w:t xml:space="preserve">Other oil seed crops include crambe, safflower etc. </w:t>
      </w:r>
    </w:p>
    <w:p w:rsidR="00071191" w:rsidRDefault="009604B7">
      <w:pPr>
        <w:rPr>
          <w:rFonts w:ascii="Arial" w:hAnsi="Arial" w:cs="Arial"/>
          <w:sz w:val="20"/>
          <w:szCs w:val="20"/>
        </w:rPr>
      </w:pPr>
      <w:r>
        <w:rPr>
          <w:rFonts w:ascii="Arial" w:hAnsi="Arial" w:cs="Arial"/>
          <w:sz w:val="20"/>
          <w:szCs w:val="20"/>
          <w:lang w:val="en-GB"/>
        </w:rPr>
        <w:t xml:space="preserve">Medicinal, aromatic and culinary plants replace two items surveyed until 2022: Medicinal plants and </w:t>
      </w:r>
      <w:proofErr w:type="gramStart"/>
      <w:r>
        <w:rPr>
          <w:rFonts w:ascii="Arial" w:hAnsi="Arial" w:cs="Arial"/>
          <w:sz w:val="20"/>
          <w:szCs w:val="20"/>
          <w:lang w:val="en-GB"/>
        </w:rPr>
        <w:t>Culinary</w:t>
      </w:r>
      <w:proofErr w:type="gramEnd"/>
      <w:r>
        <w:rPr>
          <w:rFonts w:ascii="Arial" w:hAnsi="Arial" w:cs="Arial"/>
          <w:sz w:val="20"/>
          <w:szCs w:val="20"/>
          <w:lang w:val="en-GB"/>
        </w:rPr>
        <w:t xml:space="preserve"> plants.</w:t>
      </w:r>
    </w:p>
    <w:p w:rsidR="00071191" w:rsidRDefault="009604B7">
      <w:pPr>
        <w:pStyle w:val="Normln0"/>
        <w:jc w:val="both"/>
        <w:rPr>
          <w:rFonts w:ascii="Arial" w:hAnsi="Arial" w:cs="Arial"/>
          <w:color w:val="000000"/>
          <w:sz w:val="20"/>
          <w:szCs w:val="20"/>
          <w:lang w:val="en-GB"/>
        </w:rPr>
      </w:pPr>
      <w:r>
        <w:rPr>
          <w:rFonts w:ascii="Arial" w:hAnsi="Arial" w:cs="Arial"/>
          <w:bCs/>
          <w:color w:val="000000"/>
          <w:sz w:val="20"/>
          <w:szCs w:val="20"/>
          <w:lang w:val="en-GB"/>
        </w:rPr>
        <w:t xml:space="preserve">Energy crops n.e.c. include crops grown for energy production purposes only without any other use, </w:t>
      </w:r>
      <w:r>
        <w:rPr>
          <w:rFonts w:ascii="Arial" w:hAnsi="Arial" w:cs="Arial"/>
          <w:bCs/>
          <w:sz w:val="20"/>
          <w:szCs w:val="20"/>
          <w:lang w:val="en-GB"/>
        </w:rPr>
        <w:t>Chinese silver grass,</w:t>
      </w:r>
      <w:r>
        <w:rPr>
          <w:rFonts w:ascii="Arial" w:hAnsi="Arial" w:cs="Arial"/>
          <w:bCs/>
          <w:color w:val="000000"/>
          <w:sz w:val="20"/>
          <w:szCs w:val="20"/>
          <w:lang w:val="en-GB"/>
        </w:rPr>
        <w:t xml:space="preserve"> reed canary grass etc.</w:t>
      </w:r>
    </w:p>
    <w:p w:rsidR="00071191" w:rsidRDefault="009604B7">
      <w:pPr>
        <w:rPr>
          <w:rFonts w:ascii="Arial" w:hAnsi="Arial" w:cs="Arial"/>
          <w:sz w:val="20"/>
          <w:szCs w:val="20"/>
        </w:rPr>
      </w:pPr>
      <w:r>
        <w:rPr>
          <w:rFonts w:ascii="Arial" w:hAnsi="Arial" w:cs="Arial"/>
          <w:bCs/>
          <w:sz w:val="20"/>
          <w:szCs w:val="20"/>
          <w:lang w:val="en-GB"/>
        </w:rPr>
        <w:t>Other industrial crops include e.g. fibre flax, tobacco, and stevia.</w:t>
      </w:r>
    </w:p>
    <w:p w:rsidR="00071191" w:rsidRDefault="009604B7">
      <w:pPr>
        <w:rPr>
          <w:rFonts w:ascii="Arial" w:hAnsi="Arial" w:cs="Arial"/>
          <w:sz w:val="20"/>
          <w:szCs w:val="20"/>
        </w:rPr>
      </w:pPr>
      <w:r>
        <w:rPr>
          <w:rFonts w:ascii="Arial" w:hAnsi="Arial" w:cs="Arial"/>
          <w:sz w:val="20"/>
          <w:szCs w:val="20"/>
          <w:lang w:val="en-GB"/>
        </w:rPr>
        <w:t>Plants harvested green are reported in green (and in hay); sown as main crops for feed, energy (biomass), and other purposes (</w:t>
      </w:r>
      <w:r>
        <w:rPr>
          <w:rFonts w:ascii="Arial" w:hAnsi="Arial" w:cs="Arial"/>
          <w:color w:val="000000"/>
          <w:sz w:val="20"/>
          <w:szCs w:val="20"/>
          <w:lang w:val="en-GB"/>
        </w:rPr>
        <w:t>catch crops and successive crops are excluded).</w:t>
      </w:r>
    </w:p>
    <w:p w:rsidR="00071191" w:rsidRDefault="009604B7">
      <w:pPr>
        <w:pStyle w:val="Bezmezer"/>
        <w:jc w:val="both"/>
        <w:rPr>
          <w:rFonts w:ascii="Calibri" w:hAnsi="Calibri"/>
          <w:lang w:val="en-GB"/>
        </w:rPr>
      </w:pPr>
      <w:r>
        <w:rPr>
          <w:rFonts w:ascii="Arial" w:hAnsi="Arial" w:cs="Arial"/>
          <w:color w:val="000000"/>
          <w:sz w:val="20"/>
          <w:szCs w:val="20"/>
          <w:lang w:val="en-GB"/>
        </w:rPr>
        <w:lastRenderedPageBreak/>
        <w:t>Arable fodder crops are not divided to annual fodder crops and perennial fodder crops from 2023 onwards.</w:t>
      </w:r>
    </w:p>
    <w:p w:rsidR="00071191" w:rsidRDefault="009604B7">
      <w:pPr>
        <w:rPr>
          <w:rFonts w:ascii="Arial" w:hAnsi="Arial" w:cs="Arial"/>
          <w:sz w:val="20"/>
          <w:szCs w:val="20"/>
        </w:rPr>
      </w:pPr>
      <w:r>
        <w:rPr>
          <w:rFonts w:ascii="Arial" w:hAnsi="Arial" w:cs="Arial"/>
          <w:color w:val="000000"/>
          <w:sz w:val="20"/>
          <w:szCs w:val="20"/>
          <w:lang w:val="en-GB"/>
        </w:rPr>
        <w:t>Clover includes only red clover until 2022 but all clover species from 2023 onwards.</w:t>
      </w:r>
    </w:p>
    <w:p w:rsidR="00071191" w:rsidRDefault="009604B7">
      <w:pPr>
        <w:rPr>
          <w:rFonts w:ascii="Arial" w:hAnsi="Arial" w:cs="Arial"/>
          <w:sz w:val="20"/>
          <w:szCs w:val="20"/>
        </w:rPr>
      </w:pPr>
      <w:r>
        <w:rPr>
          <w:rFonts w:ascii="Arial" w:hAnsi="Arial" w:cs="Arial"/>
          <w:color w:val="000000"/>
          <w:sz w:val="20"/>
          <w:szCs w:val="20"/>
          <w:lang w:val="en-GB"/>
        </w:rPr>
        <w:t>Legume-grass mixtures (Other perennial fodder crops until 2022) do not include annual leguminous plants harvested green until 2022.</w:t>
      </w:r>
    </w:p>
    <w:p w:rsidR="00071191" w:rsidRDefault="009604B7">
      <w:pPr>
        <w:rPr>
          <w:rFonts w:ascii="Arial" w:hAnsi="Arial" w:cs="Arial"/>
          <w:sz w:val="20"/>
          <w:szCs w:val="20"/>
        </w:rPr>
      </w:pPr>
      <w:r>
        <w:rPr>
          <w:rFonts w:ascii="Arial" w:hAnsi="Arial" w:cs="Arial"/>
          <w:color w:val="000000"/>
          <w:sz w:val="20"/>
          <w:szCs w:val="20"/>
          <w:lang w:val="en-GB"/>
        </w:rPr>
        <w:t>Leguminous plants harvested green and their mixtures (Annual leguminous plants harvested green until 2022) include annual leguminous plants until 2022.</w:t>
      </w:r>
    </w:p>
    <w:p w:rsidR="00071191" w:rsidRDefault="009604B7">
      <w:pPr>
        <w:rPr>
          <w:rFonts w:ascii="Arial" w:hAnsi="Arial" w:cs="Arial"/>
          <w:sz w:val="20"/>
          <w:szCs w:val="20"/>
        </w:rPr>
      </w:pPr>
      <w:r>
        <w:rPr>
          <w:rFonts w:ascii="Arial" w:hAnsi="Arial" w:cs="Arial"/>
          <w:color w:val="000000"/>
          <w:sz w:val="20"/>
          <w:szCs w:val="20"/>
          <w:lang w:val="en-GB"/>
        </w:rPr>
        <w:t>Areas for production of early, summer and late vegetables (including hotbeds and greenhouses) are recorded as a sum; areas sown repeatedly (late vegetables following early ones) are not surveyed in order to prevent double-counting.</w:t>
      </w:r>
    </w:p>
    <w:p w:rsidR="00071191" w:rsidRDefault="009604B7">
      <w:pPr>
        <w:rPr>
          <w:rFonts w:ascii="Arial" w:hAnsi="Arial" w:cs="Arial"/>
          <w:b/>
          <w:bCs/>
          <w:sz w:val="20"/>
          <w:szCs w:val="20"/>
        </w:rPr>
      </w:pPr>
      <w:r>
        <w:rPr>
          <w:rFonts w:ascii="Arial" w:hAnsi="Arial" w:cs="Arial"/>
          <w:sz w:val="20"/>
          <w:szCs w:val="20"/>
          <w:lang w:val="en-GB"/>
        </w:rPr>
        <w:t>Other vegetables include gourds and pumpkins, watermelons, asparagus, other root and bulb vegetables, other brassicas, other fruit vegetables, other fresh pulses, and other leafy and stalked vegetables until 2022 while they are reported separately from 2023 onwards.</w:t>
      </w:r>
    </w:p>
    <w:p w:rsidR="00071191" w:rsidRDefault="009604B7">
      <w:pPr>
        <w:pStyle w:val="Bezmezer"/>
        <w:jc w:val="both"/>
        <w:rPr>
          <w:rFonts w:ascii="Calibri" w:hAnsi="Calibri"/>
          <w:lang w:val="en-GB"/>
        </w:rPr>
      </w:pPr>
      <w:r>
        <w:rPr>
          <w:rFonts w:ascii="Arial" w:hAnsi="Arial" w:cs="Arial"/>
          <w:sz w:val="20"/>
          <w:szCs w:val="20"/>
          <w:lang w:val="en-GB"/>
        </w:rPr>
        <w:t>Flowers and ornamental plants do not include nurseries.</w:t>
      </w:r>
    </w:p>
    <w:p w:rsidR="00071191" w:rsidRDefault="009604B7">
      <w:pPr>
        <w:rPr>
          <w:rFonts w:ascii="Arial" w:hAnsi="Arial" w:cs="Arial"/>
          <w:sz w:val="20"/>
          <w:szCs w:val="20"/>
        </w:rPr>
      </w:pPr>
      <w:r>
        <w:rPr>
          <w:rFonts w:ascii="Arial" w:hAnsi="Arial" w:cs="Arial"/>
          <w:sz w:val="20"/>
          <w:szCs w:val="20"/>
          <w:lang w:val="en-GB"/>
        </w:rPr>
        <w:t xml:space="preserve">Crops for seeds and seedlings include areas for seed production - except cereals, pulses, and oil crops </w:t>
      </w:r>
      <w:proofErr w:type="gramStart"/>
      <w:r>
        <w:rPr>
          <w:rFonts w:ascii="Arial" w:hAnsi="Arial" w:cs="Arial"/>
          <w:sz w:val="20"/>
          <w:szCs w:val="20"/>
          <w:lang w:val="en-GB"/>
        </w:rPr>
        <w:t>-  and</w:t>
      </w:r>
      <w:proofErr w:type="gramEnd"/>
      <w:r>
        <w:rPr>
          <w:rFonts w:ascii="Arial" w:hAnsi="Arial" w:cs="Arial"/>
          <w:sz w:val="20"/>
          <w:szCs w:val="20"/>
          <w:lang w:val="en-GB"/>
        </w:rPr>
        <w:t xml:space="preserve"> for production of seedlings (except potatoes) from 2014 onwards.</w:t>
      </w:r>
    </w:p>
    <w:p w:rsidR="00071191" w:rsidRDefault="009604B7">
      <w:pPr>
        <w:rPr>
          <w:rFonts w:ascii="Arial" w:hAnsi="Arial" w:cs="Arial"/>
          <w:sz w:val="20"/>
          <w:szCs w:val="20"/>
        </w:rPr>
      </w:pPr>
      <w:r>
        <w:rPr>
          <w:rFonts w:ascii="Arial" w:hAnsi="Arial" w:cs="Arial"/>
          <w:sz w:val="20"/>
          <w:szCs w:val="20"/>
          <w:lang w:val="en-GB"/>
        </w:rPr>
        <w:t>Other areas include experimental lots and/or areas of crops not included in other items.</w:t>
      </w:r>
    </w:p>
    <w:p w:rsidR="00071191" w:rsidRDefault="00071191">
      <w:pPr>
        <w:rPr>
          <w:rFonts w:ascii="Arial" w:hAnsi="Arial" w:cs="Arial"/>
          <w:sz w:val="20"/>
          <w:szCs w:val="20"/>
        </w:rPr>
      </w:pPr>
    </w:p>
    <w:p w:rsidR="00071191" w:rsidRDefault="009604B7">
      <w:pPr>
        <w:pStyle w:val="Normln0"/>
        <w:jc w:val="both"/>
        <w:rPr>
          <w:rFonts w:ascii="Arial" w:hAnsi="Arial" w:cs="Arial"/>
          <w:sz w:val="20"/>
          <w:szCs w:val="20"/>
          <w:lang w:val="en-GB"/>
        </w:rPr>
      </w:pPr>
      <w:r>
        <w:rPr>
          <w:rFonts w:ascii="Arial" w:hAnsi="Arial" w:cs="Arial"/>
          <w:sz w:val="20"/>
          <w:szCs w:val="20"/>
          <w:lang w:val="en-GB"/>
        </w:rPr>
        <w:t>Non-rounded values were used for calculation of both national and regional (NUTS 3) results.</w:t>
      </w:r>
    </w:p>
    <w:sectPr w:rsidR="00071191">
      <w:pgSz w:w="11906" w:h="16838"/>
      <w:pgMar w:top="1134" w:right="1134" w:bottom="1134" w:left="1134" w:header="0" w:footer="0" w:gutter="0"/>
      <w:pgNumType w:start="4"/>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S Sans Serif">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191"/>
    <w:rsid w:val="00071191"/>
    <w:rsid w:val="00341486"/>
    <w:rsid w:val="0036108F"/>
    <w:rsid w:val="004B0643"/>
    <w:rsid w:val="009604B7"/>
    <w:rsid w:val="00A77C1A"/>
    <w:rsid w:val="00E53D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5F3DC5-3062-4475-9C4C-9B7BF1F6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cs-CZ"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ceouttxt">
    <w:name w:val="iceouttxt"/>
    <w:qFormat/>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Normln0">
    <w:name w:val="Normln"/>
    <w:qFormat/>
    <w:rPr>
      <w:rFonts w:ascii="MS Sans Serif" w:eastAsia="Times New Roman" w:hAnsi="MS Sans Serif"/>
    </w:rPr>
  </w:style>
  <w:style w:type="paragraph" w:styleId="Bezmezer">
    <w:name w:val="No Spacing"/>
    <w:qFormat/>
  </w:style>
  <w:style w:type="paragraph" w:styleId="Textbubliny">
    <w:name w:val="Balloon Text"/>
    <w:basedOn w:val="Normln"/>
    <w:link w:val="TextbublinyChar"/>
    <w:uiPriority w:val="99"/>
    <w:semiHidden/>
    <w:unhideWhenUsed/>
    <w:rsid w:val="00A77C1A"/>
    <w:rPr>
      <w:rFonts w:ascii="Segoe UI" w:hAnsi="Segoe UI" w:cs="Mangal"/>
      <w:sz w:val="18"/>
      <w:szCs w:val="16"/>
    </w:rPr>
  </w:style>
  <w:style w:type="character" w:customStyle="1" w:styleId="TextbublinyChar">
    <w:name w:val="Text bubliny Char"/>
    <w:basedOn w:val="Standardnpsmoodstavce"/>
    <w:link w:val="Textbubliny"/>
    <w:uiPriority w:val="99"/>
    <w:semiHidden/>
    <w:rsid w:val="00A77C1A"/>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953</Words>
  <Characters>5624</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Mácová Marcela</dc:creator>
  <dc:description/>
  <cp:lastModifiedBy>Horáková Iveta</cp:lastModifiedBy>
  <cp:revision>5</cp:revision>
  <cp:lastPrinted>2023-06-23T12:02:00Z</cp:lastPrinted>
  <dcterms:created xsi:type="dcterms:W3CDTF">2024-06-20T09:48:00Z</dcterms:created>
  <dcterms:modified xsi:type="dcterms:W3CDTF">2024-06-20T11:02:00Z</dcterms:modified>
  <dc:language>cs-CZ</dc:language>
</cp:coreProperties>
</file>