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0F977" w14:textId="54678EF9" w:rsidR="00401BCF" w:rsidRPr="00BC2AFB" w:rsidRDefault="004E2DAE" w:rsidP="00BC2AFB">
      <w:pPr>
        <w:spacing w:after="36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C2AFB">
        <w:rPr>
          <w:rFonts w:ascii="Arial" w:hAnsi="Arial" w:cs="Arial"/>
          <w:b/>
          <w:sz w:val="28"/>
          <w:szCs w:val="28"/>
        </w:rPr>
        <w:t>Úvod</w:t>
      </w:r>
    </w:p>
    <w:p w14:paraId="2E2C7D9D" w14:textId="60EA38A8" w:rsidR="0099383D" w:rsidRPr="009522A3" w:rsidRDefault="00AD7BEA" w:rsidP="001B3885">
      <w:pPr>
        <w:pStyle w:val="Zkladntextodsazen2"/>
        <w:tabs>
          <w:tab w:val="left" w:pos="567"/>
        </w:tabs>
        <w:spacing w:after="120"/>
        <w:ind w:firstLine="0"/>
        <w:rPr>
          <w:rFonts w:cs="Arial"/>
        </w:rPr>
      </w:pPr>
      <w:r w:rsidRPr="009522A3">
        <w:rPr>
          <w:rFonts w:cs="Arial"/>
        </w:rPr>
        <w:t>Publikace Ekonomické výsledky peněžních institucí (bankovních a nebankovních) přináší ekonomické údaje</w:t>
      </w:r>
      <w:r w:rsidR="00A21D45">
        <w:rPr>
          <w:rFonts w:cs="Arial"/>
        </w:rPr>
        <w:t xml:space="preserve"> za období 2017-2019</w:t>
      </w:r>
      <w:r w:rsidRPr="009522A3">
        <w:rPr>
          <w:rFonts w:cs="Arial"/>
        </w:rPr>
        <w:t xml:space="preserve"> o bankovních </w:t>
      </w:r>
      <w:r w:rsidR="0099383D" w:rsidRPr="009522A3">
        <w:rPr>
          <w:rFonts w:cs="Arial"/>
        </w:rPr>
        <w:t>a</w:t>
      </w:r>
      <w:r w:rsidRPr="009522A3">
        <w:rPr>
          <w:rFonts w:cs="Arial"/>
        </w:rPr>
        <w:t xml:space="preserve"> nebankovních peněžních institucích</w:t>
      </w:r>
      <w:r w:rsidR="001A76FC" w:rsidRPr="009522A3">
        <w:rPr>
          <w:rFonts w:cs="Arial"/>
        </w:rPr>
        <w:t xml:space="preserve"> </w:t>
      </w:r>
      <w:r w:rsidR="0099383D" w:rsidRPr="009522A3">
        <w:rPr>
          <w:rFonts w:cs="Arial"/>
        </w:rPr>
        <w:t>účtujíc</w:t>
      </w:r>
      <w:r w:rsidR="001515D8" w:rsidRPr="009522A3">
        <w:rPr>
          <w:rFonts w:cs="Arial"/>
        </w:rPr>
        <w:t>ích</w:t>
      </w:r>
      <w:r w:rsidR="0099383D" w:rsidRPr="009522A3">
        <w:rPr>
          <w:rFonts w:cs="Arial"/>
        </w:rPr>
        <w:t xml:space="preserve"> jako </w:t>
      </w:r>
      <w:r w:rsidR="00E15FE4" w:rsidRPr="009522A3">
        <w:rPr>
          <w:rFonts w:cs="Arial"/>
        </w:rPr>
        <w:t xml:space="preserve">banky a jiné </w:t>
      </w:r>
      <w:r w:rsidR="0099383D" w:rsidRPr="009522A3">
        <w:rPr>
          <w:rFonts w:cs="Arial"/>
        </w:rPr>
        <w:t>finan</w:t>
      </w:r>
      <w:r w:rsidR="00E15FE4" w:rsidRPr="009522A3">
        <w:rPr>
          <w:rFonts w:cs="Arial"/>
        </w:rPr>
        <w:t xml:space="preserve">ční instituce, </w:t>
      </w:r>
      <w:r w:rsidR="00040D84" w:rsidRPr="009522A3">
        <w:rPr>
          <w:rFonts w:cs="Arial"/>
        </w:rPr>
        <w:t>dohlížené</w:t>
      </w:r>
      <w:r w:rsidR="0099383D" w:rsidRPr="009522A3">
        <w:rPr>
          <w:rFonts w:cs="Arial"/>
        </w:rPr>
        <w:t xml:space="preserve"> Českou národní bankou (ČNB)</w:t>
      </w:r>
      <w:r w:rsidR="00D30AC8" w:rsidRPr="009522A3">
        <w:rPr>
          <w:rFonts w:cs="Arial"/>
        </w:rPr>
        <w:t>,</w:t>
      </w:r>
      <w:r w:rsidR="00CA2098" w:rsidRPr="009522A3">
        <w:rPr>
          <w:rFonts w:cs="Arial"/>
        </w:rPr>
        <w:t xml:space="preserve"> </w:t>
      </w:r>
      <w:r w:rsidR="0099383D" w:rsidRPr="009522A3">
        <w:rPr>
          <w:rFonts w:cs="Arial"/>
        </w:rPr>
        <w:t xml:space="preserve">a </w:t>
      </w:r>
      <w:r w:rsidR="00D30AC8" w:rsidRPr="009522A3">
        <w:rPr>
          <w:rFonts w:cs="Arial"/>
        </w:rPr>
        <w:t xml:space="preserve">o </w:t>
      </w:r>
      <w:r w:rsidR="0099383D" w:rsidRPr="009522A3">
        <w:rPr>
          <w:rFonts w:cs="Arial"/>
        </w:rPr>
        <w:t>finančních institucích účtujících jako podnikatelé, které nepodléhají dohledu ČNB</w:t>
      </w:r>
      <w:r w:rsidR="00A21D45">
        <w:rPr>
          <w:rFonts w:cs="Arial"/>
        </w:rPr>
        <w:t>.</w:t>
      </w:r>
    </w:p>
    <w:p w14:paraId="69C18CB7" w14:textId="04B68854" w:rsidR="00AD7BEA" w:rsidRPr="009522A3" w:rsidRDefault="0099383D" w:rsidP="00214924">
      <w:pPr>
        <w:pStyle w:val="Zkladntextodsazen2"/>
        <w:tabs>
          <w:tab w:val="left" w:pos="567"/>
        </w:tabs>
        <w:spacing w:after="120"/>
        <w:rPr>
          <w:rFonts w:cs="Arial"/>
        </w:rPr>
      </w:pPr>
      <w:r w:rsidRPr="009522A3">
        <w:rPr>
          <w:rFonts w:cs="Arial"/>
        </w:rPr>
        <w:t xml:space="preserve">Obsahem jsou základní </w:t>
      </w:r>
      <w:r w:rsidR="00AD7BEA" w:rsidRPr="009522A3">
        <w:rPr>
          <w:rFonts w:cs="Arial"/>
        </w:rPr>
        <w:t>údaje o zaměstnancích</w:t>
      </w:r>
      <w:r w:rsidR="001515D8" w:rsidRPr="009522A3">
        <w:rPr>
          <w:rFonts w:cs="Arial"/>
        </w:rPr>
        <w:t xml:space="preserve"> </w:t>
      </w:r>
      <w:r w:rsidR="00EB340A" w:rsidRPr="009522A3">
        <w:rPr>
          <w:rFonts w:cs="Arial"/>
        </w:rPr>
        <w:t>a</w:t>
      </w:r>
      <w:r w:rsidR="00AD7BEA" w:rsidRPr="009522A3">
        <w:rPr>
          <w:rFonts w:cs="Arial"/>
        </w:rPr>
        <w:t xml:space="preserve"> mzdách, </w:t>
      </w:r>
      <w:r w:rsidRPr="009522A3">
        <w:rPr>
          <w:rFonts w:cs="Arial"/>
        </w:rPr>
        <w:t>vybraných druzích výnosů a nákladů</w:t>
      </w:r>
      <w:r w:rsidR="001515D8" w:rsidRPr="009522A3">
        <w:rPr>
          <w:rFonts w:cs="Arial"/>
        </w:rPr>
        <w:t>,</w:t>
      </w:r>
      <w:r w:rsidRPr="009522A3">
        <w:rPr>
          <w:rFonts w:cs="Arial"/>
        </w:rPr>
        <w:t xml:space="preserve"> </w:t>
      </w:r>
      <w:r w:rsidR="00AD7BEA" w:rsidRPr="009522A3">
        <w:rPr>
          <w:rFonts w:cs="Arial"/>
        </w:rPr>
        <w:t>dlouhodob</w:t>
      </w:r>
      <w:r w:rsidR="001515D8" w:rsidRPr="009522A3">
        <w:rPr>
          <w:rFonts w:cs="Arial"/>
        </w:rPr>
        <w:t xml:space="preserve">ém hmotném a nehmotném majetku, </w:t>
      </w:r>
      <w:r w:rsidR="00AD7BEA" w:rsidRPr="009522A3">
        <w:rPr>
          <w:rFonts w:cs="Arial"/>
        </w:rPr>
        <w:t>vybran</w:t>
      </w:r>
      <w:r w:rsidR="00EB340A" w:rsidRPr="009522A3">
        <w:rPr>
          <w:rFonts w:cs="Arial"/>
        </w:rPr>
        <w:t>ých</w:t>
      </w:r>
      <w:r w:rsidR="00AD7BEA" w:rsidRPr="009522A3">
        <w:rPr>
          <w:rFonts w:cs="Arial"/>
        </w:rPr>
        <w:t xml:space="preserve"> polož</w:t>
      </w:r>
      <w:r w:rsidRPr="009522A3">
        <w:rPr>
          <w:rFonts w:cs="Arial"/>
        </w:rPr>
        <w:t>kách</w:t>
      </w:r>
      <w:r w:rsidR="00AD7BEA" w:rsidRPr="009522A3">
        <w:rPr>
          <w:rFonts w:cs="Arial"/>
        </w:rPr>
        <w:t xml:space="preserve"> aktiv a pasiv a </w:t>
      </w:r>
      <w:r w:rsidRPr="009522A3">
        <w:rPr>
          <w:rFonts w:cs="Arial"/>
        </w:rPr>
        <w:t xml:space="preserve">dalších </w:t>
      </w:r>
      <w:r w:rsidR="00AD7BEA" w:rsidRPr="009522A3">
        <w:rPr>
          <w:rFonts w:cs="Arial"/>
        </w:rPr>
        <w:t>doplňkov</w:t>
      </w:r>
      <w:r w:rsidR="00EB340A" w:rsidRPr="009522A3">
        <w:rPr>
          <w:rFonts w:cs="Arial"/>
        </w:rPr>
        <w:t>ých</w:t>
      </w:r>
      <w:r w:rsidR="00AD7BEA" w:rsidRPr="009522A3">
        <w:rPr>
          <w:rFonts w:cs="Arial"/>
        </w:rPr>
        <w:t xml:space="preserve"> ukazatel</w:t>
      </w:r>
      <w:r w:rsidRPr="009522A3">
        <w:rPr>
          <w:rFonts w:cs="Arial"/>
        </w:rPr>
        <w:t>ů</w:t>
      </w:r>
      <w:r w:rsidR="00AD7BEA" w:rsidRPr="009522A3">
        <w:rPr>
          <w:rFonts w:cs="Arial"/>
        </w:rPr>
        <w:t xml:space="preserve">. </w:t>
      </w:r>
    </w:p>
    <w:p w14:paraId="19B5B6D9" w14:textId="6DAF5270" w:rsidR="00D01FB9" w:rsidRPr="009522A3" w:rsidRDefault="00AD7BEA" w:rsidP="00556E8D">
      <w:pPr>
        <w:pStyle w:val="Zkladntextodsazen2"/>
        <w:spacing w:after="360"/>
        <w:rPr>
          <w:rFonts w:cs="Arial"/>
        </w:rPr>
      </w:pPr>
      <w:r w:rsidRPr="009522A3">
        <w:rPr>
          <w:rFonts w:cs="Arial"/>
        </w:rPr>
        <w:t xml:space="preserve">Zdrojem dat </w:t>
      </w:r>
      <w:r w:rsidR="0099383D" w:rsidRPr="009522A3">
        <w:rPr>
          <w:rFonts w:cs="Arial"/>
        </w:rPr>
        <w:t>je</w:t>
      </w:r>
      <w:r w:rsidRPr="009522A3">
        <w:rPr>
          <w:rFonts w:cs="Arial"/>
        </w:rPr>
        <w:t xml:space="preserve"> </w:t>
      </w:r>
      <w:r w:rsidR="0099383D" w:rsidRPr="009522A3">
        <w:rPr>
          <w:rFonts w:cs="Arial"/>
        </w:rPr>
        <w:t>Roční výkaz finančních (peněžních) institucí (</w:t>
      </w:r>
      <w:proofErr w:type="spellStart"/>
      <w:r w:rsidRPr="009522A3">
        <w:rPr>
          <w:rFonts w:cs="Arial"/>
        </w:rPr>
        <w:t>Pen</w:t>
      </w:r>
      <w:proofErr w:type="spellEnd"/>
      <w:r w:rsidRPr="009522A3">
        <w:rPr>
          <w:rFonts w:cs="Arial"/>
        </w:rPr>
        <w:t xml:space="preserve"> 5-01</w:t>
      </w:r>
      <w:r w:rsidR="0099383D" w:rsidRPr="009522A3">
        <w:rPr>
          <w:rFonts w:cs="Arial"/>
        </w:rPr>
        <w:t>)</w:t>
      </w:r>
      <w:r w:rsidRPr="009522A3">
        <w:rPr>
          <w:rFonts w:cs="Arial"/>
        </w:rPr>
        <w:t xml:space="preserve"> a </w:t>
      </w:r>
      <w:r w:rsidR="0099383D" w:rsidRPr="009522A3">
        <w:rPr>
          <w:rFonts w:cs="Arial"/>
        </w:rPr>
        <w:t>Roční výkaz ekonomických subjektů vybraných produkčních odvětví (</w:t>
      </w:r>
      <w:r w:rsidRPr="009522A3">
        <w:rPr>
          <w:rFonts w:cs="Arial"/>
        </w:rPr>
        <w:t>P 5-01</w:t>
      </w:r>
      <w:r w:rsidR="0099383D" w:rsidRPr="009522A3">
        <w:rPr>
          <w:rFonts w:cs="Arial"/>
        </w:rPr>
        <w:t>)</w:t>
      </w:r>
      <w:r w:rsidRPr="009522A3">
        <w:rPr>
          <w:rFonts w:cs="Arial"/>
        </w:rPr>
        <w:t>.</w:t>
      </w:r>
    </w:p>
    <w:p w14:paraId="01970F9C" w14:textId="3F82ADD0" w:rsidR="00401BCF" w:rsidRPr="009522A3" w:rsidRDefault="00037681" w:rsidP="00556E8D">
      <w:pPr>
        <w:spacing w:after="360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AD7BEA" w:rsidRPr="009522A3">
        <w:rPr>
          <w:rFonts w:ascii="Arial" w:hAnsi="Arial" w:cs="Arial"/>
          <w:b/>
          <w:sz w:val="28"/>
          <w:szCs w:val="28"/>
        </w:rPr>
        <w:t>nalytický komentář</w:t>
      </w:r>
    </w:p>
    <w:p w14:paraId="47AB7BCC" w14:textId="7CC2BE12" w:rsidR="00401BCF" w:rsidRPr="009522A3" w:rsidRDefault="00306580" w:rsidP="00401BCF">
      <w:pPr>
        <w:pStyle w:val="Nzev"/>
        <w:tabs>
          <w:tab w:val="left" w:pos="567"/>
        </w:tabs>
        <w:spacing w:after="360"/>
        <w:ind w:firstLine="567"/>
        <w:jc w:val="left"/>
        <w:rPr>
          <w:sz w:val="24"/>
        </w:rPr>
      </w:pPr>
      <w:r w:rsidRPr="009522A3">
        <w:rPr>
          <w:sz w:val="24"/>
        </w:rPr>
        <w:t>Bankovní peněžní instituce</w:t>
      </w:r>
    </w:p>
    <w:p w14:paraId="60C708E6" w14:textId="6677D05C" w:rsidR="00F5182E" w:rsidRPr="009522A3" w:rsidRDefault="00AD7BEA" w:rsidP="0086403D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9522A3">
        <w:rPr>
          <w:rFonts w:cs="Arial"/>
          <w:b/>
          <w:sz w:val="20"/>
        </w:rPr>
        <w:t>Bankovní peněžní instituce</w:t>
      </w:r>
      <w:r w:rsidR="00F5182E" w:rsidRPr="009522A3">
        <w:rPr>
          <w:rFonts w:cs="Arial"/>
          <w:sz w:val="20"/>
        </w:rPr>
        <w:t>, jsou ekonomické subjekty, kterým bylo v souladu s platným zákonem o bankách uděleno povolení ČNB působit jako banka. Kromě ČNB sem patří především komerční banky a hypote</w:t>
      </w:r>
      <w:r w:rsidR="00DD4B41" w:rsidRPr="009522A3">
        <w:rPr>
          <w:rFonts w:cs="Arial"/>
          <w:sz w:val="20"/>
        </w:rPr>
        <w:t>č</w:t>
      </w:r>
      <w:r w:rsidR="00F5182E" w:rsidRPr="009522A3">
        <w:rPr>
          <w:rFonts w:cs="Arial"/>
          <w:sz w:val="20"/>
        </w:rPr>
        <w:t xml:space="preserve">ní banky, </w:t>
      </w:r>
      <w:r w:rsidR="008F5543" w:rsidRPr="009522A3">
        <w:rPr>
          <w:rFonts w:cs="Arial"/>
          <w:sz w:val="20"/>
        </w:rPr>
        <w:t xml:space="preserve">družstevní záložny a </w:t>
      </w:r>
      <w:r w:rsidR="00F5182E" w:rsidRPr="009522A3">
        <w:rPr>
          <w:rFonts w:cs="Arial"/>
          <w:sz w:val="20"/>
        </w:rPr>
        <w:t>stavební spořitelny bez ohledu na počet zaměstnanců.</w:t>
      </w:r>
      <w:r w:rsidR="001515D8" w:rsidRPr="009522A3">
        <w:rPr>
          <w:rFonts w:cs="Arial"/>
          <w:sz w:val="20"/>
        </w:rPr>
        <w:br/>
      </w:r>
      <w:r w:rsidR="00F5182E" w:rsidRPr="009522A3">
        <w:rPr>
          <w:rFonts w:cs="Arial"/>
          <w:sz w:val="20"/>
        </w:rPr>
        <w:t>Tyto subjekty mají převažující činnost peněžní zprostředkování (CZ-NACE 64.1) a vedou účetnictví podle účtové osnovy pro banky a jiné finanční instituce (vyhláška 501/2002 Sb. ze dne 6. listopadu 2002</w:t>
      </w:r>
      <w:r w:rsidR="001515D8" w:rsidRPr="009522A3">
        <w:rPr>
          <w:rFonts w:cs="Arial"/>
          <w:sz w:val="20"/>
        </w:rPr>
        <w:br/>
      </w:r>
      <w:r w:rsidR="00F5182E" w:rsidRPr="009522A3">
        <w:rPr>
          <w:rFonts w:cs="Arial"/>
          <w:sz w:val="20"/>
        </w:rPr>
        <w:t>ve</w:t>
      </w:r>
      <w:r w:rsidR="000536F3" w:rsidRPr="009522A3">
        <w:rPr>
          <w:rFonts w:cs="Arial"/>
          <w:sz w:val="20"/>
        </w:rPr>
        <w:t xml:space="preserve"> znění pozdějších předpisů).</w:t>
      </w:r>
    </w:p>
    <w:p w14:paraId="52C96683" w14:textId="291C7F9E" w:rsidR="00AD7BEA" w:rsidRPr="009522A3" w:rsidRDefault="00F5182E" w:rsidP="00214924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9522A3">
        <w:rPr>
          <w:rFonts w:cs="Arial"/>
          <w:sz w:val="20"/>
        </w:rPr>
        <w:t>V</w:t>
      </w:r>
      <w:r w:rsidR="00AD7BEA" w:rsidRPr="009522A3">
        <w:rPr>
          <w:rFonts w:cs="Arial"/>
          <w:sz w:val="20"/>
        </w:rPr>
        <w:t xml:space="preserve"> roce </w:t>
      </w:r>
      <w:r w:rsidRPr="009522A3">
        <w:rPr>
          <w:rFonts w:cs="Arial"/>
          <w:sz w:val="20"/>
        </w:rPr>
        <w:t>2019 realizovaly</w:t>
      </w:r>
      <w:r w:rsidR="00AD7BEA" w:rsidRPr="009522A3">
        <w:rPr>
          <w:rFonts w:cs="Arial"/>
          <w:sz w:val="20"/>
        </w:rPr>
        <w:t xml:space="preserve"> celkové výnosy ve výši 1 622 mld. Kč, což představuje zvýšení</w:t>
      </w:r>
      <w:r w:rsidR="001515D8" w:rsidRPr="009522A3">
        <w:rPr>
          <w:rFonts w:cs="Arial"/>
          <w:sz w:val="20"/>
        </w:rPr>
        <w:br/>
      </w:r>
      <w:r w:rsidR="0068059D" w:rsidRPr="009522A3">
        <w:rPr>
          <w:rFonts w:cs="Arial"/>
          <w:sz w:val="20"/>
        </w:rPr>
        <w:t xml:space="preserve">o 16,7 % </w:t>
      </w:r>
      <w:r w:rsidR="00AD7BEA" w:rsidRPr="009522A3">
        <w:rPr>
          <w:rFonts w:cs="Arial"/>
          <w:sz w:val="20"/>
        </w:rPr>
        <w:t xml:space="preserve">(-13,8 </w:t>
      </w:r>
      <w:proofErr w:type="spellStart"/>
      <w:proofErr w:type="gramStart"/>
      <w:r w:rsidR="00D34608" w:rsidRPr="009522A3">
        <w:rPr>
          <w:rFonts w:cs="Arial"/>
          <w:sz w:val="20"/>
        </w:rPr>
        <w:t>p.</w:t>
      </w:r>
      <w:r w:rsidRPr="009522A3">
        <w:rPr>
          <w:rFonts w:cs="Arial"/>
          <w:sz w:val="20"/>
        </w:rPr>
        <w:t>b</w:t>
      </w:r>
      <w:proofErr w:type="spellEnd"/>
      <w:r w:rsidR="00BC3EB0">
        <w:rPr>
          <w:rFonts w:cs="Arial"/>
          <w:sz w:val="20"/>
        </w:rPr>
        <w:t>.</w:t>
      </w:r>
      <w:r w:rsidR="00D34608" w:rsidRPr="009522A3">
        <w:rPr>
          <w:rFonts w:cs="Arial"/>
          <w:sz w:val="20"/>
        </w:rPr>
        <w:t xml:space="preserve">) </w:t>
      </w:r>
      <w:r w:rsidRPr="009522A3">
        <w:rPr>
          <w:rFonts w:cs="Arial"/>
          <w:sz w:val="20"/>
        </w:rPr>
        <w:t>oproti</w:t>
      </w:r>
      <w:proofErr w:type="gramEnd"/>
      <w:r w:rsidR="00AD7BEA" w:rsidRPr="009522A3">
        <w:rPr>
          <w:rFonts w:cs="Arial"/>
          <w:sz w:val="20"/>
        </w:rPr>
        <w:t xml:space="preserve"> předchozímu roku. Podíl výnosů z finančních činností na výnosech celkem činil 95,5 %; došlo tak k meziročnímu snížení o 0,9 </w:t>
      </w:r>
      <w:proofErr w:type="spellStart"/>
      <w:proofErr w:type="gramStart"/>
      <w:r w:rsidR="00AD7BEA" w:rsidRPr="009522A3">
        <w:rPr>
          <w:rFonts w:cs="Arial"/>
          <w:sz w:val="20"/>
        </w:rPr>
        <w:t>p.b</w:t>
      </w:r>
      <w:proofErr w:type="spellEnd"/>
      <w:r w:rsidR="00AD7BEA" w:rsidRPr="009522A3">
        <w:rPr>
          <w:rFonts w:cs="Arial"/>
          <w:sz w:val="20"/>
        </w:rPr>
        <w:t>. na</w:t>
      </w:r>
      <w:proofErr w:type="gramEnd"/>
      <w:r w:rsidR="00AD7BEA" w:rsidRPr="009522A3">
        <w:rPr>
          <w:rFonts w:cs="Arial"/>
          <w:sz w:val="20"/>
        </w:rPr>
        <w:t xml:space="preserve"> 1 548 mld. Kč</w:t>
      </w:r>
      <w:r w:rsidR="009E72DD">
        <w:rPr>
          <w:rFonts w:cs="Arial"/>
          <w:sz w:val="20"/>
        </w:rPr>
        <w:t>.</w:t>
      </w:r>
    </w:p>
    <w:p w14:paraId="136E93FF" w14:textId="77777777" w:rsidR="00AD7BEA" w:rsidRPr="009522A3" w:rsidRDefault="00AD7BEA" w:rsidP="00214924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9522A3">
        <w:rPr>
          <w:rFonts w:cs="Arial"/>
          <w:sz w:val="20"/>
        </w:rPr>
        <w:t>Z celkového objemu nákladů ve výši 1 475 mld. Kč připadalo na finanční náklady 1 297 mld. Kč,</w:t>
      </w:r>
      <w:r w:rsidRPr="009522A3">
        <w:rPr>
          <w:rFonts w:cs="Arial"/>
          <w:sz w:val="20"/>
        </w:rPr>
        <w:br/>
        <w:t xml:space="preserve">jejichž podíl tak dosáhl 87,9 %, což představuje  zvýšení o 0,1 </w:t>
      </w:r>
      <w:proofErr w:type="gramStart"/>
      <w:r w:rsidRPr="009522A3">
        <w:rPr>
          <w:rFonts w:cs="Arial"/>
          <w:sz w:val="20"/>
        </w:rPr>
        <w:t>p.b.</w:t>
      </w:r>
      <w:proofErr w:type="gramEnd"/>
      <w:r w:rsidRPr="009522A3">
        <w:rPr>
          <w:rFonts w:cs="Arial"/>
          <w:sz w:val="20"/>
        </w:rPr>
        <w:t xml:space="preserve"> </w:t>
      </w:r>
    </w:p>
    <w:p w14:paraId="14306067" w14:textId="10A0FA03" w:rsidR="00AD7BEA" w:rsidRPr="009522A3" w:rsidRDefault="00AD7BEA" w:rsidP="00214924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9522A3">
        <w:rPr>
          <w:rFonts w:cs="Arial"/>
          <w:sz w:val="20"/>
        </w:rPr>
        <w:t>Vyplacené dividendy a podíly na zisku (zvýšení o 2,2 % na 48,8 mld. Kč, tj. snížení o 33,6 p.b</w:t>
      </w:r>
      <w:r w:rsidR="00D34608" w:rsidRPr="009522A3">
        <w:rPr>
          <w:rFonts w:cs="Arial"/>
          <w:sz w:val="20"/>
        </w:rPr>
        <w:t>.</w:t>
      </w:r>
      <w:r w:rsidRPr="009522A3">
        <w:rPr>
          <w:rFonts w:cs="Arial"/>
          <w:sz w:val="20"/>
        </w:rPr>
        <w:t>)</w:t>
      </w:r>
      <w:r w:rsidRPr="009522A3">
        <w:rPr>
          <w:rFonts w:cs="Arial"/>
          <w:sz w:val="20"/>
        </w:rPr>
        <w:br/>
        <w:t>ve srovnání s přijatými dividendami a podíly na zisku (zvýšení o 33,3 % na 21,5 mld. Kč, zvýšení</w:t>
      </w:r>
      <w:r w:rsidRPr="009522A3">
        <w:rPr>
          <w:rFonts w:cs="Arial"/>
          <w:sz w:val="20"/>
        </w:rPr>
        <w:br/>
        <w:t>o 26,7</w:t>
      </w:r>
      <w:r w:rsidR="00BC3EB0">
        <w:rPr>
          <w:rFonts w:cs="Arial"/>
          <w:sz w:val="20"/>
        </w:rPr>
        <w:t xml:space="preserve"> </w:t>
      </w:r>
      <w:proofErr w:type="spellStart"/>
      <w:proofErr w:type="gramStart"/>
      <w:r w:rsidR="00BC3EB0">
        <w:rPr>
          <w:rFonts w:cs="Arial"/>
          <w:sz w:val="20"/>
        </w:rPr>
        <w:t>p.b</w:t>
      </w:r>
      <w:proofErr w:type="spellEnd"/>
      <w:r w:rsidR="00BC3EB0">
        <w:rPr>
          <w:rFonts w:cs="Arial"/>
          <w:sz w:val="20"/>
        </w:rPr>
        <w:t>.</w:t>
      </w:r>
      <w:r w:rsidR="000536F3" w:rsidRPr="009522A3">
        <w:rPr>
          <w:rFonts w:cs="Arial"/>
          <w:sz w:val="20"/>
        </w:rPr>
        <w:t xml:space="preserve">) </w:t>
      </w:r>
      <w:r w:rsidRPr="009522A3">
        <w:rPr>
          <w:rFonts w:cs="Arial"/>
          <w:sz w:val="20"/>
        </w:rPr>
        <w:t>rostly</w:t>
      </w:r>
      <w:proofErr w:type="gramEnd"/>
      <w:r w:rsidRPr="009522A3">
        <w:rPr>
          <w:rFonts w:cs="Arial"/>
          <w:sz w:val="20"/>
        </w:rPr>
        <w:t xml:space="preserve"> v roce 2019 podstatně pomaleji.</w:t>
      </w:r>
    </w:p>
    <w:p w14:paraId="51660757" w14:textId="5A672B41" w:rsidR="00AD7BEA" w:rsidRPr="009522A3" w:rsidRDefault="00AD7BEA" w:rsidP="00214924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  <w:r w:rsidRPr="009522A3">
        <w:rPr>
          <w:rFonts w:ascii="Arial" w:hAnsi="Arial" w:cs="Arial"/>
          <w:sz w:val="20"/>
        </w:rPr>
        <w:t>Celkový stav majetku bank a spořitelen činil ke konci roku 2019 10 893 mld. Kč. Na straně finančních aktiv, které dosáhly v roce 2019 hodnoty 10 819 mld. Kč, posílil objem úvěrů</w:t>
      </w:r>
      <w:r w:rsidRPr="009522A3">
        <w:rPr>
          <w:rFonts w:ascii="Arial" w:hAnsi="Arial" w:cs="Arial"/>
          <w:sz w:val="20"/>
        </w:rPr>
        <w:br/>
        <w:t>a půjček o 242 mld. Kč na  5 331 mld</w:t>
      </w:r>
      <w:r w:rsidR="00F5182E" w:rsidRPr="009522A3">
        <w:rPr>
          <w:rFonts w:ascii="Arial" w:hAnsi="Arial" w:cs="Arial"/>
          <w:sz w:val="20"/>
        </w:rPr>
        <w:t>.</w:t>
      </w:r>
      <w:r w:rsidRPr="009522A3">
        <w:rPr>
          <w:rFonts w:ascii="Arial" w:hAnsi="Arial" w:cs="Arial"/>
          <w:sz w:val="20"/>
        </w:rPr>
        <w:t xml:space="preserve"> Kč (zvýš</w:t>
      </w:r>
      <w:r w:rsidR="00BC3EB0">
        <w:rPr>
          <w:rFonts w:ascii="Arial" w:hAnsi="Arial" w:cs="Arial"/>
          <w:sz w:val="20"/>
        </w:rPr>
        <w:t>ení o 4,8 %, snížení o 5,7 p.b.</w:t>
      </w:r>
      <w:bookmarkStart w:id="0" w:name="_GoBack"/>
      <w:bookmarkEnd w:id="0"/>
      <w:r w:rsidR="00BC3EB0">
        <w:rPr>
          <w:rFonts w:ascii="Arial" w:hAnsi="Arial" w:cs="Arial"/>
          <w:sz w:val="20"/>
        </w:rPr>
        <w:t>)</w:t>
      </w:r>
      <w:r w:rsidRPr="009522A3">
        <w:rPr>
          <w:rFonts w:ascii="Arial" w:hAnsi="Arial" w:cs="Arial"/>
          <w:sz w:val="20"/>
        </w:rPr>
        <w:t xml:space="preserve">. </w:t>
      </w:r>
      <w:proofErr w:type="gramStart"/>
      <w:r w:rsidRPr="009522A3">
        <w:rPr>
          <w:rFonts w:ascii="Arial" w:hAnsi="Arial" w:cs="Arial"/>
          <w:sz w:val="20"/>
        </w:rPr>
        <w:t>Ve</w:t>
      </w:r>
      <w:proofErr w:type="gramEnd"/>
      <w:r w:rsidRPr="009522A3">
        <w:rPr>
          <w:rFonts w:ascii="Arial" w:hAnsi="Arial" w:cs="Arial"/>
          <w:sz w:val="20"/>
        </w:rPr>
        <w:t xml:space="preserve"> srovnání s předchozími lety, jde o zpomalení dynamiky po velmi silném přírůstku z roku 2017.</w:t>
      </w:r>
    </w:p>
    <w:p w14:paraId="45FB1E18" w14:textId="1D8143F9" w:rsidR="00401BCF" w:rsidRPr="009522A3" w:rsidRDefault="00AD7BEA" w:rsidP="00401BCF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  <w:r w:rsidRPr="009522A3">
        <w:rPr>
          <w:rFonts w:ascii="Arial" w:hAnsi="Arial" w:cs="Arial"/>
          <w:sz w:val="20"/>
        </w:rPr>
        <w:t xml:space="preserve">Během 1. – 4. čtvrtletí 2019, bylo ve všech 50 bankách a stavebních spořitelnách zaměstnáno </w:t>
      </w:r>
      <w:r w:rsidRPr="009522A3">
        <w:rPr>
          <w:rFonts w:ascii="Arial" w:hAnsi="Arial" w:cs="Arial"/>
          <w:sz w:val="20"/>
        </w:rPr>
        <w:br/>
        <w:t>v průměru 41 986 zaměstnanců, což je o 0,5 % méně, než ve stejném období roku 2018, meziroční tempo růstu průměrného evidenčního počtu za</w:t>
      </w:r>
      <w:r w:rsidR="008870F4" w:rsidRPr="009522A3">
        <w:rPr>
          <w:rFonts w:ascii="Arial" w:hAnsi="Arial" w:cs="Arial"/>
          <w:sz w:val="20"/>
        </w:rPr>
        <w:t xml:space="preserve">městnanců se snížilo o 1,1 </w:t>
      </w:r>
      <w:proofErr w:type="gramStart"/>
      <w:r w:rsidR="008870F4" w:rsidRPr="009522A3">
        <w:rPr>
          <w:rFonts w:ascii="Arial" w:hAnsi="Arial" w:cs="Arial"/>
          <w:sz w:val="20"/>
        </w:rPr>
        <w:t>p.b.</w:t>
      </w:r>
      <w:proofErr w:type="gramEnd"/>
      <w:r w:rsidRPr="009522A3">
        <w:rPr>
          <w:rFonts w:ascii="Arial" w:hAnsi="Arial" w:cs="Arial"/>
          <w:sz w:val="20"/>
        </w:rPr>
        <w:t xml:space="preserve"> Průměrná mzda fyzických osob </w:t>
      </w:r>
      <w:r w:rsidR="003A704C" w:rsidRPr="009522A3">
        <w:rPr>
          <w:rFonts w:ascii="Arial" w:hAnsi="Arial" w:cs="Arial"/>
          <w:sz w:val="20"/>
        </w:rPr>
        <w:t xml:space="preserve">se meziročně zvýšila o 0,9 </w:t>
      </w:r>
      <w:proofErr w:type="gramStart"/>
      <w:r w:rsidR="003A704C" w:rsidRPr="009522A3">
        <w:rPr>
          <w:rFonts w:ascii="Arial" w:hAnsi="Arial" w:cs="Arial"/>
          <w:sz w:val="20"/>
        </w:rPr>
        <w:t xml:space="preserve">p.b. a </w:t>
      </w:r>
      <w:r w:rsidRPr="009522A3">
        <w:rPr>
          <w:rFonts w:ascii="Arial" w:hAnsi="Arial" w:cs="Arial"/>
          <w:sz w:val="20"/>
        </w:rPr>
        <w:t>dosáhla</w:t>
      </w:r>
      <w:proofErr w:type="gramEnd"/>
      <w:r w:rsidRPr="009522A3">
        <w:rPr>
          <w:rFonts w:ascii="Arial" w:hAnsi="Arial" w:cs="Arial"/>
          <w:sz w:val="20"/>
        </w:rPr>
        <w:t xml:space="preserve"> hodnoty 61 130 Kč (zvýšení o 5,3 %.).</w:t>
      </w:r>
    </w:p>
    <w:p w14:paraId="0319662D" w14:textId="50C53AB8" w:rsidR="0086403D" w:rsidRPr="009522A3" w:rsidRDefault="0086403D" w:rsidP="00556E8D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360"/>
        <w:ind w:firstLine="567"/>
        <w:jc w:val="both"/>
        <w:rPr>
          <w:rFonts w:ascii="Arial" w:hAnsi="Arial" w:cs="Arial"/>
          <w:sz w:val="20"/>
        </w:rPr>
      </w:pPr>
      <w:r w:rsidRPr="009522A3">
        <w:rPr>
          <w:rFonts w:ascii="Arial" w:hAnsi="Arial" w:cs="Arial"/>
          <w:sz w:val="20"/>
        </w:rPr>
        <w:t>Zdrojem dat pro bankovní peněžní instituce je statistický výkaz Pen5-01</w:t>
      </w:r>
      <w:r w:rsidR="009E72DD">
        <w:rPr>
          <w:rFonts w:ascii="Arial" w:hAnsi="Arial" w:cs="Arial"/>
          <w:sz w:val="20"/>
        </w:rPr>
        <w:t>.</w:t>
      </w:r>
    </w:p>
    <w:p w14:paraId="08342003" w14:textId="7B2D9CE3" w:rsidR="00306580" w:rsidRPr="009522A3" w:rsidRDefault="00306580" w:rsidP="00556E8D">
      <w:pPr>
        <w:pStyle w:val="Nzev"/>
        <w:tabs>
          <w:tab w:val="left" w:pos="567"/>
        </w:tabs>
        <w:spacing w:after="360"/>
        <w:ind w:firstLine="567"/>
        <w:jc w:val="left"/>
        <w:rPr>
          <w:sz w:val="24"/>
        </w:rPr>
      </w:pPr>
      <w:r w:rsidRPr="009522A3">
        <w:rPr>
          <w:sz w:val="24"/>
        </w:rPr>
        <w:t>Nebankovní peněžní instituce účtující jako banky a finanční instituce</w:t>
      </w:r>
    </w:p>
    <w:p w14:paraId="2D5A0CFD" w14:textId="7B6E45C0" w:rsidR="001515D8" w:rsidRPr="009522A3" w:rsidRDefault="0029538D" w:rsidP="00214924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9522A3">
        <w:rPr>
          <w:rFonts w:cs="Arial"/>
          <w:b/>
          <w:bCs/>
          <w:color w:val="000000" w:themeColor="text1"/>
          <w:sz w:val="20"/>
          <w:szCs w:val="20"/>
        </w:rPr>
        <w:t xml:space="preserve">U </w:t>
      </w:r>
      <w:r w:rsidR="00303216" w:rsidRPr="009522A3">
        <w:rPr>
          <w:rFonts w:cs="Arial"/>
          <w:b/>
          <w:bCs/>
          <w:color w:val="000000" w:themeColor="text1"/>
          <w:sz w:val="20"/>
          <w:szCs w:val="20"/>
        </w:rPr>
        <w:t>n</w:t>
      </w:r>
      <w:r w:rsidR="00934AEC" w:rsidRPr="009522A3">
        <w:rPr>
          <w:rFonts w:cs="Arial"/>
          <w:b/>
          <w:bCs/>
          <w:color w:val="000000" w:themeColor="text1"/>
          <w:sz w:val="20"/>
          <w:szCs w:val="20"/>
        </w:rPr>
        <w:t>ebankovních peněžních institucí</w:t>
      </w:r>
      <w:r w:rsidR="00934AEC" w:rsidRPr="009522A3">
        <w:rPr>
          <w:rFonts w:cs="Arial"/>
          <w:bCs/>
          <w:color w:val="000000" w:themeColor="text1"/>
          <w:sz w:val="20"/>
          <w:szCs w:val="20"/>
        </w:rPr>
        <w:t xml:space="preserve"> účtujících jako banky</w:t>
      </w:r>
      <w:r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8F5543" w:rsidRPr="009522A3">
        <w:rPr>
          <w:rFonts w:cs="Arial"/>
          <w:color w:val="000000" w:themeColor="text1"/>
          <w:sz w:val="20"/>
          <w:szCs w:val="20"/>
        </w:rPr>
        <w:t xml:space="preserve">a </w:t>
      </w:r>
      <w:r w:rsidR="00F5182E" w:rsidRPr="009522A3">
        <w:rPr>
          <w:rFonts w:cs="Arial"/>
          <w:bCs/>
          <w:color w:val="000000" w:themeColor="text1"/>
          <w:sz w:val="20"/>
          <w:szCs w:val="20"/>
        </w:rPr>
        <w:t>finanční instituce</w:t>
      </w:r>
      <w:r w:rsidR="00F5182E" w:rsidRPr="009522A3">
        <w:rPr>
          <w:rFonts w:cs="Arial"/>
          <w:color w:val="000000" w:themeColor="text1"/>
          <w:sz w:val="20"/>
          <w:szCs w:val="20"/>
        </w:rPr>
        <w:t xml:space="preserve"> (obchodníci s cennými papíry, finanční platební instituce a instituce elektronických peněž) </w:t>
      </w:r>
      <w:r w:rsidRPr="009522A3">
        <w:rPr>
          <w:rFonts w:cs="Arial"/>
          <w:color w:val="000000" w:themeColor="text1"/>
          <w:sz w:val="20"/>
          <w:szCs w:val="20"/>
        </w:rPr>
        <w:t>evidujeme</w:t>
      </w:r>
      <w:r w:rsidR="00214924" w:rsidRPr="009522A3">
        <w:rPr>
          <w:rFonts w:cs="Arial"/>
          <w:color w:val="000000" w:themeColor="text1"/>
          <w:sz w:val="20"/>
          <w:szCs w:val="20"/>
        </w:rPr>
        <w:t xml:space="preserve"> za rok 2019</w:t>
      </w:r>
      <w:r w:rsidR="00214924" w:rsidRPr="009522A3">
        <w:rPr>
          <w:rFonts w:cs="Arial"/>
          <w:color w:val="000000" w:themeColor="text1"/>
          <w:sz w:val="20"/>
          <w:szCs w:val="20"/>
        </w:rPr>
        <w:br/>
      </w:r>
      <w:r w:rsidR="00CA6EF3" w:rsidRPr="009522A3">
        <w:rPr>
          <w:rFonts w:cs="Arial"/>
          <w:color w:val="000000" w:themeColor="text1"/>
          <w:sz w:val="20"/>
          <w:szCs w:val="20"/>
        </w:rPr>
        <w:t xml:space="preserve">celkové výnosy ve výši </w:t>
      </w:r>
      <w:r w:rsidR="00FC04CE" w:rsidRPr="009522A3">
        <w:rPr>
          <w:rFonts w:cs="Arial"/>
          <w:color w:val="000000" w:themeColor="text1"/>
          <w:sz w:val="20"/>
          <w:szCs w:val="20"/>
        </w:rPr>
        <w:t>88,8</w:t>
      </w:r>
      <w:r w:rsidR="00CA6EF3" w:rsidRPr="009522A3">
        <w:rPr>
          <w:rFonts w:cs="Arial"/>
          <w:color w:val="000000" w:themeColor="text1"/>
          <w:sz w:val="20"/>
          <w:szCs w:val="20"/>
        </w:rPr>
        <w:t xml:space="preserve"> mld. </w:t>
      </w:r>
      <w:r w:rsidR="004E4311" w:rsidRPr="009522A3">
        <w:rPr>
          <w:rFonts w:cs="Arial"/>
          <w:color w:val="000000" w:themeColor="text1"/>
          <w:sz w:val="20"/>
          <w:szCs w:val="20"/>
        </w:rPr>
        <w:t>Kč (zvýšení</w:t>
      </w:r>
      <w:r w:rsidR="00CA6EF3" w:rsidRPr="009522A3">
        <w:rPr>
          <w:rFonts w:cs="Arial"/>
          <w:color w:val="000000" w:themeColor="text1"/>
          <w:sz w:val="20"/>
          <w:szCs w:val="20"/>
        </w:rPr>
        <w:t xml:space="preserve"> o </w:t>
      </w:r>
      <w:r w:rsidR="00FC04CE" w:rsidRPr="009522A3">
        <w:rPr>
          <w:rFonts w:cs="Arial"/>
          <w:color w:val="000000" w:themeColor="text1"/>
          <w:sz w:val="20"/>
          <w:szCs w:val="20"/>
        </w:rPr>
        <w:t>60,2</w:t>
      </w:r>
      <w:r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CA6EF3" w:rsidRPr="009522A3">
        <w:rPr>
          <w:rFonts w:cs="Arial"/>
          <w:color w:val="000000" w:themeColor="text1"/>
          <w:sz w:val="20"/>
          <w:szCs w:val="20"/>
        </w:rPr>
        <w:t>%</w:t>
      </w:r>
      <w:r w:rsidR="001E12D1" w:rsidRPr="009522A3">
        <w:rPr>
          <w:rFonts w:cs="Arial"/>
          <w:color w:val="000000" w:themeColor="text1"/>
          <w:sz w:val="20"/>
          <w:szCs w:val="20"/>
        </w:rPr>
        <w:t xml:space="preserve"> oproti roku </w:t>
      </w:r>
      <w:r w:rsidR="00D24D77" w:rsidRPr="009522A3">
        <w:rPr>
          <w:rFonts w:cs="Arial"/>
          <w:color w:val="000000" w:themeColor="text1"/>
          <w:sz w:val="20"/>
          <w:szCs w:val="20"/>
        </w:rPr>
        <w:t>2018). Na</w:t>
      </w:r>
      <w:r w:rsidR="001E12D1" w:rsidRPr="009522A3">
        <w:rPr>
          <w:rFonts w:cs="Arial"/>
          <w:color w:val="000000" w:themeColor="text1"/>
          <w:sz w:val="20"/>
          <w:szCs w:val="20"/>
        </w:rPr>
        <w:t xml:space="preserve"> tomto objemu se nejvíce </w:t>
      </w:r>
      <w:r w:rsidR="00D24D77" w:rsidRPr="009522A3">
        <w:rPr>
          <w:rFonts w:cs="Arial"/>
          <w:color w:val="000000" w:themeColor="text1"/>
          <w:sz w:val="20"/>
          <w:szCs w:val="20"/>
        </w:rPr>
        <w:t>podílely výnosy</w:t>
      </w:r>
      <w:r w:rsidR="001E12D1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D24D77" w:rsidRPr="009522A3">
        <w:rPr>
          <w:rFonts w:cs="Arial"/>
          <w:color w:val="000000" w:themeColor="text1"/>
          <w:sz w:val="20"/>
          <w:szCs w:val="20"/>
        </w:rPr>
        <w:t>z</w:t>
      </w:r>
      <w:r w:rsidR="00CA6EF3" w:rsidRPr="009522A3">
        <w:rPr>
          <w:rFonts w:cs="Arial"/>
          <w:color w:val="000000" w:themeColor="text1"/>
          <w:sz w:val="20"/>
          <w:szCs w:val="20"/>
        </w:rPr>
        <w:t> finančních činností</w:t>
      </w:r>
      <w:r w:rsidR="00657D9C" w:rsidRPr="009522A3">
        <w:rPr>
          <w:rFonts w:cs="Arial"/>
          <w:color w:val="000000" w:themeColor="text1"/>
          <w:sz w:val="20"/>
          <w:szCs w:val="20"/>
        </w:rPr>
        <w:t>, které představovaly</w:t>
      </w:r>
      <w:r w:rsidR="00CA6EF3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761285" w:rsidRPr="009522A3">
        <w:rPr>
          <w:rFonts w:cs="Arial"/>
          <w:color w:val="000000" w:themeColor="text1"/>
          <w:sz w:val="20"/>
          <w:szCs w:val="20"/>
        </w:rPr>
        <w:t>77,9</w:t>
      </w:r>
      <w:r w:rsidR="00BF42B6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CA6EF3" w:rsidRPr="009522A3">
        <w:rPr>
          <w:rFonts w:cs="Arial"/>
          <w:color w:val="000000" w:themeColor="text1"/>
          <w:sz w:val="20"/>
          <w:szCs w:val="20"/>
        </w:rPr>
        <w:t>%</w:t>
      </w:r>
      <w:r w:rsidR="00657D9C" w:rsidRPr="009522A3">
        <w:rPr>
          <w:rFonts w:cs="Arial"/>
          <w:color w:val="000000" w:themeColor="text1"/>
          <w:sz w:val="20"/>
          <w:szCs w:val="20"/>
        </w:rPr>
        <w:t xml:space="preserve"> celkových výnosů</w:t>
      </w:r>
      <w:r w:rsidR="00761285" w:rsidRPr="009522A3">
        <w:rPr>
          <w:rFonts w:cs="Arial"/>
          <w:color w:val="000000" w:themeColor="text1"/>
          <w:sz w:val="20"/>
          <w:szCs w:val="20"/>
        </w:rPr>
        <w:t xml:space="preserve">. </w:t>
      </w:r>
      <w:r w:rsidR="00FA5C28" w:rsidRPr="009522A3">
        <w:rPr>
          <w:rFonts w:cs="Arial"/>
          <w:color w:val="000000" w:themeColor="text1"/>
          <w:sz w:val="20"/>
          <w:szCs w:val="20"/>
        </w:rPr>
        <w:t xml:space="preserve">U těchto jednotek pozorujeme výrazné navýšení </w:t>
      </w:r>
      <w:r w:rsidR="00657D9C" w:rsidRPr="009522A3">
        <w:rPr>
          <w:rFonts w:cs="Arial"/>
          <w:color w:val="000000" w:themeColor="text1"/>
          <w:sz w:val="20"/>
          <w:szCs w:val="20"/>
        </w:rPr>
        <w:t>(505</w:t>
      </w:r>
      <w:r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657D9C" w:rsidRPr="009522A3">
        <w:rPr>
          <w:rFonts w:cs="Arial"/>
          <w:color w:val="000000" w:themeColor="text1"/>
          <w:sz w:val="20"/>
          <w:szCs w:val="20"/>
        </w:rPr>
        <w:t>%)</w:t>
      </w:r>
      <w:r w:rsidR="006951C6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761285" w:rsidRPr="009522A3">
        <w:rPr>
          <w:rFonts w:cs="Arial"/>
          <w:color w:val="000000" w:themeColor="text1"/>
          <w:sz w:val="20"/>
          <w:szCs w:val="20"/>
        </w:rPr>
        <w:t>hodnoty z přecenění cenných papírů a podílů,</w:t>
      </w:r>
      <w:r w:rsidR="006951C6" w:rsidRPr="009522A3">
        <w:rPr>
          <w:rFonts w:cs="Arial"/>
          <w:color w:val="000000" w:themeColor="text1"/>
          <w:sz w:val="20"/>
          <w:szCs w:val="20"/>
        </w:rPr>
        <w:t xml:space="preserve"> kde</w:t>
      </w:r>
      <w:r w:rsidR="00761285" w:rsidRPr="009522A3">
        <w:rPr>
          <w:rFonts w:cs="Arial"/>
          <w:color w:val="000000" w:themeColor="text1"/>
          <w:sz w:val="20"/>
          <w:szCs w:val="20"/>
        </w:rPr>
        <w:t xml:space="preserve"> za sledovaný rok 2019</w:t>
      </w:r>
      <w:r w:rsidR="005145BE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6951C6" w:rsidRPr="009522A3">
        <w:rPr>
          <w:rFonts w:cs="Arial"/>
          <w:color w:val="000000" w:themeColor="text1"/>
          <w:sz w:val="20"/>
          <w:szCs w:val="20"/>
        </w:rPr>
        <w:t xml:space="preserve">evidujeme </w:t>
      </w:r>
      <w:r w:rsidR="005145BE" w:rsidRPr="009522A3">
        <w:rPr>
          <w:rFonts w:cs="Arial"/>
          <w:color w:val="000000" w:themeColor="text1"/>
          <w:sz w:val="20"/>
          <w:szCs w:val="20"/>
        </w:rPr>
        <w:t>18 mld</w:t>
      </w:r>
      <w:r w:rsidR="00BF42B6" w:rsidRPr="009522A3">
        <w:rPr>
          <w:rFonts w:cs="Arial"/>
          <w:color w:val="000000" w:themeColor="text1"/>
          <w:sz w:val="20"/>
          <w:szCs w:val="20"/>
        </w:rPr>
        <w:t>.</w:t>
      </w:r>
      <w:r w:rsidR="005145BE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6951C6" w:rsidRPr="009522A3">
        <w:rPr>
          <w:rFonts w:cs="Arial"/>
          <w:color w:val="000000" w:themeColor="text1"/>
          <w:sz w:val="20"/>
          <w:szCs w:val="20"/>
        </w:rPr>
        <w:t>Kč.</w:t>
      </w:r>
    </w:p>
    <w:p w14:paraId="560AA12E" w14:textId="05A20A32" w:rsidR="001515D8" w:rsidRPr="009522A3" w:rsidRDefault="005F361A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9522A3">
        <w:rPr>
          <w:rFonts w:cs="Arial"/>
          <w:color w:val="000000" w:themeColor="text1"/>
          <w:spacing w:val="-4"/>
          <w:sz w:val="20"/>
          <w:szCs w:val="20"/>
        </w:rPr>
        <w:lastRenderedPageBreak/>
        <w:t>Celkové náklady</w:t>
      </w:r>
      <w:r w:rsidR="00901144" w:rsidRPr="009522A3">
        <w:rPr>
          <w:rFonts w:cs="Arial"/>
          <w:color w:val="000000" w:themeColor="text1"/>
          <w:spacing w:val="-4"/>
          <w:sz w:val="20"/>
          <w:szCs w:val="20"/>
        </w:rPr>
        <w:t xml:space="preserve"> dosáhly hodnoty 55 mld</w:t>
      </w:r>
      <w:r w:rsidR="00BF42B6" w:rsidRPr="009522A3">
        <w:rPr>
          <w:rFonts w:cs="Arial"/>
          <w:color w:val="000000" w:themeColor="text1"/>
          <w:spacing w:val="-4"/>
          <w:sz w:val="20"/>
          <w:szCs w:val="20"/>
        </w:rPr>
        <w:t>.</w:t>
      </w:r>
      <w:r w:rsidR="00901144" w:rsidRPr="009522A3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025769" w:rsidRPr="009522A3">
        <w:rPr>
          <w:rFonts w:cs="Arial"/>
          <w:color w:val="000000" w:themeColor="text1"/>
          <w:spacing w:val="-4"/>
          <w:sz w:val="20"/>
          <w:szCs w:val="20"/>
        </w:rPr>
        <w:t>Kč (zvýšení</w:t>
      </w:r>
      <w:r w:rsidR="00901144" w:rsidRPr="009522A3">
        <w:rPr>
          <w:rFonts w:cs="Arial"/>
          <w:color w:val="000000" w:themeColor="text1"/>
          <w:spacing w:val="-4"/>
          <w:sz w:val="20"/>
          <w:szCs w:val="20"/>
        </w:rPr>
        <w:t xml:space="preserve"> o 5,3 %), finanční náklady dosáhly hodnoty 32,6 mld</w:t>
      </w:r>
      <w:r w:rsidR="00BF42B6" w:rsidRPr="009522A3">
        <w:rPr>
          <w:rFonts w:cs="Arial"/>
          <w:color w:val="000000" w:themeColor="text1"/>
          <w:spacing w:val="-4"/>
          <w:sz w:val="20"/>
          <w:szCs w:val="20"/>
        </w:rPr>
        <w:t>.</w:t>
      </w:r>
      <w:r w:rsidR="00901144" w:rsidRPr="009522A3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025769" w:rsidRPr="009522A3">
        <w:rPr>
          <w:rFonts w:cs="Arial"/>
          <w:color w:val="000000" w:themeColor="text1"/>
          <w:spacing w:val="-4"/>
          <w:sz w:val="20"/>
          <w:szCs w:val="20"/>
        </w:rPr>
        <w:t>Kč (pokles</w:t>
      </w:r>
      <w:r w:rsidR="00901144" w:rsidRPr="009522A3">
        <w:rPr>
          <w:rFonts w:cs="Arial"/>
          <w:color w:val="000000" w:themeColor="text1"/>
          <w:spacing w:val="-4"/>
          <w:sz w:val="20"/>
          <w:szCs w:val="20"/>
        </w:rPr>
        <w:t xml:space="preserve"> o 1,7</w:t>
      </w:r>
      <w:r w:rsidR="0029538D" w:rsidRPr="009522A3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901144" w:rsidRPr="009522A3">
        <w:rPr>
          <w:rFonts w:cs="Arial"/>
          <w:color w:val="000000" w:themeColor="text1"/>
          <w:spacing w:val="-4"/>
          <w:sz w:val="20"/>
          <w:szCs w:val="20"/>
        </w:rPr>
        <w:t>%</w:t>
      </w:r>
      <w:r w:rsidR="003D101F" w:rsidRPr="009522A3">
        <w:rPr>
          <w:rFonts w:cs="Arial"/>
          <w:color w:val="000000" w:themeColor="text1"/>
          <w:spacing w:val="-4"/>
          <w:sz w:val="20"/>
          <w:szCs w:val="20"/>
        </w:rPr>
        <w:t xml:space="preserve"> oproti roku 2018</w:t>
      </w:r>
      <w:r w:rsidR="00901144" w:rsidRPr="009522A3">
        <w:rPr>
          <w:rFonts w:cs="Arial"/>
          <w:color w:val="000000" w:themeColor="text1"/>
          <w:spacing w:val="-4"/>
          <w:sz w:val="20"/>
          <w:szCs w:val="20"/>
        </w:rPr>
        <w:t>).</w:t>
      </w:r>
      <w:r w:rsidR="00214924" w:rsidRPr="009522A3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</w:p>
    <w:p w14:paraId="4AEBE059" w14:textId="64677A7B" w:rsidR="001515D8" w:rsidRPr="009522A3" w:rsidRDefault="00B9260C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9522A3">
        <w:rPr>
          <w:rFonts w:cs="Arial"/>
          <w:color w:val="000000" w:themeColor="text1"/>
          <w:sz w:val="20"/>
          <w:szCs w:val="20"/>
        </w:rPr>
        <w:t>Zúčtované</w:t>
      </w:r>
      <w:r w:rsidRPr="009522A3">
        <w:rPr>
          <w:rFonts w:cs="Arial"/>
          <w:color w:val="000000" w:themeColor="text1"/>
          <w:spacing w:val="-4"/>
          <w:sz w:val="20"/>
          <w:szCs w:val="20"/>
        </w:rPr>
        <w:t xml:space="preserve"> dividendy a podíly na zisku před zdaněním narostly meziročně o 137 % na 5,2 mld. Kč</w:t>
      </w:r>
      <w:r w:rsidR="00FF0014" w:rsidRPr="009522A3">
        <w:rPr>
          <w:rFonts w:cs="Arial"/>
          <w:color w:val="000000" w:themeColor="text1"/>
          <w:spacing w:val="-4"/>
          <w:sz w:val="20"/>
          <w:szCs w:val="20"/>
        </w:rPr>
        <w:t>.</w:t>
      </w:r>
    </w:p>
    <w:p w14:paraId="04FA5E6C" w14:textId="094E657D" w:rsidR="006C140A" w:rsidRPr="009522A3" w:rsidRDefault="006C140A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Celkov</w:t>
      </w:r>
      <w:r w:rsidR="005F361A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á hodnota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majetku nebankovních institucí činil</w:t>
      </w:r>
      <w:r w:rsidR="005F361A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a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6</w:t>
      </w:r>
      <w:r w:rsidR="00C7664D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39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 </w:t>
      </w:r>
      <w:r w:rsidR="00011A9C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Kč (nárůst</w:t>
      </w:r>
      <w:r w:rsidR="00901144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o 44,1</w:t>
      </w:r>
      <w:r w:rsidR="0029538D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901144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% </w:t>
      </w:r>
      <w:r w:rsidR="00934AEC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oproti</w:t>
      </w:r>
      <w:r w:rsidR="00901144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minulému roku)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. Stav finančních aktiv</w:t>
      </w:r>
      <w:r w:rsidR="00794810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ke konci roku 2019</w:t>
      </w:r>
      <w:r w:rsidR="005F361A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dosáhl</w:t>
      </w:r>
      <w:r w:rsidR="00794810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hodnoty </w:t>
      </w:r>
      <w:r w:rsidR="00011A9C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58</w:t>
      </w:r>
      <w:r w:rsidR="000445D3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5</w:t>
      </w:r>
      <w:r w:rsidR="00011A9C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011A9C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Kč (zvýšení</w:t>
      </w:r>
      <w:r w:rsidR="00934AEC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o 49,4</w:t>
      </w:r>
      <w:r w:rsidR="0029538D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934AEC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%)</w:t>
      </w:r>
      <w:r w:rsidR="00794810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.</w:t>
      </w:r>
    </w:p>
    <w:p w14:paraId="2298E3DB" w14:textId="7B31F261" w:rsidR="006C140A" w:rsidRPr="009522A3" w:rsidRDefault="0029538D" w:rsidP="00962DC2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9522A3">
        <w:rPr>
          <w:rFonts w:cs="Arial"/>
          <w:color w:val="000000" w:themeColor="text1"/>
          <w:sz w:val="20"/>
          <w:szCs w:val="20"/>
        </w:rPr>
        <w:t xml:space="preserve">Průměrný evidenční počet zaměstnanců ve fyzických osobách se meziročně zvýšil o 3,7 </w:t>
      </w:r>
      <w:r w:rsidR="00214924" w:rsidRPr="009522A3">
        <w:rPr>
          <w:rFonts w:cs="Arial"/>
          <w:color w:val="000000" w:themeColor="text1"/>
          <w:spacing w:val="-4"/>
          <w:sz w:val="20"/>
          <w:szCs w:val="20"/>
        </w:rPr>
        <w:t>%</w:t>
      </w:r>
      <w:r w:rsidR="00214924" w:rsidRPr="009522A3">
        <w:rPr>
          <w:rFonts w:cs="Arial"/>
          <w:color w:val="000000" w:themeColor="text1"/>
          <w:spacing w:val="-4"/>
          <w:sz w:val="20"/>
          <w:szCs w:val="20"/>
        </w:rPr>
        <w:br/>
      </w:r>
      <w:r w:rsidRPr="009522A3">
        <w:rPr>
          <w:rFonts w:cs="Arial"/>
          <w:color w:val="000000" w:themeColor="text1"/>
          <w:spacing w:val="-4"/>
          <w:sz w:val="20"/>
          <w:szCs w:val="20"/>
        </w:rPr>
        <w:t>na 3</w:t>
      </w:r>
      <w:r w:rsidR="000536F3" w:rsidRPr="009522A3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Pr="009522A3">
        <w:rPr>
          <w:rFonts w:cs="Arial"/>
          <w:color w:val="000000" w:themeColor="text1"/>
          <w:spacing w:val="-4"/>
          <w:sz w:val="20"/>
          <w:szCs w:val="20"/>
        </w:rPr>
        <w:t>633 osob</w:t>
      </w:r>
      <w:r w:rsidR="00901144" w:rsidRPr="009522A3">
        <w:rPr>
          <w:rFonts w:cs="Arial"/>
          <w:color w:val="000000" w:themeColor="text1"/>
          <w:sz w:val="20"/>
          <w:szCs w:val="20"/>
        </w:rPr>
        <w:t>.</w:t>
      </w:r>
      <w:r w:rsidR="006C140A" w:rsidRPr="009522A3">
        <w:rPr>
          <w:rFonts w:cs="Arial"/>
          <w:color w:val="000000" w:themeColor="text1"/>
          <w:sz w:val="20"/>
          <w:szCs w:val="20"/>
        </w:rPr>
        <w:t xml:space="preserve"> Průměrná mzda fyzických </w:t>
      </w:r>
      <w:r w:rsidR="00901144" w:rsidRPr="009522A3">
        <w:rPr>
          <w:rFonts w:cs="Arial"/>
          <w:color w:val="000000" w:themeColor="text1"/>
          <w:sz w:val="20"/>
          <w:szCs w:val="20"/>
        </w:rPr>
        <w:t>osob dosáhla</w:t>
      </w:r>
      <w:r w:rsidR="006C140A" w:rsidRPr="009522A3">
        <w:rPr>
          <w:rFonts w:cs="Arial"/>
          <w:color w:val="000000" w:themeColor="text1"/>
          <w:sz w:val="20"/>
          <w:szCs w:val="20"/>
        </w:rPr>
        <w:t xml:space="preserve"> hodnoty </w:t>
      </w:r>
      <w:r w:rsidR="00934AEC" w:rsidRPr="009522A3">
        <w:rPr>
          <w:rFonts w:cs="Arial"/>
          <w:color w:val="000000" w:themeColor="text1"/>
          <w:sz w:val="20"/>
          <w:szCs w:val="20"/>
        </w:rPr>
        <w:t>62 665</w:t>
      </w:r>
      <w:r w:rsidR="006C140A" w:rsidRPr="009522A3">
        <w:rPr>
          <w:rFonts w:cs="Arial"/>
          <w:color w:val="000000" w:themeColor="text1"/>
          <w:sz w:val="20"/>
          <w:szCs w:val="20"/>
        </w:rPr>
        <w:t xml:space="preserve"> Kč (</w:t>
      </w:r>
      <w:r w:rsidR="00FA5C28" w:rsidRPr="009522A3">
        <w:rPr>
          <w:rFonts w:cs="Arial"/>
          <w:color w:val="000000" w:themeColor="text1"/>
          <w:sz w:val="20"/>
          <w:szCs w:val="20"/>
        </w:rPr>
        <w:t>meziroční na</w:t>
      </w:r>
      <w:r w:rsidR="00303216" w:rsidRPr="009522A3">
        <w:rPr>
          <w:rFonts w:cs="Arial"/>
          <w:color w:val="000000" w:themeColor="text1"/>
          <w:sz w:val="20"/>
          <w:szCs w:val="20"/>
        </w:rPr>
        <w:t>v</w:t>
      </w:r>
      <w:r w:rsidR="006C140A" w:rsidRPr="009522A3">
        <w:rPr>
          <w:rFonts w:cs="Arial"/>
          <w:color w:val="000000" w:themeColor="text1"/>
          <w:sz w:val="20"/>
          <w:szCs w:val="20"/>
        </w:rPr>
        <w:t xml:space="preserve">ýšení o </w:t>
      </w:r>
      <w:r w:rsidR="00934AEC" w:rsidRPr="009522A3">
        <w:rPr>
          <w:rFonts w:cs="Arial"/>
          <w:color w:val="000000" w:themeColor="text1"/>
          <w:sz w:val="20"/>
          <w:szCs w:val="20"/>
        </w:rPr>
        <w:t>6</w:t>
      </w:r>
      <w:r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BF42B6" w:rsidRPr="009522A3">
        <w:rPr>
          <w:rFonts w:cs="Arial"/>
          <w:color w:val="000000" w:themeColor="text1"/>
          <w:sz w:val="20"/>
          <w:szCs w:val="20"/>
        </w:rPr>
        <w:t>%</w:t>
      </w:r>
      <w:r w:rsidR="006C140A" w:rsidRPr="009522A3">
        <w:rPr>
          <w:rFonts w:cs="Arial"/>
          <w:color w:val="000000" w:themeColor="text1"/>
          <w:sz w:val="20"/>
          <w:szCs w:val="20"/>
        </w:rPr>
        <w:t>).</w:t>
      </w:r>
    </w:p>
    <w:p w14:paraId="27CC7A4D" w14:textId="179CF2CD" w:rsidR="00E15FE4" w:rsidRPr="009522A3" w:rsidRDefault="00C7664D" w:rsidP="00962DC2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9522A3">
        <w:rPr>
          <w:rFonts w:cs="Arial"/>
          <w:b/>
          <w:bCs/>
          <w:color w:val="000000" w:themeColor="text1"/>
          <w:sz w:val="20"/>
          <w:szCs w:val="20"/>
        </w:rPr>
        <w:t xml:space="preserve">Investiční společnosti a investiční </w:t>
      </w:r>
      <w:r w:rsidR="004E05A5" w:rsidRPr="009522A3">
        <w:rPr>
          <w:rFonts w:cs="Arial"/>
          <w:b/>
          <w:bCs/>
          <w:color w:val="000000" w:themeColor="text1"/>
          <w:sz w:val="20"/>
          <w:szCs w:val="20"/>
        </w:rPr>
        <w:t>fondy</w:t>
      </w:r>
      <w:r w:rsidR="00E15FE4" w:rsidRPr="009522A3">
        <w:rPr>
          <w:rFonts w:cs="Arial"/>
          <w:bCs/>
          <w:color w:val="000000" w:themeColor="text1"/>
          <w:sz w:val="20"/>
          <w:szCs w:val="20"/>
        </w:rPr>
        <w:t xml:space="preserve">, které také účtují jako </w:t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 xml:space="preserve">banky a </w:t>
      </w:r>
      <w:r w:rsidR="00E15FE4" w:rsidRPr="009522A3">
        <w:rPr>
          <w:rFonts w:cs="Arial"/>
          <w:bCs/>
          <w:color w:val="000000" w:themeColor="text1"/>
          <w:sz w:val="20"/>
          <w:szCs w:val="20"/>
        </w:rPr>
        <w:t>finanční instituce</w:t>
      </w:r>
      <w:r w:rsidR="00214924" w:rsidRPr="009522A3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0F729B" w:rsidRPr="009522A3">
        <w:rPr>
          <w:rFonts w:cs="Arial"/>
          <w:color w:val="000000" w:themeColor="text1"/>
          <w:sz w:val="20"/>
          <w:szCs w:val="20"/>
        </w:rPr>
        <w:t>realizovaly za rok 2019 celkové výnosy ve výši 73 mld. Kč (zvýšení o 84,6</w:t>
      </w:r>
      <w:r w:rsidR="0029538D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0F729B" w:rsidRPr="009522A3">
        <w:rPr>
          <w:rFonts w:cs="Arial"/>
          <w:color w:val="000000" w:themeColor="text1"/>
          <w:sz w:val="20"/>
          <w:szCs w:val="20"/>
        </w:rPr>
        <w:t>% oproti roku 2018)</w:t>
      </w:r>
      <w:r w:rsidR="00214924" w:rsidRPr="009522A3">
        <w:rPr>
          <w:rFonts w:cs="Arial"/>
          <w:color w:val="000000" w:themeColor="text1"/>
          <w:sz w:val="20"/>
          <w:szCs w:val="20"/>
        </w:rPr>
        <w:t>.</w:t>
      </w:r>
      <w:r w:rsidR="00B25D2D" w:rsidRPr="009522A3">
        <w:rPr>
          <w:rFonts w:cs="Arial"/>
          <w:color w:val="000000" w:themeColor="text1"/>
          <w:sz w:val="20"/>
          <w:szCs w:val="20"/>
        </w:rPr>
        <w:br/>
      </w:r>
      <w:r w:rsidR="000F729B" w:rsidRPr="009522A3">
        <w:rPr>
          <w:rFonts w:cs="Arial"/>
          <w:color w:val="000000" w:themeColor="text1"/>
          <w:sz w:val="20"/>
          <w:szCs w:val="20"/>
        </w:rPr>
        <w:t>Na tomto objemu se nejvíce podílely výnosy z finančních činností, které představovaly 80,2</w:t>
      </w:r>
      <w:r w:rsidR="0029538D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0F729B" w:rsidRPr="009522A3">
        <w:rPr>
          <w:rFonts w:cs="Arial"/>
          <w:color w:val="000000" w:themeColor="text1"/>
          <w:sz w:val="20"/>
          <w:szCs w:val="20"/>
        </w:rPr>
        <w:t>% celkových výnosů. Nejvyšší nárůst (506</w:t>
      </w:r>
      <w:r w:rsidR="0029538D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0F729B" w:rsidRPr="009522A3">
        <w:rPr>
          <w:rFonts w:cs="Arial"/>
          <w:color w:val="000000" w:themeColor="text1"/>
          <w:sz w:val="20"/>
          <w:szCs w:val="20"/>
        </w:rPr>
        <w:t>%) byl zaznamenán u hodnoty z přecenění cenných papírů a podílů, kde</w:t>
      </w:r>
      <w:r w:rsidR="00214924" w:rsidRPr="009522A3">
        <w:rPr>
          <w:rFonts w:cs="Arial"/>
          <w:color w:val="000000" w:themeColor="text1"/>
          <w:sz w:val="20"/>
          <w:szCs w:val="20"/>
        </w:rPr>
        <w:br/>
      </w:r>
      <w:r w:rsidR="000F729B" w:rsidRPr="009522A3">
        <w:rPr>
          <w:rFonts w:cs="Arial"/>
          <w:color w:val="000000" w:themeColor="text1"/>
          <w:sz w:val="20"/>
          <w:szCs w:val="20"/>
        </w:rPr>
        <w:t>za sledovaný rok</w:t>
      </w:r>
      <w:r w:rsidR="00BF42B6" w:rsidRPr="009522A3">
        <w:rPr>
          <w:rFonts w:cs="Arial"/>
          <w:color w:val="000000" w:themeColor="text1"/>
          <w:sz w:val="20"/>
          <w:szCs w:val="20"/>
        </w:rPr>
        <w:t xml:space="preserve"> 2019</w:t>
      </w:r>
      <w:r w:rsidR="000F729B" w:rsidRPr="009522A3">
        <w:rPr>
          <w:rFonts w:cs="Arial"/>
          <w:color w:val="000000" w:themeColor="text1"/>
          <w:sz w:val="20"/>
          <w:szCs w:val="20"/>
        </w:rPr>
        <w:t xml:space="preserve"> evidujeme </w:t>
      </w:r>
      <w:r w:rsidR="008A66C7" w:rsidRPr="009522A3">
        <w:rPr>
          <w:rFonts w:cs="Arial"/>
          <w:color w:val="000000" w:themeColor="text1"/>
          <w:sz w:val="20"/>
          <w:szCs w:val="20"/>
        </w:rPr>
        <w:t>17,9</w:t>
      </w:r>
      <w:r w:rsidR="000F729B" w:rsidRPr="009522A3">
        <w:rPr>
          <w:rFonts w:cs="Arial"/>
          <w:color w:val="000000" w:themeColor="text1"/>
          <w:sz w:val="20"/>
          <w:szCs w:val="20"/>
        </w:rPr>
        <w:t xml:space="preserve"> mld</w:t>
      </w:r>
      <w:r w:rsidR="00BF42B6" w:rsidRPr="009522A3">
        <w:rPr>
          <w:rFonts w:cs="Arial"/>
          <w:color w:val="000000" w:themeColor="text1"/>
          <w:sz w:val="20"/>
          <w:szCs w:val="20"/>
        </w:rPr>
        <w:t>.</w:t>
      </w:r>
      <w:r w:rsidR="000F729B" w:rsidRPr="009522A3">
        <w:rPr>
          <w:rFonts w:cs="Arial"/>
          <w:color w:val="000000" w:themeColor="text1"/>
          <w:sz w:val="20"/>
          <w:szCs w:val="20"/>
        </w:rPr>
        <w:t xml:space="preserve"> Kč. </w:t>
      </w:r>
    </w:p>
    <w:p w14:paraId="7570FFD5" w14:textId="40F8B6E2" w:rsidR="002C682A" w:rsidRPr="009522A3" w:rsidRDefault="002C682A" w:rsidP="00214924">
      <w:pPr>
        <w:pStyle w:val="Zkladntextodsazen"/>
        <w:spacing w:after="120"/>
        <w:ind w:firstLine="567"/>
        <w:rPr>
          <w:rFonts w:cs="Arial"/>
          <w:sz w:val="20"/>
          <w:szCs w:val="20"/>
        </w:rPr>
      </w:pPr>
      <w:r w:rsidRPr="009522A3">
        <w:rPr>
          <w:rFonts w:cs="Arial"/>
          <w:spacing w:val="-4"/>
          <w:sz w:val="20"/>
          <w:szCs w:val="20"/>
        </w:rPr>
        <w:t>U celkových nákladů evidujeme hodnotu 41 mld. Kč (zvýšení o 8,6 %), finanční náklady dosáhly 27,3 mld. Kč (pokles o 1,8 % oproti roku 2018).</w:t>
      </w:r>
    </w:p>
    <w:p w14:paraId="5EE2D278" w14:textId="744C749F" w:rsidR="00E15FE4" w:rsidRPr="009522A3" w:rsidRDefault="000F729B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9522A3">
        <w:rPr>
          <w:rFonts w:cs="Arial"/>
          <w:color w:val="000000" w:themeColor="text1"/>
          <w:sz w:val="20"/>
          <w:szCs w:val="20"/>
        </w:rPr>
        <w:t>Zúčtované</w:t>
      </w:r>
      <w:r w:rsidRPr="009522A3">
        <w:rPr>
          <w:rFonts w:cs="Arial"/>
          <w:color w:val="000000" w:themeColor="text1"/>
          <w:spacing w:val="-4"/>
          <w:sz w:val="20"/>
          <w:szCs w:val="20"/>
        </w:rPr>
        <w:t xml:space="preserve"> dividendy a podíly na zisku před zdaněním dosáhly výše 4,3 mld</w:t>
      </w:r>
      <w:r w:rsidR="00BF42B6" w:rsidRPr="009522A3">
        <w:rPr>
          <w:rFonts w:cs="Arial"/>
          <w:color w:val="000000" w:themeColor="text1"/>
          <w:spacing w:val="-4"/>
          <w:sz w:val="20"/>
          <w:szCs w:val="20"/>
        </w:rPr>
        <w:t>.</w:t>
      </w:r>
      <w:r w:rsidRPr="009522A3">
        <w:rPr>
          <w:rFonts w:cs="Arial"/>
          <w:color w:val="000000" w:themeColor="text1"/>
          <w:spacing w:val="-4"/>
          <w:sz w:val="20"/>
          <w:szCs w:val="20"/>
        </w:rPr>
        <w:t xml:space="preserve"> Kč (zvýšení o 129</w:t>
      </w:r>
      <w:r w:rsidR="00214924" w:rsidRPr="009522A3">
        <w:rPr>
          <w:rFonts w:cs="Arial"/>
          <w:color w:val="000000" w:themeColor="text1"/>
          <w:spacing w:val="-4"/>
          <w:sz w:val="20"/>
          <w:szCs w:val="20"/>
        </w:rPr>
        <w:t xml:space="preserve"> %</w:t>
      </w:r>
      <w:r w:rsidR="00214924" w:rsidRPr="009522A3">
        <w:rPr>
          <w:rFonts w:cs="Arial"/>
          <w:color w:val="000000" w:themeColor="text1"/>
          <w:spacing w:val="-4"/>
          <w:sz w:val="20"/>
          <w:szCs w:val="20"/>
        </w:rPr>
        <w:br/>
      </w:r>
      <w:r w:rsidRPr="009522A3">
        <w:rPr>
          <w:rFonts w:cs="Arial"/>
          <w:color w:val="000000" w:themeColor="text1"/>
          <w:spacing w:val="-4"/>
          <w:sz w:val="20"/>
          <w:szCs w:val="20"/>
        </w:rPr>
        <w:t xml:space="preserve">ve srovnání s předchozím rokem 2018). </w:t>
      </w:r>
    </w:p>
    <w:p w14:paraId="277A42F4" w14:textId="3BE63150" w:rsidR="000F729B" w:rsidRPr="009522A3" w:rsidRDefault="000F729B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Celková hodnota majetku nebankovních institucí činila 567 mld. Kč (</w:t>
      </w:r>
      <w:r w:rsidR="00F10F44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meziroční nárůst o </w:t>
      </w:r>
      <w:r w:rsidR="008A66C7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50,9</w:t>
      </w:r>
      <w:r w:rsidR="0029538D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%)</w:t>
      </w:r>
      <w:r w:rsidR="00214924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.</w:t>
      </w:r>
      <w:r w:rsidR="00214924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br/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Stav finančních aktiv dosáhl hodnoty 515 mld. Kč (zvýšení o </w:t>
      </w:r>
      <w:r w:rsidR="008A66C7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58,1</w:t>
      </w:r>
      <w:r w:rsidR="0029538D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%).</w:t>
      </w:r>
    </w:p>
    <w:p w14:paraId="1F74E362" w14:textId="49B2842E" w:rsidR="00B320E1" w:rsidRPr="009522A3" w:rsidRDefault="004F5B03" w:rsidP="00214924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9522A3">
        <w:rPr>
          <w:rFonts w:cs="Arial"/>
          <w:color w:val="000000" w:themeColor="text1"/>
          <w:sz w:val="20"/>
          <w:szCs w:val="20"/>
        </w:rPr>
        <w:t xml:space="preserve">Během roku 2019 byl průměrný evidenční počet zaměstnanců ve fyzických osobách </w:t>
      </w:r>
      <w:r w:rsidR="00932535" w:rsidRPr="009522A3">
        <w:rPr>
          <w:rFonts w:cs="Arial"/>
          <w:color w:val="000000" w:themeColor="text1"/>
          <w:sz w:val="20"/>
          <w:szCs w:val="20"/>
        </w:rPr>
        <w:t>660</w:t>
      </w:r>
      <w:r w:rsidRPr="009522A3">
        <w:rPr>
          <w:rFonts w:cs="Arial"/>
          <w:color w:val="000000" w:themeColor="text1"/>
          <w:sz w:val="20"/>
          <w:szCs w:val="20"/>
        </w:rPr>
        <w:t xml:space="preserve"> zaměstnanců, což je o </w:t>
      </w:r>
      <w:r w:rsidR="00932535" w:rsidRPr="009522A3">
        <w:rPr>
          <w:rFonts w:cs="Arial"/>
          <w:color w:val="000000" w:themeColor="text1"/>
          <w:sz w:val="20"/>
          <w:szCs w:val="20"/>
        </w:rPr>
        <w:t>6,9</w:t>
      </w:r>
      <w:r w:rsidRPr="009522A3">
        <w:rPr>
          <w:rFonts w:cs="Arial"/>
          <w:color w:val="000000" w:themeColor="text1"/>
          <w:sz w:val="20"/>
          <w:szCs w:val="20"/>
        </w:rPr>
        <w:t xml:space="preserve"> % více než ve stejném období roku 2018. Průměrná mzda fyzických osob dosáhla hodnoty </w:t>
      </w:r>
      <w:r w:rsidR="00932535" w:rsidRPr="009522A3">
        <w:rPr>
          <w:rFonts w:cs="Arial"/>
          <w:color w:val="000000" w:themeColor="text1"/>
          <w:sz w:val="20"/>
          <w:szCs w:val="20"/>
        </w:rPr>
        <w:t xml:space="preserve">83 917 </w:t>
      </w:r>
      <w:r w:rsidRPr="009522A3">
        <w:rPr>
          <w:rFonts w:cs="Arial"/>
          <w:color w:val="000000" w:themeColor="text1"/>
          <w:sz w:val="20"/>
          <w:szCs w:val="20"/>
        </w:rPr>
        <w:t xml:space="preserve">Kč (zvýšení o </w:t>
      </w:r>
      <w:r w:rsidR="00932535" w:rsidRPr="009522A3">
        <w:rPr>
          <w:rFonts w:cs="Arial"/>
          <w:color w:val="000000" w:themeColor="text1"/>
          <w:sz w:val="20"/>
          <w:szCs w:val="20"/>
        </w:rPr>
        <w:t>8,8</w:t>
      </w:r>
      <w:r w:rsidR="0029538D" w:rsidRPr="009522A3">
        <w:rPr>
          <w:rFonts w:cs="Arial"/>
          <w:color w:val="000000" w:themeColor="text1"/>
          <w:sz w:val="20"/>
          <w:szCs w:val="20"/>
        </w:rPr>
        <w:t xml:space="preserve"> %</w:t>
      </w:r>
      <w:r w:rsidRPr="009522A3">
        <w:rPr>
          <w:rFonts w:cs="Arial"/>
          <w:color w:val="000000" w:themeColor="text1"/>
          <w:sz w:val="20"/>
          <w:szCs w:val="20"/>
        </w:rPr>
        <w:t>).</w:t>
      </w:r>
    </w:p>
    <w:p w14:paraId="6085B971" w14:textId="396A8AAC" w:rsidR="00854804" w:rsidRPr="009522A3" w:rsidRDefault="00854804" w:rsidP="00962DC2">
      <w:pPr>
        <w:pStyle w:val="Zkladntextodsazen"/>
        <w:spacing w:after="360"/>
        <w:ind w:firstLine="567"/>
        <w:rPr>
          <w:rFonts w:cs="Arial"/>
          <w:color w:val="000000" w:themeColor="text1"/>
          <w:sz w:val="20"/>
          <w:szCs w:val="20"/>
        </w:rPr>
      </w:pPr>
      <w:r w:rsidRPr="009522A3">
        <w:rPr>
          <w:rFonts w:cs="Arial"/>
          <w:sz w:val="20"/>
        </w:rPr>
        <w:t>Zdrojem dat pro nebankovní peněžní instituce</w:t>
      </w:r>
      <w:r w:rsidR="000C04F9" w:rsidRPr="009522A3">
        <w:rPr>
          <w:rFonts w:cs="Arial"/>
          <w:sz w:val="20"/>
        </w:rPr>
        <w:t xml:space="preserve"> účtující jako banky a finanční instituce</w:t>
      </w:r>
      <w:r w:rsidRPr="009522A3">
        <w:rPr>
          <w:rFonts w:cs="Arial"/>
          <w:sz w:val="20"/>
        </w:rPr>
        <w:t xml:space="preserve"> je statistický výkaz Pen5-01</w:t>
      </w:r>
      <w:r w:rsidR="009E72DD">
        <w:rPr>
          <w:rFonts w:cs="Arial"/>
          <w:sz w:val="20"/>
        </w:rPr>
        <w:t>.</w:t>
      </w:r>
    </w:p>
    <w:p w14:paraId="26D064AA" w14:textId="0AB6E9BD" w:rsidR="00306580" w:rsidRPr="009522A3" w:rsidRDefault="00306580" w:rsidP="00962DC2">
      <w:pPr>
        <w:pStyle w:val="Nzev"/>
        <w:tabs>
          <w:tab w:val="left" w:pos="567"/>
        </w:tabs>
        <w:spacing w:after="360"/>
        <w:ind w:firstLine="567"/>
        <w:jc w:val="left"/>
        <w:rPr>
          <w:sz w:val="24"/>
        </w:rPr>
      </w:pPr>
      <w:r w:rsidRPr="009522A3">
        <w:rPr>
          <w:sz w:val="24"/>
        </w:rPr>
        <w:t>Nebankovní peněžní instituce účtující jako podnikatelé</w:t>
      </w:r>
    </w:p>
    <w:p w14:paraId="4567F24B" w14:textId="77777777" w:rsidR="00B25D2D" w:rsidRPr="009522A3" w:rsidRDefault="00030ADD" w:rsidP="00214924">
      <w:pPr>
        <w:pStyle w:val="Zkladntextodsazen"/>
        <w:spacing w:after="120"/>
        <w:ind w:firstLine="567"/>
        <w:rPr>
          <w:rFonts w:cs="Arial"/>
          <w:bCs/>
          <w:color w:val="000000" w:themeColor="text1"/>
          <w:sz w:val="20"/>
          <w:szCs w:val="20"/>
        </w:rPr>
      </w:pPr>
      <w:r w:rsidRPr="009522A3">
        <w:rPr>
          <w:rFonts w:cs="Arial"/>
          <w:b/>
          <w:bCs/>
          <w:color w:val="000000" w:themeColor="text1"/>
          <w:sz w:val="20"/>
          <w:szCs w:val="20"/>
        </w:rPr>
        <w:t xml:space="preserve">Nebankovních peněžní instituce </w:t>
      </w:r>
      <w:r w:rsidRPr="009522A3">
        <w:rPr>
          <w:rFonts w:cs="Arial"/>
          <w:bCs/>
          <w:color w:val="000000" w:themeColor="text1"/>
          <w:sz w:val="20"/>
          <w:szCs w:val="20"/>
        </w:rPr>
        <w:t xml:space="preserve">účtující jako podnikatelé </w:t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>představují instituce zabývaj</w:t>
      </w:r>
      <w:r w:rsidR="00214924" w:rsidRPr="009522A3">
        <w:rPr>
          <w:rFonts w:cs="Arial"/>
          <w:bCs/>
          <w:color w:val="000000" w:themeColor="text1"/>
          <w:sz w:val="20"/>
          <w:szCs w:val="20"/>
        </w:rPr>
        <w:t xml:space="preserve">ící </w:t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 xml:space="preserve">se ostatním finančním zprostředkování </w:t>
      </w:r>
      <w:r w:rsidR="00DD4B41" w:rsidRPr="009522A3">
        <w:rPr>
          <w:rFonts w:cs="Arial"/>
          <w:bCs/>
          <w:color w:val="000000" w:themeColor="text1"/>
          <w:sz w:val="20"/>
          <w:szCs w:val="20"/>
        </w:rPr>
        <w:t>(</w:t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>včetně leasingových společností</w:t>
      </w:r>
      <w:r w:rsidR="00DD4B41" w:rsidRPr="009522A3">
        <w:rPr>
          <w:rFonts w:cs="Arial"/>
          <w:bCs/>
          <w:color w:val="000000" w:themeColor="text1"/>
          <w:sz w:val="20"/>
          <w:szCs w:val="20"/>
        </w:rPr>
        <w:t>)</w:t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>, holdingové společnost</w:t>
      </w:r>
      <w:r w:rsidR="00DD4B41" w:rsidRPr="009522A3">
        <w:rPr>
          <w:rFonts w:cs="Arial"/>
          <w:bCs/>
          <w:color w:val="000000" w:themeColor="text1"/>
          <w:sz w:val="20"/>
          <w:szCs w:val="20"/>
        </w:rPr>
        <w:t>i</w:t>
      </w:r>
      <w:r w:rsidR="00214924" w:rsidRPr="009522A3">
        <w:rPr>
          <w:rFonts w:cs="Arial"/>
          <w:bCs/>
          <w:color w:val="000000" w:themeColor="text1"/>
          <w:sz w:val="20"/>
          <w:szCs w:val="20"/>
        </w:rPr>
        <w:br/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 xml:space="preserve">a pomocné finanční instituce. Tyto subjekty mají převažující činnost ostatní finanční zprostředkování (CZ-NACE 64.9), činnosti holdingových společností (CZ-NACE 64.2) nebo ostatní finanční činnosti (CZ-NACE </w:t>
      </w:r>
      <w:r w:rsidR="00DD4B41" w:rsidRPr="009522A3">
        <w:rPr>
          <w:rFonts w:cs="Arial"/>
          <w:bCs/>
          <w:color w:val="000000" w:themeColor="text1"/>
          <w:sz w:val="20"/>
          <w:szCs w:val="20"/>
        </w:rPr>
        <w:t>66) a vedou</w:t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 xml:space="preserve"> účetnictví podle účtové osnovy pro podnikatele (vyhláška 500</w:t>
      </w:r>
      <w:r w:rsidR="00214924" w:rsidRPr="009522A3">
        <w:rPr>
          <w:rFonts w:cs="Arial"/>
          <w:bCs/>
          <w:color w:val="000000" w:themeColor="text1"/>
          <w:sz w:val="20"/>
          <w:szCs w:val="20"/>
        </w:rPr>
        <w:t>/2002 Sb.</w:t>
      </w:r>
      <w:r w:rsidR="00214924" w:rsidRPr="009522A3">
        <w:rPr>
          <w:rFonts w:cs="Arial"/>
          <w:bCs/>
          <w:color w:val="000000" w:themeColor="text1"/>
          <w:sz w:val="20"/>
          <w:szCs w:val="20"/>
        </w:rPr>
        <w:br/>
      </w:r>
      <w:r w:rsidR="008F5543" w:rsidRPr="009522A3">
        <w:rPr>
          <w:rFonts w:cs="Arial"/>
          <w:bCs/>
          <w:color w:val="000000" w:themeColor="text1"/>
          <w:sz w:val="20"/>
          <w:szCs w:val="20"/>
        </w:rPr>
        <w:t>ze dne 6. listopadu 2002 ve znění pozdějších předpisů).</w:t>
      </w:r>
    </w:p>
    <w:p w14:paraId="2B2C10F4" w14:textId="4F87B427" w:rsidR="00214924" w:rsidRPr="009522A3" w:rsidRDefault="008F5543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9522A3">
        <w:rPr>
          <w:rFonts w:cs="Arial"/>
          <w:b/>
          <w:bCs/>
          <w:color w:val="000000" w:themeColor="text1"/>
          <w:sz w:val="20"/>
          <w:szCs w:val="20"/>
        </w:rPr>
        <w:t xml:space="preserve">U finančních leasingových společností </w:t>
      </w:r>
      <w:r w:rsidRPr="009522A3">
        <w:rPr>
          <w:rFonts w:cs="Arial"/>
          <w:bCs/>
          <w:color w:val="000000" w:themeColor="text1"/>
          <w:sz w:val="20"/>
          <w:szCs w:val="20"/>
        </w:rPr>
        <w:t>evidujeme</w:t>
      </w:r>
      <w:r w:rsidRPr="009522A3">
        <w:rPr>
          <w:rFonts w:cs="Arial"/>
          <w:color w:val="000000" w:themeColor="text1"/>
          <w:sz w:val="20"/>
          <w:szCs w:val="20"/>
        </w:rPr>
        <w:t xml:space="preserve"> za </w:t>
      </w:r>
      <w:r w:rsidR="00214924" w:rsidRPr="009522A3">
        <w:rPr>
          <w:rFonts w:cs="Arial"/>
          <w:color w:val="000000" w:themeColor="text1"/>
          <w:sz w:val="20"/>
          <w:szCs w:val="20"/>
        </w:rPr>
        <w:t>rok 2019 celkové výnosy ve výši</w:t>
      </w:r>
      <w:r w:rsidR="00214924" w:rsidRPr="009522A3">
        <w:rPr>
          <w:rFonts w:cs="Arial"/>
          <w:color w:val="000000" w:themeColor="text1"/>
          <w:sz w:val="20"/>
          <w:szCs w:val="20"/>
        </w:rPr>
        <w:br/>
      </w:r>
      <w:r w:rsidRPr="009522A3">
        <w:rPr>
          <w:rFonts w:cs="Arial"/>
          <w:color w:val="000000" w:themeColor="text1"/>
          <w:sz w:val="20"/>
          <w:szCs w:val="20"/>
        </w:rPr>
        <w:t>76,5 mld. Kč (meziroční nárůst o 0,9 %). Na této hodnotě se nejvíce podílely tržby z prodeje vlastních výrobků a služeb, které dosáhly hodnoty 97,5 mld. Kč (zvýšení o 13,7 % oproti minulému roku). Tržby</w:t>
      </w:r>
      <w:r w:rsidR="00214924" w:rsidRPr="009522A3">
        <w:rPr>
          <w:rFonts w:cs="Arial"/>
          <w:color w:val="000000" w:themeColor="text1"/>
          <w:sz w:val="20"/>
          <w:szCs w:val="20"/>
        </w:rPr>
        <w:br/>
      </w:r>
      <w:r w:rsidRPr="009522A3">
        <w:rPr>
          <w:rFonts w:cs="Arial"/>
          <w:color w:val="000000" w:themeColor="text1"/>
          <w:sz w:val="20"/>
          <w:szCs w:val="20"/>
        </w:rPr>
        <w:t>z finančního leasingu za sledovaný rok 2019 činily 29,4 mld. Kč (zvýšení téměř o 9,8 %).</w:t>
      </w:r>
      <w:r w:rsidR="000536F3" w:rsidRPr="009522A3">
        <w:rPr>
          <w:rFonts w:cs="Arial"/>
          <w:color w:val="000000" w:themeColor="text1"/>
          <w:sz w:val="20"/>
          <w:szCs w:val="20"/>
        </w:rPr>
        <w:br/>
      </w:r>
      <w:r w:rsidRPr="009522A3">
        <w:rPr>
          <w:rFonts w:cs="Arial"/>
          <w:color w:val="000000" w:themeColor="text1"/>
          <w:spacing w:val="-4"/>
          <w:sz w:val="20"/>
          <w:szCs w:val="20"/>
        </w:rPr>
        <w:t>Výsledek hospodaření za účetní období 2019 dosáhl 4,8 mld. Kč (zvýšení o 37,1).</w:t>
      </w:r>
    </w:p>
    <w:p w14:paraId="14D4098C" w14:textId="4756BC8E" w:rsidR="008F5543" w:rsidRPr="009522A3" w:rsidRDefault="008F5543" w:rsidP="00D01FB9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9522A3">
        <w:rPr>
          <w:rFonts w:cs="Arial"/>
          <w:color w:val="000000" w:themeColor="text1"/>
          <w:spacing w:val="-4"/>
          <w:sz w:val="20"/>
          <w:szCs w:val="20"/>
        </w:rPr>
        <w:t>Celkové náklady dosáhly hodnoty 71,7 mld. Kč (snížení o 0,9 %), náklady na prodané služby dosáhly hodnoty 5,2 mld. Kč (zvýšení o 1,3 % oproti roku 2018)</w:t>
      </w:r>
      <w:r w:rsidR="009E72DD">
        <w:rPr>
          <w:rFonts w:cs="Arial"/>
          <w:color w:val="000000" w:themeColor="text1"/>
          <w:spacing w:val="-4"/>
          <w:sz w:val="20"/>
          <w:szCs w:val="20"/>
        </w:rPr>
        <w:t>.</w:t>
      </w:r>
    </w:p>
    <w:p w14:paraId="257EFC54" w14:textId="0CF9A085" w:rsidR="008F5543" w:rsidRPr="009522A3" w:rsidRDefault="000B315D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>
        <w:rPr>
          <w:rFonts w:ascii="Arial" w:hAnsi="Arial" w:cs="Arial"/>
          <w:color w:val="000000" w:themeColor="text1"/>
          <w:spacing w:val="-4"/>
          <w:sz w:val="20"/>
          <w:szCs w:val="20"/>
        </w:rPr>
        <w:t>Souhrnný</w:t>
      </w:r>
      <w:r w:rsidR="008F5543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stav majetku nebankovních institucí účtující jako podnikatelé činil ke konci roku 2019 hodnotu 313 mld. Kč (nárůst o 2,2 % oproti minulému roku). U objemu finančních aktiv evidujeme meziroční nárůst 6,2 % (190 mld. Kč). </w:t>
      </w:r>
    </w:p>
    <w:p w14:paraId="15764982" w14:textId="65EE1011" w:rsidR="008F5543" w:rsidRPr="009522A3" w:rsidRDefault="008F5543" w:rsidP="00214924">
      <w:pPr>
        <w:pStyle w:val="Zkladntextodsazen"/>
        <w:spacing w:after="120"/>
        <w:ind w:firstLine="567"/>
        <w:rPr>
          <w:rFonts w:cs="Arial"/>
          <w:b/>
          <w:bCs/>
          <w:color w:val="000000" w:themeColor="text1"/>
          <w:sz w:val="20"/>
          <w:szCs w:val="20"/>
        </w:rPr>
      </w:pPr>
      <w:r w:rsidRPr="009522A3">
        <w:rPr>
          <w:rFonts w:cs="Arial"/>
          <w:color w:val="000000" w:themeColor="text1"/>
          <w:sz w:val="20"/>
          <w:szCs w:val="20"/>
        </w:rPr>
        <w:t>Během roku 2019 byl průměrný evidenční počet zaměstnanců ve fyzických osobách 1 987 zaměstnanců, což je o 13,2 % méně než ve stejném období roku 2018. Průměrná mzda fyzických osob dosáhla hodnoty 66 116 Kč (zvýšení o 10,3 %).</w:t>
      </w:r>
    </w:p>
    <w:p w14:paraId="76360C25" w14:textId="79286AE9" w:rsidR="0051254C" w:rsidRPr="009522A3" w:rsidRDefault="008F5543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9522A3">
        <w:rPr>
          <w:rFonts w:cs="Arial"/>
          <w:b/>
          <w:bCs/>
          <w:color w:val="000000" w:themeColor="text1"/>
          <w:sz w:val="20"/>
          <w:szCs w:val="20"/>
        </w:rPr>
        <w:t>Ostatní finanční instituce účtující jako podnikatelé</w:t>
      </w:r>
      <w:r w:rsidRPr="009522A3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030ADD" w:rsidRPr="009522A3">
        <w:rPr>
          <w:rFonts w:cs="Arial"/>
          <w:bCs/>
          <w:color w:val="000000" w:themeColor="text1"/>
          <w:sz w:val="20"/>
          <w:szCs w:val="20"/>
        </w:rPr>
        <w:t>realizovaly</w:t>
      </w:r>
      <w:r w:rsidR="004D35EE" w:rsidRPr="009522A3">
        <w:rPr>
          <w:rFonts w:cs="Arial"/>
          <w:color w:val="000000" w:themeColor="text1"/>
          <w:sz w:val="20"/>
          <w:szCs w:val="20"/>
        </w:rPr>
        <w:t xml:space="preserve"> za rok 2019 celkové výnosy</w:t>
      </w:r>
      <w:r w:rsidR="004D35EE" w:rsidRPr="009522A3">
        <w:rPr>
          <w:rFonts w:cs="Arial"/>
          <w:color w:val="000000" w:themeColor="text1"/>
          <w:sz w:val="20"/>
          <w:szCs w:val="20"/>
        </w:rPr>
        <w:br/>
      </w:r>
      <w:r w:rsidR="00030ADD" w:rsidRPr="009522A3">
        <w:rPr>
          <w:rFonts w:cs="Arial"/>
          <w:color w:val="000000" w:themeColor="text1"/>
          <w:sz w:val="20"/>
          <w:szCs w:val="20"/>
        </w:rPr>
        <w:t>ve výši 407 mld. Kč (pokles o 23,4</w:t>
      </w:r>
      <w:r w:rsidR="0029538D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030ADD" w:rsidRPr="009522A3">
        <w:rPr>
          <w:rFonts w:cs="Arial"/>
          <w:color w:val="000000" w:themeColor="text1"/>
          <w:sz w:val="20"/>
          <w:szCs w:val="20"/>
        </w:rPr>
        <w:t>%). Na té</w:t>
      </w:r>
      <w:r w:rsidR="0096739A">
        <w:rPr>
          <w:rFonts w:cs="Arial"/>
          <w:color w:val="000000" w:themeColor="text1"/>
          <w:sz w:val="20"/>
          <w:szCs w:val="20"/>
        </w:rPr>
        <w:t>to hodnotě se nejvíce podílely t</w:t>
      </w:r>
      <w:r w:rsidR="00030ADD" w:rsidRPr="009522A3">
        <w:rPr>
          <w:rFonts w:cs="Arial"/>
          <w:color w:val="000000" w:themeColor="text1"/>
          <w:sz w:val="20"/>
          <w:szCs w:val="20"/>
        </w:rPr>
        <w:t>ržby z prodeje vlastních výrobků a služeb, které dosáhly hodnoty 97,5 mld. Kč (zvýšení o 13,7</w:t>
      </w:r>
      <w:r w:rsidR="0029538D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4D35EE" w:rsidRPr="009522A3">
        <w:rPr>
          <w:rFonts w:cs="Arial"/>
          <w:color w:val="000000" w:themeColor="text1"/>
          <w:sz w:val="20"/>
          <w:szCs w:val="20"/>
        </w:rPr>
        <w:t>% oproti minulému roku).</w:t>
      </w:r>
      <w:r w:rsidR="003A704C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>Výsledek hospodaření za účetní období 2019 byl 93,2 mld</w:t>
      </w:r>
      <w:r w:rsidR="00BF42B6" w:rsidRPr="009522A3">
        <w:rPr>
          <w:rFonts w:cs="Arial"/>
          <w:color w:val="000000" w:themeColor="text1"/>
          <w:spacing w:val="-4"/>
          <w:sz w:val="20"/>
          <w:szCs w:val="20"/>
        </w:rPr>
        <w:t>.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 xml:space="preserve"> Kč (zvýšení o 22 % ve srovnání s předchozím rokem 2018). </w:t>
      </w:r>
    </w:p>
    <w:p w14:paraId="6243F5B9" w14:textId="749DADC2" w:rsidR="00030ADD" w:rsidRPr="009522A3" w:rsidRDefault="000B315D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>
        <w:rPr>
          <w:rFonts w:cs="Arial"/>
          <w:color w:val="000000" w:themeColor="text1"/>
          <w:spacing w:val="-4"/>
          <w:sz w:val="20"/>
          <w:szCs w:val="20"/>
        </w:rPr>
        <w:lastRenderedPageBreak/>
        <w:t xml:space="preserve">Celkové náklady 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>dosáhly hodnoty 313 mld</w:t>
      </w:r>
      <w:r w:rsidR="00BF42B6" w:rsidRPr="009522A3">
        <w:rPr>
          <w:rFonts w:cs="Arial"/>
          <w:color w:val="000000" w:themeColor="text1"/>
          <w:spacing w:val="-4"/>
          <w:sz w:val="20"/>
          <w:szCs w:val="20"/>
        </w:rPr>
        <w:t>.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 xml:space="preserve"> Kč (snížení o 31 %), náklady na prodané zboží dosáhly hodnoty </w:t>
      </w:r>
      <w:r w:rsidR="00A829AD" w:rsidRPr="009522A3">
        <w:rPr>
          <w:rFonts w:cs="Arial"/>
          <w:color w:val="000000" w:themeColor="text1"/>
          <w:spacing w:val="-4"/>
          <w:sz w:val="20"/>
          <w:szCs w:val="20"/>
        </w:rPr>
        <w:t>43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>,</w:t>
      </w:r>
      <w:r w:rsidR="00A829AD" w:rsidRPr="009522A3">
        <w:rPr>
          <w:rFonts w:cs="Arial"/>
          <w:color w:val="000000" w:themeColor="text1"/>
          <w:spacing w:val="-4"/>
          <w:sz w:val="20"/>
          <w:szCs w:val="20"/>
        </w:rPr>
        <w:t>4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 xml:space="preserve"> mld</w:t>
      </w:r>
      <w:r w:rsidR="00BF42B6" w:rsidRPr="009522A3">
        <w:rPr>
          <w:rFonts w:cs="Arial"/>
          <w:color w:val="000000" w:themeColor="text1"/>
          <w:spacing w:val="-4"/>
          <w:sz w:val="20"/>
          <w:szCs w:val="20"/>
        </w:rPr>
        <w:t>.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 xml:space="preserve"> Kč (zvýšení o 7,6</w:t>
      </w:r>
      <w:r w:rsidR="0029538D" w:rsidRPr="009522A3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030ADD" w:rsidRPr="009522A3">
        <w:rPr>
          <w:rFonts w:cs="Arial"/>
          <w:color w:val="000000" w:themeColor="text1"/>
          <w:spacing w:val="-4"/>
          <w:sz w:val="20"/>
          <w:szCs w:val="20"/>
        </w:rPr>
        <w:t>% oproti roku 2018).</w:t>
      </w:r>
    </w:p>
    <w:p w14:paraId="6436B337" w14:textId="2F86BAE6" w:rsidR="00030ADD" w:rsidRPr="009522A3" w:rsidRDefault="00030ADD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Celková hodnota majetku nebankovních institucí činila ke konci roku 2019  2 103 mld. Kč (pokl</w:t>
      </w:r>
      <w:r w:rsidR="004D35EE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es</w:t>
      </w:r>
      <w:r w:rsidR="004D35EE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br/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o 0,5</w:t>
      </w:r>
      <w:r w:rsidR="0029538D"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9522A3">
        <w:rPr>
          <w:rFonts w:ascii="Arial" w:hAnsi="Arial" w:cs="Arial"/>
          <w:color w:val="000000" w:themeColor="text1"/>
          <w:spacing w:val="-4"/>
          <w:sz w:val="20"/>
          <w:szCs w:val="20"/>
        </w:rPr>
        <w:t>% oproti minulému roku). Stav finančních aktiv ke konci roku 2019 dosáhl hodnoty 1 945 mld. Kč (pokles 0,5 %).</w:t>
      </w:r>
    </w:p>
    <w:p w14:paraId="335BB8D0" w14:textId="4B5D3E21" w:rsidR="002D76BF" w:rsidRPr="009522A3" w:rsidRDefault="00030ADD" w:rsidP="00214924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9522A3">
        <w:rPr>
          <w:rFonts w:cs="Arial"/>
          <w:color w:val="000000" w:themeColor="text1"/>
          <w:sz w:val="20"/>
          <w:szCs w:val="20"/>
        </w:rPr>
        <w:t>Během roku 2019 byl průměrný evidenční počet zaměstnanců ve fyzických osobách 16 910 zaměstnanců, což je o 2,</w:t>
      </w:r>
      <w:r w:rsidR="00A829AD" w:rsidRPr="009522A3">
        <w:rPr>
          <w:rFonts w:cs="Arial"/>
          <w:color w:val="000000" w:themeColor="text1"/>
          <w:sz w:val="20"/>
          <w:szCs w:val="20"/>
        </w:rPr>
        <w:t>5</w:t>
      </w:r>
      <w:r w:rsidRPr="009522A3">
        <w:rPr>
          <w:rFonts w:cs="Arial"/>
          <w:color w:val="000000" w:themeColor="text1"/>
          <w:sz w:val="20"/>
          <w:szCs w:val="20"/>
        </w:rPr>
        <w:t xml:space="preserve"> % více než ve stejném období roku 2018. Průměrná mzda fyzických osob dosáhla hodnoty 49</w:t>
      </w:r>
      <w:r w:rsidR="0029538D" w:rsidRPr="009522A3">
        <w:rPr>
          <w:rFonts w:cs="Arial"/>
          <w:color w:val="000000" w:themeColor="text1"/>
          <w:sz w:val="20"/>
          <w:szCs w:val="20"/>
        </w:rPr>
        <w:t> </w:t>
      </w:r>
      <w:r w:rsidRPr="009522A3">
        <w:rPr>
          <w:rFonts w:cs="Arial"/>
          <w:color w:val="000000" w:themeColor="text1"/>
          <w:sz w:val="20"/>
          <w:szCs w:val="20"/>
        </w:rPr>
        <w:t>70</w:t>
      </w:r>
      <w:r w:rsidR="00A829AD" w:rsidRPr="009522A3">
        <w:rPr>
          <w:rFonts w:cs="Arial"/>
          <w:color w:val="000000" w:themeColor="text1"/>
          <w:sz w:val="20"/>
          <w:szCs w:val="20"/>
        </w:rPr>
        <w:t>5</w:t>
      </w:r>
      <w:r w:rsidR="0029538D" w:rsidRPr="009522A3">
        <w:rPr>
          <w:rFonts w:cs="Arial"/>
          <w:color w:val="000000" w:themeColor="text1"/>
          <w:sz w:val="20"/>
          <w:szCs w:val="20"/>
        </w:rPr>
        <w:t xml:space="preserve"> Kč (zvýšení o 7,8</w:t>
      </w:r>
      <w:r w:rsidR="00BF42B6" w:rsidRPr="009522A3">
        <w:rPr>
          <w:rFonts w:cs="Arial"/>
          <w:color w:val="000000" w:themeColor="text1"/>
          <w:sz w:val="20"/>
          <w:szCs w:val="20"/>
        </w:rPr>
        <w:t xml:space="preserve"> </w:t>
      </w:r>
      <w:r w:rsidR="0029538D" w:rsidRPr="009522A3">
        <w:rPr>
          <w:rFonts w:cs="Arial"/>
          <w:color w:val="000000" w:themeColor="text1"/>
          <w:sz w:val="20"/>
          <w:szCs w:val="20"/>
        </w:rPr>
        <w:t>%</w:t>
      </w:r>
      <w:r w:rsidRPr="009522A3">
        <w:rPr>
          <w:rFonts w:cs="Arial"/>
          <w:color w:val="000000" w:themeColor="text1"/>
          <w:sz w:val="20"/>
          <w:szCs w:val="20"/>
        </w:rPr>
        <w:t>).</w:t>
      </w:r>
    </w:p>
    <w:p w14:paraId="595F4815" w14:textId="516444BD" w:rsidR="000C04F9" w:rsidRPr="009522A3" w:rsidRDefault="000C04F9" w:rsidP="000C04F9">
      <w:pPr>
        <w:pStyle w:val="Zkladntextodsazen"/>
        <w:spacing w:after="120"/>
        <w:ind w:firstLine="567"/>
        <w:rPr>
          <w:rFonts w:cs="Arial"/>
          <w:bCs/>
          <w:color w:val="000000" w:themeColor="text1"/>
          <w:sz w:val="20"/>
          <w:szCs w:val="20"/>
        </w:rPr>
      </w:pPr>
      <w:r w:rsidRPr="009522A3">
        <w:rPr>
          <w:rFonts w:cs="Arial"/>
          <w:bCs/>
          <w:color w:val="000000" w:themeColor="text1"/>
          <w:sz w:val="20"/>
          <w:szCs w:val="20"/>
        </w:rPr>
        <w:t xml:space="preserve">Zdrojem dat </w:t>
      </w:r>
      <w:r w:rsidR="00BA2BFC" w:rsidRPr="009522A3">
        <w:rPr>
          <w:rFonts w:cs="Arial"/>
          <w:sz w:val="20"/>
        </w:rPr>
        <w:t>pro nebank</w:t>
      </w:r>
      <w:r w:rsidR="007F3939">
        <w:rPr>
          <w:rFonts w:cs="Arial"/>
          <w:sz w:val="20"/>
        </w:rPr>
        <w:t xml:space="preserve">ovní peněžní instituce účtující </w:t>
      </w:r>
      <w:r w:rsidR="00BA2BFC" w:rsidRPr="009522A3">
        <w:rPr>
          <w:rFonts w:cs="Arial"/>
          <w:sz w:val="20"/>
        </w:rPr>
        <w:t xml:space="preserve">jako podnikatelé </w:t>
      </w:r>
      <w:r w:rsidR="0096739A">
        <w:rPr>
          <w:rFonts w:cs="Arial"/>
          <w:bCs/>
          <w:color w:val="000000" w:themeColor="text1"/>
          <w:sz w:val="20"/>
          <w:szCs w:val="20"/>
        </w:rPr>
        <w:t xml:space="preserve">je </w:t>
      </w:r>
      <w:r w:rsidR="003B6893" w:rsidRPr="009522A3">
        <w:rPr>
          <w:rFonts w:cs="Arial"/>
          <w:bCs/>
          <w:color w:val="000000" w:themeColor="text1"/>
          <w:sz w:val="20"/>
          <w:szCs w:val="20"/>
        </w:rPr>
        <w:t>statistický</w:t>
      </w:r>
      <w:r w:rsidR="00BA2BFC" w:rsidRPr="009522A3">
        <w:rPr>
          <w:rFonts w:cs="Arial"/>
          <w:bCs/>
          <w:color w:val="000000" w:themeColor="text1"/>
          <w:sz w:val="20"/>
          <w:szCs w:val="20"/>
        </w:rPr>
        <w:br/>
      </w:r>
      <w:r w:rsidRPr="009522A3">
        <w:rPr>
          <w:rFonts w:cs="Arial"/>
          <w:bCs/>
          <w:color w:val="000000" w:themeColor="text1"/>
          <w:sz w:val="20"/>
          <w:szCs w:val="20"/>
        </w:rPr>
        <w:t>výkaz P5-01.</w:t>
      </w:r>
    </w:p>
    <w:p w14:paraId="4FCE20B1" w14:textId="77777777" w:rsidR="00D01FB9" w:rsidRPr="009522A3" w:rsidRDefault="00D01FB9" w:rsidP="00D01FB9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</w:p>
    <w:p w14:paraId="55930666" w14:textId="49852BC0" w:rsidR="004E2DAE" w:rsidRPr="009522A3" w:rsidRDefault="004E2DAE" w:rsidP="00D01FB9">
      <w:pPr>
        <w:pStyle w:val="Nzev"/>
        <w:tabs>
          <w:tab w:val="left" w:pos="567"/>
        </w:tabs>
        <w:spacing w:after="360"/>
        <w:ind w:firstLine="567"/>
        <w:jc w:val="left"/>
        <w:rPr>
          <w:sz w:val="24"/>
        </w:rPr>
      </w:pPr>
      <w:r w:rsidRPr="009522A3">
        <w:rPr>
          <w:sz w:val="24"/>
        </w:rPr>
        <w:t>Poznámky k tabulkám</w:t>
      </w:r>
    </w:p>
    <w:p w14:paraId="04696BDF" w14:textId="043E19DC" w:rsidR="004E2DAE" w:rsidRPr="009522A3" w:rsidRDefault="004E2DAE" w:rsidP="00214924">
      <w:pPr>
        <w:pStyle w:val="Zkladntext2"/>
        <w:spacing w:after="120"/>
        <w:ind w:firstLine="567"/>
      </w:pPr>
      <w:r w:rsidRPr="009522A3">
        <w:t>Ukazatelé bankovních peněžních institucí jsou zařazeny v tabulkách 1 až 9, ukazatelé nebankovních peněžních ins</w:t>
      </w:r>
      <w:r w:rsidR="006F640F" w:rsidRPr="009522A3">
        <w:t>titucí</w:t>
      </w:r>
      <w:r w:rsidR="00256ECF" w:rsidRPr="009522A3">
        <w:t xml:space="preserve"> účtující jako banky jsou v tabulkách 10 až 18</w:t>
      </w:r>
      <w:r w:rsidRPr="009522A3">
        <w:t>, ukazatelé investičních společností a investičních fondů jsou v ta</w:t>
      </w:r>
      <w:r w:rsidR="00256ECF" w:rsidRPr="009522A3">
        <w:t xml:space="preserve">bulkách 19 až 27, </w:t>
      </w:r>
      <w:r w:rsidRPr="009522A3">
        <w:t>ukazatelé</w:t>
      </w:r>
      <w:r w:rsidR="00256ECF" w:rsidRPr="009522A3">
        <w:t xml:space="preserve"> </w:t>
      </w:r>
      <w:r w:rsidR="00256ECF" w:rsidRPr="009522A3">
        <w:rPr>
          <w:bCs/>
        </w:rPr>
        <w:t>nebankovních peněžních institucí účtující jako podnikatelé</w:t>
      </w:r>
      <w:r w:rsidR="00256ECF" w:rsidRPr="009522A3">
        <w:t xml:space="preserve"> jsou v tabu</w:t>
      </w:r>
      <w:r w:rsidR="00E61980" w:rsidRPr="009522A3">
        <w:t xml:space="preserve">lkách </w:t>
      </w:r>
      <w:r w:rsidR="00256ECF" w:rsidRPr="009522A3">
        <w:t>28 až 3</w:t>
      </w:r>
      <w:r w:rsidR="00257EB8" w:rsidRPr="009522A3">
        <w:t>5</w:t>
      </w:r>
      <w:r w:rsidR="00256ECF" w:rsidRPr="009522A3">
        <w:t xml:space="preserve"> a ukazatelé finančních </w:t>
      </w:r>
      <w:r w:rsidRPr="009522A3">
        <w:t>leasingových společnos</w:t>
      </w:r>
      <w:r w:rsidR="00256ECF" w:rsidRPr="009522A3">
        <w:t>tí jsou v tabulkách 3</w:t>
      </w:r>
      <w:r w:rsidR="00257EB8" w:rsidRPr="009522A3">
        <w:t xml:space="preserve">6 </w:t>
      </w:r>
      <w:r w:rsidRPr="009522A3">
        <w:t>až</w:t>
      </w:r>
      <w:r w:rsidR="00256ECF" w:rsidRPr="009522A3">
        <w:t xml:space="preserve"> 4</w:t>
      </w:r>
      <w:r w:rsidR="00257EB8" w:rsidRPr="009522A3">
        <w:t>3</w:t>
      </w:r>
      <w:r w:rsidRPr="009522A3">
        <w:t>.</w:t>
      </w:r>
    </w:p>
    <w:p w14:paraId="5D72BD96" w14:textId="77777777" w:rsidR="00C745C0" w:rsidRPr="009522A3" w:rsidRDefault="00C745C0" w:rsidP="00C745C0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214"/>
      </w:tblGrid>
      <w:tr w:rsidR="00D01FB9" w:rsidRPr="009522A3" w14:paraId="1758A138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1109D" w14:textId="7D51E1AE" w:rsidR="00D01FB9" w:rsidRPr="009522A3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164"/>
              </w:tabs>
              <w:spacing w:after="120"/>
              <w:ind w:left="-120"/>
              <w:rPr>
                <w:b/>
                <w:bCs/>
                <w:iCs/>
              </w:rPr>
            </w:pPr>
            <w:r w:rsidRPr="009522A3">
              <w:rPr>
                <w:b/>
                <w:iCs/>
                <w:szCs w:val="20"/>
                <w:lang w:val="en-GB"/>
              </w:rPr>
              <w:t>–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7161F" w14:textId="11CA40F5" w:rsidR="00D01FB9" w:rsidRPr="009522A3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460"/>
                <w:tab w:val="left" w:pos="602"/>
              </w:tabs>
              <w:spacing w:after="120"/>
              <w:ind w:left="-107"/>
              <w:rPr>
                <w:bCs/>
                <w:i/>
                <w:iCs/>
              </w:rPr>
            </w:pPr>
            <w:proofErr w:type="spellStart"/>
            <w:r w:rsidRPr="009522A3">
              <w:rPr>
                <w:iCs/>
                <w:szCs w:val="20"/>
                <w:lang w:val="en-GB"/>
              </w:rPr>
              <w:t>pokud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nebyl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zjištěn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žádný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údaj</w:t>
            </w:r>
            <w:proofErr w:type="spellEnd"/>
          </w:p>
        </w:tc>
      </w:tr>
      <w:tr w:rsidR="00D01FB9" w:rsidRPr="009522A3" w14:paraId="650768BB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2DA1DC" w14:textId="534336F2" w:rsidR="00D01FB9" w:rsidRPr="009522A3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164"/>
              </w:tabs>
              <w:spacing w:after="120"/>
              <w:ind w:left="-120"/>
              <w:rPr>
                <w:b/>
                <w:bCs/>
                <w:iCs/>
              </w:rPr>
            </w:pPr>
            <w:r w:rsidRPr="009522A3">
              <w:rPr>
                <w:b/>
                <w:iCs/>
                <w:szCs w:val="20"/>
                <w:lang w:val="en-GB"/>
              </w:rPr>
              <w:t>0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A73775" w14:textId="721F79D6" w:rsidR="00D01FB9" w:rsidRPr="009522A3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319"/>
              </w:tabs>
              <w:spacing w:after="120"/>
              <w:ind w:left="-107"/>
              <w:rPr>
                <w:iCs/>
                <w:szCs w:val="20"/>
                <w:lang w:val="en-GB"/>
              </w:rPr>
            </w:pPr>
            <w:proofErr w:type="spellStart"/>
            <w:r w:rsidRPr="009522A3">
              <w:rPr>
                <w:iCs/>
                <w:szCs w:val="20"/>
                <w:lang w:val="en-GB"/>
              </w:rPr>
              <w:t>pokud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byla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hodnota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zjištěna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, ale </w:t>
            </w:r>
            <w:proofErr w:type="spellStart"/>
            <w:r w:rsidRPr="009522A3">
              <w:rPr>
                <w:iCs/>
                <w:szCs w:val="20"/>
                <w:lang w:val="en-GB"/>
              </w:rPr>
              <w:t>nedosahuje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ani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takové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velikosti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, aby </w:t>
            </w:r>
            <w:proofErr w:type="spellStart"/>
            <w:r w:rsidRPr="009522A3">
              <w:rPr>
                <w:iCs/>
                <w:szCs w:val="20"/>
                <w:lang w:val="en-GB"/>
              </w:rPr>
              <w:t>mohla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být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vykázána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podle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pravidel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o </w:t>
            </w:r>
            <w:proofErr w:type="spellStart"/>
            <w:r w:rsidRPr="009522A3">
              <w:rPr>
                <w:iCs/>
                <w:szCs w:val="20"/>
                <w:lang w:val="en-GB"/>
              </w:rPr>
              <w:t>zaokrouhlování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jako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nenulové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číslo</w:t>
            </w:r>
            <w:proofErr w:type="spellEnd"/>
          </w:p>
        </w:tc>
      </w:tr>
      <w:tr w:rsidR="00D01FB9" w:rsidRPr="009522A3" w14:paraId="035CD709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49B70E" w14:textId="307C1061" w:rsidR="00D01FB9" w:rsidRPr="009522A3" w:rsidRDefault="00D01FB9" w:rsidP="00BC2AFB">
            <w:pPr>
              <w:pStyle w:val="Zkladntext2"/>
              <w:tabs>
                <w:tab w:val="clear" w:pos="0"/>
              </w:tabs>
              <w:spacing w:after="120"/>
              <w:ind w:left="-120"/>
              <w:rPr>
                <w:b/>
                <w:bCs/>
                <w:iCs/>
              </w:rPr>
            </w:pPr>
            <w:r w:rsidRPr="009522A3">
              <w:rPr>
                <w:b/>
                <w:iCs/>
                <w:szCs w:val="20"/>
                <w:lang w:val="en-GB"/>
              </w:rPr>
              <w:t>.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008E37" w14:textId="38B10E80" w:rsidR="00D01FB9" w:rsidRPr="009522A3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319"/>
              </w:tabs>
              <w:spacing w:after="120"/>
              <w:ind w:left="-107"/>
              <w:rPr>
                <w:bCs/>
                <w:i/>
                <w:iCs/>
              </w:rPr>
            </w:pPr>
            <w:proofErr w:type="spellStart"/>
            <w:r w:rsidRPr="009522A3">
              <w:rPr>
                <w:iCs/>
                <w:szCs w:val="20"/>
                <w:lang w:val="en-GB"/>
              </w:rPr>
              <w:t>jestliže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příslušný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údaj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není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k </w:t>
            </w:r>
            <w:proofErr w:type="spellStart"/>
            <w:r w:rsidRPr="009522A3">
              <w:rPr>
                <w:iCs/>
                <w:szCs w:val="20"/>
                <w:lang w:val="en-GB"/>
              </w:rPr>
              <w:t>dispozici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resp. se v </w:t>
            </w:r>
            <w:proofErr w:type="spellStart"/>
            <w:r w:rsidRPr="009522A3">
              <w:rPr>
                <w:iCs/>
                <w:szCs w:val="20"/>
                <w:lang w:val="en-GB"/>
              </w:rPr>
              <w:t>příslušné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kategorii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nebo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subkategorii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vyskytuje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nižší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počet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jednotek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, </w:t>
            </w:r>
            <w:proofErr w:type="spellStart"/>
            <w:r w:rsidRPr="009522A3">
              <w:rPr>
                <w:iCs/>
                <w:szCs w:val="20"/>
                <w:lang w:val="en-GB"/>
              </w:rPr>
              <w:t>než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odpovídá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podmínkám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pro </w:t>
            </w:r>
            <w:proofErr w:type="spellStart"/>
            <w:r w:rsidRPr="009522A3">
              <w:rPr>
                <w:iCs/>
                <w:szCs w:val="20"/>
                <w:lang w:val="en-GB"/>
              </w:rPr>
              <w:t>poskytování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statistických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informací</w:t>
            </w:r>
            <w:proofErr w:type="spellEnd"/>
          </w:p>
        </w:tc>
      </w:tr>
      <w:tr w:rsidR="00D01FB9" w14:paraId="6F196A1D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21BE9" w14:textId="12208294" w:rsidR="00D01FB9" w:rsidRPr="009522A3" w:rsidRDefault="00C745C0" w:rsidP="00BC2AFB">
            <w:pPr>
              <w:pStyle w:val="Zkladntext2"/>
              <w:tabs>
                <w:tab w:val="clear" w:pos="0"/>
              </w:tabs>
              <w:spacing w:after="120"/>
              <w:ind w:left="-120"/>
              <w:rPr>
                <w:b/>
                <w:bCs/>
                <w:iCs/>
              </w:rPr>
            </w:pPr>
            <w:r w:rsidRPr="009522A3">
              <w:rPr>
                <w:b/>
                <w:iCs/>
                <w:szCs w:val="20"/>
                <w:lang w:val="en-GB"/>
              </w:rPr>
              <w:t>x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691CED" w14:textId="77777777" w:rsidR="00D01FB9" w:rsidRDefault="00D01FB9" w:rsidP="00BC2AFB">
            <w:pPr>
              <w:pStyle w:val="Zkladntext2"/>
              <w:tabs>
                <w:tab w:val="clear" w:pos="0"/>
                <w:tab w:val="left" w:pos="177"/>
              </w:tabs>
              <w:spacing w:after="120"/>
              <w:ind w:left="-107"/>
              <w:rPr>
                <w:iCs/>
                <w:szCs w:val="20"/>
                <w:lang w:val="en-GB"/>
              </w:rPr>
            </w:pPr>
            <w:proofErr w:type="spellStart"/>
            <w:r w:rsidRPr="009522A3">
              <w:rPr>
                <w:iCs/>
                <w:szCs w:val="20"/>
                <w:lang w:val="en-GB"/>
              </w:rPr>
              <w:t>údaj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se </w:t>
            </w:r>
            <w:proofErr w:type="spellStart"/>
            <w:r w:rsidRPr="009522A3">
              <w:rPr>
                <w:iCs/>
                <w:szCs w:val="20"/>
                <w:lang w:val="en-GB"/>
              </w:rPr>
              <w:t>nemůže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vyskytnout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z </w:t>
            </w:r>
            <w:proofErr w:type="spellStart"/>
            <w:r w:rsidRPr="009522A3">
              <w:rPr>
                <w:iCs/>
                <w:szCs w:val="20"/>
                <w:lang w:val="en-GB"/>
              </w:rPr>
              <w:t>logických</w:t>
            </w:r>
            <w:proofErr w:type="spellEnd"/>
            <w:r w:rsidRPr="009522A3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9522A3">
              <w:rPr>
                <w:iCs/>
                <w:szCs w:val="20"/>
                <w:lang w:val="en-GB"/>
              </w:rPr>
              <w:t>důvodů</w:t>
            </w:r>
            <w:proofErr w:type="spellEnd"/>
          </w:p>
          <w:p w14:paraId="380601E8" w14:textId="77777777" w:rsidR="00960DBC" w:rsidRDefault="00960DBC" w:rsidP="00BC2AFB">
            <w:pPr>
              <w:pStyle w:val="Zkladntext2"/>
              <w:tabs>
                <w:tab w:val="clear" w:pos="0"/>
                <w:tab w:val="left" w:pos="177"/>
              </w:tabs>
              <w:spacing w:after="120"/>
              <w:ind w:left="-107"/>
              <w:rPr>
                <w:iCs/>
                <w:szCs w:val="20"/>
                <w:lang w:val="en-GB"/>
              </w:rPr>
            </w:pPr>
          </w:p>
          <w:p w14:paraId="1AE5707F" w14:textId="2FF17890" w:rsidR="00960DBC" w:rsidRPr="00C745C0" w:rsidRDefault="00960DBC" w:rsidP="00960DBC">
            <w:pPr>
              <w:pStyle w:val="Zkladntext2"/>
              <w:tabs>
                <w:tab w:val="clear" w:pos="0"/>
                <w:tab w:val="left" w:pos="177"/>
              </w:tabs>
              <w:spacing w:after="120"/>
              <w:ind w:firstLine="567"/>
              <w:rPr>
                <w:bCs/>
                <w:i/>
                <w:iCs/>
              </w:rPr>
            </w:pPr>
            <w:proofErr w:type="spellStart"/>
            <w:r>
              <w:rPr>
                <w:iCs/>
                <w:szCs w:val="20"/>
                <w:lang w:val="en-GB"/>
              </w:rPr>
              <w:t>Procentní</w:t>
            </w:r>
            <w:proofErr w:type="spellEnd"/>
            <w:r>
              <w:rPr>
                <w:iCs/>
                <w:szCs w:val="20"/>
                <w:lang w:val="en-GB"/>
              </w:rPr>
              <w:t xml:space="preserve"> bod (</w:t>
            </w:r>
            <w:proofErr w:type="spellStart"/>
            <w:r>
              <w:rPr>
                <w:iCs/>
                <w:szCs w:val="20"/>
                <w:lang w:val="en-GB"/>
              </w:rPr>
              <w:t>p.b</w:t>
            </w:r>
            <w:proofErr w:type="spellEnd"/>
            <w:r>
              <w:rPr>
                <w:iCs/>
                <w:szCs w:val="20"/>
                <w:lang w:val="en-GB"/>
              </w:rPr>
              <w:t xml:space="preserve">.) </w:t>
            </w:r>
            <w:proofErr w:type="spellStart"/>
            <w:r>
              <w:rPr>
                <w:iCs/>
                <w:szCs w:val="20"/>
                <w:lang w:val="en-GB"/>
              </w:rPr>
              <w:t>ilustruje</w:t>
            </w:r>
            <w:proofErr w:type="spellEnd"/>
            <w:r>
              <w:rPr>
                <w:iCs/>
                <w:szCs w:val="20"/>
                <w:lang w:val="en-GB"/>
              </w:rPr>
              <w:t xml:space="preserve"> </w:t>
            </w:r>
            <w:proofErr w:type="spellStart"/>
            <w:r>
              <w:rPr>
                <w:iCs/>
                <w:szCs w:val="20"/>
                <w:lang w:val="en-GB"/>
              </w:rPr>
              <w:t>vývoj</w:t>
            </w:r>
            <w:proofErr w:type="spellEnd"/>
            <w:r>
              <w:rPr>
                <w:iCs/>
                <w:szCs w:val="20"/>
                <w:lang w:val="en-GB"/>
              </w:rPr>
              <w:t xml:space="preserve"> </w:t>
            </w:r>
            <w:proofErr w:type="spellStart"/>
            <w:r>
              <w:rPr>
                <w:iCs/>
                <w:szCs w:val="20"/>
                <w:lang w:val="en-GB"/>
              </w:rPr>
              <w:t>ukazatele</w:t>
            </w:r>
            <w:proofErr w:type="spellEnd"/>
            <w:r>
              <w:rPr>
                <w:iCs/>
                <w:szCs w:val="20"/>
                <w:lang w:val="en-GB"/>
              </w:rPr>
              <w:t xml:space="preserve">, </w:t>
            </w:r>
            <w:proofErr w:type="spellStart"/>
            <w:r>
              <w:rPr>
                <w:iCs/>
                <w:szCs w:val="20"/>
                <w:lang w:val="en-GB"/>
              </w:rPr>
              <w:t>který</w:t>
            </w:r>
            <w:proofErr w:type="spellEnd"/>
            <w:r>
              <w:rPr>
                <w:iCs/>
                <w:szCs w:val="20"/>
                <w:lang w:val="en-GB"/>
              </w:rPr>
              <w:t xml:space="preserve"> je u </w:t>
            </w:r>
            <w:proofErr w:type="spellStart"/>
            <w:r>
              <w:rPr>
                <w:iCs/>
                <w:szCs w:val="20"/>
                <w:lang w:val="en-GB"/>
              </w:rPr>
              <w:t>meziročního</w:t>
            </w:r>
            <w:proofErr w:type="spellEnd"/>
            <w:r>
              <w:rPr>
                <w:iCs/>
                <w:szCs w:val="20"/>
                <w:lang w:val="en-GB"/>
              </w:rPr>
              <w:t xml:space="preserve"> </w:t>
            </w:r>
            <w:proofErr w:type="spellStart"/>
            <w:r>
              <w:rPr>
                <w:iCs/>
                <w:szCs w:val="20"/>
                <w:lang w:val="en-GB"/>
              </w:rPr>
              <w:t>srovnání</w:t>
            </w:r>
            <w:proofErr w:type="spellEnd"/>
            <w:r>
              <w:rPr>
                <w:iCs/>
                <w:szCs w:val="20"/>
                <w:lang w:val="en-GB"/>
              </w:rPr>
              <w:t xml:space="preserve"> </w:t>
            </w:r>
            <w:proofErr w:type="spellStart"/>
            <w:r>
              <w:rPr>
                <w:iCs/>
                <w:szCs w:val="20"/>
                <w:lang w:val="en-GB"/>
              </w:rPr>
              <w:t>vyjádřen</w:t>
            </w:r>
            <w:proofErr w:type="spellEnd"/>
            <w:r>
              <w:rPr>
                <w:iCs/>
                <w:szCs w:val="20"/>
                <w:lang w:val="en-GB"/>
              </w:rPr>
              <w:t xml:space="preserve"> v </w:t>
            </w:r>
            <w:proofErr w:type="spellStart"/>
            <w:r>
              <w:rPr>
                <w:iCs/>
                <w:szCs w:val="20"/>
                <w:lang w:val="en-GB"/>
              </w:rPr>
              <w:t>procentech</w:t>
            </w:r>
            <w:proofErr w:type="spellEnd"/>
            <w:r>
              <w:rPr>
                <w:iCs/>
                <w:szCs w:val="20"/>
                <w:lang w:val="en-GB"/>
              </w:rPr>
              <w:t xml:space="preserve">. </w:t>
            </w:r>
          </w:p>
        </w:tc>
      </w:tr>
      <w:tr w:rsidR="00960DBC" w14:paraId="3567189D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E49F7F" w14:textId="77777777" w:rsidR="00960DBC" w:rsidRPr="009522A3" w:rsidRDefault="00960DBC" w:rsidP="00BC2AFB">
            <w:pPr>
              <w:pStyle w:val="Zkladntext2"/>
              <w:tabs>
                <w:tab w:val="clear" w:pos="0"/>
              </w:tabs>
              <w:spacing w:after="120"/>
              <w:ind w:left="-120"/>
              <w:rPr>
                <w:b/>
                <w:iCs/>
                <w:szCs w:val="20"/>
                <w:lang w:val="en-GB"/>
              </w:rPr>
            </w:pP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C7A738" w14:textId="77777777" w:rsidR="00960DBC" w:rsidRPr="009522A3" w:rsidRDefault="00960DBC" w:rsidP="00BC2AFB">
            <w:pPr>
              <w:pStyle w:val="Zkladntext2"/>
              <w:tabs>
                <w:tab w:val="clear" w:pos="0"/>
                <w:tab w:val="left" w:pos="177"/>
              </w:tabs>
              <w:spacing w:after="120"/>
              <w:ind w:left="-107"/>
              <w:rPr>
                <w:iCs/>
                <w:szCs w:val="20"/>
                <w:lang w:val="en-GB"/>
              </w:rPr>
            </w:pPr>
          </w:p>
        </w:tc>
      </w:tr>
    </w:tbl>
    <w:p w14:paraId="73B7D0E2" w14:textId="6A51E60F" w:rsidR="00401BCF" w:rsidRPr="00BC3EB0" w:rsidRDefault="00401BCF" w:rsidP="003A704C">
      <w:pPr>
        <w:pStyle w:val="Zkladntextodsazen"/>
        <w:tabs>
          <w:tab w:val="left" w:pos="720"/>
        </w:tabs>
        <w:ind w:firstLine="0"/>
        <w:rPr>
          <w:rFonts w:cs="Arial"/>
          <w:iCs/>
          <w:sz w:val="20"/>
          <w:szCs w:val="20"/>
        </w:rPr>
      </w:pPr>
    </w:p>
    <w:sectPr w:rsidR="00401BCF" w:rsidRPr="00BC3EB0" w:rsidSect="008B0488">
      <w:headerReference w:type="default" r:id="rId8"/>
      <w:pgSz w:w="11906" w:h="16838"/>
      <w:pgMar w:top="1418" w:right="1418" w:bottom="1701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B55D2" w14:textId="77777777" w:rsidR="007936DC" w:rsidRDefault="007936DC">
      <w:r>
        <w:separator/>
      </w:r>
    </w:p>
  </w:endnote>
  <w:endnote w:type="continuationSeparator" w:id="0">
    <w:p w14:paraId="38D134EF" w14:textId="77777777" w:rsidR="007936DC" w:rsidRDefault="0079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873C0" w14:textId="77777777" w:rsidR="007936DC" w:rsidRDefault="007936DC">
      <w:r>
        <w:separator/>
      </w:r>
    </w:p>
  </w:footnote>
  <w:footnote w:type="continuationSeparator" w:id="0">
    <w:p w14:paraId="3CE0011A" w14:textId="77777777" w:rsidR="007936DC" w:rsidRDefault="0079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39EF" w14:textId="77777777" w:rsidR="00F028AF" w:rsidRDefault="00F028AF">
    <w:pPr>
      <w:pStyle w:val="Zhlav"/>
      <w:rPr>
        <w:rFonts w:ascii="Arial" w:hAnsi="Arial" w:cs="Arial"/>
        <w:b/>
        <w:bCs/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E14D11"/>
    <w:multiLevelType w:val="hybridMultilevel"/>
    <w:tmpl w:val="8D58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B"/>
    <w:rsid w:val="00002716"/>
    <w:rsid w:val="00011A9C"/>
    <w:rsid w:val="00025769"/>
    <w:rsid w:val="0003000D"/>
    <w:rsid w:val="00030ADD"/>
    <w:rsid w:val="00037681"/>
    <w:rsid w:val="00040B9D"/>
    <w:rsid w:val="00040D84"/>
    <w:rsid w:val="000445D3"/>
    <w:rsid w:val="000536F3"/>
    <w:rsid w:val="0005687E"/>
    <w:rsid w:val="00065E85"/>
    <w:rsid w:val="00071CDA"/>
    <w:rsid w:val="00072B57"/>
    <w:rsid w:val="00076828"/>
    <w:rsid w:val="000B315D"/>
    <w:rsid w:val="000B3201"/>
    <w:rsid w:val="000B564F"/>
    <w:rsid w:val="000C04F9"/>
    <w:rsid w:val="000C450C"/>
    <w:rsid w:val="000D7C40"/>
    <w:rsid w:val="000F729B"/>
    <w:rsid w:val="00104798"/>
    <w:rsid w:val="00104E43"/>
    <w:rsid w:val="00141473"/>
    <w:rsid w:val="0014646B"/>
    <w:rsid w:val="001515D8"/>
    <w:rsid w:val="00154465"/>
    <w:rsid w:val="00192320"/>
    <w:rsid w:val="001A76FC"/>
    <w:rsid w:val="001B3885"/>
    <w:rsid w:val="001B6669"/>
    <w:rsid w:val="001E12D1"/>
    <w:rsid w:val="001E5F58"/>
    <w:rsid w:val="00214924"/>
    <w:rsid w:val="00220410"/>
    <w:rsid w:val="00226F73"/>
    <w:rsid w:val="002455D8"/>
    <w:rsid w:val="0024716A"/>
    <w:rsid w:val="00251AC0"/>
    <w:rsid w:val="00251AF8"/>
    <w:rsid w:val="00256835"/>
    <w:rsid w:val="00256ECF"/>
    <w:rsid w:val="00257EB8"/>
    <w:rsid w:val="00264203"/>
    <w:rsid w:val="00277ACD"/>
    <w:rsid w:val="00284275"/>
    <w:rsid w:val="002869D6"/>
    <w:rsid w:val="00294678"/>
    <w:rsid w:val="0029538D"/>
    <w:rsid w:val="002A37DA"/>
    <w:rsid w:val="002A71D6"/>
    <w:rsid w:val="002C682A"/>
    <w:rsid w:val="002D76BF"/>
    <w:rsid w:val="002F0E4B"/>
    <w:rsid w:val="00303216"/>
    <w:rsid w:val="00306580"/>
    <w:rsid w:val="00312157"/>
    <w:rsid w:val="0034478B"/>
    <w:rsid w:val="003A704C"/>
    <w:rsid w:val="003B3A95"/>
    <w:rsid w:val="003B6893"/>
    <w:rsid w:val="003B7D10"/>
    <w:rsid w:val="003D101F"/>
    <w:rsid w:val="003F4A03"/>
    <w:rsid w:val="003F6A07"/>
    <w:rsid w:val="00401BCF"/>
    <w:rsid w:val="0040634A"/>
    <w:rsid w:val="00427C8C"/>
    <w:rsid w:val="004424AD"/>
    <w:rsid w:val="00445101"/>
    <w:rsid w:val="00466EB3"/>
    <w:rsid w:val="00477B74"/>
    <w:rsid w:val="00484D33"/>
    <w:rsid w:val="00496324"/>
    <w:rsid w:val="004A2342"/>
    <w:rsid w:val="004A27D5"/>
    <w:rsid w:val="004B0CB0"/>
    <w:rsid w:val="004C081E"/>
    <w:rsid w:val="004C4F62"/>
    <w:rsid w:val="004D35EE"/>
    <w:rsid w:val="004D66DC"/>
    <w:rsid w:val="004E05A5"/>
    <w:rsid w:val="004E1567"/>
    <w:rsid w:val="004E2DAE"/>
    <w:rsid w:val="004E4311"/>
    <w:rsid w:val="004F5B03"/>
    <w:rsid w:val="00501B17"/>
    <w:rsid w:val="00511B0C"/>
    <w:rsid w:val="0051254C"/>
    <w:rsid w:val="00512C83"/>
    <w:rsid w:val="005145BE"/>
    <w:rsid w:val="00534F84"/>
    <w:rsid w:val="005415E4"/>
    <w:rsid w:val="00556E8D"/>
    <w:rsid w:val="005574D3"/>
    <w:rsid w:val="0058088F"/>
    <w:rsid w:val="0059105E"/>
    <w:rsid w:val="00591C51"/>
    <w:rsid w:val="00595A5A"/>
    <w:rsid w:val="00597138"/>
    <w:rsid w:val="005F361A"/>
    <w:rsid w:val="006031F0"/>
    <w:rsid w:val="0061051A"/>
    <w:rsid w:val="006162B1"/>
    <w:rsid w:val="00622F73"/>
    <w:rsid w:val="00637274"/>
    <w:rsid w:val="00657D9C"/>
    <w:rsid w:val="00662B63"/>
    <w:rsid w:val="00673BCE"/>
    <w:rsid w:val="00674889"/>
    <w:rsid w:val="006766A8"/>
    <w:rsid w:val="0068059D"/>
    <w:rsid w:val="006869C4"/>
    <w:rsid w:val="0069136D"/>
    <w:rsid w:val="006951C6"/>
    <w:rsid w:val="006A2A7F"/>
    <w:rsid w:val="006B320E"/>
    <w:rsid w:val="006C140A"/>
    <w:rsid w:val="006D1652"/>
    <w:rsid w:val="006D315E"/>
    <w:rsid w:val="006D4434"/>
    <w:rsid w:val="006D5A54"/>
    <w:rsid w:val="006F553A"/>
    <w:rsid w:val="006F640F"/>
    <w:rsid w:val="0075099F"/>
    <w:rsid w:val="00756EE4"/>
    <w:rsid w:val="007603BF"/>
    <w:rsid w:val="007611AD"/>
    <w:rsid w:val="00761285"/>
    <w:rsid w:val="007650C5"/>
    <w:rsid w:val="007651D7"/>
    <w:rsid w:val="0078728E"/>
    <w:rsid w:val="0079225B"/>
    <w:rsid w:val="007936DC"/>
    <w:rsid w:val="00794601"/>
    <w:rsid w:val="00794810"/>
    <w:rsid w:val="00796DB4"/>
    <w:rsid w:val="007A7DDC"/>
    <w:rsid w:val="007B1F97"/>
    <w:rsid w:val="007B5A52"/>
    <w:rsid w:val="007D00E3"/>
    <w:rsid w:val="007D024B"/>
    <w:rsid w:val="007D20D8"/>
    <w:rsid w:val="007D6AAA"/>
    <w:rsid w:val="007F1BA3"/>
    <w:rsid w:val="007F3939"/>
    <w:rsid w:val="007F71DE"/>
    <w:rsid w:val="00833F0D"/>
    <w:rsid w:val="00834910"/>
    <w:rsid w:val="00854804"/>
    <w:rsid w:val="0085691A"/>
    <w:rsid w:val="0086403D"/>
    <w:rsid w:val="00872183"/>
    <w:rsid w:val="00881C47"/>
    <w:rsid w:val="008870F4"/>
    <w:rsid w:val="008937E2"/>
    <w:rsid w:val="008A017A"/>
    <w:rsid w:val="008A2156"/>
    <w:rsid w:val="008A66C7"/>
    <w:rsid w:val="008B0488"/>
    <w:rsid w:val="008B2862"/>
    <w:rsid w:val="008B5150"/>
    <w:rsid w:val="008C5FC0"/>
    <w:rsid w:val="008D2681"/>
    <w:rsid w:val="008D2C51"/>
    <w:rsid w:val="008F5543"/>
    <w:rsid w:val="00901144"/>
    <w:rsid w:val="0090597D"/>
    <w:rsid w:val="00906519"/>
    <w:rsid w:val="00932535"/>
    <w:rsid w:val="00934AEC"/>
    <w:rsid w:val="00941FB2"/>
    <w:rsid w:val="0094639D"/>
    <w:rsid w:val="009522A3"/>
    <w:rsid w:val="00957FE8"/>
    <w:rsid w:val="00960DBC"/>
    <w:rsid w:val="00962DC2"/>
    <w:rsid w:val="009633F1"/>
    <w:rsid w:val="0096739A"/>
    <w:rsid w:val="0099383D"/>
    <w:rsid w:val="00994F8D"/>
    <w:rsid w:val="00995A9A"/>
    <w:rsid w:val="009B0CDF"/>
    <w:rsid w:val="009B6939"/>
    <w:rsid w:val="009E24CC"/>
    <w:rsid w:val="009E72DD"/>
    <w:rsid w:val="00A21D45"/>
    <w:rsid w:val="00A2563A"/>
    <w:rsid w:val="00A33D9D"/>
    <w:rsid w:val="00A348DF"/>
    <w:rsid w:val="00A50A12"/>
    <w:rsid w:val="00A536FF"/>
    <w:rsid w:val="00A647AA"/>
    <w:rsid w:val="00A675AD"/>
    <w:rsid w:val="00A800A2"/>
    <w:rsid w:val="00A829AD"/>
    <w:rsid w:val="00A845C0"/>
    <w:rsid w:val="00AC34C8"/>
    <w:rsid w:val="00AD7BEA"/>
    <w:rsid w:val="00AE1644"/>
    <w:rsid w:val="00AE1D19"/>
    <w:rsid w:val="00AE486C"/>
    <w:rsid w:val="00AF74A6"/>
    <w:rsid w:val="00B25D2D"/>
    <w:rsid w:val="00B320E1"/>
    <w:rsid w:val="00B44FC2"/>
    <w:rsid w:val="00B8362E"/>
    <w:rsid w:val="00B9260C"/>
    <w:rsid w:val="00B92B39"/>
    <w:rsid w:val="00B92CAA"/>
    <w:rsid w:val="00BA2BFC"/>
    <w:rsid w:val="00BC2AFB"/>
    <w:rsid w:val="00BC3EB0"/>
    <w:rsid w:val="00BD715A"/>
    <w:rsid w:val="00BE4864"/>
    <w:rsid w:val="00BF42B6"/>
    <w:rsid w:val="00C168C9"/>
    <w:rsid w:val="00C24CC7"/>
    <w:rsid w:val="00C40FF3"/>
    <w:rsid w:val="00C72945"/>
    <w:rsid w:val="00C745C0"/>
    <w:rsid w:val="00C7664D"/>
    <w:rsid w:val="00C82BFB"/>
    <w:rsid w:val="00C90B51"/>
    <w:rsid w:val="00C932F4"/>
    <w:rsid w:val="00CA2098"/>
    <w:rsid w:val="00CA6EF3"/>
    <w:rsid w:val="00CA7A1D"/>
    <w:rsid w:val="00CA7DBB"/>
    <w:rsid w:val="00CB60F1"/>
    <w:rsid w:val="00CC1D39"/>
    <w:rsid w:val="00CC2B0E"/>
    <w:rsid w:val="00CF2F61"/>
    <w:rsid w:val="00D01FB9"/>
    <w:rsid w:val="00D02324"/>
    <w:rsid w:val="00D07BD5"/>
    <w:rsid w:val="00D24D77"/>
    <w:rsid w:val="00D30AC8"/>
    <w:rsid w:val="00D34608"/>
    <w:rsid w:val="00D46CFD"/>
    <w:rsid w:val="00D55351"/>
    <w:rsid w:val="00D62CE6"/>
    <w:rsid w:val="00D7025B"/>
    <w:rsid w:val="00D70E6F"/>
    <w:rsid w:val="00D7232C"/>
    <w:rsid w:val="00D7448F"/>
    <w:rsid w:val="00D748E3"/>
    <w:rsid w:val="00D8301A"/>
    <w:rsid w:val="00DA3174"/>
    <w:rsid w:val="00DD4B41"/>
    <w:rsid w:val="00DF072E"/>
    <w:rsid w:val="00DF3B9C"/>
    <w:rsid w:val="00DF675B"/>
    <w:rsid w:val="00E0156F"/>
    <w:rsid w:val="00E14B44"/>
    <w:rsid w:val="00E15C30"/>
    <w:rsid w:val="00E15FE4"/>
    <w:rsid w:val="00E46AF0"/>
    <w:rsid w:val="00E52B6E"/>
    <w:rsid w:val="00E5661E"/>
    <w:rsid w:val="00E61980"/>
    <w:rsid w:val="00E61FD1"/>
    <w:rsid w:val="00E756C7"/>
    <w:rsid w:val="00E768D4"/>
    <w:rsid w:val="00E81893"/>
    <w:rsid w:val="00E849CD"/>
    <w:rsid w:val="00E87784"/>
    <w:rsid w:val="00E91865"/>
    <w:rsid w:val="00E95545"/>
    <w:rsid w:val="00EA5F51"/>
    <w:rsid w:val="00EA68FB"/>
    <w:rsid w:val="00EB340A"/>
    <w:rsid w:val="00EB5A21"/>
    <w:rsid w:val="00EE12E4"/>
    <w:rsid w:val="00EE3A41"/>
    <w:rsid w:val="00F028AF"/>
    <w:rsid w:val="00F10173"/>
    <w:rsid w:val="00F10F44"/>
    <w:rsid w:val="00F12991"/>
    <w:rsid w:val="00F20880"/>
    <w:rsid w:val="00F276FA"/>
    <w:rsid w:val="00F3041D"/>
    <w:rsid w:val="00F438AE"/>
    <w:rsid w:val="00F50C26"/>
    <w:rsid w:val="00F5182E"/>
    <w:rsid w:val="00F637EB"/>
    <w:rsid w:val="00F65106"/>
    <w:rsid w:val="00FA3157"/>
    <w:rsid w:val="00FA47BD"/>
    <w:rsid w:val="00FA5C28"/>
    <w:rsid w:val="00FB1C99"/>
    <w:rsid w:val="00FC04CE"/>
    <w:rsid w:val="00FE155D"/>
    <w:rsid w:val="00FF0014"/>
    <w:rsid w:val="00FF5F5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2E782"/>
  <w15:docId w15:val="{AA341B64-E2BF-474C-9E2E-79ACBAA8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ind w:firstLine="567"/>
      <w:jc w:val="both"/>
      <w:outlineLvl w:val="1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after="60"/>
      <w:ind w:firstLine="567"/>
      <w:jc w:val="both"/>
    </w:pPr>
    <w:rPr>
      <w:rFonts w:ascii="Arial" w:hAnsi="Arial" w:cs="Arial"/>
      <w:i/>
      <w:iCs/>
      <w:sz w:val="20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8A2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A215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EB34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34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34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3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340A"/>
    <w:rPr>
      <w:b/>
      <w:bCs/>
    </w:rPr>
  </w:style>
  <w:style w:type="table" w:styleId="Mkatabulky">
    <w:name w:val="Table Grid"/>
    <w:basedOn w:val="Normlntabulka"/>
    <w:rsid w:val="00D0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B257-63DE-4234-8AB9-A1F7EAF4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bruzek</dc:creator>
  <cp:lastModifiedBy>skapova8231</cp:lastModifiedBy>
  <cp:revision>38</cp:revision>
  <cp:lastPrinted>2021-04-22T11:31:00Z</cp:lastPrinted>
  <dcterms:created xsi:type="dcterms:W3CDTF">2021-05-26T05:55:00Z</dcterms:created>
  <dcterms:modified xsi:type="dcterms:W3CDTF">2021-05-27T11:55:00Z</dcterms:modified>
</cp:coreProperties>
</file>