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F8F72" w14:textId="3E111554" w:rsidR="00605D96" w:rsidRPr="00F204DA" w:rsidRDefault="00605D96" w:rsidP="00605D96">
      <w:pPr>
        <w:pStyle w:val="Nadpis1"/>
      </w:pPr>
      <w:bookmarkStart w:id="0" w:name="_Toc224903148"/>
      <w:r>
        <w:t>4</w:t>
      </w:r>
      <w:bookmarkStart w:id="1" w:name="_Toc19090679"/>
      <w:bookmarkStart w:id="2" w:name="_Toc74643856"/>
      <w:bookmarkStart w:id="3" w:name="_Toc42852411"/>
      <w:bookmarkStart w:id="4" w:name="_Toc74643857"/>
      <w:bookmarkEnd w:id="1"/>
      <w:r>
        <w:t>. Vnější vztahy</w:t>
      </w:r>
      <w:bookmarkEnd w:id="0"/>
    </w:p>
    <w:tbl>
      <w:tblPr>
        <w:tblW w:w="9677" w:type="dxa"/>
        <w:tblInd w:w="-15" w:type="dxa"/>
        <w:tblLayout w:type="fixed"/>
        <w:tblCellMar>
          <w:left w:w="0" w:type="dxa"/>
          <w:right w:w="0" w:type="dxa"/>
        </w:tblCellMar>
        <w:tblLook w:val="00A0" w:firstRow="1" w:lastRow="0" w:firstColumn="1" w:lastColumn="0" w:noHBand="0" w:noVBand="0"/>
      </w:tblPr>
      <w:tblGrid>
        <w:gridCol w:w="1748"/>
        <w:gridCol w:w="252"/>
        <w:gridCol w:w="2811"/>
        <w:gridCol w:w="57"/>
        <w:gridCol w:w="4809"/>
      </w:tblGrid>
      <w:tr w:rsidR="00605D96" w14:paraId="17C4FF81" w14:textId="77777777" w:rsidTr="008B207B">
        <w:trPr>
          <w:trHeight w:val="145"/>
        </w:trPr>
        <w:tc>
          <w:tcPr>
            <w:tcW w:w="1748" w:type="dxa"/>
            <w:hideMark/>
          </w:tcPr>
          <w:p w14:paraId="2BBEFEA7" w14:textId="77777777" w:rsidR="00605D96" w:rsidRDefault="00605D96" w:rsidP="008B207B">
            <w:pPr>
              <w:pStyle w:val="Marginlie"/>
              <w:rPr>
                <w:lang w:eastAsia="en-US"/>
              </w:rPr>
            </w:pPr>
            <w:r>
              <w:rPr>
                <w:lang w:eastAsia="en-US"/>
              </w:rPr>
              <w:t>Vývoz zboží loni vzrostl, ale jeho meziroční dynamika v průběhu roku slábla.</w:t>
            </w:r>
          </w:p>
        </w:tc>
        <w:tc>
          <w:tcPr>
            <w:tcW w:w="252" w:type="dxa"/>
          </w:tcPr>
          <w:p w14:paraId="593C186B" w14:textId="77777777" w:rsidR="00605D96" w:rsidRDefault="00605D96" w:rsidP="008B207B">
            <w:pPr>
              <w:pStyle w:val="Textpoznpodarou"/>
              <w:jc w:val="both"/>
              <w:rPr>
                <w:spacing w:val="-4"/>
                <w:lang w:eastAsia="en-US"/>
              </w:rPr>
            </w:pPr>
          </w:p>
        </w:tc>
        <w:tc>
          <w:tcPr>
            <w:tcW w:w="7677" w:type="dxa"/>
            <w:gridSpan w:val="3"/>
            <w:hideMark/>
          </w:tcPr>
          <w:p w14:paraId="7181B335" w14:textId="77777777" w:rsidR="00605D96" w:rsidRDefault="00605D96" w:rsidP="008B207B">
            <w:pPr>
              <w:spacing w:after="180"/>
              <w:rPr>
                <w:spacing w:val="-4"/>
                <w:lang w:eastAsia="en-US"/>
              </w:rPr>
            </w:pPr>
            <w:r>
              <w:rPr>
                <w:spacing w:val="-4"/>
                <w:lang w:eastAsia="en-US"/>
              </w:rPr>
              <w:t>Hodnota vývozu zboží</w:t>
            </w:r>
            <w:r>
              <w:rPr>
                <w:rStyle w:val="Znakapoznpodarou"/>
                <w:spacing w:val="-4"/>
                <w:lang w:eastAsia="en-US"/>
              </w:rPr>
              <w:footnoteReference w:id="1"/>
            </w:r>
            <w:r>
              <w:rPr>
                <w:spacing w:val="-4"/>
                <w:lang w:eastAsia="en-US"/>
              </w:rPr>
              <w:t xml:space="preserve"> v roce 2025 celkově dosáhla 4 789,5 mld. korun a oproti předchozímu roku se zvýšila o 126,4 mld. (2,7 %). Nominální přírůstek exportu byl mírnější než v roce 2024, zejména vlivem cenového vývoje</w:t>
            </w:r>
            <w:r>
              <w:rPr>
                <w:rStyle w:val="Znakapoznpodarou"/>
                <w:spacing w:val="-4"/>
                <w:lang w:eastAsia="en-US"/>
              </w:rPr>
              <w:footnoteReference w:id="2"/>
            </w:r>
            <w:r>
              <w:rPr>
                <w:spacing w:val="-4"/>
                <w:lang w:eastAsia="en-US"/>
              </w:rPr>
              <w:t>. Globální zahraniční obchod loni ovlivňovalo zavádění cel mezi Spojenými státy americkými a zbytkem světa. Silný impuls dostal export zejména na začátku roku</w:t>
            </w:r>
            <w:r>
              <w:rPr>
                <w:rStyle w:val="Znakapoznpodarou"/>
                <w:spacing w:val="-4"/>
                <w:lang w:eastAsia="en-US"/>
              </w:rPr>
              <w:footnoteReference w:id="3"/>
            </w:r>
            <w:r>
              <w:rPr>
                <w:spacing w:val="-4"/>
                <w:lang w:eastAsia="en-US"/>
              </w:rPr>
              <w:t xml:space="preserve"> a meziroční tempo pak v průběhu loňska sláblo. V samotném 4. čtvrtletí hodnota exportu celkem meziročně vzrostla o 1,7 mld. korun (0,1 %) a dosáhla 1 191,1 mld. Podle sezónně očištěných údajů hodnota exportu ve 4. čtvrtletí mezičtvrtletně stoupla o 1,5 %.</w:t>
            </w:r>
          </w:p>
        </w:tc>
      </w:tr>
      <w:tr w:rsidR="00605D96" w14:paraId="7B959E1A" w14:textId="77777777" w:rsidTr="008B207B">
        <w:trPr>
          <w:trHeight w:val="126"/>
        </w:trPr>
        <w:tc>
          <w:tcPr>
            <w:tcW w:w="1748" w:type="dxa"/>
            <w:vMerge w:val="restart"/>
          </w:tcPr>
          <w:p w14:paraId="7B8AA617" w14:textId="77777777" w:rsidR="00605D96" w:rsidRDefault="00605D96" w:rsidP="008B207B">
            <w:pPr>
              <w:pStyle w:val="Marginlie"/>
              <w:rPr>
                <w:lang w:eastAsia="en-US"/>
              </w:rPr>
            </w:pPr>
          </w:p>
        </w:tc>
        <w:tc>
          <w:tcPr>
            <w:tcW w:w="252" w:type="dxa"/>
            <w:vMerge w:val="restart"/>
          </w:tcPr>
          <w:p w14:paraId="1112C355" w14:textId="77777777" w:rsidR="00605D96" w:rsidRDefault="00605D96" w:rsidP="008B207B">
            <w:pPr>
              <w:pStyle w:val="Textpoznpodarou"/>
              <w:jc w:val="both"/>
              <w:rPr>
                <w:spacing w:val="-4"/>
                <w:lang w:eastAsia="en-US"/>
              </w:rPr>
            </w:pPr>
          </w:p>
        </w:tc>
        <w:tc>
          <w:tcPr>
            <w:tcW w:w="7677" w:type="dxa"/>
            <w:gridSpan w:val="3"/>
          </w:tcPr>
          <w:p w14:paraId="17DC5AD7" w14:textId="68DABC70" w:rsidR="00605D96" w:rsidRDefault="00605D96" w:rsidP="008B207B">
            <w:pPr>
              <w:spacing w:after="0"/>
              <w:rPr>
                <w:spacing w:val="-4"/>
                <w:lang w:eastAsia="en-US"/>
              </w:rPr>
            </w:pPr>
            <w:r>
              <w:rPr>
                <w:rFonts w:cs="Arial"/>
                <w:b/>
                <w:bCs/>
                <w:color w:val="000000"/>
                <w:szCs w:val="20"/>
                <w:lang w:eastAsia="en-US"/>
              </w:rPr>
              <w:t>Graf č. </w:t>
            </w:r>
            <w:r w:rsidR="00281666">
              <w:rPr>
                <w:rFonts w:cs="Arial"/>
                <w:b/>
                <w:bCs/>
                <w:color w:val="000000"/>
                <w:szCs w:val="20"/>
                <w:lang w:eastAsia="en-US"/>
              </w:rPr>
              <w:t>9</w:t>
            </w:r>
            <w:r>
              <w:rPr>
                <w:rFonts w:cs="Arial"/>
                <w:b/>
                <w:bCs/>
                <w:color w:val="000000"/>
                <w:szCs w:val="20"/>
                <w:lang w:eastAsia="en-US"/>
              </w:rPr>
              <w:t xml:space="preserve"> Vývoz a dovoz zboží </w:t>
            </w:r>
            <w:r>
              <w:rPr>
                <w:rFonts w:cs="Arial"/>
                <w:bCs/>
                <w:color w:val="000000"/>
                <w:szCs w:val="20"/>
                <w:lang w:eastAsia="en-US"/>
              </w:rPr>
              <w:t>(meziročně v %)</w:t>
            </w:r>
            <w:r>
              <w:rPr>
                <w:rFonts w:cs="Arial"/>
                <w:b/>
                <w:bCs/>
                <w:color w:val="000000"/>
                <w:szCs w:val="20"/>
                <w:lang w:eastAsia="en-US"/>
              </w:rPr>
              <w:t xml:space="preserve"> a bilance zahraničního obchodu se zbožím </w:t>
            </w:r>
            <w:r>
              <w:rPr>
                <w:rFonts w:cs="Arial"/>
                <w:bCs/>
                <w:color w:val="000000"/>
                <w:szCs w:val="20"/>
                <w:lang w:eastAsia="en-US"/>
              </w:rPr>
              <w:t>(v mld. korun, pravá osa)</w:t>
            </w:r>
            <w:r>
              <w:rPr>
                <w:rFonts w:cs="Arial"/>
                <w:b/>
                <w:bCs/>
                <w:color w:val="000000"/>
                <w:szCs w:val="20"/>
                <w:lang w:eastAsia="en-US"/>
              </w:rPr>
              <w:t xml:space="preserve"> </w:t>
            </w:r>
          </w:p>
        </w:tc>
      </w:tr>
      <w:tr w:rsidR="00605D96" w14:paraId="49AD35D1" w14:textId="77777777" w:rsidTr="008B207B">
        <w:trPr>
          <w:trHeight w:val="125"/>
        </w:trPr>
        <w:tc>
          <w:tcPr>
            <w:tcW w:w="1748" w:type="dxa"/>
            <w:vMerge/>
          </w:tcPr>
          <w:p w14:paraId="35DF4DE5" w14:textId="77777777" w:rsidR="00605D96" w:rsidRDefault="00605D96" w:rsidP="008B207B">
            <w:pPr>
              <w:pStyle w:val="Marginlie"/>
              <w:rPr>
                <w:lang w:eastAsia="en-US"/>
              </w:rPr>
            </w:pPr>
          </w:p>
        </w:tc>
        <w:tc>
          <w:tcPr>
            <w:tcW w:w="252" w:type="dxa"/>
            <w:vMerge/>
          </w:tcPr>
          <w:p w14:paraId="52BC2D2C" w14:textId="77777777" w:rsidR="00605D96" w:rsidRDefault="00605D96" w:rsidP="008B207B">
            <w:pPr>
              <w:pStyle w:val="Textpoznpodarou"/>
              <w:jc w:val="both"/>
              <w:rPr>
                <w:spacing w:val="-4"/>
                <w:lang w:eastAsia="en-US"/>
              </w:rPr>
            </w:pPr>
          </w:p>
        </w:tc>
        <w:tc>
          <w:tcPr>
            <w:tcW w:w="7677" w:type="dxa"/>
            <w:gridSpan w:val="3"/>
          </w:tcPr>
          <w:p w14:paraId="181DC8CE" w14:textId="77777777" w:rsidR="00605D96" w:rsidRDefault="00605D96" w:rsidP="008B207B">
            <w:pPr>
              <w:spacing w:after="0"/>
              <w:rPr>
                <w:spacing w:val="-4"/>
                <w:lang w:eastAsia="en-US"/>
              </w:rPr>
            </w:pPr>
            <w:r>
              <w:rPr>
                <w:noProof/>
              </w:rPr>
              <w:drawing>
                <wp:inline distT="0" distB="0" distL="0" distR="0" wp14:anchorId="5F3492F1" wp14:editId="7EF61EAF">
                  <wp:extent cx="4770000" cy="3540625"/>
                  <wp:effectExtent l="0" t="0" r="0" b="3175"/>
                  <wp:docPr id="1424913566" name="Graf 1">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605D96" w14:paraId="5D849FDE" w14:textId="77777777" w:rsidTr="008B207B">
        <w:trPr>
          <w:trHeight w:val="125"/>
        </w:trPr>
        <w:tc>
          <w:tcPr>
            <w:tcW w:w="1748" w:type="dxa"/>
            <w:vMerge/>
          </w:tcPr>
          <w:p w14:paraId="14F6687F" w14:textId="77777777" w:rsidR="00605D96" w:rsidRDefault="00605D96" w:rsidP="008B207B">
            <w:pPr>
              <w:pStyle w:val="Marginlie"/>
              <w:rPr>
                <w:lang w:eastAsia="en-US"/>
              </w:rPr>
            </w:pPr>
          </w:p>
        </w:tc>
        <w:tc>
          <w:tcPr>
            <w:tcW w:w="252" w:type="dxa"/>
            <w:vMerge/>
          </w:tcPr>
          <w:p w14:paraId="4C13943F" w14:textId="77777777" w:rsidR="00605D96" w:rsidRDefault="00605D96" w:rsidP="008B207B">
            <w:pPr>
              <w:pStyle w:val="Textpoznpodarou"/>
              <w:jc w:val="both"/>
              <w:rPr>
                <w:spacing w:val="-4"/>
                <w:lang w:eastAsia="en-US"/>
              </w:rPr>
            </w:pPr>
          </w:p>
        </w:tc>
        <w:tc>
          <w:tcPr>
            <w:tcW w:w="7677" w:type="dxa"/>
            <w:gridSpan w:val="3"/>
          </w:tcPr>
          <w:p w14:paraId="262B1300" w14:textId="77777777" w:rsidR="00605D96" w:rsidRDefault="00605D96" w:rsidP="008B207B">
            <w:pPr>
              <w:spacing w:after="180"/>
              <w:rPr>
                <w:spacing w:val="-4"/>
                <w:lang w:eastAsia="en-US"/>
              </w:rPr>
            </w:pPr>
            <w:r>
              <w:rPr>
                <w:sz w:val="16"/>
                <w:szCs w:val="16"/>
                <w:lang w:eastAsia="en-US"/>
              </w:rPr>
              <w:t>Zdroj: ČSÚ</w:t>
            </w:r>
          </w:p>
        </w:tc>
      </w:tr>
      <w:tr w:rsidR="00605D96" w14:paraId="2D3A14DE" w14:textId="77777777" w:rsidTr="008B207B">
        <w:trPr>
          <w:trHeight w:val="145"/>
        </w:trPr>
        <w:tc>
          <w:tcPr>
            <w:tcW w:w="1748" w:type="dxa"/>
          </w:tcPr>
          <w:p w14:paraId="43F602AE" w14:textId="77777777" w:rsidR="00605D96" w:rsidRDefault="00605D96" w:rsidP="008B207B">
            <w:pPr>
              <w:pStyle w:val="Marginlie"/>
              <w:rPr>
                <w:lang w:eastAsia="en-US"/>
              </w:rPr>
            </w:pPr>
            <w:r>
              <w:rPr>
                <w:lang w:eastAsia="en-US"/>
              </w:rPr>
              <w:t xml:space="preserve">Zpomalil růst exportu do některých </w:t>
            </w:r>
            <w:proofErr w:type="spellStart"/>
            <w:r>
              <w:rPr>
                <w:lang w:eastAsia="en-US"/>
              </w:rPr>
              <w:t>mimounijních</w:t>
            </w:r>
            <w:proofErr w:type="spellEnd"/>
            <w:r>
              <w:rPr>
                <w:lang w:eastAsia="en-US"/>
              </w:rPr>
              <w:t xml:space="preserve"> zemí.</w:t>
            </w:r>
          </w:p>
        </w:tc>
        <w:tc>
          <w:tcPr>
            <w:tcW w:w="252" w:type="dxa"/>
          </w:tcPr>
          <w:p w14:paraId="4FD1B0CA" w14:textId="77777777" w:rsidR="00605D96" w:rsidRDefault="00605D96" w:rsidP="008B207B">
            <w:pPr>
              <w:pStyle w:val="Textpoznpodarou"/>
              <w:jc w:val="both"/>
              <w:rPr>
                <w:spacing w:val="-4"/>
                <w:lang w:eastAsia="en-US"/>
              </w:rPr>
            </w:pPr>
          </w:p>
        </w:tc>
        <w:tc>
          <w:tcPr>
            <w:tcW w:w="7677" w:type="dxa"/>
            <w:gridSpan w:val="3"/>
          </w:tcPr>
          <w:p w14:paraId="3A781E95" w14:textId="77777777" w:rsidR="00605D96" w:rsidRDefault="00605D96" w:rsidP="008B207B">
            <w:pPr>
              <w:spacing w:after="180"/>
              <w:rPr>
                <w:spacing w:val="-4"/>
                <w:lang w:eastAsia="en-US"/>
              </w:rPr>
            </w:pPr>
            <w:r>
              <w:rPr>
                <w:spacing w:val="-4"/>
                <w:lang w:eastAsia="en-US"/>
              </w:rPr>
              <w:t xml:space="preserve">V loňském roce vzrostla hodnota exportu zboží do EU (+77,7 mld. korun, 2,1 %) i mimo Unii (+48,3 mld., 4,7 %). U </w:t>
            </w:r>
            <w:proofErr w:type="spellStart"/>
            <w:r>
              <w:rPr>
                <w:spacing w:val="-4"/>
                <w:lang w:eastAsia="en-US"/>
              </w:rPr>
              <w:t>mimounijního</w:t>
            </w:r>
            <w:proofErr w:type="spellEnd"/>
            <w:r>
              <w:rPr>
                <w:spacing w:val="-4"/>
                <w:lang w:eastAsia="en-US"/>
              </w:rPr>
              <w:t xml:space="preserve"> vývozu bylo ale patrné výrazné zpomalení přírůstku oproti předchozímu roku. Hlavní podíl na tomto zmírnění měl loni vývoj exportu do Spojených států amerických, Velké Británie a Singapuru. Na mohutná navýšení z roku 2024 zde totiž loni vývoz navázal stagnací</w:t>
            </w:r>
            <w:r>
              <w:rPr>
                <w:rStyle w:val="Znakapoznpodarou"/>
                <w:spacing w:val="-4"/>
                <w:lang w:eastAsia="en-US"/>
              </w:rPr>
              <w:footnoteReference w:id="4"/>
            </w:r>
            <w:r>
              <w:rPr>
                <w:spacing w:val="-4"/>
                <w:lang w:eastAsia="en-US"/>
              </w:rPr>
              <w:t xml:space="preserve">. Nejvíce se loni zvýšil export do Německa </w:t>
            </w:r>
            <w:r>
              <w:rPr>
                <w:spacing w:val="-4"/>
                <w:lang w:eastAsia="en-US"/>
              </w:rPr>
              <w:br/>
              <w:t xml:space="preserve">(+34,8 mld. korun, 2,5 %), na Slovensko (+13,6 mld., 3,2 %) a do Francie (+13,4 mld., </w:t>
            </w:r>
            <w:r>
              <w:rPr>
                <w:spacing w:val="-4"/>
                <w:lang w:eastAsia="en-US"/>
              </w:rPr>
              <w:br/>
              <w:t xml:space="preserve">6,0 %). Významné přírůstky byly zachyceny také u exportu do Turecka (+7,7 mld., 10,0 %), na Ukrajinu (+7,6 mld. korun, 16,9 %), do Dánska (+7,0 mld., 18,8 %), Rakouska (+6,9 mld., 3,9 %), Švédska (+6,2 mld., 9,0 %), Belgie (+6,3 mld., 6,1 %) a Švýcarska (+5,6 mld., </w:t>
            </w:r>
            <w:r>
              <w:rPr>
                <w:spacing w:val="-4"/>
                <w:lang w:eastAsia="en-US"/>
              </w:rPr>
              <w:br/>
            </w:r>
            <w:r>
              <w:rPr>
                <w:spacing w:val="-4"/>
                <w:lang w:eastAsia="en-US"/>
              </w:rPr>
              <w:lastRenderedPageBreak/>
              <w:t xml:space="preserve">7,2 %). K výraznému procentnímu navýšení exportu loni došlo také u Filipín </w:t>
            </w:r>
            <w:r>
              <w:rPr>
                <w:spacing w:val="-4"/>
                <w:lang w:eastAsia="en-US"/>
              </w:rPr>
              <w:br/>
              <w:t>(+1,1 mld. korun, 73,4 %) a Jižní Koreje (+4,8 mld., 38,0 %). Zaznamenané poklesy byly loni vesměs mírné a nejvýrazněji se loni snížil export do Nizozemska (−4,8 mld. korun, −3,2 %), Maďarska (−3,6 mld., −2,5 %) a Ruska (−3,4 mld., −23,3 %). V samotném 4. čtvrtletí meziročně stagnoval export do EU (+2,6 mld. korun, 0,3 %) i mimo Unii (−1,0 mld., −0,4 %). Příznivý vývoj vývozu do Francie, na Slovensko, do Švýcarska nebo Švédska (viz Tabulka č. 2) byl totiž kompenzován poklesy exportu do Polska, Spojených států amerických, Německa či Velké Británie.</w:t>
            </w:r>
          </w:p>
        </w:tc>
      </w:tr>
      <w:tr w:rsidR="00605D96" w14:paraId="5225B47A" w14:textId="77777777" w:rsidTr="008B207B">
        <w:trPr>
          <w:trHeight w:val="170"/>
        </w:trPr>
        <w:tc>
          <w:tcPr>
            <w:tcW w:w="4811" w:type="dxa"/>
            <w:gridSpan w:val="3"/>
            <w:hideMark/>
          </w:tcPr>
          <w:p w14:paraId="283F6137" w14:textId="77777777" w:rsidR="00605D96" w:rsidRDefault="00605D96" w:rsidP="008B207B">
            <w:pPr>
              <w:spacing w:after="0"/>
              <w:rPr>
                <w:rFonts w:cs="Arial"/>
                <w:b/>
                <w:bCs/>
                <w:color w:val="000000"/>
                <w:sz w:val="18"/>
                <w:szCs w:val="18"/>
                <w:lang w:eastAsia="en-US"/>
              </w:rPr>
            </w:pPr>
            <w:r>
              <w:rPr>
                <w:rFonts w:cs="Arial"/>
                <w:b/>
                <w:bCs/>
                <w:color w:val="000000"/>
                <w:sz w:val="18"/>
                <w:szCs w:val="18"/>
                <w:lang w:eastAsia="en-US"/>
              </w:rPr>
              <w:lastRenderedPageBreak/>
              <w:t xml:space="preserve">Tabulka č. 1 Oddíly klasifikace CPA s největším </w:t>
            </w:r>
          </w:p>
          <w:p w14:paraId="22814948" w14:textId="77777777" w:rsidR="00605D96" w:rsidRDefault="00605D96" w:rsidP="008B207B">
            <w:pPr>
              <w:spacing w:after="0"/>
              <w:jc w:val="left"/>
              <w:rPr>
                <w:spacing w:val="-4"/>
                <w:lang w:eastAsia="en-US"/>
              </w:rPr>
            </w:pPr>
            <w:r>
              <w:rPr>
                <w:rFonts w:cs="Arial"/>
                <w:b/>
                <w:bCs/>
                <w:color w:val="000000"/>
                <w:sz w:val="18"/>
                <w:szCs w:val="18"/>
                <w:lang w:eastAsia="en-US"/>
              </w:rPr>
              <w:t xml:space="preserve">vlivem na vývoj vývozu zboží ve 4. čtvrtletí 2025 </w:t>
            </w:r>
            <w:r>
              <w:rPr>
                <w:rFonts w:cs="Arial"/>
                <w:bCs/>
                <w:color w:val="000000"/>
                <w:sz w:val="18"/>
                <w:szCs w:val="18"/>
                <w:lang w:eastAsia="en-US"/>
              </w:rPr>
              <w:t>(meziročně)</w:t>
            </w:r>
          </w:p>
        </w:tc>
        <w:tc>
          <w:tcPr>
            <w:tcW w:w="57" w:type="dxa"/>
          </w:tcPr>
          <w:p w14:paraId="54E521E0" w14:textId="77777777" w:rsidR="00605D96" w:rsidRDefault="00605D96" w:rsidP="008B207B">
            <w:pPr>
              <w:spacing w:after="0"/>
              <w:rPr>
                <w:spacing w:val="-4"/>
                <w:lang w:eastAsia="en-US"/>
              </w:rPr>
            </w:pPr>
          </w:p>
        </w:tc>
        <w:tc>
          <w:tcPr>
            <w:tcW w:w="4809" w:type="dxa"/>
            <w:hideMark/>
          </w:tcPr>
          <w:p w14:paraId="75517C97" w14:textId="77777777" w:rsidR="00605D96" w:rsidRDefault="00605D96" w:rsidP="008B207B">
            <w:pPr>
              <w:spacing w:after="0"/>
              <w:jc w:val="left"/>
              <w:rPr>
                <w:spacing w:val="-4"/>
                <w:sz w:val="18"/>
                <w:szCs w:val="18"/>
                <w:lang w:eastAsia="en-US"/>
              </w:rPr>
            </w:pPr>
            <w:r>
              <w:rPr>
                <w:rFonts w:cs="Arial"/>
                <w:b/>
                <w:bCs/>
                <w:color w:val="000000"/>
                <w:sz w:val="18"/>
                <w:szCs w:val="18"/>
                <w:lang w:eastAsia="en-US"/>
              </w:rPr>
              <w:t xml:space="preserve">Tabulka č. 2 Země s největším vlivem na vývoj vývozu zboží ve 4. čtvrtletí 2025 </w:t>
            </w:r>
            <w:r>
              <w:rPr>
                <w:rFonts w:cs="Arial"/>
                <w:bCs/>
                <w:color w:val="000000"/>
                <w:sz w:val="18"/>
                <w:szCs w:val="18"/>
                <w:lang w:eastAsia="en-US"/>
              </w:rPr>
              <w:t>(meziročně)</w:t>
            </w:r>
          </w:p>
        </w:tc>
      </w:tr>
      <w:tr w:rsidR="00605D96" w14:paraId="5C069F6E" w14:textId="77777777" w:rsidTr="008B207B">
        <w:trPr>
          <w:trHeight w:val="170"/>
        </w:trPr>
        <w:tc>
          <w:tcPr>
            <w:tcW w:w="4811" w:type="dxa"/>
            <w:gridSpan w:val="3"/>
            <w:hideMark/>
          </w:tcPr>
          <w:tbl>
            <w:tblPr>
              <w:tblW w:w="4817" w:type="dxa"/>
              <w:tblLayout w:type="fixed"/>
              <w:tblCellMar>
                <w:left w:w="70" w:type="dxa"/>
                <w:right w:w="70" w:type="dxa"/>
              </w:tblCellMar>
              <w:tblLook w:val="04A0" w:firstRow="1" w:lastRow="0" w:firstColumn="1" w:lastColumn="0" w:noHBand="0" w:noVBand="1"/>
            </w:tblPr>
            <w:tblGrid>
              <w:gridCol w:w="3417"/>
              <w:gridCol w:w="700"/>
              <w:gridCol w:w="700"/>
            </w:tblGrid>
            <w:tr w:rsidR="00605D96" w:rsidRPr="00134180" w14:paraId="01E38AE2" w14:textId="77777777" w:rsidTr="008B207B">
              <w:trPr>
                <w:trHeight w:val="255"/>
              </w:trPr>
              <w:tc>
                <w:tcPr>
                  <w:tcW w:w="3417" w:type="dxa"/>
                  <w:tcBorders>
                    <w:top w:val="nil"/>
                    <w:left w:val="nil"/>
                    <w:bottom w:val="nil"/>
                    <w:right w:val="nil"/>
                  </w:tcBorders>
                  <w:noWrap/>
                  <w:vAlign w:val="bottom"/>
                  <w:hideMark/>
                </w:tcPr>
                <w:p w14:paraId="0B897D79" w14:textId="77777777" w:rsidR="00605D96" w:rsidRPr="00134180" w:rsidRDefault="00605D96" w:rsidP="008B207B">
                  <w:pPr>
                    <w:spacing w:after="0" w:line="240" w:lineRule="auto"/>
                    <w:jc w:val="left"/>
                    <w:rPr>
                      <w:rFonts w:ascii="Times New Roman" w:hAnsi="Times New Roman"/>
                      <w:sz w:val="24"/>
                      <w:szCs w:val="20"/>
                    </w:rPr>
                  </w:pPr>
                </w:p>
              </w:tc>
              <w:tc>
                <w:tcPr>
                  <w:tcW w:w="700" w:type="dxa"/>
                  <w:tcBorders>
                    <w:top w:val="nil"/>
                    <w:left w:val="nil"/>
                    <w:bottom w:val="nil"/>
                    <w:right w:val="nil"/>
                  </w:tcBorders>
                  <w:noWrap/>
                  <w:vAlign w:val="bottom"/>
                  <w:hideMark/>
                </w:tcPr>
                <w:p w14:paraId="349F3392"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mld. Kč</w:t>
                  </w:r>
                </w:p>
              </w:tc>
              <w:tc>
                <w:tcPr>
                  <w:tcW w:w="700" w:type="dxa"/>
                  <w:tcBorders>
                    <w:top w:val="nil"/>
                    <w:left w:val="nil"/>
                    <w:bottom w:val="nil"/>
                    <w:right w:val="nil"/>
                  </w:tcBorders>
                  <w:noWrap/>
                  <w:vAlign w:val="bottom"/>
                  <w:hideMark/>
                </w:tcPr>
                <w:p w14:paraId="5A8A2CBF"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w:t>
                  </w:r>
                </w:p>
              </w:tc>
            </w:tr>
            <w:tr w:rsidR="00605D96" w:rsidRPr="00134180" w14:paraId="6276F2FC" w14:textId="77777777" w:rsidTr="008B207B">
              <w:trPr>
                <w:trHeight w:val="255"/>
              </w:trPr>
              <w:tc>
                <w:tcPr>
                  <w:tcW w:w="3417" w:type="dxa"/>
                  <w:tcBorders>
                    <w:top w:val="single" w:sz="4" w:space="0" w:color="auto"/>
                    <w:left w:val="nil"/>
                    <w:bottom w:val="nil"/>
                    <w:right w:val="nil"/>
                  </w:tcBorders>
                  <w:vAlign w:val="bottom"/>
                  <w:hideMark/>
                </w:tcPr>
                <w:p w14:paraId="1153BE5F" w14:textId="77777777" w:rsidR="00605D96" w:rsidRPr="00134180" w:rsidRDefault="00605D96" w:rsidP="008B207B">
                  <w:pPr>
                    <w:spacing w:after="0" w:line="240" w:lineRule="auto"/>
                    <w:jc w:val="left"/>
                    <w:rPr>
                      <w:rFonts w:cs="Arial"/>
                      <w:color w:val="000000"/>
                      <w:sz w:val="16"/>
                      <w:szCs w:val="16"/>
                    </w:rPr>
                  </w:pPr>
                  <w:r w:rsidRPr="00134180">
                    <w:rPr>
                      <w:rFonts w:cs="Arial"/>
                      <w:color w:val="000000"/>
                      <w:sz w:val="16"/>
                      <w:szCs w:val="16"/>
                    </w:rPr>
                    <w:t>Stroje a zařízení j. n.</w:t>
                  </w:r>
                </w:p>
              </w:tc>
              <w:tc>
                <w:tcPr>
                  <w:tcW w:w="700" w:type="dxa"/>
                  <w:tcBorders>
                    <w:top w:val="single" w:sz="4" w:space="0" w:color="auto"/>
                    <w:left w:val="nil"/>
                    <w:bottom w:val="nil"/>
                    <w:right w:val="nil"/>
                  </w:tcBorders>
                  <w:noWrap/>
                  <w:vAlign w:val="bottom"/>
                  <w:hideMark/>
                </w:tcPr>
                <w:p w14:paraId="54BAF3D1"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+6,2</w:t>
                  </w:r>
                </w:p>
              </w:tc>
              <w:tc>
                <w:tcPr>
                  <w:tcW w:w="700" w:type="dxa"/>
                  <w:tcBorders>
                    <w:top w:val="single" w:sz="4" w:space="0" w:color="auto"/>
                    <w:left w:val="nil"/>
                    <w:bottom w:val="nil"/>
                    <w:right w:val="nil"/>
                  </w:tcBorders>
                  <w:noWrap/>
                  <w:vAlign w:val="bottom"/>
                  <w:hideMark/>
                </w:tcPr>
                <w:p w14:paraId="23287756"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+4,9</w:t>
                  </w:r>
                </w:p>
              </w:tc>
            </w:tr>
            <w:tr w:rsidR="00605D96" w:rsidRPr="00134180" w14:paraId="23AC15C1" w14:textId="77777777" w:rsidTr="008B207B">
              <w:trPr>
                <w:trHeight w:val="255"/>
              </w:trPr>
              <w:tc>
                <w:tcPr>
                  <w:tcW w:w="3417" w:type="dxa"/>
                  <w:tcBorders>
                    <w:top w:val="nil"/>
                    <w:left w:val="nil"/>
                    <w:bottom w:val="nil"/>
                    <w:right w:val="nil"/>
                  </w:tcBorders>
                  <w:vAlign w:val="bottom"/>
                  <w:hideMark/>
                </w:tcPr>
                <w:p w14:paraId="08549819" w14:textId="77777777" w:rsidR="00605D96" w:rsidRPr="00134180" w:rsidRDefault="00605D96" w:rsidP="008B207B">
                  <w:pPr>
                    <w:spacing w:after="0" w:line="240" w:lineRule="auto"/>
                    <w:jc w:val="left"/>
                    <w:rPr>
                      <w:rFonts w:cs="Arial"/>
                      <w:color w:val="000000"/>
                      <w:sz w:val="16"/>
                      <w:szCs w:val="16"/>
                    </w:rPr>
                  </w:pPr>
                  <w:r w:rsidRPr="00134180">
                    <w:rPr>
                      <w:rFonts w:cs="Arial"/>
                      <w:color w:val="000000"/>
                      <w:sz w:val="16"/>
                      <w:szCs w:val="16"/>
                    </w:rPr>
                    <w:t>Motorová vozidla (kromě motocyklů) a díly</w:t>
                  </w:r>
                </w:p>
              </w:tc>
              <w:tc>
                <w:tcPr>
                  <w:tcW w:w="700" w:type="dxa"/>
                  <w:tcBorders>
                    <w:top w:val="nil"/>
                    <w:left w:val="nil"/>
                    <w:bottom w:val="nil"/>
                    <w:right w:val="nil"/>
                  </w:tcBorders>
                  <w:noWrap/>
                  <w:vAlign w:val="bottom"/>
                  <w:hideMark/>
                </w:tcPr>
                <w:p w14:paraId="305BB5CC"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+5,1</w:t>
                  </w:r>
                </w:p>
              </w:tc>
              <w:tc>
                <w:tcPr>
                  <w:tcW w:w="700" w:type="dxa"/>
                  <w:tcBorders>
                    <w:top w:val="nil"/>
                    <w:left w:val="nil"/>
                    <w:bottom w:val="nil"/>
                    <w:right w:val="nil"/>
                  </w:tcBorders>
                  <w:noWrap/>
                  <w:vAlign w:val="bottom"/>
                  <w:hideMark/>
                </w:tcPr>
                <w:p w14:paraId="495A2E39"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+1,6</w:t>
                  </w:r>
                </w:p>
              </w:tc>
            </w:tr>
            <w:tr w:rsidR="00605D96" w:rsidRPr="00134180" w14:paraId="0DCE7762" w14:textId="77777777" w:rsidTr="008B207B">
              <w:trPr>
                <w:trHeight w:val="255"/>
              </w:trPr>
              <w:tc>
                <w:tcPr>
                  <w:tcW w:w="3417" w:type="dxa"/>
                  <w:tcBorders>
                    <w:top w:val="nil"/>
                    <w:left w:val="nil"/>
                    <w:bottom w:val="nil"/>
                    <w:right w:val="nil"/>
                  </w:tcBorders>
                  <w:vAlign w:val="bottom"/>
                  <w:hideMark/>
                </w:tcPr>
                <w:p w14:paraId="1BCB46D0" w14:textId="77777777" w:rsidR="00605D96" w:rsidRPr="00134180" w:rsidRDefault="00605D96" w:rsidP="008B207B">
                  <w:pPr>
                    <w:spacing w:after="0" w:line="240" w:lineRule="auto"/>
                    <w:jc w:val="left"/>
                    <w:rPr>
                      <w:rFonts w:cs="Arial"/>
                      <w:color w:val="000000"/>
                      <w:sz w:val="16"/>
                      <w:szCs w:val="16"/>
                    </w:rPr>
                  </w:pPr>
                  <w:r w:rsidRPr="00134180">
                    <w:rPr>
                      <w:rFonts w:cs="Arial"/>
                      <w:color w:val="000000"/>
                      <w:sz w:val="16"/>
                      <w:szCs w:val="16"/>
                    </w:rPr>
                    <w:t>Ropa a zemní plyn</w:t>
                  </w:r>
                </w:p>
              </w:tc>
              <w:tc>
                <w:tcPr>
                  <w:tcW w:w="700" w:type="dxa"/>
                  <w:tcBorders>
                    <w:top w:val="nil"/>
                    <w:left w:val="nil"/>
                    <w:bottom w:val="nil"/>
                    <w:right w:val="nil"/>
                  </w:tcBorders>
                  <w:noWrap/>
                  <w:vAlign w:val="bottom"/>
                  <w:hideMark/>
                </w:tcPr>
                <w:p w14:paraId="606847CB"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+2,5</w:t>
                  </w:r>
                </w:p>
              </w:tc>
              <w:tc>
                <w:tcPr>
                  <w:tcW w:w="700" w:type="dxa"/>
                  <w:tcBorders>
                    <w:top w:val="nil"/>
                    <w:left w:val="nil"/>
                    <w:bottom w:val="nil"/>
                    <w:right w:val="nil"/>
                  </w:tcBorders>
                  <w:noWrap/>
                  <w:vAlign w:val="bottom"/>
                  <w:hideMark/>
                </w:tcPr>
                <w:p w14:paraId="1B97135C"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+943,7</w:t>
                  </w:r>
                </w:p>
              </w:tc>
            </w:tr>
            <w:tr w:rsidR="00605D96" w:rsidRPr="00134180" w14:paraId="2B202369" w14:textId="77777777" w:rsidTr="008B207B">
              <w:trPr>
                <w:trHeight w:val="255"/>
              </w:trPr>
              <w:tc>
                <w:tcPr>
                  <w:tcW w:w="3417" w:type="dxa"/>
                  <w:tcBorders>
                    <w:top w:val="nil"/>
                    <w:left w:val="nil"/>
                    <w:bottom w:val="nil"/>
                    <w:right w:val="nil"/>
                  </w:tcBorders>
                  <w:vAlign w:val="bottom"/>
                  <w:hideMark/>
                </w:tcPr>
                <w:p w14:paraId="44C69E9A" w14:textId="77777777" w:rsidR="00605D96" w:rsidRPr="00134180" w:rsidRDefault="00605D96" w:rsidP="008B207B">
                  <w:pPr>
                    <w:spacing w:after="0" w:line="240" w:lineRule="auto"/>
                    <w:jc w:val="left"/>
                    <w:rPr>
                      <w:rFonts w:cs="Arial"/>
                      <w:color w:val="000000"/>
                      <w:sz w:val="16"/>
                      <w:szCs w:val="16"/>
                    </w:rPr>
                  </w:pPr>
                  <w:r w:rsidRPr="00134180">
                    <w:rPr>
                      <w:rFonts w:cs="Arial"/>
                      <w:color w:val="000000"/>
                      <w:sz w:val="16"/>
                      <w:szCs w:val="16"/>
                    </w:rPr>
                    <w:t>Základní farmaceutické výrobky a přípravky</w:t>
                  </w:r>
                </w:p>
              </w:tc>
              <w:tc>
                <w:tcPr>
                  <w:tcW w:w="700" w:type="dxa"/>
                  <w:tcBorders>
                    <w:top w:val="nil"/>
                    <w:left w:val="nil"/>
                    <w:bottom w:val="nil"/>
                    <w:right w:val="nil"/>
                  </w:tcBorders>
                  <w:noWrap/>
                  <w:vAlign w:val="bottom"/>
                  <w:hideMark/>
                </w:tcPr>
                <w:p w14:paraId="12BF5609"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+1,8</w:t>
                  </w:r>
                </w:p>
              </w:tc>
              <w:tc>
                <w:tcPr>
                  <w:tcW w:w="700" w:type="dxa"/>
                  <w:tcBorders>
                    <w:top w:val="nil"/>
                    <w:left w:val="nil"/>
                    <w:bottom w:val="nil"/>
                    <w:right w:val="nil"/>
                  </w:tcBorders>
                  <w:noWrap/>
                  <w:vAlign w:val="bottom"/>
                  <w:hideMark/>
                </w:tcPr>
                <w:p w14:paraId="515453D0"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+10,4</w:t>
                  </w:r>
                </w:p>
              </w:tc>
            </w:tr>
            <w:tr w:rsidR="00605D96" w:rsidRPr="00134180" w14:paraId="14710B83" w14:textId="77777777" w:rsidTr="008B207B">
              <w:trPr>
                <w:trHeight w:val="255"/>
              </w:trPr>
              <w:tc>
                <w:tcPr>
                  <w:tcW w:w="3417" w:type="dxa"/>
                  <w:tcBorders>
                    <w:top w:val="nil"/>
                    <w:left w:val="nil"/>
                    <w:bottom w:val="nil"/>
                    <w:right w:val="nil"/>
                  </w:tcBorders>
                  <w:vAlign w:val="bottom"/>
                  <w:hideMark/>
                </w:tcPr>
                <w:p w14:paraId="0AFB4C9D" w14:textId="77777777" w:rsidR="00605D96" w:rsidRPr="00134180" w:rsidRDefault="00605D96" w:rsidP="008B207B">
                  <w:pPr>
                    <w:spacing w:after="0" w:line="240" w:lineRule="auto"/>
                    <w:jc w:val="left"/>
                    <w:rPr>
                      <w:rFonts w:cs="Arial"/>
                      <w:color w:val="000000"/>
                      <w:sz w:val="16"/>
                      <w:szCs w:val="16"/>
                    </w:rPr>
                  </w:pPr>
                  <w:r w:rsidRPr="00134180">
                    <w:rPr>
                      <w:rFonts w:cs="Arial"/>
                      <w:color w:val="000000"/>
                      <w:sz w:val="16"/>
                      <w:szCs w:val="16"/>
                    </w:rPr>
                    <w:t>Ostatní dopravní prostředky a zařízení</w:t>
                  </w:r>
                </w:p>
              </w:tc>
              <w:tc>
                <w:tcPr>
                  <w:tcW w:w="700" w:type="dxa"/>
                  <w:tcBorders>
                    <w:top w:val="nil"/>
                    <w:left w:val="nil"/>
                    <w:bottom w:val="nil"/>
                    <w:right w:val="nil"/>
                  </w:tcBorders>
                  <w:noWrap/>
                  <w:vAlign w:val="bottom"/>
                  <w:hideMark/>
                </w:tcPr>
                <w:p w14:paraId="65B6D1DD"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+1,4</w:t>
                  </w:r>
                </w:p>
              </w:tc>
              <w:tc>
                <w:tcPr>
                  <w:tcW w:w="700" w:type="dxa"/>
                  <w:tcBorders>
                    <w:top w:val="nil"/>
                    <w:left w:val="nil"/>
                    <w:bottom w:val="nil"/>
                    <w:right w:val="nil"/>
                  </w:tcBorders>
                  <w:noWrap/>
                  <w:vAlign w:val="bottom"/>
                  <w:hideMark/>
                </w:tcPr>
                <w:p w14:paraId="319DF948"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+6,4</w:t>
                  </w:r>
                </w:p>
              </w:tc>
            </w:tr>
            <w:tr w:rsidR="00605D96" w:rsidRPr="00134180" w14:paraId="3000E177" w14:textId="77777777" w:rsidTr="008B207B">
              <w:trPr>
                <w:trHeight w:val="255"/>
              </w:trPr>
              <w:tc>
                <w:tcPr>
                  <w:tcW w:w="3417" w:type="dxa"/>
                  <w:tcBorders>
                    <w:top w:val="nil"/>
                    <w:left w:val="nil"/>
                    <w:bottom w:val="nil"/>
                    <w:right w:val="nil"/>
                  </w:tcBorders>
                  <w:vAlign w:val="bottom"/>
                  <w:hideMark/>
                </w:tcPr>
                <w:p w14:paraId="4FD35796" w14:textId="77777777" w:rsidR="00605D96" w:rsidRPr="00134180" w:rsidRDefault="00605D96" w:rsidP="008B207B">
                  <w:pPr>
                    <w:spacing w:after="0" w:line="240" w:lineRule="auto"/>
                    <w:jc w:val="left"/>
                    <w:rPr>
                      <w:rFonts w:cs="Arial"/>
                      <w:color w:val="000000"/>
                      <w:sz w:val="16"/>
                      <w:szCs w:val="16"/>
                    </w:rPr>
                  </w:pPr>
                  <w:r w:rsidRPr="00134180">
                    <w:rPr>
                      <w:rFonts w:cs="Arial"/>
                      <w:color w:val="000000"/>
                      <w:sz w:val="16"/>
                      <w:szCs w:val="16"/>
                    </w:rPr>
                    <w:t>Základní kovy</w:t>
                  </w:r>
                </w:p>
              </w:tc>
              <w:tc>
                <w:tcPr>
                  <w:tcW w:w="700" w:type="dxa"/>
                  <w:tcBorders>
                    <w:top w:val="nil"/>
                    <w:left w:val="nil"/>
                    <w:bottom w:val="nil"/>
                    <w:right w:val="nil"/>
                  </w:tcBorders>
                  <w:noWrap/>
                  <w:vAlign w:val="bottom"/>
                  <w:hideMark/>
                </w:tcPr>
                <w:p w14:paraId="79D3FBC4"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+1,2</w:t>
                  </w:r>
                </w:p>
              </w:tc>
              <w:tc>
                <w:tcPr>
                  <w:tcW w:w="700" w:type="dxa"/>
                  <w:tcBorders>
                    <w:top w:val="nil"/>
                    <w:left w:val="nil"/>
                    <w:bottom w:val="nil"/>
                    <w:right w:val="nil"/>
                  </w:tcBorders>
                  <w:noWrap/>
                  <w:vAlign w:val="bottom"/>
                  <w:hideMark/>
                </w:tcPr>
                <w:p w14:paraId="546E8C15"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+3,6</w:t>
                  </w:r>
                </w:p>
              </w:tc>
            </w:tr>
            <w:tr w:rsidR="00605D96" w:rsidRPr="00134180" w14:paraId="26981130" w14:textId="77777777" w:rsidTr="008B207B">
              <w:trPr>
                <w:trHeight w:val="255"/>
              </w:trPr>
              <w:tc>
                <w:tcPr>
                  <w:tcW w:w="3417" w:type="dxa"/>
                  <w:tcBorders>
                    <w:top w:val="nil"/>
                    <w:left w:val="nil"/>
                    <w:bottom w:val="nil"/>
                    <w:right w:val="nil"/>
                  </w:tcBorders>
                  <w:vAlign w:val="bottom"/>
                  <w:hideMark/>
                </w:tcPr>
                <w:p w14:paraId="2CD651EC" w14:textId="77777777" w:rsidR="00605D96" w:rsidRPr="00134180" w:rsidRDefault="00605D96" w:rsidP="008B207B">
                  <w:pPr>
                    <w:spacing w:after="0" w:line="240" w:lineRule="auto"/>
                    <w:jc w:val="left"/>
                    <w:rPr>
                      <w:rFonts w:cs="Arial"/>
                      <w:color w:val="000000"/>
                      <w:sz w:val="16"/>
                      <w:szCs w:val="16"/>
                    </w:rPr>
                  </w:pPr>
                  <w:r w:rsidRPr="00134180">
                    <w:rPr>
                      <w:rFonts w:cs="Arial"/>
                      <w:color w:val="000000"/>
                      <w:sz w:val="16"/>
                      <w:szCs w:val="16"/>
                    </w:rPr>
                    <w:t>Potravinářské výrobky</w:t>
                  </w:r>
                </w:p>
              </w:tc>
              <w:tc>
                <w:tcPr>
                  <w:tcW w:w="700" w:type="dxa"/>
                  <w:tcBorders>
                    <w:top w:val="nil"/>
                    <w:left w:val="nil"/>
                    <w:bottom w:val="nil"/>
                    <w:right w:val="nil"/>
                  </w:tcBorders>
                  <w:noWrap/>
                  <w:vAlign w:val="bottom"/>
                  <w:hideMark/>
                </w:tcPr>
                <w:p w14:paraId="35118D59"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+1,1</w:t>
                  </w:r>
                </w:p>
              </w:tc>
              <w:tc>
                <w:tcPr>
                  <w:tcW w:w="700" w:type="dxa"/>
                  <w:tcBorders>
                    <w:top w:val="nil"/>
                    <w:left w:val="nil"/>
                    <w:bottom w:val="nil"/>
                    <w:right w:val="nil"/>
                  </w:tcBorders>
                  <w:noWrap/>
                  <w:vAlign w:val="bottom"/>
                  <w:hideMark/>
                </w:tcPr>
                <w:p w14:paraId="7D685529"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+2,2</w:t>
                  </w:r>
                </w:p>
              </w:tc>
            </w:tr>
            <w:tr w:rsidR="00605D96" w:rsidRPr="00134180" w14:paraId="4CCE2AEC" w14:textId="77777777" w:rsidTr="008B207B">
              <w:trPr>
                <w:trHeight w:val="255"/>
              </w:trPr>
              <w:tc>
                <w:tcPr>
                  <w:tcW w:w="3417" w:type="dxa"/>
                  <w:tcBorders>
                    <w:top w:val="nil"/>
                    <w:left w:val="nil"/>
                    <w:bottom w:val="nil"/>
                    <w:right w:val="nil"/>
                  </w:tcBorders>
                  <w:vAlign w:val="bottom"/>
                  <w:hideMark/>
                </w:tcPr>
                <w:p w14:paraId="32D82BB1" w14:textId="77777777" w:rsidR="00605D96" w:rsidRPr="00134180" w:rsidRDefault="00605D96" w:rsidP="008B207B">
                  <w:pPr>
                    <w:spacing w:after="0" w:line="240" w:lineRule="auto"/>
                    <w:jc w:val="left"/>
                    <w:rPr>
                      <w:rFonts w:cs="Arial"/>
                      <w:color w:val="000000"/>
                      <w:sz w:val="16"/>
                      <w:szCs w:val="16"/>
                    </w:rPr>
                  </w:pPr>
                  <w:r w:rsidRPr="00134180">
                    <w:rPr>
                      <w:rFonts w:cs="Arial"/>
                      <w:color w:val="000000"/>
                      <w:sz w:val="16"/>
                      <w:szCs w:val="16"/>
                    </w:rPr>
                    <w:t xml:space="preserve">Počítače, elektron. a </w:t>
                  </w:r>
                  <w:proofErr w:type="spellStart"/>
                  <w:r w:rsidRPr="00134180">
                    <w:rPr>
                      <w:rFonts w:cs="Arial"/>
                      <w:color w:val="000000"/>
                      <w:sz w:val="16"/>
                      <w:szCs w:val="16"/>
                    </w:rPr>
                    <w:t>opt</w:t>
                  </w:r>
                  <w:proofErr w:type="spellEnd"/>
                  <w:r w:rsidRPr="00134180">
                    <w:rPr>
                      <w:rFonts w:cs="Arial"/>
                      <w:color w:val="000000"/>
                      <w:sz w:val="16"/>
                      <w:szCs w:val="16"/>
                    </w:rPr>
                    <w:t>. přístroje a zařízení</w:t>
                  </w:r>
                </w:p>
              </w:tc>
              <w:tc>
                <w:tcPr>
                  <w:tcW w:w="700" w:type="dxa"/>
                  <w:tcBorders>
                    <w:top w:val="nil"/>
                    <w:left w:val="nil"/>
                    <w:bottom w:val="nil"/>
                    <w:right w:val="nil"/>
                  </w:tcBorders>
                  <w:noWrap/>
                  <w:vAlign w:val="bottom"/>
                  <w:hideMark/>
                </w:tcPr>
                <w:p w14:paraId="2A10E331"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+1,0</w:t>
                  </w:r>
                </w:p>
              </w:tc>
              <w:tc>
                <w:tcPr>
                  <w:tcW w:w="700" w:type="dxa"/>
                  <w:tcBorders>
                    <w:top w:val="nil"/>
                    <w:left w:val="nil"/>
                    <w:bottom w:val="nil"/>
                    <w:right w:val="nil"/>
                  </w:tcBorders>
                  <w:noWrap/>
                  <w:vAlign w:val="bottom"/>
                  <w:hideMark/>
                </w:tcPr>
                <w:p w14:paraId="64E8A9FD"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+0,8</w:t>
                  </w:r>
                </w:p>
              </w:tc>
            </w:tr>
            <w:tr w:rsidR="00605D96" w:rsidRPr="00134180" w14:paraId="7F413938" w14:textId="77777777" w:rsidTr="008B207B">
              <w:trPr>
                <w:trHeight w:val="255"/>
              </w:trPr>
              <w:tc>
                <w:tcPr>
                  <w:tcW w:w="3417" w:type="dxa"/>
                  <w:tcBorders>
                    <w:top w:val="nil"/>
                    <w:left w:val="nil"/>
                    <w:bottom w:val="nil"/>
                    <w:right w:val="nil"/>
                  </w:tcBorders>
                  <w:vAlign w:val="bottom"/>
                  <w:hideMark/>
                </w:tcPr>
                <w:p w14:paraId="1C517BAD" w14:textId="77777777" w:rsidR="00605D96" w:rsidRPr="00134180" w:rsidRDefault="00605D96" w:rsidP="008B207B">
                  <w:pPr>
                    <w:spacing w:after="0" w:line="240" w:lineRule="auto"/>
                    <w:jc w:val="left"/>
                    <w:rPr>
                      <w:rFonts w:cs="Arial"/>
                      <w:color w:val="000000"/>
                      <w:sz w:val="16"/>
                      <w:szCs w:val="16"/>
                    </w:rPr>
                  </w:pPr>
                  <w:r w:rsidRPr="00134180">
                    <w:rPr>
                      <w:rFonts w:cs="Arial"/>
                      <w:color w:val="000000"/>
                      <w:sz w:val="16"/>
                      <w:szCs w:val="16"/>
                    </w:rPr>
                    <w:t>Nábytek</w:t>
                  </w:r>
                </w:p>
              </w:tc>
              <w:tc>
                <w:tcPr>
                  <w:tcW w:w="700" w:type="dxa"/>
                  <w:tcBorders>
                    <w:top w:val="nil"/>
                    <w:left w:val="nil"/>
                    <w:bottom w:val="nil"/>
                    <w:right w:val="nil"/>
                  </w:tcBorders>
                  <w:noWrap/>
                  <w:vAlign w:val="bottom"/>
                  <w:hideMark/>
                </w:tcPr>
                <w:p w14:paraId="7D024A73" w14:textId="77777777" w:rsidR="00605D96" w:rsidRPr="00134180" w:rsidRDefault="00605D96" w:rsidP="008B207B">
                  <w:pPr>
                    <w:spacing w:after="0" w:line="240" w:lineRule="auto"/>
                    <w:jc w:val="right"/>
                    <w:rPr>
                      <w:rFonts w:cs="Arial"/>
                      <w:color w:val="000000"/>
                      <w:sz w:val="16"/>
                      <w:szCs w:val="16"/>
                    </w:rPr>
                  </w:pPr>
                  <w:r>
                    <w:rPr>
                      <w:rFonts w:cs="Arial"/>
                      <w:color w:val="000000"/>
                      <w:sz w:val="16"/>
                      <w:szCs w:val="16"/>
                    </w:rPr>
                    <w:t>−</w:t>
                  </w:r>
                  <w:r w:rsidRPr="00134180">
                    <w:rPr>
                      <w:rFonts w:cs="Arial"/>
                      <w:color w:val="000000"/>
                      <w:sz w:val="16"/>
                      <w:szCs w:val="16"/>
                    </w:rPr>
                    <w:t>1,1</w:t>
                  </w:r>
                </w:p>
              </w:tc>
              <w:tc>
                <w:tcPr>
                  <w:tcW w:w="700" w:type="dxa"/>
                  <w:tcBorders>
                    <w:top w:val="nil"/>
                    <w:left w:val="nil"/>
                    <w:bottom w:val="nil"/>
                    <w:right w:val="nil"/>
                  </w:tcBorders>
                  <w:noWrap/>
                  <w:vAlign w:val="bottom"/>
                  <w:hideMark/>
                </w:tcPr>
                <w:p w14:paraId="5BEF1D3B" w14:textId="77777777" w:rsidR="00605D96" w:rsidRPr="00134180" w:rsidRDefault="00605D96" w:rsidP="008B207B">
                  <w:pPr>
                    <w:spacing w:after="0" w:line="240" w:lineRule="auto"/>
                    <w:jc w:val="right"/>
                    <w:rPr>
                      <w:rFonts w:cs="Arial"/>
                      <w:color w:val="000000"/>
                      <w:sz w:val="16"/>
                      <w:szCs w:val="16"/>
                    </w:rPr>
                  </w:pPr>
                  <w:r>
                    <w:rPr>
                      <w:rFonts w:cs="Arial"/>
                      <w:color w:val="000000"/>
                      <w:sz w:val="16"/>
                      <w:szCs w:val="16"/>
                    </w:rPr>
                    <w:t>−</w:t>
                  </w:r>
                  <w:r w:rsidRPr="00134180">
                    <w:rPr>
                      <w:rFonts w:cs="Arial"/>
                      <w:color w:val="000000"/>
                      <w:sz w:val="16"/>
                      <w:szCs w:val="16"/>
                    </w:rPr>
                    <w:t>12,8</w:t>
                  </w:r>
                </w:p>
              </w:tc>
            </w:tr>
            <w:tr w:rsidR="00605D96" w:rsidRPr="00134180" w14:paraId="61FB44AE" w14:textId="77777777" w:rsidTr="008B207B">
              <w:trPr>
                <w:trHeight w:val="255"/>
              </w:trPr>
              <w:tc>
                <w:tcPr>
                  <w:tcW w:w="3417" w:type="dxa"/>
                  <w:tcBorders>
                    <w:top w:val="nil"/>
                    <w:left w:val="nil"/>
                    <w:bottom w:val="nil"/>
                    <w:right w:val="nil"/>
                  </w:tcBorders>
                  <w:vAlign w:val="bottom"/>
                  <w:hideMark/>
                </w:tcPr>
                <w:p w14:paraId="043D22EB" w14:textId="77777777" w:rsidR="00605D96" w:rsidRPr="00134180" w:rsidRDefault="00605D96" w:rsidP="008B207B">
                  <w:pPr>
                    <w:spacing w:after="0" w:line="240" w:lineRule="auto"/>
                    <w:jc w:val="left"/>
                    <w:rPr>
                      <w:rFonts w:cs="Arial"/>
                      <w:color w:val="000000"/>
                      <w:sz w:val="16"/>
                      <w:szCs w:val="16"/>
                    </w:rPr>
                  </w:pPr>
                  <w:r w:rsidRPr="00134180">
                    <w:rPr>
                      <w:rFonts w:cs="Arial"/>
                      <w:color w:val="000000"/>
                      <w:sz w:val="16"/>
                      <w:szCs w:val="16"/>
                    </w:rPr>
                    <w:t>Ostatní nekovové minerální výrobky</w:t>
                  </w:r>
                </w:p>
              </w:tc>
              <w:tc>
                <w:tcPr>
                  <w:tcW w:w="700" w:type="dxa"/>
                  <w:tcBorders>
                    <w:top w:val="nil"/>
                    <w:left w:val="nil"/>
                    <w:bottom w:val="nil"/>
                    <w:right w:val="nil"/>
                  </w:tcBorders>
                  <w:noWrap/>
                  <w:vAlign w:val="bottom"/>
                  <w:hideMark/>
                </w:tcPr>
                <w:p w14:paraId="3871315E" w14:textId="77777777" w:rsidR="00605D96" w:rsidRPr="00134180" w:rsidRDefault="00605D96" w:rsidP="008B207B">
                  <w:pPr>
                    <w:spacing w:after="0" w:line="240" w:lineRule="auto"/>
                    <w:jc w:val="right"/>
                    <w:rPr>
                      <w:rFonts w:cs="Arial"/>
                      <w:color w:val="000000"/>
                      <w:sz w:val="16"/>
                      <w:szCs w:val="16"/>
                    </w:rPr>
                  </w:pPr>
                  <w:r>
                    <w:rPr>
                      <w:rFonts w:cs="Arial"/>
                      <w:color w:val="000000"/>
                      <w:sz w:val="16"/>
                      <w:szCs w:val="16"/>
                    </w:rPr>
                    <w:t>−</w:t>
                  </w:r>
                  <w:r w:rsidRPr="00134180">
                    <w:rPr>
                      <w:rFonts w:cs="Arial"/>
                      <w:color w:val="000000"/>
                      <w:sz w:val="16"/>
                      <w:szCs w:val="16"/>
                    </w:rPr>
                    <w:t>1,1</w:t>
                  </w:r>
                </w:p>
              </w:tc>
              <w:tc>
                <w:tcPr>
                  <w:tcW w:w="700" w:type="dxa"/>
                  <w:tcBorders>
                    <w:top w:val="nil"/>
                    <w:left w:val="nil"/>
                    <w:bottom w:val="nil"/>
                    <w:right w:val="nil"/>
                  </w:tcBorders>
                  <w:noWrap/>
                  <w:vAlign w:val="bottom"/>
                  <w:hideMark/>
                </w:tcPr>
                <w:p w14:paraId="697FAC20" w14:textId="77777777" w:rsidR="00605D96" w:rsidRPr="00134180" w:rsidRDefault="00605D96" w:rsidP="008B207B">
                  <w:pPr>
                    <w:spacing w:after="0" w:line="240" w:lineRule="auto"/>
                    <w:jc w:val="right"/>
                    <w:rPr>
                      <w:rFonts w:cs="Arial"/>
                      <w:color w:val="000000"/>
                      <w:sz w:val="16"/>
                      <w:szCs w:val="16"/>
                    </w:rPr>
                  </w:pPr>
                  <w:r>
                    <w:rPr>
                      <w:rFonts w:cs="Arial"/>
                      <w:color w:val="000000"/>
                      <w:sz w:val="16"/>
                      <w:szCs w:val="16"/>
                    </w:rPr>
                    <w:t>−</w:t>
                  </w:r>
                  <w:r w:rsidRPr="00134180">
                    <w:rPr>
                      <w:rFonts w:cs="Arial"/>
                      <w:color w:val="000000"/>
                      <w:sz w:val="16"/>
                      <w:szCs w:val="16"/>
                    </w:rPr>
                    <w:t>5,6</w:t>
                  </w:r>
                </w:p>
              </w:tc>
            </w:tr>
            <w:tr w:rsidR="00605D96" w:rsidRPr="00134180" w14:paraId="667FC939" w14:textId="77777777" w:rsidTr="008B207B">
              <w:trPr>
                <w:trHeight w:val="255"/>
              </w:trPr>
              <w:tc>
                <w:tcPr>
                  <w:tcW w:w="3417" w:type="dxa"/>
                  <w:tcBorders>
                    <w:top w:val="nil"/>
                    <w:left w:val="nil"/>
                    <w:bottom w:val="nil"/>
                    <w:right w:val="nil"/>
                  </w:tcBorders>
                  <w:vAlign w:val="bottom"/>
                  <w:hideMark/>
                </w:tcPr>
                <w:p w14:paraId="7F86A71E" w14:textId="77777777" w:rsidR="00605D96" w:rsidRPr="00134180" w:rsidRDefault="00605D96" w:rsidP="008B207B">
                  <w:pPr>
                    <w:spacing w:after="0" w:line="240" w:lineRule="auto"/>
                    <w:jc w:val="left"/>
                    <w:rPr>
                      <w:rFonts w:cs="Arial"/>
                      <w:color w:val="000000"/>
                      <w:sz w:val="16"/>
                      <w:szCs w:val="16"/>
                    </w:rPr>
                  </w:pPr>
                  <w:r w:rsidRPr="00134180">
                    <w:rPr>
                      <w:rFonts w:cs="Arial"/>
                      <w:color w:val="000000"/>
                      <w:sz w:val="16"/>
                      <w:szCs w:val="16"/>
                    </w:rPr>
                    <w:t>Kovodělné výrobky kromě strojů a zařízení</w:t>
                  </w:r>
                </w:p>
              </w:tc>
              <w:tc>
                <w:tcPr>
                  <w:tcW w:w="700" w:type="dxa"/>
                  <w:tcBorders>
                    <w:top w:val="nil"/>
                    <w:left w:val="nil"/>
                    <w:bottom w:val="nil"/>
                    <w:right w:val="nil"/>
                  </w:tcBorders>
                  <w:noWrap/>
                  <w:vAlign w:val="bottom"/>
                  <w:hideMark/>
                </w:tcPr>
                <w:p w14:paraId="6BC616EB" w14:textId="77777777" w:rsidR="00605D96" w:rsidRPr="00134180" w:rsidRDefault="00605D96" w:rsidP="008B207B">
                  <w:pPr>
                    <w:spacing w:after="0" w:line="240" w:lineRule="auto"/>
                    <w:jc w:val="right"/>
                    <w:rPr>
                      <w:rFonts w:cs="Arial"/>
                      <w:color w:val="000000"/>
                      <w:sz w:val="16"/>
                      <w:szCs w:val="16"/>
                    </w:rPr>
                  </w:pPr>
                  <w:r>
                    <w:rPr>
                      <w:rFonts w:cs="Arial"/>
                      <w:color w:val="000000"/>
                      <w:sz w:val="16"/>
                      <w:szCs w:val="16"/>
                    </w:rPr>
                    <w:t>−</w:t>
                  </w:r>
                  <w:r w:rsidRPr="00134180">
                    <w:rPr>
                      <w:rFonts w:cs="Arial"/>
                      <w:color w:val="000000"/>
                      <w:sz w:val="16"/>
                      <w:szCs w:val="16"/>
                    </w:rPr>
                    <w:t>1,3</w:t>
                  </w:r>
                </w:p>
              </w:tc>
              <w:tc>
                <w:tcPr>
                  <w:tcW w:w="700" w:type="dxa"/>
                  <w:tcBorders>
                    <w:top w:val="nil"/>
                    <w:left w:val="nil"/>
                    <w:bottom w:val="nil"/>
                    <w:right w:val="nil"/>
                  </w:tcBorders>
                  <w:noWrap/>
                  <w:vAlign w:val="bottom"/>
                  <w:hideMark/>
                </w:tcPr>
                <w:p w14:paraId="296A1A4D" w14:textId="77777777" w:rsidR="00605D96" w:rsidRPr="00134180" w:rsidRDefault="00605D96" w:rsidP="008B207B">
                  <w:pPr>
                    <w:spacing w:after="0" w:line="240" w:lineRule="auto"/>
                    <w:jc w:val="right"/>
                    <w:rPr>
                      <w:rFonts w:cs="Arial"/>
                      <w:color w:val="000000"/>
                      <w:sz w:val="16"/>
                      <w:szCs w:val="16"/>
                    </w:rPr>
                  </w:pPr>
                  <w:r>
                    <w:rPr>
                      <w:rFonts w:cs="Arial"/>
                      <w:color w:val="000000"/>
                      <w:sz w:val="16"/>
                      <w:szCs w:val="16"/>
                    </w:rPr>
                    <w:t>−</w:t>
                  </w:r>
                  <w:r w:rsidRPr="00134180">
                    <w:rPr>
                      <w:rFonts w:cs="Arial"/>
                      <w:color w:val="000000"/>
                      <w:sz w:val="16"/>
                      <w:szCs w:val="16"/>
                    </w:rPr>
                    <w:t>1,9</w:t>
                  </w:r>
                </w:p>
              </w:tc>
            </w:tr>
            <w:tr w:rsidR="00605D96" w:rsidRPr="00134180" w14:paraId="062B3786" w14:textId="77777777" w:rsidTr="008B207B">
              <w:trPr>
                <w:trHeight w:val="255"/>
              </w:trPr>
              <w:tc>
                <w:tcPr>
                  <w:tcW w:w="3417" w:type="dxa"/>
                  <w:tcBorders>
                    <w:top w:val="nil"/>
                    <w:left w:val="nil"/>
                    <w:bottom w:val="nil"/>
                    <w:right w:val="nil"/>
                  </w:tcBorders>
                  <w:vAlign w:val="bottom"/>
                  <w:hideMark/>
                </w:tcPr>
                <w:p w14:paraId="4F5773F6" w14:textId="77777777" w:rsidR="00605D96" w:rsidRPr="00134180" w:rsidRDefault="00605D96" w:rsidP="008B207B">
                  <w:pPr>
                    <w:spacing w:after="0" w:line="240" w:lineRule="auto"/>
                    <w:jc w:val="left"/>
                    <w:rPr>
                      <w:rFonts w:cs="Arial"/>
                      <w:color w:val="000000"/>
                      <w:sz w:val="16"/>
                      <w:szCs w:val="16"/>
                    </w:rPr>
                  </w:pPr>
                  <w:r w:rsidRPr="00134180">
                    <w:rPr>
                      <w:rFonts w:cs="Arial"/>
                      <w:color w:val="000000"/>
                      <w:sz w:val="16"/>
                      <w:szCs w:val="16"/>
                    </w:rPr>
                    <w:t>Papír a výrobky z papíru</w:t>
                  </w:r>
                </w:p>
              </w:tc>
              <w:tc>
                <w:tcPr>
                  <w:tcW w:w="700" w:type="dxa"/>
                  <w:tcBorders>
                    <w:top w:val="nil"/>
                    <w:left w:val="nil"/>
                    <w:bottom w:val="nil"/>
                    <w:right w:val="nil"/>
                  </w:tcBorders>
                  <w:noWrap/>
                  <w:vAlign w:val="bottom"/>
                  <w:hideMark/>
                </w:tcPr>
                <w:p w14:paraId="69087F8E" w14:textId="77777777" w:rsidR="00605D96" w:rsidRPr="00134180" w:rsidRDefault="00605D96" w:rsidP="008B207B">
                  <w:pPr>
                    <w:spacing w:after="0" w:line="240" w:lineRule="auto"/>
                    <w:jc w:val="right"/>
                    <w:rPr>
                      <w:rFonts w:cs="Arial"/>
                      <w:color w:val="000000"/>
                      <w:sz w:val="16"/>
                      <w:szCs w:val="16"/>
                    </w:rPr>
                  </w:pPr>
                  <w:r>
                    <w:rPr>
                      <w:rFonts w:cs="Arial"/>
                      <w:color w:val="000000"/>
                      <w:sz w:val="16"/>
                      <w:szCs w:val="16"/>
                    </w:rPr>
                    <w:t>−</w:t>
                  </w:r>
                  <w:r w:rsidRPr="00134180">
                    <w:rPr>
                      <w:rFonts w:cs="Arial"/>
                      <w:color w:val="000000"/>
                      <w:sz w:val="16"/>
                      <w:szCs w:val="16"/>
                    </w:rPr>
                    <w:t>1,3</w:t>
                  </w:r>
                </w:p>
              </w:tc>
              <w:tc>
                <w:tcPr>
                  <w:tcW w:w="700" w:type="dxa"/>
                  <w:tcBorders>
                    <w:top w:val="nil"/>
                    <w:left w:val="nil"/>
                    <w:bottom w:val="nil"/>
                    <w:right w:val="nil"/>
                  </w:tcBorders>
                  <w:noWrap/>
                  <w:vAlign w:val="bottom"/>
                  <w:hideMark/>
                </w:tcPr>
                <w:p w14:paraId="0612469A" w14:textId="77777777" w:rsidR="00605D96" w:rsidRPr="00134180" w:rsidRDefault="00605D96" w:rsidP="008B207B">
                  <w:pPr>
                    <w:spacing w:after="0" w:line="240" w:lineRule="auto"/>
                    <w:jc w:val="right"/>
                    <w:rPr>
                      <w:rFonts w:cs="Arial"/>
                      <w:color w:val="000000"/>
                      <w:sz w:val="16"/>
                      <w:szCs w:val="16"/>
                    </w:rPr>
                  </w:pPr>
                  <w:r>
                    <w:rPr>
                      <w:rFonts w:cs="Arial"/>
                      <w:color w:val="000000"/>
                      <w:sz w:val="16"/>
                      <w:szCs w:val="16"/>
                    </w:rPr>
                    <w:t>−</w:t>
                  </w:r>
                  <w:r w:rsidRPr="00134180">
                    <w:rPr>
                      <w:rFonts w:cs="Arial"/>
                      <w:color w:val="000000"/>
                      <w:sz w:val="16"/>
                      <w:szCs w:val="16"/>
                    </w:rPr>
                    <w:t>6,5</w:t>
                  </w:r>
                </w:p>
              </w:tc>
            </w:tr>
            <w:tr w:rsidR="00605D96" w:rsidRPr="00134180" w14:paraId="4930EE34" w14:textId="77777777" w:rsidTr="008B207B">
              <w:trPr>
                <w:trHeight w:val="255"/>
              </w:trPr>
              <w:tc>
                <w:tcPr>
                  <w:tcW w:w="3417" w:type="dxa"/>
                  <w:tcBorders>
                    <w:top w:val="nil"/>
                    <w:left w:val="nil"/>
                    <w:bottom w:val="nil"/>
                    <w:right w:val="nil"/>
                  </w:tcBorders>
                  <w:vAlign w:val="bottom"/>
                  <w:hideMark/>
                </w:tcPr>
                <w:p w14:paraId="42FDBE49" w14:textId="77777777" w:rsidR="00605D96" w:rsidRPr="00134180" w:rsidRDefault="00605D96" w:rsidP="008B207B">
                  <w:pPr>
                    <w:spacing w:after="0" w:line="240" w:lineRule="auto"/>
                    <w:jc w:val="left"/>
                    <w:rPr>
                      <w:rFonts w:cs="Arial"/>
                      <w:color w:val="000000"/>
                      <w:sz w:val="16"/>
                      <w:szCs w:val="16"/>
                    </w:rPr>
                  </w:pPr>
                  <w:r w:rsidRPr="00134180">
                    <w:rPr>
                      <w:rFonts w:cs="Arial"/>
                      <w:color w:val="000000"/>
                      <w:sz w:val="16"/>
                      <w:szCs w:val="16"/>
                    </w:rPr>
                    <w:t>Elektřina, plyn, pára a klimatizovaný vzduch</w:t>
                  </w:r>
                </w:p>
              </w:tc>
              <w:tc>
                <w:tcPr>
                  <w:tcW w:w="700" w:type="dxa"/>
                  <w:tcBorders>
                    <w:top w:val="nil"/>
                    <w:left w:val="nil"/>
                    <w:bottom w:val="nil"/>
                    <w:right w:val="nil"/>
                  </w:tcBorders>
                  <w:noWrap/>
                  <w:vAlign w:val="bottom"/>
                  <w:hideMark/>
                </w:tcPr>
                <w:p w14:paraId="1B79CF9D" w14:textId="77777777" w:rsidR="00605D96" w:rsidRPr="00134180" w:rsidRDefault="00605D96" w:rsidP="008B207B">
                  <w:pPr>
                    <w:spacing w:after="0" w:line="240" w:lineRule="auto"/>
                    <w:jc w:val="right"/>
                    <w:rPr>
                      <w:rFonts w:cs="Arial"/>
                      <w:color w:val="000000"/>
                      <w:sz w:val="16"/>
                      <w:szCs w:val="16"/>
                    </w:rPr>
                  </w:pPr>
                  <w:r>
                    <w:rPr>
                      <w:rFonts w:cs="Arial"/>
                      <w:color w:val="000000"/>
                      <w:sz w:val="16"/>
                      <w:szCs w:val="16"/>
                    </w:rPr>
                    <w:t>−</w:t>
                  </w:r>
                  <w:r w:rsidRPr="00134180">
                    <w:rPr>
                      <w:rFonts w:cs="Arial"/>
                      <w:color w:val="000000"/>
                      <w:sz w:val="16"/>
                      <w:szCs w:val="16"/>
                    </w:rPr>
                    <w:t>4,1</w:t>
                  </w:r>
                </w:p>
              </w:tc>
              <w:tc>
                <w:tcPr>
                  <w:tcW w:w="700" w:type="dxa"/>
                  <w:tcBorders>
                    <w:top w:val="nil"/>
                    <w:left w:val="nil"/>
                    <w:bottom w:val="nil"/>
                    <w:right w:val="nil"/>
                  </w:tcBorders>
                  <w:noWrap/>
                  <w:vAlign w:val="bottom"/>
                  <w:hideMark/>
                </w:tcPr>
                <w:p w14:paraId="2B1E6C63" w14:textId="77777777" w:rsidR="00605D96" w:rsidRPr="00134180" w:rsidRDefault="00605D96" w:rsidP="008B207B">
                  <w:pPr>
                    <w:spacing w:after="0" w:line="240" w:lineRule="auto"/>
                    <w:jc w:val="right"/>
                    <w:rPr>
                      <w:rFonts w:cs="Arial"/>
                      <w:color w:val="000000"/>
                      <w:sz w:val="16"/>
                      <w:szCs w:val="16"/>
                    </w:rPr>
                  </w:pPr>
                  <w:r>
                    <w:rPr>
                      <w:rFonts w:cs="Arial"/>
                      <w:color w:val="000000"/>
                      <w:sz w:val="16"/>
                      <w:szCs w:val="16"/>
                    </w:rPr>
                    <w:t>−</w:t>
                  </w:r>
                  <w:r w:rsidRPr="00134180">
                    <w:rPr>
                      <w:rFonts w:cs="Arial"/>
                      <w:color w:val="000000"/>
                      <w:sz w:val="16"/>
                      <w:szCs w:val="16"/>
                    </w:rPr>
                    <w:t>20,9</w:t>
                  </w:r>
                </w:p>
              </w:tc>
            </w:tr>
            <w:tr w:rsidR="00605D96" w:rsidRPr="00134180" w14:paraId="15027F8F" w14:textId="77777777" w:rsidTr="008B207B">
              <w:trPr>
                <w:trHeight w:val="255"/>
              </w:trPr>
              <w:tc>
                <w:tcPr>
                  <w:tcW w:w="3417" w:type="dxa"/>
                  <w:tcBorders>
                    <w:top w:val="nil"/>
                    <w:left w:val="nil"/>
                    <w:bottom w:val="nil"/>
                    <w:right w:val="nil"/>
                  </w:tcBorders>
                  <w:vAlign w:val="bottom"/>
                  <w:hideMark/>
                </w:tcPr>
                <w:p w14:paraId="752F0B5E" w14:textId="77777777" w:rsidR="00605D96" w:rsidRPr="00134180" w:rsidRDefault="00605D96" w:rsidP="008B207B">
                  <w:pPr>
                    <w:spacing w:after="0" w:line="240" w:lineRule="auto"/>
                    <w:jc w:val="left"/>
                    <w:rPr>
                      <w:rFonts w:cs="Arial"/>
                      <w:color w:val="000000"/>
                      <w:sz w:val="16"/>
                      <w:szCs w:val="16"/>
                    </w:rPr>
                  </w:pPr>
                  <w:r w:rsidRPr="00134180">
                    <w:rPr>
                      <w:rFonts w:cs="Arial"/>
                      <w:color w:val="000000"/>
                      <w:sz w:val="16"/>
                      <w:szCs w:val="16"/>
                    </w:rPr>
                    <w:t>Chemické látky a přípravky</w:t>
                  </w:r>
                </w:p>
              </w:tc>
              <w:tc>
                <w:tcPr>
                  <w:tcW w:w="700" w:type="dxa"/>
                  <w:tcBorders>
                    <w:top w:val="nil"/>
                    <w:left w:val="nil"/>
                    <w:bottom w:val="nil"/>
                    <w:right w:val="nil"/>
                  </w:tcBorders>
                  <w:noWrap/>
                  <w:vAlign w:val="bottom"/>
                  <w:hideMark/>
                </w:tcPr>
                <w:p w14:paraId="28D4041E" w14:textId="77777777" w:rsidR="00605D96" w:rsidRPr="00134180" w:rsidRDefault="00605D96" w:rsidP="008B207B">
                  <w:pPr>
                    <w:spacing w:after="0" w:line="240" w:lineRule="auto"/>
                    <w:jc w:val="right"/>
                    <w:rPr>
                      <w:rFonts w:cs="Arial"/>
                      <w:color w:val="000000"/>
                      <w:sz w:val="16"/>
                      <w:szCs w:val="16"/>
                    </w:rPr>
                  </w:pPr>
                  <w:r>
                    <w:rPr>
                      <w:rFonts w:cs="Arial"/>
                      <w:color w:val="000000"/>
                      <w:sz w:val="16"/>
                      <w:szCs w:val="16"/>
                    </w:rPr>
                    <w:t>−</w:t>
                  </w:r>
                  <w:r w:rsidRPr="00134180">
                    <w:rPr>
                      <w:rFonts w:cs="Arial"/>
                      <w:color w:val="000000"/>
                      <w:sz w:val="16"/>
                      <w:szCs w:val="16"/>
                    </w:rPr>
                    <w:t>4,8</w:t>
                  </w:r>
                </w:p>
              </w:tc>
              <w:tc>
                <w:tcPr>
                  <w:tcW w:w="700" w:type="dxa"/>
                  <w:tcBorders>
                    <w:top w:val="nil"/>
                    <w:left w:val="nil"/>
                    <w:bottom w:val="nil"/>
                    <w:right w:val="nil"/>
                  </w:tcBorders>
                  <w:noWrap/>
                  <w:vAlign w:val="bottom"/>
                  <w:hideMark/>
                </w:tcPr>
                <w:p w14:paraId="68AECD2F" w14:textId="77777777" w:rsidR="00605D96" w:rsidRPr="00134180" w:rsidRDefault="00605D96" w:rsidP="008B207B">
                  <w:pPr>
                    <w:spacing w:after="0" w:line="240" w:lineRule="auto"/>
                    <w:jc w:val="right"/>
                    <w:rPr>
                      <w:rFonts w:cs="Arial"/>
                      <w:color w:val="000000"/>
                      <w:sz w:val="16"/>
                      <w:szCs w:val="16"/>
                    </w:rPr>
                  </w:pPr>
                  <w:r>
                    <w:rPr>
                      <w:rFonts w:cs="Arial"/>
                      <w:color w:val="000000"/>
                      <w:sz w:val="16"/>
                      <w:szCs w:val="16"/>
                    </w:rPr>
                    <w:t>−</w:t>
                  </w:r>
                  <w:r w:rsidRPr="00134180">
                    <w:rPr>
                      <w:rFonts w:cs="Arial"/>
                      <w:color w:val="000000"/>
                      <w:sz w:val="16"/>
                      <w:szCs w:val="16"/>
                    </w:rPr>
                    <w:t>8,3</w:t>
                  </w:r>
                </w:p>
              </w:tc>
            </w:tr>
            <w:tr w:rsidR="00605D96" w:rsidRPr="00134180" w14:paraId="7D65DD6A" w14:textId="77777777" w:rsidTr="008B207B">
              <w:trPr>
                <w:trHeight w:val="255"/>
              </w:trPr>
              <w:tc>
                <w:tcPr>
                  <w:tcW w:w="3417" w:type="dxa"/>
                  <w:tcBorders>
                    <w:top w:val="nil"/>
                    <w:left w:val="nil"/>
                    <w:bottom w:val="nil"/>
                    <w:right w:val="nil"/>
                  </w:tcBorders>
                  <w:vAlign w:val="bottom"/>
                  <w:hideMark/>
                </w:tcPr>
                <w:p w14:paraId="1BE4519D" w14:textId="77777777" w:rsidR="00605D96" w:rsidRPr="00134180" w:rsidRDefault="00605D96" w:rsidP="008B207B">
                  <w:pPr>
                    <w:spacing w:after="0" w:line="240" w:lineRule="auto"/>
                    <w:jc w:val="left"/>
                    <w:rPr>
                      <w:rFonts w:cs="Arial"/>
                      <w:color w:val="000000"/>
                      <w:sz w:val="16"/>
                      <w:szCs w:val="16"/>
                    </w:rPr>
                  </w:pPr>
                  <w:r w:rsidRPr="00134180">
                    <w:rPr>
                      <w:rFonts w:cs="Arial"/>
                      <w:color w:val="000000"/>
                      <w:sz w:val="16"/>
                      <w:szCs w:val="16"/>
                    </w:rPr>
                    <w:t>Elektrická zařízení</w:t>
                  </w:r>
                </w:p>
              </w:tc>
              <w:tc>
                <w:tcPr>
                  <w:tcW w:w="700" w:type="dxa"/>
                  <w:tcBorders>
                    <w:top w:val="nil"/>
                    <w:left w:val="nil"/>
                    <w:bottom w:val="nil"/>
                    <w:right w:val="nil"/>
                  </w:tcBorders>
                  <w:noWrap/>
                  <w:vAlign w:val="bottom"/>
                  <w:hideMark/>
                </w:tcPr>
                <w:p w14:paraId="211BC483" w14:textId="77777777" w:rsidR="00605D96" w:rsidRPr="00134180" w:rsidRDefault="00605D96" w:rsidP="008B207B">
                  <w:pPr>
                    <w:spacing w:after="0" w:line="240" w:lineRule="auto"/>
                    <w:jc w:val="right"/>
                    <w:rPr>
                      <w:rFonts w:cs="Arial"/>
                      <w:color w:val="000000"/>
                      <w:sz w:val="16"/>
                      <w:szCs w:val="16"/>
                    </w:rPr>
                  </w:pPr>
                  <w:r>
                    <w:rPr>
                      <w:rFonts w:cs="Arial"/>
                      <w:color w:val="000000"/>
                      <w:sz w:val="16"/>
                      <w:szCs w:val="16"/>
                    </w:rPr>
                    <w:t>−</w:t>
                  </w:r>
                  <w:r w:rsidRPr="00134180">
                    <w:rPr>
                      <w:rFonts w:cs="Arial"/>
                      <w:color w:val="000000"/>
                      <w:sz w:val="16"/>
                      <w:szCs w:val="16"/>
                    </w:rPr>
                    <w:t>6,4</w:t>
                  </w:r>
                </w:p>
              </w:tc>
              <w:tc>
                <w:tcPr>
                  <w:tcW w:w="700" w:type="dxa"/>
                  <w:tcBorders>
                    <w:top w:val="nil"/>
                    <w:left w:val="nil"/>
                    <w:bottom w:val="nil"/>
                    <w:right w:val="nil"/>
                  </w:tcBorders>
                  <w:noWrap/>
                  <w:vAlign w:val="bottom"/>
                  <w:hideMark/>
                </w:tcPr>
                <w:p w14:paraId="414E8C36" w14:textId="77777777" w:rsidR="00605D96" w:rsidRPr="00134180" w:rsidRDefault="00605D96" w:rsidP="008B207B">
                  <w:pPr>
                    <w:spacing w:after="0" w:line="240" w:lineRule="auto"/>
                    <w:jc w:val="right"/>
                    <w:rPr>
                      <w:rFonts w:cs="Arial"/>
                      <w:color w:val="000000"/>
                      <w:sz w:val="16"/>
                      <w:szCs w:val="16"/>
                    </w:rPr>
                  </w:pPr>
                  <w:r>
                    <w:rPr>
                      <w:rFonts w:cs="Arial"/>
                      <w:color w:val="000000"/>
                      <w:sz w:val="16"/>
                      <w:szCs w:val="16"/>
                    </w:rPr>
                    <w:t>−</w:t>
                  </w:r>
                  <w:r w:rsidRPr="00134180">
                    <w:rPr>
                      <w:rFonts w:cs="Arial"/>
                      <w:color w:val="000000"/>
                      <w:sz w:val="16"/>
                      <w:szCs w:val="16"/>
                    </w:rPr>
                    <w:t>5,4</w:t>
                  </w:r>
                </w:p>
              </w:tc>
            </w:tr>
          </w:tbl>
          <w:p w14:paraId="47EC17A1" w14:textId="77777777" w:rsidR="00605D96" w:rsidRDefault="00605D96" w:rsidP="008B207B">
            <w:pPr>
              <w:spacing w:after="0"/>
              <w:rPr>
                <w:spacing w:val="-4"/>
                <w:lang w:eastAsia="en-US"/>
              </w:rPr>
            </w:pPr>
          </w:p>
        </w:tc>
        <w:tc>
          <w:tcPr>
            <w:tcW w:w="57" w:type="dxa"/>
          </w:tcPr>
          <w:p w14:paraId="47535986" w14:textId="77777777" w:rsidR="00605D96" w:rsidRDefault="00605D96" w:rsidP="008B207B">
            <w:pPr>
              <w:spacing w:after="0"/>
              <w:rPr>
                <w:spacing w:val="-4"/>
                <w:lang w:eastAsia="en-US"/>
              </w:rPr>
            </w:pPr>
          </w:p>
        </w:tc>
        <w:tc>
          <w:tcPr>
            <w:tcW w:w="4809" w:type="dxa"/>
            <w:hideMark/>
          </w:tcPr>
          <w:tbl>
            <w:tblPr>
              <w:tblW w:w="4762" w:type="dxa"/>
              <w:tblLayout w:type="fixed"/>
              <w:tblCellMar>
                <w:left w:w="70" w:type="dxa"/>
                <w:right w:w="70" w:type="dxa"/>
              </w:tblCellMar>
              <w:tblLook w:val="04A0" w:firstRow="1" w:lastRow="0" w:firstColumn="1" w:lastColumn="0" w:noHBand="0" w:noVBand="1"/>
            </w:tblPr>
            <w:tblGrid>
              <w:gridCol w:w="3362"/>
              <w:gridCol w:w="700"/>
              <w:gridCol w:w="700"/>
            </w:tblGrid>
            <w:tr w:rsidR="00605D96" w:rsidRPr="00134180" w14:paraId="0A60E0F1" w14:textId="77777777" w:rsidTr="008B207B">
              <w:trPr>
                <w:trHeight w:val="255"/>
              </w:trPr>
              <w:tc>
                <w:tcPr>
                  <w:tcW w:w="3362" w:type="dxa"/>
                  <w:tcBorders>
                    <w:top w:val="nil"/>
                    <w:left w:val="nil"/>
                    <w:bottom w:val="nil"/>
                    <w:right w:val="nil"/>
                  </w:tcBorders>
                  <w:noWrap/>
                  <w:vAlign w:val="bottom"/>
                  <w:hideMark/>
                </w:tcPr>
                <w:p w14:paraId="639E41F2" w14:textId="77777777" w:rsidR="00605D96" w:rsidRPr="00134180" w:rsidRDefault="00605D96" w:rsidP="008B207B">
                  <w:pPr>
                    <w:spacing w:after="0" w:line="240" w:lineRule="auto"/>
                    <w:jc w:val="left"/>
                    <w:rPr>
                      <w:rFonts w:cs="Arial"/>
                      <w:sz w:val="22"/>
                      <w:szCs w:val="22"/>
                    </w:rPr>
                  </w:pPr>
                </w:p>
              </w:tc>
              <w:tc>
                <w:tcPr>
                  <w:tcW w:w="700" w:type="dxa"/>
                  <w:tcBorders>
                    <w:top w:val="nil"/>
                    <w:left w:val="nil"/>
                    <w:bottom w:val="nil"/>
                    <w:right w:val="nil"/>
                  </w:tcBorders>
                  <w:noWrap/>
                  <w:vAlign w:val="bottom"/>
                  <w:hideMark/>
                </w:tcPr>
                <w:p w14:paraId="4954B9B4"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mld. Kč</w:t>
                  </w:r>
                </w:p>
              </w:tc>
              <w:tc>
                <w:tcPr>
                  <w:tcW w:w="700" w:type="dxa"/>
                  <w:tcBorders>
                    <w:top w:val="nil"/>
                    <w:left w:val="nil"/>
                    <w:bottom w:val="nil"/>
                    <w:right w:val="nil"/>
                  </w:tcBorders>
                  <w:noWrap/>
                  <w:vAlign w:val="bottom"/>
                  <w:hideMark/>
                </w:tcPr>
                <w:p w14:paraId="52651198"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w:t>
                  </w:r>
                </w:p>
              </w:tc>
            </w:tr>
            <w:tr w:rsidR="00605D96" w:rsidRPr="00134180" w14:paraId="43F892EE" w14:textId="77777777" w:rsidTr="008B207B">
              <w:trPr>
                <w:trHeight w:val="255"/>
              </w:trPr>
              <w:tc>
                <w:tcPr>
                  <w:tcW w:w="3362" w:type="dxa"/>
                  <w:tcBorders>
                    <w:top w:val="single" w:sz="4" w:space="0" w:color="auto"/>
                    <w:left w:val="nil"/>
                    <w:bottom w:val="nil"/>
                    <w:right w:val="nil"/>
                  </w:tcBorders>
                  <w:noWrap/>
                  <w:vAlign w:val="bottom"/>
                  <w:hideMark/>
                </w:tcPr>
                <w:p w14:paraId="41A24688" w14:textId="77777777" w:rsidR="00605D96" w:rsidRPr="00134180" w:rsidRDefault="00605D96" w:rsidP="008B207B">
                  <w:pPr>
                    <w:spacing w:after="0" w:line="240" w:lineRule="auto"/>
                    <w:jc w:val="left"/>
                    <w:rPr>
                      <w:rFonts w:cs="Arial"/>
                      <w:color w:val="000000"/>
                      <w:sz w:val="16"/>
                      <w:szCs w:val="16"/>
                    </w:rPr>
                  </w:pPr>
                  <w:r w:rsidRPr="00134180">
                    <w:rPr>
                      <w:rFonts w:cs="Arial"/>
                      <w:color w:val="000000"/>
                      <w:sz w:val="16"/>
                      <w:szCs w:val="16"/>
                    </w:rPr>
                    <w:t>Francie</w:t>
                  </w:r>
                </w:p>
              </w:tc>
              <w:tc>
                <w:tcPr>
                  <w:tcW w:w="700" w:type="dxa"/>
                  <w:tcBorders>
                    <w:top w:val="single" w:sz="4" w:space="0" w:color="auto"/>
                    <w:left w:val="nil"/>
                    <w:bottom w:val="nil"/>
                    <w:right w:val="nil"/>
                  </w:tcBorders>
                  <w:noWrap/>
                  <w:vAlign w:val="bottom"/>
                  <w:hideMark/>
                </w:tcPr>
                <w:p w14:paraId="0978A61A"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+6,4</w:t>
                  </w:r>
                </w:p>
              </w:tc>
              <w:tc>
                <w:tcPr>
                  <w:tcW w:w="700" w:type="dxa"/>
                  <w:tcBorders>
                    <w:top w:val="single" w:sz="4" w:space="0" w:color="auto"/>
                    <w:left w:val="nil"/>
                    <w:bottom w:val="nil"/>
                    <w:right w:val="nil"/>
                  </w:tcBorders>
                  <w:noWrap/>
                  <w:vAlign w:val="bottom"/>
                  <w:hideMark/>
                </w:tcPr>
                <w:p w14:paraId="7488ECFD"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+11,8</w:t>
                  </w:r>
                </w:p>
              </w:tc>
            </w:tr>
            <w:tr w:rsidR="00605D96" w:rsidRPr="00134180" w14:paraId="15BE891E" w14:textId="77777777" w:rsidTr="008B207B">
              <w:trPr>
                <w:trHeight w:val="255"/>
              </w:trPr>
              <w:tc>
                <w:tcPr>
                  <w:tcW w:w="3362" w:type="dxa"/>
                  <w:tcBorders>
                    <w:top w:val="nil"/>
                    <w:left w:val="nil"/>
                    <w:bottom w:val="nil"/>
                    <w:right w:val="nil"/>
                  </w:tcBorders>
                  <w:noWrap/>
                  <w:vAlign w:val="bottom"/>
                  <w:hideMark/>
                </w:tcPr>
                <w:p w14:paraId="32299964" w14:textId="77777777" w:rsidR="00605D96" w:rsidRPr="00134180" w:rsidRDefault="00605D96" w:rsidP="008B207B">
                  <w:pPr>
                    <w:spacing w:after="0" w:line="240" w:lineRule="auto"/>
                    <w:jc w:val="left"/>
                    <w:rPr>
                      <w:rFonts w:cs="Arial"/>
                      <w:color w:val="000000"/>
                      <w:sz w:val="16"/>
                      <w:szCs w:val="16"/>
                    </w:rPr>
                  </w:pPr>
                  <w:r w:rsidRPr="00134180">
                    <w:rPr>
                      <w:rFonts w:cs="Arial"/>
                      <w:color w:val="000000"/>
                      <w:sz w:val="16"/>
                      <w:szCs w:val="16"/>
                    </w:rPr>
                    <w:t>Slovensko</w:t>
                  </w:r>
                </w:p>
              </w:tc>
              <w:tc>
                <w:tcPr>
                  <w:tcW w:w="700" w:type="dxa"/>
                  <w:tcBorders>
                    <w:top w:val="nil"/>
                    <w:left w:val="nil"/>
                    <w:bottom w:val="nil"/>
                    <w:right w:val="nil"/>
                  </w:tcBorders>
                  <w:noWrap/>
                  <w:vAlign w:val="bottom"/>
                  <w:hideMark/>
                </w:tcPr>
                <w:p w14:paraId="00EE5E82"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+5,4</w:t>
                  </w:r>
                </w:p>
              </w:tc>
              <w:tc>
                <w:tcPr>
                  <w:tcW w:w="700" w:type="dxa"/>
                  <w:tcBorders>
                    <w:top w:val="nil"/>
                    <w:left w:val="nil"/>
                    <w:bottom w:val="nil"/>
                    <w:right w:val="nil"/>
                  </w:tcBorders>
                  <w:noWrap/>
                  <w:vAlign w:val="bottom"/>
                  <w:hideMark/>
                </w:tcPr>
                <w:p w14:paraId="53AC5826"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+4,7</w:t>
                  </w:r>
                </w:p>
              </w:tc>
            </w:tr>
            <w:tr w:rsidR="00605D96" w:rsidRPr="00134180" w14:paraId="236E8484" w14:textId="77777777" w:rsidTr="008B207B">
              <w:trPr>
                <w:trHeight w:val="255"/>
              </w:trPr>
              <w:tc>
                <w:tcPr>
                  <w:tcW w:w="3362" w:type="dxa"/>
                  <w:tcBorders>
                    <w:top w:val="nil"/>
                    <w:left w:val="nil"/>
                    <w:bottom w:val="nil"/>
                    <w:right w:val="nil"/>
                  </w:tcBorders>
                  <w:noWrap/>
                  <w:vAlign w:val="bottom"/>
                  <w:hideMark/>
                </w:tcPr>
                <w:p w14:paraId="499F04A3" w14:textId="77777777" w:rsidR="00605D96" w:rsidRPr="00134180" w:rsidRDefault="00605D96" w:rsidP="008B207B">
                  <w:pPr>
                    <w:spacing w:after="0" w:line="240" w:lineRule="auto"/>
                    <w:jc w:val="left"/>
                    <w:rPr>
                      <w:rFonts w:cs="Arial"/>
                      <w:color w:val="000000"/>
                      <w:sz w:val="16"/>
                      <w:szCs w:val="16"/>
                    </w:rPr>
                  </w:pPr>
                  <w:r w:rsidRPr="00134180">
                    <w:rPr>
                      <w:rFonts w:cs="Arial"/>
                      <w:color w:val="000000"/>
                      <w:sz w:val="16"/>
                      <w:szCs w:val="16"/>
                    </w:rPr>
                    <w:t>Švýcarsko</w:t>
                  </w:r>
                </w:p>
              </w:tc>
              <w:tc>
                <w:tcPr>
                  <w:tcW w:w="700" w:type="dxa"/>
                  <w:tcBorders>
                    <w:top w:val="nil"/>
                    <w:left w:val="nil"/>
                    <w:bottom w:val="nil"/>
                    <w:right w:val="nil"/>
                  </w:tcBorders>
                  <w:noWrap/>
                  <w:vAlign w:val="bottom"/>
                  <w:hideMark/>
                </w:tcPr>
                <w:p w14:paraId="7481B8A7"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+3,1</w:t>
                  </w:r>
                </w:p>
              </w:tc>
              <w:tc>
                <w:tcPr>
                  <w:tcW w:w="700" w:type="dxa"/>
                  <w:tcBorders>
                    <w:top w:val="nil"/>
                    <w:left w:val="nil"/>
                    <w:bottom w:val="nil"/>
                    <w:right w:val="nil"/>
                  </w:tcBorders>
                  <w:noWrap/>
                  <w:vAlign w:val="bottom"/>
                  <w:hideMark/>
                </w:tcPr>
                <w:p w14:paraId="2F95DDE6"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+16,1</w:t>
                  </w:r>
                </w:p>
              </w:tc>
            </w:tr>
            <w:tr w:rsidR="00605D96" w:rsidRPr="00134180" w14:paraId="75695668" w14:textId="77777777" w:rsidTr="008B207B">
              <w:trPr>
                <w:trHeight w:val="255"/>
              </w:trPr>
              <w:tc>
                <w:tcPr>
                  <w:tcW w:w="3362" w:type="dxa"/>
                  <w:tcBorders>
                    <w:top w:val="nil"/>
                    <w:left w:val="nil"/>
                    <w:bottom w:val="nil"/>
                    <w:right w:val="nil"/>
                  </w:tcBorders>
                  <w:noWrap/>
                  <w:vAlign w:val="bottom"/>
                  <w:hideMark/>
                </w:tcPr>
                <w:p w14:paraId="61DE8C20" w14:textId="77777777" w:rsidR="00605D96" w:rsidRPr="00134180" w:rsidRDefault="00605D96" w:rsidP="008B207B">
                  <w:pPr>
                    <w:spacing w:after="0" w:line="240" w:lineRule="auto"/>
                    <w:jc w:val="left"/>
                    <w:rPr>
                      <w:rFonts w:cs="Arial"/>
                      <w:color w:val="000000"/>
                      <w:sz w:val="16"/>
                      <w:szCs w:val="16"/>
                    </w:rPr>
                  </w:pPr>
                  <w:r w:rsidRPr="00134180">
                    <w:rPr>
                      <w:rFonts w:cs="Arial"/>
                      <w:color w:val="000000"/>
                      <w:sz w:val="16"/>
                      <w:szCs w:val="16"/>
                    </w:rPr>
                    <w:t>Švédsko</w:t>
                  </w:r>
                </w:p>
              </w:tc>
              <w:tc>
                <w:tcPr>
                  <w:tcW w:w="700" w:type="dxa"/>
                  <w:tcBorders>
                    <w:top w:val="nil"/>
                    <w:left w:val="nil"/>
                    <w:bottom w:val="nil"/>
                    <w:right w:val="nil"/>
                  </w:tcBorders>
                  <w:noWrap/>
                  <w:vAlign w:val="bottom"/>
                  <w:hideMark/>
                </w:tcPr>
                <w:p w14:paraId="31B28F1A"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+2,1</w:t>
                  </w:r>
                </w:p>
              </w:tc>
              <w:tc>
                <w:tcPr>
                  <w:tcW w:w="700" w:type="dxa"/>
                  <w:tcBorders>
                    <w:top w:val="nil"/>
                    <w:left w:val="nil"/>
                    <w:bottom w:val="nil"/>
                    <w:right w:val="nil"/>
                  </w:tcBorders>
                  <w:noWrap/>
                  <w:vAlign w:val="bottom"/>
                  <w:hideMark/>
                </w:tcPr>
                <w:p w14:paraId="2A28AC5E"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+12,5</w:t>
                  </w:r>
                </w:p>
              </w:tc>
            </w:tr>
            <w:tr w:rsidR="00605D96" w:rsidRPr="00134180" w14:paraId="0392CCC3" w14:textId="77777777" w:rsidTr="008B207B">
              <w:trPr>
                <w:trHeight w:val="255"/>
              </w:trPr>
              <w:tc>
                <w:tcPr>
                  <w:tcW w:w="3362" w:type="dxa"/>
                  <w:tcBorders>
                    <w:top w:val="nil"/>
                    <w:left w:val="nil"/>
                    <w:bottom w:val="nil"/>
                    <w:right w:val="nil"/>
                  </w:tcBorders>
                  <w:noWrap/>
                  <w:vAlign w:val="bottom"/>
                  <w:hideMark/>
                </w:tcPr>
                <w:p w14:paraId="6524BFD3" w14:textId="77777777" w:rsidR="00605D96" w:rsidRPr="00134180" w:rsidRDefault="00605D96" w:rsidP="008B207B">
                  <w:pPr>
                    <w:spacing w:after="0" w:line="240" w:lineRule="auto"/>
                    <w:jc w:val="left"/>
                    <w:rPr>
                      <w:rFonts w:cs="Arial"/>
                      <w:color w:val="000000"/>
                      <w:sz w:val="16"/>
                      <w:szCs w:val="16"/>
                    </w:rPr>
                  </w:pPr>
                  <w:r w:rsidRPr="00134180">
                    <w:rPr>
                      <w:rFonts w:cs="Arial"/>
                      <w:color w:val="000000"/>
                      <w:sz w:val="16"/>
                      <w:szCs w:val="16"/>
                    </w:rPr>
                    <w:t>Rakousko</w:t>
                  </w:r>
                </w:p>
              </w:tc>
              <w:tc>
                <w:tcPr>
                  <w:tcW w:w="700" w:type="dxa"/>
                  <w:tcBorders>
                    <w:top w:val="nil"/>
                    <w:left w:val="nil"/>
                    <w:bottom w:val="nil"/>
                    <w:right w:val="nil"/>
                  </w:tcBorders>
                  <w:noWrap/>
                  <w:vAlign w:val="bottom"/>
                  <w:hideMark/>
                </w:tcPr>
                <w:p w14:paraId="4DDFFF28"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+1,8</w:t>
                  </w:r>
                </w:p>
              </w:tc>
              <w:tc>
                <w:tcPr>
                  <w:tcW w:w="700" w:type="dxa"/>
                  <w:tcBorders>
                    <w:top w:val="nil"/>
                    <w:left w:val="nil"/>
                    <w:bottom w:val="nil"/>
                    <w:right w:val="nil"/>
                  </w:tcBorders>
                  <w:noWrap/>
                  <w:vAlign w:val="bottom"/>
                  <w:hideMark/>
                </w:tcPr>
                <w:p w14:paraId="254C84E3"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+4,1</w:t>
                  </w:r>
                </w:p>
              </w:tc>
            </w:tr>
            <w:tr w:rsidR="00605D96" w:rsidRPr="00134180" w14:paraId="74112112" w14:textId="77777777" w:rsidTr="008B207B">
              <w:trPr>
                <w:trHeight w:val="255"/>
              </w:trPr>
              <w:tc>
                <w:tcPr>
                  <w:tcW w:w="3362" w:type="dxa"/>
                  <w:tcBorders>
                    <w:top w:val="nil"/>
                    <w:left w:val="nil"/>
                    <w:bottom w:val="nil"/>
                    <w:right w:val="nil"/>
                  </w:tcBorders>
                  <w:noWrap/>
                  <w:vAlign w:val="bottom"/>
                  <w:hideMark/>
                </w:tcPr>
                <w:p w14:paraId="31C61594" w14:textId="77777777" w:rsidR="00605D96" w:rsidRPr="00134180" w:rsidRDefault="00605D96" w:rsidP="008B207B">
                  <w:pPr>
                    <w:spacing w:after="0" w:line="240" w:lineRule="auto"/>
                    <w:jc w:val="left"/>
                    <w:rPr>
                      <w:rFonts w:cs="Arial"/>
                      <w:color w:val="000000"/>
                      <w:sz w:val="16"/>
                      <w:szCs w:val="16"/>
                    </w:rPr>
                  </w:pPr>
                  <w:r w:rsidRPr="00134180">
                    <w:rPr>
                      <w:rFonts w:cs="Arial"/>
                      <w:color w:val="000000"/>
                      <w:sz w:val="16"/>
                      <w:szCs w:val="16"/>
                    </w:rPr>
                    <w:t>Norsko</w:t>
                  </w:r>
                </w:p>
              </w:tc>
              <w:tc>
                <w:tcPr>
                  <w:tcW w:w="700" w:type="dxa"/>
                  <w:tcBorders>
                    <w:top w:val="nil"/>
                    <w:left w:val="nil"/>
                    <w:bottom w:val="nil"/>
                    <w:right w:val="nil"/>
                  </w:tcBorders>
                  <w:noWrap/>
                  <w:vAlign w:val="bottom"/>
                  <w:hideMark/>
                </w:tcPr>
                <w:p w14:paraId="1736A636"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+1,4</w:t>
                  </w:r>
                </w:p>
              </w:tc>
              <w:tc>
                <w:tcPr>
                  <w:tcW w:w="700" w:type="dxa"/>
                  <w:tcBorders>
                    <w:top w:val="nil"/>
                    <w:left w:val="nil"/>
                    <w:bottom w:val="nil"/>
                    <w:right w:val="nil"/>
                  </w:tcBorders>
                  <w:noWrap/>
                  <w:vAlign w:val="bottom"/>
                  <w:hideMark/>
                </w:tcPr>
                <w:p w14:paraId="2693181F"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+26,6</w:t>
                  </w:r>
                </w:p>
              </w:tc>
            </w:tr>
            <w:tr w:rsidR="00605D96" w:rsidRPr="00134180" w14:paraId="13166A71" w14:textId="77777777" w:rsidTr="008B207B">
              <w:trPr>
                <w:trHeight w:val="255"/>
              </w:trPr>
              <w:tc>
                <w:tcPr>
                  <w:tcW w:w="3362" w:type="dxa"/>
                  <w:tcBorders>
                    <w:top w:val="nil"/>
                    <w:left w:val="nil"/>
                    <w:bottom w:val="nil"/>
                    <w:right w:val="nil"/>
                  </w:tcBorders>
                  <w:noWrap/>
                  <w:vAlign w:val="bottom"/>
                  <w:hideMark/>
                </w:tcPr>
                <w:p w14:paraId="502E9823" w14:textId="77777777" w:rsidR="00605D96" w:rsidRPr="00134180" w:rsidRDefault="00605D96" w:rsidP="008B207B">
                  <w:pPr>
                    <w:spacing w:after="0" w:line="240" w:lineRule="auto"/>
                    <w:jc w:val="left"/>
                    <w:rPr>
                      <w:rFonts w:cs="Arial"/>
                      <w:color w:val="000000"/>
                      <w:sz w:val="16"/>
                      <w:szCs w:val="16"/>
                    </w:rPr>
                  </w:pPr>
                  <w:r w:rsidRPr="00134180">
                    <w:rPr>
                      <w:rFonts w:cs="Arial"/>
                      <w:color w:val="000000"/>
                      <w:sz w:val="16"/>
                      <w:szCs w:val="16"/>
                    </w:rPr>
                    <w:t>Jižní Korea</w:t>
                  </w:r>
                </w:p>
              </w:tc>
              <w:tc>
                <w:tcPr>
                  <w:tcW w:w="700" w:type="dxa"/>
                  <w:tcBorders>
                    <w:top w:val="nil"/>
                    <w:left w:val="nil"/>
                    <w:bottom w:val="nil"/>
                    <w:right w:val="nil"/>
                  </w:tcBorders>
                  <w:noWrap/>
                  <w:vAlign w:val="bottom"/>
                  <w:hideMark/>
                </w:tcPr>
                <w:p w14:paraId="268F666F"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+1,2</w:t>
                  </w:r>
                </w:p>
              </w:tc>
              <w:tc>
                <w:tcPr>
                  <w:tcW w:w="700" w:type="dxa"/>
                  <w:tcBorders>
                    <w:top w:val="nil"/>
                    <w:left w:val="nil"/>
                    <w:bottom w:val="nil"/>
                    <w:right w:val="nil"/>
                  </w:tcBorders>
                  <w:noWrap/>
                  <w:vAlign w:val="bottom"/>
                  <w:hideMark/>
                </w:tcPr>
                <w:p w14:paraId="6659837E"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+29,6</w:t>
                  </w:r>
                </w:p>
              </w:tc>
            </w:tr>
            <w:tr w:rsidR="00605D96" w:rsidRPr="00134180" w14:paraId="46B6735D" w14:textId="77777777" w:rsidTr="008B207B">
              <w:trPr>
                <w:trHeight w:val="255"/>
              </w:trPr>
              <w:tc>
                <w:tcPr>
                  <w:tcW w:w="3362" w:type="dxa"/>
                  <w:tcBorders>
                    <w:top w:val="nil"/>
                    <w:left w:val="nil"/>
                    <w:bottom w:val="nil"/>
                    <w:right w:val="nil"/>
                  </w:tcBorders>
                  <w:noWrap/>
                  <w:vAlign w:val="bottom"/>
                  <w:hideMark/>
                </w:tcPr>
                <w:p w14:paraId="5DFE3994" w14:textId="77777777" w:rsidR="00605D96" w:rsidRPr="00134180" w:rsidRDefault="00605D96" w:rsidP="008B207B">
                  <w:pPr>
                    <w:spacing w:after="0" w:line="240" w:lineRule="auto"/>
                    <w:jc w:val="left"/>
                    <w:rPr>
                      <w:rFonts w:cs="Arial"/>
                      <w:color w:val="000000"/>
                      <w:sz w:val="16"/>
                      <w:szCs w:val="16"/>
                    </w:rPr>
                  </w:pPr>
                  <w:r w:rsidRPr="00134180">
                    <w:rPr>
                      <w:rFonts w:cs="Arial"/>
                      <w:color w:val="000000"/>
                      <w:sz w:val="16"/>
                      <w:szCs w:val="16"/>
                    </w:rPr>
                    <w:t>Singapur</w:t>
                  </w:r>
                </w:p>
              </w:tc>
              <w:tc>
                <w:tcPr>
                  <w:tcW w:w="700" w:type="dxa"/>
                  <w:tcBorders>
                    <w:top w:val="nil"/>
                    <w:left w:val="nil"/>
                    <w:bottom w:val="nil"/>
                    <w:right w:val="nil"/>
                  </w:tcBorders>
                  <w:noWrap/>
                  <w:vAlign w:val="bottom"/>
                  <w:hideMark/>
                </w:tcPr>
                <w:p w14:paraId="7CF3DC5F"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+1,1</w:t>
                  </w:r>
                </w:p>
              </w:tc>
              <w:tc>
                <w:tcPr>
                  <w:tcW w:w="700" w:type="dxa"/>
                  <w:tcBorders>
                    <w:top w:val="nil"/>
                    <w:left w:val="nil"/>
                    <w:bottom w:val="nil"/>
                    <w:right w:val="nil"/>
                  </w:tcBorders>
                  <w:noWrap/>
                  <w:vAlign w:val="bottom"/>
                  <w:hideMark/>
                </w:tcPr>
                <w:p w14:paraId="325A2126" w14:textId="77777777" w:rsidR="00605D96" w:rsidRPr="00134180" w:rsidRDefault="00605D96" w:rsidP="008B207B">
                  <w:pPr>
                    <w:spacing w:after="0" w:line="240" w:lineRule="auto"/>
                    <w:jc w:val="right"/>
                    <w:rPr>
                      <w:rFonts w:cs="Arial"/>
                      <w:color w:val="000000"/>
                      <w:sz w:val="16"/>
                      <w:szCs w:val="16"/>
                    </w:rPr>
                  </w:pPr>
                  <w:r w:rsidRPr="00134180">
                    <w:rPr>
                      <w:rFonts w:cs="Arial"/>
                      <w:color w:val="000000"/>
                      <w:sz w:val="16"/>
                      <w:szCs w:val="16"/>
                    </w:rPr>
                    <w:t>+30,0</w:t>
                  </w:r>
                </w:p>
              </w:tc>
            </w:tr>
            <w:tr w:rsidR="00605D96" w:rsidRPr="00134180" w14:paraId="5105539C" w14:textId="77777777" w:rsidTr="008B207B">
              <w:trPr>
                <w:trHeight w:val="255"/>
              </w:trPr>
              <w:tc>
                <w:tcPr>
                  <w:tcW w:w="3362" w:type="dxa"/>
                  <w:tcBorders>
                    <w:top w:val="nil"/>
                    <w:left w:val="nil"/>
                    <w:bottom w:val="nil"/>
                    <w:right w:val="nil"/>
                  </w:tcBorders>
                  <w:noWrap/>
                  <w:vAlign w:val="bottom"/>
                  <w:hideMark/>
                </w:tcPr>
                <w:p w14:paraId="60749857" w14:textId="77777777" w:rsidR="00605D96" w:rsidRPr="00134180" w:rsidRDefault="00605D96" w:rsidP="008B207B">
                  <w:pPr>
                    <w:spacing w:after="0" w:line="240" w:lineRule="auto"/>
                    <w:jc w:val="left"/>
                    <w:rPr>
                      <w:rFonts w:cs="Arial"/>
                      <w:color w:val="000000"/>
                      <w:sz w:val="16"/>
                      <w:szCs w:val="16"/>
                    </w:rPr>
                  </w:pPr>
                  <w:r w:rsidRPr="00134180">
                    <w:rPr>
                      <w:rFonts w:cs="Arial"/>
                      <w:color w:val="000000"/>
                      <w:sz w:val="16"/>
                      <w:szCs w:val="16"/>
                    </w:rPr>
                    <w:t>Belgie</w:t>
                  </w:r>
                </w:p>
              </w:tc>
              <w:tc>
                <w:tcPr>
                  <w:tcW w:w="700" w:type="dxa"/>
                  <w:tcBorders>
                    <w:top w:val="nil"/>
                    <w:left w:val="nil"/>
                    <w:bottom w:val="nil"/>
                    <w:right w:val="nil"/>
                  </w:tcBorders>
                  <w:noWrap/>
                  <w:vAlign w:val="bottom"/>
                  <w:hideMark/>
                </w:tcPr>
                <w:p w14:paraId="74052E79" w14:textId="77777777" w:rsidR="00605D96" w:rsidRPr="00134180" w:rsidRDefault="00605D96" w:rsidP="008B207B">
                  <w:pPr>
                    <w:spacing w:after="0" w:line="240" w:lineRule="auto"/>
                    <w:jc w:val="right"/>
                    <w:rPr>
                      <w:rFonts w:cs="Arial"/>
                      <w:color w:val="000000"/>
                      <w:sz w:val="16"/>
                      <w:szCs w:val="16"/>
                    </w:rPr>
                  </w:pPr>
                  <w:r>
                    <w:rPr>
                      <w:rFonts w:cs="Arial"/>
                      <w:color w:val="000000"/>
                      <w:sz w:val="16"/>
                      <w:szCs w:val="16"/>
                    </w:rPr>
                    <w:t>−</w:t>
                  </w:r>
                  <w:r w:rsidRPr="00134180">
                    <w:rPr>
                      <w:rFonts w:cs="Arial"/>
                      <w:color w:val="000000"/>
                      <w:sz w:val="16"/>
                      <w:szCs w:val="16"/>
                    </w:rPr>
                    <w:t>1,1</w:t>
                  </w:r>
                </w:p>
              </w:tc>
              <w:tc>
                <w:tcPr>
                  <w:tcW w:w="700" w:type="dxa"/>
                  <w:tcBorders>
                    <w:top w:val="nil"/>
                    <w:left w:val="nil"/>
                    <w:bottom w:val="nil"/>
                    <w:right w:val="nil"/>
                  </w:tcBorders>
                  <w:noWrap/>
                  <w:vAlign w:val="bottom"/>
                  <w:hideMark/>
                </w:tcPr>
                <w:p w14:paraId="05D4D53E" w14:textId="77777777" w:rsidR="00605D96" w:rsidRPr="00134180" w:rsidRDefault="00605D96" w:rsidP="008B207B">
                  <w:pPr>
                    <w:spacing w:after="0" w:line="240" w:lineRule="auto"/>
                    <w:jc w:val="right"/>
                    <w:rPr>
                      <w:rFonts w:cs="Arial"/>
                      <w:color w:val="000000"/>
                      <w:sz w:val="16"/>
                      <w:szCs w:val="16"/>
                    </w:rPr>
                  </w:pPr>
                  <w:r>
                    <w:rPr>
                      <w:rFonts w:cs="Arial"/>
                      <w:color w:val="000000"/>
                      <w:sz w:val="16"/>
                      <w:szCs w:val="16"/>
                    </w:rPr>
                    <w:t>−</w:t>
                  </w:r>
                  <w:r w:rsidRPr="00134180">
                    <w:rPr>
                      <w:rFonts w:cs="Arial"/>
                      <w:color w:val="000000"/>
                      <w:sz w:val="16"/>
                      <w:szCs w:val="16"/>
                    </w:rPr>
                    <w:t>4,0</w:t>
                  </w:r>
                </w:p>
              </w:tc>
            </w:tr>
            <w:tr w:rsidR="00605D96" w:rsidRPr="00134180" w14:paraId="5F6FFD9C" w14:textId="77777777" w:rsidTr="008B207B">
              <w:trPr>
                <w:trHeight w:val="255"/>
              </w:trPr>
              <w:tc>
                <w:tcPr>
                  <w:tcW w:w="3362" w:type="dxa"/>
                  <w:tcBorders>
                    <w:top w:val="nil"/>
                    <w:left w:val="nil"/>
                    <w:bottom w:val="nil"/>
                    <w:right w:val="nil"/>
                  </w:tcBorders>
                  <w:noWrap/>
                  <w:vAlign w:val="bottom"/>
                  <w:hideMark/>
                </w:tcPr>
                <w:p w14:paraId="54656854" w14:textId="77777777" w:rsidR="00605D96" w:rsidRPr="00134180" w:rsidRDefault="00605D96" w:rsidP="008B207B">
                  <w:pPr>
                    <w:spacing w:after="0" w:line="240" w:lineRule="auto"/>
                    <w:jc w:val="left"/>
                    <w:rPr>
                      <w:rFonts w:cs="Arial"/>
                      <w:color w:val="000000"/>
                      <w:sz w:val="16"/>
                      <w:szCs w:val="16"/>
                    </w:rPr>
                  </w:pPr>
                  <w:r w:rsidRPr="00134180">
                    <w:rPr>
                      <w:rFonts w:cs="Arial"/>
                      <w:color w:val="000000"/>
                      <w:sz w:val="16"/>
                      <w:szCs w:val="16"/>
                    </w:rPr>
                    <w:t>Izrael</w:t>
                  </w:r>
                </w:p>
              </w:tc>
              <w:tc>
                <w:tcPr>
                  <w:tcW w:w="700" w:type="dxa"/>
                  <w:tcBorders>
                    <w:top w:val="nil"/>
                    <w:left w:val="nil"/>
                    <w:bottom w:val="nil"/>
                    <w:right w:val="nil"/>
                  </w:tcBorders>
                  <w:noWrap/>
                  <w:vAlign w:val="bottom"/>
                  <w:hideMark/>
                </w:tcPr>
                <w:p w14:paraId="5160447E" w14:textId="77777777" w:rsidR="00605D96" w:rsidRPr="00134180" w:rsidRDefault="00605D96" w:rsidP="008B207B">
                  <w:pPr>
                    <w:spacing w:after="0" w:line="240" w:lineRule="auto"/>
                    <w:jc w:val="right"/>
                    <w:rPr>
                      <w:rFonts w:cs="Arial"/>
                      <w:color w:val="000000"/>
                      <w:sz w:val="16"/>
                      <w:szCs w:val="16"/>
                    </w:rPr>
                  </w:pPr>
                  <w:r>
                    <w:rPr>
                      <w:rFonts w:cs="Arial"/>
                      <w:color w:val="000000"/>
                      <w:sz w:val="16"/>
                      <w:szCs w:val="16"/>
                    </w:rPr>
                    <w:t>−</w:t>
                  </w:r>
                  <w:r w:rsidRPr="00134180">
                    <w:rPr>
                      <w:rFonts w:cs="Arial"/>
                      <w:color w:val="000000"/>
                      <w:sz w:val="16"/>
                      <w:szCs w:val="16"/>
                    </w:rPr>
                    <w:t>1,4</w:t>
                  </w:r>
                </w:p>
              </w:tc>
              <w:tc>
                <w:tcPr>
                  <w:tcW w:w="700" w:type="dxa"/>
                  <w:tcBorders>
                    <w:top w:val="nil"/>
                    <w:left w:val="nil"/>
                    <w:bottom w:val="nil"/>
                    <w:right w:val="nil"/>
                  </w:tcBorders>
                  <w:noWrap/>
                  <w:vAlign w:val="bottom"/>
                  <w:hideMark/>
                </w:tcPr>
                <w:p w14:paraId="753077C7" w14:textId="77777777" w:rsidR="00605D96" w:rsidRPr="00134180" w:rsidRDefault="00605D96" w:rsidP="008B207B">
                  <w:pPr>
                    <w:spacing w:after="0" w:line="240" w:lineRule="auto"/>
                    <w:jc w:val="right"/>
                    <w:rPr>
                      <w:rFonts w:cs="Arial"/>
                      <w:color w:val="000000"/>
                      <w:sz w:val="16"/>
                      <w:szCs w:val="16"/>
                    </w:rPr>
                  </w:pPr>
                  <w:r>
                    <w:rPr>
                      <w:rFonts w:cs="Arial"/>
                      <w:color w:val="000000"/>
                      <w:sz w:val="16"/>
                      <w:szCs w:val="16"/>
                    </w:rPr>
                    <w:t>−</w:t>
                  </w:r>
                  <w:r w:rsidRPr="00134180">
                    <w:rPr>
                      <w:rFonts w:cs="Arial"/>
                      <w:color w:val="000000"/>
                      <w:sz w:val="16"/>
                      <w:szCs w:val="16"/>
                    </w:rPr>
                    <w:t>18,4</w:t>
                  </w:r>
                </w:p>
              </w:tc>
            </w:tr>
            <w:tr w:rsidR="00605D96" w:rsidRPr="00134180" w14:paraId="7DB7625B" w14:textId="77777777" w:rsidTr="008B207B">
              <w:trPr>
                <w:trHeight w:val="255"/>
              </w:trPr>
              <w:tc>
                <w:tcPr>
                  <w:tcW w:w="3362" w:type="dxa"/>
                  <w:tcBorders>
                    <w:top w:val="nil"/>
                    <w:left w:val="nil"/>
                    <w:bottom w:val="nil"/>
                    <w:right w:val="nil"/>
                  </w:tcBorders>
                  <w:noWrap/>
                  <w:vAlign w:val="bottom"/>
                  <w:hideMark/>
                </w:tcPr>
                <w:p w14:paraId="66612E4C" w14:textId="77777777" w:rsidR="00605D96" w:rsidRPr="00134180" w:rsidRDefault="00605D96" w:rsidP="008B207B">
                  <w:pPr>
                    <w:spacing w:after="0" w:line="240" w:lineRule="auto"/>
                    <w:jc w:val="left"/>
                    <w:rPr>
                      <w:rFonts w:cs="Arial"/>
                      <w:color w:val="000000"/>
                      <w:sz w:val="16"/>
                      <w:szCs w:val="16"/>
                    </w:rPr>
                  </w:pPr>
                  <w:r w:rsidRPr="00134180">
                    <w:rPr>
                      <w:rFonts w:cs="Arial"/>
                      <w:color w:val="000000"/>
                      <w:sz w:val="16"/>
                      <w:szCs w:val="16"/>
                    </w:rPr>
                    <w:t>Nizozemsko</w:t>
                  </w:r>
                </w:p>
              </w:tc>
              <w:tc>
                <w:tcPr>
                  <w:tcW w:w="700" w:type="dxa"/>
                  <w:tcBorders>
                    <w:top w:val="nil"/>
                    <w:left w:val="nil"/>
                    <w:bottom w:val="nil"/>
                    <w:right w:val="nil"/>
                  </w:tcBorders>
                  <w:noWrap/>
                  <w:vAlign w:val="bottom"/>
                  <w:hideMark/>
                </w:tcPr>
                <w:p w14:paraId="393A17A4" w14:textId="77777777" w:rsidR="00605D96" w:rsidRPr="00134180" w:rsidRDefault="00605D96" w:rsidP="008B207B">
                  <w:pPr>
                    <w:spacing w:after="0" w:line="240" w:lineRule="auto"/>
                    <w:jc w:val="right"/>
                    <w:rPr>
                      <w:rFonts w:cs="Arial"/>
                      <w:color w:val="000000"/>
                      <w:sz w:val="16"/>
                      <w:szCs w:val="16"/>
                    </w:rPr>
                  </w:pPr>
                  <w:r>
                    <w:rPr>
                      <w:rFonts w:cs="Arial"/>
                      <w:color w:val="000000"/>
                      <w:sz w:val="16"/>
                      <w:szCs w:val="16"/>
                    </w:rPr>
                    <w:t>−</w:t>
                  </w:r>
                  <w:r w:rsidRPr="00134180">
                    <w:rPr>
                      <w:rFonts w:cs="Arial"/>
                      <w:color w:val="000000"/>
                      <w:sz w:val="16"/>
                      <w:szCs w:val="16"/>
                    </w:rPr>
                    <w:t>1,5</w:t>
                  </w:r>
                </w:p>
              </w:tc>
              <w:tc>
                <w:tcPr>
                  <w:tcW w:w="700" w:type="dxa"/>
                  <w:tcBorders>
                    <w:top w:val="nil"/>
                    <w:left w:val="nil"/>
                    <w:bottom w:val="nil"/>
                    <w:right w:val="nil"/>
                  </w:tcBorders>
                  <w:noWrap/>
                  <w:vAlign w:val="bottom"/>
                  <w:hideMark/>
                </w:tcPr>
                <w:p w14:paraId="04A9B5FD" w14:textId="77777777" w:rsidR="00605D96" w:rsidRPr="00134180" w:rsidRDefault="00605D96" w:rsidP="008B207B">
                  <w:pPr>
                    <w:spacing w:after="0" w:line="240" w:lineRule="auto"/>
                    <w:jc w:val="right"/>
                    <w:rPr>
                      <w:rFonts w:cs="Arial"/>
                      <w:color w:val="000000"/>
                      <w:sz w:val="16"/>
                      <w:szCs w:val="16"/>
                    </w:rPr>
                  </w:pPr>
                  <w:r>
                    <w:rPr>
                      <w:rFonts w:cs="Arial"/>
                      <w:color w:val="000000"/>
                      <w:sz w:val="16"/>
                      <w:szCs w:val="16"/>
                    </w:rPr>
                    <w:t>−</w:t>
                  </w:r>
                  <w:r w:rsidRPr="00134180">
                    <w:rPr>
                      <w:rFonts w:cs="Arial"/>
                      <w:color w:val="000000"/>
                      <w:sz w:val="16"/>
                      <w:szCs w:val="16"/>
                    </w:rPr>
                    <w:t>3,9</w:t>
                  </w:r>
                </w:p>
              </w:tc>
            </w:tr>
            <w:tr w:rsidR="00605D96" w:rsidRPr="00134180" w14:paraId="1D7812D8" w14:textId="77777777" w:rsidTr="008B207B">
              <w:trPr>
                <w:trHeight w:val="255"/>
              </w:trPr>
              <w:tc>
                <w:tcPr>
                  <w:tcW w:w="3362" w:type="dxa"/>
                  <w:tcBorders>
                    <w:top w:val="nil"/>
                    <w:left w:val="nil"/>
                    <w:bottom w:val="nil"/>
                    <w:right w:val="nil"/>
                  </w:tcBorders>
                  <w:noWrap/>
                  <w:vAlign w:val="bottom"/>
                  <w:hideMark/>
                </w:tcPr>
                <w:p w14:paraId="7F4526C7" w14:textId="77777777" w:rsidR="00605D96" w:rsidRPr="00134180" w:rsidRDefault="00605D96" w:rsidP="008B207B">
                  <w:pPr>
                    <w:spacing w:after="0" w:line="240" w:lineRule="auto"/>
                    <w:jc w:val="left"/>
                    <w:rPr>
                      <w:rFonts w:cs="Arial"/>
                      <w:color w:val="000000"/>
                      <w:sz w:val="16"/>
                      <w:szCs w:val="16"/>
                    </w:rPr>
                  </w:pPr>
                  <w:r w:rsidRPr="00134180">
                    <w:rPr>
                      <w:rFonts w:cs="Arial"/>
                      <w:color w:val="000000"/>
                      <w:sz w:val="16"/>
                      <w:szCs w:val="16"/>
                    </w:rPr>
                    <w:t>Velká Británie</w:t>
                  </w:r>
                </w:p>
              </w:tc>
              <w:tc>
                <w:tcPr>
                  <w:tcW w:w="700" w:type="dxa"/>
                  <w:tcBorders>
                    <w:top w:val="nil"/>
                    <w:left w:val="nil"/>
                    <w:bottom w:val="nil"/>
                    <w:right w:val="nil"/>
                  </w:tcBorders>
                  <w:noWrap/>
                  <w:vAlign w:val="bottom"/>
                  <w:hideMark/>
                </w:tcPr>
                <w:p w14:paraId="1AEDABE3" w14:textId="77777777" w:rsidR="00605D96" w:rsidRPr="00134180" w:rsidRDefault="00605D96" w:rsidP="008B207B">
                  <w:pPr>
                    <w:spacing w:after="0" w:line="240" w:lineRule="auto"/>
                    <w:jc w:val="right"/>
                    <w:rPr>
                      <w:rFonts w:cs="Arial"/>
                      <w:color w:val="000000"/>
                      <w:sz w:val="16"/>
                      <w:szCs w:val="16"/>
                    </w:rPr>
                  </w:pPr>
                  <w:r>
                    <w:rPr>
                      <w:rFonts w:cs="Arial"/>
                      <w:color w:val="000000"/>
                      <w:sz w:val="16"/>
                      <w:szCs w:val="16"/>
                    </w:rPr>
                    <w:t>−</w:t>
                  </w:r>
                  <w:r w:rsidRPr="00134180">
                    <w:rPr>
                      <w:rFonts w:cs="Arial"/>
                      <w:color w:val="000000"/>
                      <w:sz w:val="16"/>
                      <w:szCs w:val="16"/>
                    </w:rPr>
                    <w:t>2,3</w:t>
                  </w:r>
                </w:p>
              </w:tc>
              <w:tc>
                <w:tcPr>
                  <w:tcW w:w="700" w:type="dxa"/>
                  <w:tcBorders>
                    <w:top w:val="nil"/>
                    <w:left w:val="nil"/>
                    <w:bottom w:val="nil"/>
                    <w:right w:val="nil"/>
                  </w:tcBorders>
                  <w:noWrap/>
                  <w:vAlign w:val="bottom"/>
                  <w:hideMark/>
                </w:tcPr>
                <w:p w14:paraId="2AE7E63A" w14:textId="77777777" w:rsidR="00605D96" w:rsidRPr="00134180" w:rsidRDefault="00605D96" w:rsidP="008B207B">
                  <w:pPr>
                    <w:spacing w:after="0" w:line="240" w:lineRule="auto"/>
                    <w:jc w:val="right"/>
                    <w:rPr>
                      <w:rFonts w:cs="Arial"/>
                      <w:color w:val="000000"/>
                      <w:sz w:val="16"/>
                      <w:szCs w:val="16"/>
                    </w:rPr>
                  </w:pPr>
                  <w:r>
                    <w:rPr>
                      <w:rFonts w:cs="Arial"/>
                      <w:color w:val="000000"/>
                      <w:sz w:val="16"/>
                      <w:szCs w:val="16"/>
                    </w:rPr>
                    <w:t>−</w:t>
                  </w:r>
                  <w:r w:rsidRPr="00134180">
                    <w:rPr>
                      <w:rFonts w:cs="Arial"/>
                      <w:color w:val="000000"/>
                      <w:sz w:val="16"/>
                      <w:szCs w:val="16"/>
                    </w:rPr>
                    <w:t>4,5</w:t>
                  </w:r>
                </w:p>
              </w:tc>
            </w:tr>
            <w:tr w:rsidR="00605D96" w:rsidRPr="00134180" w14:paraId="52223F08" w14:textId="77777777" w:rsidTr="008B207B">
              <w:trPr>
                <w:trHeight w:val="255"/>
              </w:trPr>
              <w:tc>
                <w:tcPr>
                  <w:tcW w:w="3362" w:type="dxa"/>
                  <w:tcBorders>
                    <w:top w:val="nil"/>
                    <w:left w:val="nil"/>
                    <w:bottom w:val="nil"/>
                    <w:right w:val="nil"/>
                  </w:tcBorders>
                  <w:noWrap/>
                  <w:vAlign w:val="bottom"/>
                  <w:hideMark/>
                </w:tcPr>
                <w:p w14:paraId="22779ECB" w14:textId="77777777" w:rsidR="00605D96" w:rsidRPr="00134180" w:rsidRDefault="00605D96" w:rsidP="008B207B">
                  <w:pPr>
                    <w:spacing w:after="0" w:line="240" w:lineRule="auto"/>
                    <w:jc w:val="left"/>
                    <w:rPr>
                      <w:rFonts w:cs="Arial"/>
                      <w:color w:val="000000"/>
                      <w:sz w:val="16"/>
                      <w:szCs w:val="16"/>
                    </w:rPr>
                  </w:pPr>
                  <w:r w:rsidRPr="00134180">
                    <w:rPr>
                      <w:rFonts w:cs="Arial"/>
                      <w:color w:val="000000"/>
                      <w:sz w:val="16"/>
                      <w:szCs w:val="16"/>
                    </w:rPr>
                    <w:t>Německo</w:t>
                  </w:r>
                </w:p>
              </w:tc>
              <w:tc>
                <w:tcPr>
                  <w:tcW w:w="700" w:type="dxa"/>
                  <w:tcBorders>
                    <w:top w:val="nil"/>
                    <w:left w:val="nil"/>
                    <w:bottom w:val="nil"/>
                    <w:right w:val="nil"/>
                  </w:tcBorders>
                  <w:noWrap/>
                  <w:vAlign w:val="bottom"/>
                  <w:hideMark/>
                </w:tcPr>
                <w:p w14:paraId="62139FAB" w14:textId="77777777" w:rsidR="00605D96" w:rsidRPr="00134180" w:rsidRDefault="00605D96" w:rsidP="008B207B">
                  <w:pPr>
                    <w:spacing w:after="0" w:line="240" w:lineRule="auto"/>
                    <w:jc w:val="right"/>
                    <w:rPr>
                      <w:rFonts w:cs="Arial"/>
                      <w:color w:val="000000"/>
                      <w:sz w:val="16"/>
                      <w:szCs w:val="16"/>
                    </w:rPr>
                  </w:pPr>
                  <w:r>
                    <w:rPr>
                      <w:rFonts w:cs="Arial"/>
                      <w:color w:val="000000"/>
                      <w:sz w:val="16"/>
                      <w:szCs w:val="16"/>
                    </w:rPr>
                    <w:t>−</w:t>
                  </w:r>
                  <w:r w:rsidRPr="00134180">
                    <w:rPr>
                      <w:rFonts w:cs="Arial"/>
                      <w:color w:val="000000"/>
                      <w:sz w:val="16"/>
                      <w:szCs w:val="16"/>
                    </w:rPr>
                    <w:t>2,6</w:t>
                  </w:r>
                </w:p>
              </w:tc>
              <w:tc>
                <w:tcPr>
                  <w:tcW w:w="700" w:type="dxa"/>
                  <w:tcBorders>
                    <w:top w:val="nil"/>
                    <w:left w:val="nil"/>
                    <w:bottom w:val="nil"/>
                    <w:right w:val="nil"/>
                  </w:tcBorders>
                  <w:noWrap/>
                  <w:vAlign w:val="bottom"/>
                  <w:hideMark/>
                </w:tcPr>
                <w:p w14:paraId="25E15FBB" w14:textId="77777777" w:rsidR="00605D96" w:rsidRPr="00134180" w:rsidRDefault="00605D96" w:rsidP="008B207B">
                  <w:pPr>
                    <w:spacing w:after="0" w:line="240" w:lineRule="auto"/>
                    <w:jc w:val="right"/>
                    <w:rPr>
                      <w:rFonts w:cs="Arial"/>
                      <w:color w:val="000000"/>
                      <w:sz w:val="16"/>
                      <w:szCs w:val="16"/>
                    </w:rPr>
                  </w:pPr>
                  <w:r>
                    <w:rPr>
                      <w:rFonts w:cs="Arial"/>
                      <w:color w:val="000000"/>
                      <w:sz w:val="16"/>
                      <w:szCs w:val="16"/>
                    </w:rPr>
                    <w:t>−</w:t>
                  </w:r>
                  <w:r w:rsidRPr="00134180">
                    <w:rPr>
                      <w:rFonts w:cs="Arial"/>
                      <w:color w:val="000000"/>
                      <w:sz w:val="16"/>
                      <w:szCs w:val="16"/>
                    </w:rPr>
                    <w:t>0,8</w:t>
                  </w:r>
                </w:p>
              </w:tc>
            </w:tr>
            <w:tr w:rsidR="00605D96" w:rsidRPr="00134180" w14:paraId="76335155" w14:textId="77777777" w:rsidTr="008B207B">
              <w:trPr>
                <w:trHeight w:val="255"/>
              </w:trPr>
              <w:tc>
                <w:tcPr>
                  <w:tcW w:w="3362" w:type="dxa"/>
                  <w:tcBorders>
                    <w:top w:val="nil"/>
                    <w:left w:val="nil"/>
                    <w:bottom w:val="nil"/>
                    <w:right w:val="nil"/>
                  </w:tcBorders>
                  <w:noWrap/>
                  <w:vAlign w:val="bottom"/>
                  <w:hideMark/>
                </w:tcPr>
                <w:p w14:paraId="06D8F54B" w14:textId="77777777" w:rsidR="00605D96" w:rsidRPr="00134180" w:rsidRDefault="00605D96" w:rsidP="008B207B">
                  <w:pPr>
                    <w:spacing w:after="0" w:line="240" w:lineRule="auto"/>
                    <w:jc w:val="left"/>
                    <w:rPr>
                      <w:rFonts w:cs="Arial"/>
                      <w:color w:val="000000"/>
                      <w:sz w:val="16"/>
                      <w:szCs w:val="16"/>
                    </w:rPr>
                  </w:pPr>
                  <w:r w:rsidRPr="00134180">
                    <w:rPr>
                      <w:rFonts w:cs="Arial"/>
                      <w:color w:val="000000"/>
                      <w:sz w:val="16"/>
                      <w:szCs w:val="16"/>
                    </w:rPr>
                    <w:t>Spojené státy</w:t>
                  </w:r>
                  <w:r>
                    <w:rPr>
                      <w:rFonts w:cs="Arial"/>
                      <w:color w:val="000000"/>
                      <w:sz w:val="16"/>
                      <w:szCs w:val="16"/>
                    </w:rPr>
                    <w:t xml:space="preserve"> americké</w:t>
                  </w:r>
                </w:p>
              </w:tc>
              <w:tc>
                <w:tcPr>
                  <w:tcW w:w="700" w:type="dxa"/>
                  <w:tcBorders>
                    <w:top w:val="nil"/>
                    <w:left w:val="nil"/>
                    <w:bottom w:val="nil"/>
                    <w:right w:val="nil"/>
                  </w:tcBorders>
                  <w:noWrap/>
                  <w:vAlign w:val="bottom"/>
                  <w:hideMark/>
                </w:tcPr>
                <w:p w14:paraId="4C46FA7D" w14:textId="77777777" w:rsidR="00605D96" w:rsidRPr="00134180" w:rsidRDefault="00605D96" w:rsidP="008B207B">
                  <w:pPr>
                    <w:spacing w:after="0" w:line="240" w:lineRule="auto"/>
                    <w:jc w:val="right"/>
                    <w:rPr>
                      <w:rFonts w:cs="Arial"/>
                      <w:color w:val="000000"/>
                      <w:sz w:val="16"/>
                      <w:szCs w:val="16"/>
                    </w:rPr>
                  </w:pPr>
                  <w:r>
                    <w:rPr>
                      <w:rFonts w:cs="Arial"/>
                      <w:color w:val="000000"/>
                      <w:sz w:val="16"/>
                      <w:szCs w:val="16"/>
                    </w:rPr>
                    <w:t>−</w:t>
                  </w:r>
                  <w:r w:rsidRPr="00134180">
                    <w:rPr>
                      <w:rFonts w:cs="Arial"/>
                      <w:color w:val="000000"/>
                      <w:sz w:val="16"/>
                      <w:szCs w:val="16"/>
                    </w:rPr>
                    <w:t>3,0</w:t>
                  </w:r>
                </w:p>
              </w:tc>
              <w:tc>
                <w:tcPr>
                  <w:tcW w:w="700" w:type="dxa"/>
                  <w:tcBorders>
                    <w:top w:val="nil"/>
                    <w:left w:val="nil"/>
                    <w:bottom w:val="nil"/>
                    <w:right w:val="nil"/>
                  </w:tcBorders>
                  <w:noWrap/>
                  <w:vAlign w:val="bottom"/>
                  <w:hideMark/>
                </w:tcPr>
                <w:p w14:paraId="5A0468BF" w14:textId="77777777" w:rsidR="00605D96" w:rsidRPr="00134180" w:rsidRDefault="00605D96" w:rsidP="008B207B">
                  <w:pPr>
                    <w:spacing w:after="0" w:line="240" w:lineRule="auto"/>
                    <w:jc w:val="right"/>
                    <w:rPr>
                      <w:rFonts w:cs="Arial"/>
                      <w:color w:val="000000"/>
                      <w:sz w:val="16"/>
                      <w:szCs w:val="16"/>
                    </w:rPr>
                  </w:pPr>
                  <w:r>
                    <w:rPr>
                      <w:rFonts w:cs="Arial"/>
                      <w:color w:val="000000"/>
                      <w:sz w:val="16"/>
                      <w:szCs w:val="16"/>
                    </w:rPr>
                    <w:t>−</w:t>
                  </w:r>
                  <w:r w:rsidRPr="00134180">
                    <w:rPr>
                      <w:rFonts w:cs="Arial"/>
                      <w:color w:val="000000"/>
                      <w:sz w:val="16"/>
                      <w:szCs w:val="16"/>
                    </w:rPr>
                    <w:t>8,7</w:t>
                  </w:r>
                </w:p>
              </w:tc>
            </w:tr>
            <w:tr w:rsidR="00605D96" w:rsidRPr="00134180" w14:paraId="73062F45" w14:textId="77777777" w:rsidTr="008B207B">
              <w:trPr>
                <w:trHeight w:val="255"/>
              </w:trPr>
              <w:tc>
                <w:tcPr>
                  <w:tcW w:w="3362" w:type="dxa"/>
                  <w:tcBorders>
                    <w:top w:val="nil"/>
                    <w:left w:val="nil"/>
                    <w:bottom w:val="nil"/>
                    <w:right w:val="nil"/>
                  </w:tcBorders>
                  <w:noWrap/>
                  <w:vAlign w:val="bottom"/>
                  <w:hideMark/>
                </w:tcPr>
                <w:p w14:paraId="29C423F0" w14:textId="77777777" w:rsidR="00605D96" w:rsidRPr="00134180" w:rsidRDefault="00605D96" w:rsidP="008B207B">
                  <w:pPr>
                    <w:spacing w:after="0" w:line="240" w:lineRule="auto"/>
                    <w:jc w:val="left"/>
                    <w:rPr>
                      <w:rFonts w:cs="Arial"/>
                      <w:color w:val="000000"/>
                      <w:sz w:val="16"/>
                      <w:szCs w:val="16"/>
                    </w:rPr>
                  </w:pPr>
                  <w:r w:rsidRPr="00134180">
                    <w:rPr>
                      <w:rFonts w:cs="Arial"/>
                      <w:color w:val="000000"/>
                      <w:sz w:val="16"/>
                      <w:szCs w:val="16"/>
                    </w:rPr>
                    <w:t>Polsko</w:t>
                  </w:r>
                </w:p>
              </w:tc>
              <w:tc>
                <w:tcPr>
                  <w:tcW w:w="700" w:type="dxa"/>
                  <w:tcBorders>
                    <w:top w:val="nil"/>
                    <w:left w:val="nil"/>
                    <w:bottom w:val="nil"/>
                    <w:right w:val="nil"/>
                  </w:tcBorders>
                  <w:noWrap/>
                  <w:vAlign w:val="bottom"/>
                  <w:hideMark/>
                </w:tcPr>
                <w:p w14:paraId="64A383FA" w14:textId="77777777" w:rsidR="00605D96" w:rsidRPr="00134180" w:rsidRDefault="00605D96" w:rsidP="008B207B">
                  <w:pPr>
                    <w:spacing w:after="0" w:line="240" w:lineRule="auto"/>
                    <w:jc w:val="right"/>
                    <w:rPr>
                      <w:rFonts w:cs="Arial"/>
                      <w:color w:val="000000"/>
                      <w:sz w:val="16"/>
                      <w:szCs w:val="16"/>
                    </w:rPr>
                  </w:pPr>
                  <w:r>
                    <w:rPr>
                      <w:rFonts w:cs="Arial"/>
                      <w:color w:val="000000"/>
                      <w:sz w:val="16"/>
                      <w:szCs w:val="16"/>
                    </w:rPr>
                    <w:t>−</w:t>
                  </w:r>
                  <w:r w:rsidRPr="00134180">
                    <w:rPr>
                      <w:rFonts w:cs="Arial"/>
                      <w:color w:val="000000"/>
                      <w:sz w:val="16"/>
                      <w:szCs w:val="16"/>
                    </w:rPr>
                    <w:t>6,7</w:t>
                  </w:r>
                </w:p>
              </w:tc>
              <w:tc>
                <w:tcPr>
                  <w:tcW w:w="700" w:type="dxa"/>
                  <w:tcBorders>
                    <w:top w:val="nil"/>
                    <w:left w:val="nil"/>
                    <w:bottom w:val="nil"/>
                    <w:right w:val="nil"/>
                  </w:tcBorders>
                  <w:noWrap/>
                  <w:vAlign w:val="bottom"/>
                  <w:hideMark/>
                </w:tcPr>
                <w:p w14:paraId="700B0D32" w14:textId="77777777" w:rsidR="00605D96" w:rsidRPr="00134180" w:rsidRDefault="00605D96" w:rsidP="008B207B">
                  <w:pPr>
                    <w:spacing w:after="0" w:line="240" w:lineRule="auto"/>
                    <w:jc w:val="right"/>
                    <w:rPr>
                      <w:rFonts w:cs="Arial"/>
                      <w:color w:val="000000"/>
                      <w:sz w:val="16"/>
                      <w:szCs w:val="16"/>
                    </w:rPr>
                  </w:pPr>
                  <w:r>
                    <w:rPr>
                      <w:rFonts w:cs="Arial"/>
                      <w:color w:val="000000"/>
                      <w:sz w:val="16"/>
                      <w:szCs w:val="16"/>
                    </w:rPr>
                    <w:t>−</w:t>
                  </w:r>
                  <w:r w:rsidRPr="00134180">
                    <w:rPr>
                      <w:rFonts w:cs="Arial"/>
                      <w:color w:val="000000"/>
                      <w:sz w:val="16"/>
                      <w:szCs w:val="16"/>
                    </w:rPr>
                    <w:t>7,3</w:t>
                  </w:r>
                </w:p>
              </w:tc>
            </w:tr>
          </w:tbl>
          <w:p w14:paraId="4F5070DD" w14:textId="77777777" w:rsidR="00605D96" w:rsidRDefault="00605D96" w:rsidP="008B207B">
            <w:pPr>
              <w:spacing w:after="0"/>
              <w:rPr>
                <w:spacing w:val="-4"/>
                <w:lang w:eastAsia="en-US"/>
              </w:rPr>
            </w:pPr>
          </w:p>
        </w:tc>
      </w:tr>
      <w:tr w:rsidR="00605D96" w14:paraId="0286DA06" w14:textId="77777777" w:rsidTr="008B207B">
        <w:trPr>
          <w:trHeight w:val="170"/>
        </w:trPr>
        <w:tc>
          <w:tcPr>
            <w:tcW w:w="4811" w:type="dxa"/>
            <w:gridSpan w:val="3"/>
            <w:hideMark/>
          </w:tcPr>
          <w:p w14:paraId="051F344D" w14:textId="77777777" w:rsidR="00605D96" w:rsidRDefault="00605D96" w:rsidP="008B207B">
            <w:pPr>
              <w:jc w:val="left"/>
              <w:rPr>
                <w:spacing w:val="-4"/>
                <w:sz w:val="16"/>
                <w:szCs w:val="16"/>
                <w:lang w:eastAsia="en-US"/>
              </w:rPr>
            </w:pPr>
            <w:r>
              <w:rPr>
                <w:spacing w:val="-4"/>
                <w:sz w:val="16"/>
                <w:szCs w:val="16"/>
                <w:lang w:eastAsia="en-US"/>
              </w:rPr>
              <w:t>Zdroj: ČSÚ</w:t>
            </w:r>
          </w:p>
        </w:tc>
        <w:tc>
          <w:tcPr>
            <w:tcW w:w="57" w:type="dxa"/>
          </w:tcPr>
          <w:p w14:paraId="192632AF" w14:textId="77777777" w:rsidR="00605D96" w:rsidRDefault="00605D96" w:rsidP="008B207B">
            <w:pPr>
              <w:spacing w:after="0"/>
              <w:rPr>
                <w:spacing w:val="-4"/>
                <w:lang w:eastAsia="en-US"/>
              </w:rPr>
            </w:pPr>
          </w:p>
        </w:tc>
        <w:tc>
          <w:tcPr>
            <w:tcW w:w="4809" w:type="dxa"/>
            <w:hideMark/>
          </w:tcPr>
          <w:p w14:paraId="69732CB4" w14:textId="77777777" w:rsidR="00605D96" w:rsidRDefault="00605D96" w:rsidP="008B207B">
            <w:pPr>
              <w:spacing w:after="0"/>
              <w:ind w:right="21"/>
              <w:jc w:val="left"/>
              <w:rPr>
                <w:spacing w:val="-4"/>
                <w:lang w:eastAsia="en-US"/>
              </w:rPr>
            </w:pPr>
            <w:r>
              <w:rPr>
                <w:spacing w:val="-4"/>
                <w:sz w:val="16"/>
                <w:szCs w:val="16"/>
                <w:lang w:eastAsia="en-US"/>
              </w:rPr>
              <w:t>Zdroj: ČSÚ</w:t>
            </w:r>
          </w:p>
        </w:tc>
      </w:tr>
      <w:tr w:rsidR="00605D96" w14:paraId="388F7C53" w14:textId="77777777" w:rsidTr="008B207B">
        <w:trPr>
          <w:trHeight w:val="145"/>
        </w:trPr>
        <w:tc>
          <w:tcPr>
            <w:tcW w:w="1748" w:type="dxa"/>
          </w:tcPr>
          <w:p w14:paraId="0A66C97C" w14:textId="77777777" w:rsidR="00605D96" w:rsidRDefault="00605D96" w:rsidP="008B207B">
            <w:pPr>
              <w:pStyle w:val="Marginlie"/>
              <w:rPr>
                <w:lang w:eastAsia="en-US"/>
              </w:rPr>
            </w:pPr>
            <w:r>
              <w:rPr>
                <w:lang w:eastAsia="en-US"/>
              </w:rPr>
              <w:t>Motorová vozidla klíčově přispívala k loňskému nárůstu exportu.</w:t>
            </w:r>
          </w:p>
        </w:tc>
        <w:tc>
          <w:tcPr>
            <w:tcW w:w="252" w:type="dxa"/>
          </w:tcPr>
          <w:p w14:paraId="244C6175" w14:textId="77777777" w:rsidR="00605D96" w:rsidRDefault="00605D96" w:rsidP="008B207B">
            <w:pPr>
              <w:pStyle w:val="Textpoznpodarou"/>
              <w:jc w:val="both"/>
              <w:rPr>
                <w:spacing w:val="-4"/>
                <w:lang w:eastAsia="en-US"/>
              </w:rPr>
            </w:pPr>
          </w:p>
        </w:tc>
        <w:tc>
          <w:tcPr>
            <w:tcW w:w="7677" w:type="dxa"/>
            <w:gridSpan w:val="3"/>
          </w:tcPr>
          <w:p w14:paraId="214393F2" w14:textId="77777777" w:rsidR="00605D96" w:rsidRDefault="00605D96" w:rsidP="008B207B">
            <w:pPr>
              <w:spacing w:after="180"/>
              <w:rPr>
                <w:spacing w:val="-4"/>
                <w:lang w:eastAsia="en-US"/>
              </w:rPr>
            </w:pPr>
            <w:r>
              <w:rPr>
                <w:spacing w:val="-4"/>
                <w:lang w:eastAsia="en-US"/>
              </w:rPr>
              <w:t>K navýšení hodnoty vývozu v roce 2025 jednoznačně nejvíce přispěl export motorových vozidel (+57,8 mld. korun, 4,4 %). S odstupem pak následovaly ostatní oblasti domácí výroby – stroje a zařízení (+17,2 mld. korun, 3,4 %), které se částečně zotavily po poklesu z předchozího roku, a v posledních letech výrazně rostoucí ostatní dopravní prostředky (+13,1 mld. korun, 15,9 %) a potravinářské výrobky (+11,8 mld., 6,2 %). Významný byl rovněž přírůstek vývozu základních farmaceutických výrobků a přípravků (+8,0 mld., 11,3 %), elektřiny, plynu, páry a klimatizovaného vzduchu (+7,8 mld. korun, 16,2 %), pryžových a plastových výrobků (+6,6 mld., 3,0 %), počítačů, elektronických a optických přístrojů (+6,0 mld., 1,4 %) a koksu a rafinovaných ropných výrobků (+5,5 mld., 13,0 %). Pokles hodnoty vývozu byl loni soustředěn zejména do oblasti chemických látek a přípravků (−10,7 mld. korun, −4,8 %). Ve 4. čtvrtletí byla meziroční dynamika exportu napříč různými artikly jen velmi mírná, včetně obvyklých tahounů vývozu, jakými byla jen slabě rostoucí motorová vozidla (viz Tabulka č. 1). Naopak poměrně silný kvartál vykázal export strojů a zařízení, který byl v posledních letech utlumen. K celkovému meziročnímu růstu vývozu přispíval významněji také export ropy a zemního plynu. Naopak se prohloubil pokles, do kterého se v předcházejícím kvartálu dostal vývoz elektrických zařízení, trval propad u chemických látek a přípravků a výrazně se snížil export elektřiny, plynu, páry a klimatizovaného vzduchu.</w:t>
            </w:r>
          </w:p>
        </w:tc>
      </w:tr>
      <w:tr w:rsidR="00605D96" w14:paraId="7BB77D4E" w14:textId="77777777" w:rsidTr="008B207B">
        <w:trPr>
          <w:trHeight w:val="145"/>
        </w:trPr>
        <w:tc>
          <w:tcPr>
            <w:tcW w:w="1748" w:type="dxa"/>
            <w:hideMark/>
          </w:tcPr>
          <w:p w14:paraId="73A15055" w14:textId="77777777" w:rsidR="00605D96" w:rsidRDefault="00605D96" w:rsidP="008B207B">
            <w:pPr>
              <w:pStyle w:val="Marginlie"/>
              <w:rPr>
                <w:lang w:eastAsia="en-US"/>
              </w:rPr>
            </w:pPr>
            <w:r>
              <w:rPr>
                <w:lang w:eastAsia="en-US"/>
              </w:rPr>
              <w:t>Dovoz loni rostl mírně.</w:t>
            </w:r>
          </w:p>
        </w:tc>
        <w:tc>
          <w:tcPr>
            <w:tcW w:w="252" w:type="dxa"/>
          </w:tcPr>
          <w:p w14:paraId="0E93BCAD" w14:textId="77777777" w:rsidR="00605D96" w:rsidRDefault="00605D96" w:rsidP="008B207B">
            <w:pPr>
              <w:pStyle w:val="Textpoznpodarou"/>
              <w:jc w:val="both"/>
              <w:rPr>
                <w:spacing w:val="-4"/>
                <w:lang w:eastAsia="en-US"/>
              </w:rPr>
            </w:pPr>
          </w:p>
        </w:tc>
        <w:tc>
          <w:tcPr>
            <w:tcW w:w="7677" w:type="dxa"/>
            <w:gridSpan w:val="3"/>
            <w:hideMark/>
          </w:tcPr>
          <w:p w14:paraId="54B9EC9F" w14:textId="77777777" w:rsidR="00605D96" w:rsidRDefault="00605D96" w:rsidP="008B207B">
            <w:pPr>
              <w:rPr>
                <w:spacing w:val="-4"/>
                <w:lang w:eastAsia="en-US"/>
              </w:rPr>
            </w:pPr>
            <w:r>
              <w:rPr>
                <w:spacing w:val="-4"/>
                <w:lang w:eastAsia="en-US"/>
              </w:rPr>
              <w:t>Dovoz zboží v roce 2025 dosáhl 4 576,7 mld. korun a zvýšil se o 134,0 mld. (3,0 %). Nominální přírůstek posílil oproti roku 2024, ačkoli cenový vývoj</w:t>
            </w:r>
            <w:r w:rsidRPr="00C11451">
              <w:rPr>
                <w:rStyle w:val="Znakapoznpodarou"/>
                <w:spacing w:val="-4"/>
                <w:lang w:eastAsia="en-US"/>
              </w:rPr>
              <w:footnoteReference w:id="5"/>
            </w:r>
            <w:r>
              <w:rPr>
                <w:spacing w:val="-4"/>
                <w:lang w:eastAsia="en-US"/>
              </w:rPr>
              <w:t xml:space="preserve"> působil ve směru poklesu. Rovněž v případě dovozu byla meziroční dynamika nejsilnější na počátku roku a postupně </w:t>
            </w:r>
            <w:r>
              <w:rPr>
                <w:spacing w:val="-4"/>
                <w:lang w:eastAsia="en-US"/>
              </w:rPr>
              <w:lastRenderedPageBreak/>
              <w:t xml:space="preserve">slábla. Ve 4. čtvrtletí poklesla hodnota dovozu o 10,8 mld. korun (−0,9 %) na 1 138,7 mld. Mezičtvrtletně se dovoz ve 4. kvartálu zvýšil o 1,3 %.  </w:t>
            </w:r>
          </w:p>
        </w:tc>
      </w:tr>
      <w:tr w:rsidR="00605D96" w14:paraId="1A52275D" w14:textId="77777777" w:rsidTr="008B207B">
        <w:trPr>
          <w:trHeight w:val="145"/>
        </w:trPr>
        <w:tc>
          <w:tcPr>
            <w:tcW w:w="1748" w:type="dxa"/>
          </w:tcPr>
          <w:p w14:paraId="494F089B" w14:textId="77777777" w:rsidR="00605D96" w:rsidRDefault="00605D96" w:rsidP="008B207B">
            <w:pPr>
              <w:pStyle w:val="Marginlie"/>
              <w:rPr>
                <w:lang w:eastAsia="en-US"/>
              </w:rPr>
            </w:pPr>
            <w:r>
              <w:rPr>
                <w:lang w:eastAsia="en-US"/>
              </w:rPr>
              <w:lastRenderedPageBreak/>
              <w:t xml:space="preserve">Rostl dovoz z EU </w:t>
            </w:r>
            <w:r>
              <w:rPr>
                <w:lang w:eastAsia="en-US"/>
              </w:rPr>
              <w:br/>
              <w:t>i z </w:t>
            </w:r>
            <w:proofErr w:type="spellStart"/>
            <w:r>
              <w:rPr>
                <w:lang w:eastAsia="en-US"/>
              </w:rPr>
              <w:t>mimounijních</w:t>
            </w:r>
            <w:proofErr w:type="spellEnd"/>
            <w:r>
              <w:rPr>
                <w:lang w:eastAsia="en-US"/>
              </w:rPr>
              <w:t xml:space="preserve"> zemí.</w:t>
            </w:r>
          </w:p>
        </w:tc>
        <w:tc>
          <w:tcPr>
            <w:tcW w:w="252" w:type="dxa"/>
          </w:tcPr>
          <w:p w14:paraId="7809F21B" w14:textId="77777777" w:rsidR="00605D96" w:rsidRDefault="00605D96" w:rsidP="008B207B">
            <w:pPr>
              <w:pStyle w:val="Textpoznpodarou"/>
              <w:jc w:val="both"/>
              <w:rPr>
                <w:spacing w:val="-4"/>
                <w:lang w:eastAsia="en-US"/>
              </w:rPr>
            </w:pPr>
          </w:p>
        </w:tc>
        <w:tc>
          <w:tcPr>
            <w:tcW w:w="7677" w:type="dxa"/>
            <w:gridSpan w:val="3"/>
          </w:tcPr>
          <w:p w14:paraId="3099E0CF" w14:textId="77777777" w:rsidR="00605D96" w:rsidRDefault="00605D96" w:rsidP="008B207B">
            <w:pPr>
              <w:spacing w:after="180"/>
              <w:rPr>
                <w:spacing w:val="-4"/>
                <w:lang w:eastAsia="en-US"/>
              </w:rPr>
            </w:pPr>
            <w:r>
              <w:rPr>
                <w:spacing w:val="-4"/>
                <w:lang w:eastAsia="en-US"/>
              </w:rPr>
              <w:t xml:space="preserve">Import ze zemí EU se loni zvýšil o 62,6 mld. korun (2,3 %). V případě dovozu mimo EU byl přírůstek relativně silnější (+48,5 mld., 3,0 %). K největšímu nárůstu loni došlo u dovozu z Norska (+24,2 mld. korun, 44,0 %) a Číny (+19,6 mld., 3,6 %). Významná navýšení byla zachycena u importu z Německa (+11,4 mld. korun, 1,1 %), Rakouska (+9,1 mld., 7,5 %), Turecka (+8,9 mld., 16,0 %), Maďarska (+6,1 mld., 6,1 %) a Švýcarska (+5,6 mld., 11,8 %). Silné procentní nárůsty byly zaznamenány u dovozu ze Singapuru (+5,1 mld., 102,2 %) a Spojených arabských emirátů (+1,4 mld., 32,6 %). Jen u menšiny zemí došlo k poklesu importu, významný propad měl jen dovoz z Ruska (−53,0 mld. korun, −67,5 %) a Tchaj-wanu (−8,0 mld., −17,8 %). Na celkovém poklesu dovozu ve 4. čtvrtletí měly větší podíl </w:t>
            </w:r>
            <w:proofErr w:type="spellStart"/>
            <w:r>
              <w:rPr>
                <w:spacing w:val="-4"/>
                <w:lang w:eastAsia="en-US"/>
              </w:rPr>
              <w:t>mimounijní</w:t>
            </w:r>
            <w:proofErr w:type="spellEnd"/>
            <w:r>
              <w:rPr>
                <w:spacing w:val="-4"/>
                <w:lang w:eastAsia="en-US"/>
              </w:rPr>
              <w:t xml:space="preserve"> země (−8,6 mld., −2,0 %) než import z EU (−5,7 mld. korun, −0,8 %). Ve směru meziročního poklesu dovozu působil zejména vývoj u Ruska a Číny (viz Tabulka č. 4) a výrazná snížení byla zachycena také u importu ze Slovenska, Polska či Německa. Naopak rostl dovoz z Norska, Maďarska nebo Tchaj-wanu.</w:t>
            </w:r>
          </w:p>
        </w:tc>
      </w:tr>
      <w:tr w:rsidR="00605D96" w14:paraId="5C8CF342" w14:textId="77777777" w:rsidTr="008B207B">
        <w:trPr>
          <w:trHeight w:val="145"/>
        </w:trPr>
        <w:tc>
          <w:tcPr>
            <w:tcW w:w="1748" w:type="dxa"/>
          </w:tcPr>
          <w:p w14:paraId="5CBCDD2C" w14:textId="77777777" w:rsidR="00605D96" w:rsidRDefault="00605D96" w:rsidP="008B207B">
            <w:pPr>
              <w:pStyle w:val="Marginlie"/>
              <w:rPr>
                <w:lang w:eastAsia="en-US"/>
              </w:rPr>
            </w:pPr>
            <w:r>
              <w:rPr>
                <w:lang w:eastAsia="en-US"/>
              </w:rPr>
              <w:t>Značně loni rostl import kovodělných výrobků.</w:t>
            </w:r>
          </w:p>
        </w:tc>
        <w:tc>
          <w:tcPr>
            <w:tcW w:w="252" w:type="dxa"/>
          </w:tcPr>
          <w:p w14:paraId="547DB846" w14:textId="77777777" w:rsidR="00605D96" w:rsidRDefault="00605D96" w:rsidP="008B207B">
            <w:pPr>
              <w:pStyle w:val="Textpoznpodarou"/>
              <w:jc w:val="both"/>
              <w:rPr>
                <w:spacing w:val="-4"/>
                <w:lang w:eastAsia="en-US"/>
              </w:rPr>
            </w:pPr>
          </w:p>
        </w:tc>
        <w:tc>
          <w:tcPr>
            <w:tcW w:w="7677" w:type="dxa"/>
            <w:gridSpan w:val="3"/>
          </w:tcPr>
          <w:p w14:paraId="761346B8" w14:textId="77777777" w:rsidR="00605D96" w:rsidRDefault="00605D96" w:rsidP="008B207B">
            <w:pPr>
              <w:spacing w:after="180"/>
              <w:rPr>
                <w:spacing w:val="-4"/>
                <w:lang w:eastAsia="en-US"/>
              </w:rPr>
            </w:pPr>
            <w:r>
              <w:rPr>
                <w:spacing w:val="-4"/>
                <w:szCs w:val="20"/>
                <w:lang w:eastAsia="en-US"/>
              </w:rPr>
              <w:t>Nejvíce se loni zvýšil dovoz kovodělných výrobků</w:t>
            </w:r>
            <w:r>
              <w:rPr>
                <w:rStyle w:val="Znakapoznpodarou"/>
                <w:spacing w:val="-4"/>
                <w:szCs w:val="20"/>
                <w:lang w:eastAsia="en-US"/>
              </w:rPr>
              <w:footnoteReference w:id="6"/>
            </w:r>
            <w:r>
              <w:rPr>
                <w:spacing w:val="-4"/>
                <w:szCs w:val="20"/>
                <w:lang w:eastAsia="en-US"/>
              </w:rPr>
              <w:t xml:space="preserve"> (+40,1 mld. korun, 18,4 %) a elektrických zařízení</w:t>
            </w:r>
            <w:r>
              <w:rPr>
                <w:rStyle w:val="Znakapoznpodarou"/>
                <w:spacing w:val="-4"/>
                <w:lang w:eastAsia="en-US"/>
              </w:rPr>
              <w:footnoteReference w:id="7"/>
            </w:r>
            <w:r>
              <w:rPr>
                <w:spacing w:val="-4"/>
                <w:szCs w:val="20"/>
                <w:lang w:eastAsia="en-US"/>
              </w:rPr>
              <w:t xml:space="preserve"> (+31,4 mld., 7,2 %). Výrazný nárůst byl zachycen také u importu motorových vozidel (+16,7 mld. korun, 2,5 %), potravinářských výrobků (+15,3 mld., 6,2 %), elektřiny, plynu, páry a klimatizovaného vzduchu (+10,7 mld., 54,8 %), ostatních výrobků zpracovatelského průmyslu (+9,2 mld., 9,6 %) a ostatních dopravních prostředků (+9,1 mld., 14,5 %). Výrazně se snížila zejména hodnota dovozu koksu a rafinovaných ropných výrobků (−7,5 mld. korun, −7,5 %). Celkové meziroční snížení importu zboží ve 4. čtvrtletí ovlivnil především pokles u dovozu ropy a zemního plynu (viz Tabulka č. 3). Nižší byl také dovoz chemických látek a přípravků, strojů a zařízení, elektrických zařízení nebo koksu a rafinovaných ropných výrobků. Rostl naopak import ostatních dopravních prostředků a zařízení nebo ostatních výrobků zpracovatelského průmyslu.</w:t>
            </w:r>
          </w:p>
        </w:tc>
      </w:tr>
      <w:tr w:rsidR="00605D96" w14:paraId="720F81CD" w14:textId="77777777" w:rsidTr="008B207B">
        <w:trPr>
          <w:trHeight w:val="170"/>
        </w:trPr>
        <w:tc>
          <w:tcPr>
            <w:tcW w:w="4811" w:type="dxa"/>
            <w:gridSpan w:val="3"/>
            <w:hideMark/>
          </w:tcPr>
          <w:p w14:paraId="265D12E7" w14:textId="77777777" w:rsidR="00605D96" w:rsidRDefault="00605D96" w:rsidP="008B207B">
            <w:pPr>
              <w:spacing w:after="0"/>
              <w:jc w:val="left"/>
              <w:rPr>
                <w:spacing w:val="-4"/>
                <w:lang w:eastAsia="en-US"/>
              </w:rPr>
            </w:pPr>
            <w:r>
              <w:rPr>
                <w:rFonts w:cs="Arial"/>
                <w:b/>
                <w:bCs/>
                <w:color w:val="000000"/>
                <w:sz w:val="18"/>
                <w:szCs w:val="18"/>
                <w:lang w:eastAsia="en-US"/>
              </w:rPr>
              <w:t xml:space="preserve">Tabulka č. 3 Oddíly klasifikace CPA s největším vlivem na vývoj dovozu zboží ve 4. čtvrtletí 2025 </w:t>
            </w:r>
            <w:r>
              <w:rPr>
                <w:rFonts w:cs="Arial"/>
                <w:bCs/>
                <w:color w:val="000000"/>
                <w:sz w:val="18"/>
                <w:szCs w:val="18"/>
                <w:lang w:eastAsia="en-US"/>
              </w:rPr>
              <w:t>(meziročně)</w:t>
            </w:r>
          </w:p>
        </w:tc>
        <w:tc>
          <w:tcPr>
            <w:tcW w:w="57" w:type="dxa"/>
          </w:tcPr>
          <w:p w14:paraId="5BAAFF48" w14:textId="77777777" w:rsidR="00605D96" w:rsidRDefault="00605D96" w:rsidP="008B207B">
            <w:pPr>
              <w:spacing w:after="0"/>
              <w:rPr>
                <w:spacing w:val="-4"/>
                <w:lang w:eastAsia="en-US"/>
              </w:rPr>
            </w:pPr>
          </w:p>
        </w:tc>
        <w:tc>
          <w:tcPr>
            <w:tcW w:w="4809" w:type="dxa"/>
            <w:hideMark/>
          </w:tcPr>
          <w:p w14:paraId="4A10656A" w14:textId="77777777" w:rsidR="00605D96" w:rsidRDefault="00605D96" w:rsidP="008B207B">
            <w:pPr>
              <w:spacing w:after="0"/>
              <w:jc w:val="left"/>
              <w:rPr>
                <w:spacing w:val="-4"/>
                <w:sz w:val="18"/>
                <w:szCs w:val="18"/>
                <w:lang w:eastAsia="en-US"/>
              </w:rPr>
            </w:pPr>
            <w:r>
              <w:rPr>
                <w:rFonts w:cs="Arial"/>
                <w:b/>
                <w:bCs/>
                <w:color w:val="000000"/>
                <w:sz w:val="18"/>
                <w:szCs w:val="18"/>
                <w:lang w:eastAsia="en-US"/>
              </w:rPr>
              <w:t xml:space="preserve">Tabulka č. 4 Země s největším vlivem na vývoj dovozu zboží ve 4. čtvrtletí 2025 </w:t>
            </w:r>
            <w:r>
              <w:rPr>
                <w:rFonts w:cs="Arial"/>
                <w:bCs/>
                <w:color w:val="000000"/>
                <w:sz w:val="18"/>
                <w:szCs w:val="18"/>
                <w:lang w:eastAsia="en-US"/>
              </w:rPr>
              <w:t>(meziročně)</w:t>
            </w:r>
          </w:p>
        </w:tc>
      </w:tr>
      <w:tr w:rsidR="00605D96" w:rsidRPr="005A40B7" w14:paraId="34C52A63" w14:textId="77777777" w:rsidTr="008B207B">
        <w:trPr>
          <w:trHeight w:val="170"/>
        </w:trPr>
        <w:tc>
          <w:tcPr>
            <w:tcW w:w="4811" w:type="dxa"/>
            <w:gridSpan w:val="3"/>
            <w:hideMark/>
          </w:tcPr>
          <w:tbl>
            <w:tblPr>
              <w:tblW w:w="4817" w:type="dxa"/>
              <w:tblLayout w:type="fixed"/>
              <w:tblCellMar>
                <w:left w:w="70" w:type="dxa"/>
                <w:right w:w="70" w:type="dxa"/>
              </w:tblCellMar>
              <w:tblLook w:val="04A0" w:firstRow="1" w:lastRow="0" w:firstColumn="1" w:lastColumn="0" w:noHBand="0" w:noVBand="1"/>
            </w:tblPr>
            <w:tblGrid>
              <w:gridCol w:w="3417"/>
              <w:gridCol w:w="700"/>
              <w:gridCol w:w="700"/>
            </w:tblGrid>
            <w:tr w:rsidR="00605D96" w:rsidRPr="005747D1" w14:paraId="235778FD" w14:textId="77777777" w:rsidTr="008B207B">
              <w:trPr>
                <w:trHeight w:val="252"/>
              </w:trPr>
              <w:tc>
                <w:tcPr>
                  <w:tcW w:w="3417" w:type="dxa"/>
                  <w:tcBorders>
                    <w:top w:val="nil"/>
                    <w:left w:val="nil"/>
                    <w:bottom w:val="single" w:sz="4" w:space="0" w:color="auto"/>
                    <w:right w:val="nil"/>
                  </w:tcBorders>
                  <w:noWrap/>
                  <w:vAlign w:val="bottom"/>
                  <w:hideMark/>
                </w:tcPr>
                <w:p w14:paraId="57F37DB2" w14:textId="77777777" w:rsidR="00605D96" w:rsidRPr="005747D1" w:rsidRDefault="00605D96" w:rsidP="008B207B">
                  <w:pPr>
                    <w:spacing w:after="0" w:line="240" w:lineRule="auto"/>
                    <w:jc w:val="left"/>
                    <w:rPr>
                      <w:rFonts w:cs="Arial"/>
                      <w:color w:val="000000"/>
                      <w:sz w:val="16"/>
                      <w:szCs w:val="16"/>
                    </w:rPr>
                  </w:pPr>
                  <w:r w:rsidRPr="005747D1">
                    <w:rPr>
                      <w:rFonts w:cs="Arial"/>
                      <w:color w:val="000000"/>
                      <w:sz w:val="16"/>
                      <w:szCs w:val="16"/>
                    </w:rPr>
                    <w:t> </w:t>
                  </w:r>
                </w:p>
              </w:tc>
              <w:tc>
                <w:tcPr>
                  <w:tcW w:w="700" w:type="dxa"/>
                  <w:tcBorders>
                    <w:top w:val="nil"/>
                    <w:left w:val="nil"/>
                    <w:bottom w:val="single" w:sz="4" w:space="0" w:color="auto"/>
                    <w:right w:val="nil"/>
                  </w:tcBorders>
                  <w:noWrap/>
                  <w:vAlign w:val="bottom"/>
                  <w:hideMark/>
                </w:tcPr>
                <w:p w14:paraId="332A08FB" w14:textId="77777777" w:rsidR="00605D96" w:rsidRPr="005747D1" w:rsidRDefault="00605D96" w:rsidP="008B207B">
                  <w:pPr>
                    <w:spacing w:after="0" w:line="240" w:lineRule="auto"/>
                    <w:jc w:val="right"/>
                    <w:rPr>
                      <w:rFonts w:cs="Arial"/>
                      <w:color w:val="000000"/>
                      <w:sz w:val="16"/>
                      <w:szCs w:val="16"/>
                    </w:rPr>
                  </w:pPr>
                  <w:r w:rsidRPr="005747D1">
                    <w:rPr>
                      <w:rFonts w:cs="Arial"/>
                      <w:color w:val="000000"/>
                      <w:sz w:val="16"/>
                      <w:szCs w:val="16"/>
                    </w:rPr>
                    <w:t>mld. Kč</w:t>
                  </w:r>
                </w:p>
              </w:tc>
              <w:tc>
                <w:tcPr>
                  <w:tcW w:w="700" w:type="dxa"/>
                  <w:tcBorders>
                    <w:top w:val="nil"/>
                    <w:left w:val="nil"/>
                    <w:bottom w:val="single" w:sz="4" w:space="0" w:color="auto"/>
                    <w:right w:val="nil"/>
                  </w:tcBorders>
                  <w:noWrap/>
                  <w:vAlign w:val="bottom"/>
                  <w:hideMark/>
                </w:tcPr>
                <w:p w14:paraId="6EA74D90" w14:textId="77777777" w:rsidR="00605D96" w:rsidRPr="005747D1" w:rsidRDefault="00605D96" w:rsidP="008B207B">
                  <w:pPr>
                    <w:spacing w:after="0" w:line="240" w:lineRule="auto"/>
                    <w:jc w:val="right"/>
                    <w:rPr>
                      <w:rFonts w:cs="Arial"/>
                      <w:color w:val="000000"/>
                      <w:sz w:val="16"/>
                      <w:szCs w:val="16"/>
                    </w:rPr>
                  </w:pPr>
                  <w:r w:rsidRPr="005747D1">
                    <w:rPr>
                      <w:rFonts w:cs="Arial"/>
                      <w:color w:val="000000"/>
                      <w:sz w:val="16"/>
                      <w:szCs w:val="16"/>
                    </w:rPr>
                    <w:t>%</w:t>
                  </w:r>
                </w:p>
              </w:tc>
            </w:tr>
            <w:tr w:rsidR="00605D96" w:rsidRPr="005747D1" w14:paraId="7264C08F" w14:textId="77777777" w:rsidTr="008B207B">
              <w:trPr>
                <w:trHeight w:val="252"/>
              </w:trPr>
              <w:tc>
                <w:tcPr>
                  <w:tcW w:w="3417" w:type="dxa"/>
                  <w:tcBorders>
                    <w:top w:val="nil"/>
                    <w:left w:val="nil"/>
                    <w:bottom w:val="nil"/>
                    <w:right w:val="nil"/>
                  </w:tcBorders>
                  <w:noWrap/>
                  <w:vAlign w:val="bottom"/>
                  <w:hideMark/>
                </w:tcPr>
                <w:p w14:paraId="6DC93622" w14:textId="77777777" w:rsidR="00605D96" w:rsidRPr="005747D1" w:rsidRDefault="00605D96" w:rsidP="008B207B">
                  <w:pPr>
                    <w:spacing w:after="0" w:line="240" w:lineRule="auto"/>
                    <w:jc w:val="left"/>
                    <w:rPr>
                      <w:rFonts w:cs="Arial"/>
                      <w:color w:val="000000"/>
                      <w:sz w:val="16"/>
                      <w:szCs w:val="16"/>
                    </w:rPr>
                  </w:pPr>
                  <w:r w:rsidRPr="005747D1">
                    <w:rPr>
                      <w:rFonts w:cs="Arial"/>
                      <w:color w:val="000000"/>
                      <w:sz w:val="16"/>
                      <w:szCs w:val="16"/>
                    </w:rPr>
                    <w:t>Ostatní dopravní prostředky a zařízení</w:t>
                  </w:r>
                </w:p>
              </w:tc>
              <w:tc>
                <w:tcPr>
                  <w:tcW w:w="700" w:type="dxa"/>
                  <w:tcBorders>
                    <w:top w:val="nil"/>
                    <w:left w:val="nil"/>
                    <w:bottom w:val="nil"/>
                    <w:right w:val="nil"/>
                  </w:tcBorders>
                  <w:noWrap/>
                  <w:vAlign w:val="bottom"/>
                  <w:hideMark/>
                </w:tcPr>
                <w:p w14:paraId="5B2EA758" w14:textId="77777777" w:rsidR="00605D96" w:rsidRPr="005747D1" w:rsidRDefault="00605D96" w:rsidP="008B207B">
                  <w:pPr>
                    <w:spacing w:after="0" w:line="240" w:lineRule="auto"/>
                    <w:jc w:val="right"/>
                    <w:rPr>
                      <w:rFonts w:cs="Arial"/>
                      <w:color w:val="000000"/>
                      <w:sz w:val="16"/>
                      <w:szCs w:val="16"/>
                    </w:rPr>
                  </w:pPr>
                  <w:r w:rsidRPr="005747D1">
                    <w:rPr>
                      <w:rFonts w:cs="Arial"/>
                      <w:color w:val="000000"/>
                      <w:sz w:val="16"/>
                      <w:szCs w:val="16"/>
                    </w:rPr>
                    <w:t>+3,6</w:t>
                  </w:r>
                </w:p>
              </w:tc>
              <w:tc>
                <w:tcPr>
                  <w:tcW w:w="700" w:type="dxa"/>
                  <w:tcBorders>
                    <w:top w:val="nil"/>
                    <w:left w:val="nil"/>
                    <w:bottom w:val="nil"/>
                    <w:right w:val="nil"/>
                  </w:tcBorders>
                  <w:noWrap/>
                  <w:vAlign w:val="bottom"/>
                  <w:hideMark/>
                </w:tcPr>
                <w:p w14:paraId="27D6B183" w14:textId="77777777" w:rsidR="00605D96" w:rsidRPr="005747D1" w:rsidRDefault="00605D96" w:rsidP="008B207B">
                  <w:pPr>
                    <w:spacing w:after="0" w:line="240" w:lineRule="auto"/>
                    <w:jc w:val="right"/>
                    <w:rPr>
                      <w:rFonts w:cs="Arial"/>
                      <w:color w:val="000000"/>
                      <w:sz w:val="16"/>
                      <w:szCs w:val="16"/>
                    </w:rPr>
                  </w:pPr>
                  <w:r w:rsidRPr="005747D1">
                    <w:rPr>
                      <w:rFonts w:cs="Arial"/>
                      <w:color w:val="000000"/>
                      <w:sz w:val="16"/>
                      <w:szCs w:val="16"/>
                    </w:rPr>
                    <w:t>+24,9</w:t>
                  </w:r>
                </w:p>
              </w:tc>
            </w:tr>
            <w:tr w:rsidR="00605D96" w:rsidRPr="005747D1" w14:paraId="5C4E46A6" w14:textId="77777777" w:rsidTr="008B207B">
              <w:trPr>
                <w:trHeight w:val="252"/>
              </w:trPr>
              <w:tc>
                <w:tcPr>
                  <w:tcW w:w="3417" w:type="dxa"/>
                  <w:tcBorders>
                    <w:top w:val="nil"/>
                    <w:left w:val="nil"/>
                    <w:bottom w:val="nil"/>
                    <w:right w:val="nil"/>
                  </w:tcBorders>
                  <w:noWrap/>
                  <w:vAlign w:val="bottom"/>
                  <w:hideMark/>
                </w:tcPr>
                <w:p w14:paraId="1E3C2337" w14:textId="77777777" w:rsidR="00605D96" w:rsidRPr="005747D1" w:rsidRDefault="00605D96" w:rsidP="008B207B">
                  <w:pPr>
                    <w:spacing w:after="0" w:line="240" w:lineRule="auto"/>
                    <w:jc w:val="left"/>
                    <w:rPr>
                      <w:rFonts w:cs="Arial"/>
                      <w:color w:val="000000"/>
                      <w:sz w:val="16"/>
                      <w:szCs w:val="16"/>
                    </w:rPr>
                  </w:pPr>
                  <w:r w:rsidRPr="005747D1">
                    <w:rPr>
                      <w:rFonts w:cs="Arial"/>
                      <w:color w:val="000000"/>
                      <w:sz w:val="16"/>
                      <w:szCs w:val="16"/>
                    </w:rPr>
                    <w:t>Ostatní výrobky zpracovatelského průmyslu</w:t>
                  </w:r>
                </w:p>
              </w:tc>
              <w:tc>
                <w:tcPr>
                  <w:tcW w:w="700" w:type="dxa"/>
                  <w:tcBorders>
                    <w:top w:val="nil"/>
                    <w:left w:val="nil"/>
                    <w:bottom w:val="nil"/>
                    <w:right w:val="nil"/>
                  </w:tcBorders>
                  <w:noWrap/>
                  <w:vAlign w:val="bottom"/>
                  <w:hideMark/>
                </w:tcPr>
                <w:p w14:paraId="041FB2CD" w14:textId="77777777" w:rsidR="00605D96" w:rsidRPr="005747D1" w:rsidRDefault="00605D96" w:rsidP="008B207B">
                  <w:pPr>
                    <w:spacing w:after="0" w:line="240" w:lineRule="auto"/>
                    <w:jc w:val="right"/>
                    <w:rPr>
                      <w:rFonts w:cs="Arial"/>
                      <w:color w:val="000000"/>
                      <w:sz w:val="16"/>
                      <w:szCs w:val="16"/>
                    </w:rPr>
                  </w:pPr>
                  <w:r w:rsidRPr="005747D1">
                    <w:rPr>
                      <w:rFonts w:cs="Arial"/>
                      <w:color w:val="000000"/>
                      <w:sz w:val="16"/>
                      <w:szCs w:val="16"/>
                    </w:rPr>
                    <w:t>+1,6</w:t>
                  </w:r>
                </w:p>
              </w:tc>
              <w:tc>
                <w:tcPr>
                  <w:tcW w:w="700" w:type="dxa"/>
                  <w:tcBorders>
                    <w:top w:val="nil"/>
                    <w:left w:val="nil"/>
                    <w:bottom w:val="nil"/>
                    <w:right w:val="nil"/>
                  </w:tcBorders>
                  <w:noWrap/>
                  <w:vAlign w:val="bottom"/>
                  <w:hideMark/>
                </w:tcPr>
                <w:p w14:paraId="4F1B1054" w14:textId="77777777" w:rsidR="00605D96" w:rsidRPr="005747D1" w:rsidRDefault="00605D96" w:rsidP="008B207B">
                  <w:pPr>
                    <w:spacing w:after="0" w:line="240" w:lineRule="auto"/>
                    <w:jc w:val="right"/>
                    <w:rPr>
                      <w:rFonts w:cs="Arial"/>
                      <w:color w:val="000000"/>
                      <w:sz w:val="16"/>
                      <w:szCs w:val="16"/>
                    </w:rPr>
                  </w:pPr>
                  <w:r w:rsidRPr="005747D1">
                    <w:rPr>
                      <w:rFonts w:cs="Arial"/>
                      <w:color w:val="000000"/>
                      <w:sz w:val="16"/>
                      <w:szCs w:val="16"/>
                    </w:rPr>
                    <w:t>+5,7</w:t>
                  </w:r>
                </w:p>
              </w:tc>
            </w:tr>
            <w:tr w:rsidR="00605D96" w:rsidRPr="005747D1" w14:paraId="65C220FC" w14:textId="77777777" w:rsidTr="008B207B">
              <w:trPr>
                <w:trHeight w:val="252"/>
              </w:trPr>
              <w:tc>
                <w:tcPr>
                  <w:tcW w:w="3417" w:type="dxa"/>
                  <w:tcBorders>
                    <w:top w:val="nil"/>
                    <w:left w:val="nil"/>
                    <w:bottom w:val="nil"/>
                    <w:right w:val="nil"/>
                  </w:tcBorders>
                  <w:noWrap/>
                  <w:vAlign w:val="bottom"/>
                  <w:hideMark/>
                </w:tcPr>
                <w:p w14:paraId="41F929DE" w14:textId="77777777" w:rsidR="00605D96" w:rsidRPr="005747D1" w:rsidRDefault="00605D96" w:rsidP="008B207B">
                  <w:pPr>
                    <w:spacing w:after="0" w:line="240" w:lineRule="auto"/>
                    <w:jc w:val="left"/>
                    <w:rPr>
                      <w:rFonts w:cs="Arial"/>
                      <w:color w:val="000000"/>
                      <w:sz w:val="16"/>
                      <w:szCs w:val="16"/>
                    </w:rPr>
                  </w:pPr>
                  <w:r w:rsidRPr="005747D1">
                    <w:rPr>
                      <w:rFonts w:cs="Arial"/>
                      <w:color w:val="000000"/>
                      <w:sz w:val="16"/>
                      <w:szCs w:val="16"/>
                    </w:rPr>
                    <w:t>Kovodělné výrobky kromě strojů a zařízení</w:t>
                  </w:r>
                </w:p>
              </w:tc>
              <w:tc>
                <w:tcPr>
                  <w:tcW w:w="700" w:type="dxa"/>
                  <w:tcBorders>
                    <w:top w:val="nil"/>
                    <w:left w:val="nil"/>
                    <w:bottom w:val="nil"/>
                    <w:right w:val="nil"/>
                  </w:tcBorders>
                  <w:noWrap/>
                  <w:vAlign w:val="bottom"/>
                  <w:hideMark/>
                </w:tcPr>
                <w:p w14:paraId="0EC80224" w14:textId="77777777" w:rsidR="00605D96" w:rsidRPr="005747D1" w:rsidRDefault="00605D96" w:rsidP="008B207B">
                  <w:pPr>
                    <w:spacing w:after="0" w:line="240" w:lineRule="auto"/>
                    <w:jc w:val="right"/>
                    <w:rPr>
                      <w:rFonts w:cs="Arial"/>
                      <w:color w:val="000000"/>
                      <w:sz w:val="16"/>
                      <w:szCs w:val="16"/>
                    </w:rPr>
                  </w:pPr>
                  <w:r w:rsidRPr="005747D1">
                    <w:rPr>
                      <w:rFonts w:cs="Arial"/>
                      <w:color w:val="000000"/>
                      <w:sz w:val="16"/>
                      <w:szCs w:val="16"/>
                    </w:rPr>
                    <w:t>+1,4</w:t>
                  </w:r>
                </w:p>
              </w:tc>
              <w:tc>
                <w:tcPr>
                  <w:tcW w:w="700" w:type="dxa"/>
                  <w:tcBorders>
                    <w:top w:val="nil"/>
                    <w:left w:val="nil"/>
                    <w:bottom w:val="nil"/>
                    <w:right w:val="nil"/>
                  </w:tcBorders>
                  <w:noWrap/>
                  <w:vAlign w:val="bottom"/>
                  <w:hideMark/>
                </w:tcPr>
                <w:p w14:paraId="2A06E669" w14:textId="77777777" w:rsidR="00605D96" w:rsidRPr="005747D1" w:rsidRDefault="00605D96" w:rsidP="008B207B">
                  <w:pPr>
                    <w:spacing w:after="0" w:line="240" w:lineRule="auto"/>
                    <w:jc w:val="right"/>
                    <w:rPr>
                      <w:rFonts w:cs="Arial"/>
                      <w:color w:val="000000"/>
                      <w:sz w:val="16"/>
                      <w:szCs w:val="16"/>
                    </w:rPr>
                  </w:pPr>
                  <w:r w:rsidRPr="005747D1">
                    <w:rPr>
                      <w:rFonts w:cs="Arial"/>
                      <w:color w:val="000000"/>
                      <w:sz w:val="16"/>
                      <w:szCs w:val="16"/>
                    </w:rPr>
                    <w:t>+2,1</w:t>
                  </w:r>
                </w:p>
              </w:tc>
            </w:tr>
            <w:tr w:rsidR="00605D96" w:rsidRPr="005747D1" w14:paraId="64AC6CAC" w14:textId="77777777" w:rsidTr="008B207B">
              <w:trPr>
                <w:trHeight w:val="252"/>
              </w:trPr>
              <w:tc>
                <w:tcPr>
                  <w:tcW w:w="3417" w:type="dxa"/>
                  <w:tcBorders>
                    <w:top w:val="nil"/>
                    <w:left w:val="nil"/>
                    <w:bottom w:val="nil"/>
                    <w:right w:val="nil"/>
                  </w:tcBorders>
                  <w:noWrap/>
                  <w:vAlign w:val="bottom"/>
                  <w:hideMark/>
                </w:tcPr>
                <w:p w14:paraId="63785164" w14:textId="77777777" w:rsidR="00605D96" w:rsidRPr="005747D1" w:rsidRDefault="00605D96" w:rsidP="008B207B">
                  <w:pPr>
                    <w:spacing w:after="0" w:line="240" w:lineRule="auto"/>
                    <w:jc w:val="left"/>
                    <w:rPr>
                      <w:rFonts w:cs="Arial"/>
                      <w:color w:val="000000"/>
                      <w:sz w:val="16"/>
                      <w:szCs w:val="16"/>
                    </w:rPr>
                  </w:pPr>
                  <w:r w:rsidRPr="005747D1">
                    <w:rPr>
                      <w:rFonts w:cs="Arial"/>
                      <w:color w:val="000000"/>
                      <w:sz w:val="16"/>
                      <w:szCs w:val="16"/>
                    </w:rPr>
                    <w:t>Základní farmaceutické výrobky a přípravky</w:t>
                  </w:r>
                </w:p>
              </w:tc>
              <w:tc>
                <w:tcPr>
                  <w:tcW w:w="700" w:type="dxa"/>
                  <w:tcBorders>
                    <w:top w:val="nil"/>
                    <w:left w:val="nil"/>
                    <w:bottom w:val="nil"/>
                    <w:right w:val="nil"/>
                  </w:tcBorders>
                  <w:noWrap/>
                  <w:vAlign w:val="bottom"/>
                  <w:hideMark/>
                </w:tcPr>
                <w:p w14:paraId="19D74E1C" w14:textId="77777777" w:rsidR="00605D96" w:rsidRPr="005747D1" w:rsidRDefault="00605D96" w:rsidP="008B207B">
                  <w:pPr>
                    <w:spacing w:after="0" w:line="240" w:lineRule="auto"/>
                    <w:jc w:val="right"/>
                    <w:rPr>
                      <w:rFonts w:cs="Arial"/>
                      <w:color w:val="000000"/>
                      <w:sz w:val="16"/>
                      <w:szCs w:val="16"/>
                    </w:rPr>
                  </w:pPr>
                  <w:r w:rsidRPr="005747D1">
                    <w:rPr>
                      <w:rFonts w:cs="Arial"/>
                      <w:color w:val="000000"/>
                      <w:sz w:val="16"/>
                      <w:szCs w:val="16"/>
                    </w:rPr>
                    <w:t>+1,0</w:t>
                  </w:r>
                </w:p>
              </w:tc>
              <w:tc>
                <w:tcPr>
                  <w:tcW w:w="700" w:type="dxa"/>
                  <w:tcBorders>
                    <w:top w:val="nil"/>
                    <w:left w:val="nil"/>
                    <w:bottom w:val="nil"/>
                    <w:right w:val="nil"/>
                  </w:tcBorders>
                  <w:noWrap/>
                  <w:vAlign w:val="bottom"/>
                  <w:hideMark/>
                </w:tcPr>
                <w:p w14:paraId="73DC4769" w14:textId="77777777" w:rsidR="00605D96" w:rsidRPr="005747D1" w:rsidRDefault="00605D96" w:rsidP="008B207B">
                  <w:pPr>
                    <w:spacing w:after="0" w:line="240" w:lineRule="auto"/>
                    <w:jc w:val="right"/>
                    <w:rPr>
                      <w:rFonts w:cs="Arial"/>
                      <w:color w:val="000000"/>
                      <w:sz w:val="16"/>
                      <w:szCs w:val="16"/>
                    </w:rPr>
                  </w:pPr>
                  <w:r w:rsidRPr="005747D1">
                    <w:rPr>
                      <w:rFonts w:cs="Arial"/>
                      <w:color w:val="000000"/>
                      <w:sz w:val="16"/>
                      <w:szCs w:val="16"/>
                    </w:rPr>
                    <w:t>+3,1</w:t>
                  </w:r>
                </w:p>
              </w:tc>
            </w:tr>
            <w:tr w:rsidR="00605D96" w:rsidRPr="005747D1" w14:paraId="76E46E32" w14:textId="77777777" w:rsidTr="008B207B">
              <w:trPr>
                <w:trHeight w:val="252"/>
              </w:trPr>
              <w:tc>
                <w:tcPr>
                  <w:tcW w:w="3417" w:type="dxa"/>
                  <w:tcBorders>
                    <w:top w:val="nil"/>
                    <w:left w:val="nil"/>
                    <w:bottom w:val="nil"/>
                    <w:right w:val="nil"/>
                  </w:tcBorders>
                  <w:noWrap/>
                  <w:vAlign w:val="bottom"/>
                  <w:hideMark/>
                </w:tcPr>
                <w:p w14:paraId="45D1E11E" w14:textId="77777777" w:rsidR="00605D96" w:rsidRPr="005747D1" w:rsidRDefault="00605D96" w:rsidP="008B207B">
                  <w:pPr>
                    <w:spacing w:after="0" w:line="240" w:lineRule="auto"/>
                    <w:jc w:val="left"/>
                    <w:rPr>
                      <w:rFonts w:cs="Arial"/>
                      <w:color w:val="000000"/>
                      <w:sz w:val="16"/>
                      <w:szCs w:val="16"/>
                    </w:rPr>
                  </w:pPr>
                  <w:r w:rsidRPr="005747D1">
                    <w:rPr>
                      <w:rFonts w:cs="Arial"/>
                      <w:color w:val="000000"/>
                      <w:sz w:val="16"/>
                      <w:szCs w:val="16"/>
                    </w:rPr>
                    <w:t>Motorová vozidla (kromě motocyklů) a díly</w:t>
                  </w:r>
                </w:p>
              </w:tc>
              <w:tc>
                <w:tcPr>
                  <w:tcW w:w="700" w:type="dxa"/>
                  <w:tcBorders>
                    <w:top w:val="nil"/>
                    <w:left w:val="nil"/>
                    <w:bottom w:val="nil"/>
                    <w:right w:val="nil"/>
                  </w:tcBorders>
                  <w:noWrap/>
                  <w:vAlign w:val="bottom"/>
                  <w:hideMark/>
                </w:tcPr>
                <w:p w14:paraId="1FB6258D" w14:textId="77777777" w:rsidR="00605D96" w:rsidRPr="005747D1" w:rsidRDefault="00605D96" w:rsidP="008B207B">
                  <w:pPr>
                    <w:spacing w:after="0" w:line="240" w:lineRule="auto"/>
                    <w:jc w:val="right"/>
                    <w:rPr>
                      <w:rFonts w:cs="Arial"/>
                      <w:color w:val="000000"/>
                      <w:sz w:val="16"/>
                      <w:szCs w:val="16"/>
                    </w:rPr>
                  </w:pPr>
                  <w:r w:rsidRPr="005747D1">
                    <w:rPr>
                      <w:rFonts w:cs="Arial"/>
                      <w:color w:val="000000"/>
                      <w:sz w:val="16"/>
                      <w:szCs w:val="16"/>
                    </w:rPr>
                    <w:t>+1,0</w:t>
                  </w:r>
                </w:p>
              </w:tc>
              <w:tc>
                <w:tcPr>
                  <w:tcW w:w="700" w:type="dxa"/>
                  <w:tcBorders>
                    <w:top w:val="nil"/>
                    <w:left w:val="nil"/>
                    <w:bottom w:val="nil"/>
                    <w:right w:val="nil"/>
                  </w:tcBorders>
                  <w:noWrap/>
                  <w:vAlign w:val="bottom"/>
                  <w:hideMark/>
                </w:tcPr>
                <w:p w14:paraId="29CB4A0C" w14:textId="77777777" w:rsidR="00605D96" w:rsidRPr="005747D1" w:rsidRDefault="00605D96" w:rsidP="008B207B">
                  <w:pPr>
                    <w:spacing w:after="0" w:line="240" w:lineRule="auto"/>
                    <w:jc w:val="right"/>
                    <w:rPr>
                      <w:rFonts w:cs="Arial"/>
                      <w:color w:val="000000"/>
                      <w:sz w:val="16"/>
                      <w:szCs w:val="16"/>
                    </w:rPr>
                  </w:pPr>
                  <w:r w:rsidRPr="005747D1">
                    <w:rPr>
                      <w:rFonts w:cs="Arial"/>
                      <w:color w:val="000000"/>
                      <w:sz w:val="16"/>
                      <w:szCs w:val="16"/>
                    </w:rPr>
                    <w:t>+0,6</w:t>
                  </w:r>
                </w:p>
              </w:tc>
            </w:tr>
            <w:tr w:rsidR="00605D96" w:rsidRPr="005747D1" w14:paraId="7DD6822E" w14:textId="77777777" w:rsidTr="008B207B">
              <w:trPr>
                <w:trHeight w:val="252"/>
              </w:trPr>
              <w:tc>
                <w:tcPr>
                  <w:tcW w:w="3417" w:type="dxa"/>
                  <w:tcBorders>
                    <w:top w:val="nil"/>
                    <w:left w:val="nil"/>
                    <w:bottom w:val="nil"/>
                    <w:right w:val="nil"/>
                  </w:tcBorders>
                  <w:noWrap/>
                  <w:vAlign w:val="bottom"/>
                  <w:hideMark/>
                </w:tcPr>
                <w:p w14:paraId="34646B14" w14:textId="77777777" w:rsidR="00605D96" w:rsidRPr="005747D1" w:rsidRDefault="00605D96" w:rsidP="008B207B">
                  <w:pPr>
                    <w:spacing w:after="0" w:line="240" w:lineRule="auto"/>
                    <w:jc w:val="left"/>
                    <w:rPr>
                      <w:rFonts w:cs="Arial"/>
                      <w:color w:val="000000"/>
                      <w:sz w:val="16"/>
                      <w:szCs w:val="16"/>
                    </w:rPr>
                  </w:pPr>
                  <w:r w:rsidRPr="005747D1">
                    <w:rPr>
                      <w:rFonts w:cs="Arial"/>
                      <w:color w:val="000000"/>
                      <w:sz w:val="16"/>
                      <w:szCs w:val="16"/>
                    </w:rPr>
                    <w:t>Dřevo a dřevěné výrobky kromě nábytku</w:t>
                  </w:r>
                </w:p>
              </w:tc>
              <w:tc>
                <w:tcPr>
                  <w:tcW w:w="700" w:type="dxa"/>
                  <w:tcBorders>
                    <w:top w:val="nil"/>
                    <w:left w:val="nil"/>
                    <w:bottom w:val="nil"/>
                    <w:right w:val="nil"/>
                  </w:tcBorders>
                  <w:noWrap/>
                  <w:vAlign w:val="bottom"/>
                  <w:hideMark/>
                </w:tcPr>
                <w:p w14:paraId="0B6C9BEF" w14:textId="77777777" w:rsidR="00605D96" w:rsidRPr="005747D1" w:rsidRDefault="00605D96" w:rsidP="008B207B">
                  <w:pPr>
                    <w:spacing w:after="0" w:line="240" w:lineRule="auto"/>
                    <w:jc w:val="right"/>
                    <w:rPr>
                      <w:rFonts w:cs="Arial"/>
                      <w:color w:val="000000"/>
                      <w:sz w:val="16"/>
                      <w:szCs w:val="16"/>
                    </w:rPr>
                  </w:pPr>
                  <w:r w:rsidRPr="005747D1">
                    <w:rPr>
                      <w:rFonts w:cs="Arial"/>
                      <w:color w:val="000000"/>
                      <w:sz w:val="16"/>
                      <w:szCs w:val="16"/>
                    </w:rPr>
                    <w:t>+0,8</w:t>
                  </w:r>
                </w:p>
              </w:tc>
              <w:tc>
                <w:tcPr>
                  <w:tcW w:w="700" w:type="dxa"/>
                  <w:tcBorders>
                    <w:top w:val="nil"/>
                    <w:left w:val="nil"/>
                    <w:bottom w:val="nil"/>
                    <w:right w:val="nil"/>
                  </w:tcBorders>
                  <w:noWrap/>
                  <w:vAlign w:val="bottom"/>
                  <w:hideMark/>
                </w:tcPr>
                <w:p w14:paraId="60A6E61B" w14:textId="77777777" w:rsidR="00605D96" w:rsidRPr="005747D1" w:rsidRDefault="00605D96" w:rsidP="008B207B">
                  <w:pPr>
                    <w:spacing w:after="0" w:line="240" w:lineRule="auto"/>
                    <w:jc w:val="right"/>
                    <w:rPr>
                      <w:rFonts w:cs="Arial"/>
                      <w:color w:val="000000"/>
                      <w:sz w:val="16"/>
                      <w:szCs w:val="16"/>
                    </w:rPr>
                  </w:pPr>
                  <w:r w:rsidRPr="005747D1">
                    <w:rPr>
                      <w:rFonts w:cs="Arial"/>
                      <w:color w:val="000000"/>
                      <w:sz w:val="16"/>
                      <w:szCs w:val="16"/>
                    </w:rPr>
                    <w:t>+13,7</w:t>
                  </w:r>
                </w:p>
              </w:tc>
            </w:tr>
            <w:tr w:rsidR="00605D96" w:rsidRPr="005747D1" w14:paraId="0293B8CF" w14:textId="77777777" w:rsidTr="008B207B">
              <w:trPr>
                <w:trHeight w:val="252"/>
              </w:trPr>
              <w:tc>
                <w:tcPr>
                  <w:tcW w:w="3417" w:type="dxa"/>
                  <w:tcBorders>
                    <w:top w:val="nil"/>
                    <w:left w:val="nil"/>
                    <w:bottom w:val="nil"/>
                    <w:right w:val="nil"/>
                  </w:tcBorders>
                  <w:noWrap/>
                  <w:vAlign w:val="bottom"/>
                  <w:hideMark/>
                </w:tcPr>
                <w:p w14:paraId="294D1FE4" w14:textId="77777777" w:rsidR="00605D96" w:rsidRPr="005747D1" w:rsidRDefault="00605D96" w:rsidP="008B207B">
                  <w:pPr>
                    <w:spacing w:after="0" w:line="240" w:lineRule="auto"/>
                    <w:jc w:val="left"/>
                    <w:rPr>
                      <w:rFonts w:cs="Arial"/>
                      <w:color w:val="000000"/>
                      <w:sz w:val="16"/>
                      <w:szCs w:val="16"/>
                    </w:rPr>
                  </w:pPr>
                  <w:r w:rsidRPr="005747D1">
                    <w:rPr>
                      <w:rFonts w:cs="Arial"/>
                      <w:color w:val="000000"/>
                      <w:sz w:val="16"/>
                      <w:szCs w:val="16"/>
                    </w:rPr>
                    <w:t>Černé a hnědé uhlí a lignit</w:t>
                  </w:r>
                </w:p>
              </w:tc>
              <w:tc>
                <w:tcPr>
                  <w:tcW w:w="700" w:type="dxa"/>
                  <w:tcBorders>
                    <w:top w:val="nil"/>
                    <w:left w:val="nil"/>
                    <w:bottom w:val="nil"/>
                    <w:right w:val="nil"/>
                  </w:tcBorders>
                  <w:noWrap/>
                  <w:vAlign w:val="bottom"/>
                  <w:hideMark/>
                </w:tcPr>
                <w:p w14:paraId="0ECD2700" w14:textId="77777777" w:rsidR="00605D96" w:rsidRPr="005747D1" w:rsidRDefault="00605D96" w:rsidP="008B207B">
                  <w:pPr>
                    <w:spacing w:after="0" w:line="240" w:lineRule="auto"/>
                    <w:jc w:val="right"/>
                    <w:rPr>
                      <w:rFonts w:cs="Arial"/>
                      <w:color w:val="000000"/>
                      <w:sz w:val="16"/>
                      <w:szCs w:val="16"/>
                    </w:rPr>
                  </w:pPr>
                  <w:r>
                    <w:rPr>
                      <w:rFonts w:cs="Arial"/>
                      <w:color w:val="000000"/>
                      <w:sz w:val="16"/>
                      <w:szCs w:val="16"/>
                    </w:rPr>
                    <w:t>−</w:t>
                  </w:r>
                  <w:r w:rsidRPr="005747D1">
                    <w:rPr>
                      <w:rFonts w:cs="Arial"/>
                      <w:color w:val="000000"/>
                      <w:sz w:val="16"/>
                      <w:szCs w:val="16"/>
                    </w:rPr>
                    <w:t>0,8</w:t>
                  </w:r>
                </w:p>
              </w:tc>
              <w:tc>
                <w:tcPr>
                  <w:tcW w:w="700" w:type="dxa"/>
                  <w:tcBorders>
                    <w:top w:val="nil"/>
                    <w:left w:val="nil"/>
                    <w:bottom w:val="nil"/>
                    <w:right w:val="nil"/>
                  </w:tcBorders>
                  <w:noWrap/>
                  <w:vAlign w:val="bottom"/>
                  <w:hideMark/>
                </w:tcPr>
                <w:p w14:paraId="6F5DF52D" w14:textId="77777777" w:rsidR="00605D96" w:rsidRPr="005747D1" w:rsidRDefault="00605D96" w:rsidP="008B207B">
                  <w:pPr>
                    <w:spacing w:after="0" w:line="240" w:lineRule="auto"/>
                    <w:jc w:val="right"/>
                    <w:rPr>
                      <w:rFonts w:cs="Arial"/>
                      <w:color w:val="000000"/>
                      <w:sz w:val="16"/>
                      <w:szCs w:val="16"/>
                    </w:rPr>
                  </w:pPr>
                  <w:r>
                    <w:rPr>
                      <w:rFonts w:cs="Arial"/>
                      <w:color w:val="000000"/>
                      <w:sz w:val="16"/>
                      <w:szCs w:val="16"/>
                    </w:rPr>
                    <w:t>−</w:t>
                  </w:r>
                  <w:r w:rsidRPr="005747D1">
                    <w:rPr>
                      <w:rFonts w:cs="Arial"/>
                      <w:color w:val="000000"/>
                      <w:sz w:val="16"/>
                      <w:szCs w:val="16"/>
                    </w:rPr>
                    <w:t>28,0</w:t>
                  </w:r>
                </w:p>
              </w:tc>
            </w:tr>
            <w:tr w:rsidR="00605D96" w:rsidRPr="005747D1" w14:paraId="4F5B5CF9" w14:textId="77777777" w:rsidTr="008B207B">
              <w:trPr>
                <w:trHeight w:val="252"/>
              </w:trPr>
              <w:tc>
                <w:tcPr>
                  <w:tcW w:w="3417" w:type="dxa"/>
                  <w:tcBorders>
                    <w:top w:val="nil"/>
                    <w:left w:val="nil"/>
                    <w:bottom w:val="nil"/>
                    <w:right w:val="nil"/>
                  </w:tcBorders>
                  <w:noWrap/>
                  <w:vAlign w:val="bottom"/>
                  <w:hideMark/>
                </w:tcPr>
                <w:p w14:paraId="7825A19B" w14:textId="77777777" w:rsidR="00605D96" w:rsidRPr="005747D1" w:rsidRDefault="00605D96" w:rsidP="008B207B">
                  <w:pPr>
                    <w:spacing w:after="0" w:line="240" w:lineRule="auto"/>
                    <w:jc w:val="left"/>
                    <w:rPr>
                      <w:rFonts w:cs="Arial"/>
                      <w:color w:val="000000"/>
                      <w:sz w:val="16"/>
                      <w:szCs w:val="16"/>
                    </w:rPr>
                  </w:pPr>
                  <w:r w:rsidRPr="005747D1">
                    <w:rPr>
                      <w:rFonts w:cs="Arial"/>
                      <w:color w:val="000000"/>
                      <w:sz w:val="16"/>
                      <w:szCs w:val="16"/>
                    </w:rPr>
                    <w:t>Papír a výrobky z papíru</w:t>
                  </w:r>
                </w:p>
              </w:tc>
              <w:tc>
                <w:tcPr>
                  <w:tcW w:w="700" w:type="dxa"/>
                  <w:tcBorders>
                    <w:top w:val="nil"/>
                    <w:left w:val="nil"/>
                    <w:bottom w:val="nil"/>
                    <w:right w:val="nil"/>
                  </w:tcBorders>
                  <w:noWrap/>
                  <w:vAlign w:val="bottom"/>
                  <w:hideMark/>
                </w:tcPr>
                <w:p w14:paraId="56B5B14B" w14:textId="77777777" w:rsidR="00605D96" w:rsidRPr="005747D1" w:rsidRDefault="00605D96" w:rsidP="008B207B">
                  <w:pPr>
                    <w:spacing w:after="0" w:line="240" w:lineRule="auto"/>
                    <w:jc w:val="right"/>
                    <w:rPr>
                      <w:rFonts w:cs="Arial"/>
                      <w:color w:val="000000"/>
                      <w:sz w:val="16"/>
                      <w:szCs w:val="16"/>
                    </w:rPr>
                  </w:pPr>
                  <w:r>
                    <w:rPr>
                      <w:rFonts w:cs="Arial"/>
                      <w:color w:val="000000"/>
                      <w:sz w:val="16"/>
                      <w:szCs w:val="16"/>
                    </w:rPr>
                    <w:t>−</w:t>
                  </w:r>
                  <w:r w:rsidRPr="005747D1">
                    <w:rPr>
                      <w:rFonts w:cs="Arial"/>
                      <w:color w:val="000000"/>
                      <w:sz w:val="16"/>
                      <w:szCs w:val="16"/>
                    </w:rPr>
                    <w:t>0,9</w:t>
                  </w:r>
                </w:p>
              </w:tc>
              <w:tc>
                <w:tcPr>
                  <w:tcW w:w="700" w:type="dxa"/>
                  <w:tcBorders>
                    <w:top w:val="nil"/>
                    <w:left w:val="nil"/>
                    <w:bottom w:val="nil"/>
                    <w:right w:val="nil"/>
                  </w:tcBorders>
                  <w:noWrap/>
                  <w:vAlign w:val="bottom"/>
                  <w:hideMark/>
                </w:tcPr>
                <w:p w14:paraId="135F7014" w14:textId="77777777" w:rsidR="00605D96" w:rsidRPr="005747D1" w:rsidRDefault="00605D96" w:rsidP="008B207B">
                  <w:pPr>
                    <w:spacing w:after="0" w:line="240" w:lineRule="auto"/>
                    <w:jc w:val="right"/>
                    <w:rPr>
                      <w:rFonts w:cs="Arial"/>
                      <w:color w:val="000000"/>
                      <w:sz w:val="16"/>
                      <w:szCs w:val="16"/>
                    </w:rPr>
                  </w:pPr>
                  <w:r>
                    <w:rPr>
                      <w:rFonts w:cs="Arial"/>
                      <w:color w:val="000000"/>
                      <w:sz w:val="16"/>
                      <w:szCs w:val="16"/>
                    </w:rPr>
                    <w:t>−</w:t>
                  </w:r>
                  <w:r w:rsidRPr="005747D1">
                    <w:rPr>
                      <w:rFonts w:cs="Arial"/>
                      <w:color w:val="000000"/>
                      <w:sz w:val="16"/>
                      <w:szCs w:val="16"/>
                    </w:rPr>
                    <w:t>5,1</w:t>
                  </w:r>
                </w:p>
              </w:tc>
            </w:tr>
            <w:tr w:rsidR="00605D96" w:rsidRPr="005747D1" w14:paraId="37099667" w14:textId="77777777" w:rsidTr="008B207B">
              <w:trPr>
                <w:trHeight w:val="252"/>
              </w:trPr>
              <w:tc>
                <w:tcPr>
                  <w:tcW w:w="3417" w:type="dxa"/>
                  <w:tcBorders>
                    <w:top w:val="nil"/>
                    <w:left w:val="nil"/>
                    <w:bottom w:val="nil"/>
                    <w:right w:val="nil"/>
                  </w:tcBorders>
                  <w:noWrap/>
                  <w:vAlign w:val="bottom"/>
                  <w:hideMark/>
                </w:tcPr>
                <w:p w14:paraId="7F0A8EA6" w14:textId="77777777" w:rsidR="00605D96" w:rsidRPr="005747D1" w:rsidRDefault="00605D96" w:rsidP="008B207B">
                  <w:pPr>
                    <w:spacing w:after="0" w:line="240" w:lineRule="auto"/>
                    <w:jc w:val="left"/>
                    <w:rPr>
                      <w:rFonts w:cs="Arial"/>
                      <w:color w:val="000000"/>
                      <w:sz w:val="16"/>
                      <w:szCs w:val="16"/>
                    </w:rPr>
                  </w:pPr>
                  <w:r w:rsidRPr="005747D1">
                    <w:rPr>
                      <w:rFonts w:cs="Arial"/>
                      <w:color w:val="000000"/>
                      <w:sz w:val="16"/>
                      <w:szCs w:val="16"/>
                    </w:rPr>
                    <w:t>Pryžové a plastové výrobky</w:t>
                  </w:r>
                </w:p>
              </w:tc>
              <w:tc>
                <w:tcPr>
                  <w:tcW w:w="700" w:type="dxa"/>
                  <w:tcBorders>
                    <w:top w:val="nil"/>
                    <w:left w:val="nil"/>
                    <w:bottom w:val="nil"/>
                    <w:right w:val="nil"/>
                  </w:tcBorders>
                  <w:noWrap/>
                  <w:vAlign w:val="bottom"/>
                  <w:hideMark/>
                </w:tcPr>
                <w:p w14:paraId="530F8079" w14:textId="77777777" w:rsidR="00605D96" w:rsidRPr="005747D1" w:rsidRDefault="00605D96" w:rsidP="008B207B">
                  <w:pPr>
                    <w:spacing w:after="0" w:line="240" w:lineRule="auto"/>
                    <w:jc w:val="right"/>
                    <w:rPr>
                      <w:rFonts w:cs="Arial"/>
                      <w:color w:val="000000"/>
                      <w:sz w:val="16"/>
                      <w:szCs w:val="16"/>
                    </w:rPr>
                  </w:pPr>
                  <w:r>
                    <w:rPr>
                      <w:rFonts w:cs="Arial"/>
                      <w:color w:val="000000"/>
                      <w:sz w:val="16"/>
                      <w:szCs w:val="16"/>
                    </w:rPr>
                    <w:t>−</w:t>
                  </w:r>
                  <w:r w:rsidRPr="005747D1">
                    <w:rPr>
                      <w:rFonts w:cs="Arial"/>
                      <w:color w:val="000000"/>
                      <w:sz w:val="16"/>
                      <w:szCs w:val="16"/>
                    </w:rPr>
                    <w:t>0,9</w:t>
                  </w:r>
                </w:p>
              </w:tc>
              <w:tc>
                <w:tcPr>
                  <w:tcW w:w="700" w:type="dxa"/>
                  <w:tcBorders>
                    <w:top w:val="nil"/>
                    <w:left w:val="nil"/>
                    <w:bottom w:val="nil"/>
                    <w:right w:val="nil"/>
                  </w:tcBorders>
                  <w:noWrap/>
                  <w:vAlign w:val="bottom"/>
                  <w:hideMark/>
                </w:tcPr>
                <w:p w14:paraId="14C079B3" w14:textId="77777777" w:rsidR="00605D96" w:rsidRPr="005747D1" w:rsidRDefault="00605D96" w:rsidP="008B207B">
                  <w:pPr>
                    <w:spacing w:after="0" w:line="240" w:lineRule="auto"/>
                    <w:jc w:val="right"/>
                    <w:rPr>
                      <w:rFonts w:cs="Arial"/>
                      <w:color w:val="000000"/>
                      <w:sz w:val="16"/>
                      <w:szCs w:val="16"/>
                    </w:rPr>
                  </w:pPr>
                  <w:r>
                    <w:rPr>
                      <w:rFonts w:cs="Arial"/>
                      <w:color w:val="000000"/>
                      <w:sz w:val="16"/>
                      <w:szCs w:val="16"/>
                    </w:rPr>
                    <w:t>−</w:t>
                  </w:r>
                  <w:r w:rsidRPr="005747D1">
                    <w:rPr>
                      <w:rFonts w:cs="Arial"/>
                      <w:color w:val="000000"/>
                      <w:sz w:val="16"/>
                      <w:szCs w:val="16"/>
                    </w:rPr>
                    <w:t>1,8</w:t>
                  </w:r>
                </w:p>
              </w:tc>
            </w:tr>
            <w:tr w:rsidR="00605D96" w:rsidRPr="005747D1" w14:paraId="73F10F7B" w14:textId="77777777" w:rsidTr="008B207B">
              <w:trPr>
                <w:trHeight w:val="252"/>
              </w:trPr>
              <w:tc>
                <w:tcPr>
                  <w:tcW w:w="3417" w:type="dxa"/>
                  <w:tcBorders>
                    <w:top w:val="nil"/>
                    <w:left w:val="nil"/>
                    <w:bottom w:val="nil"/>
                    <w:right w:val="nil"/>
                  </w:tcBorders>
                  <w:noWrap/>
                  <w:vAlign w:val="bottom"/>
                  <w:hideMark/>
                </w:tcPr>
                <w:p w14:paraId="05DBC71C" w14:textId="77777777" w:rsidR="00605D96" w:rsidRPr="005747D1" w:rsidRDefault="00605D96" w:rsidP="008B207B">
                  <w:pPr>
                    <w:spacing w:after="0" w:line="240" w:lineRule="auto"/>
                    <w:jc w:val="left"/>
                    <w:rPr>
                      <w:rFonts w:cs="Arial"/>
                      <w:color w:val="000000"/>
                      <w:sz w:val="16"/>
                      <w:szCs w:val="16"/>
                    </w:rPr>
                  </w:pPr>
                  <w:r w:rsidRPr="005747D1">
                    <w:rPr>
                      <w:rFonts w:cs="Arial"/>
                      <w:color w:val="000000"/>
                      <w:sz w:val="16"/>
                      <w:szCs w:val="16"/>
                    </w:rPr>
                    <w:t>Usně a související výrobky</w:t>
                  </w:r>
                </w:p>
              </w:tc>
              <w:tc>
                <w:tcPr>
                  <w:tcW w:w="700" w:type="dxa"/>
                  <w:tcBorders>
                    <w:top w:val="nil"/>
                    <w:left w:val="nil"/>
                    <w:bottom w:val="nil"/>
                    <w:right w:val="nil"/>
                  </w:tcBorders>
                  <w:noWrap/>
                  <w:vAlign w:val="bottom"/>
                  <w:hideMark/>
                </w:tcPr>
                <w:p w14:paraId="5B7240E8" w14:textId="77777777" w:rsidR="00605D96" w:rsidRPr="005747D1" w:rsidRDefault="00605D96" w:rsidP="008B207B">
                  <w:pPr>
                    <w:spacing w:after="0" w:line="240" w:lineRule="auto"/>
                    <w:jc w:val="right"/>
                    <w:rPr>
                      <w:rFonts w:cs="Arial"/>
                      <w:color w:val="000000"/>
                      <w:sz w:val="16"/>
                      <w:szCs w:val="16"/>
                    </w:rPr>
                  </w:pPr>
                  <w:r>
                    <w:rPr>
                      <w:rFonts w:cs="Arial"/>
                      <w:color w:val="000000"/>
                      <w:sz w:val="16"/>
                      <w:szCs w:val="16"/>
                    </w:rPr>
                    <w:t>−</w:t>
                  </w:r>
                  <w:r w:rsidRPr="005747D1">
                    <w:rPr>
                      <w:rFonts w:cs="Arial"/>
                      <w:color w:val="000000"/>
                      <w:sz w:val="16"/>
                      <w:szCs w:val="16"/>
                    </w:rPr>
                    <w:t>0,9</w:t>
                  </w:r>
                </w:p>
              </w:tc>
              <w:tc>
                <w:tcPr>
                  <w:tcW w:w="700" w:type="dxa"/>
                  <w:tcBorders>
                    <w:top w:val="nil"/>
                    <w:left w:val="nil"/>
                    <w:bottom w:val="nil"/>
                    <w:right w:val="nil"/>
                  </w:tcBorders>
                  <w:noWrap/>
                  <w:vAlign w:val="bottom"/>
                  <w:hideMark/>
                </w:tcPr>
                <w:p w14:paraId="4930E5EA" w14:textId="77777777" w:rsidR="00605D96" w:rsidRPr="005747D1" w:rsidRDefault="00605D96" w:rsidP="008B207B">
                  <w:pPr>
                    <w:spacing w:after="0" w:line="240" w:lineRule="auto"/>
                    <w:jc w:val="right"/>
                    <w:rPr>
                      <w:rFonts w:cs="Arial"/>
                      <w:color w:val="000000"/>
                      <w:sz w:val="16"/>
                      <w:szCs w:val="16"/>
                    </w:rPr>
                  </w:pPr>
                  <w:r>
                    <w:rPr>
                      <w:rFonts w:cs="Arial"/>
                      <w:color w:val="000000"/>
                      <w:sz w:val="16"/>
                      <w:szCs w:val="16"/>
                    </w:rPr>
                    <w:t>−</w:t>
                  </w:r>
                  <w:r w:rsidRPr="005747D1">
                    <w:rPr>
                      <w:rFonts w:cs="Arial"/>
                      <w:color w:val="000000"/>
                      <w:sz w:val="16"/>
                      <w:szCs w:val="16"/>
                    </w:rPr>
                    <w:t>11,6</w:t>
                  </w:r>
                </w:p>
              </w:tc>
            </w:tr>
            <w:tr w:rsidR="00605D96" w:rsidRPr="005747D1" w14:paraId="329C0ADE" w14:textId="77777777" w:rsidTr="008B207B">
              <w:trPr>
                <w:trHeight w:val="252"/>
              </w:trPr>
              <w:tc>
                <w:tcPr>
                  <w:tcW w:w="3417" w:type="dxa"/>
                  <w:tcBorders>
                    <w:top w:val="nil"/>
                    <w:left w:val="nil"/>
                    <w:bottom w:val="nil"/>
                    <w:right w:val="nil"/>
                  </w:tcBorders>
                  <w:noWrap/>
                  <w:vAlign w:val="bottom"/>
                  <w:hideMark/>
                </w:tcPr>
                <w:p w14:paraId="01EBDAD9" w14:textId="77777777" w:rsidR="00605D96" w:rsidRPr="005747D1" w:rsidRDefault="00605D96" w:rsidP="008B207B">
                  <w:pPr>
                    <w:spacing w:after="0" w:line="240" w:lineRule="auto"/>
                    <w:jc w:val="left"/>
                    <w:rPr>
                      <w:rFonts w:cs="Arial"/>
                      <w:color w:val="000000"/>
                      <w:sz w:val="16"/>
                      <w:szCs w:val="16"/>
                    </w:rPr>
                  </w:pPr>
                  <w:r w:rsidRPr="005747D1">
                    <w:rPr>
                      <w:rFonts w:cs="Arial"/>
                      <w:color w:val="000000"/>
                      <w:sz w:val="16"/>
                      <w:szCs w:val="16"/>
                    </w:rPr>
                    <w:t>Koks a rafinované ropné produkty</w:t>
                  </w:r>
                </w:p>
              </w:tc>
              <w:tc>
                <w:tcPr>
                  <w:tcW w:w="700" w:type="dxa"/>
                  <w:tcBorders>
                    <w:top w:val="nil"/>
                    <w:left w:val="nil"/>
                    <w:bottom w:val="nil"/>
                    <w:right w:val="nil"/>
                  </w:tcBorders>
                  <w:noWrap/>
                  <w:vAlign w:val="bottom"/>
                  <w:hideMark/>
                </w:tcPr>
                <w:p w14:paraId="50375F5E" w14:textId="77777777" w:rsidR="00605D96" w:rsidRPr="005747D1" w:rsidRDefault="00605D96" w:rsidP="008B207B">
                  <w:pPr>
                    <w:spacing w:after="0" w:line="240" w:lineRule="auto"/>
                    <w:jc w:val="right"/>
                    <w:rPr>
                      <w:rFonts w:cs="Arial"/>
                      <w:color w:val="000000"/>
                      <w:sz w:val="16"/>
                      <w:szCs w:val="16"/>
                    </w:rPr>
                  </w:pPr>
                  <w:r>
                    <w:rPr>
                      <w:rFonts w:cs="Arial"/>
                      <w:color w:val="000000"/>
                      <w:sz w:val="16"/>
                      <w:szCs w:val="16"/>
                    </w:rPr>
                    <w:t>−</w:t>
                  </w:r>
                  <w:r w:rsidRPr="005747D1">
                    <w:rPr>
                      <w:rFonts w:cs="Arial"/>
                      <w:color w:val="000000"/>
                      <w:sz w:val="16"/>
                      <w:szCs w:val="16"/>
                    </w:rPr>
                    <w:t>1,5</w:t>
                  </w:r>
                </w:p>
              </w:tc>
              <w:tc>
                <w:tcPr>
                  <w:tcW w:w="700" w:type="dxa"/>
                  <w:tcBorders>
                    <w:top w:val="nil"/>
                    <w:left w:val="nil"/>
                    <w:bottom w:val="nil"/>
                    <w:right w:val="nil"/>
                  </w:tcBorders>
                  <w:noWrap/>
                  <w:vAlign w:val="bottom"/>
                  <w:hideMark/>
                </w:tcPr>
                <w:p w14:paraId="77527D40" w14:textId="77777777" w:rsidR="00605D96" w:rsidRPr="005747D1" w:rsidRDefault="00605D96" w:rsidP="008B207B">
                  <w:pPr>
                    <w:spacing w:after="0" w:line="240" w:lineRule="auto"/>
                    <w:jc w:val="right"/>
                    <w:rPr>
                      <w:rFonts w:cs="Arial"/>
                      <w:color w:val="000000"/>
                      <w:sz w:val="16"/>
                      <w:szCs w:val="16"/>
                    </w:rPr>
                  </w:pPr>
                  <w:r>
                    <w:rPr>
                      <w:rFonts w:cs="Arial"/>
                      <w:color w:val="000000"/>
                      <w:sz w:val="16"/>
                      <w:szCs w:val="16"/>
                    </w:rPr>
                    <w:t>−</w:t>
                  </w:r>
                  <w:r w:rsidRPr="005747D1">
                    <w:rPr>
                      <w:rFonts w:cs="Arial"/>
                      <w:color w:val="000000"/>
                      <w:sz w:val="16"/>
                      <w:szCs w:val="16"/>
                    </w:rPr>
                    <w:t>6,8</w:t>
                  </w:r>
                </w:p>
              </w:tc>
            </w:tr>
            <w:tr w:rsidR="00605D96" w:rsidRPr="005747D1" w14:paraId="7E4CEA18" w14:textId="77777777" w:rsidTr="008B207B">
              <w:trPr>
                <w:trHeight w:val="252"/>
              </w:trPr>
              <w:tc>
                <w:tcPr>
                  <w:tcW w:w="3417" w:type="dxa"/>
                  <w:tcBorders>
                    <w:top w:val="nil"/>
                    <w:left w:val="nil"/>
                    <w:bottom w:val="nil"/>
                    <w:right w:val="nil"/>
                  </w:tcBorders>
                  <w:noWrap/>
                  <w:vAlign w:val="bottom"/>
                  <w:hideMark/>
                </w:tcPr>
                <w:p w14:paraId="2759C1FD" w14:textId="77777777" w:rsidR="00605D96" w:rsidRPr="005747D1" w:rsidRDefault="00605D96" w:rsidP="008B207B">
                  <w:pPr>
                    <w:spacing w:after="0" w:line="240" w:lineRule="auto"/>
                    <w:jc w:val="left"/>
                    <w:rPr>
                      <w:rFonts w:cs="Arial"/>
                      <w:color w:val="000000"/>
                      <w:sz w:val="16"/>
                      <w:szCs w:val="16"/>
                    </w:rPr>
                  </w:pPr>
                  <w:r w:rsidRPr="005747D1">
                    <w:rPr>
                      <w:rFonts w:cs="Arial"/>
                      <w:color w:val="000000"/>
                      <w:sz w:val="16"/>
                      <w:szCs w:val="16"/>
                    </w:rPr>
                    <w:t>Elektrická zařízení</w:t>
                  </w:r>
                </w:p>
              </w:tc>
              <w:tc>
                <w:tcPr>
                  <w:tcW w:w="700" w:type="dxa"/>
                  <w:tcBorders>
                    <w:top w:val="nil"/>
                    <w:left w:val="nil"/>
                    <w:bottom w:val="nil"/>
                    <w:right w:val="nil"/>
                  </w:tcBorders>
                  <w:noWrap/>
                  <w:vAlign w:val="bottom"/>
                  <w:hideMark/>
                </w:tcPr>
                <w:p w14:paraId="3973CA7F" w14:textId="77777777" w:rsidR="00605D96" w:rsidRPr="005747D1" w:rsidRDefault="00605D96" w:rsidP="008B207B">
                  <w:pPr>
                    <w:spacing w:after="0" w:line="240" w:lineRule="auto"/>
                    <w:jc w:val="right"/>
                    <w:rPr>
                      <w:rFonts w:cs="Arial"/>
                      <w:color w:val="000000"/>
                      <w:sz w:val="16"/>
                      <w:szCs w:val="16"/>
                    </w:rPr>
                  </w:pPr>
                  <w:r>
                    <w:rPr>
                      <w:rFonts w:cs="Arial"/>
                      <w:color w:val="000000"/>
                      <w:sz w:val="16"/>
                      <w:szCs w:val="16"/>
                    </w:rPr>
                    <w:t>−</w:t>
                  </w:r>
                  <w:r w:rsidRPr="005747D1">
                    <w:rPr>
                      <w:rFonts w:cs="Arial"/>
                      <w:color w:val="000000"/>
                      <w:sz w:val="16"/>
                      <w:szCs w:val="16"/>
                    </w:rPr>
                    <w:t>1,8</w:t>
                  </w:r>
                </w:p>
              </w:tc>
              <w:tc>
                <w:tcPr>
                  <w:tcW w:w="700" w:type="dxa"/>
                  <w:tcBorders>
                    <w:top w:val="nil"/>
                    <w:left w:val="nil"/>
                    <w:bottom w:val="nil"/>
                    <w:right w:val="nil"/>
                  </w:tcBorders>
                  <w:noWrap/>
                  <w:vAlign w:val="bottom"/>
                  <w:hideMark/>
                </w:tcPr>
                <w:p w14:paraId="2A2C3DD5" w14:textId="77777777" w:rsidR="00605D96" w:rsidRPr="005747D1" w:rsidRDefault="00605D96" w:rsidP="008B207B">
                  <w:pPr>
                    <w:spacing w:after="0" w:line="240" w:lineRule="auto"/>
                    <w:jc w:val="right"/>
                    <w:rPr>
                      <w:rFonts w:cs="Arial"/>
                      <w:color w:val="000000"/>
                      <w:sz w:val="16"/>
                      <w:szCs w:val="16"/>
                    </w:rPr>
                  </w:pPr>
                  <w:r>
                    <w:rPr>
                      <w:rFonts w:cs="Arial"/>
                      <w:color w:val="000000"/>
                      <w:sz w:val="16"/>
                      <w:szCs w:val="16"/>
                    </w:rPr>
                    <w:t>−</w:t>
                  </w:r>
                  <w:r w:rsidRPr="005747D1">
                    <w:rPr>
                      <w:rFonts w:cs="Arial"/>
                      <w:color w:val="000000"/>
                      <w:sz w:val="16"/>
                      <w:szCs w:val="16"/>
                    </w:rPr>
                    <w:t>1,5</w:t>
                  </w:r>
                </w:p>
              </w:tc>
            </w:tr>
            <w:tr w:rsidR="00605D96" w:rsidRPr="005747D1" w14:paraId="55B37729" w14:textId="77777777" w:rsidTr="008B207B">
              <w:trPr>
                <w:trHeight w:val="252"/>
              </w:trPr>
              <w:tc>
                <w:tcPr>
                  <w:tcW w:w="3417" w:type="dxa"/>
                  <w:tcBorders>
                    <w:top w:val="nil"/>
                    <w:left w:val="nil"/>
                    <w:bottom w:val="nil"/>
                    <w:right w:val="nil"/>
                  </w:tcBorders>
                  <w:noWrap/>
                  <w:vAlign w:val="bottom"/>
                  <w:hideMark/>
                </w:tcPr>
                <w:p w14:paraId="67BD9320" w14:textId="77777777" w:rsidR="00605D96" w:rsidRPr="005747D1" w:rsidRDefault="00605D96" w:rsidP="008B207B">
                  <w:pPr>
                    <w:spacing w:after="0" w:line="240" w:lineRule="auto"/>
                    <w:jc w:val="left"/>
                    <w:rPr>
                      <w:rFonts w:cs="Arial"/>
                      <w:color w:val="000000"/>
                      <w:sz w:val="16"/>
                      <w:szCs w:val="16"/>
                    </w:rPr>
                  </w:pPr>
                  <w:r w:rsidRPr="005747D1">
                    <w:rPr>
                      <w:rFonts w:cs="Arial"/>
                      <w:color w:val="000000"/>
                      <w:sz w:val="16"/>
                      <w:szCs w:val="16"/>
                    </w:rPr>
                    <w:t>Stroje a zařízení j. n.</w:t>
                  </w:r>
                </w:p>
              </w:tc>
              <w:tc>
                <w:tcPr>
                  <w:tcW w:w="700" w:type="dxa"/>
                  <w:tcBorders>
                    <w:top w:val="nil"/>
                    <w:left w:val="nil"/>
                    <w:bottom w:val="nil"/>
                    <w:right w:val="nil"/>
                  </w:tcBorders>
                  <w:noWrap/>
                  <w:vAlign w:val="bottom"/>
                  <w:hideMark/>
                </w:tcPr>
                <w:p w14:paraId="6EC22EEE" w14:textId="77777777" w:rsidR="00605D96" w:rsidRPr="005747D1" w:rsidRDefault="00605D96" w:rsidP="008B207B">
                  <w:pPr>
                    <w:spacing w:after="0" w:line="240" w:lineRule="auto"/>
                    <w:jc w:val="right"/>
                    <w:rPr>
                      <w:rFonts w:cs="Arial"/>
                      <w:color w:val="000000"/>
                      <w:sz w:val="16"/>
                      <w:szCs w:val="16"/>
                    </w:rPr>
                  </w:pPr>
                  <w:r>
                    <w:rPr>
                      <w:rFonts w:cs="Arial"/>
                      <w:color w:val="000000"/>
                      <w:sz w:val="16"/>
                      <w:szCs w:val="16"/>
                    </w:rPr>
                    <w:t>−</w:t>
                  </w:r>
                  <w:r w:rsidRPr="005747D1">
                    <w:rPr>
                      <w:rFonts w:cs="Arial"/>
                      <w:color w:val="000000"/>
                      <w:sz w:val="16"/>
                      <w:szCs w:val="16"/>
                    </w:rPr>
                    <w:t>2,1</w:t>
                  </w:r>
                </w:p>
              </w:tc>
              <w:tc>
                <w:tcPr>
                  <w:tcW w:w="700" w:type="dxa"/>
                  <w:tcBorders>
                    <w:top w:val="nil"/>
                    <w:left w:val="nil"/>
                    <w:bottom w:val="nil"/>
                    <w:right w:val="nil"/>
                  </w:tcBorders>
                  <w:noWrap/>
                  <w:vAlign w:val="bottom"/>
                  <w:hideMark/>
                </w:tcPr>
                <w:p w14:paraId="2A8F476A" w14:textId="77777777" w:rsidR="00605D96" w:rsidRPr="005747D1" w:rsidRDefault="00605D96" w:rsidP="008B207B">
                  <w:pPr>
                    <w:spacing w:after="0" w:line="240" w:lineRule="auto"/>
                    <w:jc w:val="right"/>
                    <w:rPr>
                      <w:rFonts w:cs="Arial"/>
                      <w:color w:val="000000"/>
                      <w:sz w:val="16"/>
                      <w:szCs w:val="16"/>
                    </w:rPr>
                  </w:pPr>
                  <w:r>
                    <w:rPr>
                      <w:rFonts w:cs="Arial"/>
                      <w:color w:val="000000"/>
                      <w:sz w:val="16"/>
                      <w:szCs w:val="16"/>
                    </w:rPr>
                    <w:t>−</w:t>
                  </w:r>
                  <w:r w:rsidRPr="005747D1">
                    <w:rPr>
                      <w:rFonts w:cs="Arial"/>
                      <w:color w:val="000000"/>
                      <w:sz w:val="16"/>
                      <w:szCs w:val="16"/>
                    </w:rPr>
                    <w:t>2,1</w:t>
                  </w:r>
                </w:p>
              </w:tc>
            </w:tr>
            <w:tr w:rsidR="00605D96" w:rsidRPr="005747D1" w14:paraId="2B44E5A8" w14:textId="77777777" w:rsidTr="008B207B">
              <w:trPr>
                <w:trHeight w:val="252"/>
              </w:trPr>
              <w:tc>
                <w:tcPr>
                  <w:tcW w:w="3417" w:type="dxa"/>
                  <w:tcBorders>
                    <w:top w:val="nil"/>
                    <w:left w:val="nil"/>
                    <w:bottom w:val="nil"/>
                    <w:right w:val="nil"/>
                  </w:tcBorders>
                  <w:noWrap/>
                  <w:vAlign w:val="bottom"/>
                  <w:hideMark/>
                </w:tcPr>
                <w:p w14:paraId="60EF4EF0" w14:textId="77777777" w:rsidR="00605D96" w:rsidRPr="005747D1" w:rsidRDefault="00605D96" w:rsidP="008B207B">
                  <w:pPr>
                    <w:spacing w:after="0" w:line="240" w:lineRule="auto"/>
                    <w:jc w:val="left"/>
                    <w:rPr>
                      <w:rFonts w:cs="Arial"/>
                      <w:color w:val="000000"/>
                      <w:sz w:val="16"/>
                      <w:szCs w:val="16"/>
                    </w:rPr>
                  </w:pPr>
                  <w:r w:rsidRPr="005747D1">
                    <w:rPr>
                      <w:rFonts w:cs="Arial"/>
                      <w:color w:val="000000"/>
                      <w:sz w:val="16"/>
                      <w:szCs w:val="16"/>
                    </w:rPr>
                    <w:t>Chemické látky a přípravky</w:t>
                  </w:r>
                </w:p>
              </w:tc>
              <w:tc>
                <w:tcPr>
                  <w:tcW w:w="700" w:type="dxa"/>
                  <w:tcBorders>
                    <w:top w:val="nil"/>
                    <w:left w:val="nil"/>
                    <w:bottom w:val="nil"/>
                    <w:right w:val="nil"/>
                  </w:tcBorders>
                  <w:noWrap/>
                  <w:vAlign w:val="bottom"/>
                  <w:hideMark/>
                </w:tcPr>
                <w:p w14:paraId="57B42E5E" w14:textId="77777777" w:rsidR="00605D96" w:rsidRPr="005747D1" w:rsidRDefault="00605D96" w:rsidP="008B207B">
                  <w:pPr>
                    <w:spacing w:after="0" w:line="240" w:lineRule="auto"/>
                    <w:jc w:val="right"/>
                    <w:rPr>
                      <w:rFonts w:cs="Arial"/>
                      <w:color w:val="000000"/>
                      <w:sz w:val="16"/>
                      <w:szCs w:val="16"/>
                    </w:rPr>
                  </w:pPr>
                  <w:r>
                    <w:rPr>
                      <w:rFonts w:cs="Arial"/>
                      <w:color w:val="000000"/>
                      <w:sz w:val="16"/>
                      <w:szCs w:val="16"/>
                    </w:rPr>
                    <w:t>−</w:t>
                  </w:r>
                  <w:r w:rsidRPr="005747D1">
                    <w:rPr>
                      <w:rFonts w:cs="Arial"/>
                      <w:color w:val="000000"/>
                      <w:sz w:val="16"/>
                      <w:szCs w:val="16"/>
                    </w:rPr>
                    <w:t>2,6</w:t>
                  </w:r>
                </w:p>
              </w:tc>
              <w:tc>
                <w:tcPr>
                  <w:tcW w:w="700" w:type="dxa"/>
                  <w:tcBorders>
                    <w:top w:val="nil"/>
                    <w:left w:val="nil"/>
                    <w:bottom w:val="nil"/>
                    <w:right w:val="nil"/>
                  </w:tcBorders>
                  <w:noWrap/>
                  <w:vAlign w:val="bottom"/>
                  <w:hideMark/>
                </w:tcPr>
                <w:p w14:paraId="3663BC8B" w14:textId="77777777" w:rsidR="00605D96" w:rsidRPr="005747D1" w:rsidRDefault="00605D96" w:rsidP="008B207B">
                  <w:pPr>
                    <w:spacing w:after="0" w:line="240" w:lineRule="auto"/>
                    <w:jc w:val="right"/>
                    <w:rPr>
                      <w:rFonts w:cs="Arial"/>
                      <w:color w:val="000000"/>
                      <w:sz w:val="16"/>
                      <w:szCs w:val="16"/>
                    </w:rPr>
                  </w:pPr>
                  <w:r>
                    <w:rPr>
                      <w:rFonts w:cs="Arial"/>
                      <w:color w:val="000000"/>
                      <w:sz w:val="16"/>
                      <w:szCs w:val="16"/>
                    </w:rPr>
                    <w:t>−</w:t>
                  </w:r>
                  <w:r w:rsidRPr="005747D1">
                    <w:rPr>
                      <w:rFonts w:cs="Arial"/>
                      <w:color w:val="000000"/>
                      <w:sz w:val="16"/>
                      <w:szCs w:val="16"/>
                    </w:rPr>
                    <w:t>2,9</w:t>
                  </w:r>
                </w:p>
              </w:tc>
            </w:tr>
            <w:tr w:rsidR="00605D96" w:rsidRPr="005747D1" w14:paraId="14B51712" w14:textId="77777777" w:rsidTr="008B207B">
              <w:trPr>
                <w:trHeight w:val="252"/>
              </w:trPr>
              <w:tc>
                <w:tcPr>
                  <w:tcW w:w="3417" w:type="dxa"/>
                  <w:tcBorders>
                    <w:top w:val="nil"/>
                    <w:left w:val="nil"/>
                    <w:bottom w:val="nil"/>
                    <w:right w:val="nil"/>
                  </w:tcBorders>
                  <w:noWrap/>
                  <w:vAlign w:val="bottom"/>
                  <w:hideMark/>
                </w:tcPr>
                <w:p w14:paraId="0D2B2A9D" w14:textId="77777777" w:rsidR="00605D96" w:rsidRPr="005747D1" w:rsidRDefault="00605D96" w:rsidP="008B207B">
                  <w:pPr>
                    <w:spacing w:after="0" w:line="240" w:lineRule="auto"/>
                    <w:jc w:val="left"/>
                    <w:rPr>
                      <w:rFonts w:cs="Arial"/>
                      <w:color w:val="000000"/>
                      <w:sz w:val="16"/>
                      <w:szCs w:val="16"/>
                    </w:rPr>
                  </w:pPr>
                  <w:r w:rsidRPr="005747D1">
                    <w:rPr>
                      <w:rFonts w:cs="Arial"/>
                      <w:color w:val="000000"/>
                      <w:sz w:val="16"/>
                      <w:szCs w:val="16"/>
                    </w:rPr>
                    <w:t>Ropa a zemní plyn</w:t>
                  </w:r>
                </w:p>
              </w:tc>
              <w:tc>
                <w:tcPr>
                  <w:tcW w:w="700" w:type="dxa"/>
                  <w:tcBorders>
                    <w:top w:val="nil"/>
                    <w:left w:val="nil"/>
                    <w:bottom w:val="nil"/>
                    <w:right w:val="nil"/>
                  </w:tcBorders>
                  <w:noWrap/>
                  <w:vAlign w:val="bottom"/>
                  <w:hideMark/>
                </w:tcPr>
                <w:p w14:paraId="4C0E6E93" w14:textId="77777777" w:rsidR="00605D96" w:rsidRPr="005747D1" w:rsidRDefault="00605D96" w:rsidP="008B207B">
                  <w:pPr>
                    <w:spacing w:after="0" w:line="240" w:lineRule="auto"/>
                    <w:jc w:val="right"/>
                    <w:rPr>
                      <w:rFonts w:cs="Arial"/>
                      <w:color w:val="000000"/>
                      <w:sz w:val="16"/>
                      <w:szCs w:val="16"/>
                    </w:rPr>
                  </w:pPr>
                  <w:r>
                    <w:rPr>
                      <w:rFonts w:cs="Arial"/>
                      <w:color w:val="000000"/>
                      <w:sz w:val="16"/>
                      <w:szCs w:val="16"/>
                    </w:rPr>
                    <w:t>−</w:t>
                  </w:r>
                  <w:r w:rsidRPr="005747D1">
                    <w:rPr>
                      <w:rFonts w:cs="Arial"/>
                      <w:color w:val="000000"/>
                      <w:sz w:val="16"/>
                      <w:szCs w:val="16"/>
                    </w:rPr>
                    <w:t>6,7</w:t>
                  </w:r>
                </w:p>
              </w:tc>
              <w:tc>
                <w:tcPr>
                  <w:tcW w:w="700" w:type="dxa"/>
                  <w:tcBorders>
                    <w:top w:val="nil"/>
                    <w:left w:val="nil"/>
                    <w:bottom w:val="nil"/>
                    <w:right w:val="nil"/>
                  </w:tcBorders>
                  <w:noWrap/>
                  <w:vAlign w:val="bottom"/>
                  <w:hideMark/>
                </w:tcPr>
                <w:p w14:paraId="60B4D751" w14:textId="77777777" w:rsidR="00605D96" w:rsidRPr="005747D1" w:rsidRDefault="00605D96" w:rsidP="008B207B">
                  <w:pPr>
                    <w:spacing w:after="0" w:line="240" w:lineRule="auto"/>
                    <w:jc w:val="right"/>
                    <w:rPr>
                      <w:rFonts w:cs="Arial"/>
                      <w:color w:val="000000"/>
                      <w:sz w:val="16"/>
                      <w:szCs w:val="16"/>
                    </w:rPr>
                  </w:pPr>
                  <w:r>
                    <w:rPr>
                      <w:rFonts w:cs="Arial"/>
                      <w:color w:val="000000"/>
                      <w:sz w:val="16"/>
                      <w:szCs w:val="16"/>
                    </w:rPr>
                    <w:t>−</w:t>
                  </w:r>
                  <w:r w:rsidRPr="005747D1">
                    <w:rPr>
                      <w:rFonts w:cs="Arial"/>
                      <w:color w:val="000000"/>
                      <w:sz w:val="16"/>
                      <w:szCs w:val="16"/>
                    </w:rPr>
                    <w:t>16,4</w:t>
                  </w:r>
                </w:p>
              </w:tc>
            </w:tr>
          </w:tbl>
          <w:p w14:paraId="0242BC73" w14:textId="77777777" w:rsidR="00605D96" w:rsidRPr="005A40B7" w:rsidRDefault="00605D96" w:rsidP="008B207B">
            <w:pPr>
              <w:spacing w:after="0"/>
              <w:rPr>
                <w:spacing w:val="-4"/>
                <w:sz w:val="16"/>
                <w:szCs w:val="16"/>
                <w:lang w:eastAsia="en-US"/>
              </w:rPr>
            </w:pPr>
          </w:p>
        </w:tc>
        <w:tc>
          <w:tcPr>
            <w:tcW w:w="57" w:type="dxa"/>
          </w:tcPr>
          <w:p w14:paraId="55443003" w14:textId="77777777" w:rsidR="00605D96" w:rsidRPr="005A40B7" w:rsidRDefault="00605D96" w:rsidP="008B207B">
            <w:pPr>
              <w:spacing w:after="0"/>
              <w:rPr>
                <w:spacing w:val="-4"/>
                <w:sz w:val="16"/>
                <w:szCs w:val="16"/>
                <w:lang w:eastAsia="en-US"/>
              </w:rPr>
            </w:pPr>
          </w:p>
        </w:tc>
        <w:tc>
          <w:tcPr>
            <w:tcW w:w="4809" w:type="dxa"/>
            <w:hideMark/>
          </w:tcPr>
          <w:tbl>
            <w:tblPr>
              <w:tblW w:w="4762" w:type="dxa"/>
              <w:tblLayout w:type="fixed"/>
              <w:tblCellMar>
                <w:left w:w="70" w:type="dxa"/>
                <w:right w:w="70" w:type="dxa"/>
              </w:tblCellMar>
              <w:tblLook w:val="04A0" w:firstRow="1" w:lastRow="0" w:firstColumn="1" w:lastColumn="0" w:noHBand="0" w:noVBand="1"/>
            </w:tblPr>
            <w:tblGrid>
              <w:gridCol w:w="3362"/>
              <w:gridCol w:w="700"/>
              <w:gridCol w:w="700"/>
            </w:tblGrid>
            <w:tr w:rsidR="00605D96" w:rsidRPr="005747D1" w14:paraId="2DB2A0DA" w14:textId="77777777" w:rsidTr="008B207B">
              <w:trPr>
                <w:trHeight w:val="252"/>
              </w:trPr>
              <w:tc>
                <w:tcPr>
                  <w:tcW w:w="3362" w:type="dxa"/>
                  <w:tcBorders>
                    <w:top w:val="nil"/>
                    <w:left w:val="nil"/>
                    <w:bottom w:val="single" w:sz="4" w:space="0" w:color="auto"/>
                    <w:right w:val="nil"/>
                  </w:tcBorders>
                  <w:noWrap/>
                  <w:vAlign w:val="bottom"/>
                  <w:hideMark/>
                </w:tcPr>
                <w:p w14:paraId="33F2D1B0" w14:textId="77777777" w:rsidR="00605D96" w:rsidRPr="005747D1" w:rsidRDefault="00605D96" w:rsidP="008B207B">
                  <w:pPr>
                    <w:spacing w:after="0" w:line="240" w:lineRule="auto"/>
                    <w:jc w:val="left"/>
                    <w:rPr>
                      <w:rFonts w:cs="Arial"/>
                      <w:color w:val="000000"/>
                      <w:sz w:val="22"/>
                      <w:szCs w:val="22"/>
                    </w:rPr>
                  </w:pPr>
                </w:p>
              </w:tc>
              <w:tc>
                <w:tcPr>
                  <w:tcW w:w="700" w:type="dxa"/>
                  <w:tcBorders>
                    <w:top w:val="nil"/>
                    <w:left w:val="nil"/>
                    <w:bottom w:val="single" w:sz="4" w:space="0" w:color="auto"/>
                    <w:right w:val="nil"/>
                  </w:tcBorders>
                  <w:noWrap/>
                  <w:vAlign w:val="bottom"/>
                  <w:hideMark/>
                </w:tcPr>
                <w:p w14:paraId="05631B51" w14:textId="77777777" w:rsidR="00605D96" w:rsidRPr="005747D1" w:rsidRDefault="00605D96" w:rsidP="008B207B">
                  <w:pPr>
                    <w:spacing w:after="0" w:line="240" w:lineRule="auto"/>
                    <w:jc w:val="right"/>
                    <w:rPr>
                      <w:rFonts w:cs="Arial"/>
                      <w:color w:val="000000"/>
                      <w:sz w:val="16"/>
                      <w:szCs w:val="16"/>
                    </w:rPr>
                  </w:pPr>
                  <w:r w:rsidRPr="005747D1">
                    <w:rPr>
                      <w:rFonts w:cs="Arial"/>
                      <w:color w:val="000000"/>
                      <w:sz w:val="16"/>
                      <w:szCs w:val="16"/>
                    </w:rPr>
                    <w:t>mld. Kč</w:t>
                  </w:r>
                </w:p>
              </w:tc>
              <w:tc>
                <w:tcPr>
                  <w:tcW w:w="700" w:type="dxa"/>
                  <w:tcBorders>
                    <w:top w:val="nil"/>
                    <w:left w:val="nil"/>
                    <w:bottom w:val="single" w:sz="4" w:space="0" w:color="auto"/>
                    <w:right w:val="nil"/>
                  </w:tcBorders>
                  <w:noWrap/>
                  <w:vAlign w:val="bottom"/>
                  <w:hideMark/>
                </w:tcPr>
                <w:p w14:paraId="461BA5C0" w14:textId="77777777" w:rsidR="00605D96" w:rsidRPr="005747D1" w:rsidRDefault="00605D96" w:rsidP="008B207B">
                  <w:pPr>
                    <w:spacing w:after="0" w:line="240" w:lineRule="auto"/>
                    <w:jc w:val="right"/>
                    <w:rPr>
                      <w:rFonts w:cs="Arial"/>
                      <w:color w:val="000000"/>
                      <w:sz w:val="16"/>
                      <w:szCs w:val="16"/>
                    </w:rPr>
                  </w:pPr>
                  <w:r w:rsidRPr="005747D1">
                    <w:rPr>
                      <w:rFonts w:cs="Arial"/>
                      <w:color w:val="000000"/>
                      <w:sz w:val="16"/>
                      <w:szCs w:val="16"/>
                    </w:rPr>
                    <w:t>%</w:t>
                  </w:r>
                </w:p>
              </w:tc>
            </w:tr>
            <w:tr w:rsidR="00605D96" w:rsidRPr="005747D1" w14:paraId="6BFFAA0B" w14:textId="77777777" w:rsidTr="008B207B">
              <w:trPr>
                <w:trHeight w:val="252"/>
              </w:trPr>
              <w:tc>
                <w:tcPr>
                  <w:tcW w:w="3362" w:type="dxa"/>
                  <w:tcBorders>
                    <w:top w:val="nil"/>
                    <w:left w:val="nil"/>
                    <w:bottom w:val="nil"/>
                    <w:right w:val="nil"/>
                  </w:tcBorders>
                  <w:noWrap/>
                  <w:vAlign w:val="bottom"/>
                  <w:hideMark/>
                </w:tcPr>
                <w:p w14:paraId="38D18677" w14:textId="77777777" w:rsidR="00605D96" w:rsidRPr="005747D1" w:rsidRDefault="00605D96" w:rsidP="008B207B">
                  <w:pPr>
                    <w:spacing w:after="0" w:line="240" w:lineRule="auto"/>
                    <w:jc w:val="left"/>
                    <w:rPr>
                      <w:rFonts w:cs="Arial"/>
                      <w:color w:val="000000"/>
                      <w:sz w:val="16"/>
                      <w:szCs w:val="16"/>
                    </w:rPr>
                  </w:pPr>
                  <w:r w:rsidRPr="005747D1">
                    <w:rPr>
                      <w:rFonts w:cs="Arial"/>
                      <w:color w:val="000000"/>
                      <w:sz w:val="16"/>
                      <w:szCs w:val="16"/>
                    </w:rPr>
                    <w:t>Norsko</w:t>
                  </w:r>
                </w:p>
              </w:tc>
              <w:tc>
                <w:tcPr>
                  <w:tcW w:w="700" w:type="dxa"/>
                  <w:tcBorders>
                    <w:top w:val="nil"/>
                    <w:left w:val="nil"/>
                    <w:bottom w:val="nil"/>
                    <w:right w:val="nil"/>
                  </w:tcBorders>
                  <w:noWrap/>
                  <w:vAlign w:val="bottom"/>
                  <w:hideMark/>
                </w:tcPr>
                <w:p w14:paraId="592050B5" w14:textId="77777777" w:rsidR="00605D96" w:rsidRPr="005747D1" w:rsidRDefault="00605D96" w:rsidP="008B207B">
                  <w:pPr>
                    <w:spacing w:after="0" w:line="240" w:lineRule="auto"/>
                    <w:jc w:val="right"/>
                    <w:rPr>
                      <w:rFonts w:cs="Arial"/>
                      <w:color w:val="000000"/>
                      <w:sz w:val="16"/>
                      <w:szCs w:val="16"/>
                    </w:rPr>
                  </w:pPr>
                  <w:r w:rsidRPr="005747D1">
                    <w:rPr>
                      <w:rFonts w:cs="Arial"/>
                      <w:color w:val="000000"/>
                      <w:sz w:val="16"/>
                      <w:szCs w:val="16"/>
                    </w:rPr>
                    <w:t>+7,1</w:t>
                  </w:r>
                </w:p>
              </w:tc>
              <w:tc>
                <w:tcPr>
                  <w:tcW w:w="700" w:type="dxa"/>
                  <w:tcBorders>
                    <w:top w:val="nil"/>
                    <w:left w:val="nil"/>
                    <w:bottom w:val="nil"/>
                    <w:right w:val="nil"/>
                  </w:tcBorders>
                  <w:noWrap/>
                  <w:vAlign w:val="bottom"/>
                  <w:hideMark/>
                </w:tcPr>
                <w:p w14:paraId="47C5028D" w14:textId="77777777" w:rsidR="00605D96" w:rsidRPr="005747D1" w:rsidRDefault="00605D96" w:rsidP="008B207B">
                  <w:pPr>
                    <w:spacing w:after="0" w:line="240" w:lineRule="auto"/>
                    <w:jc w:val="right"/>
                    <w:rPr>
                      <w:rFonts w:cs="Arial"/>
                      <w:color w:val="000000"/>
                      <w:sz w:val="16"/>
                      <w:szCs w:val="16"/>
                    </w:rPr>
                  </w:pPr>
                  <w:r w:rsidRPr="005747D1">
                    <w:rPr>
                      <w:rFonts w:cs="Arial"/>
                      <w:color w:val="000000"/>
                      <w:sz w:val="16"/>
                      <w:szCs w:val="16"/>
                    </w:rPr>
                    <w:t>+75,8</w:t>
                  </w:r>
                </w:p>
              </w:tc>
            </w:tr>
            <w:tr w:rsidR="00605D96" w:rsidRPr="005747D1" w14:paraId="77DB4F8E" w14:textId="77777777" w:rsidTr="008B207B">
              <w:trPr>
                <w:trHeight w:val="252"/>
              </w:trPr>
              <w:tc>
                <w:tcPr>
                  <w:tcW w:w="3362" w:type="dxa"/>
                  <w:tcBorders>
                    <w:top w:val="nil"/>
                    <w:left w:val="nil"/>
                    <w:bottom w:val="nil"/>
                    <w:right w:val="nil"/>
                  </w:tcBorders>
                  <w:noWrap/>
                  <w:vAlign w:val="bottom"/>
                  <w:hideMark/>
                </w:tcPr>
                <w:p w14:paraId="4A2B6B7F" w14:textId="77777777" w:rsidR="00605D96" w:rsidRPr="005747D1" w:rsidRDefault="00605D96" w:rsidP="008B207B">
                  <w:pPr>
                    <w:spacing w:after="0" w:line="240" w:lineRule="auto"/>
                    <w:jc w:val="left"/>
                    <w:rPr>
                      <w:rFonts w:cs="Arial"/>
                      <w:color w:val="000000"/>
                      <w:sz w:val="16"/>
                      <w:szCs w:val="16"/>
                    </w:rPr>
                  </w:pPr>
                  <w:r w:rsidRPr="005747D1">
                    <w:rPr>
                      <w:rFonts w:cs="Arial"/>
                      <w:color w:val="000000"/>
                      <w:sz w:val="16"/>
                      <w:szCs w:val="16"/>
                    </w:rPr>
                    <w:t>Maďarsko</w:t>
                  </w:r>
                </w:p>
              </w:tc>
              <w:tc>
                <w:tcPr>
                  <w:tcW w:w="700" w:type="dxa"/>
                  <w:tcBorders>
                    <w:top w:val="nil"/>
                    <w:left w:val="nil"/>
                    <w:bottom w:val="nil"/>
                    <w:right w:val="nil"/>
                  </w:tcBorders>
                  <w:noWrap/>
                  <w:vAlign w:val="bottom"/>
                  <w:hideMark/>
                </w:tcPr>
                <w:p w14:paraId="7EC7B895" w14:textId="77777777" w:rsidR="00605D96" w:rsidRPr="005747D1" w:rsidRDefault="00605D96" w:rsidP="008B207B">
                  <w:pPr>
                    <w:spacing w:after="0" w:line="240" w:lineRule="auto"/>
                    <w:jc w:val="right"/>
                    <w:rPr>
                      <w:rFonts w:cs="Arial"/>
                      <w:color w:val="000000"/>
                      <w:sz w:val="16"/>
                      <w:szCs w:val="16"/>
                    </w:rPr>
                  </w:pPr>
                  <w:r w:rsidRPr="005747D1">
                    <w:rPr>
                      <w:rFonts w:cs="Arial"/>
                      <w:color w:val="000000"/>
                      <w:sz w:val="16"/>
                      <w:szCs w:val="16"/>
                    </w:rPr>
                    <w:t>+4,5</w:t>
                  </w:r>
                </w:p>
              </w:tc>
              <w:tc>
                <w:tcPr>
                  <w:tcW w:w="700" w:type="dxa"/>
                  <w:tcBorders>
                    <w:top w:val="nil"/>
                    <w:left w:val="nil"/>
                    <w:bottom w:val="nil"/>
                    <w:right w:val="nil"/>
                  </w:tcBorders>
                  <w:noWrap/>
                  <w:vAlign w:val="bottom"/>
                  <w:hideMark/>
                </w:tcPr>
                <w:p w14:paraId="4F0116FA" w14:textId="77777777" w:rsidR="00605D96" w:rsidRPr="005747D1" w:rsidRDefault="00605D96" w:rsidP="008B207B">
                  <w:pPr>
                    <w:spacing w:after="0" w:line="240" w:lineRule="auto"/>
                    <w:jc w:val="right"/>
                    <w:rPr>
                      <w:rFonts w:cs="Arial"/>
                      <w:color w:val="000000"/>
                      <w:sz w:val="16"/>
                      <w:szCs w:val="16"/>
                    </w:rPr>
                  </w:pPr>
                  <w:r w:rsidRPr="005747D1">
                    <w:rPr>
                      <w:rFonts w:cs="Arial"/>
                      <w:color w:val="000000"/>
                      <w:sz w:val="16"/>
                      <w:szCs w:val="16"/>
                    </w:rPr>
                    <w:t>+18,7</w:t>
                  </w:r>
                </w:p>
              </w:tc>
            </w:tr>
            <w:tr w:rsidR="00605D96" w:rsidRPr="005747D1" w14:paraId="64BC71E1" w14:textId="77777777" w:rsidTr="008B207B">
              <w:trPr>
                <w:trHeight w:val="252"/>
              </w:trPr>
              <w:tc>
                <w:tcPr>
                  <w:tcW w:w="3362" w:type="dxa"/>
                  <w:tcBorders>
                    <w:top w:val="nil"/>
                    <w:left w:val="nil"/>
                    <w:bottom w:val="nil"/>
                    <w:right w:val="nil"/>
                  </w:tcBorders>
                  <w:noWrap/>
                  <w:vAlign w:val="bottom"/>
                  <w:hideMark/>
                </w:tcPr>
                <w:p w14:paraId="3387F984" w14:textId="77777777" w:rsidR="00605D96" w:rsidRPr="005747D1" w:rsidRDefault="00605D96" w:rsidP="008B207B">
                  <w:pPr>
                    <w:spacing w:after="0" w:line="240" w:lineRule="auto"/>
                    <w:jc w:val="left"/>
                    <w:rPr>
                      <w:rFonts w:cs="Arial"/>
                      <w:color w:val="000000"/>
                      <w:sz w:val="16"/>
                      <w:szCs w:val="16"/>
                    </w:rPr>
                  </w:pPr>
                  <w:r w:rsidRPr="005747D1">
                    <w:rPr>
                      <w:rFonts w:cs="Arial"/>
                      <w:color w:val="000000"/>
                      <w:sz w:val="16"/>
                      <w:szCs w:val="16"/>
                    </w:rPr>
                    <w:t>Tchaj-wan</w:t>
                  </w:r>
                </w:p>
              </w:tc>
              <w:tc>
                <w:tcPr>
                  <w:tcW w:w="700" w:type="dxa"/>
                  <w:tcBorders>
                    <w:top w:val="nil"/>
                    <w:left w:val="nil"/>
                    <w:bottom w:val="nil"/>
                    <w:right w:val="nil"/>
                  </w:tcBorders>
                  <w:noWrap/>
                  <w:vAlign w:val="bottom"/>
                  <w:hideMark/>
                </w:tcPr>
                <w:p w14:paraId="027C0B68" w14:textId="77777777" w:rsidR="00605D96" w:rsidRPr="005747D1" w:rsidRDefault="00605D96" w:rsidP="008B207B">
                  <w:pPr>
                    <w:spacing w:after="0" w:line="240" w:lineRule="auto"/>
                    <w:jc w:val="right"/>
                    <w:rPr>
                      <w:rFonts w:cs="Arial"/>
                      <w:color w:val="000000"/>
                      <w:sz w:val="16"/>
                      <w:szCs w:val="16"/>
                    </w:rPr>
                  </w:pPr>
                  <w:r w:rsidRPr="005747D1">
                    <w:rPr>
                      <w:rFonts w:cs="Arial"/>
                      <w:color w:val="000000"/>
                      <w:sz w:val="16"/>
                      <w:szCs w:val="16"/>
                    </w:rPr>
                    <w:t>+2,5</w:t>
                  </w:r>
                </w:p>
              </w:tc>
              <w:tc>
                <w:tcPr>
                  <w:tcW w:w="700" w:type="dxa"/>
                  <w:tcBorders>
                    <w:top w:val="nil"/>
                    <w:left w:val="nil"/>
                    <w:bottom w:val="nil"/>
                    <w:right w:val="nil"/>
                  </w:tcBorders>
                  <w:noWrap/>
                  <w:vAlign w:val="bottom"/>
                  <w:hideMark/>
                </w:tcPr>
                <w:p w14:paraId="6BCE4F13" w14:textId="77777777" w:rsidR="00605D96" w:rsidRPr="005747D1" w:rsidRDefault="00605D96" w:rsidP="008B207B">
                  <w:pPr>
                    <w:spacing w:after="0" w:line="240" w:lineRule="auto"/>
                    <w:jc w:val="right"/>
                    <w:rPr>
                      <w:rFonts w:cs="Arial"/>
                      <w:color w:val="000000"/>
                      <w:sz w:val="16"/>
                      <w:szCs w:val="16"/>
                    </w:rPr>
                  </w:pPr>
                  <w:r w:rsidRPr="005747D1">
                    <w:rPr>
                      <w:rFonts w:cs="Arial"/>
                      <w:color w:val="000000"/>
                      <w:sz w:val="16"/>
                      <w:szCs w:val="16"/>
                    </w:rPr>
                    <w:t>+27,9</w:t>
                  </w:r>
                </w:p>
              </w:tc>
            </w:tr>
            <w:tr w:rsidR="00605D96" w:rsidRPr="005747D1" w14:paraId="381F48EB" w14:textId="77777777" w:rsidTr="008B207B">
              <w:trPr>
                <w:trHeight w:val="252"/>
              </w:trPr>
              <w:tc>
                <w:tcPr>
                  <w:tcW w:w="3362" w:type="dxa"/>
                  <w:tcBorders>
                    <w:top w:val="nil"/>
                    <w:left w:val="nil"/>
                    <w:bottom w:val="nil"/>
                    <w:right w:val="nil"/>
                  </w:tcBorders>
                  <w:noWrap/>
                  <w:vAlign w:val="bottom"/>
                  <w:hideMark/>
                </w:tcPr>
                <w:p w14:paraId="2C69BDC0" w14:textId="77777777" w:rsidR="00605D96" w:rsidRPr="005747D1" w:rsidRDefault="00605D96" w:rsidP="008B207B">
                  <w:pPr>
                    <w:spacing w:after="0" w:line="240" w:lineRule="auto"/>
                    <w:jc w:val="left"/>
                    <w:rPr>
                      <w:rFonts w:cs="Arial"/>
                      <w:color w:val="000000"/>
                      <w:sz w:val="16"/>
                      <w:szCs w:val="16"/>
                    </w:rPr>
                  </w:pPr>
                  <w:r w:rsidRPr="005747D1">
                    <w:rPr>
                      <w:rFonts w:cs="Arial"/>
                      <w:color w:val="000000"/>
                      <w:sz w:val="16"/>
                      <w:szCs w:val="16"/>
                    </w:rPr>
                    <w:t>Rakousko</w:t>
                  </w:r>
                </w:p>
              </w:tc>
              <w:tc>
                <w:tcPr>
                  <w:tcW w:w="700" w:type="dxa"/>
                  <w:tcBorders>
                    <w:top w:val="nil"/>
                    <w:left w:val="nil"/>
                    <w:bottom w:val="nil"/>
                    <w:right w:val="nil"/>
                  </w:tcBorders>
                  <w:noWrap/>
                  <w:vAlign w:val="bottom"/>
                  <w:hideMark/>
                </w:tcPr>
                <w:p w14:paraId="6FA12FA3" w14:textId="77777777" w:rsidR="00605D96" w:rsidRPr="005747D1" w:rsidRDefault="00605D96" w:rsidP="008B207B">
                  <w:pPr>
                    <w:spacing w:after="0" w:line="240" w:lineRule="auto"/>
                    <w:jc w:val="right"/>
                    <w:rPr>
                      <w:rFonts w:cs="Arial"/>
                      <w:color w:val="000000"/>
                      <w:sz w:val="16"/>
                      <w:szCs w:val="16"/>
                    </w:rPr>
                  </w:pPr>
                  <w:r w:rsidRPr="005747D1">
                    <w:rPr>
                      <w:rFonts w:cs="Arial"/>
                      <w:color w:val="000000"/>
                      <w:sz w:val="16"/>
                      <w:szCs w:val="16"/>
                    </w:rPr>
                    <w:t>+2,1</w:t>
                  </w:r>
                </w:p>
              </w:tc>
              <w:tc>
                <w:tcPr>
                  <w:tcW w:w="700" w:type="dxa"/>
                  <w:tcBorders>
                    <w:top w:val="nil"/>
                    <w:left w:val="nil"/>
                    <w:bottom w:val="nil"/>
                    <w:right w:val="nil"/>
                  </w:tcBorders>
                  <w:noWrap/>
                  <w:vAlign w:val="bottom"/>
                  <w:hideMark/>
                </w:tcPr>
                <w:p w14:paraId="15AD6599" w14:textId="77777777" w:rsidR="00605D96" w:rsidRPr="005747D1" w:rsidRDefault="00605D96" w:rsidP="008B207B">
                  <w:pPr>
                    <w:spacing w:after="0" w:line="240" w:lineRule="auto"/>
                    <w:jc w:val="right"/>
                    <w:rPr>
                      <w:rFonts w:cs="Arial"/>
                      <w:color w:val="000000"/>
                      <w:sz w:val="16"/>
                      <w:szCs w:val="16"/>
                    </w:rPr>
                  </w:pPr>
                  <w:r w:rsidRPr="005747D1">
                    <w:rPr>
                      <w:rFonts w:cs="Arial"/>
                      <w:color w:val="000000"/>
                      <w:sz w:val="16"/>
                      <w:szCs w:val="16"/>
                    </w:rPr>
                    <w:t>+6,6</w:t>
                  </w:r>
                </w:p>
              </w:tc>
            </w:tr>
            <w:tr w:rsidR="00605D96" w:rsidRPr="005747D1" w14:paraId="14A3B314" w14:textId="77777777" w:rsidTr="008B207B">
              <w:trPr>
                <w:trHeight w:val="252"/>
              </w:trPr>
              <w:tc>
                <w:tcPr>
                  <w:tcW w:w="3362" w:type="dxa"/>
                  <w:tcBorders>
                    <w:top w:val="nil"/>
                    <w:left w:val="nil"/>
                    <w:bottom w:val="nil"/>
                    <w:right w:val="nil"/>
                  </w:tcBorders>
                  <w:noWrap/>
                  <w:vAlign w:val="bottom"/>
                  <w:hideMark/>
                </w:tcPr>
                <w:p w14:paraId="233D2AE7" w14:textId="77777777" w:rsidR="00605D96" w:rsidRPr="005747D1" w:rsidRDefault="00605D96" w:rsidP="008B207B">
                  <w:pPr>
                    <w:spacing w:after="0" w:line="240" w:lineRule="auto"/>
                    <w:jc w:val="left"/>
                    <w:rPr>
                      <w:rFonts w:cs="Arial"/>
                      <w:color w:val="000000"/>
                      <w:sz w:val="16"/>
                      <w:szCs w:val="16"/>
                    </w:rPr>
                  </w:pPr>
                  <w:r w:rsidRPr="005747D1">
                    <w:rPr>
                      <w:rFonts w:cs="Arial"/>
                      <w:color w:val="000000"/>
                      <w:sz w:val="16"/>
                      <w:szCs w:val="16"/>
                    </w:rPr>
                    <w:t>Singapur</w:t>
                  </w:r>
                </w:p>
              </w:tc>
              <w:tc>
                <w:tcPr>
                  <w:tcW w:w="700" w:type="dxa"/>
                  <w:tcBorders>
                    <w:top w:val="nil"/>
                    <w:left w:val="nil"/>
                    <w:bottom w:val="nil"/>
                    <w:right w:val="nil"/>
                  </w:tcBorders>
                  <w:noWrap/>
                  <w:vAlign w:val="bottom"/>
                  <w:hideMark/>
                </w:tcPr>
                <w:p w14:paraId="7CA396FD" w14:textId="77777777" w:rsidR="00605D96" w:rsidRPr="005747D1" w:rsidRDefault="00605D96" w:rsidP="008B207B">
                  <w:pPr>
                    <w:spacing w:after="0" w:line="240" w:lineRule="auto"/>
                    <w:jc w:val="right"/>
                    <w:rPr>
                      <w:rFonts w:cs="Arial"/>
                      <w:color w:val="000000"/>
                      <w:sz w:val="16"/>
                      <w:szCs w:val="16"/>
                    </w:rPr>
                  </w:pPr>
                  <w:r w:rsidRPr="005747D1">
                    <w:rPr>
                      <w:rFonts w:cs="Arial"/>
                      <w:color w:val="000000"/>
                      <w:sz w:val="16"/>
                      <w:szCs w:val="16"/>
                    </w:rPr>
                    <w:t>+1,9</w:t>
                  </w:r>
                </w:p>
              </w:tc>
              <w:tc>
                <w:tcPr>
                  <w:tcW w:w="700" w:type="dxa"/>
                  <w:tcBorders>
                    <w:top w:val="nil"/>
                    <w:left w:val="nil"/>
                    <w:bottom w:val="nil"/>
                    <w:right w:val="nil"/>
                  </w:tcBorders>
                  <w:noWrap/>
                  <w:vAlign w:val="bottom"/>
                  <w:hideMark/>
                </w:tcPr>
                <w:p w14:paraId="2AE45528" w14:textId="77777777" w:rsidR="00605D96" w:rsidRPr="005747D1" w:rsidRDefault="00605D96" w:rsidP="008B207B">
                  <w:pPr>
                    <w:spacing w:after="0" w:line="240" w:lineRule="auto"/>
                    <w:jc w:val="right"/>
                    <w:rPr>
                      <w:rFonts w:cs="Arial"/>
                      <w:color w:val="000000"/>
                      <w:sz w:val="16"/>
                      <w:szCs w:val="16"/>
                    </w:rPr>
                  </w:pPr>
                  <w:r w:rsidRPr="005747D1">
                    <w:rPr>
                      <w:rFonts w:cs="Arial"/>
                      <w:color w:val="000000"/>
                      <w:sz w:val="16"/>
                      <w:szCs w:val="16"/>
                    </w:rPr>
                    <w:t>+145,7</w:t>
                  </w:r>
                </w:p>
              </w:tc>
            </w:tr>
            <w:tr w:rsidR="00605D96" w:rsidRPr="005747D1" w14:paraId="702D3342" w14:textId="77777777" w:rsidTr="008B207B">
              <w:trPr>
                <w:trHeight w:val="252"/>
              </w:trPr>
              <w:tc>
                <w:tcPr>
                  <w:tcW w:w="3362" w:type="dxa"/>
                  <w:tcBorders>
                    <w:top w:val="nil"/>
                    <w:left w:val="nil"/>
                    <w:bottom w:val="nil"/>
                    <w:right w:val="nil"/>
                  </w:tcBorders>
                  <w:noWrap/>
                  <w:vAlign w:val="bottom"/>
                  <w:hideMark/>
                </w:tcPr>
                <w:p w14:paraId="6719CE0B" w14:textId="77777777" w:rsidR="00605D96" w:rsidRPr="005747D1" w:rsidRDefault="00605D96" w:rsidP="008B207B">
                  <w:pPr>
                    <w:spacing w:after="0" w:line="240" w:lineRule="auto"/>
                    <w:jc w:val="left"/>
                    <w:rPr>
                      <w:rFonts w:cs="Arial"/>
                      <w:color w:val="000000"/>
                      <w:sz w:val="16"/>
                      <w:szCs w:val="16"/>
                    </w:rPr>
                  </w:pPr>
                  <w:r w:rsidRPr="005747D1">
                    <w:rPr>
                      <w:rFonts w:cs="Arial"/>
                      <w:color w:val="000000"/>
                      <w:sz w:val="16"/>
                      <w:szCs w:val="16"/>
                    </w:rPr>
                    <w:t>Švýcarsko</w:t>
                  </w:r>
                </w:p>
              </w:tc>
              <w:tc>
                <w:tcPr>
                  <w:tcW w:w="700" w:type="dxa"/>
                  <w:tcBorders>
                    <w:top w:val="nil"/>
                    <w:left w:val="nil"/>
                    <w:bottom w:val="nil"/>
                    <w:right w:val="nil"/>
                  </w:tcBorders>
                  <w:noWrap/>
                  <w:vAlign w:val="bottom"/>
                  <w:hideMark/>
                </w:tcPr>
                <w:p w14:paraId="64027CA5" w14:textId="77777777" w:rsidR="00605D96" w:rsidRPr="005747D1" w:rsidRDefault="00605D96" w:rsidP="008B207B">
                  <w:pPr>
                    <w:spacing w:after="0" w:line="240" w:lineRule="auto"/>
                    <w:jc w:val="right"/>
                    <w:rPr>
                      <w:rFonts w:cs="Arial"/>
                      <w:color w:val="000000"/>
                      <w:sz w:val="16"/>
                      <w:szCs w:val="16"/>
                    </w:rPr>
                  </w:pPr>
                  <w:r w:rsidRPr="005747D1">
                    <w:rPr>
                      <w:rFonts w:cs="Arial"/>
                      <w:color w:val="000000"/>
                      <w:sz w:val="16"/>
                      <w:szCs w:val="16"/>
                    </w:rPr>
                    <w:t>+1,7</w:t>
                  </w:r>
                </w:p>
              </w:tc>
              <w:tc>
                <w:tcPr>
                  <w:tcW w:w="700" w:type="dxa"/>
                  <w:tcBorders>
                    <w:top w:val="nil"/>
                    <w:left w:val="nil"/>
                    <w:bottom w:val="nil"/>
                    <w:right w:val="nil"/>
                  </w:tcBorders>
                  <w:noWrap/>
                  <w:vAlign w:val="bottom"/>
                  <w:hideMark/>
                </w:tcPr>
                <w:p w14:paraId="4E74C16C" w14:textId="77777777" w:rsidR="00605D96" w:rsidRPr="005747D1" w:rsidRDefault="00605D96" w:rsidP="008B207B">
                  <w:pPr>
                    <w:spacing w:after="0" w:line="240" w:lineRule="auto"/>
                    <w:jc w:val="right"/>
                    <w:rPr>
                      <w:rFonts w:cs="Arial"/>
                      <w:color w:val="000000"/>
                      <w:sz w:val="16"/>
                      <w:szCs w:val="16"/>
                    </w:rPr>
                  </w:pPr>
                  <w:r w:rsidRPr="005747D1">
                    <w:rPr>
                      <w:rFonts w:cs="Arial"/>
                      <w:color w:val="000000"/>
                      <w:sz w:val="16"/>
                      <w:szCs w:val="16"/>
                    </w:rPr>
                    <w:t>+15,3</w:t>
                  </w:r>
                </w:p>
              </w:tc>
            </w:tr>
            <w:tr w:rsidR="00605D96" w:rsidRPr="005747D1" w14:paraId="5E82EDEF" w14:textId="77777777" w:rsidTr="008B207B">
              <w:trPr>
                <w:trHeight w:val="252"/>
              </w:trPr>
              <w:tc>
                <w:tcPr>
                  <w:tcW w:w="3362" w:type="dxa"/>
                  <w:tcBorders>
                    <w:top w:val="nil"/>
                    <w:left w:val="nil"/>
                    <w:bottom w:val="nil"/>
                    <w:right w:val="nil"/>
                  </w:tcBorders>
                  <w:noWrap/>
                  <w:vAlign w:val="bottom"/>
                  <w:hideMark/>
                </w:tcPr>
                <w:p w14:paraId="111461D1" w14:textId="77777777" w:rsidR="00605D96" w:rsidRPr="005747D1" w:rsidRDefault="00605D96" w:rsidP="008B207B">
                  <w:pPr>
                    <w:spacing w:after="0" w:line="240" w:lineRule="auto"/>
                    <w:jc w:val="left"/>
                    <w:rPr>
                      <w:rFonts w:cs="Arial"/>
                      <w:color w:val="000000"/>
                      <w:sz w:val="16"/>
                      <w:szCs w:val="16"/>
                    </w:rPr>
                  </w:pPr>
                  <w:r w:rsidRPr="005747D1">
                    <w:rPr>
                      <w:rFonts w:cs="Arial"/>
                      <w:color w:val="000000"/>
                      <w:sz w:val="16"/>
                      <w:szCs w:val="16"/>
                    </w:rPr>
                    <w:t>Japonsko</w:t>
                  </w:r>
                </w:p>
              </w:tc>
              <w:tc>
                <w:tcPr>
                  <w:tcW w:w="700" w:type="dxa"/>
                  <w:tcBorders>
                    <w:top w:val="nil"/>
                    <w:left w:val="nil"/>
                    <w:bottom w:val="nil"/>
                    <w:right w:val="nil"/>
                  </w:tcBorders>
                  <w:noWrap/>
                  <w:vAlign w:val="bottom"/>
                  <w:hideMark/>
                </w:tcPr>
                <w:p w14:paraId="55F945B3" w14:textId="77777777" w:rsidR="00605D96" w:rsidRPr="005747D1" w:rsidRDefault="00605D96" w:rsidP="008B207B">
                  <w:pPr>
                    <w:spacing w:after="0" w:line="240" w:lineRule="auto"/>
                    <w:jc w:val="right"/>
                    <w:rPr>
                      <w:rFonts w:cs="Arial"/>
                      <w:color w:val="000000"/>
                      <w:sz w:val="16"/>
                      <w:szCs w:val="16"/>
                    </w:rPr>
                  </w:pPr>
                  <w:r w:rsidRPr="005747D1">
                    <w:rPr>
                      <w:rFonts w:cs="Arial"/>
                      <w:color w:val="000000"/>
                      <w:sz w:val="16"/>
                      <w:szCs w:val="16"/>
                    </w:rPr>
                    <w:t>+1,6</w:t>
                  </w:r>
                </w:p>
              </w:tc>
              <w:tc>
                <w:tcPr>
                  <w:tcW w:w="700" w:type="dxa"/>
                  <w:tcBorders>
                    <w:top w:val="nil"/>
                    <w:left w:val="nil"/>
                    <w:bottom w:val="nil"/>
                    <w:right w:val="nil"/>
                  </w:tcBorders>
                  <w:noWrap/>
                  <w:vAlign w:val="bottom"/>
                  <w:hideMark/>
                </w:tcPr>
                <w:p w14:paraId="56F3B566" w14:textId="77777777" w:rsidR="00605D96" w:rsidRPr="005747D1" w:rsidRDefault="00605D96" w:rsidP="008B207B">
                  <w:pPr>
                    <w:spacing w:after="0" w:line="240" w:lineRule="auto"/>
                    <w:jc w:val="right"/>
                    <w:rPr>
                      <w:rFonts w:cs="Arial"/>
                      <w:color w:val="000000"/>
                      <w:sz w:val="16"/>
                      <w:szCs w:val="16"/>
                    </w:rPr>
                  </w:pPr>
                  <w:r w:rsidRPr="005747D1">
                    <w:rPr>
                      <w:rFonts w:cs="Arial"/>
                      <w:color w:val="000000"/>
                      <w:sz w:val="16"/>
                      <w:szCs w:val="16"/>
                    </w:rPr>
                    <w:t>+8,0</w:t>
                  </w:r>
                </w:p>
              </w:tc>
            </w:tr>
            <w:tr w:rsidR="00605D96" w:rsidRPr="005747D1" w14:paraId="52323B19" w14:textId="77777777" w:rsidTr="008B207B">
              <w:trPr>
                <w:trHeight w:val="252"/>
              </w:trPr>
              <w:tc>
                <w:tcPr>
                  <w:tcW w:w="3362" w:type="dxa"/>
                  <w:tcBorders>
                    <w:top w:val="nil"/>
                    <w:left w:val="nil"/>
                    <w:bottom w:val="nil"/>
                    <w:right w:val="nil"/>
                  </w:tcBorders>
                  <w:noWrap/>
                  <w:vAlign w:val="bottom"/>
                  <w:hideMark/>
                </w:tcPr>
                <w:p w14:paraId="5FEEC888" w14:textId="77777777" w:rsidR="00605D96" w:rsidRPr="005747D1" w:rsidRDefault="00605D96" w:rsidP="008B207B">
                  <w:pPr>
                    <w:spacing w:after="0" w:line="240" w:lineRule="auto"/>
                    <w:jc w:val="left"/>
                    <w:rPr>
                      <w:rFonts w:cs="Arial"/>
                      <w:color w:val="000000"/>
                      <w:sz w:val="16"/>
                      <w:szCs w:val="16"/>
                    </w:rPr>
                  </w:pPr>
                  <w:r w:rsidRPr="005747D1">
                    <w:rPr>
                      <w:rFonts w:cs="Arial"/>
                      <w:color w:val="000000"/>
                      <w:sz w:val="16"/>
                      <w:szCs w:val="16"/>
                    </w:rPr>
                    <w:t>Kazachstán</w:t>
                  </w:r>
                </w:p>
              </w:tc>
              <w:tc>
                <w:tcPr>
                  <w:tcW w:w="700" w:type="dxa"/>
                  <w:tcBorders>
                    <w:top w:val="nil"/>
                    <w:left w:val="nil"/>
                    <w:bottom w:val="nil"/>
                    <w:right w:val="nil"/>
                  </w:tcBorders>
                  <w:noWrap/>
                  <w:vAlign w:val="bottom"/>
                  <w:hideMark/>
                </w:tcPr>
                <w:p w14:paraId="668FFA05" w14:textId="77777777" w:rsidR="00605D96" w:rsidRPr="005747D1" w:rsidRDefault="00605D96" w:rsidP="008B207B">
                  <w:pPr>
                    <w:spacing w:after="0" w:line="240" w:lineRule="auto"/>
                    <w:jc w:val="right"/>
                    <w:rPr>
                      <w:rFonts w:cs="Arial"/>
                      <w:color w:val="000000"/>
                      <w:sz w:val="16"/>
                      <w:szCs w:val="16"/>
                    </w:rPr>
                  </w:pPr>
                  <w:r w:rsidRPr="005747D1">
                    <w:rPr>
                      <w:rFonts w:cs="Arial"/>
                      <w:color w:val="000000"/>
                      <w:sz w:val="16"/>
                      <w:szCs w:val="16"/>
                    </w:rPr>
                    <w:t>+1,5</w:t>
                  </w:r>
                </w:p>
              </w:tc>
              <w:tc>
                <w:tcPr>
                  <w:tcW w:w="700" w:type="dxa"/>
                  <w:tcBorders>
                    <w:top w:val="nil"/>
                    <w:left w:val="nil"/>
                    <w:bottom w:val="nil"/>
                    <w:right w:val="nil"/>
                  </w:tcBorders>
                  <w:noWrap/>
                  <w:vAlign w:val="bottom"/>
                  <w:hideMark/>
                </w:tcPr>
                <w:p w14:paraId="3C77923E" w14:textId="77777777" w:rsidR="00605D96" w:rsidRPr="005747D1" w:rsidRDefault="00605D96" w:rsidP="008B207B">
                  <w:pPr>
                    <w:spacing w:after="0" w:line="240" w:lineRule="auto"/>
                    <w:jc w:val="right"/>
                    <w:rPr>
                      <w:rFonts w:cs="Arial"/>
                      <w:color w:val="000000"/>
                      <w:sz w:val="16"/>
                      <w:szCs w:val="16"/>
                    </w:rPr>
                  </w:pPr>
                  <w:r w:rsidRPr="005747D1">
                    <w:rPr>
                      <w:rFonts w:cs="Arial"/>
                      <w:color w:val="000000"/>
                      <w:sz w:val="16"/>
                      <w:szCs w:val="16"/>
                    </w:rPr>
                    <w:t>+33,0</w:t>
                  </w:r>
                </w:p>
              </w:tc>
            </w:tr>
            <w:tr w:rsidR="00605D96" w:rsidRPr="005747D1" w14:paraId="04E5783A" w14:textId="77777777" w:rsidTr="008B207B">
              <w:trPr>
                <w:trHeight w:val="252"/>
              </w:trPr>
              <w:tc>
                <w:tcPr>
                  <w:tcW w:w="3362" w:type="dxa"/>
                  <w:tcBorders>
                    <w:top w:val="nil"/>
                    <w:left w:val="nil"/>
                    <w:bottom w:val="nil"/>
                    <w:right w:val="nil"/>
                  </w:tcBorders>
                  <w:noWrap/>
                  <w:vAlign w:val="bottom"/>
                  <w:hideMark/>
                </w:tcPr>
                <w:p w14:paraId="6C122178" w14:textId="77777777" w:rsidR="00605D96" w:rsidRPr="005747D1" w:rsidRDefault="00605D96" w:rsidP="008B207B">
                  <w:pPr>
                    <w:spacing w:after="0" w:line="240" w:lineRule="auto"/>
                    <w:jc w:val="left"/>
                    <w:rPr>
                      <w:rFonts w:cs="Arial"/>
                      <w:color w:val="000000"/>
                      <w:sz w:val="16"/>
                      <w:szCs w:val="16"/>
                    </w:rPr>
                  </w:pPr>
                  <w:r w:rsidRPr="005747D1">
                    <w:rPr>
                      <w:rFonts w:cs="Arial"/>
                      <w:color w:val="000000"/>
                      <w:sz w:val="16"/>
                      <w:szCs w:val="16"/>
                    </w:rPr>
                    <w:t>Indie</w:t>
                  </w:r>
                </w:p>
              </w:tc>
              <w:tc>
                <w:tcPr>
                  <w:tcW w:w="700" w:type="dxa"/>
                  <w:tcBorders>
                    <w:top w:val="nil"/>
                    <w:left w:val="nil"/>
                    <w:bottom w:val="nil"/>
                    <w:right w:val="nil"/>
                  </w:tcBorders>
                  <w:noWrap/>
                  <w:vAlign w:val="bottom"/>
                  <w:hideMark/>
                </w:tcPr>
                <w:p w14:paraId="0E9AEE4F" w14:textId="77777777" w:rsidR="00605D96" w:rsidRPr="005747D1" w:rsidRDefault="00605D96" w:rsidP="008B207B">
                  <w:pPr>
                    <w:spacing w:after="0" w:line="240" w:lineRule="auto"/>
                    <w:jc w:val="right"/>
                    <w:rPr>
                      <w:rFonts w:cs="Arial"/>
                      <w:color w:val="000000"/>
                      <w:sz w:val="16"/>
                      <w:szCs w:val="16"/>
                    </w:rPr>
                  </w:pPr>
                  <w:r>
                    <w:rPr>
                      <w:rFonts w:cs="Arial"/>
                      <w:color w:val="000000"/>
                      <w:sz w:val="16"/>
                      <w:szCs w:val="16"/>
                    </w:rPr>
                    <w:t>−</w:t>
                  </w:r>
                  <w:r w:rsidRPr="005747D1">
                    <w:rPr>
                      <w:rFonts w:cs="Arial"/>
                      <w:color w:val="000000"/>
                      <w:sz w:val="16"/>
                      <w:szCs w:val="16"/>
                    </w:rPr>
                    <w:t>1,6</w:t>
                  </w:r>
                </w:p>
              </w:tc>
              <w:tc>
                <w:tcPr>
                  <w:tcW w:w="700" w:type="dxa"/>
                  <w:tcBorders>
                    <w:top w:val="nil"/>
                    <w:left w:val="nil"/>
                    <w:bottom w:val="nil"/>
                    <w:right w:val="nil"/>
                  </w:tcBorders>
                  <w:noWrap/>
                  <w:vAlign w:val="bottom"/>
                  <w:hideMark/>
                </w:tcPr>
                <w:p w14:paraId="68B50DF6" w14:textId="77777777" w:rsidR="00605D96" w:rsidRPr="005747D1" w:rsidRDefault="00605D96" w:rsidP="008B207B">
                  <w:pPr>
                    <w:spacing w:after="0" w:line="240" w:lineRule="auto"/>
                    <w:jc w:val="right"/>
                    <w:rPr>
                      <w:rFonts w:cs="Arial"/>
                      <w:color w:val="000000"/>
                      <w:sz w:val="16"/>
                      <w:szCs w:val="16"/>
                    </w:rPr>
                  </w:pPr>
                  <w:r>
                    <w:rPr>
                      <w:rFonts w:cs="Arial"/>
                      <w:color w:val="000000"/>
                      <w:sz w:val="16"/>
                      <w:szCs w:val="16"/>
                    </w:rPr>
                    <w:t>−</w:t>
                  </w:r>
                  <w:r w:rsidRPr="005747D1">
                    <w:rPr>
                      <w:rFonts w:cs="Arial"/>
                      <w:color w:val="000000"/>
                      <w:sz w:val="16"/>
                      <w:szCs w:val="16"/>
                    </w:rPr>
                    <w:t>17,1</w:t>
                  </w:r>
                </w:p>
              </w:tc>
            </w:tr>
            <w:tr w:rsidR="00605D96" w:rsidRPr="005747D1" w14:paraId="4E244173" w14:textId="77777777" w:rsidTr="008B207B">
              <w:trPr>
                <w:trHeight w:val="252"/>
              </w:trPr>
              <w:tc>
                <w:tcPr>
                  <w:tcW w:w="3362" w:type="dxa"/>
                  <w:tcBorders>
                    <w:top w:val="nil"/>
                    <w:left w:val="nil"/>
                    <w:bottom w:val="nil"/>
                    <w:right w:val="nil"/>
                  </w:tcBorders>
                  <w:noWrap/>
                  <w:vAlign w:val="bottom"/>
                  <w:hideMark/>
                </w:tcPr>
                <w:p w14:paraId="72420516" w14:textId="77777777" w:rsidR="00605D96" w:rsidRPr="005747D1" w:rsidRDefault="00605D96" w:rsidP="008B207B">
                  <w:pPr>
                    <w:spacing w:after="0" w:line="240" w:lineRule="auto"/>
                    <w:jc w:val="left"/>
                    <w:rPr>
                      <w:rFonts w:cs="Arial"/>
                      <w:color w:val="000000"/>
                      <w:sz w:val="16"/>
                      <w:szCs w:val="16"/>
                    </w:rPr>
                  </w:pPr>
                  <w:r w:rsidRPr="005747D1">
                    <w:rPr>
                      <w:rFonts w:cs="Arial"/>
                      <w:color w:val="000000"/>
                      <w:sz w:val="16"/>
                      <w:szCs w:val="16"/>
                    </w:rPr>
                    <w:t>Ázerbájdžán</w:t>
                  </w:r>
                </w:p>
              </w:tc>
              <w:tc>
                <w:tcPr>
                  <w:tcW w:w="700" w:type="dxa"/>
                  <w:tcBorders>
                    <w:top w:val="nil"/>
                    <w:left w:val="nil"/>
                    <w:bottom w:val="nil"/>
                    <w:right w:val="nil"/>
                  </w:tcBorders>
                  <w:noWrap/>
                  <w:vAlign w:val="bottom"/>
                  <w:hideMark/>
                </w:tcPr>
                <w:p w14:paraId="69CA09C9" w14:textId="77777777" w:rsidR="00605D96" w:rsidRPr="005747D1" w:rsidRDefault="00605D96" w:rsidP="008B207B">
                  <w:pPr>
                    <w:spacing w:after="0" w:line="240" w:lineRule="auto"/>
                    <w:jc w:val="right"/>
                    <w:rPr>
                      <w:rFonts w:cs="Arial"/>
                      <w:color w:val="000000"/>
                      <w:sz w:val="16"/>
                      <w:szCs w:val="16"/>
                    </w:rPr>
                  </w:pPr>
                  <w:r>
                    <w:rPr>
                      <w:rFonts w:cs="Arial"/>
                      <w:color w:val="000000"/>
                      <w:sz w:val="16"/>
                      <w:szCs w:val="16"/>
                    </w:rPr>
                    <w:t>−</w:t>
                  </w:r>
                  <w:r w:rsidRPr="005747D1">
                    <w:rPr>
                      <w:rFonts w:cs="Arial"/>
                      <w:color w:val="000000"/>
                      <w:sz w:val="16"/>
                      <w:szCs w:val="16"/>
                    </w:rPr>
                    <w:t>1,8</w:t>
                  </w:r>
                </w:p>
              </w:tc>
              <w:tc>
                <w:tcPr>
                  <w:tcW w:w="700" w:type="dxa"/>
                  <w:tcBorders>
                    <w:top w:val="nil"/>
                    <w:left w:val="nil"/>
                    <w:bottom w:val="nil"/>
                    <w:right w:val="nil"/>
                  </w:tcBorders>
                  <w:noWrap/>
                  <w:vAlign w:val="bottom"/>
                  <w:hideMark/>
                </w:tcPr>
                <w:p w14:paraId="06E65A56" w14:textId="77777777" w:rsidR="00605D96" w:rsidRPr="005747D1" w:rsidRDefault="00605D96" w:rsidP="008B207B">
                  <w:pPr>
                    <w:spacing w:after="0" w:line="240" w:lineRule="auto"/>
                    <w:jc w:val="right"/>
                    <w:rPr>
                      <w:rFonts w:cs="Arial"/>
                      <w:color w:val="000000"/>
                      <w:sz w:val="16"/>
                      <w:szCs w:val="16"/>
                    </w:rPr>
                  </w:pPr>
                  <w:r>
                    <w:rPr>
                      <w:rFonts w:cs="Arial"/>
                      <w:color w:val="000000"/>
                      <w:sz w:val="16"/>
                      <w:szCs w:val="16"/>
                    </w:rPr>
                    <w:t>−</w:t>
                  </w:r>
                  <w:r w:rsidRPr="005747D1">
                    <w:rPr>
                      <w:rFonts w:cs="Arial"/>
                      <w:color w:val="000000"/>
                      <w:sz w:val="16"/>
                      <w:szCs w:val="16"/>
                    </w:rPr>
                    <w:t>18,6</w:t>
                  </w:r>
                </w:p>
              </w:tc>
            </w:tr>
            <w:tr w:rsidR="00605D96" w:rsidRPr="005747D1" w14:paraId="35441A20" w14:textId="77777777" w:rsidTr="008B207B">
              <w:trPr>
                <w:trHeight w:val="252"/>
              </w:trPr>
              <w:tc>
                <w:tcPr>
                  <w:tcW w:w="3362" w:type="dxa"/>
                  <w:tcBorders>
                    <w:top w:val="nil"/>
                    <w:left w:val="nil"/>
                    <w:bottom w:val="nil"/>
                    <w:right w:val="nil"/>
                  </w:tcBorders>
                  <w:noWrap/>
                  <w:vAlign w:val="bottom"/>
                  <w:hideMark/>
                </w:tcPr>
                <w:p w14:paraId="5FEFB90F" w14:textId="77777777" w:rsidR="00605D96" w:rsidRPr="005747D1" w:rsidRDefault="00605D96" w:rsidP="008B207B">
                  <w:pPr>
                    <w:spacing w:after="0" w:line="240" w:lineRule="auto"/>
                    <w:jc w:val="left"/>
                    <w:rPr>
                      <w:rFonts w:cs="Arial"/>
                      <w:color w:val="000000"/>
                      <w:sz w:val="16"/>
                      <w:szCs w:val="16"/>
                    </w:rPr>
                  </w:pPr>
                  <w:r w:rsidRPr="005747D1">
                    <w:rPr>
                      <w:rFonts w:cs="Arial"/>
                      <w:color w:val="000000"/>
                      <w:sz w:val="16"/>
                      <w:szCs w:val="16"/>
                    </w:rPr>
                    <w:t>Německo</w:t>
                  </w:r>
                </w:p>
              </w:tc>
              <w:tc>
                <w:tcPr>
                  <w:tcW w:w="700" w:type="dxa"/>
                  <w:tcBorders>
                    <w:top w:val="nil"/>
                    <w:left w:val="nil"/>
                    <w:bottom w:val="nil"/>
                    <w:right w:val="nil"/>
                  </w:tcBorders>
                  <w:noWrap/>
                  <w:vAlign w:val="bottom"/>
                  <w:hideMark/>
                </w:tcPr>
                <w:p w14:paraId="0A9B5DF4" w14:textId="77777777" w:rsidR="00605D96" w:rsidRPr="005747D1" w:rsidRDefault="00605D96" w:rsidP="008B207B">
                  <w:pPr>
                    <w:spacing w:after="0" w:line="240" w:lineRule="auto"/>
                    <w:jc w:val="right"/>
                    <w:rPr>
                      <w:rFonts w:cs="Arial"/>
                      <w:color w:val="000000"/>
                      <w:sz w:val="16"/>
                      <w:szCs w:val="16"/>
                    </w:rPr>
                  </w:pPr>
                  <w:r>
                    <w:rPr>
                      <w:rFonts w:cs="Arial"/>
                      <w:color w:val="000000"/>
                      <w:sz w:val="16"/>
                      <w:szCs w:val="16"/>
                    </w:rPr>
                    <w:t>−</w:t>
                  </w:r>
                  <w:r w:rsidRPr="005747D1">
                    <w:rPr>
                      <w:rFonts w:cs="Arial"/>
                      <w:color w:val="000000"/>
                      <w:sz w:val="16"/>
                      <w:szCs w:val="16"/>
                    </w:rPr>
                    <w:t>3,0</w:t>
                  </w:r>
                </w:p>
              </w:tc>
              <w:tc>
                <w:tcPr>
                  <w:tcW w:w="700" w:type="dxa"/>
                  <w:tcBorders>
                    <w:top w:val="nil"/>
                    <w:left w:val="nil"/>
                    <w:bottom w:val="nil"/>
                    <w:right w:val="nil"/>
                  </w:tcBorders>
                  <w:noWrap/>
                  <w:vAlign w:val="bottom"/>
                  <w:hideMark/>
                </w:tcPr>
                <w:p w14:paraId="05700388" w14:textId="77777777" w:rsidR="00605D96" w:rsidRPr="005747D1" w:rsidRDefault="00605D96" w:rsidP="008B207B">
                  <w:pPr>
                    <w:spacing w:after="0" w:line="240" w:lineRule="auto"/>
                    <w:jc w:val="right"/>
                    <w:rPr>
                      <w:rFonts w:cs="Arial"/>
                      <w:color w:val="000000"/>
                      <w:sz w:val="16"/>
                      <w:szCs w:val="16"/>
                    </w:rPr>
                  </w:pPr>
                  <w:r>
                    <w:rPr>
                      <w:rFonts w:cs="Arial"/>
                      <w:color w:val="000000"/>
                      <w:sz w:val="16"/>
                      <w:szCs w:val="16"/>
                    </w:rPr>
                    <w:t>−</w:t>
                  </w:r>
                  <w:r w:rsidRPr="005747D1">
                    <w:rPr>
                      <w:rFonts w:cs="Arial"/>
                      <w:color w:val="000000"/>
                      <w:sz w:val="16"/>
                      <w:szCs w:val="16"/>
                    </w:rPr>
                    <w:t>1,2</w:t>
                  </w:r>
                </w:p>
              </w:tc>
            </w:tr>
            <w:tr w:rsidR="00605D96" w:rsidRPr="005747D1" w14:paraId="04FCADC2" w14:textId="77777777" w:rsidTr="008B207B">
              <w:trPr>
                <w:trHeight w:val="252"/>
              </w:trPr>
              <w:tc>
                <w:tcPr>
                  <w:tcW w:w="3362" w:type="dxa"/>
                  <w:tcBorders>
                    <w:top w:val="nil"/>
                    <w:left w:val="nil"/>
                    <w:bottom w:val="nil"/>
                    <w:right w:val="nil"/>
                  </w:tcBorders>
                  <w:noWrap/>
                  <w:vAlign w:val="bottom"/>
                  <w:hideMark/>
                </w:tcPr>
                <w:p w14:paraId="10AB0D6D" w14:textId="77777777" w:rsidR="00605D96" w:rsidRPr="005747D1" w:rsidRDefault="00605D96" w:rsidP="008B207B">
                  <w:pPr>
                    <w:spacing w:after="0" w:line="240" w:lineRule="auto"/>
                    <w:jc w:val="left"/>
                    <w:rPr>
                      <w:rFonts w:cs="Arial"/>
                      <w:color w:val="000000"/>
                      <w:sz w:val="16"/>
                      <w:szCs w:val="16"/>
                    </w:rPr>
                  </w:pPr>
                  <w:r w:rsidRPr="005747D1">
                    <w:rPr>
                      <w:rFonts w:cs="Arial"/>
                      <w:color w:val="000000"/>
                      <w:sz w:val="16"/>
                      <w:szCs w:val="16"/>
                    </w:rPr>
                    <w:t>Polsko</w:t>
                  </w:r>
                </w:p>
              </w:tc>
              <w:tc>
                <w:tcPr>
                  <w:tcW w:w="700" w:type="dxa"/>
                  <w:tcBorders>
                    <w:top w:val="nil"/>
                    <w:left w:val="nil"/>
                    <w:bottom w:val="nil"/>
                    <w:right w:val="nil"/>
                  </w:tcBorders>
                  <w:noWrap/>
                  <w:vAlign w:val="bottom"/>
                  <w:hideMark/>
                </w:tcPr>
                <w:p w14:paraId="0D2ED33C" w14:textId="77777777" w:rsidR="00605D96" w:rsidRPr="005747D1" w:rsidRDefault="00605D96" w:rsidP="008B207B">
                  <w:pPr>
                    <w:spacing w:after="0" w:line="240" w:lineRule="auto"/>
                    <w:jc w:val="right"/>
                    <w:rPr>
                      <w:rFonts w:cs="Arial"/>
                      <w:color w:val="000000"/>
                      <w:sz w:val="16"/>
                      <w:szCs w:val="16"/>
                    </w:rPr>
                  </w:pPr>
                  <w:r>
                    <w:rPr>
                      <w:rFonts w:cs="Arial"/>
                      <w:color w:val="000000"/>
                      <w:sz w:val="16"/>
                      <w:szCs w:val="16"/>
                    </w:rPr>
                    <w:t>−</w:t>
                  </w:r>
                  <w:r w:rsidRPr="005747D1">
                    <w:rPr>
                      <w:rFonts w:cs="Arial"/>
                      <w:color w:val="000000"/>
                      <w:sz w:val="16"/>
                      <w:szCs w:val="16"/>
                    </w:rPr>
                    <w:t>4,1</w:t>
                  </w:r>
                </w:p>
              </w:tc>
              <w:tc>
                <w:tcPr>
                  <w:tcW w:w="700" w:type="dxa"/>
                  <w:tcBorders>
                    <w:top w:val="nil"/>
                    <w:left w:val="nil"/>
                    <w:bottom w:val="nil"/>
                    <w:right w:val="nil"/>
                  </w:tcBorders>
                  <w:noWrap/>
                  <w:vAlign w:val="bottom"/>
                  <w:hideMark/>
                </w:tcPr>
                <w:p w14:paraId="586A66F5" w14:textId="77777777" w:rsidR="00605D96" w:rsidRPr="005747D1" w:rsidRDefault="00605D96" w:rsidP="008B207B">
                  <w:pPr>
                    <w:spacing w:after="0" w:line="240" w:lineRule="auto"/>
                    <w:jc w:val="right"/>
                    <w:rPr>
                      <w:rFonts w:cs="Arial"/>
                      <w:color w:val="000000"/>
                      <w:sz w:val="16"/>
                      <w:szCs w:val="16"/>
                    </w:rPr>
                  </w:pPr>
                  <w:r>
                    <w:rPr>
                      <w:rFonts w:cs="Arial"/>
                      <w:color w:val="000000"/>
                      <w:sz w:val="16"/>
                      <w:szCs w:val="16"/>
                    </w:rPr>
                    <w:t>−</w:t>
                  </w:r>
                  <w:r w:rsidRPr="005747D1">
                    <w:rPr>
                      <w:rFonts w:cs="Arial"/>
                      <w:color w:val="000000"/>
                      <w:sz w:val="16"/>
                      <w:szCs w:val="16"/>
                    </w:rPr>
                    <w:t>3,8</w:t>
                  </w:r>
                </w:p>
              </w:tc>
            </w:tr>
            <w:tr w:rsidR="00605D96" w:rsidRPr="005747D1" w14:paraId="04824F7A" w14:textId="77777777" w:rsidTr="008B207B">
              <w:trPr>
                <w:trHeight w:val="252"/>
              </w:trPr>
              <w:tc>
                <w:tcPr>
                  <w:tcW w:w="3362" w:type="dxa"/>
                  <w:tcBorders>
                    <w:top w:val="nil"/>
                    <w:left w:val="nil"/>
                    <w:bottom w:val="nil"/>
                    <w:right w:val="nil"/>
                  </w:tcBorders>
                  <w:noWrap/>
                  <w:vAlign w:val="bottom"/>
                  <w:hideMark/>
                </w:tcPr>
                <w:p w14:paraId="6CA29C67" w14:textId="77777777" w:rsidR="00605D96" w:rsidRPr="005747D1" w:rsidRDefault="00605D96" w:rsidP="008B207B">
                  <w:pPr>
                    <w:spacing w:after="0" w:line="240" w:lineRule="auto"/>
                    <w:jc w:val="left"/>
                    <w:rPr>
                      <w:rFonts w:cs="Arial"/>
                      <w:color w:val="000000"/>
                      <w:sz w:val="16"/>
                      <w:szCs w:val="16"/>
                    </w:rPr>
                  </w:pPr>
                  <w:r w:rsidRPr="005747D1">
                    <w:rPr>
                      <w:rFonts w:cs="Arial"/>
                      <w:color w:val="000000"/>
                      <w:sz w:val="16"/>
                      <w:szCs w:val="16"/>
                    </w:rPr>
                    <w:t>Slovensko</w:t>
                  </w:r>
                </w:p>
              </w:tc>
              <w:tc>
                <w:tcPr>
                  <w:tcW w:w="700" w:type="dxa"/>
                  <w:tcBorders>
                    <w:top w:val="nil"/>
                    <w:left w:val="nil"/>
                    <w:bottom w:val="nil"/>
                    <w:right w:val="nil"/>
                  </w:tcBorders>
                  <w:noWrap/>
                  <w:vAlign w:val="bottom"/>
                  <w:hideMark/>
                </w:tcPr>
                <w:p w14:paraId="35570CB6" w14:textId="77777777" w:rsidR="00605D96" w:rsidRPr="005747D1" w:rsidRDefault="00605D96" w:rsidP="008B207B">
                  <w:pPr>
                    <w:spacing w:after="0" w:line="240" w:lineRule="auto"/>
                    <w:jc w:val="right"/>
                    <w:rPr>
                      <w:rFonts w:cs="Arial"/>
                      <w:color w:val="000000"/>
                      <w:sz w:val="16"/>
                      <w:szCs w:val="16"/>
                    </w:rPr>
                  </w:pPr>
                  <w:r>
                    <w:rPr>
                      <w:rFonts w:cs="Arial"/>
                      <w:color w:val="000000"/>
                      <w:sz w:val="16"/>
                      <w:szCs w:val="16"/>
                    </w:rPr>
                    <w:t>−</w:t>
                  </w:r>
                  <w:r w:rsidRPr="005747D1">
                    <w:rPr>
                      <w:rFonts w:cs="Arial"/>
                      <w:color w:val="000000"/>
                      <w:sz w:val="16"/>
                      <w:szCs w:val="16"/>
                    </w:rPr>
                    <w:t>5,2</w:t>
                  </w:r>
                </w:p>
              </w:tc>
              <w:tc>
                <w:tcPr>
                  <w:tcW w:w="700" w:type="dxa"/>
                  <w:tcBorders>
                    <w:top w:val="nil"/>
                    <w:left w:val="nil"/>
                    <w:bottom w:val="nil"/>
                    <w:right w:val="nil"/>
                  </w:tcBorders>
                  <w:noWrap/>
                  <w:vAlign w:val="bottom"/>
                  <w:hideMark/>
                </w:tcPr>
                <w:p w14:paraId="678F6E2B" w14:textId="77777777" w:rsidR="00605D96" w:rsidRPr="005747D1" w:rsidRDefault="00605D96" w:rsidP="008B207B">
                  <w:pPr>
                    <w:spacing w:after="0" w:line="240" w:lineRule="auto"/>
                    <w:jc w:val="right"/>
                    <w:rPr>
                      <w:rFonts w:cs="Arial"/>
                      <w:color w:val="000000"/>
                      <w:sz w:val="16"/>
                      <w:szCs w:val="16"/>
                    </w:rPr>
                  </w:pPr>
                  <w:r>
                    <w:rPr>
                      <w:rFonts w:cs="Arial"/>
                      <w:color w:val="000000"/>
                      <w:sz w:val="16"/>
                      <w:szCs w:val="16"/>
                    </w:rPr>
                    <w:t>−</w:t>
                  </w:r>
                  <w:r w:rsidRPr="005747D1">
                    <w:rPr>
                      <w:rFonts w:cs="Arial"/>
                      <w:color w:val="000000"/>
                      <w:sz w:val="16"/>
                      <w:szCs w:val="16"/>
                    </w:rPr>
                    <w:t>7,8</w:t>
                  </w:r>
                </w:p>
              </w:tc>
            </w:tr>
            <w:tr w:rsidR="00605D96" w:rsidRPr="005747D1" w14:paraId="083F8C0A" w14:textId="77777777" w:rsidTr="008B207B">
              <w:trPr>
                <w:trHeight w:val="252"/>
              </w:trPr>
              <w:tc>
                <w:tcPr>
                  <w:tcW w:w="3362" w:type="dxa"/>
                  <w:tcBorders>
                    <w:top w:val="nil"/>
                    <w:left w:val="nil"/>
                    <w:bottom w:val="nil"/>
                    <w:right w:val="nil"/>
                  </w:tcBorders>
                  <w:noWrap/>
                  <w:vAlign w:val="bottom"/>
                  <w:hideMark/>
                </w:tcPr>
                <w:p w14:paraId="162FA55C" w14:textId="77777777" w:rsidR="00605D96" w:rsidRPr="005747D1" w:rsidRDefault="00605D96" w:rsidP="008B207B">
                  <w:pPr>
                    <w:spacing w:after="0" w:line="240" w:lineRule="auto"/>
                    <w:jc w:val="left"/>
                    <w:rPr>
                      <w:rFonts w:cs="Arial"/>
                      <w:color w:val="000000"/>
                      <w:sz w:val="16"/>
                      <w:szCs w:val="16"/>
                    </w:rPr>
                  </w:pPr>
                  <w:r w:rsidRPr="005747D1">
                    <w:rPr>
                      <w:rFonts w:cs="Arial"/>
                      <w:color w:val="000000"/>
                      <w:sz w:val="16"/>
                      <w:szCs w:val="16"/>
                    </w:rPr>
                    <w:t>Čína</w:t>
                  </w:r>
                </w:p>
              </w:tc>
              <w:tc>
                <w:tcPr>
                  <w:tcW w:w="700" w:type="dxa"/>
                  <w:tcBorders>
                    <w:top w:val="nil"/>
                    <w:left w:val="nil"/>
                    <w:bottom w:val="nil"/>
                    <w:right w:val="nil"/>
                  </w:tcBorders>
                  <w:noWrap/>
                  <w:vAlign w:val="bottom"/>
                  <w:hideMark/>
                </w:tcPr>
                <w:p w14:paraId="3CE76A14" w14:textId="77777777" w:rsidR="00605D96" w:rsidRPr="005747D1" w:rsidRDefault="00605D96" w:rsidP="008B207B">
                  <w:pPr>
                    <w:spacing w:after="0" w:line="240" w:lineRule="auto"/>
                    <w:jc w:val="right"/>
                    <w:rPr>
                      <w:rFonts w:cs="Arial"/>
                      <w:color w:val="000000"/>
                      <w:sz w:val="16"/>
                      <w:szCs w:val="16"/>
                    </w:rPr>
                  </w:pPr>
                  <w:r>
                    <w:rPr>
                      <w:rFonts w:cs="Arial"/>
                      <w:color w:val="000000"/>
                      <w:sz w:val="16"/>
                      <w:szCs w:val="16"/>
                    </w:rPr>
                    <w:t>−</w:t>
                  </w:r>
                  <w:r w:rsidRPr="005747D1">
                    <w:rPr>
                      <w:rFonts w:cs="Arial"/>
                      <w:color w:val="000000"/>
                      <w:sz w:val="16"/>
                      <w:szCs w:val="16"/>
                    </w:rPr>
                    <w:t>7,7</w:t>
                  </w:r>
                </w:p>
              </w:tc>
              <w:tc>
                <w:tcPr>
                  <w:tcW w:w="700" w:type="dxa"/>
                  <w:tcBorders>
                    <w:top w:val="nil"/>
                    <w:left w:val="nil"/>
                    <w:bottom w:val="nil"/>
                    <w:right w:val="nil"/>
                  </w:tcBorders>
                  <w:noWrap/>
                  <w:vAlign w:val="bottom"/>
                  <w:hideMark/>
                </w:tcPr>
                <w:p w14:paraId="14DD48D3" w14:textId="77777777" w:rsidR="00605D96" w:rsidRPr="005747D1" w:rsidRDefault="00605D96" w:rsidP="008B207B">
                  <w:pPr>
                    <w:spacing w:after="0" w:line="240" w:lineRule="auto"/>
                    <w:jc w:val="right"/>
                    <w:rPr>
                      <w:rFonts w:cs="Arial"/>
                      <w:color w:val="000000"/>
                      <w:sz w:val="16"/>
                      <w:szCs w:val="16"/>
                    </w:rPr>
                  </w:pPr>
                  <w:r>
                    <w:rPr>
                      <w:rFonts w:cs="Arial"/>
                      <w:color w:val="000000"/>
                      <w:sz w:val="16"/>
                      <w:szCs w:val="16"/>
                    </w:rPr>
                    <w:t>−</w:t>
                  </w:r>
                  <w:r w:rsidRPr="005747D1">
                    <w:rPr>
                      <w:rFonts w:cs="Arial"/>
                      <w:color w:val="000000"/>
                      <w:sz w:val="16"/>
                      <w:szCs w:val="16"/>
                    </w:rPr>
                    <w:t>5,1</w:t>
                  </w:r>
                </w:p>
              </w:tc>
            </w:tr>
            <w:tr w:rsidR="00605D96" w:rsidRPr="005747D1" w14:paraId="03135BD5" w14:textId="77777777" w:rsidTr="008B207B">
              <w:trPr>
                <w:trHeight w:val="252"/>
              </w:trPr>
              <w:tc>
                <w:tcPr>
                  <w:tcW w:w="3362" w:type="dxa"/>
                  <w:tcBorders>
                    <w:top w:val="nil"/>
                    <w:left w:val="nil"/>
                    <w:bottom w:val="nil"/>
                    <w:right w:val="nil"/>
                  </w:tcBorders>
                  <w:noWrap/>
                  <w:vAlign w:val="bottom"/>
                  <w:hideMark/>
                </w:tcPr>
                <w:p w14:paraId="08EC16C1" w14:textId="77777777" w:rsidR="00605D96" w:rsidRPr="005747D1" w:rsidRDefault="00605D96" w:rsidP="008B207B">
                  <w:pPr>
                    <w:spacing w:after="0" w:line="240" w:lineRule="auto"/>
                    <w:jc w:val="left"/>
                    <w:rPr>
                      <w:rFonts w:cs="Arial"/>
                      <w:color w:val="000000"/>
                      <w:sz w:val="16"/>
                      <w:szCs w:val="16"/>
                    </w:rPr>
                  </w:pPr>
                  <w:r w:rsidRPr="005747D1">
                    <w:rPr>
                      <w:rFonts w:cs="Arial"/>
                      <w:color w:val="000000"/>
                      <w:sz w:val="16"/>
                      <w:szCs w:val="16"/>
                    </w:rPr>
                    <w:t>Rusko</w:t>
                  </w:r>
                </w:p>
              </w:tc>
              <w:tc>
                <w:tcPr>
                  <w:tcW w:w="700" w:type="dxa"/>
                  <w:tcBorders>
                    <w:top w:val="nil"/>
                    <w:left w:val="nil"/>
                    <w:bottom w:val="nil"/>
                    <w:right w:val="nil"/>
                  </w:tcBorders>
                  <w:noWrap/>
                  <w:vAlign w:val="bottom"/>
                  <w:hideMark/>
                </w:tcPr>
                <w:p w14:paraId="6431A9A7" w14:textId="77777777" w:rsidR="00605D96" w:rsidRPr="005747D1" w:rsidRDefault="00605D96" w:rsidP="008B207B">
                  <w:pPr>
                    <w:spacing w:after="0" w:line="240" w:lineRule="auto"/>
                    <w:jc w:val="right"/>
                    <w:rPr>
                      <w:rFonts w:cs="Arial"/>
                      <w:color w:val="000000"/>
                      <w:sz w:val="16"/>
                      <w:szCs w:val="16"/>
                    </w:rPr>
                  </w:pPr>
                  <w:r>
                    <w:rPr>
                      <w:rFonts w:cs="Arial"/>
                      <w:color w:val="000000"/>
                      <w:sz w:val="16"/>
                      <w:szCs w:val="16"/>
                    </w:rPr>
                    <w:t>−</w:t>
                  </w:r>
                  <w:r w:rsidRPr="005747D1">
                    <w:rPr>
                      <w:rFonts w:cs="Arial"/>
                      <w:color w:val="000000"/>
                      <w:sz w:val="16"/>
                      <w:szCs w:val="16"/>
                    </w:rPr>
                    <w:t>21,7</w:t>
                  </w:r>
                </w:p>
              </w:tc>
              <w:tc>
                <w:tcPr>
                  <w:tcW w:w="700" w:type="dxa"/>
                  <w:tcBorders>
                    <w:top w:val="nil"/>
                    <w:left w:val="nil"/>
                    <w:bottom w:val="nil"/>
                    <w:right w:val="nil"/>
                  </w:tcBorders>
                  <w:noWrap/>
                  <w:vAlign w:val="bottom"/>
                  <w:hideMark/>
                </w:tcPr>
                <w:p w14:paraId="604646B4" w14:textId="77777777" w:rsidR="00605D96" w:rsidRPr="005747D1" w:rsidRDefault="00605D96" w:rsidP="008B207B">
                  <w:pPr>
                    <w:spacing w:after="0" w:line="240" w:lineRule="auto"/>
                    <w:jc w:val="right"/>
                    <w:rPr>
                      <w:rFonts w:cs="Arial"/>
                      <w:color w:val="000000"/>
                      <w:sz w:val="16"/>
                      <w:szCs w:val="16"/>
                    </w:rPr>
                  </w:pPr>
                  <w:r>
                    <w:rPr>
                      <w:rFonts w:cs="Arial"/>
                      <w:color w:val="000000"/>
                      <w:sz w:val="16"/>
                      <w:szCs w:val="16"/>
                    </w:rPr>
                    <w:t>−</w:t>
                  </w:r>
                  <w:r w:rsidRPr="005747D1">
                    <w:rPr>
                      <w:rFonts w:cs="Arial"/>
                      <w:color w:val="000000"/>
                      <w:sz w:val="16"/>
                      <w:szCs w:val="16"/>
                    </w:rPr>
                    <w:t>78,0</w:t>
                  </w:r>
                </w:p>
              </w:tc>
            </w:tr>
          </w:tbl>
          <w:p w14:paraId="18B6B833" w14:textId="77777777" w:rsidR="00605D96" w:rsidRPr="005A40B7" w:rsidRDefault="00605D96" w:rsidP="008B207B">
            <w:pPr>
              <w:spacing w:after="0"/>
              <w:rPr>
                <w:spacing w:val="-4"/>
                <w:sz w:val="16"/>
                <w:szCs w:val="16"/>
                <w:lang w:eastAsia="en-US"/>
              </w:rPr>
            </w:pPr>
          </w:p>
        </w:tc>
      </w:tr>
      <w:tr w:rsidR="00605D96" w14:paraId="27A5FC17" w14:textId="77777777" w:rsidTr="008B207B">
        <w:trPr>
          <w:trHeight w:val="170"/>
        </w:trPr>
        <w:tc>
          <w:tcPr>
            <w:tcW w:w="4811" w:type="dxa"/>
            <w:gridSpan w:val="3"/>
            <w:hideMark/>
          </w:tcPr>
          <w:p w14:paraId="0AF7E8BE" w14:textId="77777777" w:rsidR="00605D96" w:rsidRDefault="00605D96" w:rsidP="008B207B">
            <w:pPr>
              <w:jc w:val="left"/>
              <w:rPr>
                <w:spacing w:val="-4"/>
                <w:sz w:val="16"/>
                <w:szCs w:val="16"/>
                <w:lang w:eastAsia="en-US"/>
              </w:rPr>
            </w:pPr>
            <w:r>
              <w:rPr>
                <w:spacing w:val="-4"/>
                <w:sz w:val="16"/>
                <w:szCs w:val="16"/>
                <w:lang w:eastAsia="en-US"/>
              </w:rPr>
              <w:t>Zdroj: ČSÚ</w:t>
            </w:r>
          </w:p>
        </w:tc>
        <w:tc>
          <w:tcPr>
            <w:tcW w:w="57" w:type="dxa"/>
          </w:tcPr>
          <w:p w14:paraId="63A86D28" w14:textId="77777777" w:rsidR="00605D96" w:rsidRDefault="00605D96" w:rsidP="008B207B">
            <w:pPr>
              <w:spacing w:after="0"/>
              <w:rPr>
                <w:spacing w:val="-4"/>
                <w:lang w:eastAsia="en-US"/>
              </w:rPr>
            </w:pPr>
          </w:p>
        </w:tc>
        <w:tc>
          <w:tcPr>
            <w:tcW w:w="4809" w:type="dxa"/>
            <w:hideMark/>
          </w:tcPr>
          <w:p w14:paraId="4F7070D8" w14:textId="77777777" w:rsidR="00605D96" w:rsidRDefault="00605D96" w:rsidP="008B207B">
            <w:pPr>
              <w:spacing w:after="0"/>
              <w:ind w:right="21"/>
              <w:jc w:val="left"/>
              <w:rPr>
                <w:spacing w:val="-4"/>
                <w:lang w:eastAsia="en-US"/>
              </w:rPr>
            </w:pPr>
            <w:r>
              <w:rPr>
                <w:spacing w:val="-4"/>
                <w:sz w:val="16"/>
                <w:szCs w:val="16"/>
                <w:lang w:eastAsia="en-US"/>
              </w:rPr>
              <w:t>Zdroj: ČSÚ</w:t>
            </w:r>
          </w:p>
        </w:tc>
      </w:tr>
      <w:tr w:rsidR="00605D96" w14:paraId="2E7CD99C" w14:textId="77777777" w:rsidTr="008B207B">
        <w:trPr>
          <w:trHeight w:val="145"/>
        </w:trPr>
        <w:tc>
          <w:tcPr>
            <w:tcW w:w="1748" w:type="dxa"/>
            <w:hideMark/>
          </w:tcPr>
          <w:p w14:paraId="25C4CE3B" w14:textId="77777777" w:rsidR="00605D96" w:rsidRDefault="00605D96" w:rsidP="008B207B">
            <w:pPr>
              <w:pStyle w:val="Marginlie"/>
              <w:rPr>
                <w:lang w:eastAsia="en-US"/>
              </w:rPr>
            </w:pPr>
            <w:r>
              <w:rPr>
                <w:lang w:eastAsia="en-US"/>
              </w:rPr>
              <w:t>Přebytek bilance zahraničního obchodu se zbožím loni zůstal výrazný.</w:t>
            </w:r>
          </w:p>
        </w:tc>
        <w:tc>
          <w:tcPr>
            <w:tcW w:w="252" w:type="dxa"/>
          </w:tcPr>
          <w:p w14:paraId="0A28790A" w14:textId="77777777" w:rsidR="00605D96" w:rsidRDefault="00605D96" w:rsidP="008B207B">
            <w:pPr>
              <w:pStyle w:val="Textpoznpodarou"/>
              <w:jc w:val="both"/>
              <w:rPr>
                <w:spacing w:val="-4"/>
                <w:lang w:eastAsia="en-US"/>
              </w:rPr>
            </w:pPr>
          </w:p>
        </w:tc>
        <w:tc>
          <w:tcPr>
            <w:tcW w:w="7677" w:type="dxa"/>
            <w:gridSpan w:val="3"/>
            <w:hideMark/>
          </w:tcPr>
          <w:p w14:paraId="4DB832AC" w14:textId="77777777" w:rsidR="00605D96" w:rsidRPr="002971BF" w:rsidRDefault="00605D96" w:rsidP="008B207B">
            <w:pPr>
              <w:spacing w:after="180"/>
              <w:rPr>
                <w:spacing w:val="-4"/>
                <w:szCs w:val="20"/>
                <w:lang w:eastAsia="en-US"/>
              </w:rPr>
            </w:pPr>
            <w:r>
              <w:rPr>
                <w:spacing w:val="-4"/>
                <w:szCs w:val="20"/>
                <w:lang w:eastAsia="en-US"/>
              </w:rPr>
              <w:t xml:space="preserve">Bilance zahraničního obchodu se zbožím loni dosáhla přebytku 212,9 mld. korun. Šlo o mírné snížení kladného salda oproti předchozímu roku (−7,6 mld.). Většina přebytku vznikla v první polovině roku 2025. Ve 4. kvartálu 2025 dosáhl přebytek bilance zahraničního obchodu se zbožím 52,4 mld. korun. To byl meziročně o 12,5 mld. lepší </w:t>
            </w:r>
            <w:r>
              <w:rPr>
                <w:spacing w:val="-4"/>
                <w:szCs w:val="20"/>
                <w:lang w:eastAsia="en-US"/>
              </w:rPr>
              <w:lastRenderedPageBreak/>
              <w:t xml:space="preserve">výsledek a zároveň nejvyšší kladné saldo pro tento kvartál roku v celé časové řadě. Bilance zahraničního obchodu se zbožím se podle sezónně očištěných údajů ve 4. čtvrtletí zlepšovala i mezičtvrtletně. </w:t>
            </w:r>
          </w:p>
        </w:tc>
      </w:tr>
      <w:tr w:rsidR="00605D96" w14:paraId="4DA880BC" w14:textId="77777777" w:rsidTr="008B207B">
        <w:trPr>
          <w:trHeight w:val="145"/>
        </w:trPr>
        <w:tc>
          <w:tcPr>
            <w:tcW w:w="1748" w:type="dxa"/>
          </w:tcPr>
          <w:p w14:paraId="06B50972" w14:textId="77777777" w:rsidR="00605D96" w:rsidRDefault="00605D96" w:rsidP="008B207B">
            <w:pPr>
              <w:pStyle w:val="Marginlie"/>
              <w:rPr>
                <w:lang w:eastAsia="en-US"/>
              </w:rPr>
            </w:pPr>
            <w:r>
              <w:rPr>
                <w:lang w:eastAsia="en-US"/>
              </w:rPr>
              <w:lastRenderedPageBreak/>
              <w:t>Zlepšovalo se kladné saldo obchodu se zeměmi EU.</w:t>
            </w:r>
          </w:p>
        </w:tc>
        <w:tc>
          <w:tcPr>
            <w:tcW w:w="252" w:type="dxa"/>
          </w:tcPr>
          <w:p w14:paraId="6A3810BC" w14:textId="77777777" w:rsidR="00605D96" w:rsidRDefault="00605D96" w:rsidP="008B207B">
            <w:pPr>
              <w:pStyle w:val="Textpoznpodarou"/>
              <w:jc w:val="both"/>
              <w:rPr>
                <w:spacing w:val="-4"/>
                <w:lang w:eastAsia="en-US"/>
              </w:rPr>
            </w:pPr>
          </w:p>
        </w:tc>
        <w:tc>
          <w:tcPr>
            <w:tcW w:w="7677" w:type="dxa"/>
            <w:gridSpan w:val="3"/>
          </w:tcPr>
          <w:p w14:paraId="03E6F097" w14:textId="77777777" w:rsidR="00605D96" w:rsidRDefault="00605D96" w:rsidP="008B207B">
            <w:pPr>
              <w:spacing w:after="180"/>
              <w:rPr>
                <w:spacing w:val="-4"/>
                <w:szCs w:val="20"/>
                <w:lang w:eastAsia="en-US"/>
              </w:rPr>
            </w:pPr>
            <w:r>
              <w:rPr>
                <w:spacing w:val="-4"/>
                <w:szCs w:val="20"/>
                <w:lang w:eastAsia="en-US"/>
              </w:rPr>
              <w:t>Bilance zahraničního obchodu se zbožím se v roce 2025 zlepšovala v případě obchodu s EU (+15,1 mld. korun) a drobně se zhoršila u obchodu s </w:t>
            </w:r>
            <w:proofErr w:type="spellStart"/>
            <w:r>
              <w:rPr>
                <w:spacing w:val="-4"/>
                <w:szCs w:val="20"/>
                <w:lang w:eastAsia="en-US"/>
              </w:rPr>
              <w:t>mimounijními</w:t>
            </w:r>
            <w:proofErr w:type="spellEnd"/>
            <w:r>
              <w:rPr>
                <w:spacing w:val="-4"/>
                <w:szCs w:val="20"/>
                <w:lang w:eastAsia="en-US"/>
              </w:rPr>
              <w:t xml:space="preserve"> zeměmi (−0,2 mld.). Nezanedbatelně negativně se ale loni projevila na celkové bilanci kategorie nespecifikovaných zemí</w:t>
            </w:r>
            <w:r>
              <w:rPr>
                <w:rStyle w:val="Znakapoznpodarou"/>
                <w:spacing w:val="-4"/>
                <w:szCs w:val="20"/>
                <w:lang w:eastAsia="en-US"/>
              </w:rPr>
              <w:footnoteReference w:id="8"/>
            </w:r>
            <w:r>
              <w:rPr>
                <w:spacing w:val="-4"/>
                <w:szCs w:val="20"/>
                <w:lang w:eastAsia="en-US"/>
              </w:rPr>
              <w:t xml:space="preserve"> (−22,5 mld. korun). Nejvíce ve směru zhoršení bilance zahraničního obchodu se zbožím působil obchod s Norskem (−25,0 mld. korun), Čínou (−21,7 mld.), Maďarskem (−9,7 mld.), Nizozemskem (−6,9 mld.), Španělskem (−5,6 mld.) a Singapurem (−5,0 mld.). Naopak saldo se výrazně zlepšilo u obchodu s Ruskem (+49,6 mld. korun), Německem (+23,4 mld.) a Francií (+11,1 mld.). Významně ve směru zlepšení bilance působil také obchod se Spojenými státy americkými (+7,2 mld.), Tchaj-wanem (+7,0 mld.), Ukrajinou (+6,1 mld.), Dánskem (+5,9 mld.), Slovenskem (+5,5 mld.) nebo Belgií (+5,1 mld.). V samotném 4. čtvrtletí se meziročně zvýšil přebytek obchodu s EU o 8,3 mld. korun a deficit se zeměmi mimo EU</w:t>
            </w:r>
            <w:r>
              <w:rPr>
                <w:rStyle w:val="Znakapoznpodarou"/>
                <w:spacing w:val="-4"/>
                <w:szCs w:val="20"/>
                <w:lang w:eastAsia="en-US"/>
              </w:rPr>
              <w:footnoteReference w:id="9"/>
            </w:r>
            <w:r>
              <w:rPr>
                <w:spacing w:val="-4"/>
                <w:szCs w:val="20"/>
                <w:lang w:eastAsia="en-US"/>
              </w:rPr>
              <w:t xml:space="preserve"> se zmírnil o 7,6 mld. Bilance se nejvíce meziročně zlepšila u Ruska, Slovenska, Číny a Francie (viz Tabulka č. 6). Naopak ve směru zhoršení působil zejména obchod s Norskem, Spojenými státy americkými nebo Maďarskem.</w:t>
            </w:r>
          </w:p>
        </w:tc>
      </w:tr>
      <w:tr w:rsidR="00605D96" w14:paraId="77265842" w14:textId="77777777" w:rsidTr="008B207B">
        <w:trPr>
          <w:trHeight w:val="170"/>
        </w:trPr>
        <w:tc>
          <w:tcPr>
            <w:tcW w:w="4811" w:type="dxa"/>
            <w:gridSpan w:val="3"/>
            <w:hideMark/>
          </w:tcPr>
          <w:p w14:paraId="545F88C2" w14:textId="77777777" w:rsidR="00605D96" w:rsidRDefault="00605D96" w:rsidP="008B207B">
            <w:pPr>
              <w:spacing w:after="0"/>
              <w:rPr>
                <w:rFonts w:cs="Arial"/>
                <w:b/>
                <w:bCs/>
                <w:color w:val="000000"/>
                <w:sz w:val="18"/>
                <w:szCs w:val="18"/>
                <w:lang w:eastAsia="en-US"/>
              </w:rPr>
            </w:pPr>
            <w:r>
              <w:rPr>
                <w:rFonts w:cs="Arial"/>
                <w:b/>
                <w:bCs/>
                <w:color w:val="000000"/>
                <w:sz w:val="18"/>
                <w:szCs w:val="18"/>
                <w:lang w:eastAsia="en-US"/>
              </w:rPr>
              <w:t xml:space="preserve">Tabulka č. 5 Oddíly klasifikace CPA s největším </w:t>
            </w:r>
          </w:p>
          <w:p w14:paraId="700E59DC" w14:textId="2F546ACF" w:rsidR="00605D96" w:rsidRDefault="00605D96" w:rsidP="008B207B">
            <w:pPr>
              <w:spacing w:after="0"/>
              <w:jc w:val="left"/>
              <w:rPr>
                <w:rFonts w:cs="Arial"/>
                <w:b/>
                <w:bCs/>
                <w:color w:val="000000"/>
                <w:sz w:val="18"/>
                <w:szCs w:val="18"/>
                <w:lang w:eastAsia="en-US"/>
              </w:rPr>
            </w:pPr>
            <w:r>
              <w:rPr>
                <w:rFonts w:cs="Arial"/>
                <w:b/>
                <w:bCs/>
                <w:color w:val="000000"/>
                <w:sz w:val="18"/>
                <w:szCs w:val="18"/>
                <w:lang w:eastAsia="en-US"/>
              </w:rPr>
              <w:t xml:space="preserve">vlivem na vývoj bilance zahraničního obchodu se zbožím ve </w:t>
            </w:r>
            <w:r w:rsidR="003D5B4E">
              <w:rPr>
                <w:rFonts w:cs="Arial"/>
                <w:b/>
                <w:bCs/>
                <w:color w:val="000000"/>
                <w:sz w:val="18"/>
                <w:szCs w:val="18"/>
                <w:lang w:eastAsia="en-US"/>
              </w:rPr>
              <w:t>4</w:t>
            </w:r>
            <w:r>
              <w:rPr>
                <w:rFonts w:cs="Arial"/>
                <w:b/>
                <w:bCs/>
                <w:color w:val="000000"/>
                <w:sz w:val="18"/>
                <w:szCs w:val="18"/>
                <w:lang w:eastAsia="en-US"/>
              </w:rPr>
              <w:t xml:space="preserve">. čtvrtletí 2025 </w:t>
            </w:r>
            <w:r>
              <w:rPr>
                <w:rFonts w:cs="Arial"/>
                <w:bCs/>
                <w:color w:val="000000"/>
                <w:sz w:val="18"/>
                <w:szCs w:val="18"/>
                <w:lang w:eastAsia="en-US"/>
              </w:rPr>
              <w:t>(meziročně)</w:t>
            </w:r>
          </w:p>
        </w:tc>
        <w:tc>
          <w:tcPr>
            <w:tcW w:w="57" w:type="dxa"/>
          </w:tcPr>
          <w:p w14:paraId="719A2F86" w14:textId="77777777" w:rsidR="00605D96" w:rsidRDefault="00605D96" w:rsidP="008B207B">
            <w:pPr>
              <w:spacing w:after="0"/>
              <w:rPr>
                <w:spacing w:val="-4"/>
                <w:lang w:eastAsia="en-US"/>
              </w:rPr>
            </w:pPr>
          </w:p>
        </w:tc>
        <w:tc>
          <w:tcPr>
            <w:tcW w:w="4809" w:type="dxa"/>
            <w:hideMark/>
          </w:tcPr>
          <w:p w14:paraId="431E2961" w14:textId="0AE17981" w:rsidR="00605D96" w:rsidRDefault="00605D96" w:rsidP="008B207B">
            <w:pPr>
              <w:spacing w:after="0"/>
              <w:jc w:val="left"/>
              <w:rPr>
                <w:spacing w:val="-4"/>
                <w:sz w:val="18"/>
                <w:szCs w:val="18"/>
                <w:lang w:eastAsia="en-US"/>
              </w:rPr>
            </w:pPr>
            <w:r>
              <w:rPr>
                <w:rFonts w:cs="Arial"/>
                <w:b/>
                <w:bCs/>
                <w:color w:val="000000"/>
                <w:sz w:val="18"/>
                <w:szCs w:val="18"/>
                <w:lang w:eastAsia="en-US"/>
              </w:rPr>
              <w:t xml:space="preserve">Tabulka č. 6 Země s největším vlivem na vývoj bilance zahraničního obchodu se zbožím ve </w:t>
            </w:r>
            <w:r w:rsidR="003D5B4E">
              <w:rPr>
                <w:rFonts w:cs="Arial"/>
                <w:b/>
                <w:bCs/>
                <w:color w:val="000000"/>
                <w:sz w:val="18"/>
                <w:szCs w:val="18"/>
                <w:lang w:eastAsia="en-US"/>
              </w:rPr>
              <w:t>4</w:t>
            </w:r>
            <w:r>
              <w:rPr>
                <w:rFonts w:cs="Arial"/>
                <w:b/>
                <w:bCs/>
                <w:color w:val="000000"/>
                <w:sz w:val="18"/>
                <w:szCs w:val="18"/>
                <w:lang w:eastAsia="en-US"/>
              </w:rPr>
              <w:t xml:space="preserve">. čtvrtletí 2025 </w:t>
            </w:r>
            <w:r>
              <w:rPr>
                <w:rFonts w:cs="Arial"/>
                <w:bCs/>
                <w:color w:val="000000"/>
                <w:sz w:val="18"/>
                <w:szCs w:val="18"/>
                <w:lang w:eastAsia="en-US"/>
              </w:rPr>
              <w:t>(meziročně)</w:t>
            </w:r>
          </w:p>
        </w:tc>
      </w:tr>
      <w:tr w:rsidR="00605D96" w14:paraId="2FB4D9DF" w14:textId="77777777" w:rsidTr="008B207B">
        <w:trPr>
          <w:trHeight w:val="170"/>
        </w:trPr>
        <w:tc>
          <w:tcPr>
            <w:tcW w:w="4811" w:type="dxa"/>
            <w:gridSpan w:val="3"/>
            <w:hideMark/>
          </w:tcPr>
          <w:tbl>
            <w:tblPr>
              <w:tblW w:w="4826" w:type="dxa"/>
              <w:tblLayout w:type="fixed"/>
              <w:tblCellMar>
                <w:left w:w="70" w:type="dxa"/>
                <w:right w:w="70" w:type="dxa"/>
              </w:tblCellMar>
              <w:tblLook w:val="04A0" w:firstRow="1" w:lastRow="0" w:firstColumn="1" w:lastColumn="0" w:noHBand="0" w:noVBand="1"/>
            </w:tblPr>
            <w:tblGrid>
              <w:gridCol w:w="4126"/>
              <w:gridCol w:w="700"/>
            </w:tblGrid>
            <w:tr w:rsidR="00605D96" w:rsidRPr="006E3B9B" w14:paraId="3321AF88" w14:textId="77777777" w:rsidTr="008B207B">
              <w:trPr>
                <w:trHeight w:val="255"/>
              </w:trPr>
              <w:tc>
                <w:tcPr>
                  <w:tcW w:w="4126" w:type="dxa"/>
                  <w:tcBorders>
                    <w:top w:val="nil"/>
                    <w:left w:val="nil"/>
                    <w:bottom w:val="single" w:sz="4" w:space="0" w:color="auto"/>
                    <w:right w:val="nil"/>
                  </w:tcBorders>
                  <w:noWrap/>
                  <w:vAlign w:val="bottom"/>
                  <w:hideMark/>
                </w:tcPr>
                <w:p w14:paraId="1514DD02" w14:textId="77777777" w:rsidR="00605D96" w:rsidRPr="006E3B9B" w:rsidRDefault="00605D96" w:rsidP="008B207B">
                  <w:pPr>
                    <w:spacing w:after="0" w:line="240" w:lineRule="auto"/>
                    <w:jc w:val="left"/>
                    <w:rPr>
                      <w:rFonts w:cs="Arial"/>
                      <w:color w:val="000000"/>
                      <w:sz w:val="16"/>
                      <w:szCs w:val="16"/>
                    </w:rPr>
                  </w:pPr>
                  <w:r w:rsidRPr="006E3B9B">
                    <w:rPr>
                      <w:rFonts w:cs="Arial"/>
                      <w:color w:val="000000"/>
                      <w:sz w:val="16"/>
                      <w:szCs w:val="16"/>
                    </w:rPr>
                    <w:t> </w:t>
                  </w:r>
                </w:p>
              </w:tc>
              <w:tc>
                <w:tcPr>
                  <w:tcW w:w="700" w:type="dxa"/>
                  <w:tcBorders>
                    <w:top w:val="nil"/>
                    <w:left w:val="nil"/>
                    <w:bottom w:val="single" w:sz="4" w:space="0" w:color="auto"/>
                    <w:right w:val="nil"/>
                  </w:tcBorders>
                  <w:noWrap/>
                  <w:vAlign w:val="bottom"/>
                  <w:hideMark/>
                </w:tcPr>
                <w:p w14:paraId="5C6F411C" w14:textId="77777777" w:rsidR="00605D96" w:rsidRPr="006E3B9B" w:rsidRDefault="00605D96" w:rsidP="008B207B">
                  <w:pPr>
                    <w:spacing w:after="0" w:line="240" w:lineRule="auto"/>
                    <w:jc w:val="right"/>
                    <w:rPr>
                      <w:rFonts w:cs="Arial"/>
                      <w:color w:val="000000"/>
                      <w:sz w:val="16"/>
                      <w:szCs w:val="16"/>
                    </w:rPr>
                  </w:pPr>
                  <w:r w:rsidRPr="006E3B9B">
                    <w:rPr>
                      <w:rFonts w:cs="Arial"/>
                      <w:color w:val="000000"/>
                      <w:sz w:val="16"/>
                      <w:szCs w:val="16"/>
                    </w:rPr>
                    <w:t>mld. Kč</w:t>
                  </w:r>
                </w:p>
              </w:tc>
            </w:tr>
            <w:tr w:rsidR="00605D96" w:rsidRPr="006E3B9B" w14:paraId="3248224D" w14:textId="77777777" w:rsidTr="008B207B">
              <w:trPr>
                <w:trHeight w:val="255"/>
              </w:trPr>
              <w:tc>
                <w:tcPr>
                  <w:tcW w:w="4126" w:type="dxa"/>
                  <w:tcBorders>
                    <w:top w:val="nil"/>
                    <w:left w:val="nil"/>
                    <w:bottom w:val="nil"/>
                    <w:right w:val="nil"/>
                  </w:tcBorders>
                  <w:noWrap/>
                  <w:vAlign w:val="bottom"/>
                  <w:hideMark/>
                </w:tcPr>
                <w:p w14:paraId="2E57BE83" w14:textId="77777777" w:rsidR="00605D96" w:rsidRPr="006E3B9B" w:rsidRDefault="00605D96" w:rsidP="008B207B">
                  <w:pPr>
                    <w:spacing w:after="0" w:line="240" w:lineRule="auto"/>
                    <w:jc w:val="left"/>
                    <w:rPr>
                      <w:rFonts w:cs="Arial"/>
                      <w:color w:val="000000"/>
                      <w:sz w:val="16"/>
                      <w:szCs w:val="16"/>
                    </w:rPr>
                  </w:pPr>
                  <w:r w:rsidRPr="006E3B9B">
                    <w:rPr>
                      <w:rFonts w:cs="Arial"/>
                      <w:color w:val="000000"/>
                      <w:sz w:val="16"/>
                      <w:szCs w:val="16"/>
                    </w:rPr>
                    <w:t>Ropa a zemní plyn</w:t>
                  </w:r>
                </w:p>
              </w:tc>
              <w:tc>
                <w:tcPr>
                  <w:tcW w:w="700" w:type="dxa"/>
                  <w:tcBorders>
                    <w:top w:val="nil"/>
                    <w:left w:val="nil"/>
                    <w:bottom w:val="nil"/>
                    <w:right w:val="nil"/>
                  </w:tcBorders>
                  <w:noWrap/>
                  <w:vAlign w:val="bottom"/>
                  <w:hideMark/>
                </w:tcPr>
                <w:p w14:paraId="773473B7" w14:textId="77777777" w:rsidR="00605D96" w:rsidRPr="006E3B9B" w:rsidRDefault="00605D96" w:rsidP="008B207B">
                  <w:pPr>
                    <w:spacing w:after="0" w:line="240" w:lineRule="auto"/>
                    <w:jc w:val="right"/>
                    <w:rPr>
                      <w:rFonts w:cs="Arial"/>
                      <w:color w:val="000000"/>
                      <w:sz w:val="16"/>
                      <w:szCs w:val="16"/>
                    </w:rPr>
                  </w:pPr>
                  <w:r w:rsidRPr="006E3B9B">
                    <w:rPr>
                      <w:rFonts w:cs="Arial"/>
                      <w:color w:val="000000"/>
                      <w:sz w:val="16"/>
                      <w:szCs w:val="16"/>
                    </w:rPr>
                    <w:t>+9,3</w:t>
                  </w:r>
                </w:p>
              </w:tc>
            </w:tr>
            <w:tr w:rsidR="00605D96" w:rsidRPr="006E3B9B" w14:paraId="7851B0DD" w14:textId="77777777" w:rsidTr="008B207B">
              <w:trPr>
                <w:trHeight w:val="255"/>
              </w:trPr>
              <w:tc>
                <w:tcPr>
                  <w:tcW w:w="4126" w:type="dxa"/>
                  <w:tcBorders>
                    <w:top w:val="nil"/>
                    <w:left w:val="nil"/>
                    <w:bottom w:val="nil"/>
                    <w:right w:val="nil"/>
                  </w:tcBorders>
                  <w:noWrap/>
                  <w:vAlign w:val="bottom"/>
                  <w:hideMark/>
                </w:tcPr>
                <w:p w14:paraId="1458B054" w14:textId="77777777" w:rsidR="00605D96" w:rsidRPr="006E3B9B" w:rsidRDefault="00605D96" w:rsidP="008B207B">
                  <w:pPr>
                    <w:spacing w:after="0" w:line="240" w:lineRule="auto"/>
                    <w:jc w:val="left"/>
                    <w:rPr>
                      <w:rFonts w:cs="Arial"/>
                      <w:color w:val="000000"/>
                      <w:sz w:val="16"/>
                      <w:szCs w:val="16"/>
                    </w:rPr>
                  </w:pPr>
                  <w:r w:rsidRPr="006E3B9B">
                    <w:rPr>
                      <w:rFonts w:cs="Arial"/>
                      <w:color w:val="000000"/>
                      <w:sz w:val="16"/>
                      <w:szCs w:val="16"/>
                    </w:rPr>
                    <w:t>Stroje a zařízení j. n.</w:t>
                  </w:r>
                </w:p>
              </w:tc>
              <w:tc>
                <w:tcPr>
                  <w:tcW w:w="700" w:type="dxa"/>
                  <w:tcBorders>
                    <w:top w:val="nil"/>
                    <w:left w:val="nil"/>
                    <w:bottom w:val="nil"/>
                    <w:right w:val="nil"/>
                  </w:tcBorders>
                  <w:noWrap/>
                  <w:vAlign w:val="bottom"/>
                  <w:hideMark/>
                </w:tcPr>
                <w:p w14:paraId="29713D84" w14:textId="77777777" w:rsidR="00605D96" w:rsidRPr="006E3B9B" w:rsidRDefault="00605D96" w:rsidP="008B207B">
                  <w:pPr>
                    <w:spacing w:after="0" w:line="240" w:lineRule="auto"/>
                    <w:jc w:val="right"/>
                    <w:rPr>
                      <w:rFonts w:cs="Arial"/>
                      <w:color w:val="000000"/>
                      <w:sz w:val="16"/>
                      <w:szCs w:val="16"/>
                    </w:rPr>
                  </w:pPr>
                  <w:r w:rsidRPr="006E3B9B">
                    <w:rPr>
                      <w:rFonts w:cs="Arial"/>
                      <w:color w:val="000000"/>
                      <w:sz w:val="16"/>
                      <w:szCs w:val="16"/>
                    </w:rPr>
                    <w:t>+8,2</w:t>
                  </w:r>
                </w:p>
              </w:tc>
            </w:tr>
            <w:tr w:rsidR="00605D96" w:rsidRPr="006E3B9B" w14:paraId="4A61637B" w14:textId="77777777" w:rsidTr="008B207B">
              <w:trPr>
                <w:trHeight w:val="255"/>
              </w:trPr>
              <w:tc>
                <w:tcPr>
                  <w:tcW w:w="4126" w:type="dxa"/>
                  <w:tcBorders>
                    <w:top w:val="nil"/>
                    <w:left w:val="nil"/>
                    <w:bottom w:val="nil"/>
                    <w:right w:val="nil"/>
                  </w:tcBorders>
                  <w:noWrap/>
                  <w:vAlign w:val="bottom"/>
                  <w:hideMark/>
                </w:tcPr>
                <w:p w14:paraId="70FB0C29" w14:textId="77777777" w:rsidR="00605D96" w:rsidRPr="006E3B9B" w:rsidRDefault="00605D96" w:rsidP="008B207B">
                  <w:pPr>
                    <w:spacing w:after="0" w:line="240" w:lineRule="auto"/>
                    <w:jc w:val="left"/>
                    <w:rPr>
                      <w:rFonts w:cs="Arial"/>
                      <w:color w:val="000000"/>
                      <w:sz w:val="16"/>
                      <w:szCs w:val="16"/>
                    </w:rPr>
                  </w:pPr>
                  <w:r w:rsidRPr="006E3B9B">
                    <w:rPr>
                      <w:rFonts w:cs="Arial"/>
                      <w:color w:val="000000"/>
                      <w:sz w:val="16"/>
                      <w:szCs w:val="16"/>
                    </w:rPr>
                    <w:t>Motorová vozidla (kromě motocyklů) a díly</w:t>
                  </w:r>
                </w:p>
              </w:tc>
              <w:tc>
                <w:tcPr>
                  <w:tcW w:w="700" w:type="dxa"/>
                  <w:tcBorders>
                    <w:top w:val="nil"/>
                    <w:left w:val="nil"/>
                    <w:bottom w:val="nil"/>
                    <w:right w:val="nil"/>
                  </w:tcBorders>
                  <w:noWrap/>
                  <w:vAlign w:val="bottom"/>
                  <w:hideMark/>
                </w:tcPr>
                <w:p w14:paraId="6A0E8717" w14:textId="77777777" w:rsidR="00605D96" w:rsidRPr="006E3B9B" w:rsidRDefault="00605D96" w:rsidP="008B207B">
                  <w:pPr>
                    <w:spacing w:after="0" w:line="240" w:lineRule="auto"/>
                    <w:jc w:val="right"/>
                    <w:rPr>
                      <w:rFonts w:cs="Arial"/>
                      <w:color w:val="000000"/>
                      <w:sz w:val="16"/>
                      <w:szCs w:val="16"/>
                    </w:rPr>
                  </w:pPr>
                  <w:r w:rsidRPr="006E3B9B">
                    <w:rPr>
                      <w:rFonts w:cs="Arial"/>
                      <w:color w:val="000000"/>
                      <w:sz w:val="16"/>
                      <w:szCs w:val="16"/>
                    </w:rPr>
                    <w:t>+4,2</w:t>
                  </w:r>
                </w:p>
              </w:tc>
            </w:tr>
            <w:tr w:rsidR="00605D96" w:rsidRPr="006E3B9B" w14:paraId="294C60D5" w14:textId="77777777" w:rsidTr="008B207B">
              <w:trPr>
                <w:trHeight w:val="255"/>
              </w:trPr>
              <w:tc>
                <w:tcPr>
                  <w:tcW w:w="4126" w:type="dxa"/>
                  <w:tcBorders>
                    <w:top w:val="nil"/>
                    <w:left w:val="nil"/>
                    <w:bottom w:val="nil"/>
                    <w:right w:val="nil"/>
                  </w:tcBorders>
                  <w:noWrap/>
                  <w:vAlign w:val="bottom"/>
                  <w:hideMark/>
                </w:tcPr>
                <w:p w14:paraId="153255A1" w14:textId="77777777" w:rsidR="00605D96" w:rsidRPr="006E3B9B" w:rsidRDefault="00605D96" w:rsidP="008B207B">
                  <w:pPr>
                    <w:spacing w:after="0" w:line="240" w:lineRule="auto"/>
                    <w:jc w:val="left"/>
                    <w:rPr>
                      <w:rFonts w:cs="Arial"/>
                      <w:color w:val="000000"/>
                      <w:sz w:val="16"/>
                      <w:szCs w:val="16"/>
                    </w:rPr>
                  </w:pPr>
                  <w:r w:rsidRPr="006E3B9B">
                    <w:rPr>
                      <w:rFonts w:cs="Arial"/>
                      <w:color w:val="000000"/>
                      <w:sz w:val="16"/>
                      <w:szCs w:val="16"/>
                    </w:rPr>
                    <w:t>Koks a rafinované ropné produkty</w:t>
                  </w:r>
                </w:p>
              </w:tc>
              <w:tc>
                <w:tcPr>
                  <w:tcW w:w="700" w:type="dxa"/>
                  <w:tcBorders>
                    <w:top w:val="nil"/>
                    <w:left w:val="nil"/>
                    <w:bottom w:val="nil"/>
                    <w:right w:val="nil"/>
                  </w:tcBorders>
                  <w:noWrap/>
                  <w:vAlign w:val="bottom"/>
                  <w:hideMark/>
                </w:tcPr>
                <w:p w14:paraId="470BC333" w14:textId="77777777" w:rsidR="00605D96" w:rsidRPr="006E3B9B" w:rsidRDefault="00605D96" w:rsidP="008B207B">
                  <w:pPr>
                    <w:spacing w:after="0" w:line="240" w:lineRule="auto"/>
                    <w:jc w:val="right"/>
                    <w:rPr>
                      <w:rFonts w:cs="Arial"/>
                      <w:color w:val="000000"/>
                      <w:sz w:val="16"/>
                      <w:szCs w:val="16"/>
                    </w:rPr>
                  </w:pPr>
                  <w:r w:rsidRPr="006E3B9B">
                    <w:rPr>
                      <w:rFonts w:cs="Arial"/>
                      <w:color w:val="000000"/>
                      <w:sz w:val="16"/>
                      <w:szCs w:val="16"/>
                    </w:rPr>
                    <w:t>+1,9</w:t>
                  </w:r>
                </w:p>
              </w:tc>
            </w:tr>
            <w:tr w:rsidR="00605D96" w:rsidRPr="006E3B9B" w14:paraId="0472459D" w14:textId="77777777" w:rsidTr="008B207B">
              <w:trPr>
                <w:trHeight w:val="255"/>
              </w:trPr>
              <w:tc>
                <w:tcPr>
                  <w:tcW w:w="4126" w:type="dxa"/>
                  <w:tcBorders>
                    <w:top w:val="nil"/>
                    <w:left w:val="nil"/>
                    <w:bottom w:val="nil"/>
                    <w:right w:val="nil"/>
                  </w:tcBorders>
                  <w:noWrap/>
                  <w:vAlign w:val="bottom"/>
                  <w:hideMark/>
                </w:tcPr>
                <w:p w14:paraId="722B9508" w14:textId="77777777" w:rsidR="00605D96" w:rsidRPr="006E3B9B" w:rsidRDefault="00605D96" w:rsidP="008B207B">
                  <w:pPr>
                    <w:spacing w:after="0" w:line="240" w:lineRule="auto"/>
                    <w:jc w:val="left"/>
                    <w:rPr>
                      <w:rFonts w:cs="Arial"/>
                      <w:color w:val="000000"/>
                      <w:sz w:val="16"/>
                      <w:szCs w:val="16"/>
                    </w:rPr>
                  </w:pPr>
                  <w:r w:rsidRPr="006E3B9B">
                    <w:rPr>
                      <w:rFonts w:cs="Arial"/>
                      <w:color w:val="000000"/>
                      <w:sz w:val="16"/>
                      <w:szCs w:val="16"/>
                    </w:rPr>
                    <w:t xml:space="preserve">Počítače, elektron. a </w:t>
                  </w:r>
                  <w:proofErr w:type="spellStart"/>
                  <w:r w:rsidRPr="006E3B9B">
                    <w:rPr>
                      <w:rFonts w:cs="Arial"/>
                      <w:color w:val="000000"/>
                      <w:sz w:val="16"/>
                      <w:szCs w:val="16"/>
                    </w:rPr>
                    <w:t>opt</w:t>
                  </w:r>
                  <w:proofErr w:type="spellEnd"/>
                  <w:r w:rsidRPr="006E3B9B">
                    <w:rPr>
                      <w:rFonts w:cs="Arial"/>
                      <w:color w:val="000000"/>
                      <w:sz w:val="16"/>
                      <w:szCs w:val="16"/>
                    </w:rPr>
                    <w:t>. přístroje a zařízení</w:t>
                  </w:r>
                </w:p>
              </w:tc>
              <w:tc>
                <w:tcPr>
                  <w:tcW w:w="700" w:type="dxa"/>
                  <w:tcBorders>
                    <w:top w:val="nil"/>
                    <w:left w:val="nil"/>
                    <w:bottom w:val="nil"/>
                    <w:right w:val="nil"/>
                  </w:tcBorders>
                  <w:noWrap/>
                  <w:vAlign w:val="bottom"/>
                  <w:hideMark/>
                </w:tcPr>
                <w:p w14:paraId="0D0142F4" w14:textId="77777777" w:rsidR="00605D96" w:rsidRPr="006E3B9B" w:rsidRDefault="00605D96" w:rsidP="008B207B">
                  <w:pPr>
                    <w:spacing w:after="0" w:line="240" w:lineRule="auto"/>
                    <w:jc w:val="right"/>
                    <w:rPr>
                      <w:rFonts w:cs="Arial"/>
                      <w:color w:val="000000"/>
                      <w:sz w:val="16"/>
                      <w:szCs w:val="16"/>
                    </w:rPr>
                  </w:pPr>
                  <w:r w:rsidRPr="006E3B9B">
                    <w:rPr>
                      <w:rFonts w:cs="Arial"/>
                      <w:color w:val="000000"/>
                      <w:sz w:val="16"/>
                      <w:szCs w:val="16"/>
                    </w:rPr>
                    <w:t>+1,8</w:t>
                  </w:r>
                </w:p>
              </w:tc>
            </w:tr>
            <w:tr w:rsidR="00605D96" w:rsidRPr="006E3B9B" w14:paraId="11793677" w14:textId="77777777" w:rsidTr="008B207B">
              <w:trPr>
                <w:trHeight w:val="255"/>
              </w:trPr>
              <w:tc>
                <w:tcPr>
                  <w:tcW w:w="4126" w:type="dxa"/>
                  <w:tcBorders>
                    <w:top w:val="nil"/>
                    <w:left w:val="nil"/>
                    <w:bottom w:val="nil"/>
                    <w:right w:val="nil"/>
                  </w:tcBorders>
                  <w:noWrap/>
                  <w:vAlign w:val="bottom"/>
                  <w:hideMark/>
                </w:tcPr>
                <w:p w14:paraId="2EE549A4" w14:textId="77777777" w:rsidR="00605D96" w:rsidRPr="006E3B9B" w:rsidRDefault="00605D96" w:rsidP="008B207B">
                  <w:pPr>
                    <w:spacing w:after="0" w:line="240" w:lineRule="auto"/>
                    <w:jc w:val="left"/>
                    <w:rPr>
                      <w:rFonts w:cs="Arial"/>
                      <w:color w:val="000000"/>
                      <w:sz w:val="16"/>
                      <w:szCs w:val="16"/>
                    </w:rPr>
                  </w:pPr>
                  <w:r w:rsidRPr="006E3B9B">
                    <w:rPr>
                      <w:rFonts w:cs="Arial"/>
                      <w:color w:val="000000"/>
                      <w:sz w:val="16"/>
                      <w:szCs w:val="16"/>
                    </w:rPr>
                    <w:t>Pryžové a plastové výrobky</w:t>
                  </w:r>
                </w:p>
              </w:tc>
              <w:tc>
                <w:tcPr>
                  <w:tcW w:w="700" w:type="dxa"/>
                  <w:tcBorders>
                    <w:top w:val="nil"/>
                    <w:left w:val="nil"/>
                    <w:bottom w:val="nil"/>
                    <w:right w:val="nil"/>
                  </w:tcBorders>
                  <w:noWrap/>
                  <w:vAlign w:val="bottom"/>
                  <w:hideMark/>
                </w:tcPr>
                <w:p w14:paraId="2D46D57F" w14:textId="77777777" w:rsidR="00605D96" w:rsidRPr="006E3B9B" w:rsidRDefault="00605D96" w:rsidP="008B207B">
                  <w:pPr>
                    <w:spacing w:after="0" w:line="240" w:lineRule="auto"/>
                    <w:jc w:val="right"/>
                    <w:rPr>
                      <w:rFonts w:cs="Arial"/>
                      <w:color w:val="000000"/>
                      <w:sz w:val="16"/>
                      <w:szCs w:val="16"/>
                    </w:rPr>
                  </w:pPr>
                  <w:r w:rsidRPr="006E3B9B">
                    <w:rPr>
                      <w:rFonts w:cs="Arial"/>
                      <w:color w:val="000000"/>
                      <w:sz w:val="16"/>
                      <w:szCs w:val="16"/>
                    </w:rPr>
                    <w:t>+1,5</w:t>
                  </w:r>
                </w:p>
              </w:tc>
            </w:tr>
            <w:tr w:rsidR="00605D96" w:rsidRPr="006E3B9B" w14:paraId="2F2488C6" w14:textId="77777777" w:rsidTr="008B207B">
              <w:trPr>
                <w:trHeight w:val="255"/>
              </w:trPr>
              <w:tc>
                <w:tcPr>
                  <w:tcW w:w="4126" w:type="dxa"/>
                  <w:tcBorders>
                    <w:top w:val="nil"/>
                    <w:left w:val="nil"/>
                    <w:bottom w:val="nil"/>
                    <w:right w:val="nil"/>
                  </w:tcBorders>
                  <w:noWrap/>
                  <w:vAlign w:val="bottom"/>
                  <w:hideMark/>
                </w:tcPr>
                <w:p w14:paraId="722B3816" w14:textId="77777777" w:rsidR="00605D96" w:rsidRPr="006E3B9B" w:rsidRDefault="00605D96" w:rsidP="008B207B">
                  <w:pPr>
                    <w:spacing w:after="0" w:line="240" w:lineRule="auto"/>
                    <w:jc w:val="left"/>
                    <w:rPr>
                      <w:rFonts w:cs="Arial"/>
                      <w:color w:val="000000"/>
                      <w:sz w:val="16"/>
                      <w:szCs w:val="16"/>
                    </w:rPr>
                  </w:pPr>
                  <w:r w:rsidRPr="006E3B9B">
                    <w:rPr>
                      <w:rFonts w:cs="Arial"/>
                      <w:color w:val="000000"/>
                      <w:sz w:val="16"/>
                      <w:szCs w:val="16"/>
                    </w:rPr>
                    <w:t>Základní kovy</w:t>
                  </w:r>
                </w:p>
              </w:tc>
              <w:tc>
                <w:tcPr>
                  <w:tcW w:w="700" w:type="dxa"/>
                  <w:tcBorders>
                    <w:top w:val="nil"/>
                    <w:left w:val="nil"/>
                    <w:bottom w:val="nil"/>
                    <w:right w:val="nil"/>
                  </w:tcBorders>
                  <w:noWrap/>
                  <w:vAlign w:val="bottom"/>
                  <w:hideMark/>
                </w:tcPr>
                <w:p w14:paraId="7F13A16B" w14:textId="77777777" w:rsidR="00605D96" w:rsidRPr="006E3B9B" w:rsidRDefault="00605D96" w:rsidP="008B207B">
                  <w:pPr>
                    <w:spacing w:after="0" w:line="240" w:lineRule="auto"/>
                    <w:jc w:val="right"/>
                    <w:rPr>
                      <w:rFonts w:cs="Arial"/>
                      <w:color w:val="000000"/>
                      <w:sz w:val="16"/>
                      <w:szCs w:val="16"/>
                    </w:rPr>
                  </w:pPr>
                  <w:r w:rsidRPr="006E3B9B">
                    <w:rPr>
                      <w:rFonts w:cs="Arial"/>
                      <w:color w:val="000000"/>
                      <w:sz w:val="16"/>
                      <w:szCs w:val="16"/>
                    </w:rPr>
                    <w:t>+1,3</w:t>
                  </w:r>
                </w:p>
              </w:tc>
            </w:tr>
            <w:tr w:rsidR="00605D96" w:rsidRPr="006E3B9B" w14:paraId="154D632A" w14:textId="77777777" w:rsidTr="008B207B">
              <w:trPr>
                <w:trHeight w:val="255"/>
              </w:trPr>
              <w:tc>
                <w:tcPr>
                  <w:tcW w:w="4126" w:type="dxa"/>
                  <w:tcBorders>
                    <w:top w:val="nil"/>
                    <w:left w:val="nil"/>
                    <w:bottom w:val="nil"/>
                    <w:right w:val="nil"/>
                  </w:tcBorders>
                  <w:noWrap/>
                  <w:vAlign w:val="bottom"/>
                  <w:hideMark/>
                </w:tcPr>
                <w:p w14:paraId="279FD3FF" w14:textId="77777777" w:rsidR="00605D96" w:rsidRPr="006E3B9B" w:rsidRDefault="00605D96" w:rsidP="008B207B">
                  <w:pPr>
                    <w:spacing w:after="0" w:line="240" w:lineRule="auto"/>
                    <w:jc w:val="left"/>
                    <w:rPr>
                      <w:rFonts w:cs="Arial"/>
                      <w:color w:val="000000"/>
                      <w:sz w:val="16"/>
                      <w:szCs w:val="16"/>
                    </w:rPr>
                  </w:pPr>
                  <w:r w:rsidRPr="006E3B9B">
                    <w:rPr>
                      <w:rFonts w:cs="Arial"/>
                      <w:color w:val="000000"/>
                      <w:sz w:val="16"/>
                      <w:szCs w:val="16"/>
                    </w:rPr>
                    <w:t>Produkty zemědělství a myslivosti</w:t>
                  </w:r>
                </w:p>
              </w:tc>
              <w:tc>
                <w:tcPr>
                  <w:tcW w:w="700" w:type="dxa"/>
                  <w:tcBorders>
                    <w:top w:val="nil"/>
                    <w:left w:val="nil"/>
                    <w:bottom w:val="nil"/>
                    <w:right w:val="nil"/>
                  </w:tcBorders>
                  <w:noWrap/>
                  <w:vAlign w:val="bottom"/>
                  <w:hideMark/>
                </w:tcPr>
                <w:p w14:paraId="39949CBA" w14:textId="77777777" w:rsidR="00605D96" w:rsidRPr="006E3B9B" w:rsidRDefault="00605D96" w:rsidP="008B207B">
                  <w:pPr>
                    <w:spacing w:after="0" w:line="240" w:lineRule="auto"/>
                    <w:jc w:val="right"/>
                    <w:rPr>
                      <w:rFonts w:cs="Arial"/>
                      <w:color w:val="000000"/>
                      <w:sz w:val="16"/>
                      <w:szCs w:val="16"/>
                    </w:rPr>
                  </w:pPr>
                  <w:r w:rsidRPr="006E3B9B">
                    <w:rPr>
                      <w:rFonts w:cs="Arial"/>
                      <w:color w:val="000000"/>
                      <w:sz w:val="16"/>
                      <w:szCs w:val="16"/>
                    </w:rPr>
                    <w:t>+1,1</w:t>
                  </w:r>
                </w:p>
              </w:tc>
            </w:tr>
            <w:tr w:rsidR="00605D96" w:rsidRPr="006E3B9B" w14:paraId="5683D891" w14:textId="77777777" w:rsidTr="008B207B">
              <w:trPr>
                <w:trHeight w:val="255"/>
              </w:trPr>
              <w:tc>
                <w:tcPr>
                  <w:tcW w:w="4126" w:type="dxa"/>
                  <w:tcBorders>
                    <w:top w:val="nil"/>
                    <w:left w:val="nil"/>
                    <w:bottom w:val="nil"/>
                    <w:right w:val="nil"/>
                  </w:tcBorders>
                  <w:noWrap/>
                  <w:vAlign w:val="bottom"/>
                  <w:hideMark/>
                </w:tcPr>
                <w:p w14:paraId="54E202B2" w14:textId="77777777" w:rsidR="00605D96" w:rsidRPr="006E3B9B" w:rsidRDefault="00605D96" w:rsidP="008B207B">
                  <w:pPr>
                    <w:spacing w:after="0" w:line="240" w:lineRule="auto"/>
                    <w:jc w:val="left"/>
                    <w:rPr>
                      <w:rFonts w:cs="Arial"/>
                      <w:color w:val="000000"/>
                      <w:sz w:val="16"/>
                      <w:szCs w:val="16"/>
                    </w:rPr>
                  </w:pPr>
                  <w:r w:rsidRPr="006E3B9B">
                    <w:rPr>
                      <w:rFonts w:cs="Arial"/>
                      <w:color w:val="000000"/>
                      <w:sz w:val="16"/>
                      <w:szCs w:val="16"/>
                    </w:rPr>
                    <w:t>Ostatní výrobky zpracovatelského průmyslu</w:t>
                  </w:r>
                </w:p>
              </w:tc>
              <w:tc>
                <w:tcPr>
                  <w:tcW w:w="700" w:type="dxa"/>
                  <w:tcBorders>
                    <w:top w:val="nil"/>
                    <w:left w:val="nil"/>
                    <w:bottom w:val="nil"/>
                    <w:right w:val="nil"/>
                  </w:tcBorders>
                  <w:noWrap/>
                  <w:vAlign w:val="bottom"/>
                  <w:hideMark/>
                </w:tcPr>
                <w:p w14:paraId="7D8E4898" w14:textId="77777777" w:rsidR="00605D96" w:rsidRPr="006E3B9B" w:rsidRDefault="00605D96" w:rsidP="008B207B">
                  <w:pPr>
                    <w:spacing w:after="0" w:line="240" w:lineRule="auto"/>
                    <w:jc w:val="right"/>
                    <w:rPr>
                      <w:rFonts w:cs="Arial"/>
                      <w:color w:val="000000"/>
                      <w:sz w:val="16"/>
                      <w:szCs w:val="16"/>
                    </w:rPr>
                  </w:pPr>
                  <w:r>
                    <w:rPr>
                      <w:rFonts w:cs="Arial"/>
                      <w:color w:val="000000"/>
                      <w:sz w:val="16"/>
                      <w:szCs w:val="16"/>
                    </w:rPr>
                    <w:t>−</w:t>
                  </w:r>
                  <w:r w:rsidRPr="006E3B9B">
                    <w:rPr>
                      <w:rFonts w:cs="Arial"/>
                      <w:color w:val="000000"/>
                      <w:sz w:val="16"/>
                      <w:szCs w:val="16"/>
                    </w:rPr>
                    <w:t>0,9</w:t>
                  </w:r>
                </w:p>
              </w:tc>
            </w:tr>
            <w:tr w:rsidR="00605D96" w:rsidRPr="006E3B9B" w14:paraId="6E728EA5" w14:textId="77777777" w:rsidTr="008B207B">
              <w:trPr>
                <w:trHeight w:val="255"/>
              </w:trPr>
              <w:tc>
                <w:tcPr>
                  <w:tcW w:w="4126" w:type="dxa"/>
                  <w:tcBorders>
                    <w:top w:val="nil"/>
                    <w:left w:val="nil"/>
                    <w:bottom w:val="nil"/>
                    <w:right w:val="nil"/>
                  </w:tcBorders>
                  <w:noWrap/>
                  <w:vAlign w:val="bottom"/>
                  <w:hideMark/>
                </w:tcPr>
                <w:p w14:paraId="1B181B81" w14:textId="77777777" w:rsidR="00605D96" w:rsidRPr="006E3B9B" w:rsidRDefault="00605D96" w:rsidP="008B207B">
                  <w:pPr>
                    <w:spacing w:after="0" w:line="240" w:lineRule="auto"/>
                    <w:jc w:val="left"/>
                    <w:rPr>
                      <w:rFonts w:cs="Arial"/>
                      <w:color w:val="000000"/>
                      <w:sz w:val="16"/>
                      <w:szCs w:val="16"/>
                    </w:rPr>
                  </w:pPr>
                  <w:r w:rsidRPr="006E3B9B">
                    <w:rPr>
                      <w:rFonts w:cs="Arial"/>
                      <w:color w:val="000000"/>
                      <w:sz w:val="16"/>
                      <w:szCs w:val="16"/>
                    </w:rPr>
                    <w:t>Ostatní nekovové minerální výrobky</w:t>
                  </w:r>
                </w:p>
              </w:tc>
              <w:tc>
                <w:tcPr>
                  <w:tcW w:w="700" w:type="dxa"/>
                  <w:tcBorders>
                    <w:top w:val="nil"/>
                    <w:left w:val="nil"/>
                    <w:bottom w:val="nil"/>
                    <w:right w:val="nil"/>
                  </w:tcBorders>
                  <w:noWrap/>
                  <w:vAlign w:val="bottom"/>
                  <w:hideMark/>
                </w:tcPr>
                <w:p w14:paraId="06E3DBC3" w14:textId="77777777" w:rsidR="00605D96" w:rsidRPr="006E3B9B" w:rsidRDefault="00605D96" w:rsidP="008B207B">
                  <w:pPr>
                    <w:spacing w:after="0" w:line="240" w:lineRule="auto"/>
                    <w:jc w:val="right"/>
                    <w:rPr>
                      <w:rFonts w:cs="Arial"/>
                      <w:color w:val="000000"/>
                      <w:sz w:val="16"/>
                      <w:szCs w:val="16"/>
                    </w:rPr>
                  </w:pPr>
                  <w:r>
                    <w:rPr>
                      <w:rFonts w:cs="Arial"/>
                      <w:color w:val="000000"/>
                      <w:sz w:val="16"/>
                      <w:szCs w:val="16"/>
                    </w:rPr>
                    <w:t>−</w:t>
                  </w:r>
                  <w:r w:rsidRPr="006E3B9B">
                    <w:rPr>
                      <w:rFonts w:cs="Arial"/>
                      <w:color w:val="000000"/>
                      <w:sz w:val="16"/>
                      <w:szCs w:val="16"/>
                    </w:rPr>
                    <w:t>1,6</w:t>
                  </w:r>
                </w:p>
              </w:tc>
            </w:tr>
            <w:tr w:rsidR="00605D96" w:rsidRPr="006E3B9B" w14:paraId="316CC07F" w14:textId="77777777" w:rsidTr="008B207B">
              <w:trPr>
                <w:trHeight w:val="255"/>
              </w:trPr>
              <w:tc>
                <w:tcPr>
                  <w:tcW w:w="4126" w:type="dxa"/>
                  <w:tcBorders>
                    <w:top w:val="nil"/>
                    <w:left w:val="nil"/>
                    <w:bottom w:val="nil"/>
                    <w:right w:val="nil"/>
                  </w:tcBorders>
                  <w:noWrap/>
                  <w:vAlign w:val="bottom"/>
                  <w:hideMark/>
                </w:tcPr>
                <w:p w14:paraId="3BD742BB" w14:textId="77777777" w:rsidR="00605D96" w:rsidRPr="006E3B9B" w:rsidRDefault="00605D96" w:rsidP="008B207B">
                  <w:pPr>
                    <w:spacing w:after="0" w:line="240" w:lineRule="auto"/>
                    <w:jc w:val="left"/>
                    <w:rPr>
                      <w:rFonts w:cs="Arial"/>
                      <w:color w:val="000000"/>
                      <w:sz w:val="16"/>
                      <w:szCs w:val="16"/>
                    </w:rPr>
                  </w:pPr>
                  <w:r w:rsidRPr="006E3B9B">
                    <w:rPr>
                      <w:rFonts w:cs="Arial"/>
                      <w:color w:val="000000"/>
                      <w:sz w:val="16"/>
                      <w:szCs w:val="16"/>
                    </w:rPr>
                    <w:t>Ostatní dopravní prostředky a zařízení</w:t>
                  </w:r>
                </w:p>
              </w:tc>
              <w:tc>
                <w:tcPr>
                  <w:tcW w:w="700" w:type="dxa"/>
                  <w:tcBorders>
                    <w:top w:val="nil"/>
                    <w:left w:val="nil"/>
                    <w:bottom w:val="nil"/>
                    <w:right w:val="nil"/>
                  </w:tcBorders>
                  <w:noWrap/>
                  <w:vAlign w:val="bottom"/>
                  <w:hideMark/>
                </w:tcPr>
                <w:p w14:paraId="4C27E443" w14:textId="77777777" w:rsidR="00605D96" w:rsidRPr="006E3B9B" w:rsidRDefault="00605D96" w:rsidP="008B207B">
                  <w:pPr>
                    <w:spacing w:after="0" w:line="240" w:lineRule="auto"/>
                    <w:jc w:val="right"/>
                    <w:rPr>
                      <w:rFonts w:cs="Arial"/>
                      <w:color w:val="000000"/>
                      <w:sz w:val="16"/>
                      <w:szCs w:val="16"/>
                    </w:rPr>
                  </w:pPr>
                  <w:r>
                    <w:rPr>
                      <w:rFonts w:cs="Arial"/>
                      <w:color w:val="000000"/>
                      <w:sz w:val="16"/>
                      <w:szCs w:val="16"/>
                    </w:rPr>
                    <w:t>−</w:t>
                  </w:r>
                  <w:r w:rsidRPr="006E3B9B">
                    <w:rPr>
                      <w:rFonts w:cs="Arial"/>
                      <w:color w:val="000000"/>
                      <w:sz w:val="16"/>
                      <w:szCs w:val="16"/>
                    </w:rPr>
                    <w:t>2,2</w:t>
                  </w:r>
                </w:p>
              </w:tc>
            </w:tr>
            <w:tr w:rsidR="00605D96" w:rsidRPr="006E3B9B" w14:paraId="21318B02" w14:textId="77777777" w:rsidTr="008B207B">
              <w:trPr>
                <w:trHeight w:val="255"/>
              </w:trPr>
              <w:tc>
                <w:tcPr>
                  <w:tcW w:w="4126" w:type="dxa"/>
                  <w:tcBorders>
                    <w:top w:val="nil"/>
                    <w:left w:val="nil"/>
                    <w:bottom w:val="nil"/>
                    <w:right w:val="nil"/>
                  </w:tcBorders>
                  <w:noWrap/>
                  <w:vAlign w:val="bottom"/>
                  <w:hideMark/>
                </w:tcPr>
                <w:p w14:paraId="3421A007" w14:textId="77777777" w:rsidR="00605D96" w:rsidRPr="006E3B9B" w:rsidRDefault="00605D96" w:rsidP="008B207B">
                  <w:pPr>
                    <w:spacing w:after="0" w:line="240" w:lineRule="auto"/>
                    <w:jc w:val="left"/>
                    <w:rPr>
                      <w:rFonts w:cs="Arial"/>
                      <w:color w:val="000000"/>
                      <w:sz w:val="16"/>
                      <w:szCs w:val="16"/>
                    </w:rPr>
                  </w:pPr>
                  <w:r w:rsidRPr="006E3B9B">
                    <w:rPr>
                      <w:rFonts w:cs="Arial"/>
                      <w:color w:val="000000"/>
                      <w:sz w:val="16"/>
                      <w:szCs w:val="16"/>
                    </w:rPr>
                    <w:t>Chemické látky a přípravky</w:t>
                  </w:r>
                </w:p>
              </w:tc>
              <w:tc>
                <w:tcPr>
                  <w:tcW w:w="700" w:type="dxa"/>
                  <w:tcBorders>
                    <w:top w:val="nil"/>
                    <w:left w:val="nil"/>
                    <w:bottom w:val="nil"/>
                    <w:right w:val="nil"/>
                  </w:tcBorders>
                  <w:noWrap/>
                  <w:vAlign w:val="bottom"/>
                  <w:hideMark/>
                </w:tcPr>
                <w:p w14:paraId="090508DC" w14:textId="77777777" w:rsidR="00605D96" w:rsidRPr="006E3B9B" w:rsidRDefault="00605D96" w:rsidP="008B207B">
                  <w:pPr>
                    <w:spacing w:after="0" w:line="240" w:lineRule="auto"/>
                    <w:jc w:val="right"/>
                    <w:rPr>
                      <w:rFonts w:cs="Arial"/>
                      <w:color w:val="000000"/>
                      <w:sz w:val="16"/>
                      <w:szCs w:val="16"/>
                    </w:rPr>
                  </w:pPr>
                  <w:r>
                    <w:rPr>
                      <w:rFonts w:cs="Arial"/>
                      <w:color w:val="000000"/>
                      <w:sz w:val="16"/>
                      <w:szCs w:val="16"/>
                    </w:rPr>
                    <w:t>−</w:t>
                  </w:r>
                  <w:r w:rsidRPr="006E3B9B">
                    <w:rPr>
                      <w:rFonts w:cs="Arial"/>
                      <w:color w:val="000000"/>
                      <w:sz w:val="16"/>
                      <w:szCs w:val="16"/>
                    </w:rPr>
                    <w:t>2,2</w:t>
                  </w:r>
                </w:p>
              </w:tc>
            </w:tr>
            <w:tr w:rsidR="00605D96" w:rsidRPr="006E3B9B" w14:paraId="0AFBB5E3" w14:textId="77777777" w:rsidTr="008B207B">
              <w:trPr>
                <w:trHeight w:val="255"/>
              </w:trPr>
              <w:tc>
                <w:tcPr>
                  <w:tcW w:w="4126" w:type="dxa"/>
                  <w:tcBorders>
                    <w:top w:val="nil"/>
                    <w:left w:val="nil"/>
                    <w:bottom w:val="nil"/>
                    <w:right w:val="nil"/>
                  </w:tcBorders>
                  <w:noWrap/>
                  <w:vAlign w:val="bottom"/>
                  <w:hideMark/>
                </w:tcPr>
                <w:p w14:paraId="04AE9037" w14:textId="77777777" w:rsidR="00605D96" w:rsidRPr="006E3B9B" w:rsidRDefault="00605D96" w:rsidP="008B207B">
                  <w:pPr>
                    <w:spacing w:after="0" w:line="240" w:lineRule="auto"/>
                    <w:jc w:val="left"/>
                    <w:rPr>
                      <w:rFonts w:cs="Arial"/>
                      <w:color w:val="000000"/>
                      <w:sz w:val="16"/>
                      <w:szCs w:val="16"/>
                    </w:rPr>
                  </w:pPr>
                  <w:r w:rsidRPr="006E3B9B">
                    <w:rPr>
                      <w:rFonts w:cs="Arial"/>
                      <w:color w:val="000000"/>
                      <w:sz w:val="16"/>
                      <w:szCs w:val="16"/>
                    </w:rPr>
                    <w:t>Kovodělné výrobky kromě strojů a zařízení</w:t>
                  </w:r>
                </w:p>
              </w:tc>
              <w:tc>
                <w:tcPr>
                  <w:tcW w:w="700" w:type="dxa"/>
                  <w:tcBorders>
                    <w:top w:val="nil"/>
                    <w:left w:val="nil"/>
                    <w:bottom w:val="nil"/>
                    <w:right w:val="nil"/>
                  </w:tcBorders>
                  <w:noWrap/>
                  <w:vAlign w:val="bottom"/>
                  <w:hideMark/>
                </w:tcPr>
                <w:p w14:paraId="37DF4235" w14:textId="77777777" w:rsidR="00605D96" w:rsidRPr="006E3B9B" w:rsidRDefault="00605D96" w:rsidP="008B207B">
                  <w:pPr>
                    <w:spacing w:after="0" w:line="240" w:lineRule="auto"/>
                    <w:jc w:val="right"/>
                    <w:rPr>
                      <w:rFonts w:cs="Arial"/>
                      <w:color w:val="000000"/>
                      <w:sz w:val="16"/>
                      <w:szCs w:val="16"/>
                    </w:rPr>
                  </w:pPr>
                  <w:r>
                    <w:rPr>
                      <w:rFonts w:cs="Arial"/>
                      <w:color w:val="000000"/>
                      <w:sz w:val="16"/>
                      <w:szCs w:val="16"/>
                    </w:rPr>
                    <w:t>−</w:t>
                  </w:r>
                  <w:r w:rsidRPr="006E3B9B">
                    <w:rPr>
                      <w:rFonts w:cs="Arial"/>
                      <w:color w:val="000000"/>
                      <w:sz w:val="16"/>
                      <w:szCs w:val="16"/>
                    </w:rPr>
                    <w:t>2,7</w:t>
                  </w:r>
                </w:p>
              </w:tc>
            </w:tr>
            <w:tr w:rsidR="00605D96" w:rsidRPr="006E3B9B" w14:paraId="34573C0F" w14:textId="77777777" w:rsidTr="008B207B">
              <w:trPr>
                <w:trHeight w:val="255"/>
              </w:trPr>
              <w:tc>
                <w:tcPr>
                  <w:tcW w:w="4126" w:type="dxa"/>
                  <w:tcBorders>
                    <w:top w:val="nil"/>
                    <w:left w:val="nil"/>
                    <w:bottom w:val="nil"/>
                    <w:right w:val="nil"/>
                  </w:tcBorders>
                  <w:noWrap/>
                  <w:vAlign w:val="bottom"/>
                  <w:hideMark/>
                </w:tcPr>
                <w:p w14:paraId="757D75A4" w14:textId="77777777" w:rsidR="00605D96" w:rsidRPr="006E3B9B" w:rsidRDefault="00605D96" w:rsidP="008B207B">
                  <w:pPr>
                    <w:spacing w:after="0" w:line="240" w:lineRule="auto"/>
                    <w:jc w:val="left"/>
                    <w:rPr>
                      <w:rFonts w:cs="Arial"/>
                      <w:color w:val="000000"/>
                      <w:sz w:val="16"/>
                      <w:szCs w:val="16"/>
                    </w:rPr>
                  </w:pPr>
                  <w:r w:rsidRPr="006E3B9B">
                    <w:rPr>
                      <w:rFonts w:cs="Arial"/>
                      <w:color w:val="000000"/>
                      <w:sz w:val="16"/>
                      <w:szCs w:val="16"/>
                    </w:rPr>
                    <w:t>Elektřina, plyn, pára a klimatizovaný vzduch</w:t>
                  </w:r>
                </w:p>
              </w:tc>
              <w:tc>
                <w:tcPr>
                  <w:tcW w:w="700" w:type="dxa"/>
                  <w:tcBorders>
                    <w:top w:val="nil"/>
                    <w:left w:val="nil"/>
                    <w:bottom w:val="nil"/>
                    <w:right w:val="nil"/>
                  </w:tcBorders>
                  <w:noWrap/>
                  <w:vAlign w:val="bottom"/>
                  <w:hideMark/>
                </w:tcPr>
                <w:p w14:paraId="69170CE9" w14:textId="77777777" w:rsidR="00605D96" w:rsidRPr="006E3B9B" w:rsidRDefault="00605D96" w:rsidP="008B207B">
                  <w:pPr>
                    <w:spacing w:after="0" w:line="240" w:lineRule="auto"/>
                    <w:jc w:val="right"/>
                    <w:rPr>
                      <w:rFonts w:cs="Arial"/>
                      <w:color w:val="000000"/>
                      <w:sz w:val="16"/>
                      <w:szCs w:val="16"/>
                    </w:rPr>
                  </w:pPr>
                  <w:r>
                    <w:rPr>
                      <w:rFonts w:cs="Arial"/>
                      <w:color w:val="000000"/>
                      <w:sz w:val="16"/>
                      <w:szCs w:val="16"/>
                    </w:rPr>
                    <w:t>−</w:t>
                  </w:r>
                  <w:r w:rsidRPr="006E3B9B">
                    <w:rPr>
                      <w:rFonts w:cs="Arial"/>
                      <w:color w:val="000000"/>
                      <w:sz w:val="16"/>
                      <w:szCs w:val="16"/>
                    </w:rPr>
                    <w:t>4,4</w:t>
                  </w:r>
                </w:p>
              </w:tc>
            </w:tr>
            <w:tr w:rsidR="00605D96" w:rsidRPr="006E3B9B" w14:paraId="412908A4" w14:textId="77777777" w:rsidTr="008B207B">
              <w:trPr>
                <w:trHeight w:val="255"/>
              </w:trPr>
              <w:tc>
                <w:tcPr>
                  <w:tcW w:w="4126" w:type="dxa"/>
                  <w:tcBorders>
                    <w:top w:val="nil"/>
                    <w:left w:val="nil"/>
                    <w:bottom w:val="nil"/>
                    <w:right w:val="nil"/>
                  </w:tcBorders>
                  <w:noWrap/>
                  <w:vAlign w:val="bottom"/>
                  <w:hideMark/>
                </w:tcPr>
                <w:p w14:paraId="11A7D721" w14:textId="77777777" w:rsidR="00605D96" w:rsidRPr="006E3B9B" w:rsidRDefault="00605D96" w:rsidP="008B207B">
                  <w:pPr>
                    <w:spacing w:after="0" w:line="240" w:lineRule="auto"/>
                    <w:jc w:val="left"/>
                    <w:rPr>
                      <w:rFonts w:cs="Arial"/>
                      <w:color w:val="000000"/>
                      <w:sz w:val="16"/>
                      <w:szCs w:val="16"/>
                    </w:rPr>
                  </w:pPr>
                  <w:r w:rsidRPr="006E3B9B">
                    <w:rPr>
                      <w:rFonts w:cs="Arial"/>
                      <w:color w:val="000000"/>
                      <w:sz w:val="16"/>
                      <w:szCs w:val="16"/>
                    </w:rPr>
                    <w:t>Elektrická zařízení</w:t>
                  </w:r>
                </w:p>
              </w:tc>
              <w:tc>
                <w:tcPr>
                  <w:tcW w:w="700" w:type="dxa"/>
                  <w:tcBorders>
                    <w:top w:val="nil"/>
                    <w:left w:val="nil"/>
                    <w:bottom w:val="nil"/>
                    <w:right w:val="nil"/>
                  </w:tcBorders>
                  <w:noWrap/>
                  <w:vAlign w:val="bottom"/>
                  <w:hideMark/>
                </w:tcPr>
                <w:p w14:paraId="6EF4D1FF" w14:textId="77777777" w:rsidR="00605D96" w:rsidRPr="006E3B9B" w:rsidRDefault="00605D96" w:rsidP="008B207B">
                  <w:pPr>
                    <w:spacing w:after="0" w:line="240" w:lineRule="auto"/>
                    <w:jc w:val="right"/>
                    <w:rPr>
                      <w:rFonts w:cs="Arial"/>
                      <w:color w:val="000000"/>
                      <w:sz w:val="16"/>
                      <w:szCs w:val="16"/>
                    </w:rPr>
                  </w:pPr>
                  <w:r>
                    <w:rPr>
                      <w:rFonts w:cs="Arial"/>
                      <w:color w:val="000000"/>
                      <w:sz w:val="16"/>
                      <w:szCs w:val="16"/>
                    </w:rPr>
                    <w:t>−</w:t>
                  </w:r>
                  <w:r w:rsidRPr="006E3B9B">
                    <w:rPr>
                      <w:rFonts w:cs="Arial"/>
                      <w:color w:val="000000"/>
                      <w:sz w:val="16"/>
                      <w:szCs w:val="16"/>
                    </w:rPr>
                    <w:t>4,7</w:t>
                  </w:r>
                </w:p>
              </w:tc>
            </w:tr>
          </w:tbl>
          <w:p w14:paraId="5E3D4FB9" w14:textId="77777777" w:rsidR="00605D96" w:rsidRPr="0010385A" w:rsidRDefault="00605D96" w:rsidP="008B207B">
            <w:pPr>
              <w:spacing w:after="0"/>
              <w:rPr>
                <w:rFonts w:cs="Arial"/>
                <w:spacing w:val="-4"/>
                <w:sz w:val="16"/>
                <w:szCs w:val="16"/>
                <w:lang w:eastAsia="en-US"/>
              </w:rPr>
            </w:pPr>
          </w:p>
        </w:tc>
        <w:tc>
          <w:tcPr>
            <w:tcW w:w="57" w:type="dxa"/>
          </w:tcPr>
          <w:p w14:paraId="7128455E" w14:textId="77777777" w:rsidR="00605D96" w:rsidRPr="0010385A" w:rsidRDefault="00605D96" w:rsidP="008B207B">
            <w:pPr>
              <w:spacing w:after="0"/>
              <w:rPr>
                <w:rFonts w:cs="Arial"/>
                <w:spacing w:val="-4"/>
                <w:sz w:val="16"/>
                <w:szCs w:val="16"/>
                <w:lang w:eastAsia="en-US"/>
              </w:rPr>
            </w:pPr>
          </w:p>
        </w:tc>
        <w:tc>
          <w:tcPr>
            <w:tcW w:w="4809" w:type="dxa"/>
            <w:hideMark/>
          </w:tcPr>
          <w:tbl>
            <w:tblPr>
              <w:tblW w:w="4771" w:type="dxa"/>
              <w:tblLayout w:type="fixed"/>
              <w:tblCellMar>
                <w:left w:w="70" w:type="dxa"/>
                <w:right w:w="70" w:type="dxa"/>
              </w:tblCellMar>
              <w:tblLook w:val="04A0" w:firstRow="1" w:lastRow="0" w:firstColumn="1" w:lastColumn="0" w:noHBand="0" w:noVBand="1"/>
            </w:tblPr>
            <w:tblGrid>
              <w:gridCol w:w="4071"/>
              <w:gridCol w:w="700"/>
            </w:tblGrid>
            <w:tr w:rsidR="00605D96" w:rsidRPr="006E3B9B" w14:paraId="30E807E2" w14:textId="77777777" w:rsidTr="008B207B">
              <w:trPr>
                <w:trHeight w:val="255"/>
              </w:trPr>
              <w:tc>
                <w:tcPr>
                  <w:tcW w:w="4071" w:type="dxa"/>
                  <w:tcBorders>
                    <w:top w:val="nil"/>
                    <w:left w:val="nil"/>
                    <w:bottom w:val="single" w:sz="4" w:space="0" w:color="auto"/>
                    <w:right w:val="nil"/>
                  </w:tcBorders>
                  <w:noWrap/>
                  <w:vAlign w:val="bottom"/>
                  <w:hideMark/>
                </w:tcPr>
                <w:p w14:paraId="30FA2D32" w14:textId="77777777" w:rsidR="00605D96" w:rsidRPr="006E3B9B" w:rsidRDefault="00605D96" w:rsidP="008B207B">
                  <w:pPr>
                    <w:spacing w:after="0" w:line="240" w:lineRule="auto"/>
                    <w:jc w:val="left"/>
                    <w:rPr>
                      <w:rFonts w:cs="Arial"/>
                      <w:color w:val="000000"/>
                      <w:sz w:val="22"/>
                      <w:szCs w:val="22"/>
                    </w:rPr>
                  </w:pPr>
                  <w:r w:rsidRPr="006E3B9B">
                    <w:rPr>
                      <w:rFonts w:cs="Arial"/>
                      <w:color w:val="000000"/>
                      <w:sz w:val="22"/>
                      <w:szCs w:val="22"/>
                    </w:rPr>
                    <w:t> </w:t>
                  </w:r>
                </w:p>
              </w:tc>
              <w:tc>
                <w:tcPr>
                  <w:tcW w:w="700" w:type="dxa"/>
                  <w:tcBorders>
                    <w:top w:val="nil"/>
                    <w:left w:val="nil"/>
                    <w:bottom w:val="single" w:sz="4" w:space="0" w:color="auto"/>
                    <w:right w:val="nil"/>
                  </w:tcBorders>
                  <w:noWrap/>
                  <w:vAlign w:val="bottom"/>
                  <w:hideMark/>
                </w:tcPr>
                <w:p w14:paraId="08A4AF5C" w14:textId="77777777" w:rsidR="00605D96" w:rsidRPr="006E3B9B" w:rsidRDefault="00605D96" w:rsidP="008B207B">
                  <w:pPr>
                    <w:spacing w:after="0" w:line="240" w:lineRule="auto"/>
                    <w:jc w:val="right"/>
                    <w:rPr>
                      <w:rFonts w:cs="Arial"/>
                      <w:color w:val="000000"/>
                      <w:sz w:val="16"/>
                      <w:szCs w:val="16"/>
                    </w:rPr>
                  </w:pPr>
                  <w:r w:rsidRPr="006E3B9B">
                    <w:rPr>
                      <w:rFonts w:cs="Arial"/>
                      <w:color w:val="000000"/>
                      <w:sz w:val="16"/>
                      <w:szCs w:val="16"/>
                    </w:rPr>
                    <w:t>mld. Kč</w:t>
                  </w:r>
                </w:p>
              </w:tc>
            </w:tr>
            <w:tr w:rsidR="00605D96" w:rsidRPr="006E3B9B" w14:paraId="18CDB566" w14:textId="77777777" w:rsidTr="008B207B">
              <w:trPr>
                <w:trHeight w:val="255"/>
              </w:trPr>
              <w:tc>
                <w:tcPr>
                  <w:tcW w:w="4071" w:type="dxa"/>
                  <w:tcBorders>
                    <w:top w:val="nil"/>
                    <w:left w:val="nil"/>
                    <w:bottom w:val="nil"/>
                    <w:right w:val="nil"/>
                  </w:tcBorders>
                  <w:noWrap/>
                  <w:vAlign w:val="bottom"/>
                  <w:hideMark/>
                </w:tcPr>
                <w:p w14:paraId="50832A10" w14:textId="77777777" w:rsidR="00605D96" w:rsidRPr="006E3B9B" w:rsidRDefault="00605D96" w:rsidP="008B207B">
                  <w:pPr>
                    <w:spacing w:after="0" w:line="240" w:lineRule="auto"/>
                    <w:jc w:val="left"/>
                    <w:rPr>
                      <w:rFonts w:cs="Arial"/>
                      <w:color w:val="000000"/>
                      <w:sz w:val="16"/>
                      <w:szCs w:val="16"/>
                    </w:rPr>
                  </w:pPr>
                  <w:r w:rsidRPr="006E3B9B">
                    <w:rPr>
                      <w:rFonts w:cs="Arial"/>
                      <w:color w:val="000000"/>
                      <w:sz w:val="16"/>
                      <w:szCs w:val="16"/>
                    </w:rPr>
                    <w:t>Rusko</w:t>
                  </w:r>
                </w:p>
              </w:tc>
              <w:tc>
                <w:tcPr>
                  <w:tcW w:w="700" w:type="dxa"/>
                  <w:tcBorders>
                    <w:top w:val="nil"/>
                    <w:left w:val="nil"/>
                    <w:bottom w:val="nil"/>
                    <w:right w:val="nil"/>
                  </w:tcBorders>
                  <w:noWrap/>
                  <w:vAlign w:val="bottom"/>
                  <w:hideMark/>
                </w:tcPr>
                <w:p w14:paraId="52F19428" w14:textId="77777777" w:rsidR="00605D96" w:rsidRPr="006E3B9B" w:rsidRDefault="00605D96" w:rsidP="008B207B">
                  <w:pPr>
                    <w:spacing w:after="0" w:line="240" w:lineRule="auto"/>
                    <w:jc w:val="right"/>
                    <w:rPr>
                      <w:rFonts w:cs="Arial"/>
                      <w:color w:val="000000"/>
                      <w:sz w:val="16"/>
                      <w:szCs w:val="16"/>
                    </w:rPr>
                  </w:pPr>
                  <w:r w:rsidRPr="006E3B9B">
                    <w:rPr>
                      <w:rFonts w:cs="Arial"/>
                      <w:color w:val="000000"/>
                      <w:sz w:val="16"/>
                      <w:szCs w:val="16"/>
                    </w:rPr>
                    <w:t>+21,0</w:t>
                  </w:r>
                </w:p>
              </w:tc>
            </w:tr>
            <w:tr w:rsidR="00605D96" w:rsidRPr="006E3B9B" w14:paraId="1839252F" w14:textId="77777777" w:rsidTr="008B207B">
              <w:trPr>
                <w:trHeight w:val="255"/>
              </w:trPr>
              <w:tc>
                <w:tcPr>
                  <w:tcW w:w="4071" w:type="dxa"/>
                  <w:tcBorders>
                    <w:top w:val="nil"/>
                    <w:left w:val="nil"/>
                    <w:bottom w:val="nil"/>
                    <w:right w:val="nil"/>
                  </w:tcBorders>
                  <w:noWrap/>
                  <w:vAlign w:val="bottom"/>
                  <w:hideMark/>
                </w:tcPr>
                <w:p w14:paraId="26B4CEFE" w14:textId="77777777" w:rsidR="00605D96" w:rsidRPr="006E3B9B" w:rsidRDefault="00605D96" w:rsidP="008B207B">
                  <w:pPr>
                    <w:spacing w:after="0" w:line="240" w:lineRule="auto"/>
                    <w:jc w:val="left"/>
                    <w:rPr>
                      <w:rFonts w:cs="Arial"/>
                      <w:color w:val="000000"/>
                      <w:sz w:val="16"/>
                      <w:szCs w:val="16"/>
                    </w:rPr>
                  </w:pPr>
                  <w:r w:rsidRPr="006E3B9B">
                    <w:rPr>
                      <w:rFonts w:cs="Arial"/>
                      <w:color w:val="000000"/>
                      <w:sz w:val="16"/>
                      <w:szCs w:val="16"/>
                    </w:rPr>
                    <w:t>Slovensko</w:t>
                  </w:r>
                </w:p>
              </w:tc>
              <w:tc>
                <w:tcPr>
                  <w:tcW w:w="700" w:type="dxa"/>
                  <w:tcBorders>
                    <w:top w:val="nil"/>
                    <w:left w:val="nil"/>
                    <w:bottom w:val="nil"/>
                    <w:right w:val="nil"/>
                  </w:tcBorders>
                  <w:noWrap/>
                  <w:vAlign w:val="bottom"/>
                  <w:hideMark/>
                </w:tcPr>
                <w:p w14:paraId="01759DF3" w14:textId="77777777" w:rsidR="00605D96" w:rsidRPr="006E3B9B" w:rsidRDefault="00605D96" w:rsidP="008B207B">
                  <w:pPr>
                    <w:spacing w:after="0" w:line="240" w:lineRule="auto"/>
                    <w:jc w:val="right"/>
                    <w:rPr>
                      <w:rFonts w:cs="Arial"/>
                      <w:color w:val="000000"/>
                      <w:sz w:val="16"/>
                      <w:szCs w:val="16"/>
                    </w:rPr>
                  </w:pPr>
                  <w:r w:rsidRPr="006E3B9B">
                    <w:rPr>
                      <w:rFonts w:cs="Arial"/>
                      <w:color w:val="000000"/>
                      <w:sz w:val="16"/>
                      <w:szCs w:val="16"/>
                    </w:rPr>
                    <w:t>+10,6</w:t>
                  </w:r>
                </w:p>
              </w:tc>
            </w:tr>
            <w:tr w:rsidR="00605D96" w:rsidRPr="006E3B9B" w14:paraId="2F1B6D39" w14:textId="77777777" w:rsidTr="008B207B">
              <w:trPr>
                <w:trHeight w:val="255"/>
              </w:trPr>
              <w:tc>
                <w:tcPr>
                  <w:tcW w:w="4071" w:type="dxa"/>
                  <w:tcBorders>
                    <w:top w:val="nil"/>
                    <w:left w:val="nil"/>
                    <w:bottom w:val="nil"/>
                    <w:right w:val="nil"/>
                  </w:tcBorders>
                  <w:noWrap/>
                  <w:vAlign w:val="bottom"/>
                  <w:hideMark/>
                </w:tcPr>
                <w:p w14:paraId="63542E80" w14:textId="77777777" w:rsidR="00605D96" w:rsidRPr="006E3B9B" w:rsidRDefault="00605D96" w:rsidP="008B207B">
                  <w:pPr>
                    <w:spacing w:after="0" w:line="240" w:lineRule="auto"/>
                    <w:jc w:val="left"/>
                    <w:rPr>
                      <w:rFonts w:cs="Arial"/>
                      <w:color w:val="000000"/>
                      <w:sz w:val="16"/>
                      <w:szCs w:val="16"/>
                    </w:rPr>
                  </w:pPr>
                  <w:r w:rsidRPr="006E3B9B">
                    <w:rPr>
                      <w:rFonts w:cs="Arial"/>
                      <w:color w:val="000000"/>
                      <w:sz w:val="16"/>
                      <w:szCs w:val="16"/>
                    </w:rPr>
                    <w:t>Čína</w:t>
                  </w:r>
                </w:p>
              </w:tc>
              <w:tc>
                <w:tcPr>
                  <w:tcW w:w="700" w:type="dxa"/>
                  <w:tcBorders>
                    <w:top w:val="nil"/>
                    <w:left w:val="nil"/>
                    <w:bottom w:val="nil"/>
                    <w:right w:val="nil"/>
                  </w:tcBorders>
                  <w:noWrap/>
                  <w:vAlign w:val="bottom"/>
                  <w:hideMark/>
                </w:tcPr>
                <w:p w14:paraId="2F88D335" w14:textId="77777777" w:rsidR="00605D96" w:rsidRPr="006E3B9B" w:rsidRDefault="00605D96" w:rsidP="008B207B">
                  <w:pPr>
                    <w:spacing w:after="0" w:line="240" w:lineRule="auto"/>
                    <w:jc w:val="right"/>
                    <w:rPr>
                      <w:rFonts w:cs="Arial"/>
                      <w:color w:val="000000"/>
                      <w:sz w:val="16"/>
                      <w:szCs w:val="16"/>
                    </w:rPr>
                  </w:pPr>
                  <w:r w:rsidRPr="006E3B9B">
                    <w:rPr>
                      <w:rFonts w:cs="Arial"/>
                      <w:color w:val="000000"/>
                      <w:sz w:val="16"/>
                      <w:szCs w:val="16"/>
                    </w:rPr>
                    <w:t>+8,4</w:t>
                  </w:r>
                </w:p>
              </w:tc>
            </w:tr>
            <w:tr w:rsidR="00605D96" w:rsidRPr="006E3B9B" w14:paraId="0640D8E5" w14:textId="77777777" w:rsidTr="008B207B">
              <w:trPr>
                <w:trHeight w:val="255"/>
              </w:trPr>
              <w:tc>
                <w:tcPr>
                  <w:tcW w:w="4071" w:type="dxa"/>
                  <w:tcBorders>
                    <w:top w:val="nil"/>
                    <w:left w:val="nil"/>
                    <w:bottom w:val="nil"/>
                    <w:right w:val="nil"/>
                  </w:tcBorders>
                  <w:noWrap/>
                  <w:vAlign w:val="bottom"/>
                  <w:hideMark/>
                </w:tcPr>
                <w:p w14:paraId="4A39FCCC" w14:textId="77777777" w:rsidR="00605D96" w:rsidRPr="006E3B9B" w:rsidRDefault="00605D96" w:rsidP="008B207B">
                  <w:pPr>
                    <w:spacing w:after="0" w:line="240" w:lineRule="auto"/>
                    <w:jc w:val="left"/>
                    <w:rPr>
                      <w:rFonts w:cs="Arial"/>
                      <w:color w:val="000000"/>
                      <w:sz w:val="16"/>
                      <w:szCs w:val="16"/>
                    </w:rPr>
                  </w:pPr>
                  <w:r w:rsidRPr="006E3B9B">
                    <w:rPr>
                      <w:rFonts w:cs="Arial"/>
                      <w:color w:val="000000"/>
                      <w:sz w:val="16"/>
                      <w:szCs w:val="16"/>
                    </w:rPr>
                    <w:t>Francie</w:t>
                  </w:r>
                </w:p>
              </w:tc>
              <w:tc>
                <w:tcPr>
                  <w:tcW w:w="700" w:type="dxa"/>
                  <w:tcBorders>
                    <w:top w:val="nil"/>
                    <w:left w:val="nil"/>
                    <w:bottom w:val="nil"/>
                    <w:right w:val="nil"/>
                  </w:tcBorders>
                  <w:noWrap/>
                  <w:vAlign w:val="bottom"/>
                  <w:hideMark/>
                </w:tcPr>
                <w:p w14:paraId="2DA3F6D3" w14:textId="77777777" w:rsidR="00605D96" w:rsidRPr="006E3B9B" w:rsidRDefault="00605D96" w:rsidP="008B207B">
                  <w:pPr>
                    <w:spacing w:after="0" w:line="240" w:lineRule="auto"/>
                    <w:jc w:val="right"/>
                    <w:rPr>
                      <w:rFonts w:cs="Arial"/>
                      <w:color w:val="000000"/>
                      <w:sz w:val="16"/>
                      <w:szCs w:val="16"/>
                    </w:rPr>
                  </w:pPr>
                  <w:r w:rsidRPr="006E3B9B">
                    <w:rPr>
                      <w:rFonts w:cs="Arial"/>
                      <w:color w:val="000000"/>
                      <w:sz w:val="16"/>
                      <w:szCs w:val="16"/>
                    </w:rPr>
                    <w:t>+6,1</w:t>
                  </w:r>
                </w:p>
              </w:tc>
            </w:tr>
            <w:tr w:rsidR="00605D96" w:rsidRPr="006E3B9B" w14:paraId="3867E28D" w14:textId="77777777" w:rsidTr="008B207B">
              <w:trPr>
                <w:trHeight w:val="255"/>
              </w:trPr>
              <w:tc>
                <w:tcPr>
                  <w:tcW w:w="4071" w:type="dxa"/>
                  <w:tcBorders>
                    <w:top w:val="nil"/>
                    <w:left w:val="nil"/>
                    <w:bottom w:val="nil"/>
                    <w:right w:val="nil"/>
                  </w:tcBorders>
                  <w:noWrap/>
                  <w:vAlign w:val="bottom"/>
                  <w:hideMark/>
                </w:tcPr>
                <w:p w14:paraId="00CD6D50" w14:textId="77777777" w:rsidR="00605D96" w:rsidRPr="006E3B9B" w:rsidRDefault="00605D96" w:rsidP="008B207B">
                  <w:pPr>
                    <w:spacing w:after="0" w:line="240" w:lineRule="auto"/>
                    <w:jc w:val="left"/>
                    <w:rPr>
                      <w:rFonts w:cs="Arial"/>
                      <w:color w:val="000000"/>
                      <w:sz w:val="16"/>
                      <w:szCs w:val="16"/>
                    </w:rPr>
                  </w:pPr>
                  <w:r w:rsidRPr="006E3B9B">
                    <w:rPr>
                      <w:rFonts w:cs="Arial"/>
                      <w:color w:val="000000"/>
                      <w:sz w:val="16"/>
                      <w:szCs w:val="16"/>
                    </w:rPr>
                    <w:t>Švédsko</w:t>
                  </w:r>
                </w:p>
              </w:tc>
              <w:tc>
                <w:tcPr>
                  <w:tcW w:w="700" w:type="dxa"/>
                  <w:tcBorders>
                    <w:top w:val="nil"/>
                    <w:left w:val="nil"/>
                    <w:bottom w:val="nil"/>
                    <w:right w:val="nil"/>
                  </w:tcBorders>
                  <w:noWrap/>
                  <w:vAlign w:val="bottom"/>
                  <w:hideMark/>
                </w:tcPr>
                <w:p w14:paraId="63E7384E" w14:textId="77777777" w:rsidR="00605D96" w:rsidRPr="006E3B9B" w:rsidRDefault="00605D96" w:rsidP="008B207B">
                  <w:pPr>
                    <w:spacing w:after="0" w:line="240" w:lineRule="auto"/>
                    <w:jc w:val="right"/>
                    <w:rPr>
                      <w:rFonts w:cs="Arial"/>
                      <w:color w:val="000000"/>
                      <w:sz w:val="16"/>
                      <w:szCs w:val="16"/>
                    </w:rPr>
                  </w:pPr>
                  <w:r w:rsidRPr="006E3B9B">
                    <w:rPr>
                      <w:rFonts w:cs="Arial"/>
                      <w:color w:val="000000"/>
                      <w:sz w:val="16"/>
                      <w:szCs w:val="16"/>
                    </w:rPr>
                    <w:t>+2,0</w:t>
                  </w:r>
                </w:p>
              </w:tc>
            </w:tr>
            <w:tr w:rsidR="00605D96" w:rsidRPr="006E3B9B" w14:paraId="1891A8C4" w14:textId="77777777" w:rsidTr="008B207B">
              <w:trPr>
                <w:trHeight w:val="255"/>
              </w:trPr>
              <w:tc>
                <w:tcPr>
                  <w:tcW w:w="4071" w:type="dxa"/>
                  <w:tcBorders>
                    <w:top w:val="nil"/>
                    <w:left w:val="nil"/>
                    <w:bottom w:val="nil"/>
                    <w:right w:val="nil"/>
                  </w:tcBorders>
                  <w:noWrap/>
                  <w:vAlign w:val="bottom"/>
                  <w:hideMark/>
                </w:tcPr>
                <w:p w14:paraId="046B14D7" w14:textId="77777777" w:rsidR="00605D96" w:rsidRPr="006E3B9B" w:rsidRDefault="00605D96" w:rsidP="008B207B">
                  <w:pPr>
                    <w:spacing w:after="0" w:line="240" w:lineRule="auto"/>
                    <w:jc w:val="left"/>
                    <w:rPr>
                      <w:rFonts w:cs="Arial"/>
                      <w:color w:val="000000"/>
                      <w:sz w:val="16"/>
                      <w:szCs w:val="16"/>
                    </w:rPr>
                  </w:pPr>
                  <w:r w:rsidRPr="006E3B9B">
                    <w:rPr>
                      <w:rFonts w:cs="Arial"/>
                      <w:color w:val="000000"/>
                      <w:sz w:val="16"/>
                      <w:szCs w:val="16"/>
                    </w:rPr>
                    <w:t>Jižní Korea</w:t>
                  </w:r>
                </w:p>
              </w:tc>
              <w:tc>
                <w:tcPr>
                  <w:tcW w:w="700" w:type="dxa"/>
                  <w:tcBorders>
                    <w:top w:val="nil"/>
                    <w:left w:val="nil"/>
                    <w:bottom w:val="nil"/>
                    <w:right w:val="nil"/>
                  </w:tcBorders>
                  <w:noWrap/>
                  <w:vAlign w:val="bottom"/>
                  <w:hideMark/>
                </w:tcPr>
                <w:p w14:paraId="1B0B38E0" w14:textId="77777777" w:rsidR="00605D96" w:rsidRPr="006E3B9B" w:rsidRDefault="00605D96" w:rsidP="008B207B">
                  <w:pPr>
                    <w:spacing w:after="0" w:line="240" w:lineRule="auto"/>
                    <w:jc w:val="right"/>
                    <w:rPr>
                      <w:rFonts w:cs="Arial"/>
                      <w:color w:val="000000"/>
                      <w:sz w:val="16"/>
                      <w:szCs w:val="16"/>
                    </w:rPr>
                  </w:pPr>
                  <w:r w:rsidRPr="006E3B9B">
                    <w:rPr>
                      <w:rFonts w:cs="Arial"/>
                      <w:color w:val="000000"/>
                      <w:sz w:val="16"/>
                      <w:szCs w:val="16"/>
                    </w:rPr>
                    <w:t>+1,6</w:t>
                  </w:r>
                </w:p>
              </w:tc>
            </w:tr>
            <w:tr w:rsidR="00605D96" w:rsidRPr="006E3B9B" w14:paraId="1FA36C1A" w14:textId="77777777" w:rsidTr="008B207B">
              <w:trPr>
                <w:trHeight w:val="255"/>
              </w:trPr>
              <w:tc>
                <w:tcPr>
                  <w:tcW w:w="4071" w:type="dxa"/>
                  <w:tcBorders>
                    <w:top w:val="nil"/>
                    <w:left w:val="nil"/>
                    <w:bottom w:val="nil"/>
                    <w:right w:val="nil"/>
                  </w:tcBorders>
                  <w:noWrap/>
                  <w:vAlign w:val="bottom"/>
                  <w:hideMark/>
                </w:tcPr>
                <w:p w14:paraId="2704344E" w14:textId="77777777" w:rsidR="00605D96" w:rsidRPr="006E3B9B" w:rsidRDefault="00605D96" w:rsidP="008B207B">
                  <w:pPr>
                    <w:spacing w:after="0" w:line="240" w:lineRule="auto"/>
                    <w:jc w:val="left"/>
                    <w:rPr>
                      <w:rFonts w:cs="Arial"/>
                      <w:color w:val="000000"/>
                      <w:sz w:val="16"/>
                      <w:szCs w:val="16"/>
                    </w:rPr>
                  </w:pPr>
                  <w:r w:rsidRPr="006E3B9B">
                    <w:rPr>
                      <w:rFonts w:cs="Arial"/>
                      <w:color w:val="000000"/>
                      <w:sz w:val="16"/>
                      <w:szCs w:val="16"/>
                    </w:rPr>
                    <w:t>Belgie</w:t>
                  </w:r>
                </w:p>
              </w:tc>
              <w:tc>
                <w:tcPr>
                  <w:tcW w:w="700" w:type="dxa"/>
                  <w:tcBorders>
                    <w:top w:val="nil"/>
                    <w:left w:val="nil"/>
                    <w:bottom w:val="nil"/>
                    <w:right w:val="nil"/>
                  </w:tcBorders>
                  <w:noWrap/>
                  <w:vAlign w:val="bottom"/>
                  <w:hideMark/>
                </w:tcPr>
                <w:p w14:paraId="67576AA7" w14:textId="77777777" w:rsidR="00605D96" w:rsidRPr="006E3B9B" w:rsidRDefault="00605D96" w:rsidP="008B207B">
                  <w:pPr>
                    <w:spacing w:after="0" w:line="240" w:lineRule="auto"/>
                    <w:jc w:val="right"/>
                    <w:rPr>
                      <w:rFonts w:cs="Arial"/>
                      <w:color w:val="000000"/>
                      <w:sz w:val="16"/>
                      <w:szCs w:val="16"/>
                    </w:rPr>
                  </w:pPr>
                  <w:r>
                    <w:rPr>
                      <w:rFonts w:cs="Arial"/>
                      <w:color w:val="000000"/>
                      <w:sz w:val="16"/>
                      <w:szCs w:val="16"/>
                    </w:rPr>
                    <w:t>−</w:t>
                  </w:r>
                  <w:r w:rsidRPr="006E3B9B">
                    <w:rPr>
                      <w:rFonts w:cs="Arial"/>
                      <w:color w:val="000000"/>
                      <w:sz w:val="16"/>
                      <w:szCs w:val="16"/>
                    </w:rPr>
                    <w:t>1,7</w:t>
                  </w:r>
                </w:p>
              </w:tc>
            </w:tr>
            <w:tr w:rsidR="00605D96" w:rsidRPr="006E3B9B" w14:paraId="08A1D219" w14:textId="77777777" w:rsidTr="008B207B">
              <w:trPr>
                <w:trHeight w:val="255"/>
              </w:trPr>
              <w:tc>
                <w:tcPr>
                  <w:tcW w:w="4071" w:type="dxa"/>
                  <w:tcBorders>
                    <w:top w:val="nil"/>
                    <w:left w:val="nil"/>
                    <w:bottom w:val="nil"/>
                    <w:right w:val="nil"/>
                  </w:tcBorders>
                  <w:noWrap/>
                  <w:vAlign w:val="bottom"/>
                  <w:hideMark/>
                </w:tcPr>
                <w:p w14:paraId="5B76D658" w14:textId="77777777" w:rsidR="00605D96" w:rsidRPr="006E3B9B" w:rsidRDefault="00605D96" w:rsidP="008B207B">
                  <w:pPr>
                    <w:spacing w:after="0" w:line="240" w:lineRule="auto"/>
                    <w:jc w:val="left"/>
                    <w:rPr>
                      <w:rFonts w:cs="Arial"/>
                      <w:color w:val="000000"/>
                      <w:sz w:val="16"/>
                      <w:szCs w:val="16"/>
                    </w:rPr>
                  </w:pPr>
                  <w:r w:rsidRPr="006E3B9B">
                    <w:rPr>
                      <w:rFonts w:cs="Arial"/>
                      <w:color w:val="000000"/>
                      <w:sz w:val="16"/>
                      <w:szCs w:val="16"/>
                    </w:rPr>
                    <w:t>Irsko</w:t>
                  </w:r>
                </w:p>
              </w:tc>
              <w:tc>
                <w:tcPr>
                  <w:tcW w:w="700" w:type="dxa"/>
                  <w:tcBorders>
                    <w:top w:val="nil"/>
                    <w:left w:val="nil"/>
                    <w:bottom w:val="nil"/>
                    <w:right w:val="nil"/>
                  </w:tcBorders>
                  <w:noWrap/>
                  <w:vAlign w:val="bottom"/>
                  <w:hideMark/>
                </w:tcPr>
                <w:p w14:paraId="7909D0F2" w14:textId="77777777" w:rsidR="00605D96" w:rsidRPr="006E3B9B" w:rsidRDefault="00605D96" w:rsidP="008B207B">
                  <w:pPr>
                    <w:spacing w:after="0" w:line="240" w:lineRule="auto"/>
                    <w:jc w:val="right"/>
                    <w:rPr>
                      <w:rFonts w:cs="Arial"/>
                      <w:color w:val="000000"/>
                      <w:sz w:val="16"/>
                      <w:szCs w:val="16"/>
                    </w:rPr>
                  </w:pPr>
                  <w:r>
                    <w:rPr>
                      <w:rFonts w:cs="Arial"/>
                      <w:color w:val="000000"/>
                      <w:sz w:val="16"/>
                      <w:szCs w:val="16"/>
                    </w:rPr>
                    <w:t>−</w:t>
                  </w:r>
                  <w:r w:rsidRPr="006E3B9B">
                    <w:rPr>
                      <w:rFonts w:cs="Arial"/>
                      <w:color w:val="000000"/>
                      <w:sz w:val="16"/>
                      <w:szCs w:val="16"/>
                    </w:rPr>
                    <w:t>2,0</w:t>
                  </w:r>
                </w:p>
              </w:tc>
            </w:tr>
            <w:tr w:rsidR="00605D96" w:rsidRPr="006E3B9B" w14:paraId="52BB5AB6" w14:textId="77777777" w:rsidTr="008B207B">
              <w:trPr>
                <w:trHeight w:val="255"/>
              </w:trPr>
              <w:tc>
                <w:tcPr>
                  <w:tcW w:w="4071" w:type="dxa"/>
                  <w:tcBorders>
                    <w:top w:val="nil"/>
                    <w:left w:val="nil"/>
                    <w:bottom w:val="nil"/>
                    <w:right w:val="nil"/>
                  </w:tcBorders>
                  <w:noWrap/>
                  <w:vAlign w:val="bottom"/>
                  <w:hideMark/>
                </w:tcPr>
                <w:p w14:paraId="4305B810" w14:textId="77777777" w:rsidR="00605D96" w:rsidRPr="006E3B9B" w:rsidRDefault="00605D96" w:rsidP="008B207B">
                  <w:pPr>
                    <w:spacing w:after="0" w:line="240" w:lineRule="auto"/>
                    <w:jc w:val="left"/>
                    <w:rPr>
                      <w:rFonts w:cs="Arial"/>
                      <w:color w:val="000000"/>
                      <w:sz w:val="16"/>
                      <w:szCs w:val="16"/>
                    </w:rPr>
                  </w:pPr>
                  <w:r w:rsidRPr="006E3B9B">
                    <w:rPr>
                      <w:rFonts w:cs="Arial"/>
                      <w:color w:val="000000"/>
                      <w:sz w:val="16"/>
                      <w:szCs w:val="16"/>
                    </w:rPr>
                    <w:t>Kazachstán</w:t>
                  </w:r>
                </w:p>
              </w:tc>
              <w:tc>
                <w:tcPr>
                  <w:tcW w:w="700" w:type="dxa"/>
                  <w:tcBorders>
                    <w:top w:val="nil"/>
                    <w:left w:val="nil"/>
                    <w:bottom w:val="nil"/>
                    <w:right w:val="nil"/>
                  </w:tcBorders>
                  <w:noWrap/>
                  <w:vAlign w:val="bottom"/>
                  <w:hideMark/>
                </w:tcPr>
                <w:p w14:paraId="4D731361" w14:textId="77777777" w:rsidR="00605D96" w:rsidRPr="006E3B9B" w:rsidRDefault="00605D96" w:rsidP="008B207B">
                  <w:pPr>
                    <w:spacing w:after="0" w:line="240" w:lineRule="auto"/>
                    <w:jc w:val="right"/>
                    <w:rPr>
                      <w:rFonts w:cs="Arial"/>
                      <w:color w:val="000000"/>
                      <w:sz w:val="16"/>
                      <w:szCs w:val="16"/>
                    </w:rPr>
                  </w:pPr>
                  <w:r>
                    <w:rPr>
                      <w:rFonts w:cs="Arial"/>
                      <w:color w:val="000000"/>
                      <w:sz w:val="16"/>
                      <w:szCs w:val="16"/>
                    </w:rPr>
                    <w:t>−</w:t>
                  </w:r>
                  <w:r w:rsidRPr="006E3B9B">
                    <w:rPr>
                      <w:rFonts w:cs="Arial"/>
                      <w:color w:val="000000"/>
                      <w:sz w:val="16"/>
                      <w:szCs w:val="16"/>
                    </w:rPr>
                    <w:t>2,3</w:t>
                  </w:r>
                </w:p>
              </w:tc>
            </w:tr>
            <w:tr w:rsidR="00605D96" w:rsidRPr="006E3B9B" w14:paraId="205EDB15" w14:textId="77777777" w:rsidTr="008B207B">
              <w:trPr>
                <w:trHeight w:val="255"/>
              </w:trPr>
              <w:tc>
                <w:tcPr>
                  <w:tcW w:w="4071" w:type="dxa"/>
                  <w:tcBorders>
                    <w:top w:val="nil"/>
                    <w:left w:val="nil"/>
                    <w:bottom w:val="nil"/>
                    <w:right w:val="nil"/>
                  </w:tcBorders>
                  <w:noWrap/>
                  <w:vAlign w:val="bottom"/>
                  <w:hideMark/>
                </w:tcPr>
                <w:p w14:paraId="7893D639" w14:textId="77777777" w:rsidR="00605D96" w:rsidRPr="006E3B9B" w:rsidRDefault="00605D96" w:rsidP="008B207B">
                  <w:pPr>
                    <w:spacing w:after="0" w:line="240" w:lineRule="auto"/>
                    <w:jc w:val="left"/>
                    <w:rPr>
                      <w:rFonts w:cs="Arial"/>
                      <w:color w:val="000000"/>
                      <w:sz w:val="16"/>
                      <w:szCs w:val="16"/>
                    </w:rPr>
                  </w:pPr>
                  <w:r w:rsidRPr="006E3B9B">
                    <w:rPr>
                      <w:rFonts w:cs="Arial"/>
                      <w:color w:val="000000"/>
                      <w:sz w:val="16"/>
                      <w:szCs w:val="16"/>
                    </w:rPr>
                    <w:t>Velká Británie</w:t>
                  </w:r>
                </w:p>
              </w:tc>
              <w:tc>
                <w:tcPr>
                  <w:tcW w:w="700" w:type="dxa"/>
                  <w:tcBorders>
                    <w:top w:val="nil"/>
                    <w:left w:val="nil"/>
                    <w:bottom w:val="nil"/>
                    <w:right w:val="nil"/>
                  </w:tcBorders>
                  <w:noWrap/>
                  <w:vAlign w:val="bottom"/>
                  <w:hideMark/>
                </w:tcPr>
                <w:p w14:paraId="5A8E4E4E" w14:textId="77777777" w:rsidR="00605D96" w:rsidRPr="006E3B9B" w:rsidRDefault="00605D96" w:rsidP="008B207B">
                  <w:pPr>
                    <w:spacing w:after="0" w:line="240" w:lineRule="auto"/>
                    <w:jc w:val="right"/>
                    <w:rPr>
                      <w:rFonts w:cs="Arial"/>
                      <w:color w:val="000000"/>
                      <w:sz w:val="16"/>
                      <w:szCs w:val="16"/>
                    </w:rPr>
                  </w:pPr>
                  <w:r>
                    <w:rPr>
                      <w:rFonts w:cs="Arial"/>
                      <w:color w:val="000000"/>
                      <w:sz w:val="16"/>
                      <w:szCs w:val="16"/>
                    </w:rPr>
                    <w:t>−</w:t>
                  </w:r>
                  <w:r w:rsidRPr="006E3B9B">
                    <w:rPr>
                      <w:rFonts w:cs="Arial"/>
                      <w:color w:val="000000"/>
                      <w:sz w:val="16"/>
                      <w:szCs w:val="16"/>
                    </w:rPr>
                    <w:t>2,5</w:t>
                  </w:r>
                </w:p>
              </w:tc>
            </w:tr>
            <w:tr w:rsidR="00605D96" w:rsidRPr="006E3B9B" w14:paraId="17FC76C5" w14:textId="77777777" w:rsidTr="008B207B">
              <w:trPr>
                <w:trHeight w:val="255"/>
              </w:trPr>
              <w:tc>
                <w:tcPr>
                  <w:tcW w:w="4071" w:type="dxa"/>
                  <w:tcBorders>
                    <w:top w:val="nil"/>
                    <w:left w:val="nil"/>
                    <w:bottom w:val="nil"/>
                    <w:right w:val="nil"/>
                  </w:tcBorders>
                  <w:noWrap/>
                  <w:vAlign w:val="bottom"/>
                  <w:hideMark/>
                </w:tcPr>
                <w:p w14:paraId="720778D0" w14:textId="77777777" w:rsidR="00605D96" w:rsidRPr="006E3B9B" w:rsidRDefault="00605D96" w:rsidP="008B207B">
                  <w:pPr>
                    <w:spacing w:after="0" w:line="240" w:lineRule="auto"/>
                    <w:jc w:val="left"/>
                    <w:rPr>
                      <w:rFonts w:cs="Arial"/>
                      <w:color w:val="000000"/>
                      <w:sz w:val="16"/>
                      <w:szCs w:val="16"/>
                    </w:rPr>
                  </w:pPr>
                  <w:r w:rsidRPr="006E3B9B">
                    <w:rPr>
                      <w:rFonts w:cs="Arial"/>
                      <w:color w:val="000000"/>
                      <w:sz w:val="16"/>
                      <w:szCs w:val="16"/>
                    </w:rPr>
                    <w:t>Polsko</w:t>
                  </w:r>
                </w:p>
              </w:tc>
              <w:tc>
                <w:tcPr>
                  <w:tcW w:w="700" w:type="dxa"/>
                  <w:tcBorders>
                    <w:top w:val="nil"/>
                    <w:left w:val="nil"/>
                    <w:bottom w:val="nil"/>
                    <w:right w:val="nil"/>
                  </w:tcBorders>
                  <w:noWrap/>
                  <w:vAlign w:val="bottom"/>
                  <w:hideMark/>
                </w:tcPr>
                <w:p w14:paraId="23B2A8A5" w14:textId="77777777" w:rsidR="00605D96" w:rsidRPr="006E3B9B" w:rsidRDefault="00605D96" w:rsidP="008B207B">
                  <w:pPr>
                    <w:spacing w:after="0" w:line="240" w:lineRule="auto"/>
                    <w:jc w:val="right"/>
                    <w:rPr>
                      <w:rFonts w:cs="Arial"/>
                      <w:color w:val="000000"/>
                      <w:sz w:val="16"/>
                      <w:szCs w:val="16"/>
                    </w:rPr>
                  </w:pPr>
                  <w:r>
                    <w:rPr>
                      <w:rFonts w:cs="Arial"/>
                      <w:color w:val="000000"/>
                      <w:sz w:val="16"/>
                      <w:szCs w:val="16"/>
                    </w:rPr>
                    <w:t>−</w:t>
                  </w:r>
                  <w:r w:rsidRPr="006E3B9B">
                    <w:rPr>
                      <w:rFonts w:cs="Arial"/>
                      <w:color w:val="000000"/>
                      <w:sz w:val="16"/>
                      <w:szCs w:val="16"/>
                    </w:rPr>
                    <w:t>2,7</w:t>
                  </w:r>
                </w:p>
              </w:tc>
            </w:tr>
            <w:tr w:rsidR="00605D96" w:rsidRPr="006E3B9B" w14:paraId="1065C258" w14:textId="77777777" w:rsidTr="008B207B">
              <w:trPr>
                <w:trHeight w:val="255"/>
              </w:trPr>
              <w:tc>
                <w:tcPr>
                  <w:tcW w:w="4071" w:type="dxa"/>
                  <w:tcBorders>
                    <w:top w:val="nil"/>
                    <w:left w:val="nil"/>
                    <w:bottom w:val="nil"/>
                    <w:right w:val="nil"/>
                  </w:tcBorders>
                  <w:noWrap/>
                  <w:vAlign w:val="bottom"/>
                  <w:hideMark/>
                </w:tcPr>
                <w:p w14:paraId="4B651937" w14:textId="77777777" w:rsidR="00605D96" w:rsidRPr="006E3B9B" w:rsidRDefault="00605D96" w:rsidP="008B207B">
                  <w:pPr>
                    <w:spacing w:after="0" w:line="240" w:lineRule="auto"/>
                    <w:jc w:val="left"/>
                    <w:rPr>
                      <w:rFonts w:cs="Arial"/>
                      <w:color w:val="000000"/>
                      <w:sz w:val="16"/>
                      <w:szCs w:val="16"/>
                    </w:rPr>
                  </w:pPr>
                  <w:r w:rsidRPr="006E3B9B">
                    <w:rPr>
                      <w:rFonts w:cs="Arial"/>
                      <w:color w:val="000000"/>
                      <w:sz w:val="16"/>
                      <w:szCs w:val="16"/>
                    </w:rPr>
                    <w:t>Tchaj-wan</w:t>
                  </w:r>
                </w:p>
              </w:tc>
              <w:tc>
                <w:tcPr>
                  <w:tcW w:w="700" w:type="dxa"/>
                  <w:tcBorders>
                    <w:top w:val="nil"/>
                    <w:left w:val="nil"/>
                    <w:bottom w:val="nil"/>
                    <w:right w:val="nil"/>
                  </w:tcBorders>
                  <w:noWrap/>
                  <w:vAlign w:val="bottom"/>
                  <w:hideMark/>
                </w:tcPr>
                <w:p w14:paraId="00852EEC" w14:textId="77777777" w:rsidR="00605D96" w:rsidRPr="006E3B9B" w:rsidRDefault="00605D96" w:rsidP="008B207B">
                  <w:pPr>
                    <w:spacing w:after="0" w:line="240" w:lineRule="auto"/>
                    <w:jc w:val="right"/>
                    <w:rPr>
                      <w:rFonts w:cs="Arial"/>
                      <w:color w:val="000000"/>
                      <w:sz w:val="16"/>
                      <w:szCs w:val="16"/>
                    </w:rPr>
                  </w:pPr>
                  <w:r>
                    <w:rPr>
                      <w:rFonts w:cs="Arial"/>
                      <w:color w:val="000000"/>
                      <w:sz w:val="16"/>
                      <w:szCs w:val="16"/>
                    </w:rPr>
                    <w:t>−</w:t>
                  </w:r>
                  <w:r w:rsidRPr="006E3B9B">
                    <w:rPr>
                      <w:rFonts w:cs="Arial"/>
                      <w:color w:val="000000"/>
                      <w:sz w:val="16"/>
                      <w:szCs w:val="16"/>
                    </w:rPr>
                    <w:t>2,7</w:t>
                  </w:r>
                </w:p>
              </w:tc>
            </w:tr>
            <w:tr w:rsidR="00605D96" w:rsidRPr="006E3B9B" w14:paraId="10A72EA0" w14:textId="77777777" w:rsidTr="008B207B">
              <w:trPr>
                <w:trHeight w:val="255"/>
              </w:trPr>
              <w:tc>
                <w:tcPr>
                  <w:tcW w:w="4071" w:type="dxa"/>
                  <w:tcBorders>
                    <w:top w:val="nil"/>
                    <w:left w:val="nil"/>
                    <w:bottom w:val="nil"/>
                    <w:right w:val="nil"/>
                  </w:tcBorders>
                  <w:noWrap/>
                  <w:vAlign w:val="bottom"/>
                  <w:hideMark/>
                </w:tcPr>
                <w:p w14:paraId="2ADD5CB3" w14:textId="77777777" w:rsidR="00605D96" w:rsidRPr="006E3B9B" w:rsidRDefault="00605D96" w:rsidP="008B207B">
                  <w:pPr>
                    <w:spacing w:after="0" w:line="240" w:lineRule="auto"/>
                    <w:jc w:val="left"/>
                    <w:rPr>
                      <w:rFonts w:cs="Arial"/>
                      <w:color w:val="000000"/>
                      <w:sz w:val="16"/>
                      <w:szCs w:val="16"/>
                    </w:rPr>
                  </w:pPr>
                  <w:r w:rsidRPr="006E3B9B">
                    <w:rPr>
                      <w:rFonts w:cs="Arial"/>
                      <w:color w:val="000000"/>
                      <w:sz w:val="16"/>
                      <w:szCs w:val="16"/>
                    </w:rPr>
                    <w:t>Maďarsko</w:t>
                  </w:r>
                </w:p>
              </w:tc>
              <w:tc>
                <w:tcPr>
                  <w:tcW w:w="700" w:type="dxa"/>
                  <w:tcBorders>
                    <w:top w:val="nil"/>
                    <w:left w:val="nil"/>
                    <w:bottom w:val="nil"/>
                    <w:right w:val="nil"/>
                  </w:tcBorders>
                  <w:noWrap/>
                  <w:vAlign w:val="bottom"/>
                  <w:hideMark/>
                </w:tcPr>
                <w:p w14:paraId="0939FCE2" w14:textId="77777777" w:rsidR="00605D96" w:rsidRPr="006E3B9B" w:rsidRDefault="00605D96" w:rsidP="008B207B">
                  <w:pPr>
                    <w:spacing w:after="0" w:line="240" w:lineRule="auto"/>
                    <w:jc w:val="right"/>
                    <w:rPr>
                      <w:rFonts w:cs="Arial"/>
                      <w:color w:val="000000"/>
                      <w:sz w:val="16"/>
                      <w:szCs w:val="16"/>
                    </w:rPr>
                  </w:pPr>
                  <w:r>
                    <w:rPr>
                      <w:rFonts w:cs="Arial"/>
                      <w:color w:val="000000"/>
                      <w:sz w:val="16"/>
                      <w:szCs w:val="16"/>
                    </w:rPr>
                    <w:t>−</w:t>
                  </w:r>
                  <w:r w:rsidRPr="006E3B9B">
                    <w:rPr>
                      <w:rFonts w:cs="Arial"/>
                      <w:color w:val="000000"/>
                      <w:sz w:val="16"/>
                      <w:szCs w:val="16"/>
                    </w:rPr>
                    <w:t>3,5</w:t>
                  </w:r>
                </w:p>
              </w:tc>
            </w:tr>
            <w:tr w:rsidR="00605D96" w:rsidRPr="006E3B9B" w14:paraId="37D9B5BC" w14:textId="77777777" w:rsidTr="008B207B">
              <w:trPr>
                <w:trHeight w:val="255"/>
              </w:trPr>
              <w:tc>
                <w:tcPr>
                  <w:tcW w:w="4071" w:type="dxa"/>
                  <w:tcBorders>
                    <w:top w:val="nil"/>
                    <w:left w:val="nil"/>
                    <w:bottom w:val="nil"/>
                    <w:right w:val="nil"/>
                  </w:tcBorders>
                  <w:noWrap/>
                  <w:vAlign w:val="bottom"/>
                  <w:hideMark/>
                </w:tcPr>
                <w:p w14:paraId="78B47B03" w14:textId="77777777" w:rsidR="00605D96" w:rsidRPr="006E3B9B" w:rsidRDefault="00605D96" w:rsidP="008B207B">
                  <w:pPr>
                    <w:spacing w:after="0" w:line="240" w:lineRule="auto"/>
                    <w:jc w:val="left"/>
                    <w:rPr>
                      <w:rFonts w:cs="Arial"/>
                      <w:color w:val="000000"/>
                      <w:sz w:val="16"/>
                      <w:szCs w:val="16"/>
                    </w:rPr>
                  </w:pPr>
                  <w:r w:rsidRPr="006E3B9B">
                    <w:rPr>
                      <w:rFonts w:cs="Arial"/>
                      <w:color w:val="000000"/>
                      <w:sz w:val="16"/>
                      <w:szCs w:val="16"/>
                    </w:rPr>
                    <w:t>Spojené státy</w:t>
                  </w:r>
                  <w:r>
                    <w:rPr>
                      <w:rFonts w:cs="Arial"/>
                      <w:color w:val="000000"/>
                      <w:sz w:val="16"/>
                      <w:szCs w:val="16"/>
                    </w:rPr>
                    <w:t xml:space="preserve"> americké</w:t>
                  </w:r>
                </w:p>
              </w:tc>
              <w:tc>
                <w:tcPr>
                  <w:tcW w:w="700" w:type="dxa"/>
                  <w:tcBorders>
                    <w:top w:val="nil"/>
                    <w:left w:val="nil"/>
                    <w:bottom w:val="nil"/>
                    <w:right w:val="nil"/>
                  </w:tcBorders>
                  <w:noWrap/>
                  <w:vAlign w:val="bottom"/>
                  <w:hideMark/>
                </w:tcPr>
                <w:p w14:paraId="3EE02434" w14:textId="77777777" w:rsidR="00605D96" w:rsidRPr="006E3B9B" w:rsidRDefault="00605D96" w:rsidP="008B207B">
                  <w:pPr>
                    <w:spacing w:after="0" w:line="240" w:lineRule="auto"/>
                    <w:jc w:val="right"/>
                    <w:rPr>
                      <w:rFonts w:cs="Arial"/>
                      <w:color w:val="000000"/>
                      <w:sz w:val="16"/>
                      <w:szCs w:val="16"/>
                    </w:rPr>
                  </w:pPr>
                  <w:r>
                    <w:rPr>
                      <w:rFonts w:cs="Arial"/>
                      <w:color w:val="000000"/>
                      <w:sz w:val="16"/>
                      <w:szCs w:val="16"/>
                    </w:rPr>
                    <w:t>−</w:t>
                  </w:r>
                  <w:r w:rsidRPr="006E3B9B">
                    <w:rPr>
                      <w:rFonts w:cs="Arial"/>
                      <w:color w:val="000000"/>
                      <w:sz w:val="16"/>
                      <w:szCs w:val="16"/>
                    </w:rPr>
                    <w:t>3,5</w:t>
                  </w:r>
                </w:p>
              </w:tc>
            </w:tr>
            <w:tr w:rsidR="00605D96" w:rsidRPr="006E3B9B" w14:paraId="07F46725" w14:textId="77777777" w:rsidTr="008B207B">
              <w:trPr>
                <w:trHeight w:val="255"/>
              </w:trPr>
              <w:tc>
                <w:tcPr>
                  <w:tcW w:w="4071" w:type="dxa"/>
                  <w:tcBorders>
                    <w:top w:val="nil"/>
                    <w:left w:val="nil"/>
                    <w:bottom w:val="nil"/>
                    <w:right w:val="nil"/>
                  </w:tcBorders>
                  <w:noWrap/>
                  <w:vAlign w:val="bottom"/>
                  <w:hideMark/>
                </w:tcPr>
                <w:p w14:paraId="361DB4C8" w14:textId="77777777" w:rsidR="00605D96" w:rsidRPr="006E3B9B" w:rsidRDefault="00605D96" w:rsidP="008B207B">
                  <w:pPr>
                    <w:spacing w:after="0" w:line="240" w:lineRule="auto"/>
                    <w:jc w:val="left"/>
                    <w:rPr>
                      <w:rFonts w:cs="Arial"/>
                      <w:color w:val="000000"/>
                      <w:sz w:val="16"/>
                      <w:szCs w:val="16"/>
                    </w:rPr>
                  </w:pPr>
                  <w:r w:rsidRPr="006E3B9B">
                    <w:rPr>
                      <w:rFonts w:cs="Arial"/>
                      <w:color w:val="000000"/>
                      <w:sz w:val="16"/>
                      <w:szCs w:val="16"/>
                    </w:rPr>
                    <w:t>Norsko</w:t>
                  </w:r>
                </w:p>
              </w:tc>
              <w:tc>
                <w:tcPr>
                  <w:tcW w:w="700" w:type="dxa"/>
                  <w:tcBorders>
                    <w:top w:val="nil"/>
                    <w:left w:val="nil"/>
                    <w:bottom w:val="nil"/>
                    <w:right w:val="nil"/>
                  </w:tcBorders>
                  <w:noWrap/>
                  <w:vAlign w:val="bottom"/>
                  <w:hideMark/>
                </w:tcPr>
                <w:p w14:paraId="2CAD1B13" w14:textId="77777777" w:rsidR="00605D96" w:rsidRPr="006E3B9B" w:rsidRDefault="00605D96" w:rsidP="008B207B">
                  <w:pPr>
                    <w:spacing w:after="0" w:line="240" w:lineRule="auto"/>
                    <w:jc w:val="right"/>
                    <w:rPr>
                      <w:rFonts w:cs="Arial"/>
                      <w:color w:val="000000"/>
                      <w:sz w:val="16"/>
                      <w:szCs w:val="16"/>
                    </w:rPr>
                  </w:pPr>
                  <w:r>
                    <w:rPr>
                      <w:rFonts w:cs="Arial"/>
                      <w:color w:val="000000"/>
                      <w:sz w:val="16"/>
                      <w:szCs w:val="16"/>
                    </w:rPr>
                    <w:t>−</w:t>
                  </w:r>
                  <w:r w:rsidRPr="006E3B9B">
                    <w:rPr>
                      <w:rFonts w:cs="Arial"/>
                      <w:color w:val="000000"/>
                      <w:sz w:val="16"/>
                      <w:szCs w:val="16"/>
                    </w:rPr>
                    <w:t>5,7</w:t>
                  </w:r>
                </w:p>
              </w:tc>
            </w:tr>
          </w:tbl>
          <w:p w14:paraId="4625B59B" w14:textId="77777777" w:rsidR="00605D96" w:rsidRPr="0010385A" w:rsidRDefault="00605D96" w:rsidP="008B207B">
            <w:pPr>
              <w:spacing w:after="0"/>
              <w:rPr>
                <w:rFonts w:cs="Arial"/>
                <w:spacing w:val="-4"/>
                <w:sz w:val="16"/>
                <w:szCs w:val="16"/>
                <w:lang w:eastAsia="en-US"/>
              </w:rPr>
            </w:pPr>
          </w:p>
        </w:tc>
      </w:tr>
      <w:tr w:rsidR="00605D96" w14:paraId="3E0D9CF8" w14:textId="77777777" w:rsidTr="008B207B">
        <w:trPr>
          <w:trHeight w:val="170"/>
        </w:trPr>
        <w:tc>
          <w:tcPr>
            <w:tcW w:w="4811" w:type="dxa"/>
            <w:gridSpan w:val="3"/>
            <w:hideMark/>
          </w:tcPr>
          <w:p w14:paraId="4816FC54" w14:textId="77777777" w:rsidR="00605D96" w:rsidRDefault="00605D96" w:rsidP="008B207B">
            <w:pPr>
              <w:jc w:val="left"/>
              <w:rPr>
                <w:spacing w:val="-4"/>
                <w:sz w:val="16"/>
                <w:szCs w:val="16"/>
                <w:lang w:eastAsia="en-US"/>
              </w:rPr>
            </w:pPr>
            <w:r>
              <w:rPr>
                <w:spacing w:val="-4"/>
                <w:sz w:val="16"/>
                <w:szCs w:val="16"/>
                <w:lang w:eastAsia="en-US"/>
              </w:rPr>
              <w:t>Zdroj: ČSÚ</w:t>
            </w:r>
          </w:p>
        </w:tc>
        <w:tc>
          <w:tcPr>
            <w:tcW w:w="57" w:type="dxa"/>
          </w:tcPr>
          <w:p w14:paraId="34DB04D3" w14:textId="77777777" w:rsidR="00605D96" w:rsidRDefault="00605D96" w:rsidP="008B207B">
            <w:pPr>
              <w:spacing w:after="0"/>
              <w:rPr>
                <w:spacing w:val="-4"/>
                <w:lang w:eastAsia="en-US"/>
              </w:rPr>
            </w:pPr>
          </w:p>
        </w:tc>
        <w:tc>
          <w:tcPr>
            <w:tcW w:w="4809" w:type="dxa"/>
            <w:hideMark/>
          </w:tcPr>
          <w:p w14:paraId="5154D21E" w14:textId="77777777" w:rsidR="00605D96" w:rsidRDefault="00605D96" w:rsidP="008B207B">
            <w:pPr>
              <w:spacing w:after="0"/>
              <w:ind w:right="21"/>
              <w:jc w:val="left"/>
              <w:rPr>
                <w:spacing w:val="-4"/>
                <w:lang w:eastAsia="en-US"/>
              </w:rPr>
            </w:pPr>
            <w:r>
              <w:rPr>
                <w:spacing w:val="-4"/>
                <w:sz w:val="16"/>
                <w:szCs w:val="16"/>
                <w:lang w:eastAsia="en-US"/>
              </w:rPr>
              <w:t>Zdroj: ČSÚ</w:t>
            </w:r>
          </w:p>
        </w:tc>
      </w:tr>
      <w:tr w:rsidR="00605D96" w14:paraId="35AF6E96" w14:textId="77777777" w:rsidTr="008B207B">
        <w:trPr>
          <w:trHeight w:val="170"/>
        </w:trPr>
        <w:tc>
          <w:tcPr>
            <w:tcW w:w="1748" w:type="dxa"/>
          </w:tcPr>
          <w:p w14:paraId="2B4BA84B" w14:textId="77777777" w:rsidR="00605D96" w:rsidRDefault="00605D96" w:rsidP="008B207B">
            <w:pPr>
              <w:pStyle w:val="Marginlie"/>
              <w:rPr>
                <w:lang w:eastAsia="en-US"/>
              </w:rPr>
            </w:pPr>
            <w:r>
              <w:rPr>
                <w:lang w:eastAsia="en-US"/>
              </w:rPr>
              <w:t>Ve směru zlepšení bilance loni působil obchod s motorovými vozidly.</w:t>
            </w:r>
          </w:p>
        </w:tc>
        <w:tc>
          <w:tcPr>
            <w:tcW w:w="252" w:type="dxa"/>
          </w:tcPr>
          <w:p w14:paraId="108402B1" w14:textId="77777777" w:rsidR="00605D96" w:rsidRDefault="00605D96" w:rsidP="008B207B">
            <w:pPr>
              <w:pStyle w:val="Textpoznpodarou"/>
              <w:jc w:val="both"/>
              <w:rPr>
                <w:spacing w:val="-4"/>
                <w:lang w:eastAsia="en-US"/>
              </w:rPr>
            </w:pPr>
          </w:p>
        </w:tc>
        <w:tc>
          <w:tcPr>
            <w:tcW w:w="7677" w:type="dxa"/>
            <w:gridSpan w:val="3"/>
          </w:tcPr>
          <w:p w14:paraId="3367F1AE" w14:textId="77777777" w:rsidR="00605D96" w:rsidRPr="009A2AD3" w:rsidRDefault="00605D96" w:rsidP="008B207B">
            <w:pPr>
              <w:rPr>
                <w:rFonts w:cs="Arial"/>
                <w:color w:val="000000"/>
                <w:szCs w:val="20"/>
                <w:lang w:eastAsia="en-US"/>
              </w:rPr>
            </w:pPr>
            <w:r>
              <w:rPr>
                <w:rFonts w:cs="Arial"/>
                <w:color w:val="000000"/>
                <w:szCs w:val="20"/>
                <w:lang w:eastAsia="en-US"/>
              </w:rPr>
              <w:t xml:space="preserve">Ve směru zhoršení bilance zahraničního obchodu se zbožím loni nejvíce působil obchod s kovodělnými výrobky (−39,9 mld. korun) a elektrickými zařízeními (−30,8 mld.). Významně se zhoršilo také saldo obchodu s produkty zemědělství a myslivosti (−7,2 mld. korun) a chemickými látkami a přípravky (−7,3 mld.). Naproti tomu loni ve směru zlepšení bilance výrazně působil obchod s motorovými vozidly </w:t>
            </w:r>
            <w:r>
              <w:rPr>
                <w:rFonts w:cs="Arial"/>
                <w:color w:val="000000"/>
                <w:szCs w:val="20"/>
                <w:lang w:eastAsia="en-US"/>
              </w:rPr>
              <w:br/>
              <w:t xml:space="preserve">(+41,1 mld. korun), stroji a zařízeními (+15,1 mld.), koksem a rafinovanými ropnými produkty (12,9 mld.), počítači, elektronickými a optickými přístroji (+8,6 mld.), základními farmaceutickými výrobky a produkty (+5,3 mld.) a pryžovými a plastovými výrobky (+5,1 mld.). Celkové meziroční zlepšení bilance zahraničního obchodu se zbožím ve 4. čtvrtletí pozitivně ovlivnil především obchod s ropou a zemním plynem (viz Tabulka č. 5) a stroji a zařízeními. Menší zlepšení pak byla zachycena u obchodu </w:t>
            </w:r>
            <w:r>
              <w:rPr>
                <w:rFonts w:cs="Arial"/>
                <w:color w:val="000000"/>
                <w:szCs w:val="20"/>
                <w:lang w:eastAsia="en-US"/>
              </w:rPr>
              <w:lastRenderedPageBreak/>
              <w:t xml:space="preserve">s koksem a rafinovanými ropnými výrobky, základními kovy, motorovými vozidly nebo pryžovými a plastovými výrobky. Naopak se zhoršovalo saldo obchodu s elektrickými zařízeními, elektřinou, plynem, párou a klimatizovaným vzduchem, kovodělnými výrobky, ostatními dopravními prostředky a zařízeními nebo chemickými látkami </w:t>
            </w:r>
            <w:r>
              <w:rPr>
                <w:rFonts w:cs="Arial"/>
                <w:color w:val="000000"/>
                <w:szCs w:val="20"/>
                <w:lang w:eastAsia="en-US"/>
              </w:rPr>
              <w:br/>
              <w:t>a přípravky.</w:t>
            </w:r>
          </w:p>
        </w:tc>
      </w:tr>
      <w:tr w:rsidR="00605D96" w14:paraId="18B176EF" w14:textId="77777777" w:rsidTr="008B207B">
        <w:trPr>
          <w:trHeight w:val="170"/>
        </w:trPr>
        <w:tc>
          <w:tcPr>
            <w:tcW w:w="1748" w:type="dxa"/>
          </w:tcPr>
          <w:p w14:paraId="26324A2F" w14:textId="77777777" w:rsidR="00605D96" w:rsidRDefault="00605D96" w:rsidP="008B207B">
            <w:pPr>
              <w:pStyle w:val="Marginlie"/>
              <w:rPr>
                <w:lang w:eastAsia="en-US"/>
              </w:rPr>
            </w:pPr>
          </w:p>
        </w:tc>
        <w:tc>
          <w:tcPr>
            <w:tcW w:w="252" w:type="dxa"/>
          </w:tcPr>
          <w:p w14:paraId="7254B0CF" w14:textId="77777777" w:rsidR="00605D96" w:rsidRDefault="00605D96" w:rsidP="008B207B">
            <w:pPr>
              <w:pStyle w:val="Textpoznpodarou"/>
              <w:jc w:val="both"/>
              <w:rPr>
                <w:spacing w:val="-4"/>
                <w:lang w:eastAsia="en-US"/>
              </w:rPr>
            </w:pPr>
          </w:p>
        </w:tc>
        <w:tc>
          <w:tcPr>
            <w:tcW w:w="7677" w:type="dxa"/>
            <w:gridSpan w:val="3"/>
          </w:tcPr>
          <w:p w14:paraId="360FD6D5" w14:textId="7AD805A4" w:rsidR="00605D96" w:rsidRDefault="00605D96" w:rsidP="008B207B">
            <w:pPr>
              <w:spacing w:after="0"/>
              <w:rPr>
                <w:spacing w:val="-4"/>
                <w:lang w:eastAsia="en-US"/>
              </w:rPr>
            </w:pPr>
            <w:r>
              <w:rPr>
                <w:rFonts w:cs="Arial"/>
                <w:b/>
                <w:bCs/>
                <w:color w:val="000000"/>
                <w:szCs w:val="20"/>
                <w:lang w:eastAsia="en-US"/>
              </w:rPr>
              <w:t>Graf č. </w:t>
            </w:r>
            <w:r w:rsidR="00281666">
              <w:rPr>
                <w:rFonts w:cs="Arial"/>
                <w:b/>
                <w:bCs/>
                <w:color w:val="000000"/>
                <w:szCs w:val="20"/>
                <w:lang w:eastAsia="en-US"/>
              </w:rPr>
              <w:t>10</w:t>
            </w:r>
            <w:r>
              <w:rPr>
                <w:rFonts w:cs="Arial"/>
                <w:b/>
                <w:bCs/>
                <w:color w:val="000000"/>
                <w:szCs w:val="20"/>
                <w:lang w:eastAsia="en-US"/>
              </w:rPr>
              <w:t xml:space="preserve"> Vývoz a dovoz zboží </w:t>
            </w:r>
            <w:r>
              <w:rPr>
                <w:rFonts w:cs="Arial"/>
                <w:bCs/>
                <w:color w:val="000000"/>
                <w:szCs w:val="20"/>
                <w:lang w:eastAsia="en-US"/>
              </w:rPr>
              <w:t>(meziročně v %)</w:t>
            </w:r>
            <w:r>
              <w:rPr>
                <w:rFonts w:cs="Arial"/>
                <w:b/>
                <w:bCs/>
                <w:color w:val="000000"/>
                <w:szCs w:val="20"/>
                <w:lang w:eastAsia="en-US"/>
              </w:rPr>
              <w:t xml:space="preserve"> a bilance zahraničního obchodu se zbožím </w:t>
            </w:r>
            <w:r>
              <w:rPr>
                <w:rFonts w:cs="Arial"/>
                <w:bCs/>
                <w:color w:val="000000"/>
                <w:szCs w:val="20"/>
                <w:lang w:eastAsia="en-US"/>
              </w:rPr>
              <w:t>(v mld. korun, pravá osa)</w:t>
            </w:r>
            <w:r>
              <w:rPr>
                <w:rFonts w:cs="Arial"/>
                <w:b/>
                <w:bCs/>
                <w:color w:val="000000"/>
                <w:szCs w:val="20"/>
                <w:lang w:eastAsia="en-US"/>
              </w:rPr>
              <w:t xml:space="preserve"> </w:t>
            </w:r>
          </w:p>
        </w:tc>
      </w:tr>
      <w:tr w:rsidR="00605D96" w14:paraId="3904DEC6" w14:textId="77777777" w:rsidTr="008B207B">
        <w:tblPrEx>
          <w:tblCellMar>
            <w:left w:w="70" w:type="dxa"/>
            <w:right w:w="70" w:type="dxa"/>
          </w:tblCellMar>
        </w:tblPrEx>
        <w:trPr>
          <w:trHeight w:val="170"/>
        </w:trPr>
        <w:tc>
          <w:tcPr>
            <w:tcW w:w="1748" w:type="dxa"/>
            <w:vMerge w:val="restart"/>
          </w:tcPr>
          <w:p w14:paraId="6B2C6239" w14:textId="77777777" w:rsidR="00605D96" w:rsidRDefault="00605D96" w:rsidP="008B207B">
            <w:pPr>
              <w:pStyle w:val="Marginlie"/>
              <w:rPr>
                <w:lang w:eastAsia="en-US"/>
              </w:rPr>
            </w:pPr>
          </w:p>
        </w:tc>
        <w:tc>
          <w:tcPr>
            <w:tcW w:w="252" w:type="dxa"/>
            <w:vMerge w:val="restart"/>
          </w:tcPr>
          <w:p w14:paraId="20C115C7" w14:textId="77777777" w:rsidR="00605D96" w:rsidRDefault="00605D96" w:rsidP="008B207B">
            <w:pPr>
              <w:pStyle w:val="Textpoznpodarou"/>
              <w:jc w:val="both"/>
              <w:rPr>
                <w:spacing w:val="-4"/>
                <w:lang w:eastAsia="en-US"/>
              </w:rPr>
            </w:pPr>
          </w:p>
        </w:tc>
        <w:tc>
          <w:tcPr>
            <w:tcW w:w="7677" w:type="dxa"/>
            <w:gridSpan w:val="3"/>
          </w:tcPr>
          <w:p w14:paraId="2A6D2A84" w14:textId="77777777" w:rsidR="00605D96" w:rsidRDefault="00605D96" w:rsidP="008B207B">
            <w:pPr>
              <w:spacing w:after="0"/>
              <w:rPr>
                <w:spacing w:val="-4"/>
                <w:lang w:eastAsia="en-US"/>
              </w:rPr>
            </w:pPr>
            <w:r>
              <w:rPr>
                <w:noProof/>
              </w:rPr>
              <w:drawing>
                <wp:inline distT="0" distB="0" distL="0" distR="0" wp14:anchorId="4304186F" wp14:editId="0F2A33B8">
                  <wp:extent cx="4752000" cy="3492000"/>
                  <wp:effectExtent l="0" t="0" r="0" b="0"/>
                  <wp:docPr id="75796992" name="Graf 1">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605D96" w14:paraId="4FC096B4" w14:textId="77777777" w:rsidTr="008B207B">
        <w:trPr>
          <w:trHeight w:val="170"/>
        </w:trPr>
        <w:tc>
          <w:tcPr>
            <w:tcW w:w="1748" w:type="dxa"/>
            <w:vMerge/>
          </w:tcPr>
          <w:p w14:paraId="0AE31D16" w14:textId="77777777" w:rsidR="00605D96" w:rsidRDefault="00605D96" w:rsidP="008B207B">
            <w:pPr>
              <w:pStyle w:val="Marginlie"/>
              <w:rPr>
                <w:lang w:eastAsia="en-US"/>
              </w:rPr>
            </w:pPr>
          </w:p>
        </w:tc>
        <w:tc>
          <w:tcPr>
            <w:tcW w:w="252" w:type="dxa"/>
            <w:vMerge/>
          </w:tcPr>
          <w:p w14:paraId="45DF8F96" w14:textId="77777777" w:rsidR="00605D96" w:rsidRDefault="00605D96" w:rsidP="008B207B">
            <w:pPr>
              <w:pStyle w:val="Textpoznpodarou"/>
              <w:jc w:val="both"/>
              <w:rPr>
                <w:spacing w:val="-4"/>
                <w:lang w:eastAsia="en-US"/>
              </w:rPr>
            </w:pPr>
          </w:p>
        </w:tc>
        <w:tc>
          <w:tcPr>
            <w:tcW w:w="7677" w:type="dxa"/>
            <w:gridSpan w:val="3"/>
          </w:tcPr>
          <w:p w14:paraId="2C9448FB" w14:textId="77777777" w:rsidR="00605D96" w:rsidRDefault="00605D96" w:rsidP="008B207B">
            <w:pPr>
              <w:rPr>
                <w:spacing w:val="-4"/>
                <w:lang w:eastAsia="en-US"/>
              </w:rPr>
            </w:pPr>
            <w:r>
              <w:rPr>
                <w:sz w:val="16"/>
                <w:szCs w:val="16"/>
                <w:lang w:eastAsia="en-US"/>
              </w:rPr>
              <w:t>Zdroj: ČSÚ</w:t>
            </w:r>
          </w:p>
        </w:tc>
      </w:tr>
      <w:bookmarkEnd w:id="2"/>
      <w:bookmarkEnd w:id="3"/>
      <w:bookmarkEnd w:id="4"/>
    </w:tbl>
    <w:p w14:paraId="2A626935" w14:textId="77777777" w:rsidR="00605D96" w:rsidRDefault="00605D96" w:rsidP="00605D96">
      <w:pPr>
        <w:spacing w:after="0" w:line="240" w:lineRule="auto"/>
        <w:jc w:val="left"/>
        <w:rPr>
          <w:rFonts w:eastAsia="MS Gothic"/>
          <w:bCs/>
          <w:color w:val="71818C"/>
          <w:sz w:val="2"/>
          <w:szCs w:val="2"/>
        </w:rPr>
      </w:pPr>
    </w:p>
    <w:p w14:paraId="1C6AECB9" w14:textId="77777777" w:rsidR="00605D96" w:rsidRDefault="00605D96" w:rsidP="00605D96">
      <w:pPr>
        <w:spacing w:after="0" w:line="240" w:lineRule="auto"/>
        <w:jc w:val="left"/>
        <w:rPr>
          <w:rFonts w:eastAsia="MS Gothic"/>
          <w:b/>
          <w:bCs/>
          <w:color w:val="86BF5E"/>
          <w:sz w:val="32"/>
          <w:szCs w:val="28"/>
        </w:rPr>
      </w:pPr>
    </w:p>
    <w:p w14:paraId="4D084036" w14:textId="77777777" w:rsidR="00605D96" w:rsidRDefault="00605D96" w:rsidP="00605D96">
      <w:pPr>
        <w:spacing w:after="0" w:line="240" w:lineRule="auto"/>
        <w:jc w:val="left"/>
        <w:rPr>
          <w:rFonts w:eastAsia="MS Gothic"/>
          <w:bCs/>
          <w:color w:val="71818C"/>
          <w:sz w:val="2"/>
          <w:szCs w:val="2"/>
        </w:rPr>
      </w:pPr>
    </w:p>
    <w:p w14:paraId="50942AA3" w14:textId="77777777" w:rsidR="00605D96" w:rsidRPr="00C5418A" w:rsidRDefault="00605D96" w:rsidP="00605D96">
      <w:pPr>
        <w:spacing w:after="0" w:line="240" w:lineRule="auto"/>
        <w:jc w:val="left"/>
        <w:rPr>
          <w:rFonts w:eastAsia="MS Gothic"/>
          <w:b/>
          <w:bCs/>
          <w:color w:val="86BF5E"/>
          <w:sz w:val="32"/>
          <w:szCs w:val="28"/>
          <w:highlight w:val="yellow"/>
        </w:rPr>
      </w:pPr>
    </w:p>
    <w:p w14:paraId="3EBD19C5" w14:textId="5EE8B44D" w:rsidR="00605D96" w:rsidRDefault="00605D96">
      <w:pPr>
        <w:spacing w:after="0" w:line="240" w:lineRule="auto"/>
        <w:jc w:val="left"/>
        <w:rPr>
          <w:rFonts w:eastAsia="MS Gothic"/>
          <w:b/>
          <w:bCs/>
          <w:color w:val="86BF5E"/>
          <w:sz w:val="32"/>
          <w:szCs w:val="28"/>
        </w:rPr>
      </w:pPr>
    </w:p>
    <w:sectPr w:rsidR="00605D96" w:rsidSect="00830D59">
      <w:headerReference w:type="even" r:id="rId13"/>
      <w:headerReference w:type="default" r:id="rId14"/>
      <w:footerReference w:type="even" r:id="rId15"/>
      <w:footerReference w:type="default" r:id="rId16"/>
      <w:pgSz w:w="11906" w:h="16838" w:code="9"/>
      <w:pgMar w:top="1134" w:right="1134" w:bottom="1418" w:left="1134" w:header="680" w:footer="680" w:gutter="0"/>
      <w:pgNumType w:start="2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43611" w14:textId="77777777" w:rsidR="007B2239" w:rsidRDefault="007B2239" w:rsidP="00E71A58">
      <w:r>
        <w:separator/>
      </w:r>
    </w:p>
  </w:endnote>
  <w:endnote w:type="continuationSeparator" w:id="0">
    <w:p w14:paraId="44F1589B" w14:textId="77777777" w:rsidR="007B2239" w:rsidRDefault="007B2239"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362E7" w14:textId="6A50CB90" w:rsidR="004C456F" w:rsidRPr="00932443" w:rsidRDefault="004C456F" w:rsidP="00A418BC">
    <w:pPr>
      <w:pStyle w:val="Zpat"/>
      <w:rPr>
        <w:szCs w:val="16"/>
      </w:rPr>
    </w:pPr>
    <w:r>
      <w:rPr>
        <w:szCs w:val="16"/>
        <w:lang w:eastAsia="cs-CZ"/>
      </w:rPr>
      <w:drawing>
        <wp:anchor distT="0" distB="0" distL="114300" distR="114300" simplePos="0" relativeHeight="251658240" behindDoc="0" locked="0" layoutInCell="1" allowOverlap="1" wp14:anchorId="2143298A" wp14:editId="2143298B">
          <wp:simplePos x="0" y="0"/>
          <wp:positionH relativeFrom="column">
            <wp:align>right</wp:align>
          </wp:positionH>
          <wp:positionV relativeFrom="paragraph">
            <wp:posOffset>-64770</wp:posOffset>
          </wp:positionV>
          <wp:extent cx="428625" cy="201295"/>
          <wp:effectExtent l="0" t="0" r="3175" b="1905"/>
          <wp:wrapNone/>
          <wp:docPr id="21" name="Picture 15"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fldChar w:fldCharType="begin"/>
    </w:r>
    <w:r w:rsidRPr="00932443">
      <w:rPr>
        <w:szCs w:val="16"/>
      </w:rPr>
      <w:instrText>PAGE   \* MERGEFORMAT</w:instrText>
    </w:r>
    <w:r w:rsidRPr="00932443">
      <w:rPr>
        <w:szCs w:val="16"/>
      </w:rPr>
      <w:fldChar w:fldCharType="separate"/>
    </w:r>
    <w:r w:rsidR="00233D05">
      <w:rPr>
        <w:szCs w:val="16"/>
      </w:rPr>
      <w:t>50</w:t>
    </w:r>
    <w:r w:rsidRPr="00932443">
      <w:rPr>
        <w:szCs w:val="16"/>
      </w:rPr>
      <w:fldChar w:fldCharType="end"/>
    </w:r>
    <w:r w:rsidRPr="00932443">
      <w:rPr>
        <w:szCs w:val="16"/>
      </w:rPr>
      <w:tab/>
    </w:r>
    <w:r w:rsidR="00F25B4A">
      <w:rPr>
        <w:szCs w:val="16"/>
      </w:rPr>
      <w:t>rok</w:t>
    </w:r>
    <w:r w:rsidR="00C5418A">
      <w:rPr>
        <w:szCs w:val="16"/>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9" w14:textId="3DCC68EF" w:rsidR="004C456F" w:rsidRPr="00932443" w:rsidRDefault="004C456F" w:rsidP="00A418BC">
    <w:pPr>
      <w:pStyle w:val="Zpat"/>
      <w:rPr>
        <w:szCs w:val="16"/>
      </w:rPr>
    </w:pPr>
    <w:r>
      <w:rPr>
        <w:szCs w:val="16"/>
        <w:lang w:eastAsia="cs-CZ"/>
      </w:rPr>
      <w:drawing>
        <wp:anchor distT="0" distB="0" distL="114300" distR="114300" simplePos="0" relativeHeight="251657216" behindDoc="0" locked="0" layoutInCell="1" allowOverlap="1" wp14:anchorId="2143298C" wp14:editId="2143298D">
          <wp:simplePos x="0" y="0"/>
          <wp:positionH relativeFrom="column">
            <wp:align>left</wp:align>
          </wp:positionH>
          <wp:positionV relativeFrom="paragraph">
            <wp:posOffset>-122555</wp:posOffset>
          </wp:positionV>
          <wp:extent cx="510540" cy="272415"/>
          <wp:effectExtent l="0" t="0" r="0" b="6985"/>
          <wp:wrapNone/>
          <wp:docPr id="22" name="Picture 16" descr="CSU RG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tab/>
    </w:r>
    <w:r w:rsidR="00F25B4A">
      <w:rPr>
        <w:szCs w:val="16"/>
      </w:rPr>
      <w:t>rok</w:t>
    </w:r>
    <w:r>
      <w:rPr>
        <w:szCs w:val="16"/>
      </w:rPr>
      <w:t xml:space="preserve"> 2025</w:t>
    </w:r>
    <w:r w:rsidRPr="00932443">
      <w:rPr>
        <w:szCs w:val="16"/>
      </w:rPr>
      <w:tab/>
    </w:r>
    <w:r w:rsidRPr="00932443">
      <w:rPr>
        <w:rStyle w:val="ZpatChar"/>
        <w:szCs w:val="16"/>
      </w:rPr>
      <w:fldChar w:fldCharType="begin"/>
    </w:r>
    <w:r w:rsidRPr="00932443">
      <w:rPr>
        <w:rStyle w:val="ZpatChar"/>
        <w:szCs w:val="16"/>
      </w:rPr>
      <w:instrText>PAGE   \* MERGEFORMAT</w:instrText>
    </w:r>
    <w:r w:rsidRPr="00932443">
      <w:rPr>
        <w:rStyle w:val="ZpatChar"/>
        <w:szCs w:val="16"/>
      </w:rPr>
      <w:fldChar w:fldCharType="separate"/>
    </w:r>
    <w:r w:rsidR="00233D05">
      <w:rPr>
        <w:rStyle w:val="ZpatChar"/>
        <w:szCs w:val="16"/>
      </w:rPr>
      <w:t>49</w:t>
    </w:r>
    <w:r w:rsidRPr="00932443">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9EDF0" w14:textId="77777777" w:rsidR="007B2239" w:rsidRDefault="007B2239" w:rsidP="00EA4302">
      <w:pPr>
        <w:spacing w:after="0"/>
      </w:pPr>
      <w:r>
        <w:separator/>
      </w:r>
    </w:p>
  </w:footnote>
  <w:footnote w:type="continuationSeparator" w:id="0">
    <w:p w14:paraId="717D12E8" w14:textId="77777777" w:rsidR="007B2239" w:rsidRDefault="007B2239" w:rsidP="00E71A58">
      <w:r>
        <w:continuationSeparator/>
      </w:r>
    </w:p>
  </w:footnote>
  <w:footnote w:id="1">
    <w:p w14:paraId="610EC1B4" w14:textId="77777777" w:rsidR="00605D96" w:rsidRPr="001F1881" w:rsidRDefault="00605D96" w:rsidP="00605D96">
      <w:pPr>
        <w:pStyle w:val="Textpoznpodarou"/>
        <w:rPr>
          <w:rFonts w:cs="Arial"/>
          <w:iCs/>
          <w:sz w:val="16"/>
          <w:szCs w:val="16"/>
        </w:rPr>
      </w:pPr>
      <w:r w:rsidRPr="00B6522D">
        <w:rPr>
          <w:rStyle w:val="Znakapoznpodarou"/>
          <w:rFonts w:cs="Arial"/>
          <w:i/>
          <w:sz w:val="16"/>
          <w:szCs w:val="16"/>
        </w:rPr>
        <w:footnoteRef/>
      </w:r>
      <w:r w:rsidRPr="00B6522D">
        <w:rPr>
          <w:rFonts w:cs="Arial"/>
          <w:i/>
          <w:iCs/>
          <w:sz w:val="16"/>
          <w:szCs w:val="16"/>
        </w:rPr>
        <w:t xml:space="preserve"> </w:t>
      </w:r>
      <w:r w:rsidRPr="00B6522D">
        <w:rPr>
          <w:rStyle w:val="Zdraznn"/>
          <w:rFonts w:cs="Arial"/>
          <w:i w:val="0"/>
          <w:sz w:val="16"/>
          <w:szCs w:val="16"/>
          <w:bdr w:val="none" w:sz="0" w:space="0" w:color="auto" w:frame="1"/>
          <w:shd w:val="clear" w:color="auto" w:fill="FFFFFF"/>
        </w:rPr>
        <w:t>Údaje za zahraniční obchod se zbožím jsou od roku 2020 přepočítávány aktualizovanou metodou založenou na vyšší míře detailu, viz </w:t>
      </w:r>
      <w:hyperlink r:id="rId1" w:history="1">
        <w:r w:rsidRPr="005F1049">
          <w:rPr>
            <w:rStyle w:val="Hypertextovodkaz"/>
            <w:rFonts w:cs="Arial"/>
            <w:i/>
            <w:sz w:val="16"/>
            <w:szCs w:val="16"/>
            <w:bdr w:val="none" w:sz="0" w:space="0" w:color="auto" w:frame="1"/>
            <w:shd w:val="clear" w:color="auto" w:fill="FFFFFF"/>
          </w:rPr>
          <w:t>https://www.czso.cz/csu/czso/aktualizace-metody-propoctu-zahranicni-obchod-se-zbozim</w:t>
        </w:r>
      </w:hyperlink>
      <w:r>
        <w:rPr>
          <w:rFonts w:cs="Arial"/>
          <w:i/>
          <w:sz w:val="16"/>
          <w:szCs w:val="16"/>
          <w:bdr w:val="none" w:sz="0" w:space="0" w:color="auto" w:frame="1"/>
          <w:shd w:val="clear" w:color="auto" w:fill="FFFFFF"/>
        </w:rPr>
        <w:t>.</w:t>
      </w:r>
      <w:r>
        <w:rPr>
          <w:sz w:val="16"/>
          <w:szCs w:val="16"/>
        </w:rPr>
        <w:t xml:space="preserve"> N</w:t>
      </w:r>
      <w:r w:rsidRPr="00B6522D">
        <w:rPr>
          <w:sz w:val="16"/>
          <w:szCs w:val="16"/>
        </w:rPr>
        <w:t>ení-li uvedeno jinak, jsou všechny údaje</w:t>
      </w:r>
      <w:r w:rsidRPr="001F1881">
        <w:rPr>
          <w:sz w:val="16"/>
          <w:szCs w:val="16"/>
        </w:rPr>
        <w:t xml:space="preserve"> sezónně neočištěné a v běžných cenách.</w:t>
      </w:r>
    </w:p>
  </w:footnote>
  <w:footnote w:id="2">
    <w:p w14:paraId="0E2A0883" w14:textId="77777777" w:rsidR="00605D96" w:rsidRPr="007B30CA" w:rsidRDefault="00605D96" w:rsidP="00605D96">
      <w:pPr>
        <w:pStyle w:val="Textpoznpodarou"/>
        <w:rPr>
          <w:sz w:val="16"/>
          <w:szCs w:val="16"/>
        </w:rPr>
      </w:pPr>
      <w:r w:rsidRPr="00DF3884">
        <w:rPr>
          <w:rStyle w:val="Znakapoznpodarou"/>
          <w:sz w:val="16"/>
          <w:szCs w:val="16"/>
        </w:rPr>
        <w:footnoteRef/>
      </w:r>
      <w:r w:rsidRPr="00DF3884">
        <w:rPr>
          <w:sz w:val="16"/>
          <w:szCs w:val="16"/>
        </w:rPr>
        <w:t xml:space="preserve"> </w:t>
      </w:r>
      <w:r w:rsidRPr="0031401F">
        <w:rPr>
          <w:sz w:val="16"/>
          <w:szCs w:val="16"/>
        </w:rPr>
        <w:t xml:space="preserve">Ceny vývozu zboží za </w:t>
      </w:r>
      <w:r>
        <w:rPr>
          <w:sz w:val="16"/>
          <w:szCs w:val="16"/>
        </w:rPr>
        <w:t>rok 2025 klesly o 1,2 %. V samotném 4</w:t>
      </w:r>
      <w:r w:rsidRPr="0031401F">
        <w:rPr>
          <w:sz w:val="16"/>
          <w:szCs w:val="16"/>
        </w:rPr>
        <w:t xml:space="preserve">. čtvrtletí 2025 meziročně klesly o </w:t>
      </w:r>
      <w:r>
        <w:rPr>
          <w:sz w:val="16"/>
          <w:szCs w:val="16"/>
        </w:rPr>
        <w:t>4,2</w:t>
      </w:r>
      <w:r w:rsidRPr="0031401F">
        <w:rPr>
          <w:sz w:val="16"/>
          <w:szCs w:val="16"/>
        </w:rPr>
        <w:t xml:space="preserve"> % a mezičtvrtletně o </w:t>
      </w:r>
      <w:r>
        <w:rPr>
          <w:sz w:val="16"/>
          <w:szCs w:val="16"/>
        </w:rPr>
        <w:t>0,7</w:t>
      </w:r>
      <w:r w:rsidRPr="0031401F">
        <w:rPr>
          <w:sz w:val="16"/>
          <w:szCs w:val="16"/>
        </w:rPr>
        <w:t xml:space="preserve"> %.</w:t>
      </w:r>
      <w:r w:rsidRPr="007B30CA">
        <w:rPr>
          <w:sz w:val="16"/>
          <w:szCs w:val="16"/>
        </w:rPr>
        <w:t xml:space="preserve"> </w:t>
      </w:r>
    </w:p>
  </w:footnote>
  <w:footnote w:id="3">
    <w:p w14:paraId="7D952F33" w14:textId="77777777" w:rsidR="00605D96" w:rsidRDefault="00605D96" w:rsidP="00605D96">
      <w:pPr>
        <w:pStyle w:val="Textpoznpodarou"/>
      </w:pPr>
      <w:r w:rsidRPr="007B30CA">
        <w:rPr>
          <w:rStyle w:val="Znakapoznpodarou"/>
          <w:sz w:val="16"/>
          <w:szCs w:val="16"/>
        </w:rPr>
        <w:footnoteRef/>
      </w:r>
      <w:r w:rsidRPr="007B30CA">
        <w:rPr>
          <w:sz w:val="16"/>
          <w:szCs w:val="16"/>
        </w:rPr>
        <w:t xml:space="preserve"> </w:t>
      </w:r>
      <w:r>
        <w:rPr>
          <w:sz w:val="16"/>
          <w:szCs w:val="16"/>
        </w:rPr>
        <w:t xml:space="preserve">Efekt předzásobení v souvislosti s očekávaným zavedením cel na dovoz do USA se v českém kontextu </w:t>
      </w:r>
      <w:r w:rsidRPr="007B30CA">
        <w:rPr>
          <w:sz w:val="16"/>
          <w:szCs w:val="16"/>
        </w:rPr>
        <w:t>v letošním 1. kvartálu</w:t>
      </w:r>
      <w:r>
        <w:rPr>
          <w:sz w:val="16"/>
          <w:szCs w:val="16"/>
        </w:rPr>
        <w:t xml:space="preserve"> projevoval zejména na výrazném z</w:t>
      </w:r>
      <w:r w:rsidRPr="007B30CA">
        <w:rPr>
          <w:sz w:val="16"/>
          <w:szCs w:val="16"/>
        </w:rPr>
        <w:t xml:space="preserve">rychlení </w:t>
      </w:r>
      <w:r>
        <w:rPr>
          <w:sz w:val="16"/>
          <w:szCs w:val="16"/>
        </w:rPr>
        <w:t xml:space="preserve">meziročního </w:t>
      </w:r>
      <w:r w:rsidRPr="007B30CA">
        <w:rPr>
          <w:sz w:val="16"/>
          <w:szCs w:val="16"/>
        </w:rPr>
        <w:t xml:space="preserve">přírůstku </w:t>
      </w:r>
      <w:r>
        <w:rPr>
          <w:sz w:val="16"/>
          <w:szCs w:val="16"/>
        </w:rPr>
        <w:t>exportu zboží do Německa, které je největším evropským exportérem do USA. Česko je pro něj subdodavatelem. Ve 2. čtvrtletí se ale přírůstek českého vývozu do Německa prudce snížil. Samotný v</w:t>
      </w:r>
      <w:r w:rsidRPr="00D9672F">
        <w:rPr>
          <w:sz w:val="16"/>
          <w:szCs w:val="16"/>
        </w:rPr>
        <w:t xml:space="preserve">ývoz </w:t>
      </w:r>
      <w:r>
        <w:rPr>
          <w:sz w:val="16"/>
          <w:szCs w:val="16"/>
        </w:rPr>
        <w:br/>
      </w:r>
      <w:r w:rsidRPr="00D9672F">
        <w:rPr>
          <w:sz w:val="16"/>
          <w:szCs w:val="16"/>
        </w:rPr>
        <w:t xml:space="preserve">z Česka do USA </w:t>
      </w:r>
      <w:r>
        <w:rPr>
          <w:sz w:val="16"/>
          <w:szCs w:val="16"/>
        </w:rPr>
        <w:t xml:space="preserve">v roce 2024 </w:t>
      </w:r>
      <w:r w:rsidRPr="00D9672F">
        <w:rPr>
          <w:sz w:val="16"/>
          <w:szCs w:val="16"/>
        </w:rPr>
        <w:t>značně posiloval a letošní 1. kvartál na tento trend navázal.</w:t>
      </w:r>
      <w:r>
        <w:rPr>
          <w:sz w:val="16"/>
          <w:szCs w:val="16"/>
        </w:rPr>
        <w:t xml:space="preserve"> I zde došlo ke zvolnění dynamiky v dalších čtvrtletích.</w:t>
      </w:r>
    </w:p>
  </w:footnote>
  <w:footnote w:id="4">
    <w:p w14:paraId="5F40BEC5" w14:textId="77777777" w:rsidR="00605D96" w:rsidRPr="00797C9C" w:rsidRDefault="00605D96" w:rsidP="00605D96">
      <w:pPr>
        <w:pStyle w:val="Textpoznpodarou"/>
        <w:rPr>
          <w:sz w:val="16"/>
          <w:szCs w:val="16"/>
        </w:rPr>
      </w:pPr>
      <w:r w:rsidRPr="00797C9C">
        <w:rPr>
          <w:rStyle w:val="Znakapoznpodarou"/>
          <w:sz w:val="16"/>
          <w:szCs w:val="16"/>
        </w:rPr>
        <w:footnoteRef/>
      </w:r>
      <w:r w:rsidRPr="00797C9C">
        <w:rPr>
          <w:sz w:val="16"/>
          <w:szCs w:val="16"/>
        </w:rPr>
        <w:t xml:space="preserve"> Export do Velké Británie se loni zvýšil o 1,</w:t>
      </w:r>
      <w:r>
        <w:rPr>
          <w:sz w:val="16"/>
          <w:szCs w:val="16"/>
        </w:rPr>
        <w:t>1</w:t>
      </w:r>
      <w:r w:rsidRPr="00797C9C">
        <w:rPr>
          <w:sz w:val="16"/>
          <w:szCs w:val="16"/>
        </w:rPr>
        <w:t xml:space="preserve"> mld. korun po nárůstu o 40,9 mld. v roce 2024, do USA o </w:t>
      </w:r>
      <w:r>
        <w:rPr>
          <w:sz w:val="16"/>
          <w:szCs w:val="16"/>
        </w:rPr>
        <w:t>3,4</w:t>
      </w:r>
      <w:r w:rsidRPr="00797C9C">
        <w:rPr>
          <w:sz w:val="16"/>
          <w:szCs w:val="16"/>
        </w:rPr>
        <w:t xml:space="preserve"> mld. po navýšení o 21,4 mld. a </w:t>
      </w:r>
      <w:r>
        <w:rPr>
          <w:sz w:val="16"/>
          <w:szCs w:val="16"/>
        </w:rPr>
        <w:t xml:space="preserve">vývoz </w:t>
      </w:r>
      <w:r w:rsidRPr="00797C9C">
        <w:rPr>
          <w:sz w:val="16"/>
          <w:szCs w:val="16"/>
        </w:rPr>
        <w:t xml:space="preserve">do Singapuru </w:t>
      </w:r>
      <w:r>
        <w:rPr>
          <w:sz w:val="16"/>
          <w:szCs w:val="16"/>
        </w:rPr>
        <w:t>o 50 mil.</w:t>
      </w:r>
      <w:r w:rsidRPr="00797C9C">
        <w:rPr>
          <w:sz w:val="16"/>
          <w:szCs w:val="16"/>
        </w:rPr>
        <w:t xml:space="preserve"> po navýšení o 10,6 mld.</w:t>
      </w:r>
    </w:p>
  </w:footnote>
  <w:footnote w:id="5">
    <w:p w14:paraId="51E38686" w14:textId="77777777" w:rsidR="00605D96" w:rsidRPr="000A5229" w:rsidRDefault="00605D96" w:rsidP="00605D96">
      <w:pPr>
        <w:pStyle w:val="Textpoznpodarou"/>
        <w:rPr>
          <w:sz w:val="16"/>
          <w:szCs w:val="16"/>
        </w:rPr>
      </w:pPr>
      <w:r w:rsidRPr="00880676">
        <w:rPr>
          <w:rStyle w:val="Znakapoznpodarou"/>
          <w:sz w:val="16"/>
          <w:szCs w:val="16"/>
        </w:rPr>
        <w:footnoteRef/>
      </w:r>
      <w:r w:rsidRPr="00880676">
        <w:rPr>
          <w:sz w:val="16"/>
          <w:szCs w:val="16"/>
        </w:rPr>
        <w:t xml:space="preserve"> Ceny dovozu</w:t>
      </w:r>
      <w:r>
        <w:rPr>
          <w:sz w:val="16"/>
          <w:szCs w:val="16"/>
        </w:rPr>
        <w:t xml:space="preserve"> v roce 2025 klesly o 1,6 %. V</w:t>
      </w:r>
      <w:r w:rsidRPr="00880676">
        <w:rPr>
          <w:sz w:val="16"/>
          <w:szCs w:val="16"/>
        </w:rPr>
        <w:t xml:space="preserve">e </w:t>
      </w:r>
      <w:r>
        <w:rPr>
          <w:sz w:val="16"/>
          <w:szCs w:val="16"/>
        </w:rPr>
        <w:t>4</w:t>
      </w:r>
      <w:r w:rsidRPr="00880676">
        <w:rPr>
          <w:sz w:val="16"/>
          <w:szCs w:val="16"/>
        </w:rPr>
        <w:t xml:space="preserve">. čtvrtletí </w:t>
      </w:r>
      <w:r>
        <w:rPr>
          <w:sz w:val="16"/>
          <w:szCs w:val="16"/>
        </w:rPr>
        <w:t xml:space="preserve">byly </w:t>
      </w:r>
      <w:r w:rsidRPr="00880676">
        <w:rPr>
          <w:sz w:val="16"/>
          <w:szCs w:val="16"/>
        </w:rPr>
        <w:t xml:space="preserve">meziročně </w:t>
      </w:r>
      <w:r>
        <w:rPr>
          <w:sz w:val="16"/>
          <w:szCs w:val="16"/>
        </w:rPr>
        <w:t>nižší o 5,1 % a mezičtvrtletně o 1,1 %.</w:t>
      </w:r>
    </w:p>
  </w:footnote>
  <w:footnote w:id="6">
    <w:p w14:paraId="20AC9F4B" w14:textId="77777777" w:rsidR="00605D96" w:rsidRPr="00E65EF8" w:rsidRDefault="00605D96" w:rsidP="00605D96">
      <w:pPr>
        <w:pStyle w:val="Textpoznpodarou"/>
        <w:rPr>
          <w:sz w:val="16"/>
          <w:szCs w:val="16"/>
        </w:rPr>
      </w:pPr>
      <w:r w:rsidRPr="00E65EF8">
        <w:rPr>
          <w:rStyle w:val="Znakapoznpodarou"/>
          <w:sz w:val="16"/>
          <w:szCs w:val="16"/>
        </w:rPr>
        <w:footnoteRef/>
      </w:r>
      <w:r w:rsidRPr="00E65EF8">
        <w:rPr>
          <w:sz w:val="16"/>
          <w:szCs w:val="16"/>
        </w:rPr>
        <w:t xml:space="preserve"> </w:t>
      </w:r>
      <w:r>
        <w:rPr>
          <w:sz w:val="16"/>
          <w:szCs w:val="16"/>
        </w:rPr>
        <w:t xml:space="preserve">K nárůstu došlo zejména u </w:t>
      </w:r>
      <w:r w:rsidRPr="00E65EF8">
        <w:rPr>
          <w:sz w:val="16"/>
          <w:szCs w:val="16"/>
        </w:rPr>
        <w:t>zbran</w:t>
      </w:r>
      <w:r>
        <w:rPr>
          <w:sz w:val="16"/>
          <w:szCs w:val="16"/>
        </w:rPr>
        <w:t>í</w:t>
      </w:r>
      <w:r w:rsidRPr="00E65EF8">
        <w:rPr>
          <w:sz w:val="16"/>
          <w:szCs w:val="16"/>
        </w:rPr>
        <w:t xml:space="preserve"> a střeliv</w:t>
      </w:r>
      <w:r>
        <w:rPr>
          <w:sz w:val="16"/>
          <w:szCs w:val="16"/>
        </w:rPr>
        <w:t>a</w:t>
      </w:r>
      <w:r w:rsidRPr="00E65EF8">
        <w:rPr>
          <w:sz w:val="16"/>
          <w:szCs w:val="16"/>
        </w:rPr>
        <w:t>.</w:t>
      </w:r>
    </w:p>
  </w:footnote>
  <w:footnote w:id="7">
    <w:p w14:paraId="1967C735" w14:textId="77777777" w:rsidR="00605D96" w:rsidRPr="00370717" w:rsidRDefault="00605D96" w:rsidP="00605D96">
      <w:pPr>
        <w:pStyle w:val="Textpoznpodarou"/>
        <w:rPr>
          <w:sz w:val="16"/>
          <w:szCs w:val="16"/>
        </w:rPr>
      </w:pPr>
      <w:r w:rsidRPr="00370717">
        <w:rPr>
          <w:rStyle w:val="Znakapoznpodarou"/>
          <w:sz w:val="16"/>
          <w:szCs w:val="16"/>
        </w:rPr>
        <w:footnoteRef/>
      </w:r>
      <w:r w:rsidRPr="00370717">
        <w:rPr>
          <w:sz w:val="16"/>
          <w:szCs w:val="16"/>
        </w:rPr>
        <w:t xml:space="preserve"> </w:t>
      </w:r>
      <w:r>
        <w:rPr>
          <w:sz w:val="16"/>
          <w:szCs w:val="16"/>
        </w:rPr>
        <w:t>Ve zvýšené míře se dovážely baterie, zejména do elektromobilů.</w:t>
      </w:r>
    </w:p>
  </w:footnote>
  <w:footnote w:id="8">
    <w:p w14:paraId="3D51F041" w14:textId="77777777" w:rsidR="00605D96" w:rsidRPr="00624E14" w:rsidRDefault="00605D96" w:rsidP="00605D96">
      <w:pPr>
        <w:pStyle w:val="Textpoznpodarou"/>
        <w:rPr>
          <w:sz w:val="16"/>
          <w:szCs w:val="16"/>
        </w:rPr>
      </w:pPr>
      <w:r w:rsidRPr="00624E14">
        <w:rPr>
          <w:rStyle w:val="Znakapoznpodarou"/>
          <w:sz w:val="16"/>
          <w:szCs w:val="16"/>
        </w:rPr>
        <w:footnoteRef/>
      </w:r>
      <w:r w:rsidRPr="00624E14">
        <w:rPr>
          <w:sz w:val="16"/>
          <w:szCs w:val="16"/>
        </w:rPr>
        <w:t xml:space="preserve"> </w:t>
      </w:r>
      <w:r>
        <w:rPr>
          <w:sz w:val="16"/>
          <w:szCs w:val="16"/>
        </w:rPr>
        <w:t xml:space="preserve">Od začátku roku </w:t>
      </w:r>
      <w:r w:rsidRPr="00624E14">
        <w:rPr>
          <w:sz w:val="16"/>
          <w:szCs w:val="16"/>
        </w:rPr>
        <w:t>se vliv na bilanci u kategorie „nespecifikováno“</w:t>
      </w:r>
      <w:r>
        <w:rPr>
          <w:sz w:val="16"/>
          <w:szCs w:val="16"/>
        </w:rPr>
        <w:t xml:space="preserve"> zvyšoval</w:t>
      </w:r>
      <w:r w:rsidRPr="00624E14">
        <w:rPr>
          <w:sz w:val="16"/>
          <w:szCs w:val="16"/>
        </w:rPr>
        <w:t xml:space="preserve">. Zde byl zachycen zejména obchod s ropou </w:t>
      </w:r>
      <w:r>
        <w:rPr>
          <w:sz w:val="16"/>
          <w:szCs w:val="16"/>
        </w:rPr>
        <w:br/>
      </w:r>
      <w:r w:rsidRPr="00624E14">
        <w:rPr>
          <w:sz w:val="16"/>
          <w:szCs w:val="16"/>
        </w:rPr>
        <w:t xml:space="preserve">a zemním plynem, který nebylo možné teritoriálně zařadit. </w:t>
      </w:r>
    </w:p>
  </w:footnote>
  <w:footnote w:id="9">
    <w:p w14:paraId="0B7AC9B4" w14:textId="77777777" w:rsidR="00605D96" w:rsidRPr="00196047" w:rsidRDefault="00605D96" w:rsidP="00605D96">
      <w:pPr>
        <w:pStyle w:val="Textpoznpodarou"/>
        <w:rPr>
          <w:sz w:val="16"/>
          <w:szCs w:val="16"/>
        </w:rPr>
      </w:pPr>
      <w:r w:rsidRPr="00196047">
        <w:rPr>
          <w:rStyle w:val="Znakapoznpodarou"/>
          <w:sz w:val="16"/>
          <w:szCs w:val="16"/>
        </w:rPr>
        <w:footnoteRef/>
      </w:r>
      <w:r w:rsidRPr="00196047">
        <w:rPr>
          <w:sz w:val="16"/>
          <w:szCs w:val="16"/>
        </w:rPr>
        <w:t xml:space="preserve"> V případě nespecifikovaného původu zboží došlo ke zhoršení bilance o </w:t>
      </w:r>
      <w:r>
        <w:rPr>
          <w:sz w:val="16"/>
          <w:szCs w:val="16"/>
        </w:rPr>
        <w:t>3,4</w:t>
      </w:r>
      <w:r w:rsidRPr="00196047">
        <w:rPr>
          <w:sz w:val="16"/>
          <w:szCs w:val="16"/>
        </w:rPr>
        <w:t xml:space="preserve"> mld. korun.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6" w14:textId="3C11EE3B" w:rsidR="004C456F" w:rsidRPr="00C27E4F" w:rsidRDefault="004C456F" w:rsidP="00C27E4F">
    <w:pPr>
      <w:pStyle w:val="Zhlav"/>
    </w:pPr>
    <w:r>
      <w:t>Vývoj ekonomiky České republiky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7" w14:textId="4F78F164" w:rsidR="004C456F" w:rsidRPr="006F5416" w:rsidRDefault="004C456F" w:rsidP="00937AE2">
    <w:pPr>
      <w:pStyle w:val="Zhlav"/>
    </w:pPr>
    <w:r>
      <w:t>Vývoj ekonomiky České republiky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C5946"/>
    <w:multiLevelType w:val="hybridMultilevel"/>
    <w:tmpl w:val="4C1C2D78"/>
    <w:lvl w:ilvl="0" w:tplc="B01A56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95764B"/>
    <w:multiLevelType w:val="hybridMultilevel"/>
    <w:tmpl w:val="84788BC8"/>
    <w:lvl w:ilvl="0" w:tplc="1B96A2C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9D55121"/>
    <w:multiLevelType w:val="hybridMultilevel"/>
    <w:tmpl w:val="338E27C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0D361065"/>
    <w:multiLevelType w:val="hybridMultilevel"/>
    <w:tmpl w:val="991072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0E145AAD"/>
    <w:multiLevelType w:val="hybridMultilevel"/>
    <w:tmpl w:val="963044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8B35353"/>
    <w:multiLevelType w:val="multilevel"/>
    <w:tmpl w:val="1C0E9EAE"/>
    <w:name w:val="Analyza"/>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pStyle w:val="Nadpis5"/>
      <w:suff w:val="space"/>
      <w:lvlText w:val="%1.%2.%3.%4.%5"/>
      <w:lvlJc w:val="left"/>
      <w:pPr>
        <w:ind w:left="1008" w:hanging="1008"/>
      </w:pPr>
      <w:rPr>
        <w:rFonts w:hint="default"/>
      </w:rPr>
    </w:lvl>
    <w:lvl w:ilvl="5">
      <w:start w:val="1"/>
      <w:numFmt w:val="decimal"/>
      <w:pStyle w:val="Nadpis6"/>
      <w:suff w:val="space"/>
      <w:lvlText w:val="%1.%2.%3.%4.%5.%6"/>
      <w:lvlJc w:val="left"/>
      <w:pPr>
        <w:ind w:left="1152" w:hanging="1152"/>
      </w:pPr>
      <w:rPr>
        <w:rFonts w:hint="default"/>
      </w:rPr>
    </w:lvl>
    <w:lvl w:ilvl="6">
      <w:start w:val="1"/>
      <w:numFmt w:val="decimal"/>
      <w:pStyle w:val="Nadpis7"/>
      <w:suff w:val="space"/>
      <w:lvlText w:val="%1.%2.%3.%4.%5.%6.%7"/>
      <w:lvlJc w:val="left"/>
      <w:pPr>
        <w:ind w:left="1296" w:hanging="1296"/>
      </w:pPr>
      <w:rPr>
        <w:rFonts w:hint="default"/>
      </w:rPr>
    </w:lvl>
    <w:lvl w:ilvl="7">
      <w:start w:val="1"/>
      <w:numFmt w:val="decimal"/>
      <w:pStyle w:val="Nadpis8"/>
      <w:suff w:val="space"/>
      <w:lvlText w:val="%1.%2.%3.%4.%5.%6.%7.%8"/>
      <w:lvlJc w:val="left"/>
      <w:pPr>
        <w:ind w:left="1440" w:hanging="1440"/>
      </w:pPr>
      <w:rPr>
        <w:rFonts w:hint="default"/>
      </w:rPr>
    </w:lvl>
    <w:lvl w:ilvl="8">
      <w:start w:val="1"/>
      <w:numFmt w:val="decimal"/>
      <w:pStyle w:val="Nadpis9"/>
      <w:suff w:val="space"/>
      <w:lvlText w:val="%1.%2.%3.%4.%5.%6.%7.%8.%9"/>
      <w:lvlJc w:val="left"/>
      <w:pPr>
        <w:ind w:left="1584" w:hanging="1584"/>
      </w:pPr>
      <w:rPr>
        <w:rFonts w:hint="default"/>
      </w:rPr>
    </w:lvl>
  </w:abstractNum>
  <w:abstractNum w:abstractNumId="16" w15:restartNumberingAfterBreak="0">
    <w:nsid w:val="1E462C8E"/>
    <w:multiLevelType w:val="hybridMultilevel"/>
    <w:tmpl w:val="84B464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2C64F20"/>
    <w:multiLevelType w:val="hybridMultilevel"/>
    <w:tmpl w:val="ADE25A6C"/>
    <w:lvl w:ilvl="0" w:tplc="04050001">
      <w:start w:val="1"/>
      <w:numFmt w:val="bullet"/>
      <w:lvlText w:val=""/>
      <w:lvlJc w:val="left"/>
      <w:pPr>
        <w:ind w:left="363"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8352333"/>
    <w:multiLevelType w:val="multilevel"/>
    <w:tmpl w:val="D0ACFA4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28DA62F8"/>
    <w:multiLevelType w:val="hybridMultilevel"/>
    <w:tmpl w:val="419C87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A5A7A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C2420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D106E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11355C0"/>
    <w:multiLevelType w:val="multilevel"/>
    <w:tmpl w:val="697E8BE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39914012"/>
    <w:multiLevelType w:val="multilevel"/>
    <w:tmpl w:val="F380F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C7C1667"/>
    <w:multiLevelType w:val="hybridMultilevel"/>
    <w:tmpl w:val="735E7570"/>
    <w:lvl w:ilvl="0" w:tplc="5588AF8E">
      <w:start w:val="1"/>
      <w:numFmt w:val="decimal"/>
      <w:lvlText w:val="%1."/>
      <w:lvlJc w:val="left"/>
      <w:pPr>
        <w:ind w:left="4800" w:hanging="360"/>
      </w:pPr>
      <w:rPr>
        <w:rFonts w:hint="default"/>
      </w:rPr>
    </w:lvl>
    <w:lvl w:ilvl="1" w:tplc="04050019" w:tentative="1">
      <w:start w:val="1"/>
      <w:numFmt w:val="lowerLetter"/>
      <w:lvlText w:val="%2."/>
      <w:lvlJc w:val="left"/>
      <w:pPr>
        <w:ind w:left="5520" w:hanging="360"/>
      </w:pPr>
    </w:lvl>
    <w:lvl w:ilvl="2" w:tplc="0405001B" w:tentative="1">
      <w:start w:val="1"/>
      <w:numFmt w:val="lowerRoman"/>
      <w:lvlText w:val="%3."/>
      <w:lvlJc w:val="right"/>
      <w:pPr>
        <w:ind w:left="6240" w:hanging="180"/>
      </w:pPr>
    </w:lvl>
    <w:lvl w:ilvl="3" w:tplc="0405000F" w:tentative="1">
      <w:start w:val="1"/>
      <w:numFmt w:val="decimal"/>
      <w:lvlText w:val="%4."/>
      <w:lvlJc w:val="left"/>
      <w:pPr>
        <w:ind w:left="6960" w:hanging="360"/>
      </w:pPr>
    </w:lvl>
    <w:lvl w:ilvl="4" w:tplc="04050019" w:tentative="1">
      <w:start w:val="1"/>
      <w:numFmt w:val="lowerLetter"/>
      <w:lvlText w:val="%5."/>
      <w:lvlJc w:val="left"/>
      <w:pPr>
        <w:ind w:left="7680" w:hanging="360"/>
      </w:pPr>
    </w:lvl>
    <w:lvl w:ilvl="5" w:tplc="0405001B" w:tentative="1">
      <w:start w:val="1"/>
      <w:numFmt w:val="lowerRoman"/>
      <w:lvlText w:val="%6."/>
      <w:lvlJc w:val="right"/>
      <w:pPr>
        <w:ind w:left="8400" w:hanging="180"/>
      </w:pPr>
    </w:lvl>
    <w:lvl w:ilvl="6" w:tplc="0405000F" w:tentative="1">
      <w:start w:val="1"/>
      <w:numFmt w:val="decimal"/>
      <w:lvlText w:val="%7."/>
      <w:lvlJc w:val="left"/>
      <w:pPr>
        <w:ind w:left="9120" w:hanging="360"/>
      </w:pPr>
    </w:lvl>
    <w:lvl w:ilvl="7" w:tplc="04050019" w:tentative="1">
      <w:start w:val="1"/>
      <w:numFmt w:val="lowerLetter"/>
      <w:lvlText w:val="%8."/>
      <w:lvlJc w:val="left"/>
      <w:pPr>
        <w:ind w:left="9840" w:hanging="360"/>
      </w:pPr>
    </w:lvl>
    <w:lvl w:ilvl="8" w:tplc="0405001B" w:tentative="1">
      <w:start w:val="1"/>
      <w:numFmt w:val="lowerRoman"/>
      <w:lvlText w:val="%9."/>
      <w:lvlJc w:val="right"/>
      <w:pPr>
        <w:ind w:left="10560" w:hanging="180"/>
      </w:pPr>
    </w:lvl>
  </w:abstractNum>
  <w:abstractNum w:abstractNumId="27" w15:restartNumberingAfterBreak="0">
    <w:nsid w:val="3D4D0562"/>
    <w:multiLevelType w:val="hybridMultilevel"/>
    <w:tmpl w:val="E8A8F2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3BB1D16"/>
    <w:multiLevelType w:val="hybridMultilevel"/>
    <w:tmpl w:val="CA4409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44558D6"/>
    <w:multiLevelType w:val="hybridMultilevel"/>
    <w:tmpl w:val="1B90B8E0"/>
    <w:lvl w:ilvl="0" w:tplc="4B66ED1E">
      <w:start w:val="1"/>
      <w:numFmt w:val="decimal"/>
      <w:lvlText w:val="%1."/>
      <w:lvlJc w:val="left"/>
      <w:pPr>
        <w:ind w:left="4905" w:hanging="360"/>
      </w:pPr>
      <w:rPr>
        <w:rFonts w:hint="default"/>
      </w:rPr>
    </w:lvl>
    <w:lvl w:ilvl="1" w:tplc="04050019" w:tentative="1">
      <w:start w:val="1"/>
      <w:numFmt w:val="lowerLetter"/>
      <w:lvlText w:val="%2."/>
      <w:lvlJc w:val="left"/>
      <w:pPr>
        <w:ind w:left="5625" w:hanging="360"/>
      </w:pPr>
    </w:lvl>
    <w:lvl w:ilvl="2" w:tplc="0405001B" w:tentative="1">
      <w:start w:val="1"/>
      <w:numFmt w:val="lowerRoman"/>
      <w:lvlText w:val="%3."/>
      <w:lvlJc w:val="right"/>
      <w:pPr>
        <w:ind w:left="6345" w:hanging="180"/>
      </w:pPr>
    </w:lvl>
    <w:lvl w:ilvl="3" w:tplc="0405000F" w:tentative="1">
      <w:start w:val="1"/>
      <w:numFmt w:val="decimal"/>
      <w:lvlText w:val="%4."/>
      <w:lvlJc w:val="left"/>
      <w:pPr>
        <w:ind w:left="7065" w:hanging="360"/>
      </w:pPr>
    </w:lvl>
    <w:lvl w:ilvl="4" w:tplc="04050019" w:tentative="1">
      <w:start w:val="1"/>
      <w:numFmt w:val="lowerLetter"/>
      <w:lvlText w:val="%5."/>
      <w:lvlJc w:val="left"/>
      <w:pPr>
        <w:ind w:left="7785" w:hanging="360"/>
      </w:pPr>
    </w:lvl>
    <w:lvl w:ilvl="5" w:tplc="0405001B" w:tentative="1">
      <w:start w:val="1"/>
      <w:numFmt w:val="lowerRoman"/>
      <w:lvlText w:val="%6."/>
      <w:lvlJc w:val="right"/>
      <w:pPr>
        <w:ind w:left="8505" w:hanging="180"/>
      </w:pPr>
    </w:lvl>
    <w:lvl w:ilvl="6" w:tplc="0405000F" w:tentative="1">
      <w:start w:val="1"/>
      <w:numFmt w:val="decimal"/>
      <w:lvlText w:val="%7."/>
      <w:lvlJc w:val="left"/>
      <w:pPr>
        <w:ind w:left="9225" w:hanging="360"/>
      </w:pPr>
    </w:lvl>
    <w:lvl w:ilvl="7" w:tplc="04050019" w:tentative="1">
      <w:start w:val="1"/>
      <w:numFmt w:val="lowerLetter"/>
      <w:lvlText w:val="%8."/>
      <w:lvlJc w:val="left"/>
      <w:pPr>
        <w:ind w:left="9945" w:hanging="360"/>
      </w:pPr>
    </w:lvl>
    <w:lvl w:ilvl="8" w:tplc="0405001B" w:tentative="1">
      <w:start w:val="1"/>
      <w:numFmt w:val="lowerRoman"/>
      <w:lvlText w:val="%9."/>
      <w:lvlJc w:val="right"/>
      <w:pPr>
        <w:ind w:left="10665" w:hanging="180"/>
      </w:pPr>
    </w:lvl>
  </w:abstractNum>
  <w:abstractNum w:abstractNumId="30" w15:restartNumberingAfterBreak="0">
    <w:nsid w:val="479678F7"/>
    <w:multiLevelType w:val="hybridMultilevel"/>
    <w:tmpl w:val="A4DE7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95051A8"/>
    <w:multiLevelType w:val="hybridMultilevel"/>
    <w:tmpl w:val="DEACEA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ADA4287"/>
    <w:multiLevelType w:val="multilevel"/>
    <w:tmpl w:val="1C0E9EAE"/>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4"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E490F3B"/>
    <w:multiLevelType w:val="hybridMultilevel"/>
    <w:tmpl w:val="D64CB604"/>
    <w:lvl w:ilvl="0" w:tplc="67AC8A1C">
      <w:start w:val="1"/>
      <w:numFmt w:val="bullet"/>
      <w:lvlText w:val=""/>
      <w:lvlJc w:val="left"/>
      <w:pPr>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655F88"/>
    <w:multiLevelType w:val="hybridMultilevel"/>
    <w:tmpl w:val="70283F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38567A6"/>
    <w:multiLevelType w:val="hybridMultilevel"/>
    <w:tmpl w:val="50E0FC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8CB210F"/>
    <w:multiLevelType w:val="multilevel"/>
    <w:tmpl w:val="D64CB604"/>
    <w:lvl w:ilvl="0">
      <w:start w:val="1"/>
      <w:numFmt w:val="bullet"/>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CD405E1"/>
    <w:multiLevelType w:val="multilevel"/>
    <w:tmpl w:val="5FCA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EF3AA7"/>
    <w:multiLevelType w:val="multilevel"/>
    <w:tmpl w:val="9092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B048D2"/>
    <w:multiLevelType w:val="hybridMultilevel"/>
    <w:tmpl w:val="D2A0FC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87747AF"/>
    <w:multiLevelType w:val="hybridMultilevel"/>
    <w:tmpl w:val="76204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651B2D"/>
    <w:multiLevelType w:val="hybridMultilevel"/>
    <w:tmpl w:val="858498FC"/>
    <w:lvl w:ilvl="0" w:tplc="B4A838D0">
      <w:start w:val="1"/>
      <w:numFmt w:val="bullet"/>
      <w:pStyle w:val="Normalodrka"/>
      <w:lvlText w:val=""/>
      <w:lvlJc w:val="left"/>
      <w:pPr>
        <w:ind w:left="363"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DA7946"/>
    <w:multiLevelType w:val="multilevel"/>
    <w:tmpl w:val="6F3E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8E301A"/>
    <w:multiLevelType w:val="hybridMultilevel"/>
    <w:tmpl w:val="1A92D7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694960533">
    <w:abstractNumId w:val="31"/>
  </w:num>
  <w:num w:numId="2" w16cid:durableId="997685702">
    <w:abstractNumId w:val="8"/>
  </w:num>
  <w:num w:numId="3" w16cid:durableId="2038313518">
    <w:abstractNumId w:val="3"/>
  </w:num>
  <w:num w:numId="4" w16cid:durableId="331031531">
    <w:abstractNumId w:val="2"/>
  </w:num>
  <w:num w:numId="5" w16cid:durableId="1757743337">
    <w:abstractNumId w:val="1"/>
  </w:num>
  <w:num w:numId="6" w16cid:durableId="409816451">
    <w:abstractNumId w:val="0"/>
  </w:num>
  <w:num w:numId="7" w16cid:durableId="1318534121">
    <w:abstractNumId w:val="9"/>
  </w:num>
  <w:num w:numId="8" w16cid:durableId="262305282">
    <w:abstractNumId w:val="7"/>
  </w:num>
  <w:num w:numId="9" w16cid:durableId="136917715">
    <w:abstractNumId w:val="6"/>
  </w:num>
  <w:num w:numId="10" w16cid:durableId="2045862263">
    <w:abstractNumId w:val="5"/>
  </w:num>
  <w:num w:numId="11" w16cid:durableId="191305307">
    <w:abstractNumId w:val="4"/>
  </w:num>
  <w:num w:numId="12" w16cid:durableId="333654438">
    <w:abstractNumId w:val="18"/>
  </w:num>
  <w:num w:numId="13" w16cid:durableId="969557016">
    <w:abstractNumId w:val="34"/>
  </w:num>
  <w:num w:numId="14" w16cid:durableId="607392429">
    <w:abstractNumId w:val="15"/>
  </w:num>
  <w:num w:numId="15" w16cid:durableId="1953782534">
    <w:abstractNumId w:val="24"/>
  </w:num>
  <w:num w:numId="16" w16cid:durableId="2048219208">
    <w:abstractNumId w:val="19"/>
  </w:num>
  <w:num w:numId="17" w16cid:durableId="684745295">
    <w:abstractNumId w:val="35"/>
  </w:num>
  <w:num w:numId="18" w16cid:durableId="1764376373">
    <w:abstractNumId w:val="25"/>
  </w:num>
  <w:num w:numId="19" w16cid:durableId="807280038">
    <w:abstractNumId w:val="38"/>
  </w:num>
  <w:num w:numId="20" w16cid:durableId="1692685976">
    <w:abstractNumId w:val="43"/>
  </w:num>
  <w:num w:numId="21" w16cid:durableId="1978029892">
    <w:abstractNumId w:val="33"/>
  </w:num>
  <w:num w:numId="22" w16cid:durableId="718896653">
    <w:abstractNumId w:val="23"/>
  </w:num>
  <w:num w:numId="23" w16cid:durableId="159078720">
    <w:abstractNumId w:val="21"/>
  </w:num>
  <w:num w:numId="24" w16cid:durableId="1135441192">
    <w:abstractNumId w:val="22"/>
  </w:num>
  <w:num w:numId="25" w16cid:durableId="1815366340">
    <w:abstractNumId w:val="41"/>
  </w:num>
  <w:num w:numId="26" w16cid:durableId="1577863405">
    <w:abstractNumId w:val="42"/>
  </w:num>
  <w:num w:numId="27" w16cid:durableId="223610688">
    <w:abstractNumId w:val="43"/>
  </w:num>
  <w:num w:numId="28" w16cid:durableId="1207061094">
    <w:abstractNumId w:val="13"/>
  </w:num>
  <w:num w:numId="29" w16cid:durableId="1693920833">
    <w:abstractNumId w:val="27"/>
  </w:num>
  <w:num w:numId="30" w16cid:durableId="1876775477">
    <w:abstractNumId w:val="26"/>
  </w:num>
  <w:num w:numId="31" w16cid:durableId="179972127">
    <w:abstractNumId w:val="10"/>
  </w:num>
  <w:num w:numId="32" w16cid:durableId="970136012">
    <w:abstractNumId w:val="28"/>
  </w:num>
  <w:num w:numId="33" w16cid:durableId="1617836376">
    <w:abstractNumId w:val="12"/>
  </w:num>
  <w:num w:numId="34" w16cid:durableId="357007340">
    <w:abstractNumId w:val="45"/>
  </w:num>
  <w:num w:numId="35" w16cid:durableId="2131776467">
    <w:abstractNumId w:val="11"/>
  </w:num>
  <w:num w:numId="36" w16cid:durableId="1776095800">
    <w:abstractNumId w:val="37"/>
  </w:num>
  <w:num w:numId="37" w16cid:durableId="862209000">
    <w:abstractNumId w:val="30"/>
  </w:num>
  <w:num w:numId="38" w16cid:durableId="322010878">
    <w:abstractNumId w:val="29"/>
  </w:num>
  <w:num w:numId="39" w16cid:durableId="1458373311">
    <w:abstractNumId w:val="39"/>
  </w:num>
  <w:num w:numId="40" w16cid:durableId="288441997">
    <w:abstractNumId w:val="44"/>
  </w:num>
  <w:num w:numId="41" w16cid:durableId="952595072">
    <w:abstractNumId w:val="40"/>
  </w:num>
  <w:num w:numId="42" w16cid:durableId="1427652868">
    <w:abstractNumId w:val="32"/>
  </w:num>
  <w:num w:numId="43" w16cid:durableId="1024401835">
    <w:abstractNumId w:val="20"/>
  </w:num>
  <w:num w:numId="44" w16cid:durableId="428089243">
    <w:abstractNumId w:val="14"/>
  </w:num>
  <w:num w:numId="45" w16cid:durableId="82647767">
    <w:abstractNumId w:val="36"/>
  </w:num>
  <w:num w:numId="46" w16cid:durableId="215163427">
    <w:abstractNumId w:val="16"/>
  </w:num>
  <w:num w:numId="47" w16cid:durableId="222064403">
    <w:abstractNumId w:val="43"/>
  </w:num>
  <w:num w:numId="48" w16cid:durableId="1639922006">
    <w:abstractNumId w:val="43"/>
    <w:lvlOverride w:ilvl="0">
      <w:startOverride w:val="1"/>
    </w:lvlOverride>
  </w:num>
  <w:num w:numId="49" w16cid:durableId="15091015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50">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062"/>
    <w:rsid w:val="0000209D"/>
    <w:rsid w:val="00004D5A"/>
    <w:rsid w:val="000056D5"/>
    <w:rsid w:val="00006ABD"/>
    <w:rsid w:val="0000767A"/>
    <w:rsid w:val="00010256"/>
    <w:rsid w:val="00010702"/>
    <w:rsid w:val="00011912"/>
    <w:rsid w:val="00011F39"/>
    <w:rsid w:val="00017058"/>
    <w:rsid w:val="0001750B"/>
    <w:rsid w:val="0002195D"/>
    <w:rsid w:val="000234D6"/>
    <w:rsid w:val="00023D29"/>
    <w:rsid w:val="00026389"/>
    <w:rsid w:val="00031AE0"/>
    <w:rsid w:val="000322EF"/>
    <w:rsid w:val="00033FCD"/>
    <w:rsid w:val="000347D3"/>
    <w:rsid w:val="00040D10"/>
    <w:rsid w:val="00041CEC"/>
    <w:rsid w:val="0004694F"/>
    <w:rsid w:val="000522E4"/>
    <w:rsid w:val="00054EA4"/>
    <w:rsid w:val="00055507"/>
    <w:rsid w:val="000610E1"/>
    <w:rsid w:val="00062EC5"/>
    <w:rsid w:val="00062F22"/>
    <w:rsid w:val="000673C2"/>
    <w:rsid w:val="000712B3"/>
    <w:rsid w:val="00073A4E"/>
    <w:rsid w:val="0008263E"/>
    <w:rsid w:val="000829B1"/>
    <w:rsid w:val="00082C19"/>
    <w:rsid w:val="00085395"/>
    <w:rsid w:val="00087634"/>
    <w:rsid w:val="00087F2B"/>
    <w:rsid w:val="000912CC"/>
    <w:rsid w:val="00092201"/>
    <w:rsid w:val="00095135"/>
    <w:rsid w:val="000974D1"/>
    <w:rsid w:val="0009799E"/>
    <w:rsid w:val="000A1183"/>
    <w:rsid w:val="000A256D"/>
    <w:rsid w:val="000A395A"/>
    <w:rsid w:val="000A3A2C"/>
    <w:rsid w:val="000A5265"/>
    <w:rsid w:val="000A57D4"/>
    <w:rsid w:val="000B3CE2"/>
    <w:rsid w:val="000B7C8D"/>
    <w:rsid w:val="000C004E"/>
    <w:rsid w:val="000C2CF1"/>
    <w:rsid w:val="000C3408"/>
    <w:rsid w:val="000C6AFD"/>
    <w:rsid w:val="000C7C6F"/>
    <w:rsid w:val="000D1B52"/>
    <w:rsid w:val="000D3CE8"/>
    <w:rsid w:val="000D5637"/>
    <w:rsid w:val="000E15EA"/>
    <w:rsid w:val="000E22F0"/>
    <w:rsid w:val="000E6FBD"/>
    <w:rsid w:val="000F49A9"/>
    <w:rsid w:val="00100F5C"/>
    <w:rsid w:val="00101CDA"/>
    <w:rsid w:val="00102C41"/>
    <w:rsid w:val="00104C4C"/>
    <w:rsid w:val="00107F50"/>
    <w:rsid w:val="00117623"/>
    <w:rsid w:val="0012096D"/>
    <w:rsid w:val="0012192F"/>
    <w:rsid w:val="001224E5"/>
    <w:rsid w:val="00124940"/>
    <w:rsid w:val="00125D69"/>
    <w:rsid w:val="001405FA"/>
    <w:rsid w:val="00142254"/>
    <w:rsid w:val="001425C3"/>
    <w:rsid w:val="001476BD"/>
    <w:rsid w:val="00151983"/>
    <w:rsid w:val="00153D91"/>
    <w:rsid w:val="001612F4"/>
    <w:rsid w:val="00161AB8"/>
    <w:rsid w:val="0016256B"/>
    <w:rsid w:val="001625B5"/>
    <w:rsid w:val="00163793"/>
    <w:rsid w:val="0016649F"/>
    <w:rsid w:val="00170621"/>
    <w:rsid w:val="001706D6"/>
    <w:rsid w:val="001714F2"/>
    <w:rsid w:val="00175B9F"/>
    <w:rsid w:val="00175C9E"/>
    <w:rsid w:val="00181BBC"/>
    <w:rsid w:val="00184B08"/>
    <w:rsid w:val="00185010"/>
    <w:rsid w:val="0019143B"/>
    <w:rsid w:val="001A0487"/>
    <w:rsid w:val="001A108E"/>
    <w:rsid w:val="001A4CA3"/>
    <w:rsid w:val="001A552F"/>
    <w:rsid w:val="001A5B6F"/>
    <w:rsid w:val="001A6170"/>
    <w:rsid w:val="001A7280"/>
    <w:rsid w:val="001B2CA9"/>
    <w:rsid w:val="001B3110"/>
    <w:rsid w:val="001B4729"/>
    <w:rsid w:val="001B6310"/>
    <w:rsid w:val="001B6C09"/>
    <w:rsid w:val="001B73E6"/>
    <w:rsid w:val="001C05CD"/>
    <w:rsid w:val="001C3924"/>
    <w:rsid w:val="001D1815"/>
    <w:rsid w:val="001D40D7"/>
    <w:rsid w:val="001D48D4"/>
    <w:rsid w:val="001D68B2"/>
    <w:rsid w:val="001E1C2E"/>
    <w:rsid w:val="001E504C"/>
    <w:rsid w:val="001E5850"/>
    <w:rsid w:val="001E6062"/>
    <w:rsid w:val="001E6753"/>
    <w:rsid w:val="001F4597"/>
    <w:rsid w:val="00203DA4"/>
    <w:rsid w:val="00207871"/>
    <w:rsid w:val="002118B9"/>
    <w:rsid w:val="00213E46"/>
    <w:rsid w:val="00214CF7"/>
    <w:rsid w:val="002152E4"/>
    <w:rsid w:val="00216286"/>
    <w:rsid w:val="00216A01"/>
    <w:rsid w:val="002175EA"/>
    <w:rsid w:val="00217C5B"/>
    <w:rsid w:val="0022139E"/>
    <w:rsid w:val="00222729"/>
    <w:rsid w:val="00222833"/>
    <w:rsid w:val="002252E0"/>
    <w:rsid w:val="002255F6"/>
    <w:rsid w:val="00227850"/>
    <w:rsid w:val="00227A53"/>
    <w:rsid w:val="00230682"/>
    <w:rsid w:val="00230C6E"/>
    <w:rsid w:val="00233546"/>
    <w:rsid w:val="00233CD7"/>
    <w:rsid w:val="00233D05"/>
    <w:rsid w:val="00236443"/>
    <w:rsid w:val="00237B95"/>
    <w:rsid w:val="00241B06"/>
    <w:rsid w:val="00242119"/>
    <w:rsid w:val="002421C4"/>
    <w:rsid w:val="00242C10"/>
    <w:rsid w:val="002436BA"/>
    <w:rsid w:val="00244A15"/>
    <w:rsid w:val="0024661A"/>
    <w:rsid w:val="00247319"/>
    <w:rsid w:val="0024741D"/>
    <w:rsid w:val="0024799E"/>
    <w:rsid w:val="00247EE7"/>
    <w:rsid w:val="00252D48"/>
    <w:rsid w:val="00253C0F"/>
    <w:rsid w:val="002558C1"/>
    <w:rsid w:val="00255B30"/>
    <w:rsid w:val="00261A17"/>
    <w:rsid w:val="0027099B"/>
    <w:rsid w:val="00271465"/>
    <w:rsid w:val="00275385"/>
    <w:rsid w:val="00281666"/>
    <w:rsid w:val="0028207A"/>
    <w:rsid w:val="00282918"/>
    <w:rsid w:val="00285412"/>
    <w:rsid w:val="00290725"/>
    <w:rsid w:val="00291407"/>
    <w:rsid w:val="00291640"/>
    <w:rsid w:val="0029568F"/>
    <w:rsid w:val="00295A5D"/>
    <w:rsid w:val="002A1407"/>
    <w:rsid w:val="002A16D4"/>
    <w:rsid w:val="002A230C"/>
    <w:rsid w:val="002A66B0"/>
    <w:rsid w:val="002B2299"/>
    <w:rsid w:val="002B4845"/>
    <w:rsid w:val="002B48B4"/>
    <w:rsid w:val="002C2FE9"/>
    <w:rsid w:val="002C43BD"/>
    <w:rsid w:val="002C5568"/>
    <w:rsid w:val="002D0E59"/>
    <w:rsid w:val="002E02A1"/>
    <w:rsid w:val="002E42AC"/>
    <w:rsid w:val="002E4E4C"/>
    <w:rsid w:val="002F3E4F"/>
    <w:rsid w:val="00302ADD"/>
    <w:rsid w:val="00304771"/>
    <w:rsid w:val="0030495D"/>
    <w:rsid w:val="003052D4"/>
    <w:rsid w:val="00306C5B"/>
    <w:rsid w:val="00307B34"/>
    <w:rsid w:val="003103E0"/>
    <w:rsid w:val="0031173F"/>
    <w:rsid w:val="00314F9F"/>
    <w:rsid w:val="003209D6"/>
    <w:rsid w:val="00321205"/>
    <w:rsid w:val="00321924"/>
    <w:rsid w:val="00324442"/>
    <w:rsid w:val="0032656E"/>
    <w:rsid w:val="00327D4E"/>
    <w:rsid w:val="00332190"/>
    <w:rsid w:val="00340188"/>
    <w:rsid w:val="003421E1"/>
    <w:rsid w:val="0034226A"/>
    <w:rsid w:val="00343182"/>
    <w:rsid w:val="0034335E"/>
    <w:rsid w:val="00344668"/>
    <w:rsid w:val="003462D9"/>
    <w:rsid w:val="00360C86"/>
    <w:rsid w:val="00360FBC"/>
    <w:rsid w:val="00362E90"/>
    <w:rsid w:val="00364FA0"/>
    <w:rsid w:val="003657F3"/>
    <w:rsid w:val="00366591"/>
    <w:rsid w:val="00371826"/>
    <w:rsid w:val="00373504"/>
    <w:rsid w:val="00374FEF"/>
    <w:rsid w:val="0038123E"/>
    <w:rsid w:val="003818DC"/>
    <w:rsid w:val="00382C5B"/>
    <w:rsid w:val="00384327"/>
    <w:rsid w:val="00385D98"/>
    <w:rsid w:val="003A1A03"/>
    <w:rsid w:val="003A2B4D"/>
    <w:rsid w:val="003A2B5E"/>
    <w:rsid w:val="003A2D12"/>
    <w:rsid w:val="003A478C"/>
    <w:rsid w:val="003A5525"/>
    <w:rsid w:val="003A6B38"/>
    <w:rsid w:val="003B461F"/>
    <w:rsid w:val="003B5A32"/>
    <w:rsid w:val="003B6B31"/>
    <w:rsid w:val="003B7AFA"/>
    <w:rsid w:val="003C1099"/>
    <w:rsid w:val="003C3490"/>
    <w:rsid w:val="003C6550"/>
    <w:rsid w:val="003C7E62"/>
    <w:rsid w:val="003D5B4E"/>
    <w:rsid w:val="003D6920"/>
    <w:rsid w:val="003E3F1E"/>
    <w:rsid w:val="003E48F2"/>
    <w:rsid w:val="003E4C91"/>
    <w:rsid w:val="003E5DB7"/>
    <w:rsid w:val="003E62A5"/>
    <w:rsid w:val="003F313C"/>
    <w:rsid w:val="003F37FC"/>
    <w:rsid w:val="003F4B2C"/>
    <w:rsid w:val="003F551C"/>
    <w:rsid w:val="003F62B0"/>
    <w:rsid w:val="003F72ED"/>
    <w:rsid w:val="003F7D23"/>
    <w:rsid w:val="00400DF4"/>
    <w:rsid w:val="0040550D"/>
    <w:rsid w:val="004069FF"/>
    <w:rsid w:val="00407510"/>
    <w:rsid w:val="00407C13"/>
    <w:rsid w:val="0041041D"/>
    <w:rsid w:val="00410638"/>
    <w:rsid w:val="00410694"/>
    <w:rsid w:val="0041501E"/>
    <w:rsid w:val="004159C3"/>
    <w:rsid w:val="00416EB7"/>
    <w:rsid w:val="00420136"/>
    <w:rsid w:val="00432A58"/>
    <w:rsid w:val="00434617"/>
    <w:rsid w:val="00440900"/>
    <w:rsid w:val="00441BF6"/>
    <w:rsid w:val="00443556"/>
    <w:rsid w:val="004441A0"/>
    <w:rsid w:val="004455BA"/>
    <w:rsid w:val="00446D77"/>
    <w:rsid w:val="0045078A"/>
    <w:rsid w:val="0045086D"/>
    <w:rsid w:val="00451504"/>
    <w:rsid w:val="004557A9"/>
    <w:rsid w:val="00456339"/>
    <w:rsid w:val="004607BF"/>
    <w:rsid w:val="00460FB3"/>
    <w:rsid w:val="00465F26"/>
    <w:rsid w:val="0046627E"/>
    <w:rsid w:val="00476240"/>
    <w:rsid w:val="00476439"/>
    <w:rsid w:val="0047735C"/>
    <w:rsid w:val="004776BC"/>
    <w:rsid w:val="0048139F"/>
    <w:rsid w:val="00481E40"/>
    <w:rsid w:val="00484ECE"/>
    <w:rsid w:val="00485567"/>
    <w:rsid w:val="004915CB"/>
    <w:rsid w:val="004924DC"/>
    <w:rsid w:val="004963C7"/>
    <w:rsid w:val="004976EF"/>
    <w:rsid w:val="004A14E4"/>
    <w:rsid w:val="004A3212"/>
    <w:rsid w:val="004A5494"/>
    <w:rsid w:val="004A61C5"/>
    <w:rsid w:val="004A77DF"/>
    <w:rsid w:val="004B1417"/>
    <w:rsid w:val="004B55B7"/>
    <w:rsid w:val="004B5A60"/>
    <w:rsid w:val="004B6468"/>
    <w:rsid w:val="004B7125"/>
    <w:rsid w:val="004C180F"/>
    <w:rsid w:val="004C384C"/>
    <w:rsid w:val="004C3867"/>
    <w:rsid w:val="004C456F"/>
    <w:rsid w:val="004C4CD0"/>
    <w:rsid w:val="004C5B81"/>
    <w:rsid w:val="004C6092"/>
    <w:rsid w:val="004C70DC"/>
    <w:rsid w:val="004D0211"/>
    <w:rsid w:val="004D0794"/>
    <w:rsid w:val="004D5C93"/>
    <w:rsid w:val="004E1288"/>
    <w:rsid w:val="004E7C6B"/>
    <w:rsid w:val="004F06F5"/>
    <w:rsid w:val="004F16B2"/>
    <w:rsid w:val="004F2C1B"/>
    <w:rsid w:val="004F33A0"/>
    <w:rsid w:val="004F3A59"/>
    <w:rsid w:val="005040A8"/>
    <w:rsid w:val="00504EE1"/>
    <w:rsid w:val="0050689D"/>
    <w:rsid w:val="00510205"/>
    <w:rsid w:val="005108C0"/>
    <w:rsid w:val="00511873"/>
    <w:rsid w:val="00511DE3"/>
    <w:rsid w:val="00512A2F"/>
    <w:rsid w:val="00513B7E"/>
    <w:rsid w:val="00515684"/>
    <w:rsid w:val="00515C74"/>
    <w:rsid w:val="00516086"/>
    <w:rsid w:val="0051713B"/>
    <w:rsid w:val="0052007E"/>
    <w:rsid w:val="0052337A"/>
    <w:rsid w:val="00525137"/>
    <w:rsid w:val="005251DD"/>
    <w:rsid w:val="00532CE7"/>
    <w:rsid w:val="00532E62"/>
    <w:rsid w:val="0053324C"/>
    <w:rsid w:val="00533DAC"/>
    <w:rsid w:val="00534A28"/>
    <w:rsid w:val="00541508"/>
    <w:rsid w:val="00543498"/>
    <w:rsid w:val="00545512"/>
    <w:rsid w:val="00553016"/>
    <w:rsid w:val="0055599F"/>
    <w:rsid w:val="00556995"/>
    <w:rsid w:val="00556D68"/>
    <w:rsid w:val="00563EB8"/>
    <w:rsid w:val="005647BF"/>
    <w:rsid w:val="0056486D"/>
    <w:rsid w:val="00564AF1"/>
    <w:rsid w:val="0056601A"/>
    <w:rsid w:val="005722EB"/>
    <w:rsid w:val="0057364B"/>
    <w:rsid w:val="00574773"/>
    <w:rsid w:val="0058050D"/>
    <w:rsid w:val="0058308D"/>
    <w:rsid w:val="00583FFD"/>
    <w:rsid w:val="00591099"/>
    <w:rsid w:val="005911BE"/>
    <w:rsid w:val="00593152"/>
    <w:rsid w:val="00596010"/>
    <w:rsid w:val="005A10F2"/>
    <w:rsid w:val="005A14E8"/>
    <w:rsid w:val="005A21E0"/>
    <w:rsid w:val="005A28FF"/>
    <w:rsid w:val="005A3DF8"/>
    <w:rsid w:val="005A5113"/>
    <w:rsid w:val="005A5549"/>
    <w:rsid w:val="005A7038"/>
    <w:rsid w:val="005B121D"/>
    <w:rsid w:val="005B3361"/>
    <w:rsid w:val="005C06ED"/>
    <w:rsid w:val="005C2609"/>
    <w:rsid w:val="005C6CF0"/>
    <w:rsid w:val="005D0D46"/>
    <w:rsid w:val="005D5802"/>
    <w:rsid w:val="005D7119"/>
    <w:rsid w:val="005D7241"/>
    <w:rsid w:val="005D7890"/>
    <w:rsid w:val="005E705E"/>
    <w:rsid w:val="005E7C78"/>
    <w:rsid w:val="005F18C5"/>
    <w:rsid w:val="005F3374"/>
    <w:rsid w:val="005F3491"/>
    <w:rsid w:val="005F3EB1"/>
    <w:rsid w:val="005F46D8"/>
    <w:rsid w:val="005F5469"/>
    <w:rsid w:val="00603FF5"/>
    <w:rsid w:val="00604307"/>
    <w:rsid w:val="0060487F"/>
    <w:rsid w:val="00604EAD"/>
    <w:rsid w:val="00605D96"/>
    <w:rsid w:val="006104FB"/>
    <w:rsid w:val="00612A2F"/>
    <w:rsid w:val="0061390C"/>
    <w:rsid w:val="006165E5"/>
    <w:rsid w:val="00616E05"/>
    <w:rsid w:val="00622275"/>
    <w:rsid w:val="00624093"/>
    <w:rsid w:val="00625F8F"/>
    <w:rsid w:val="006350D5"/>
    <w:rsid w:val="006404A7"/>
    <w:rsid w:val="006451E4"/>
    <w:rsid w:val="00645B33"/>
    <w:rsid w:val="006516CB"/>
    <w:rsid w:val="00656FC8"/>
    <w:rsid w:val="00657E87"/>
    <w:rsid w:val="00660072"/>
    <w:rsid w:val="00664803"/>
    <w:rsid w:val="0066504F"/>
    <w:rsid w:val="00665BA4"/>
    <w:rsid w:val="00667AF2"/>
    <w:rsid w:val="006710C9"/>
    <w:rsid w:val="006712EC"/>
    <w:rsid w:val="0067229E"/>
    <w:rsid w:val="006741AC"/>
    <w:rsid w:val="00674D89"/>
    <w:rsid w:val="00675E37"/>
    <w:rsid w:val="0068174E"/>
    <w:rsid w:val="00681DCE"/>
    <w:rsid w:val="0068260E"/>
    <w:rsid w:val="0068697A"/>
    <w:rsid w:val="00693FEC"/>
    <w:rsid w:val="0069490A"/>
    <w:rsid w:val="00695BEF"/>
    <w:rsid w:val="006977F6"/>
    <w:rsid w:val="00697A13"/>
    <w:rsid w:val="006A109C"/>
    <w:rsid w:val="006A2056"/>
    <w:rsid w:val="006A31AB"/>
    <w:rsid w:val="006B0F92"/>
    <w:rsid w:val="006B173A"/>
    <w:rsid w:val="006B344A"/>
    <w:rsid w:val="006B6C74"/>
    <w:rsid w:val="006B759B"/>
    <w:rsid w:val="006B78D8"/>
    <w:rsid w:val="006C113F"/>
    <w:rsid w:val="006C123E"/>
    <w:rsid w:val="006C1752"/>
    <w:rsid w:val="006C4460"/>
    <w:rsid w:val="006C4ED6"/>
    <w:rsid w:val="006C56D4"/>
    <w:rsid w:val="006C6924"/>
    <w:rsid w:val="006C70EB"/>
    <w:rsid w:val="006C7CA6"/>
    <w:rsid w:val="006D3E8A"/>
    <w:rsid w:val="006D61F6"/>
    <w:rsid w:val="006E279A"/>
    <w:rsid w:val="006E313B"/>
    <w:rsid w:val="006E41EC"/>
    <w:rsid w:val="006E4254"/>
    <w:rsid w:val="006E50F8"/>
    <w:rsid w:val="006E7227"/>
    <w:rsid w:val="006F438E"/>
    <w:rsid w:val="006F5416"/>
    <w:rsid w:val="006F7076"/>
    <w:rsid w:val="00702448"/>
    <w:rsid w:val="00705242"/>
    <w:rsid w:val="00706AD4"/>
    <w:rsid w:val="00707150"/>
    <w:rsid w:val="00710078"/>
    <w:rsid w:val="00710229"/>
    <w:rsid w:val="0071217E"/>
    <w:rsid w:val="007140BE"/>
    <w:rsid w:val="007143B4"/>
    <w:rsid w:val="007211F5"/>
    <w:rsid w:val="0072213B"/>
    <w:rsid w:val="00723946"/>
    <w:rsid w:val="007240E2"/>
    <w:rsid w:val="00725BB5"/>
    <w:rsid w:val="00730517"/>
    <w:rsid w:val="00730AE8"/>
    <w:rsid w:val="00730F1B"/>
    <w:rsid w:val="00733628"/>
    <w:rsid w:val="007342AC"/>
    <w:rsid w:val="00741493"/>
    <w:rsid w:val="00743C34"/>
    <w:rsid w:val="007457F6"/>
    <w:rsid w:val="00752180"/>
    <w:rsid w:val="00753CAB"/>
    <w:rsid w:val="00755202"/>
    <w:rsid w:val="00755D3A"/>
    <w:rsid w:val="007578D3"/>
    <w:rsid w:val="007609C6"/>
    <w:rsid w:val="00760EA4"/>
    <w:rsid w:val="0076175D"/>
    <w:rsid w:val="00763B85"/>
    <w:rsid w:val="00764744"/>
    <w:rsid w:val="0076521E"/>
    <w:rsid w:val="00765C12"/>
    <w:rsid w:val="007661E9"/>
    <w:rsid w:val="00770784"/>
    <w:rsid w:val="00773220"/>
    <w:rsid w:val="00776169"/>
    <w:rsid w:val="00776527"/>
    <w:rsid w:val="00776EAB"/>
    <w:rsid w:val="00780EF1"/>
    <w:rsid w:val="00782AD8"/>
    <w:rsid w:val="00790711"/>
    <w:rsid w:val="00790764"/>
    <w:rsid w:val="0079124F"/>
    <w:rsid w:val="0079453C"/>
    <w:rsid w:val="00794677"/>
    <w:rsid w:val="00795928"/>
    <w:rsid w:val="00797445"/>
    <w:rsid w:val="007A3861"/>
    <w:rsid w:val="007A4577"/>
    <w:rsid w:val="007A516D"/>
    <w:rsid w:val="007B2239"/>
    <w:rsid w:val="007B6689"/>
    <w:rsid w:val="007C6BBD"/>
    <w:rsid w:val="007D293C"/>
    <w:rsid w:val="007D40DF"/>
    <w:rsid w:val="007E29B4"/>
    <w:rsid w:val="007E435A"/>
    <w:rsid w:val="007E76C3"/>
    <w:rsid w:val="007E7E61"/>
    <w:rsid w:val="007E7FCE"/>
    <w:rsid w:val="007F0076"/>
    <w:rsid w:val="007F0845"/>
    <w:rsid w:val="007F708D"/>
    <w:rsid w:val="00800216"/>
    <w:rsid w:val="00801E13"/>
    <w:rsid w:val="00807365"/>
    <w:rsid w:val="00807C82"/>
    <w:rsid w:val="00810C82"/>
    <w:rsid w:val="00811E1D"/>
    <w:rsid w:val="00814B15"/>
    <w:rsid w:val="00816905"/>
    <w:rsid w:val="00821777"/>
    <w:rsid w:val="00821C44"/>
    <w:rsid w:val="00821FF6"/>
    <w:rsid w:val="00822574"/>
    <w:rsid w:val="00825C4D"/>
    <w:rsid w:val="008304D1"/>
    <w:rsid w:val="00830D03"/>
    <w:rsid w:val="00830D59"/>
    <w:rsid w:val="0083143E"/>
    <w:rsid w:val="00831CDE"/>
    <w:rsid w:val="00834304"/>
    <w:rsid w:val="00834FAA"/>
    <w:rsid w:val="0083516C"/>
    <w:rsid w:val="00836086"/>
    <w:rsid w:val="00843A14"/>
    <w:rsid w:val="00846121"/>
    <w:rsid w:val="008462A8"/>
    <w:rsid w:val="0084708F"/>
    <w:rsid w:val="008477C8"/>
    <w:rsid w:val="00847963"/>
    <w:rsid w:val="00850815"/>
    <w:rsid w:val="0085114D"/>
    <w:rsid w:val="00852217"/>
    <w:rsid w:val="00853B8D"/>
    <w:rsid w:val="00854F24"/>
    <w:rsid w:val="00855408"/>
    <w:rsid w:val="00855712"/>
    <w:rsid w:val="00856D65"/>
    <w:rsid w:val="00861B41"/>
    <w:rsid w:val="00861BE3"/>
    <w:rsid w:val="00863434"/>
    <w:rsid w:val="00865E4C"/>
    <w:rsid w:val="008701E4"/>
    <w:rsid w:val="0087052A"/>
    <w:rsid w:val="00871069"/>
    <w:rsid w:val="00875A32"/>
    <w:rsid w:val="00876086"/>
    <w:rsid w:val="008766AC"/>
    <w:rsid w:val="00881EAF"/>
    <w:rsid w:val="008825B0"/>
    <w:rsid w:val="00884AD6"/>
    <w:rsid w:val="008873D4"/>
    <w:rsid w:val="00890D6D"/>
    <w:rsid w:val="0089126C"/>
    <w:rsid w:val="0089296D"/>
    <w:rsid w:val="00893E85"/>
    <w:rsid w:val="00894031"/>
    <w:rsid w:val="00895508"/>
    <w:rsid w:val="008A6CB4"/>
    <w:rsid w:val="008B542E"/>
    <w:rsid w:val="008B5CF6"/>
    <w:rsid w:val="008B76AB"/>
    <w:rsid w:val="008B7C02"/>
    <w:rsid w:val="008B7D2B"/>
    <w:rsid w:val="008C0049"/>
    <w:rsid w:val="008C0E88"/>
    <w:rsid w:val="008C1968"/>
    <w:rsid w:val="008C53CB"/>
    <w:rsid w:val="008C6FD4"/>
    <w:rsid w:val="008D1BA1"/>
    <w:rsid w:val="008D1E6A"/>
    <w:rsid w:val="008D2A16"/>
    <w:rsid w:val="008D632C"/>
    <w:rsid w:val="008D6B35"/>
    <w:rsid w:val="008D75D9"/>
    <w:rsid w:val="008E163D"/>
    <w:rsid w:val="008E2C57"/>
    <w:rsid w:val="008E31FF"/>
    <w:rsid w:val="008E6F06"/>
    <w:rsid w:val="008E7FC9"/>
    <w:rsid w:val="008F029B"/>
    <w:rsid w:val="008F0867"/>
    <w:rsid w:val="008F3FC9"/>
    <w:rsid w:val="008F585B"/>
    <w:rsid w:val="009003A8"/>
    <w:rsid w:val="00901518"/>
    <w:rsid w:val="00902500"/>
    <w:rsid w:val="00902EFF"/>
    <w:rsid w:val="00906401"/>
    <w:rsid w:val="0091155E"/>
    <w:rsid w:val="00912A92"/>
    <w:rsid w:val="0091728D"/>
    <w:rsid w:val="0092180B"/>
    <w:rsid w:val="00921F14"/>
    <w:rsid w:val="009231A3"/>
    <w:rsid w:val="00924AC8"/>
    <w:rsid w:val="0092597A"/>
    <w:rsid w:val="00925E75"/>
    <w:rsid w:val="00930FB1"/>
    <w:rsid w:val="0093139F"/>
    <w:rsid w:val="00932443"/>
    <w:rsid w:val="00934464"/>
    <w:rsid w:val="00937AE2"/>
    <w:rsid w:val="00943853"/>
    <w:rsid w:val="0094427A"/>
    <w:rsid w:val="00945245"/>
    <w:rsid w:val="009452D0"/>
    <w:rsid w:val="00956572"/>
    <w:rsid w:val="00957309"/>
    <w:rsid w:val="0095759C"/>
    <w:rsid w:val="009607C5"/>
    <w:rsid w:val="00961532"/>
    <w:rsid w:val="0096774F"/>
    <w:rsid w:val="00967E76"/>
    <w:rsid w:val="009721DB"/>
    <w:rsid w:val="0097239B"/>
    <w:rsid w:val="00974071"/>
    <w:rsid w:val="00974923"/>
    <w:rsid w:val="009808F7"/>
    <w:rsid w:val="00980D3D"/>
    <w:rsid w:val="00981FFA"/>
    <w:rsid w:val="009855E1"/>
    <w:rsid w:val="00986D06"/>
    <w:rsid w:val="00987A30"/>
    <w:rsid w:val="00992CF3"/>
    <w:rsid w:val="00994868"/>
    <w:rsid w:val="0099574A"/>
    <w:rsid w:val="009968D6"/>
    <w:rsid w:val="009A1CAB"/>
    <w:rsid w:val="009A60D1"/>
    <w:rsid w:val="009B6FD3"/>
    <w:rsid w:val="009C02C3"/>
    <w:rsid w:val="009C1750"/>
    <w:rsid w:val="009C2E29"/>
    <w:rsid w:val="009C3F5D"/>
    <w:rsid w:val="009C554B"/>
    <w:rsid w:val="009C719E"/>
    <w:rsid w:val="009C7A10"/>
    <w:rsid w:val="009D1120"/>
    <w:rsid w:val="009D3ACD"/>
    <w:rsid w:val="009D4785"/>
    <w:rsid w:val="009E1988"/>
    <w:rsid w:val="009E5273"/>
    <w:rsid w:val="009E5DDB"/>
    <w:rsid w:val="009E7F05"/>
    <w:rsid w:val="009F46B7"/>
    <w:rsid w:val="009F4CA7"/>
    <w:rsid w:val="009F7558"/>
    <w:rsid w:val="009F791A"/>
    <w:rsid w:val="00A04CEF"/>
    <w:rsid w:val="00A10D66"/>
    <w:rsid w:val="00A14114"/>
    <w:rsid w:val="00A14995"/>
    <w:rsid w:val="00A1537C"/>
    <w:rsid w:val="00A16413"/>
    <w:rsid w:val="00A16E1D"/>
    <w:rsid w:val="00A17D5B"/>
    <w:rsid w:val="00A17EB2"/>
    <w:rsid w:val="00A206E5"/>
    <w:rsid w:val="00A20CC0"/>
    <w:rsid w:val="00A23447"/>
    <w:rsid w:val="00A23E43"/>
    <w:rsid w:val="00A25216"/>
    <w:rsid w:val="00A30F65"/>
    <w:rsid w:val="00A32BF2"/>
    <w:rsid w:val="00A33549"/>
    <w:rsid w:val="00A33A89"/>
    <w:rsid w:val="00A34D27"/>
    <w:rsid w:val="00A40EAC"/>
    <w:rsid w:val="00A40EDD"/>
    <w:rsid w:val="00A418BC"/>
    <w:rsid w:val="00A4206C"/>
    <w:rsid w:val="00A4632B"/>
    <w:rsid w:val="00A46DE0"/>
    <w:rsid w:val="00A472EB"/>
    <w:rsid w:val="00A47FCA"/>
    <w:rsid w:val="00A50D73"/>
    <w:rsid w:val="00A52CAD"/>
    <w:rsid w:val="00A53FC7"/>
    <w:rsid w:val="00A60799"/>
    <w:rsid w:val="00A62CE1"/>
    <w:rsid w:val="00A668A3"/>
    <w:rsid w:val="00A6741E"/>
    <w:rsid w:val="00A754EA"/>
    <w:rsid w:val="00A75E40"/>
    <w:rsid w:val="00A770F4"/>
    <w:rsid w:val="00A77D1D"/>
    <w:rsid w:val="00A84A6A"/>
    <w:rsid w:val="00A857C0"/>
    <w:rsid w:val="00A90FED"/>
    <w:rsid w:val="00AA2996"/>
    <w:rsid w:val="00AA2A70"/>
    <w:rsid w:val="00AA2DA1"/>
    <w:rsid w:val="00AA4B30"/>
    <w:rsid w:val="00AA52BF"/>
    <w:rsid w:val="00AA559A"/>
    <w:rsid w:val="00AB2AF1"/>
    <w:rsid w:val="00AB535B"/>
    <w:rsid w:val="00AC45BD"/>
    <w:rsid w:val="00AC5791"/>
    <w:rsid w:val="00AD168E"/>
    <w:rsid w:val="00AD306C"/>
    <w:rsid w:val="00AD4F16"/>
    <w:rsid w:val="00AD5323"/>
    <w:rsid w:val="00AD68C4"/>
    <w:rsid w:val="00AE09B3"/>
    <w:rsid w:val="00AE0ED3"/>
    <w:rsid w:val="00AE153F"/>
    <w:rsid w:val="00AE1A2E"/>
    <w:rsid w:val="00AE1A83"/>
    <w:rsid w:val="00AE31A7"/>
    <w:rsid w:val="00AF1DE9"/>
    <w:rsid w:val="00AF6128"/>
    <w:rsid w:val="00B00913"/>
    <w:rsid w:val="00B01593"/>
    <w:rsid w:val="00B01CF3"/>
    <w:rsid w:val="00B023F2"/>
    <w:rsid w:val="00B04705"/>
    <w:rsid w:val="00B04E70"/>
    <w:rsid w:val="00B07959"/>
    <w:rsid w:val="00B07BBB"/>
    <w:rsid w:val="00B10325"/>
    <w:rsid w:val="00B10A4D"/>
    <w:rsid w:val="00B14BC1"/>
    <w:rsid w:val="00B17E71"/>
    <w:rsid w:val="00B17FDE"/>
    <w:rsid w:val="00B2379C"/>
    <w:rsid w:val="00B25189"/>
    <w:rsid w:val="00B2687D"/>
    <w:rsid w:val="00B26897"/>
    <w:rsid w:val="00B32DDB"/>
    <w:rsid w:val="00B34528"/>
    <w:rsid w:val="00B34CC9"/>
    <w:rsid w:val="00B402FC"/>
    <w:rsid w:val="00B439DA"/>
    <w:rsid w:val="00B46604"/>
    <w:rsid w:val="00B50624"/>
    <w:rsid w:val="00B530CD"/>
    <w:rsid w:val="00B55F5E"/>
    <w:rsid w:val="00B5752E"/>
    <w:rsid w:val="00B63A11"/>
    <w:rsid w:val="00B63B6A"/>
    <w:rsid w:val="00B64C24"/>
    <w:rsid w:val="00B6608F"/>
    <w:rsid w:val="00B67768"/>
    <w:rsid w:val="00B679FB"/>
    <w:rsid w:val="00B71EF7"/>
    <w:rsid w:val="00B7665A"/>
    <w:rsid w:val="00B76D1E"/>
    <w:rsid w:val="00B8028A"/>
    <w:rsid w:val="00B80B8B"/>
    <w:rsid w:val="00B80EC6"/>
    <w:rsid w:val="00B84CF6"/>
    <w:rsid w:val="00B857A1"/>
    <w:rsid w:val="00B87623"/>
    <w:rsid w:val="00B92D1D"/>
    <w:rsid w:val="00B938C5"/>
    <w:rsid w:val="00B95940"/>
    <w:rsid w:val="00BA37EA"/>
    <w:rsid w:val="00BA5256"/>
    <w:rsid w:val="00BA6C2B"/>
    <w:rsid w:val="00BB22F6"/>
    <w:rsid w:val="00BB46F3"/>
    <w:rsid w:val="00BB4CB1"/>
    <w:rsid w:val="00BB4F98"/>
    <w:rsid w:val="00BB73ED"/>
    <w:rsid w:val="00BC5C12"/>
    <w:rsid w:val="00BC7154"/>
    <w:rsid w:val="00BC731E"/>
    <w:rsid w:val="00BD366B"/>
    <w:rsid w:val="00BD6D50"/>
    <w:rsid w:val="00BE18B9"/>
    <w:rsid w:val="00BE2495"/>
    <w:rsid w:val="00BF1578"/>
    <w:rsid w:val="00BF3B1D"/>
    <w:rsid w:val="00BF6D32"/>
    <w:rsid w:val="00BF71A0"/>
    <w:rsid w:val="00BF723F"/>
    <w:rsid w:val="00C02943"/>
    <w:rsid w:val="00C16FB0"/>
    <w:rsid w:val="00C21F94"/>
    <w:rsid w:val="00C27913"/>
    <w:rsid w:val="00C27E4F"/>
    <w:rsid w:val="00C325AE"/>
    <w:rsid w:val="00C32964"/>
    <w:rsid w:val="00C33B68"/>
    <w:rsid w:val="00C36A79"/>
    <w:rsid w:val="00C401D2"/>
    <w:rsid w:val="00C405D4"/>
    <w:rsid w:val="00C41D07"/>
    <w:rsid w:val="00C4431F"/>
    <w:rsid w:val="00C4513B"/>
    <w:rsid w:val="00C5390B"/>
    <w:rsid w:val="00C53E5D"/>
    <w:rsid w:val="00C54141"/>
    <w:rsid w:val="00C5418A"/>
    <w:rsid w:val="00C54697"/>
    <w:rsid w:val="00C65535"/>
    <w:rsid w:val="00C65C22"/>
    <w:rsid w:val="00C66B0D"/>
    <w:rsid w:val="00C71E85"/>
    <w:rsid w:val="00C72884"/>
    <w:rsid w:val="00C73885"/>
    <w:rsid w:val="00C73BA9"/>
    <w:rsid w:val="00C747B1"/>
    <w:rsid w:val="00C82191"/>
    <w:rsid w:val="00C83134"/>
    <w:rsid w:val="00C85545"/>
    <w:rsid w:val="00C9003C"/>
    <w:rsid w:val="00C90CF4"/>
    <w:rsid w:val="00C92EB6"/>
    <w:rsid w:val="00C93389"/>
    <w:rsid w:val="00C96040"/>
    <w:rsid w:val="00C9769E"/>
    <w:rsid w:val="00CA0914"/>
    <w:rsid w:val="00CA6AB4"/>
    <w:rsid w:val="00CA7BE7"/>
    <w:rsid w:val="00CB2F3F"/>
    <w:rsid w:val="00CB4930"/>
    <w:rsid w:val="00CC0E87"/>
    <w:rsid w:val="00CC2E7D"/>
    <w:rsid w:val="00CC6B42"/>
    <w:rsid w:val="00CD10A5"/>
    <w:rsid w:val="00CD2076"/>
    <w:rsid w:val="00CD29B5"/>
    <w:rsid w:val="00CD6331"/>
    <w:rsid w:val="00CD7704"/>
    <w:rsid w:val="00CD7AFB"/>
    <w:rsid w:val="00CE3E57"/>
    <w:rsid w:val="00CE670B"/>
    <w:rsid w:val="00CF19CB"/>
    <w:rsid w:val="00CF262D"/>
    <w:rsid w:val="00CF322D"/>
    <w:rsid w:val="00CF39C9"/>
    <w:rsid w:val="00CF4908"/>
    <w:rsid w:val="00CF51EC"/>
    <w:rsid w:val="00CF59E5"/>
    <w:rsid w:val="00CF73AE"/>
    <w:rsid w:val="00D040DD"/>
    <w:rsid w:val="00D075BE"/>
    <w:rsid w:val="00D13986"/>
    <w:rsid w:val="00D21D83"/>
    <w:rsid w:val="00D235B7"/>
    <w:rsid w:val="00D23C02"/>
    <w:rsid w:val="00D23F97"/>
    <w:rsid w:val="00D25F28"/>
    <w:rsid w:val="00D26071"/>
    <w:rsid w:val="00D27973"/>
    <w:rsid w:val="00D35E1A"/>
    <w:rsid w:val="00D37C1E"/>
    <w:rsid w:val="00D40B2B"/>
    <w:rsid w:val="00D40F7C"/>
    <w:rsid w:val="00D417B7"/>
    <w:rsid w:val="00D42211"/>
    <w:rsid w:val="00D42756"/>
    <w:rsid w:val="00D50F46"/>
    <w:rsid w:val="00D567C6"/>
    <w:rsid w:val="00D57677"/>
    <w:rsid w:val="00D61DF8"/>
    <w:rsid w:val="00D66223"/>
    <w:rsid w:val="00D674D7"/>
    <w:rsid w:val="00D71625"/>
    <w:rsid w:val="00D751DA"/>
    <w:rsid w:val="00D8084C"/>
    <w:rsid w:val="00D915EA"/>
    <w:rsid w:val="00D95B68"/>
    <w:rsid w:val="00D96855"/>
    <w:rsid w:val="00DA47A8"/>
    <w:rsid w:val="00DA48C1"/>
    <w:rsid w:val="00DA7C0C"/>
    <w:rsid w:val="00DB08A9"/>
    <w:rsid w:val="00DB2EC8"/>
    <w:rsid w:val="00DB5AF8"/>
    <w:rsid w:val="00DB5FC0"/>
    <w:rsid w:val="00DB6566"/>
    <w:rsid w:val="00DC1B9B"/>
    <w:rsid w:val="00DC1E84"/>
    <w:rsid w:val="00DC40D2"/>
    <w:rsid w:val="00DC48F1"/>
    <w:rsid w:val="00DC4EDE"/>
    <w:rsid w:val="00DC5B3B"/>
    <w:rsid w:val="00DD129F"/>
    <w:rsid w:val="00DD4EFE"/>
    <w:rsid w:val="00DE02BD"/>
    <w:rsid w:val="00DE5DBA"/>
    <w:rsid w:val="00DF42FF"/>
    <w:rsid w:val="00DF5908"/>
    <w:rsid w:val="00E01C0E"/>
    <w:rsid w:val="00E03F9A"/>
    <w:rsid w:val="00E0465E"/>
    <w:rsid w:val="00E04694"/>
    <w:rsid w:val="00E063CE"/>
    <w:rsid w:val="00E12B1E"/>
    <w:rsid w:val="00E12F7C"/>
    <w:rsid w:val="00E15B76"/>
    <w:rsid w:val="00E17262"/>
    <w:rsid w:val="00E20B53"/>
    <w:rsid w:val="00E253A2"/>
    <w:rsid w:val="00E314B9"/>
    <w:rsid w:val="00E329EF"/>
    <w:rsid w:val="00E3309D"/>
    <w:rsid w:val="00E374F4"/>
    <w:rsid w:val="00E409C2"/>
    <w:rsid w:val="00E43C1C"/>
    <w:rsid w:val="00E45931"/>
    <w:rsid w:val="00E47EBA"/>
    <w:rsid w:val="00E50156"/>
    <w:rsid w:val="00E51643"/>
    <w:rsid w:val="00E53470"/>
    <w:rsid w:val="00E53874"/>
    <w:rsid w:val="00E539F6"/>
    <w:rsid w:val="00E54E39"/>
    <w:rsid w:val="00E55091"/>
    <w:rsid w:val="00E6519D"/>
    <w:rsid w:val="00E67696"/>
    <w:rsid w:val="00E71654"/>
    <w:rsid w:val="00E71A58"/>
    <w:rsid w:val="00E72A7A"/>
    <w:rsid w:val="00E75C94"/>
    <w:rsid w:val="00E7677B"/>
    <w:rsid w:val="00E849A6"/>
    <w:rsid w:val="00E91024"/>
    <w:rsid w:val="00E920F4"/>
    <w:rsid w:val="00E93820"/>
    <w:rsid w:val="00E944EF"/>
    <w:rsid w:val="00E94A86"/>
    <w:rsid w:val="00E96143"/>
    <w:rsid w:val="00EA038B"/>
    <w:rsid w:val="00EA0987"/>
    <w:rsid w:val="00EA0C68"/>
    <w:rsid w:val="00EA32BC"/>
    <w:rsid w:val="00EA4302"/>
    <w:rsid w:val="00EA6C97"/>
    <w:rsid w:val="00EA7407"/>
    <w:rsid w:val="00EB39C7"/>
    <w:rsid w:val="00EB3D8F"/>
    <w:rsid w:val="00EB4511"/>
    <w:rsid w:val="00EB4A12"/>
    <w:rsid w:val="00EC03D7"/>
    <w:rsid w:val="00EC15CC"/>
    <w:rsid w:val="00EC313D"/>
    <w:rsid w:val="00ED62C6"/>
    <w:rsid w:val="00ED64C1"/>
    <w:rsid w:val="00EE0E68"/>
    <w:rsid w:val="00EE3446"/>
    <w:rsid w:val="00EE3E78"/>
    <w:rsid w:val="00EE4B1B"/>
    <w:rsid w:val="00EE7F19"/>
    <w:rsid w:val="00EF150D"/>
    <w:rsid w:val="00EF1F5A"/>
    <w:rsid w:val="00EF47BF"/>
    <w:rsid w:val="00EF6DB3"/>
    <w:rsid w:val="00F04811"/>
    <w:rsid w:val="00F0488C"/>
    <w:rsid w:val="00F066CF"/>
    <w:rsid w:val="00F10F11"/>
    <w:rsid w:val="00F15AAA"/>
    <w:rsid w:val="00F15BEF"/>
    <w:rsid w:val="00F17E83"/>
    <w:rsid w:val="00F24407"/>
    <w:rsid w:val="00F24931"/>
    <w:rsid w:val="00F24FAA"/>
    <w:rsid w:val="00F252A0"/>
    <w:rsid w:val="00F25B4A"/>
    <w:rsid w:val="00F25DEE"/>
    <w:rsid w:val="00F3364D"/>
    <w:rsid w:val="00F437CC"/>
    <w:rsid w:val="00F43E29"/>
    <w:rsid w:val="00F44537"/>
    <w:rsid w:val="00F44B6A"/>
    <w:rsid w:val="00F47067"/>
    <w:rsid w:val="00F50FC3"/>
    <w:rsid w:val="00F51087"/>
    <w:rsid w:val="00F5188A"/>
    <w:rsid w:val="00F52106"/>
    <w:rsid w:val="00F525EB"/>
    <w:rsid w:val="00F63DDE"/>
    <w:rsid w:val="00F63FB7"/>
    <w:rsid w:val="00F6421B"/>
    <w:rsid w:val="00F649D2"/>
    <w:rsid w:val="00F6602B"/>
    <w:rsid w:val="00F66643"/>
    <w:rsid w:val="00F66E76"/>
    <w:rsid w:val="00F66FD9"/>
    <w:rsid w:val="00F67C4E"/>
    <w:rsid w:val="00F70D20"/>
    <w:rsid w:val="00F72275"/>
    <w:rsid w:val="00F73990"/>
    <w:rsid w:val="00F73A0C"/>
    <w:rsid w:val="00F756DB"/>
    <w:rsid w:val="00F84E7D"/>
    <w:rsid w:val="00F85066"/>
    <w:rsid w:val="00F87A4D"/>
    <w:rsid w:val="00F90035"/>
    <w:rsid w:val="00F92283"/>
    <w:rsid w:val="00F9785E"/>
    <w:rsid w:val="00FA5D4D"/>
    <w:rsid w:val="00FA60AD"/>
    <w:rsid w:val="00FA7115"/>
    <w:rsid w:val="00FB0EE2"/>
    <w:rsid w:val="00FB4423"/>
    <w:rsid w:val="00FB542E"/>
    <w:rsid w:val="00FB6631"/>
    <w:rsid w:val="00FC0E5F"/>
    <w:rsid w:val="00FC1A95"/>
    <w:rsid w:val="00FC56DE"/>
    <w:rsid w:val="00FC6700"/>
    <w:rsid w:val="00FC684B"/>
    <w:rsid w:val="00FD1A5F"/>
    <w:rsid w:val="00FD3265"/>
    <w:rsid w:val="00FD5F92"/>
    <w:rsid w:val="00FD66F9"/>
    <w:rsid w:val="00FD78F8"/>
    <w:rsid w:val="00FE2F78"/>
    <w:rsid w:val="00FE3989"/>
    <w:rsid w:val="00FE470B"/>
    <w:rsid w:val="00FF4082"/>
    <w:rsid w:val="00FF7090"/>
    <w:rsid w:val="00FF7B96"/>
    <w:rsid w:val="010E6CF6"/>
    <w:rsid w:val="0274CEEB"/>
    <w:rsid w:val="11D0C0D9"/>
    <w:rsid w:val="1C7F89FF"/>
    <w:rsid w:val="304DB734"/>
    <w:rsid w:val="30D0B3BE"/>
    <w:rsid w:val="52CC52E2"/>
    <w:rsid w:val="55C2456F"/>
    <w:rsid w:val="614CA75B"/>
    <w:rsid w:val="6B2670A5"/>
    <w:rsid w:val="6E1EAC99"/>
    <w:rsid w:val="7BDB84E4"/>
    <w:rsid w:val="7DB22EB4"/>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ecf4dd,#eaecee,#fcec0a,#fcecdb,#f1daf5"/>
    </o:shapedefaults>
    <o:shapelayout v:ext="edit">
      <o:idmap v:ext="edit" data="2"/>
    </o:shapelayout>
  </w:shapeDefaults>
  <w:decimalSymbol w:val=","/>
  <w:listSeparator w:val=";"/>
  <w14:docId w14:val="21432897"/>
  <w15:docId w15:val="{3A7C6927-7F52-4209-ABA9-A0ACA8657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4FA0"/>
    <w:pPr>
      <w:spacing w:after="240" w:line="276" w:lineRule="auto"/>
      <w:jc w:val="both"/>
    </w:pPr>
    <w:rPr>
      <w:rFonts w:ascii="Arial" w:eastAsia="Times New Roman" w:hAnsi="Arial"/>
      <w:szCs w:val="24"/>
      <w:lang w:eastAsia="cs-CZ"/>
    </w:rPr>
  </w:style>
  <w:style w:type="paragraph" w:styleId="Nadpis1">
    <w:name w:val="heading 1"/>
    <w:next w:val="Normln"/>
    <w:link w:val="Nadpis1Char"/>
    <w:uiPriority w:val="9"/>
    <w:qFormat/>
    <w:rsid w:val="00EA0987"/>
    <w:pPr>
      <w:keepNext/>
      <w:keepLines/>
      <w:spacing w:after="100" w:line="276" w:lineRule="auto"/>
      <w:contextualSpacing/>
      <w:outlineLvl w:val="0"/>
    </w:pPr>
    <w:rPr>
      <w:rFonts w:ascii="Arial" w:eastAsia="MS Gothic" w:hAnsi="Arial"/>
      <w:b/>
      <w:bCs/>
      <w:color w:val="86BF5E"/>
      <w:sz w:val="32"/>
      <w:szCs w:val="28"/>
      <w:lang w:eastAsia="cs-CZ"/>
    </w:rPr>
  </w:style>
  <w:style w:type="paragraph" w:styleId="Nadpis2">
    <w:name w:val="heading 2"/>
    <w:next w:val="Normln"/>
    <w:link w:val="Nadpis2Char"/>
    <w:uiPriority w:val="9"/>
    <w:qFormat/>
    <w:rsid w:val="00EA0987"/>
    <w:pPr>
      <w:keepNext/>
      <w:keepLines/>
      <w:spacing w:line="276" w:lineRule="auto"/>
      <w:outlineLvl w:val="1"/>
    </w:pPr>
    <w:rPr>
      <w:rFonts w:ascii="Arial" w:eastAsia="MS Gothic" w:hAnsi="Arial"/>
      <w:b/>
      <w:bCs/>
      <w:color w:val="86BF5E"/>
      <w:sz w:val="28"/>
      <w:szCs w:val="26"/>
      <w:lang w:eastAsia="cs-CZ"/>
    </w:rPr>
  </w:style>
  <w:style w:type="paragraph" w:styleId="Nadpis3">
    <w:name w:val="heading 3"/>
    <w:next w:val="Normln"/>
    <w:link w:val="Nadpis3Char"/>
    <w:uiPriority w:val="9"/>
    <w:qFormat/>
    <w:rsid w:val="00EA0987"/>
    <w:pPr>
      <w:keepNext/>
      <w:keepLines/>
      <w:spacing w:line="276" w:lineRule="auto"/>
      <w:outlineLvl w:val="2"/>
    </w:pPr>
    <w:rPr>
      <w:rFonts w:ascii="Arial" w:eastAsia="MS Gothic" w:hAnsi="Arial"/>
      <w:b/>
      <w:bCs/>
      <w:color w:val="86BF5E"/>
      <w:sz w:val="24"/>
      <w:szCs w:val="24"/>
      <w:lang w:eastAsia="cs-CZ"/>
    </w:rPr>
  </w:style>
  <w:style w:type="paragraph" w:styleId="Nadpis4">
    <w:name w:val="heading 4"/>
    <w:next w:val="Normln"/>
    <w:link w:val="Nadpis4Char"/>
    <w:uiPriority w:val="9"/>
    <w:qFormat/>
    <w:rsid w:val="0041041D"/>
    <w:pPr>
      <w:keepNext/>
      <w:keepLines/>
      <w:spacing w:line="276" w:lineRule="auto"/>
      <w:outlineLvl w:val="3"/>
    </w:pPr>
    <w:rPr>
      <w:rFonts w:ascii="Arial" w:eastAsia="MS Gothic" w:hAnsi="Arial"/>
      <w:b/>
      <w:bCs/>
      <w:iCs/>
      <w:color w:val="86BF5E"/>
      <w:szCs w:val="24"/>
      <w:lang w:eastAsia="cs-CZ"/>
    </w:rPr>
  </w:style>
  <w:style w:type="paragraph" w:styleId="Nadpis5">
    <w:name w:val="heading 5"/>
    <w:basedOn w:val="Normln"/>
    <w:next w:val="Normln"/>
    <w:link w:val="Nadpis5Char"/>
    <w:uiPriority w:val="9"/>
    <w:semiHidden/>
    <w:unhideWhenUsed/>
    <w:rsid w:val="007A516D"/>
    <w:pPr>
      <w:keepNext/>
      <w:keepLines/>
      <w:numPr>
        <w:ilvl w:val="4"/>
        <w:numId w:val="14"/>
      </w:numPr>
      <w:tabs>
        <w:tab w:val="num" w:pos="360"/>
      </w:tabs>
      <w:spacing w:before="200" w:after="0"/>
      <w:ind w:left="0" w:firstLine="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7A516D"/>
    <w:pPr>
      <w:keepNext/>
      <w:keepLines/>
      <w:numPr>
        <w:ilvl w:val="5"/>
        <w:numId w:val="14"/>
      </w:numPr>
      <w:tabs>
        <w:tab w:val="num" w:pos="360"/>
      </w:tabs>
      <w:spacing w:before="200" w:after="0"/>
      <w:ind w:left="0" w:firstLine="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7A516D"/>
    <w:pPr>
      <w:keepNext/>
      <w:keepLines/>
      <w:numPr>
        <w:ilvl w:val="6"/>
        <w:numId w:val="14"/>
      </w:numPr>
      <w:tabs>
        <w:tab w:val="num" w:pos="360"/>
      </w:tabs>
      <w:spacing w:before="200" w:after="0"/>
      <w:ind w:left="0" w:firstLine="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7A516D"/>
    <w:pPr>
      <w:keepNext/>
      <w:keepLines/>
      <w:numPr>
        <w:ilvl w:val="7"/>
        <w:numId w:val="14"/>
      </w:numPr>
      <w:tabs>
        <w:tab w:val="num" w:pos="360"/>
      </w:tabs>
      <w:spacing w:before="200" w:after="0"/>
      <w:ind w:left="0" w:firstLine="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7A516D"/>
    <w:pPr>
      <w:numPr>
        <w:ilvl w:val="8"/>
        <w:numId w:val="14"/>
      </w:numPr>
      <w:tabs>
        <w:tab w:val="num" w:pos="360"/>
      </w:tabs>
      <w:spacing w:before="240" w:after="60"/>
      <w:ind w:left="0" w:firstLine="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qFormat/>
    <w:rsid w:val="00EA0987"/>
    <w:rPr>
      <w:rFonts w:ascii="Arial" w:eastAsia="MS Gothic" w:hAnsi="Arial"/>
      <w:b/>
      <w:bCs/>
      <w:color w:val="86BF5E"/>
      <w:sz w:val="32"/>
      <w:szCs w:val="28"/>
      <w:lang w:eastAsia="cs-CZ"/>
    </w:rPr>
  </w:style>
  <w:style w:type="character" w:customStyle="1" w:styleId="Nadpis2Char">
    <w:name w:val="Nadpis 2 Char"/>
    <w:link w:val="Nadpis2"/>
    <w:uiPriority w:val="9"/>
    <w:rsid w:val="00EA0987"/>
    <w:rPr>
      <w:rFonts w:ascii="Arial" w:eastAsia="MS Gothic" w:hAnsi="Arial"/>
      <w:b/>
      <w:bCs/>
      <w:color w:val="86BF5E"/>
      <w:sz w:val="28"/>
      <w:szCs w:val="26"/>
      <w:lang w:eastAsia="cs-CZ"/>
    </w:rPr>
  </w:style>
  <w:style w:type="character" w:customStyle="1" w:styleId="Nadpis3Char">
    <w:name w:val="Nadpis 3 Char"/>
    <w:link w:val="Nadpis3"/>
    <w:uiPriority w:val="9"/>
    <w:rsid w:val="00EA0987"/>
    <w:rPr>
      <w:rFonts w:ascii="Arial" w:eastAsia="MS Gothic" w:hAnsi="Arial"/>
      <w:b/>
      <w:bCs/>
      <w:color w:val="86BF5E"/>
      <w:sz w:val="24"/>
      <w:szCs w:val="24"/>
      <w:lang w:eastAsia="cs-CZ"/>
    </w:rPr>
  </w:style>
  <w:style w:type="character" w:customStyle="1" w:styleId="Nadpis4Char">
    <w:name w:val="Nadpis 4 Char"/>
    <w:link w:val="Nadpis4"/>
    <w:uiPriority w:val="9"/>
    <w:rsid w:val="0041041D"/>
    <w:rPr>
      <w:rFonts w:ascii="Arial" w:eastAsia="MS Gothic" w:hAnsi="Arial"/>
      <w:b/>
      <w:bCs/>
      <w:iCs/>
      <w:color w:val="86BF5E"/>
      <w:szCs w:val="24"/>
      <w:lang w:eastAsia="cs-CZ"/>
    </w:rPr>
  </w:style>
  <w:style w:type="character" w:customStyle="1" w:styleId="Nadpis9Char">
    <w:name w:val="Nadpis 9 Char"/>
    <w:link w:val="Nadpis9"/>
    <w:uiPriority w:val="9"/>
    <w:semiHidden/>
    <w:rsid w:val="007A516D"/>
    <w:rPr>
      <w:rFonts w:ascii="Cambria" w:eastAsia="Times New Roman" w:hAnsi="Cambria"/>
      <w:sz w:val="22"/>
      <w:szCs w:val="22"/>
      <w:lang w:eastAsia="cs-CZ"/>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0A57D4"/>
    <w:pPr>
      <w:spacing w:after="80" w:line="288" w:lineRule="auto"/>
    </w:pPr>
    <w:rPr>
      <w:rFonts w:ascii="Arial" w:eastAsia="Times New Roman" w:hAnsi="Arial"/>
      <w:b/>
      <w:color w:val="86BF5E"/>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A-Box1">
    <w:name w:val="A-Box 1"/>
    <w:next w:val="Normln"/>
    <w:qFormat/>
    <w:rsid w:val="00EA0987"/>
    <w:pPr>
      <w:shd w:val="clear" w:color="auto" w:fill="F0F6E9"/>
      <w:spacing w:before="240" w:after="240" w:line="276" w:lineRule="auto"/>
      <w:contextualSpacing/>
      <w:jc w:val="both"/>
    </w:pPr>
    <w:rPr>
      <w:rFonts w:ascii="Arial" w:hAnsi="Arial" w:cs="Arial"/>
      <w:lang w:eastAsia="cs-CZ"/>
    </w:rPr>
  </w:style>
  <w:style w:type="paragraph" w:customStyle="1" w:styleId="A-Box2">
    <w:name w:val="A-Box 2"/>
    <w:next w:val="Normln"/>
    <w:qFormat/>
    <w:rsid w:val="00EA0987"/>
    <w:pPr>
      <w:spacing w:before="240" w:after="240" w:line="276" w:lineRule="auto"/>
      <w:contextualSpacing/>
      <w:jc w:val="both"/>
    </w:pPr>
    <w:rPr>
      <w:rFonts w:ascii="Arial" w:hAnsi="Arial" w:cs="Arial"/>
      <w:color w:val="86BF5E"/>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0A57D4"/>
    <w:pPr>
      <w:spacing w:after="40"/>
      <w:contextualSpacing/>
    </w:pPr>
    <w:rPr>
      <w:b/>
      <w:caps/>
      <w:sz w:val="24"/>
    </w:rPr>
  </w:style>
  <w:style w:type="paragraph" w:customStyle="1" w:styleId="TLKontakty">
    <w:name w:val="TL Kontakty"/>
    <w:qFormat/>
    <w:rsid w:val="000A57D4"/>
    <w:pPr>
      <w:spacing w:after="160" w:line="259" w:lineRule="auto"/>
      <w:contextualSpacing/>
    </w:pPr>
    <w:rPr>
      <w:rFonts w:ascii="Arial" w:eastAsia="Times New Roman" w:hAnsi="Arial"/>
      <w:b/>
      <w:color w:val="86BF5E"/>
      <w:lang w:eastAsia="cs-CZ"/>
    </w:rPr>
  </w:style>
  <w:style w:type="paragraph" w:styleId="Nzev">
    <w:name w:val="Title"/>
    <w:link w:val="NzevChar"/>
    <w:uiPriority w:val="10"/>
    <w:qFormat/>
    <w:rsid w:val="001E6062"/>
    <w:pPr>
      <w:spacing w:line="288" w:lineRule="auto"/>
    </w:pPr>
    <w:rPr>
      <w:rFonts w:ascii="Arial" w:eastAsia="Times New Roman" w:hAnsi="Arial"/>
      <w:b/>
      <w:bCs/>
      <w:caps/>
      <w:color w:val="000000" w:themeColor="text1"/>
      <w:kern w:val="28"/>
      <w:sz w:val="56"/>
      <w:szCs w:val="32"/>
      <w:lang w:eastAsia="cs-CZ"/>
    </w:rPr>
  </w:style>
  <w:style w:type="character" w:customStyle="1" w:styleId="NzevChar">
    <w:name w:val="Název Char"/>
    <w:link w:val="Nzev"/>
    <w:uiPriority w:val="10"/>
    <w:rsid w:val="001E6062"/>
    <w:rPr>
      <w:rFonts w:ascii="Arial" w:eastAsia="Times New Roman" w:hAnsi="Arial"/>
      <w:b/>
      <w:bCs/>
      <w:caps/>
      <w:color w:val="000000" w:themeColor="text1"/>
      <w:kern w:val="28"/>
      <w:sz w:val="56"/>
      <w:szCs w:val="32"/>
      <w:lang w:eastAsia="cs-CZ"/>
    </w:rPr>
  </w:style>
  <w:style w:type="paragraph" w:styleId="Podnadpis">
    <w:name w:val="Subtitle"/>
    <w:link w:val="PodnadpisChar"/>
    <w:uiPriority w:val="11"/>
    <w:qFormat/>
    <w:rsid w:val="001E6062"/>
    <w:pPr>
      <w:spacing w:line="288" w:lineRule="auto"/>
    </w:pPr>
    <w:rPr>
      <w:rFonts w:ascii="Arial" w:eastAsia="Times New Roman" w:hAnsi="Arial" w:cs="Arial"/>
      <w:b/>
      <w:color w:val="000000" w:themeColor="text1"/>
      <w:sz w:val="28"/>
      <w:szCs w:val="24"/>
      <w:lang w:eastAsia="cs-CZ"/>
    </w:rPr>
  </w:style>
  <w:style w:type="character" w:customStyle="1" w:styleId="PodnadpisChar">
    <w:name w:val="Podnadpis Char"/>
    <w:link w:val="Podnadpis"/>
    <w:uiPriority w:val="11"/>
    <w:rsid w:val="001E6062"/>
    <w:rPr>
      <w:rFonts w:ascii="Arial" w:eastAsia="Times New Roman" w:hAnsi="Arial" w:cs="Arial"/>
      <w:b/>
      <w:color w:val="000000" w:themeColor="text1"/>
      <w:sz w:val="28"/>
      <w:szCs w:val="24"/>
      <w:lang w:eastAsia="cs-CZ"/>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customStyle="1" w:styleId="Nadpis5Char">
    <w:name w:val="Nadpis 5 Char"/>
    <w:basedOn w:val="Standardnpsmoodstavce"/>
    <w:link w:val="Nadpis5"/>
    <w:uiPriority w:val="9"/>
    <w:semiHidden/>
    <w:rsid w:val="007A516D"/>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7A516D"/>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7A516D"/>
    <w:rPr>
      <w:rFonts w:asciiTheme="majorHAnsi" w:eastAsiaTheme="majorEastAsia" w:hAnsiTheme="majorHAnsi" w:cstheme="majorBidi"/>
      <w:i/>
      <w:iCs/>
      <w:color w:val="404040" w:themeColor="text1" w:themeTint="BF"/>
      <w:szCs w:val="24"/>
      <w:lang w:eastAsia="cs-CZ"/>
    </w:rPr>
  </w:style>
  <w:style w:type="character" w:customStyle="1" w:styleId="Nadpis8Char">
    <w:name w:val="Nadpis 8 Char"/>
    <w:basedOn w:val="Standardnpsmoodstavce"/>
    <w:link w:val="Nadpis8"/>
    <w:uiPriority w:val="9"/>
    <w:semiHidden/>
    <w:rsid w:val="007A516D"/>
    <w:rPr>
      <w:rFonts w:asciiTheme="majorHAnsi" w:eastAsiaTheme="majorEastAsia" w:hAnsiTheme="majorHAnsi" w:cstheme="majorBidi"/>
      <w:color w:val="404040" w:themeColor="text1" w:themeTint="BF"/>
      <w:lang w:eastAsia="cs-CZ"/>
    </w:rPr>
  </w:style>
  <w:style w:type="paragraph" w:styleId="Textpoznpodarou">
    <w:name w:val="footnote text"/>
    <w:aliases w:val="Text pozn. pod čarou_martin_ang"/>
    <w:basedOn w:val="Normln"/>
    <w:link w:val="TextpoznpodarouChar"/>
    <w:qFormat/>
    <w:rsid w:val="008E7FC9"/>
    <w:pPr>
      <w:spacing w:after="0" w:line="240" w:lineRule="auto"/>
      <w:jc w:val="left"/>
    </w:pPr>
    <w:rPr>
      <w:rFonts w:eastAsia="Calibri"/>
      <w:szCs w:val="20"/>
    </w:rPr>
  </w:style>
  <w:style w:type="character" w:customStyle="1" w:styleId="TextpoznpodarouChar">
    <w:name w:val="Text pozn. pod čarou Char"/>
    <w:aliases w:val="Text pozn. pod čarou_martin_ang Char"/>
    <w:basedOn w:val="Standardnpsmoodstavce"/>
    <w:link w:val="Textpoznpodarou"/>
    <w:qFormat/>
    <w:rsid w:val="008E7FC9"/>
    <w:rPr>
      <w:rFonts w:ascii="Arial" w:hAnsi="Arial"/>
      <w:lang w:eastAsia="cs-CZ"/>
    </w:rPr>
  </w:style>
  <w:style w:type="paragraph" w:styleId="Bezmezer">
    <w:name w:val="No Spacing"/>
    <w:uiPriority w:val="1"/>
    <w:qFormat/>
    <w:rsid w:val="00AD68C4"/>
    <w:pPr>
      <w:jc w:val="both"/>
    </w:pPr>
    <w:rPr>
      <w:rFonts w:ascii="Arial" w:eastAsia="Times New Roman" w:hAnsi="Arial"/>
      <w:szCs w:val="24"/>
      <w:lang w:eastAsia="cs-CZ"/>
    </w:rPr>
  </w:style>
  <w:style w:type="paragraph" w:customStyle="1" w:styleId="Marginlie">
    <w:name w:val="Marginálie"/>
    <w:basedOn w:val="Normln"/>
    <w:qFormat/>
    <w:rsid w:val="0089296D"/>
    <w:pPr>
      <w:spacing w:after="0"/>
      <w:jc w:val="left"/>
    </w:pPr>
    <w:rPr>
      <w:spacing w:val="-2"/>
      <w:sz w:val="16"/>
      <w:szCs w:val="16"/>
    </w:rPr>
  </w:style>
  <w:style w:type="paragraph" w:styleId="Odstavecseseznamem">
    <w:name w:val="List Paragraph"/>
    <w:basedOn w:val="Normln"/>
    <w:link w:val="OdstavecseseznamemChar"/>
    <w:uiPriority w:val="34"/>
    <w:qFormat/>
    <w:rsid w:val="006B0F92"/>
    <w:pPr>
      <w:ind w:left="720"/>
      <w:contextualSpacing/>
    </w:pPr>
  </w:style>
  <w:style w:type="paragraph" w:customStyle="1" w:styleId="Normalodrka">
    <w:name w:val="Normal odrážka"/>
    <w:qFormat/>
    <w:rsid w:val="006B0F92"/>
    <w:pPr>
      <w:numPr>
        <w:numId w:val="20"/>
      </w:numPr>
      <w:spacing w:after="240" w:line="276" w:lineRule="auto"/>
      <w:jc w:val="both"/>
    </w:pPr>
    <w:rPr>
      <w:rFonts w:ascii="Arial" w:eastAsia="Times New Roman" w:hAnsi="Arial"/>
      <w:szCs w:val="24"/>
      <w:lang w:eastAsia="cs-CZ"/>
    </w:rPr>
  </w:style>
  <w:style w:type="paragraph" w:customStyle="1" w:styleId="Box1">
    <w:name w:val="Box 1"/>
    <w:next w:val="Normln"/>
    <w:qFormat/>
    <w:rsid w:val="00EA0987"/>
    <w:pPr>
      <w:shd w:val="clear" w:color="auto" w:fill="F0F6E9"/>
      <w:spacing w:before="240" w:after="240" w:line="276" w:lineRule="auto"/>
      <w:ind w:left="709"/>
      <w:contextualSpacing/>
      <w:jc w:val="both"/>
    </w:pPr>
    <w:rPr>
      <w:rFonts w:ascii="Arial" w:hAnsi="Arial" w:cs="Arial"/>
      <w:lang w:eastAsia="cs-CZ"/>
    </w:rPr>
  </w:style>
  <w:style w:type="paragraph" w:customStyle="1" w:styleId="Box2">
    <w:name w:val="Box 2"/>
    <w:next w:val="Normln"/>
    <w:qFormat/>
    <w:rsid w:val="00EA0987"/>
    <w:pPr>
      <w:spacing w:before="240" w:after="240" w:line="276" w:lineRule="auto"/>
      <w:ind w:left="709"/>
      <w:contextualSpacing/>
      <w:jc w:val="both"/>
    </w:pPr>
    <w:rPr>
      <w:rFonts w:ascii="Arial" w:hAnsi="Arial" w:cs="Arial"/>
      <w:b/>
      <w:color w:val="86BF5E"/>
      <w:lang w:eastAsia="cs-CZ"/>
    </w:rPr>
  </w:style>
  <w:style w:type="character" w:styleId="Zdraznnintenzivn">
    <w:name w:val="Intense Emphasis"/>
    <w:basedOn w:val="Standardnpsmoodstavce"/>
    <w:uiPriority w:val="21"/>
    <w:qFormat/>
    <w:rsid w:val="001E6062"/>
    <w:rPr>
      <w:i/>
      <w:iCs/>
      <w:color w:val="000000" w:themeColor="text1"/>
    </w:rPr>
  </w:style>
  <w:style w:type="character" w:styleId="Odkazintenzivn">
    <w:name w:val="Intense Reference"/>
    <w:basedOn w:val="Standardnpsmoodstavce"/>
    <w:uiPriority w:val="32"/>
    <w:qFormat/>
    <w:rsid w:val="001E6062"/>
    <w:rPr>
      <w:b/>
      <w:bCs/>
      <w:smallCaps/>
      <w:color w:val="000000" w:themeColor="text1"/>
      <w:spacing w:val="5"/>
    </w:rPr>
  </w:style>
  <w:style w:type="character" w:styleId="Znakapoznpodarou">
    <w:name w:val="footnote reference"/>
    <w:basedOn w:val="Standardnpsmoodstavce"/>
    <w:rsid w:val="00E063CE"/>
    <w:rPr>
      <w:rFonts w:cs="Times New Roman"/>
      <w:vertAlign w:val="superscript"/>
    </w:rPr>
  </w:style>
  <w:style w:type="paragraph" w:customStyle="1" w:styleId="Nadpis11">
    <w:name w:val="Nadpis 11"/>
    <w:basedOn w:val="Normln"/>
    <w:uiPriority w:val="9"/>
    <w:qFormat/>
    <w:rsid w:val="008A6CB4"/>
    <w:pPr>
      <w:keepNext/>
      <w:keepLines/>
      <w:spacing w:after="100"/>
      <w:contextualSpacing/>
      <w:jc w:val="left"/>
      <w:outlineLvl w:val="0"/>
    </w:pPr>
    <w:rPr>
      <w:rFonts w:eastAsia="MS Gothic"/>
      <w:b/>
      <w:bCs/>
      <w:color w:val="71818C"/>
      <w:sz w:val="32"/>
      <w:szCs w:val="28"/>
    </w:rPr>
  </w:style>
  <w:style w:type="paragraph" w:customStyle="1" w:styleId="Textpoznpodarou1">
    <w:name w:val="Text pozn. pod čarou1"/>
    <w:basedOn w:val="Normln"/>
    <w:qFormat/>
    <w:rsid w:val="008A6CB4"/>
    <w:pPr>
      <w:spacing w:after="0" w:line="240" w:lineRule="auto"/>
      <w:jc w:val="left"/>
    </w:pPr>
    <w:rPr>
      <w:rFonts w:eastAsia="Calibri"/>
      <w:szCs w:val="20"/>
    </w:rPr>
  </w:style>
  <w:style w:type="character" w:styleId="Zdraznn">
    <w:name w:val="Emphasis"/>
    <w:basedOn w:val="Standardnpsmoodstavce"/>
    <w:uiPriority w:val="20"/>
    <w:qFormat/>
    <w:rsid w:val="00C4431F"/>
    <w:rPr>
      <w:i/>
      <w:iCs/>
    </w:rPr>
  </w:style>
  <w:style w:type="character" w:customStyle="1" w:styleId="normaltextrun">
    <w:name w:val="normaltextrun"/>
    <w:basedOn w:val="Standardnpsmoodstavce"/>
    <w:rsid w:val="00C4431F"/>
  </w:style>
  <w:style w:type="paragraph" w:customStyle="1" w:styleId="paragraph">
    <w:name w:val="paragraph"/>
    <w:basedOn w:val="Normln"/>
    <w:rsid w:val="00C4431F"/>
    <w:pPr>
      <w:spacing w:before="100" w:beforeAutospacing="1" w:after="100" w:afterAutospacing="1" w:line="240" w:lineRule="auto"/>
      <w:jc w:val="left"/>
    </w:pPr>
    <w:rPr>
      <w:rFonts w:ascii="Times New Roman" w:hAnsi="Times New Roman"/>
      <w:sz w:val="24"/>
    </w:rPr>
  </w:style>
  <w:style w:type="character" w:customStyle="1" w:styleId="eop">
    <w:name w:val="eop"/>
    <w:basedOn w:val="Standardnpsmoodstavce"/>
    <w:rsid w:val="00C4431F"/>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dpisobsahu">
    <w:name w:val="TOC Heading"/>
    <w:basedOn w:val="Nadpis1"/>
    <w:next w:val="Normln"/>
    <w:uiPriority w:val="39"/>
    <w:unhideWhenUsed/>
    <w:qFormat/>
    <w:rsid w:val="00603FF5"/>
    <w:pPr>
      <w:spacing w:before="240" w:after="0" w:line="259" w:lineRule="auto"/>
      <w:contextualSpacing w:val="0"/>
      <w:outlineLvl w:val="9"/>
    </w:pPr>
    <w:rPr>
      <w:rFonts w:asciiTheme="majorHAnsi" w:eastAsiaTheme="majorEastAsia" w:hAnsiTheme="majorHAnsi" w:cstheme="majorBidi"/>
      <w:b w:val="0"/>
      <w:bCs w:val="0"/>
      <w:color w:val="365F91" w:themeColor="accent1" w:themeShade="BF"/>
      <w:szCs w:val="32"/>
    </w:rPr>
  </w:style>
  <w:style w:type="character" w:styleId="Odkaznakoment">
    <w:name w:val="annotation reference"/>
    <w:basedOn w:val="Standardnpsmoodstavce"/>
    <w:uiPriority w:val="99"/>
    <w:semiHidden/>
    <w:unhideWhenUsed/>
    <w:rsid w:val="00545512"/>
    <w:rPr>
      <w:sz w:val="16"/>
      <w:szCs w:val="16"/>
    </w:rPr>
  </w:style>
  <w:style w:type="paragraph" w:styleId="Textkomente">
    <w:name w:val="annotation text"/>
    <w:basedOn w:val="Normln"/>
    <w:link w:val="TextkomenteChar"/>
    <w:uiPriority w:val="99"/>
    <w:unhideWhenUsed/>
    <w:rsid w:val="00545512"/>
    <w:pPr>
      <w:spacing w:line="240" w:lineRule="auto"/>
    </w:pPr>
    <w:rPr>
      <w:szCs w:val="20"/>
    </w:rPr>
  </w:style>
  <w:style w:type="character" w:customStyle="1" w:styleId="TextkomenteChar">
    <w:name w:val="Text komentáře Char"/>
    <w:basedOn w:val="Standardnpsmoodstavce"/>
    <w:link w:val="Textkomente"/>
    <w:uiPriority w:val="99"/>
    <w:rsid w:val="00545512"/>
    <w:rPr>
      <w:rFonts w:ascii="Arial" w:eastAsia="Times New Roman" w:hAnsi="Arial"/>
      <w:lang w:eastAsia="cs-CZ"/>
    </w:rPr>
  </w:style>
  <w:style w:type="paragraph" w:styleId="Pedmtkomente">
    <w:name w:val="annotation subject"/>
    <w:basedOn w:val="Textkomente"/>
    <w:next w:val="Textkomente"/>
    <w:link w:val="PedmtkomenteChar"/>
    <w:uiPriority w:val="99"/>
    <w:semiHidden/>
    <w:unhideWhenUsed/>
    <w:rsid w:val="00545512"/>
    <w:rPr>
      <w:b/>
      <w:bCs/>
    </w:rPr>
  </w:style>
  <w:style w:type="character" w:customStyle="1" w:styleId="PedmtkomenteChar">
    <w:name w:val="Předmět komentáře Char"/>
    <w:basedOn w:val="TextkomenteChar"/>
    <w:link w:val="Pedmtkomente"/>
    <w:uiPriority w:val="99"/>
    <w:semiHidden/>
    <w:rsid w:val="00545512"/>
    <w:rPr>
      <w:rFonts w:ascii="Arial" w:eastAsia="Times New Roman" w:hAnsi="Arial"/>
      <w:b/>
      <w:bCs/>
      <w:lang w:eastAsia="cs-CZ"/>
    </w:rPr>
  </w:style>
  <w:style w:type="paragraph" w:styleId="Rozloendokumentu">
    <w:name w:val="Document Map"/>
    <w:basedOn w:val="Normln"/>
    <w:link w:val="RozloendokumentuChar"/>
    <w:uiPriority w:val="99"/>
    <w:semiHidden/>
    <w:rsid w:val="00545512"/>
    <w:pPr>
      <w:spacing w:after="0" w:line="288" w:lineRule="auto"/>
      <w:jc w:val="left"/>
    </w:pPr>
    <w:rPr>
      <w:rFonts w:ascii="Tahoma" w:eastAsia="Calibri" w:hAnsi="Tahoma" w:cs="Tahoma"/>
      <w:sz w:val="16"/>
      <w:szCs w:val="16"/>
    </w:rPr>
  </w:style>
  <w:style w:type="character" w:customStyle="1" w:styleId="RozloendokumentuChar">
    <w:name w:val="Rozložení dokumentu Char"/>
    <w:basedOn w:val="Standardnpsmoodstavce"/>
    <w:link w:val="Rozloendokumentu"/>
    <w:uiPriority w:val="99"/>
    <w:semiHidden/>
    <w:rsid w:val="00545512"/>
    <w:rPr>
      <w:rFonts w:ascii="Tahoma" w:hAnsi="Tahoma" w:cs="Tahoma"/>
      <w:sz w:val="16"/>
      <w:szCs w:val="16"/>
      <w:lang w:eastAsia="cs-CZ"/>
    </w:rPr>
  </w:style>
  <w:style w:type="paragraph" w:customStyle="1" w:styleId="Nadpis12">
    <w:name w:val="Nadpis 12"/>
    <w:basedOn w:val="Normln"/>
    <w:uiPriority w:val="9"/>
    <w:qFormat/>
    <w:rsid w:val="00545512"/>
    <w:pPr>
      <w:keepNext/>
      <w:keepLines/>
      <w:spacing w:after="100"/>
      <w:contextualSpacing/>
      <w:jc w:val="left"/>
      <w:outlineLvl w:val="0"/>
    </w:pPr>
    <w:rPr>
      <w:rFonts w:eastAsia="MS Gothic"/>
      <w:b/>
      <w:bCs/>
      <w:color w:val="71818C"/>
      <w:sz w:val="32"/>
      <w:szCs w:val="28"/>
    </w:rPr>
  </w:style>
  <w:style w:type="character" w:customStyle="1" w:styleId="spelle">
    <w:name w:val="spelle"/>
    <w:basedOn w:val="Standardnpsmoodstavce"/>
    <w:rsid w:val="00545512"/>
  </w:style>
  <w:style w:type="paragraph" w:styleId="Revize">
    <w:name w:val="Revision"/>
    <w:hidden/>
    <w:uiPriority w:val="99"/>
    <w:semiHidden/>
    <w:rsid w:val="00545512"/>
    <w:rPr>
      <w:rFonts w:ascii="Arial" w:eastAsia="Times New Roman" w:hAnsi="Arial"/>
      <w:szCs w:val="24"/>
      <w:lang w:eastAsia="cs-CZ"/>
    </w:rPr>
  </w:style>
  <w:style w:type="character" w:customStyle="1" w:styleId="odkaz-style-wrapper">
    <w:name w:val="odkaz-style-wrapper"/>
    <w:basedOn w:val="Standardnpsmoodstavce"/>
    <w:rsid w:val="00545512"/>
  </w:style>
  <w:style w:type="character" w:customStyle="1" w:styleId="tabulka">
    <w:name w:val="tabulka"/>
    <w:basedOn w:val="Standardnpsmoodstavce"/>
    <w:rsid w:val="00545512"/>
  </w:style>
  <w:style w:type="paragraph" w:customStyle="1" w:styleId="Default">
    <w:name w:val="Default"/>
    <w:rsid w:val="00545512"/>
    <w:pPr>
      <w:autoSpaceDE w:val="0"/>
      <w:autoSpaceDN w:val="0"/>
      <w:adjustRightInd w:val="0"/>
    </w:pPr>
    <w:rPr>
      <w:rFonts w:cs="Calibri"/>
      <w:color w:val="000000"/>
      <w:sz w:val="24"/>
      <w:szCs w:val="24"/>
    </w:rPr>
  </w:style>
  <w:style w:type="paragraph" w:styleId="Normlnweb">
    <w:name w:val="Normal (Web)"/>
    <w:basedOn w:val="Normln"/>
    <w:uiPriority w:val="99"/>
    <w:semiHidden/>
    <w:unhideWhenUsed/>
    <w:rsid w:val="00545512"/>
    <w:pPr>
      <w:spacing w:before="100" w:beforeAutospacing="1" w:after="100" w:afterAutospacing="1" w:line="240" w:lineRule="auto"/>
      <w:jc w:val="left"/>
    </w:pPr>
    <w:rPr>
      <w:rFonts w:ascii="Times New Roman" w:hAnsi="Times New Roman"/>
      <w:sz w:val="24"/>
    </w:rPr>
  </w:style>
  <w:style w:type="paragraph" w:styleId="FormtovanvHTML">
    <w:name w:val="HTML Preformatted"/>
    <w:basedOn w:val="Normln"/>
    <w:link w:val="FormtovanvHTMLChar"/>
    <w:uiPriority w:val="99"/>
    <w:semiHidden/>
    <w:unhideWhenUsed/>
    <w:rsid w:val="00545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Cs w:val="20"/>
    </w:rPr>
  </w:style>
  <w:style w:type="character" w:customStyle="1" w:styleId="FormtovanvHTMLChar">
    <w:name w:val="Formátovaný v HTML Char"/>
    <w:basedOn w:val="Standardnpsmoodstavce"/>
    <w:link w:val="FormtovanvHTML"/>
    <w:uiPriority w:val="99"/>
    <w:semiHidden/>
    <w:rsid w:val="00545512"/>
    <w:rPr>
      <w:rFonts w:ascii="Courier New" w:eastAsia="Times New Roman" w:hAnsi="Courier New" w:cs="Courier New"/>
      <w:lang w:eastAsia="cs-CZ"/>
    </w:rPr>
  </w:style>
  <w:style w:type="paragraph" w:customStyle="1" w:styleId="cay">
    <w:name w:val="c_ay"/>
    <w:basedOn w:val="Normln"/>
    <w:rsid w:val="00545512"/>
    <w:pPr>
      <w:spacing w:before="100" w:beforeAutospacing="1" w:after="100" w:afterAutospacing="1" w:line="240" w:lineRule="auto"/>
      <w:jc w:val="left"/>
    </w:pPr>
    <w:rPr>
      <w:rFonts w:ascii="Times New Roman" w:hAnsi="Times New Roman"/>
      <w:sz w:val="24"/>
    </w:rPr>
  </w:style>
  <w:style w:type="character" w:customStyle="1" w:styleId="cew">
    <w:name w:val="c_ew"/>
    <w:basedOn w:val="Standardnpsmoodstavce"/>
    <w:rsid w:val="00545512"/>
  </w:style>
  <w:style w:type="character" w:styleId="Sledovanodkaz">
    <w:name w:val="FollowedHyperlink"/>
    <w:basedOn w:val="Standardnpsmoodstavce"/>
    <w:uiPriority w:val="99"/>
    <w:semiHidden/>
    <w:unhideWhenUsed/>
    <w:rsid w:val="00545512"/>
    <w:rPr>
      <w:color w:val="800080" w:themeColor="followedHyperlink"/>
      <w:u w:val="single"/>
    </w:rPr>
  </w:style>
  <w:style w:type="character" w:customStyle="1" w:styleId="cfu">
    <w:name w:val="c_fu"/>
    <w:basedOn w:val="Standardnpsmoodstavce"/>
    <w:rsid w:val="00BF3B1D"/>
  </w:style>
  <w:style w:type="character" w:customStyle="1" w:styleId="OdstavecseseznamemChar">
    <w:name w:val="Odstavec se seznamem Char"/>
    <w:basedOn w:val="Standardnpsmoodstavce"/>
    <w:link w:val="Odstavecseseznamem"/>
    <w:uiPriority w:val="34"/>
    <w:rsid w:val="00CF59E5"/>
    <w:rPr>
      <w:rFonts w:ascii="Arial" w:eastAsia="Times New Roman" w:hAnsi="Arial"/>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66344914">
      <w:bodyDiv w:val="1"/>
      <w:marLeft w:val="0"/>
      <w:marRight w:val="0"/>
      <w:marTop w:val="0"/>
      <w:marBottom w:val="0"/>
      <w:divBdr>
        <w:top w:val="none" w:sz="0" w:space="0" w:color="auto"/>
        <w:left w:val="none" w:sz="0" w:space="0" w:color="auto"/>
        <w:bottom w:val="none" w:sz="0" w:space="0" w:color="auto"/>
        <w:right w:val="none" w:sz="0" w:space="0" w:color="auto"/>
      </w:divBdr>
    </w:div>
    <w:div w:id="110517919">
      <w:bodyDiv w:val="1"/>
      <w:marLeft w:val="0"/>
      <w:marRight w:val="0"/>
      <w:marTop w:val="0"/>
      <w:marBottom w:val="0"/>
      <w:divBdr>
        <w:top w:val="none" w:sz="0" w:space="0" w:color="auto"/>
        <w:left w:val="none" w:sz="0" w:space="0" w:color="auto"/>
        <w:bottom w:val="none" w:sz="0" w:space="0" w:color="auto"/>
        <w:right w:val="none" w:sz="0" w:space="0" w:color="auto"/>
      </w:divBdr>
    </w:div>
    <w:div w:id="112676334">
      <w:bodyDiv w:val="1"/>
      <w:marLeft w:val="0"/>
      <w:marRight w:val="0"/>
      <w:marTop w:val="0"/>
      <w:marBottom w:val="0"/>
      <w:divBdr>
        <w:top w:val="none" w:sz="0" w:space="0" w:color="auto"/>
        <w:left w:val="none" w:sz="0" w:space="0" w:color="auto"/>
        <w:bottom w:val="none" w:sz="0" w:space="0" w:color="auto"/>
        <w:right w:val="none" w:sz="0" w:space="0" w:color="auto"/>
      </w:divBdr>
    </w:div>
    <w:div w:id="243729605">
      <w:bodyDiv w:val="1"/>
      <w:marLeft w:val="0"/>
      <w:marRight w:val="0"/>
      <w:marTop w:val="0"/>
      <w:marBottom w:val="0"/>
      <w:divBdr>
        <w:top w:val="none" w:sz="0" w:space="0" w:color="auto"/>
        <w:left w:val="none" w:sz="0" w:space="0" w:color="auto"/>
        <w:bottom w:val="none" w:sz="0" w:space="0" w:color="auto"/>
        <w:right w:val="none" w:sz="0" w:space="0" w:color="auto"/>
      </w:divBdr>
    </w:div>
    <w:div w:id="255015632">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387458773">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733701289">
      <w:bodyDiv w:val="1"/>
      <w:marLeft w:val="0"/>
      <w:marRight w:val="0"/>
      <w:marTop w:val="0"/>
      <w:marBottom w:val="0"/>
      <w:divBdr>
        <w:top w:val="none" w:sz="0" w:space="0" w:color="auto"/>
        <w:left w:val="none" w:sz="0" w:space="0" w:color="auto"/>
        <w:bottom w:val="none" w:sz="0" w:space="0" w:color="auto"/>
        <w:right w:val="none" w:sz="0" w:space="0" w:color="auto"/>
      </w:divBdr>
    </w:div>
    <w:div w:id="883518353">
      <w:bodyDiv w:val="1"/>
      <w:marLeft w:val="0"/>
      <w:marRight w:val="0"/>
      <w:marTop w:val="0"/>
      <w:marBottom w:val="0"/>
      <w:divBdr>
        <w:top w:val="none" w:sz="0" w:space="0" w:color="auto"/>
        <w:left w:val="none" w:sz="0" w:space="0" w:color="auto"/>
        <w:bottom w:val="none" w:sz="0" w:space="0" w:color="auto"/>
        <w:right w:val="none" w:sz="0" w:space="0" w:color="auto"/>
      </w:divBdr>
    </w:div>
    <w:div w:id="932319695">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276136441">
      <w:bodyDiv w:val="1"/>
      <w:marLeft w:val="0"/>
      <w:marRight w:val="0"/>
      <w:marTop w:val="0"/>
      <w:marBottom w:val="0"/>
      <w:divBdr>
        <w:top w:val="none" w:sz="0" w:space="0" w:color="auto"/>
        <w:left w:val="none" w:sz="0" w:space="0" w:color="auto"/>
        <w:bottom w:val="none" w:sz="0" w:space="0" w:color="auto"/>
        <w:right w:val="none" w:sz="0" w:space="0" w:color="auto"/>
      </w:divBdr>
    </w:div>
    <w:div w:id="128300063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66721734">
      <w:bodyDiv w:val="1"/>
      <w:marLeft w:val="0"/>
      <w:marRight w:val="0"/>
      <w:marTop w:val="0"/>
      <w:marBottom w:val="0"/>
      <w:divBdr>
        <w:top w:val="none" w:sz="0" w:space="0" w:color="auto"/>
        <w:left w:val="none" w:sz="0" w:space="0" w:color="auto"/>
        <w:bottom w:val="none" w:sz="0" w:space="0" w:color="auto"/>
        <w:right w:val="none" w:sz="0" w:space="0" w:color="auto"/>
      </w:divBdr>
    </w:div>
    <w:div w:id="1639457441">
      <w:bodyDiv w:val="1"/>
      <w:marLeft w:val="0"/>
      <w:marRight w:val="0"/>
      <w:marTop w:val="0"/>
      <w:marBottom w:val="0"/>
      <w:divBdr>
        <w:top w:val="none" w:sz="0" w:space="0" w:color="auto"/>
        <w:left w:val="none" w:sz="0" w:space="0" w:color="auto"/>
        <w:bottom w:val="none" w:sz="0" w:space="0" w:color="auto"/>
        <w:right w:val="none" w:sz="0" w:space="0" w:color="auto"/>
      </w:divBdr>
    </w:div>
    <w:div w:id="1716924412">
      <w:bodyDiv w:val="1"/>
      <w:marLeft w:val="0"/>
      <w:marRight w:val="0"/>
      <w:marTop w:val="0"/>
      <w:marBottom w:val="0"/>
      <w:divBdr>
        <w:top w:val="none" w:sz="0" w:space="0" w:color="auto"/>
        <w:left w:val="none" w:sz="0" w:space="0" w:color="auto"/>
        <w:bottom w:val="none" w:sz="0" w:space="0" w:color="auto"/>
        <w:right w:val="none" w:sz="0" w:space="0" w:color="auto"/>
      </w:divBdr>
    </w:div>
    <w:div w:id="1856962653">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06206753">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czso.cz/csu/czso/aktualizace-metody-propoctu-zahranicni-obchod-se-zbozi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https://czsocz-my.sharepoint.com/personal/karolina_zabojnikova_czso_cz/Documents/Dokumenty/Anal&#253;za/Q/2025Q4/Makroanal&#253;za%20grafy.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czsocz-my.sharepoint.com/personal/karolina_zabojnikova_czso_cz/Documents/Dokumenty/Anal&#253;za/Q/2025Q4/Makroanal&#253;za%20grafy.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3069916774474014E-2"/>
          <c:y val="4.15424531457926E-2"/>
          <c:w val="0.88202003907252513"/>
          <c:h val="0.82832098852603697"/>
        </c:manualLayout>
      </c:layout>
      <c:barChart>
        <c:barDir val="col"/>
        <c:grouping val="clustered"/>
        <c:varyColors val="0"/>
        <c:ser>
          <c:idx val="2"/>
          <c:order val="2"/>
          <c:tx>
            <c:strRef>
              <c:f>'Vnější vztahy_a'!$D$4</c:f>
              <c:strCache>
                <c:ptCount val="1"/>
                <c:pt idx="0">
                  <c:v>Bilance</c:v>
                </c:pt>
              </c:strCache>
            </c:strRef>
          </c:tx>
          <c:spPr>
            <a:solidFill>
              <a:srgbClr val="B8BBC0"/>
            </a:solidFill>
            <a:ln>
              <a:noFill/>
            </a:ln>
            <a:effectLst/>
          </c:spPr>
          <c:invertIfNegative val="0"/>
          <c:cat>
            <c:strRef>
              <c:f>'Vnější vztahy_a'!$A$10:$A$24</c:f>
              <c:strCache>
                <c:ptCount val="15"/>
                <c:pt idx="0">
                  <c:v>2011</c:v>
                </c:pt>
                <c:pt idx="1">
                  <c:v>2012</c:v>
                </c:pt>
                <c:pt idx="2">
                  <c:v>2013</c:v>
                </c:pt>
                <c:pt idx="3">
                  <c:v>2014</c:v>
                </c:pt>
                <c:pt idx="4">
                  <c:v> 2015</c:v>
                </c:pt>
                <c:pt idx="5">
                  <c:v>2016</c:v>
                </c:pt>
                <c:pt idx="6">
                  <c:v>2017</c:v>
                </c:pt>
                <c:pt idx="7">
                  <c:v>2018</c:v>
                </c:pt>
                <c:pt idx="8">
                  <c:v>2019</c:v>
                </c:pt>
                <c:pt idx="9">
                  <c:v>2020</c:v>
                </c:pt>
                <c:pt idx="10">
                  <c:v>2021</c:v>
                </c:pt>
                <c:pt idx="11">
                  <c:v>2022</c:v>
                </c:pt>
                <c:pt idx="12">
                  <c:v>2023</c:v>
                </c:pt>
                <c:pt idx="13">
                  <c:v>2024</c:v>
                </c:pt>
                <c:pt idx="14">
                  <c:v>2025</c:v>
                </c:pt>
              </c:strCache>
            </c:strRef>
          </c:cat>
          <c:val>
            <c:numRef>
              <c:f>'Vnější vztahy_a'!$D$10:$D$24</c:f>
              <c:numCache>
                <c:formatCode>General</c:formatCode>
                <c:ptCount val="15"/>
                <c:pt idx="0">
                  <c:v>11.977</c:v>
                </c:pt>
                <c:pt idx="1">
                  <c:v>64.41</c:v>
                </c:pt>
                <c:pt idx="2">
                  <c:v>106.518</c:v>
                </c:pt>
                <c:pt idx="3">
                  <c:v>146.00899999999999</c:v>
                </c:pt>
                <c:pt idx="4">
                  <c:v>130.97677807700001</c:v>
                </c:pt>
                <c:pt idx="5">
                  <c:v>163.65449183600001</c:v>
                </c:pt>
                <c:pt idx="6">
                  <c:v>163.466347926</c:v>
                </c:pt>
                <c:pt idx="7">
                  <c:v>98.465823833000002</c:v>
                </c:pt>
                <c:pt idx="8">
                  <c:v>145.69471741100003</c:v>
                </c:pt>
                <c:pt idx="9">
                  <c:v>179.640176981</c:v>
                </c:pt>
                <c:pt idx="10">
                  <c:v>-9.2046428370000104</c:v>
                </c:pt>
                <c:pt idx="11">
                  <c:v>-204.81458465799997</c:v>
                </c:pt>
                <c:pt idx="12">
                  <c:v>122.50250792899999</c:v>
                </c:pt>
                <c:pt idx="13">
                  <c:v>220.48893297799998</c:v>
                </c:pt>
                <c:pt idx="14">
                  <c:v>212.849708921</c:v>
                </c:pt>
              </c:numCache>
            </c:numRef>
          </c:val>
          <c:extLst>
            <c:ext xmlns:c16="http://schemas.microsoft.com/office/drawing/2014/chart" uri="{C3380CC4-5D6E-409C-BE32-E72D297353CC}">
              <c16:uniqueId val="{00000000-936B-4422-A1FB-D1056C4D6232}"/>
            </c:ext>
          </c:extLst>
        </c:ser>
        <c:dLbls>
          <c:showLegendKey val="0"/>
          <c:showVal val="0"/>
          <c:showCatName val="0"/>
          <c:showSerName val="0"/>
          <c:showPercent val="0"/>
          <c:showBubbleSize val="0"/>
        </c:dLbls>
        <c:gapWidth val="90"/>
        <c:axId val="1171842912"/>
        <c:axId val="1599917024"/>
      </c:barChart>
      <c:lineChart>
        <c:grouping val="standard"/>
        <c:varyColors val="0"/>
        <c:ser>
          <c:idx val="0"/>
          <c:order val="0"/>
          <c:tx>
            <c:strRef>
              <c:f>'Vnější vztahy_a'!$B$4</c:f>
              <c:strCache>
                <c:ptCount val="1"/>
                <c:pt idx="0">
                  <c:v>Vývoz</c:v>
                </c:pt>
              </c:strCache>
            </c:strRef>
          </c:tx>
          <c:spPr>
            <a:ln w="6350" cap="rnd">
              <a:noFill/>
              <a:prstDash val="sysDot"/>
              <a:round/>
            </a:ln>
            <a:effectLst/>
          </c:spPr>
          <c:marker>
            <c:symbol val="dash"/>
            <c:size val="10"/>
            <c:spPr>
              <a:solidFill>
                <a:srgbClr val="174F70"/>
              </a:solidFill>
              <a:ln w="9525">
                <a:solidFill>
                  <a:schemeClr val="accent1"/>
                </a:solidFill>
              </a:ln>
              <a:effectLst/>
            </c:spPr>
          </c:marker>
          <c:cat>
            <c:strRef>
              <c:f>'Vnější vztahy_a'!$A$10:$A$24</c:f>
              <c:strCache>
                <c:ptCount val="15"/>
                <c:pt idx="0">
                  <c:v>2011</c:v>
                </c:pt>
                <c:pt idx="1">
                  <c:v>2012</c:v>
                </c:pt>
                <c:pt idx="2">
                  <c:v>2013</c:v>
                </c:pt>
                <c:pt idx="3">
                  <c:v>2014</c:v>
                </c:pt>
                <c:pt idx="4">
                  <c:v> 2015</c:v>
                </c:pt>
                <c:pt idx="5">
                  <c:v>2016</c:v>
                </c:pt>
                <c:pt idx="6">
                  <c:v>2017</c:v>
                </c:pt>
                <c:pt idx="7">
                  <c:v>2018</c:v>
                </c:pt>
                <c:pt idx="8">
                  <c:v>2019</c:v>
                </c:pt>
                <c:pt idx="9">
                  <c:v>2020</c:v>
                </c:pt>
                <c:pt idx="10">
                  <c:v>2021</c:v>
                </c:pt>
                <c:pt idx="11">
                  <c:v>2022</c:v>
                </c:pt>
                <c:pt idx="12">
                  <c:v>2023</c:v>
                </c:pt>
                <c:pt idx="13">
                  <c:v>2024</c:v>
                </c:pt>
                <c:pt idx="14">
                  <c:v>2025</c:v>
                </c:pt>
              </c:strCache>
            </c:strRef>
          </c:cat>
          <c:val>
            <c:numRef>
              <c:f>'Vnější vztahy_a'!$B$10:$B$24</c:f>
              <c:numCache>
                <c:formatCode>0.0_ ;[Red]\-0.0\ </c:formatCode>
                <c:ptCount val="15"/>
                <c:pt idx="0">
                  <c:v>10.112037607700053</c:v>
                </c:pt>
                <c:pt idx="1">
                  <c:v>6.0251090942966021</c:v>
                </c:pt>
                <c:pt idx="2">
                  <c:v>2.2153513610284965</c:v>
                </c:pt>
                <c:pt idx="3">
                  <c:v>13.027208809035864</c:v>
                </c:pt>
                <c:pt idx="4">
                  <c:v>3.612768163576892</c:v>
                </c:pt>
                <c:pt idx="5">
                  <c:v>1.1074296541764621</c:v>
                </c:pt>
                <c:pt idx="6">
                  <c:v>6.4802705295808352</c:v>
                </c:pt>
                <c:pt idx="7">
                  <c:v>2.9418083571864679</c:v>
                </c:pt>
                <c:pt idx="8">
                  <c:v>2.0884439685547518</c:v>
                </c:pt>
                <c:pt idx="9">
                  <c:v>-7.0747075448299643</c:v>
                </c:pt>
                <c:pt idx="10">
                  <c:v>13.140723420675538</c:v>
                </c:pt>
                <c:pt idx="11">
                  <c:v>13.550170704130682</c:v>
                </c:pt>
                <c:pt idx="12">
                  <c:v>0.79694469771656307</c:v>
                </c:pt>
                <c:pt idx="13">
                  <c:v>4.9690195136451756</c:v>
                </c:pt>
                <c:pt idx="14">
                  <c:v>2.7096717287192265</c:v>
                </c:pt>
              </c:numCache>
            </c:numRef>
          </c:val>
          <c:smooth val="0"/>
          <c:extLst>
            <c:ext xmlns:c16="http://schemas.microsoft.com/office/drawing/2014/chart" uri="{C3380CC4-5D6E-409C-BE32-E72D297353CC}">
              <c16:uniqueId val="{00000001-936B-4422-A1FB-D1056C4D6232}"/>
            </c:ext>
          </c:extLst>
        </c:ser>
        <c:ser>
          <c:idx val="1"/>
          <c:order val="1"/>
          <c:tx>
            <c:strRef>
              <c:f>'Vnější vztahy_a'!$C$4</c:f>
              <c:strCache>
                <c:ptCount val="1"/>
                <c:pt idx="0">
                  <c:v>Dovoz</c:v>
                </c:pt>
              </c:strCache>
            </c:strRef>
          </c:tx>
          <c:spPr>
            <a:ln w="6350" cap="rnd">
              <a:noFill/>
              <a:prstDash val="sysDot"/>
              <a:round/>
            </a:ln>
            <a:effectLst/>
          </c:spPr>
          <c:marker>
            <c:symbol val="dash"/>
            <c:size val="10"/>
            <c:spPr>
              <a:solidFill>
                <a:srgbClr val="BC5B80"/>
              </a:solidFill>
              <a:ln w="9525">
                <a:solidFill>
                  <a:schemeClr val="accent2"/>
                </a:solidFill>
              </a:ln>
              <a:effectLst/>
            </c:spPr>
          </c:marker>
          <c:cat>
            <c:strRef>
              <c:f>'Vnější vztahy_a'!$A$10:$A$24</c:f>
              <c:strCache>
                <c:ptCount val="15"/>
                <c:pt idx="0">
                  <c:v>2011</c:v>
                </c:pt>
                <c:pt idx="1">
                  <c:v>2012</c:v>
                </c:pt>
                <c:pt idx="2">
                  <c:v>2013</c:v>
                </c:pt>
                <c:pt idx="3">
                  <c:v>2014</c:v>
                </c:pt>
                <c:pt idx="4">
                  <c:v> 2015</c:v>
                </c:pt>
                <c:pt idx="5">
                  <c:v>2016</c:v>
                </c:pt>
                <c:pt idx="6">
                  <c:v>2017</c:v>
                </c:pt>
                <c:pt idx="7">
                  <c:v>2018</c:v>
                </c:pt>
                <c:pt idx="8">
                  <c:v>2019</c:v>
                </c:pt>
                <c:pt idx="9">
                  <c:v>2020</c:v>
                </c:pt>
                <c:pt idx="10">
                  <c:v>2021</c:v>
                </c:pt>
                <c:pt idx="11">
                  <c:v>2022</c:v>
                </c:pt>
                <c:pt idx="12">
                  <c:v>2023</c:v>
                </c:pt>
                <c:pt idx="13">
                  <c:v>2024</c:v>
                </c:pt>
                <c:pt idx="14">
                  <c:v>2025</c:v>
                </c:pt>
              </c:strCache>
            </c:strRef>
          </c:cat>
          <c:val>
            <c:numRef>
              <c:f>'Vnější vztahy_a'!$C$10:$C$24</c:f>
              <c:numCache>
                <c:formatCode>0.0_ ;[Red]\-0.0\ </c:formatCode>
                <c:ptCount val="15"/>
                <c:pt idx="0">
                  <c:v>8.6415161627225725</c:v>
                </c:pt>
                <c:pt idx="1">
                  <c:v>4.0042767307394715</c:v>
                </c:pt>
                <c:pt idx="2">
                  <c:v>0.68681070942259659</c:v>
                </c:pt>
                <c:pt idx="3">
                  <c:v>12.071376353644107</c:v>
                </c:pt>
                <c:pt idx="4">
                  <c:v>4.2889556626306211</c:v>
                </c:pt>
                <c:pt idx="5">
                  <c:v>0.11038963287046219</c:v>
                </c:pt>
                <c:pt idx="6">
                  <c:v>6.8245079237178157</c:v>
                </c:pt>
                <c:pt idx="7">
                  <c:v>5.0260247733996914</c:v>
                </c:pt>
                <c:pt idx="8">
                  <c:v>0.80432261722676923</c:v>
                </c:pt>
                <c:pt idx="9">
                  <c:v>-8.3226511448622933</c:v>
                </c:pt>
                <c:pt idx="10">
                  <c:v>19.675778990593603</c:v>
                </c:pt>
                <c:pt idx="11">
                  <c:v>18.545883799731584</c:v>
                </c:pt>
                <c:pt idx="12">
                  <c:v>-6.3353146664739706</c:v>
                </c:pt>
                <c:pt idx="13">
                  <c:v>2.8416928227328686</c:v>
                </c:pt>
                <c:pt idx="14">
                  <c:v>3.0161013750529522</c:v>
                </c:pt>
              </c:numCache>
            </c:numRef>
          </c:val>
          <c:smooth val="0"/>
          <c:extLst>
            <c:ext xmlns:c16="http://schemas.microsoft.com/office/drawing/2014/chart" uri="{C3380CC4-5D6E-409C-BE32-E72D297353CC}">
              <c16:uniqueId val="{00000002-936B-4422-A1FB-D1056C4D6232}"/>
            </c:ext>
          </c:extLst>
        </c:ser>
        <c:dLbls>
          <c:showLegendKey val="0"/>
          <c:showVal val="0"/>
          <c:showCatName val="0"/>
          <c:showSerName val="0"/>
          <c:showPercent val="0"/>
          <c:showBubbleSize val="0"/>
        </c:dLbls>
        <c:marker val="1"/>
        <c:smooth val="0"/>
        <c:axId val="1603910352"/>
        <c:axId val="1603910768"/>
      </c:lineChart>
      <c:catAx>
        <c:axId val="160391035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mn-cs"/>
              </a:defRPr>
            </a:pPr>
            <a:endParaRPr lang="cs-CZ"/>
          </a:p>
        </c:txPr>
        <c:crossAx val="1603910768"/>
        <c:crosses val="autoZero"/>
        <c:auto val="1"/>
        <c:lblAlgn val="ctr"/>
        <c:lblOffset val="100"/>
        <c:noMultiLvlLbl val="0"/>
      </c:catAx>
      <c:valAx>
        <c:axId val="1603910768"/>
        <c:scaling>
          <c:orientation val="minMax"/>
          <c:max val="21"/>
          <c:min val="-15"/>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mn-cs"/>
              </a:defRPr>
            </a:pPr>
            <a:endParaRPr lang="cs-CZ"/>
          </a:p>
        </c:txPr>
        <c:crossAx val="1603910352"/>
        <c:crosses val="autoZero"/>
        <c:crossBetween val="between"/>
        <c:majorUnit val="3"/>
      </c:valAx>
      <c:valAx>
        <c:axId val="1599917024"/>
        <c:scaling>
          <c:orientation val="minMax"/>
          <c:max val="240"/>
          <c:min val="-240"/>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mn-cs"/>
              </a:defRPr>
            </a:pPr>
            <a:endParaRPr lang="cs-CZ"/>
          </a:p>
        </c:txPr>
        <c:crossAx val="1171842912"/>
        <c:crosses val="max"/>
        <c:crossBetween val="between"/>
        <c:majorUnit val="40"/>
      </c:valAx>
      <c:catAx>
        <c:axId val="1171842912"/>
        <c:scaling>
          <c:orientation val="minMax"/>
        </c:scaling>
        <c:delete val="1"/>
        <c:axPos val="b"/>
        <c:numFmt formatCode="General" sourceLinked="1"/>
        <c:majorTickMark val="out"/>
        <c:minorTickMark val="none"/>
        <c:tickLblPos val="nextTo"/>
        <c:crossAx val="1599917024"/>
        <c:crosses val="autoZero"/>
        <c:auto val="1"/>
        <c:lblAlgn val="ctr"/>
        <c:lblOffset val="100"/>
        <c:noMultiLvlLbl val="0"/>
      </c:catAx>
      <c:spPr>
        <a:noFill/>
        <a:ln>
          <a:noFill/>
        </a:ln>
        <a:effectLst/>
      </c:spPr>
    </c:plotArea>
    <c:legend>
      <c:legendPos val="b"/>
      <c:layout>
        <c:manualLayout>
          <c:xMode val="edge"/>
          <c:yMode val="edge"/>
          <c:x val="5.1326213683763958E-2"/>
          <c:y val="0.92486185348631933"/>
          <c:w val="0.92928082460835815"/>
          <c:h val="5.6065659081278391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baseline="0">
          <a:solidFill>
            <a:sysClr val="windowText" lastClr="000000"/>
          </a:solidFill>
          <a:latin typeface="Arial" panose="020B0604020202020204" pitchFamily="34" charset="0"/>
        </a:defRPr>
      </a:pPr>
      <a:endParaRPr lang="cs-C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1324074074074073E-2"/>
          <c:y val="4.0005727376861394E-2"/>
          <c:w val="0.88059911616161612"/>
          <c:h val="0.76044243986254301"/>
        </c:manualLayout>
      </c:layout>
      <c:barChart>
        <c:barDir val="col"/>
        <c:grouping val="clustered"/>
        <c:varyColors val="0"/>
        <c:ser>
          <c:idx val="2"/>
          <c:order val="2"/>
          <c:tx>
            <c:strRef>
              <c:f>'Vnější vztahy'!$E$6</c:f>
              <c:strCache>
                <c:ptCount val="1"/>
                <c:pt idx="0">
                  <c:v>Bilance</c:v>
                </c:pt>
              </c:strCache>
            </c:strRef>
          </c:tx>
          <c:spPr>
            <a:solidFill>
              <a:srgbClr val="85898E"/>
            </a:solidFill>
            <a:ln>
              <a:noFill/>
            </a:ln>
            <a:effectLst/>
          </c:spPr>
          <c:invertIfNegative val="0"/>
          <c:cat>
            <c:multiLvlStrRef>
              <c:f>'Vnější vztahy'!$A$11:$B$34</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'Vnější vztahy'!$E$11:$E$34</c:f>
              <c:numCache>
                <c:formatCode>0.0</c:formatCode>
                <c:ptCount val="24"/>
                <c:pt idx="0">
                  <c:v>36.182428658999996</c:v>
                </c:pt>
                <c:pt idx="1">
                  <c:v>9.2911503559999993</c:v>
                </c:pt>
                <c:pt idx="2">
                  <c:v>55.286836668000007</c:v>
                </c:pt>
                <c:pt idx="3">
                  <c:v>78.879761297999991</c:v>
                </c:pt>
                <c:pt idx="4">
                  <c:v>60.916821217999995</c:v>
                </c:pt>
                <c:pt idx="5">
                  <c:v>13.848192235000001</c:v>
                </c:pt>
                <c:pt idx="6">
                  <c:v>-54.700282055000002</c:v>
                </c:pt>
                <c:pt idx="7">
                  <c:v>-29.269374235000001</c:v>
                </c:pt>
                <c:pt idx="8">
                  <c:v>-12.635912592</c:v>
                </c:pt>
                <c:pt idx="9">
                  <c:v>-73.225200095999995</c:v>
                </c:pt>
                <c:pt idx="10">
                  <c:v>-64.314002961</c:v>
                </c:pt>
                <c:pt idx="11">
                  <c:v>-54.639469009000003</c:v>
                </c:pt>
                <c:pt idx="12">
                  <c:v>40.885161205999999</c:v>
                </c:pt>
                <c:pt idx="13">
                  <c:v>36.180839551999995</c:v>
                </c:pt>
                <c:pt idx="14">
                  <c:v>-1.2235418870000001</c:v>
                </c:pt>
                <c:pt idx="15">
                  <c:v>46.660049057999998</c:v>
                </c:pt>
                <c:pt idx="16">
                  <c:v>82.282917839000007</c:v>
                </c:pt>
                <c:pt idx="17">
                  <c:v>70.988541018000006</c:v>
                </c:pt>
                <c:pt idx="18">
                  <c:v>27.293198606000001</c:v>
                </c:pt>
                <c:pt idx="19">
                  <c:v>39.924275514999998</c:v>
                </c:pt>
                <c:pt idx="20">
                  <c:v>76.079699594999994</c:v>
                </c:pt>
                <c:pt idx="21">
                  <c:v>56.132810357000004</c:v>
                </c:pt>
                <c:pt idx="22">
                  <c:v>28.243833686999999</c:v>
                </c:pt>
                <c:pt idx="23">
                  <c:v>52.393365281999998</c:v>
                </c:pt>
              </c:numCache>
            </c:numRef>
          </c:val>
          <c:extLst>
            <c:ext xmlns:c16="http://schemas.microsoft.com/office/drawing/2014/chart" uri="{C3380CC4-5D6E-409C-BE32-E72D297353CC}">
              <c16:uniqueId val="{00000000-0C0D-4710-98DA-6C8965B40836}"/>
            </c:ext>
          </c:extLst>
        </c:ser>
        <c:dLbls>
          <c:showLegendKey val="0"/>
          <c:showVal val="0"/>
          <c:showCatName val="0"/>
          <c:showSerName val="0"/>
          <c:showPercent val="0"/>
          <c:showBubbleSize val="0"/>
        </c:dLbls>
        <c:gapWidth val="90"/>
        <c:axId val="1842150016"/>
        <c:axId val="1842137120"/>
      </c:barChart>
      <c:lineChart>
        <c:grouping val="standard"/>
        <c:varyColors val="0"/>
        <c:ser>
          <c:idx val="0"/>
          <c:order val="0"/>
          <c:tx>
            <c:strRef>
              <c:f>'Vnější vztahy'!$C$6</c:f>
              <c:strCache>
                <c:ptCount val="1"/>
                <c:pt idx="0">
                  <c:v>Vývoz</c:v>
                </c:pt>
              </c:strCache>
            </c:strRef>
          </c:tx>
          <c:spPr>
            <a:ln w="28575" cap="rnd">
              <a:noFill/>
              <a:round/>
            </a:ln>
            <a:effectLst/>
          </c:spPr>
          <c:marker>
            <c:symbol val="dash"/>
            <c:size val="9"/>
            <c:spPr>
              <a:solidFill>
                <a:srgbClr val="174F70"/>
              </a:solidFill>
              <a:ln w="9525">
                <a:noFill/>
              </a:ln>
              <a:effectLst/>
            </c:spPr>
          </c:marker>
          <c:cat>
            <c:multiLvlStrRef>
              <c:f>'Vnější vztahy'!$A$11:$B$34</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'Vnější vztahy'!$C$11:$C$34</c:f>
              <c:numCache>
                <c:formatCode>#\ ##0.0</c:formatCode>
                <c:ptCount val="24"/>
                <c:pt idx="0">
                  <c:v>-6.4135636115999972</c:v>
                </c:pt>
                <c:pt idx="1">
                  <c:v>-25.037497579399997</c:v>
                </c:pt>
                <c:pt idx="2">
                  <c:v>-3.5785611728999953</c:v>
                </c:pt>
                <c:pt idx="3">
                  <c:v>7.411852265899995</c:v>
                </c:pt>
                <c:pt idx="4">
                  <c:v>10.962313304399999</c:v>
                </c:pt>
                <c:pt idx="5">
                  <c:v>41.981094956100009</c:v>
                </c:pt>
                <c:pt idx="6">
                  <c:v>3.4515742189000065</c:v>
                </c:pt>
                <c:pt idx="7">
                  <c:v>2.749198525500006</c:v>
                </c:pt>
                <c:pt idx="8">
                  <c:v>8.0064988441999958</c:v>
                </c:pt>
                <c:pt idx="9">
                  <c:v>11.287163968300007</c:v>
                </c:pt>
                <c:pt idx="10">
                  <c:v>22.470879917399998</c:v>
                </c:pt>
                <c:pt idx="11">
                  <c:v>13.234980039600003</c:v>
                </c:pt>
                <c:pt idx="12">
                  <c:v>10.691327997000002</c:v>
                </c:pt>
                <c:pt idx="13">
                  <c:v>0.90534101039999371</c:v>
                </c:pt>
                <c:pt idx="14">
                  <c:v>-6.7264620790000009</c:v>
                </c:pt>
                <c:pt idx="15">
                  <c:v>-1.1504207308999952</c:v>
                </c:pt>
                <c:pt idx="16">
                  <c:v>-8.6901433099995984E-2</c:v>
                </c:pt>
                <c:pt idx="17">
                  <c:v>4.7005744015000062</c:v>
                </c:pt>
                <c:pt idx="18">
                  <c:v>10.984825847799996</c:v>
                </c:pt>
                <c:pt idx="19">
                  <c:v>4.9824641242999945</c:v>
                </c:pt>
                <c:pt idx="20">
                  <c:v>6.3007884744999956</c:v>
                </c:pt>
                <c:pt idx="21">
                  <c:v>3.1311916589999953</c:v>
                </c:pt>
                <c:pt idx="22">
                  <c:v>1.3007654241999944</c:v>
                </c:pt>
                <c:pt idx="23">
                  <c:v>0.14150779739999564</c:v>
                </c:pt>
              </c:numCache>
            </c:numRef>
          </c:val>
          <c:smooth val="0"/>
          <c:extLst>
            <c:ext xmlns:c16="http://schemas.microsoft.com/office/drawing/2014/chart" uri="{C3380CC4-5D6E-409C-BE32-E72D297353CC}">
              <c16:uniqueId val="{00000001-0C0D-4710-98DA-6C8965B40836}"/>
            </c:ext>
          </c:extLst>
        </c:ser>
        <c:ser>
          <c:idx val="1"/>
          <c:order val="1"/>
          <c:tx>
            <c:strRef>
              <c:f>'Vnější vztahy'!$D$6</c:f>
              <c:strCache>
                <c:ptCount val="1"/>
                <c:pt idx="0">
                  <c:v>Dovoz</c:v>
                </c:pt>
              </c:strCache>
            </c:strRef>
          </c:tx>
          <c:spPr>
            <a:ln w="28575" cap="rnd">
              <a:noFill/>
              <a:round/>
            </a:ln>
            <a:effectLst/>
          </c:spPr>
          <c:marker>
            <c:symbol val="dash"/>
            <c:size val="9"/>
            <c:spPr>
              <a:solidFill>
                <a:srgbClr val="BC5B80"/>
              </a:solidFill>
              <a:ln w="9525">
                <a:noFill/>
              </a:ln>
              <a:effectLst/>
            </c:spPr>
          </c:marker>
          <c:cat>
            <c:multiLvlStrRef>
              <c:f>'Vnější vztahy'!$A$11:$B$34</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'Vnější vztahy'!$D$11:$D$34</c:f>
              <c:numCache>
                <c:formatCode>#\ ##0.0</c:formatCode>
                <c:ptCount val="24"/>
                <c:pt idx="0">
                  <c:v>-5.3981676209999989</c:v>
                </c:pt>
                <c:pt idx="1">
                  <c:v>-21.285728278400001</c:v>
                </c:pt>
                <c:pt idx="2">
                  <c:v>-6.8912364523999941</c:v>
                </c:pt>
                <c:pt idx="3">
                  <c:v>0.22314936540000474</c:v>
                </c:pt>
                <c:pt idx="4">
                  <c:v>8.4767312925000056</c:v>
                </c:pt>
                <c:pt idx="5">
                  <c:v>41.887499316600014</c:v>
                </c:pt>
                <c:pt idx="6">
                  <c:v>17.303793961099998</c:v>
                </c:pt>
                <c:pt idx="7">
                  <c:v>14.923030300799994</c:v>
                </c:pt>
                <c:pt idx="8">
                  <c:v>16.659765110899997</c:v>
                </c:pt>
                <c:pt idx="9">
                  <c:v>20.193090002000005</c:v>
                </c:pt>
                <c:pt idx="10">
                  <c:v>22.188267180799997</c:v>
                </c:pt>
                <c:pt idx="11">
                  <c:v>15.2991180633</c:v>
                </c:pt>
                <c:pt idx="12">
                  <c:v>5.5018043466999984</c:v>
                </c:pt>
                <c:pt idx="13">
                  <c:v>-8.2960208406999953</c:v>
                </c:pt>
                <c:pt idx="14">
                  <c:v>-11.801975368499996</c:v>
                </c:pt>
                <c:pt idx="15">
                  <c:v>-9.5344571271999996</c:v>
                </c:pt>
                <c:pt idx="16">
                  <c:v>-3.8011078601000037</c:v>
                </c:pt>
                <c:pt idx="17">
                  <c:v>1.682577773999995</c:v>
                </c:pt>
                <c:pt idx="18">
                  <c:v>8.1790772874000055</c:v>
                </c:pt>
                <c:pt idx="19">
                  <c:v>5.8165725733999949</c:v>
                </c:pt>
                <c:pt idx="20">
                  <c:v>7.3619518505999935</c:v>
                </c:pt>
                <c:pt idx="21">
                  <c:v>4.6622883934000043</c:v>
                </c:pt>
                <c:pt idx="22">
                  <c:v>1.2468480380999978</c:v>
                </c:pt>
                <c:pt idx="23">
                  <c:v>-0.93837025649999362</c:v>
                </c:pt>
              </c:numCache>
            </c:numRef>
          </c:val>
          <c:smooth val="0"/>
          <c:extLst>
            <c:ext xmlns:c16="http://schemas.microsoft.com/office/drawing/2014/chart" uri="{C3380CC4-5D6E-409C-BE32-E72D297353CC}">
              <c16:uniqueId val="{00000002-0C0D-4710-98DA-6C8965B40836}"/>
            </c:ext>
          </c:extLst>
        </c:ser>
        <c:dLbls>
          <c:showLegendKey val="0"/>
          <c:showVal val="0"/>
          <c:showCatName val="0"/>
          <c:showSerName val="0"/>
          <c:showPercent val="0"/>
          <c:showBubbleSize val="0"/>
        </c:dLbls>
        <c:marker val="1"/>
        <c:smooth val="0"/>
        <c:axId val="1621653648"/>
        <c:axId val="1621653232"/>
      </c:lineChart>
      <c:catAx>
        <c:axId val="1621653648"/>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mn-cs"/>
              </a:defRPr>
            </a:pPr>
            <a:endParaRPr lang="cs-CZ"/>
          </a:p>
        </c:txPr>
        <c:crossAx val="1621653232"/>
        <c:crosses val="autoZero"/>
        <c:auto val="1"/>
        <c:lblAlgn val="ctr"/>
        <c:lblOffset val="100"/>
        <c:noMultiLvlLbl val="0"/>
      </c:catAx>
      <c:valAx>
        <c:axId val="1621653232"/>
        <c:scaling>
          <c:orientation val="minMax"/>
          <c:min val="-4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mn-cs"/>
              </a:defRPr>
            </a:pPr>
            <a:endParaRPr lang="cs-CZ"/>
          </a:p>
        </c:txPr>
        <c:crossAx val="1621653648"/>
        <c:crosses val="autoZero"/>
        <c:crossBetween val="between"/>
      </c:valAx>
      <c:valAx>
        <c:axId val="1842137120"/>
        <c:scaling>
          <c:orientation val="minMax"/>
          <c:min val="-80"/>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mn-cs"/>
              </a:defRPr>
            </a:pPr>
            <a:endParaRPr lang="cs-CZ"/>
          </a:p>
        </c:txPr>
        <c:crossAx val="1842150016"/>
        <c:crosses val="max"/>
        <c:crossBetween val="between"/>
      </c:valAx>
      <c:catAx>
        <c:axId val="1842150016"/>
        <c:scaling>
          <c:orientation val="minMax"/>
        </c:scaling>
        <c:delete val="1"/>
        <c:axPos val="b"/>
        <c:numFmt formatCode="General" sourceLinked="1"/>
        <c:majorTickMark val="out"/>
        <c:minorTickMark val="none"/>
        <c:tickLblPos val="nextTo"/>
        <c:crossAx val="1842137120"/>
        <c:crosses val="autoZero"/>
        <c:auto val="1"/>
        <c:lblAlgn val="ctr"/>
        <c:lblOffset val="100"/>
        <c:noMultiLvlLbl val="0"/>
      </c:catAx>
      <c:spPr>
        <a:noFill/>
        <a:ln>
          <a:noFill/>
        </a:ln>
        <a:effectLst/>
      </c:spPr>
    </c:plotArea>
    <c:legend>
      <c:legendPos val="b"/>
      <c:layout>
        <c:manualLayout>
          <c:xMode val="edge"/>
          <c:yMode val="edge"/>
          <c:x val="6.7334595959595941E-2"/>
          <c:y val="0.9241869988545246"/>
          <c:w val="0.85464057239057234"/>
          <c:h val="5.3991695303550975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mn-cs"/>
            </a:defRPr>
          </a:pPr>
          <a:endParaRPr lang="cs-CZ"/>
        </a:p>
      </c:txPr>
    </c:legend>
    <c:plotVisOnly val="1"/>
    <c:dispBlanksAs val="gap"/>
    <c:showDLblsOverMax val="0"/>
  </c:chart>
  <c:spPr>
    <a:solidFill>
      <a:schemeClr val="bg1"/>
    </a:solidFill>
    <a:ln w="9525" cap="flat" cmpd="sng" algn="ctr">
      <a:noFill/>
      <a:round/>
    </a:ln>
    <a:effectLst/>
  </c:spPr>
  <c:txPr>
    <a:bodyPr/>
    <a:lstStyle/>
    <a:p>
      <a:pPr>
        <a:defRPr sz="800" baseline="0">
          <a:latin typeface="Arial" panose="020B0604020202020204" pitchFamily="34" charset="0"/>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83CEA5EB905EA4A80C471566B3EA34E" ma:contentTypeVersion="4" ma:contentTypeDescription="Vytvoří nový dokument" ma:contentTypeScope="" ma:versionID="665595f58a29ebd0fb50f52fd1a3fb16">
  <xsd:schema xmlns:xsd="http://www.w3.org/2001/XMLSchema" xmlns:xs="http://www.w3.org/2001/XMLSchema" xmlns:p="http://schemas.microsoft.com/office/2006/metadata/properties" xmlns:ns2="7af72279-59da-4f02-a702-8316938752d7" targetNamespace="http://schemas.microsoft.com/office/2006/metadata/properties" ma:root="true" ma:fieldsID="8b23c26673a00a9a43ab51476a2e445e" ns2:_="">
    <xsd:import namespace="7af72279-59da-4f02-a702-8316938752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72279-59da-4f02-a702-831693875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C6C72-FE0A-4006-8736-F1547CB67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72279-59da-4f02-a702-831693875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7681AD-41B0-431A-9D34-CF6700A12F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A8A1E1-1E99-4B4F-B9B5-70567730AA3A}">
  <ds:schemaRefs>
    <ds:schemaRef ds:uri="http://schemas.microsoft.com/sharepoint/v3/contenttype/forms"/>
  </ds:schemaRefs>
</ds:datastoreItem>
</file>

<file path=customXml/itemProps4.xml><?xml version="1.0" encoding="utf-8"?>
<ds:datastoreItem xmlns:ds="http://schemas.openxmlformats.org/officeDocument/2006/customXml" ds:itemID="{81508513-78FC-4939-82F8-E0A4971F1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1922</Words>
  <Characters>11341</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CSU</Company>
  <LinksUpToDate>false</LinksUpToDate>
  <CharactersWithSpaces>13237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Kučerová Jana</dc:creator>
  <cp:keywords/>
  <cp:lastModifiedBy>Zábojníková Karolína</cp:lastModifiedBy>
  <cp:revision>7</cp:revision>
  <cp:lastPrinted>2014-07-17T14:07:00Z</cp:lastPrinted>
  <dcterms:created xsi:type="dcterms:W3CDTF">2026-03-20T11:45:00Z</dcterms:created>
  <dcterms:modified xsi:type="dcterms:W3CDTF">2026-03-20T11:59:00Z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0x010100A83CEA5EB905EA4A80C471566B3EA34E</vt:lpwstr>
  </property>
  <property fmtid="{D5CDD505-2E9C-101B-9397-08002B2CF9AE}" pid="3" name="Názevformuláře">
    <vt:lpwstr>Publikace CZ barevné - vícetematické analýzy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2018-04-17T07:00:00Z</vt:filetime>
  </property>
  <property fmtid="{D5CDD505-2E9C-101B-9397-08002B2CF9AE}" pid="8" name="Označení">
    <vt:lpwstr>Form_c444</vt:lpwstr>
  </property>
  <property fmtid="{D5CDD505-2E9C-101B-9397-08002B2CF9AE}" pid="9" name="MediaServiceImageTags">
    <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ies>
</file>